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华文中宋" w:hAnsi="华文中宋" w:eastAsia="华文中宋"/>
          <w:color w:val="000000" w:themeColor="text1"/>
          <w:sz w:val="28"/>
          <w:szCs w:val="18"/>
          <w14:textFill>
            <w14:solidFill>
              <w14:schemeClr w14:val="tx1"/>
            </w14:solidFill>
          </w14:textFill>
        </w:rPr>
      </w:pPr>
    </w:p>
    <w:p>
      <w:pPr>
        <w:spacing w:line="360" w:lineRule="auto"/>
        <w:jc w:val="center"/>
        <w:rPr>
          <w:rFonts w:ascii="华文中宋" w:hAnsi="华文中宋" w:eastAsia="华文中宋"/>
          <w:color w:val="000000" w:themeColor="text1"/>
          <w:spacing w:val="42"/>
          <w:sz w:val="130"/>
          <w:szCs w:val="130"/>
          <w14:textFill>
            <w14:solidFill>
              <w14:schemeClr w14:val="tx1"/>
            </w14:solidFill>
          </w14:textFill>
        </w:rPr>
      </w:pPr>
      <w:r>
        <w:rPr>
          <w:rFonts w:hint="eastAsia" w:ascii="华文中宋" w:hAnsi="华文中宋" w:eastAsia="华文中宋"/>
          <w:color w:val="000000" w:themeColor="text1"/>
          <w:spacing w:val="42"/>
          <w:sz w:val="130"/>
          <w:szCs w:val="130"/>
          <w14:textFill>
            <w14:solidFill>
              <w14:schemeClr w14:val="tx1"/>
            </w14:solidFill>
          </w14:textFill>
        </w:rPr>
        <w:t>招 标 文 件</w:t>
      </w:r>
    </w:p>
    <w:p>
      <w:pPr>
        <w:tabs>
          <w:tab w:val="left" w:pos="2552"/>
        </w:tabs>
        <w:spacing w:line="360" w:lineRule="auto"/>
        <w:ind w:left="1733" w:leftChars="269" w:hanging="1168" w:hangingChars="487"/>
        <w:rPr>
          <w:rFonts w:ascii="华文中宋" w:hAnsi="华文中宋" w:eastAsia="华文中宋"/>
          <w:color w:val="000000" w:themeColor="text1"/>
          <w:sz w:val="24"/>
          <w14:textFill>
            <w14:solidFill>
              <w14:schemeClr w14:val="tx1"/>
            </w14:solidFill>
          </w14:textFill>
        </w:rPr>
      </w:pPr>
    </w:p>
    <w:p>
      <w:pPr>
        <w:tabs>
          <w:tab w:val="left" w:pos="2552"/>
        </w:tabs>
        <w:spacing w:line="360" w:lineRule="auto"/>
        <w:ind w:left="1733" w:leftChars="269" w:hanging="1168" w:hangingChars="487"/>
        <w:rPr>
          <w:rFonts w:ascii="华文中宋" w:hAnsi="华文中宋" w:eastAsia="华文中宋"/>
          <w:color w:val="000000" w:themeColor="text1"/>
          <w:sz w:val="24"/>
          <w14:textFill>
            <w14:solidFill>
              <w14:schemeClr w14:val="tx1"/>
            </w14:solidFill>
          </w14:textFill>
        </w:rPr>
      </w:pPr>
    </w:p>
    <w:p>
      <w:pPr>
        <w:tabs>
          <w:tab w:val="left" w:pos="2552"/>
        </w:tabs>
        <w:spacing w:line="360" w:lineRule="auto"/>
        <w:ind w:left="1733" w:leftChars="269" w:hanging="1168" w:hangingChars="487"/>
        <w:rPr>
          <w:rFonts w:ascii="华文中宋" w:hAnsi="华文中宋" w:eastAsia="华文中宋"/>
          <w:color w:val="000000" w:themeColor="text1"/>
          <w:sz w:val="24"/>
          <w14:textFill>
            <w14:solidFill>
              <w14:schemeClr w14:val="tx1"/>
            </w14:solidFill>
          </w14:textFill>
        </w:rPr>
      </w:pPr>
    </w:p>
    <w:p>
      <w:pPr>
        <w:tabs>
          <w:tab w:val="left" w:pos="2552"/>
        </w:tabs>
        <w:spacing w:line="360" w:lineRule="auto"/>
        <w:rPr>
          <w:rFonts w:ascii="华文中宋" w:hAnsi="华文中宋" w:eastAsia="华文中宋"/>
          <w:color w:val="000000" w:themeColor="text1"/>
          <w:sz w:val="24"/>
          <w14:textFill>
            <w14:solidFill>
              <w14:schemeClr w14:val="tx1"/>
            </w14:solidFill>
          </w14:textFill>
        </w:rPr>
      </w:pPr>
    </w:p>
    <w:p>
      <w:pPr>
        <w:tabs>
          <w:tab w:val="left" w:pos="2552"/>
        </w:tabs>
        <w:spacing w:line="360" w:lineRule="auto"/>
        <w:ind w:left="2123" w:leftChars="269" w:hanging="1558" w:hangingChars="487"/>
        <w:rPr>
          <w:rFonts w:ascii="华文中宋" w:hAnsi="华文中宋" w:eastAsia="华文中宋"/>
          <w:color w:val="000000" w:themeColor="text1"/>
          <w:sz w:val="32"/>
          <w:szCs w:val="32"/>
          <w14:textFill>
            <w14:solidFill>
              <w14:schemeClr w14:val="tx1"/>
            </w14:solidFill>
          </w14:textFill>
        </w:rPr>
      </w:pPr>
      <w:r>
        <w:rPr>
          <w:rFonts w:hint="eastAsia" w:ascii="华文中宋" w:hAnsi="华文中宋" w:eastAsia="华文中宋"/>
          <w:color w:val="000000" w:themeColor="text1"/>
          <w:sz w:val="32"/>
          <w:szCs w:val="32"/>
          <w14:textFill>
            <w14:solidFill>
              <w14:schemeClr w14:val="tx1"/>
            </w14:solidFill>
          </w14:textFill>
        </w:rPr>
        <w:t>项目名称：成都市青羊区教育技术装备与信息管理中心部分学校（单位）2022-2024年物业管理服务政府集中采购项目</w:t>
      </w:r>
    </w:p>
    <w:p>
      <w:pPr>
        <w:spacing w:line="360" w:lineRule="auto"/>
        <w:ind w:firstLine="566" w:firstLineChars="177"/>
        <w:rPr>
          <w:rFonts w:ascii="华文中宋" w:hAnsi="华文中宋" w:eastAsia="华文中宋"/>
          <w:color w:val="000000" w:themeColor="text1"/>
          <w:sz w:val="32"/>
          <w:szCs w:val="32"/>
          <w14:textFill>
            <w14:solidFill>
              <w14:schemeClr w14:val="tx1"/>
            </w14:solidFill>
          </w14:textFill>
        </w:rPr>
      </w:pPr>
      <w:r>
        <w:rPr>
          <w:rFonts w:hint="eastAsia" w:ascii="华文中宋" w:hAnsi="华文中宋" w:eastAsia="华文中宋"/>
          <w:color w:val="000000" w:themeColor="text1"/>
          <w:sz w:val="32"/>
          <w:szCs w:val="32"/>
          <w14:textFill>
            <w14:solidFill>
              <w14:schemeClr w14:val="tx1"/>
            </w14:solidFill>
          </w14:textFill>
        </w:rPr>
        <w:t>项目编号：青羊政采（2021）A0033号</w:t>
      </w:r>
    </w:p>
    <w:p>
      <w:pPr>
        <w:pStyle w:val="17"/>
        <w:rPr>
          <w:rFonts w:ascii="华文中宋" w:hAnsi="华文中宋" w:eastAsia="华文中宋"/>
          <w:color w:val="000000" w:themeColor="text1"/>
          <w:kern w:val="24"/>
          <w:sz w:val="32"/>
          <w:szCs w:val="32"/>
          <w14:textFill>
            <w14:solidFill>
              <w14:schemeClr w14:val="tx1"/>
            </w14:solidFill>
          </w14:textFill>
        </w:rPr>
      </w:pPr>
    </w:p>
    <w:p>
      <w:pPr>
        <w:pStyle w:val="17"/>
        <w:rPr>
          <w:rFonts w:ascii="华文中宋" w:hAnsi="华文中宋" w:eastAsia="华文中宋"/>
          <w:color w:val="000000" w:themeColor="text1"/>
          <w:kern w:val="24"/>
          <w:sz w:val="32"/>
          <w:szCs w:val="32"/>
          <w14:textFill>
            <w14:solidFill>
              <w14:schemeClr w14:val="tx1"/>
            </w14:solidFill>
          </w14:textFill>
        </w:rPr>
      </w:pPr>
    </w:p>
    <w:p>
      <w:pPr>
        <w:pStyle w:val="17"/>
        <w:rPr>
          <w:rFonts w:ascii="华文中宋" w:hAnsi="华文中宋" w:eastAsia="华文中宋"/>
          <w:color w:val="000000" w:themeColor="text1"/>
          <w:kern w:val="24"/>
          <w:sz w:val="32"/>
          <w:szCs w:val="32"/>
          <w14:textFill>
            <w14:solidFill>
              <w14:schemeClr w14:val="tx1"/>
            </w14:solidFill>
          </w14:textFill>
        </w:rPr>
      </w:pPr>
    </w:p>
    <w:p>
      <w:pPr>
        <w:pStyle w:val="17"/>
        <w:rPr>
          <w:rFonts w:ascii="华文中宋" w:hAnsi="华文中宋" w:eastAsia="华文中宋"/>
          <w:color w:val="000000" w:themeColor="text1"/>
          <w:kern w:val="24"/>
          <w:sz w:val="32"/>
          <w:szCs w:val="32"/>
          <w14:textFill>
            <w14:solidFill>
              <w14:schemeClr w14:val="tx1"/>
            </w14:solidFill>
          </w14:textFill>
        </w:rPr>
      </w:pPr>
    </w:p>
    <w:p>
      <w:pPr>
        <w:pStyle w:val="17"/>
        <w:rPr>
          <w:rFonts w:ascii="华文中宋" w:hAnsi="华文中宋" w:eastAsia="华文中宋"/>
          <w:color w:val="000000" w:themeColor="text1"/>
          <w:kern w:val="24"/>
          <w:sz w:val="32"/>
          <w:szCs w:val="32"/>
          <w14:textFill>
            <w14:solidFill>
              <w14:schemeClr w14:val="tx1"/>
            </w14:solidFill>
          </w14:textFill>
        </w:rPr>
      </w:pPr>
    </w:p>
    <w:p>
      <w:pPr>
        <w:spacing w:line="360" w:lineRule="auto"/>
        <w:jc w:val="center"/>
        <w:rPr>
          <w:rFonts w:ascii="华文中宋" w:hAnsi="华文中宋" w:eastAsia="华文中宋"/>
          <w:color w:val="000000" w:themeColor="text1"/>
          <w:sz w:val="32"/>
          <w:szCs w:val="32"/>
          <w14:textFill>
            <w14:solidFill>
              <w14:schemeClr w14:val="tx1"/>
            </w14:solidFill>
          </w14:textFill>
        </w:rPr>
      </w:pPr>
      <w:r>
        <w:rPr>
          <w:rFonts w:hint="eastAsia" w:ascii="华文中宋" w:hAnsi="华文中宋" w:eastAsia="华文中宋"/>
          <w:color w:val="000000" w:themeColor="text1"/>
          <w:sz w:val="32"/>
          <w:szCs w:val="32"/>
          <w14:textFill>
            <w14:solidFill>
              <w14:schemeClr w14:val="tx1"/>
            </w14:solidFill>
          </w14:textFill>
        </w:rPr>
        <w:t>成都市青羊区教育技术装备与信息管理中心、</w:t>
      </w:r>
    </w:p>
    <w:p>
      <w:pPr>
        <w:spacing w:line="360" w:lineRule="auto"/>
        <w:jc w:val="center"/>
        <w:rPr>
          <w:rFonts w:ascii="华文中宋" w:hAnsi="华文中宋" w:eastAsia="华文中宋"/>
          <w:color w:val="000000" w:themeColor="text1"/>
          <w:sz w:val="32"/>
          <w:szCs w:val="32"/>
          <w14:textFill>
            <w14:solidFill>
              <w14:schemeClr w14:val="tx1"/>
            </w14:solidFill>
          </w14:textFill>
        </w:rPr>
      </w:pPr>
      <w:r>
        <w:rPr>
          <w:rFonts w:hint="eastAsia" w:ascii="华文中宋" w:hAnsi="华文中宋" w:eastAsia="华文中宋"/>
          <w:color w:val="000000" w:themeColor="text1"/>
          <w:sz w:val="32"/>
          <w:szCs w:val="32"/>
          <w14:textFill>
            <w14:solidFill>
              <w14:schemeClr w14:val="tx1"/>
            </w14:solidFill>
          </w14:textFill>
        </w:rPr>
        <w:t>成都市青羊区政府采购服务中心共同编制</w:t>
      </w:r>
    </w:p>
    <w:p>
      <w:pPr>
        <w:spacing w:line="360" w:lineRule="auto"/>
        <w:jc w:val="center"/>
        <w:rPr>
          <w:rFonts w:ascii="华文中宋" w:hAnsi="华文中宋" w:eastAsia="华文中宋"/>
          <w:color w:val="000000" w:themeColor="text1"/>
          <w:sz w:val="32"/>
          <w:szCs w:val="32"/>
          <w14:textFill>
            <w14:solidFill>
              <w14:schemeClr w14:val="tx1"/>
            </w14:solidFill>
          </w14:textFill>
        </w:rPr>
      </w:pPr>
      <w:r>
        <w:rPr>
          <w:rFonts w:hint="eastAsia" w:ascii="华文中宋" w:hAnsi="华文中宋" w:eastAsia="华文中宋"/>
          <w:color w:val="000000" w:themeColor="text1"/>
          <w:sz w:val="32"/>
          <w:szCs w:val="32"/>
          <w14:textFill>
            <w14:solidFill>
              <w14:schemeClr w14:val="tx1"/>
            </w14:solidFill>
          </w14:textFill>
        </w:rPr>
        <w:t>二〇二一年十二月</w:t>
      </w:r>
    </w:p>
    <w:p>
      <w:pPr>
        <w:spacing w:line="360" w:lineRule="auto"/>
        <w:jc w:val="center"/>
        <w:rPr>
          <w:rFonts w:ascii="宋体" w:hAnsi="宋体"/>
          <w:b/>
          <w:color w:val="000000" w:themeColor="text1"/>
          <w:sz w:val="32"/>
          <w14:textFill>
            <w14:solidFill>
              <w14:schemeClr w14:val="tx1"/>
            </w14:solidFill>
          </w14:textFill>
        </w:rPr>
      </w:pPr>
      <w:r>
        <w:rPr>
          <w:rFonts w:hint="eastAsia" w:ascii="宋体" w:hAnsi="宋体"/>
          <w:color w:val="000000" w:themeColor="text1"/>
          <w:kern w:val="0"/>
          <w14:textFill>
            <w14:solidFill>
              <w14:schemeClr w14:val="tx1"/>
            </w14:solidFill>
          </w14:textFill>
        </w:rPr>
        <w:br w:type="page"/>
      </w:r>
      <w:bookmarkStart w:id="0" w:name="_Toc101247312"/>
      <w:bookmarkStart w:id="1" w:name="_Toc148505181"/>
      <w:bookmarkStart w:id="2" w:name="_Toc101234248"/>
      <w:bookmarkStart w:id="3" w:name="_Toc101328520"/>
      <w:r>
        <w:rPr>
          <w:rFonts w:hint="eastAsia" w:ascii="宋体" w:hAnsi="宋体"/>
          <w:b/>
          <w:color w:val="000000" w:themeColor="text1"/>
          <w:sz w:val="28"/>
          <w:szCs w:val="32"/>
          <w14:textFill>
            <w14:solidFill>
              <w14:schemeClr w14:val="tx1"/>
            </w14:solidFill>
          </w14:textFill>
        </w:rPr>
        <w:t>目 录</w:t>
      </w:r>
    </w:p>
    <w:sdt>
      <w:sdtPr>
        <w:rPr>
          <w:rFonts w:ascii="宋体" w:hAnsi="宋体" w:eastAsia="华文中宋"/>
          <w:smallCaps/>
          <w:color w:val="000000" w:themeColor="text1"/>
          <w:sz w:val="20"/>
          <w:szCs w:val="20"/>
          <w14:textFill>
            <w14:solidFill>
              <w14:schemeClr w14:val="tx1"/>
            </w14:solidFill>
          </w14:textFill>
        </w:rPr>
        <w:id w:val="147456339"/>
        <w:docPartObj>
          <w:docPartGallery w:val="Table of Contents"/>
          <w:docPartUnique/>
        </w:docPartObj>
      </w:sdtPr>
      <w:sdtEndPr>
        <w:rPr>
          <w:rFonts w:ascii="宋体" w:hAnsi="宋体" w:eastAsia="华文中宋"/>
          <w:smallCaps/>
          <w:color w:val="000000" w:themeColor="text1"/>
          <w:sz w:val="20"/>
          <w:szCs w:val="20"/>
          <w14:textFill>
            <w14:solidFill>
              <w14:schemeClr w14:val="tx1"/>
            </w14:solidFill>
          </w14:textFill>
        </w:rPr>
      </w:sdtEndPr>
      <w:sdtContent>
        <w:p>
          <w:pPr>
            <w:rPr>
              <w:color w:val="000000" w:themeColor="text1"/>
              <w14:textFill>
                <w14:solidFill>
                  <w14:schemeClr w14:val="tx1"/>
                </w14:solidFill>
              </w14:textFill>
            </w:rPr>
          </w:pPr>
        </w:p>
        <w:p>
          <w:pPr>
            <w:pStyle w:val="29"/>
            <w:rPr>
              <w:rFonts w:asciiTheme="minorHAnsi" w:hAnsiTheme="minorHAnsi" w:eastAsiaTheme="minorEastAsia" w:cstheme="minorBidi"/>
              <w:bCs w:val="0"/>
              <w:caps w:val="0"/>
              <w:sz w:val="21"/>
              <w:szCs w:val="22"/>
            </w:rPr>
          </w:pP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TOC \o "1-2" \h \u </w:instrText>
          </w:r>
          <w:r>
            <w:rPr>
              <w:rFonts w:hint="eastAsia"/>
              <w:color w:val="000000" w:themeColor="text1"/>
              <w14:textFill>
                <w14:solidFill>
                  <w14:schemeClr w14:val="tx1"/>
                </w14:solidFill>
              </w14:textFill>
            </w:rPr>
            <w:fldChar w:fldCharType="separate"/>
          </w:r>
          <w:r>
            <w:fldChar w:fldCharType="begin"/>
          </w:r>
          <w:r>
            <w:instrText xml:space="preserve"> HYPERLINK \l "_Toc77584638" </w:instrText>
          </w:r>
          <w:r>
            <w:fldChar w:fldCharType="separate"/>
          </w:r>
          <w:r>
            <w:rPr>
              <w:rStyle w:val="47"/>
              <w:rFonts w:hint="eastAsia" w:ascii="Times New Roman" w:hAnsi="Times New Roman"/>
            </w:rPr>
            <w:t>第1章</w:t>
          </w:r>
          <w:r>
            <w:rPr>
              <w:rFonts w:asciiTheme="minorHAnsi" w:hAnsiTheme="minorHAnsi" w:eastAsiaTheme="minorEastAsia" w:cstheme="minorBidi"/>
              <w:bCs w:val="0"/>
              <w:caps w:val="0"/>
              <w:sz w:val="21"/>
              <w:szCs w:val="22"/>
            </w:rPr>
            <w:tab/>
          </w:r>
          <w:r>
            <w:rPr>
              <w:rStyle w:val="47"/>
              <w:rFonts w:hint="eastAsia"/>
            </w:rPr>
            <w:t>投标邀请</w:t>
          </w:r>
          <w:r>
            <w:tab/>
          </w:r>
          <w:r>
            <w:fldChar w:fldCharType="begin"/>
          </w:r>
          <w:r>
            <w:instrText xml:space="preserve"> PAGEREF _Toc77584638 \h </w:instrText>
          </w:r>
          <w:r>
            <w:fldChar w:fldCharType="separate"/>
          </w:r>
          <w:r>
            <w:t>3</w:t>
          </w:r>
          <w:r>
            <w:fldChar w:fldCharType="end"/>
          </w:r>
          <w:r>
            <w:fldChar w:fldCharType="end"/>
          </w:r>
        </w:p>
        <w:p>
          <w:pPr>
            <w:pStyle w:val="29"/>
            <w:rPr>
              <w:rFonts w:asciiTheme="minorHAnsi" w:hAnsiTheme="minorHAnsi" w:eastAsiaTheme="minorEastAsia" w:cstheme="minorBidi"/>
              <w:bCs w:val="0"/>
              <w:caps w:val="0"/>
              <w:sz w:val="21"/>
              <w:szCs w:val="22"/>
            </w:rPr>
          </w:pPr>
          <w:r>
            <w:fldChar w:fldCharType="begin"/>
          </w:r>
          <w:r>
            <w:instrText xml:space="preserve"> HYPERLINK \l "_Toc77584639" </w:instrText>
          </w:r>
          <w:r>
            <w:fldChar w:fldCharType="separate"/>
          </w:r>
          <w:r>
            <w:rPr>
              <w:rStyle w:val="47"/>
              <w:rFonts w:hint="eastAsia" w:ascii="Times New Roman" w:hAnsi="Times New Roman"/>
            </w:rPr>
            <w:t>第2章</w:t>
          </w:r>
          <w:r>
            <w:rPr>
              <w:rFonts w:asciiTheme="minorHAnsi" w:hAnsiTheme="minorHAnsi" w:eastAsiaTheme="minorEastAsia" w:cstheme="minorBidi"/>
              <w:bCs w:val="0"/>
              <w:caps w:val="0"/>
              <w:sz w:val="21"/>
              <w:szCs w:val="22"/>
            </w:rPr>
            <w:tab/>
          </w:r>
          <w:r>
            <w:rPr>
              <w:rStyle w:val="47"/>
              <w:rFonts w:hint="eastAsia"/>
            </w:rPr>
            <w:t>投标人须知</w:t>
          </w:r>
          <w:r>
            <w:tab/>
          </w:r>
          <w:r>
            <w:fldChar w:fldCharType="begin"/>
          </w:r>
          <w:r>
            <w:instrText xml:space="preserve"> PAGEREF _Toc77584639 \h </w:instrText>
          </w:r>
          <w:r>
            <w:fldChar w:fldCharType="separate"/>
          </w:r>
          <w:r>
            <w:t>8</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"_Toc77584640" </w:instrText>
          </w:r>
          <w:r>
            <w:fldChar w:fldCharType="separate"/>
          </w:r>
          <w:r>
            <w:rPr>
              <w:rStyle w:val="47"/>
              <w:rFonts w:ascii="Times New Roman" w:hAnsi="Times New Roman"/>
            </w:rPr>
            <w:t>2.1</w:t>
          </w:r>
          <w:r>
            <w:rPr>
              <w:rStyle w:val="47"/>
              <w:rFonts w:hint="eastAsia"/>
            </w:rPr>
            <w:t xml:space="preserve"> 投标人须知前附表</w:t>
          </w:r>
          <w:r>
            <w:tab/>
          </w:r>
          <w:r>
            <w:fldChar w:fldCharType="begin"/>
          </w:r>
          <w:r>
            <w:instrText xml:space="preserve"> PAGEREF _Toc77584640 \h </w:instrText>
          </w:r>
          <w:r>
            <w:fldChar w:fldCharType="separate"/>
          </w:r>
          <w:r>
            <w:t>8</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"_Toc77584641" </w:instrText>
          </w:r>
          <w:r>
            <w:fldChar w:fldCharType="separate"/>
          </w:r>
          <w:r>
            <w:rPr>
              <w:rStyle w:val="47"/>
              <w:rFonts w:ascii="Times New Roman" w:hAnsi="Times New Roman"/>
            </w:rPr>
            <w:t>2.2</w:t>
          </w:r>
          <w:r>
            <w:rPr>
              <w:rStyle w:val="47"/>
              <w:rFonts w:hint="eastAsia"/>
            </w:rPr>
            <w:t xml:space="preserve"> 总则</w:t>
          </w:r>
          <w:r>
            <w:tab/>
          </w:r>
          <w:r>
            <w:fldChar w:fldCharType="begin"/>
          </w:r>
          <w:r>
            <w:instrText xml:space="preserve"> PAGEREF _Toc77584641 \h </w:instrText>
          </w:r>
          <w:r>
            <w:fldChar w:fldCharType="separate"/>
          </w:r>
          <w:r>
            <w:t>11</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"_Toc77584642" </w:instrText>
          </w:r>
          <w:r>
            <w:fldChar w:fldCharType="separate"/>
          </w:r>
          <w:r>
            <w:rPr>
              <w:rStyle w:val="47"/>
              <w:rFonts w:ascii="Times New Roman" w:hAnsi="Times New Roman"/>
            </w:rPr>
            <w:t>2.3</w:t>
          </w:r>
          <w:r>
            <w:rPr>
              <w:rStyle w:val="47"/>
              <w:rFonts w:hint="eastAsia"/>
            </w:rPr>
            <w:t xml:space="preserve"> 招标文件</w:t>
          </w:r>
          <w:r>
            <w:tab/>
          </w:r>
          <w:r>
            <w:fldChar w:fldCharType="begin"/>
          </w:r>
          <w:r>
            <w:instrText xml:space="preserve"> PAGEREF _Toc77584642 \h </w:instrText>
          </w:r>
          <w:r>
            <w:fldChar w:fldCharType="separate"/>
          </w:r>
          <w:r>
            <w:t>14</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"_Toc77584643" </w:instrText>
          </w:r>
          <w:r>
            <w:fldChar w:fldCharType="separate"/>
          </w:r>
          <w:r>
            <w:rPr>
              <w:rStyle w:val="47"/>
              <w:rFonts w:ascii="Times New Roman" w:hAnsi="Times New Roman"/>
            </w:rPr>
            <w:t>2.4</w:t>
          </w:r>
          <w:r>
            <w:rPr>
              <w:rStyle w:val="47"/>
              <w:rFonts w:hint="eastAsia"/>
            </w:rPr>
            <w:t xml:space="preserve"> 投标文件</w:t>
          </w:r>
          <w:r>
            <w:tab/>
          </w:r>
          <w:r>
            <w:fldChar w:fldCharType="begin"/>
          </w:r>
          <w:r>
            <w:instrText xml:space="preserve"> PAGEREF _Toc77584643 \h </w:instrText>
          </w:r>
          <w:r>
            <w:fldChar w:fldCharType="separate"/>
          </w:r>
          <w:r>
            <w:t>15</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"_Toc77584644" </w:instrText>
          </w:r>
          <w:r>
            <w:fldChar w:fldCharType="separate"/>
          </w:r>
          <w:r>
            <w:rPr>
              <w:rStyle w:val="47"/>
              <w:rFonts w:ascii="Times New Roman" w:hAnsi="Times New Roman"/>
            </w:rPr>
            <w:t>2.5</w:t>
          </w:r>
          <w:r>
            <w:rPr>
              <w:rStyle w:val="47"/>
              <w:rFonts w:hint="eastAsia"/>
            </w:rPr>
            <w:t xml:space="preserve"> 开标、资格审查、评标和中标</w:t>
          </w:r>
          <w:r>
            <w:tab/>
          </w:r>
          <w:r>
            <w:fldChar w:fldCharType="begin"/>
          </w:r>
          <w:r>
            <w:instrText xml:space="preserve"> PAGEREF _Toc77584644 \h </w:instrText>
          </w:r>
          <w:r>
            <w:fldChar w:fldCharType="separate"/>
          </w:r>
          <w:r>
            <w:t>22</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"_Toc77584645" </w:instrText>
          </w:r>
          <w:r>
            <w:fldChar w:fldCharType="separate"/>
          </w:r>
          <w:r>
            <w:rPr>
              <w:rStyle w:val="47"/>
              <w:rFonts w:ascii="Times New Roman" w:hAnsi="Times New Roman"/>
            </w:rPr>
            <w:t>2.6</w:t>
          </w:r>
          <w:r>
            <w:rPr>
              <w:rStyle w:val="47"/>
              <w:rFonts w:hint="eastAsia"/>
            </w:rPr>
            <w:t xml:space="preserve"> 签订及履行合同和验收</w:t>
          </w:r>
          <w:r>
            <w:tab/>
          </w:r>
          <w:r>
            <w:fldChar w:fldCharType="begin"/>
          </w:r>
          <w:r>
            <w:instrText xml:space="preserve"> PAGEREF _Toc77584645 \h </w:instrText>
          </w:r>
          <w:r>
            <w:fldChar w:fldCharType="separate"/>
          </w:r>
          <w:r>
            <w:t>24</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"_Toc77584646" </w:instrText>
          </w:r>
          <w:r>
            <w:fldChar w:fldCharType="separate"/>
          </w:r>
          <w:r>
            <w:rPr>
              <w:rStyle w:val="47"/>
              <w:rFonts w:ascii="Times New Roman" w:hAnsi="Times New Roman"/>
            </w:rPr>
            <w:t>2.7</w:t>
          </w:r>
          <w:r>
            <w:rPr>
              <w:rStyle w:val="47"/>
              <w:rFonts w:hint="eastAsia"/>
            </w:rPr>
            <w:t xml:space="preserve"> 投标纪律要求</w:t>
          </w:r>
          <w:r>
            <w:tab/>
          </w:r>
          <w:r>
            <w:fldChar w:fldCharType="begin"/>
          </w:r>
          <w:r>
            <w:instrText xml:space="preserve"> PAGEREF _Toc77584646 \h </w:instrText>
          </w:r>
          <w:r>
            <w:fldChar w:fldCharType="separate"/>
          </w:r>
          <w:r>
            <w:t>27</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"_Toc77584647" </w:instrText>
          </w:r>
          <w:r>
            <w:fldChar w:fldCharType="separate"/>
          </w:r>
          <w:r>
            <w:rPr>
              <w:rStyle w:val="47"/>
              <w:rFonts w:ascii="Times New Roman" w:hAnsi="Times New Roman"/>
            </w:rPr>
            <w:t>2.8</w:t>
          </w:r>
          <w:r>
            <w:rPr>
              <w:rStyle w:val="47"/>
              <w:rFonts w:hint="eastAsia"/>
            </w:rPr>
            <w:t xml:space="preserve"> 询问、质疑和投诉</w:t>
          </w:r>
          <w:r>
            <w:tab/>
          </w:r>
          <w:r>
            <w:fldChar w:fldCharType="begin"/>
          </w:r>
          <w:r>
            <w:instrText xml:space="preserve"> PAGEREF _Toc77584647 \h </w:instrText>
          </w:r>
          <w:r>
            <w:fldChar w:fldCharType="separate"/>
          </w:r>
          <w:r>
            <w:t>30</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"_Toc77584648" </w:instrText>
          </w:r>
          <w:r>
            <w:fldChar w:fldCharType="separate"/>
          </w:r>
          <w:r>
            <w:rPr>
              <w:rStyle w:val="47"/>
              <w:rFonts w:ascii="Times New Roman" w:hAnsi="Times New Roman"/>
            </w:rPr>
            <w:t>2.9</w:t>
          </w:r>
          <w:r>
            <w:rPr>
              <w:rStyle w:val="47"/>
              <w:rFonts w:hint="eastAsia"/>
            </w:rPr>
            <w:t xml:space="preserve"> 中小企业政府采购信用融资</w:t>
          </w:r>
          <w:r>
            <w:tab/>
          </w:r>
          <w:r>
            <w:fldChar w:fldCharType="begin"/>
          </w:r>
          <w:r>
            <w:instrText xml:space="preserve"> PAGEREF _Toc77584648 \h </w:instrText>
          </w:r>
          <w:r>
            <w:fldChar w:fldCharType="separate"/>
          </w:r>
          <w:r>
            <w:t>31</w:t>
          </w:r>
          <w:r>
            <w:fldChar w:fldCharType="end"/>
          </w:r>
          <w:r>
            <w:fldChar w:fldCharType="end"/>
          </w:r>
        </w:p>
        <w:p>
          <w:pPr>
            <w:pStyle w:val="29"/>
            <w:rPr>
              <w:rFonts w:asciiTheme="minorHAnsi" w:hAnsiTheme="minorHAnsi" w:eastAsiaTheme="minorEastAsia" w:cstheme="minorBidi"/>
              <w:bCs w:val="0"/>
              <w:caps w:val="0"/>
              <w:sz w:val="21"/>
              <w:szCs w:val="22"/>
            </w:rPr>
          </w:pPr>
          <w:r>
            <w:fldChar w:fldCharType="begin"/>
          </w:r>
          <w:r>
            <w:instrText xml:space="preserve"> HYPERLINK \l "_Toc77584649" </w:instrText>
          </w:r>
          <w:r>
            <w:fldChar w:fldCharType="separate"/>
          </w:r>
          <w:r>
            <w:rPr>
              <w:rStyle w:val="47"/>
              <w:rFonts w:hint="eastAsia" w:ascii="Times New Roman" w:hAnsi="Times New Roman"/>
            </w:rPr>
            <w:t>第3章</w:t>
          </w:r>
          <w:r>
            <w:rPr>
              <w:rFonts w:asciiTheme="minorHAnsi" w:hAnsiTheme="minorHAnsi" w:eastAsiaTheme="minorEastAsia" w:cstheme="minorBidi"/>
              <w:bCs w:val="0"/>
              <w:caps w:val="0"/>
              <w:sz w:val="21"/>
              <w:szCs w:val="22"/>
            </w:rPr>
            <w:tab/>
          </w:r>
          <w:r>
            <w:rPr>
              <w:rStyle w:val="47"/>
              <w:rFonts w:hint="eastAsia"/>
            </w:rPr>
            <w:t>投标文件格式</w:t>
          </w:r>
          <w:r>
            <w:tab/>
          </w:r>
          <w:r>
            <w:fldChar w:fldCharType="begin"/>
          </w:r>
          <w:r>
            <w:instrText xml:space="preserve"> PAGEREF _Toc77584649 \h </w:instrText>
          </w:r>
          <w:r>
            <w:fldChar w:fldCharType="separate"/>
          </w:r>
          <w:r>
            <w:t>32</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"_Toc77584650" </w:instrText>
          </w:r>
          <w:r>
            <w:fldChar w:fldCharType="separate"/>
          </w:r>
          <w:r>
            <w:rPr>
              <w:rStyle w:val="47"/>
              <w:rFonts w:ascii="Times New Roman" w:hAnsi="Times New Roman"/>
            </w:rPr>
            <w:t>3.1</w:t>
          </w:r>
          <w:r>
            <w:rPr>
              <w:rStyle w:val="47"/>
              <w:rFonts w:hint="eastAsia"/>
            </w:rPr>
            <w:t xml:space="preserve"> 投标文件封面格式</w:t>
          </w:r>
          <w:r>
            <w:tab/>
          </w:r>
          <w:r>
            <w:fldChar w:fldCharType="begin"/>
          </w:r>
          <w:r>
            <w:instrText xml:space="preserve"> PAGEREF _Toc77584650 \h </w:instrText>
          </w:r>
          <w:r>
            <w:fldChar w:fldCharType="separate"/>
          </w:r>
          <w:r>
            <w:t>32</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"_Toc77584651" </w:instrText>
          </w:r>
          <w:r>
            <w:fldChar w:fldCharType="separate"/>
          </w:r>
          <w:r>
            <w:rPr>
              <w:rStyle w:val="47"/>
              <w:rFonts w:ascii="Times New Roman" w:hAnsi="Times New Roman"/>
            </w:rPr>
            <w:t>3.2</w:t>
          </w:r>
          <w:r>
            <w:rPr>
              <w:rStyle w:val="47"/>
              <w:rFonts w:hint="eastAsia"/>
            </w:rPr>
            <w:t xml:space="preserve"> 资格响应文件</w:t>
          </w:r>
          <w:r>
            <w:tab/>
          </w:r>
          <w:r>
            <w:fldChar w:fldCharType="begin"/>
          </w:r>
          <w:r>
            <w:instrText xml:space="preserve"> PAGEREF _Toc77584651 \h </w:instrText>
          </w:r>
          <w:r>
            <w:fldChar w:fldCharType="separate"/>
          </w:r>
          <w:r>
            <w:t>33</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"_Toc77584652" </w:instrText>
          </w:r>
          <w:r>
            <w:fldChar w:fldCharType="separate"/>
          </w:r>
          <w:r>
            <w:rPr>
              <w:rStyle w:val="47"/>
              <w:rFonts w:ascii="Times New Roman" w:hAnsi="Times New Roman"/>
            </w:rPr>
            <w:t>3.3</w:t>
          </w:r>
          <w:r>
            <w:rPr>
              <w:rStyle w:val="47"/>
              <w:rFonts w:hint="eastAsia"/>
            </w:rPr>
            <w:t xml:space="preserve"> 商务技术响应文件</w:t>
          </w:r>
          <w:r>
            <w:tab/>
          </w:r>
          <w:r>
            <w:fldChar w:fldCharType="begin"/>
          </w:r>
          <w:r>
            <w:instrText xml:space="preserve"> PAGEREF _Toc77584652 \h </w:instrText>
          </w:r>
          <w:r>
            <w:fldChar w:fldCharType="separate"/>
          </w:r>
          <w:r>
            <w:t>37</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"_Toc77584653" </w:instrText>
          </w:r>
          <w:r>
            <w:fldChar w:fldCharType="separate"/>
          </w:r>
          <w:r>
            <w:rPr>
              <w:rStyle w:val="47"/>
              <w:rFonts w:ascii="Times New Roman" w:hAnsi="Times New Roman"/>
              <w:b/>
            </w:rPr>
            <w:t>3.4</w:t>
          </w:r>
          <w:r>
            <w:rPr>
              <w:rStyle w:val="47"/>
              <w:rFonts w:hint="eastAsia" w:ascii="宋体" w:hAnsi="宋体"/>
              <w:b/>
            </w:rPr>
            <w:t xml:space="preserve"> 报价</w:t>
          </w:r>
          <w:r>
            <w:rPr>
              <w:rStyle w:val="47"/>
              <w:rFonts w:hint="eastAsia" w:ascii="宋体" w:hAnsi="宋体"/>
              <w:b/>
              <w:bCs/>
            </w:rPr>
            <w:t>要求</w:t>
          </w:r>
          <w:r>
            <w:rPr>
              <w:rStyle w:val="47"/>
              <w:rFonts w:hint="eastAsia" w:ascii="宋体" w:hAnsi="宋体"/>
              <w:b/>
            </w:rPr>
            <w:t>响应文件</w:t>
          </w:r>
          <w:r>
            <w:tab/>
          </w:r>
          <w:r>
            <w:fldChar w:fldCharType="begin"/>
          </w:r>
          <w:r>
            <w:instrText xml:space="preserve"> PAGEREF _Toc77584653 \h </w:instrText>
          </w:r>
          <w:r>
            <w:fldChar w:fldCharType="separate"/>
          </w:r>
          <w:r>
            <w:t>42</w:t>
          </w:r>
          <w:r>
            <w:fldChar w:fldCharType="end"/>
          </w:r>
          <w:r>
            <w:fldChar w:fldCharType="end"/>
          </w:r>
        </w:p>
        <w:p>
          <w:pPr>
            <w:pStyle w:val="29"/>
            <w:rPr>
              <w:rFonts w:asciiTheme="minorHAnsi" w:hAnsiTheme="minorHAnsi" w:eastAsiaTheme="minorEastAsia" w:cstheme="minorBidi"/>
              <w:bCs w:val="0"/>
              <w:caps w:val="0"/>
              <w:sz w:val="21"/>
              <w:szCs w:val="22"/>
            </w:rPr>
          </w:pPr>
          <w:r>
            <w:fldChar w:fldCharType="begin"/>
          </w:r>
          <w:r>
            <w:instrText xml:space="preserve"> HYPERLINK \l "_Toc77584654" </w:instrText>
          </w:r>
          <w:r>
            <w:fldChar w:fldCharType="separate"/>
          </w:r>
          <w:r>
            <w:rPr>
              <w:rStyle w:val="47"/>
              <w:rFonts w:hint="eastAsia" w:ascii="Times New Roman" w:hAnsi="Times New Roman"/>
            </w:rPr>
            <w:t>第4章</w:t>
          </w:r>
          <w:r>
            <w:rPr>
              <w:rFonts w:asciiTheme="minorHAnsi" w:hAnsiTheme="minorHAnsi" w:eastAsiaTheme="minorEastAsia" w:cstheme="minorBidi"/>
              <w:bCs w:val="0"/>
              <w:caps w:val="0"/>
              <w:sz w:val="21"/>
              <w:szCs w:val="22"/>
            </w:rPr>
            <w:tab/>
          </w:r>
          <w:r>
            <w:rPr>
              <w:rStyle w:val="47"/>
              <w:rFonts w:hint="eastAsia"/>
            </w:rPr>
            <w:t>招标项目服务、商务及其他要求</w:t>
          </w:r>
          <w:r>
            <w:tab/>
          </w:r>
          <w:r>
            <w:fldChar w:fldCharType="begin"/>
          </w:r>
          <w:r>
            <w:instrText xml:space="preserve"> PAGEREF _Toc77584654 \h </w:instrText>
          </w:r>
          <w:r>
            <w:fldChar w:fldCharType="separate"/>
          </w:r>
          <w:r>
            <w:t>46</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"_Toc77584655" </w:instrText>
          </w:r>
          <w:r>
            <w:fldChar w:fldCharType="separate"/>
          </w:r>
          <w:r>
            <w:rPr>
              <w:rStyle w:val="47"/>
              <w:rFonts w:ascii="Times New Roman" w:hAnsi="Times New Roman"/>
            </w:rPr>
            <w:t>4.1</w:t>
          </w:r>
          <w:r>
            <w:rPr>
              <w:rStyle w:val="47"/>
              <w:rFonts w:hint="eastAsia"/>
            </w:rPr>
            <w:t xml:space="preserve"> 项目概况</w:t>
          </w:r>
          <w:r>
            <w:tab/>
          </w:r>
          <w:r>
            <w:fldChar w:fldCharType="begin"/>
          </w:r>
          <w:r>
            <w:instrText xml:space="preserve"> PAGEREF _Toc77584655 \h </w:instrText>
          </w:r>
          <w:r>
            <w:fldChar w:fldCharType="separate"/>
          </w:r>
          <w:r>
            <w:t>46</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"_Toc77584656" </w:instrText>
          </w:r>
          <w:r>
            <w:fldChar w:fldCharType="separate"/>
          </w:r>
          <w:r>
            <w:rPr>
              <w:rStyle w:val="47"/>
              <w:rFonts w:ascii="Times New Roman" w:hAnsi="Times New Roman"/>
            </w:rPr>
            <w:t>4.2</w:t>
          </w:r>
          <w:r>
            <w:rPr>
              <w:rStyle w:val="47"/>
              <w:rFonts w:hint="eastAsia"/>
            </w:rPr>
            <w:t xml:space="preserve"> 服务内容及要求</w:t>
          </w:r>
          <w:r>
            <w:tab/>
          </w:r>
          <w:r>
            <w:fldChar w:fldCharType="begin"/>
          </w:r>
          <w:r>
            <w:instrText xml:space="preserve"> PAGEREF _Toc77584656 \h </w:instrText>
          </w:r>
          <w:r>
            <w:fldChar w:fldCharType="separate"/>
          </w:r>
          <w:r>
            <w:t>46</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"_Toc77584657" </w:instrText>
          </w:r>
          <w:r>
            <w:fldChar w:fldCharType="separate"/>
          </w:r>
          <w:r>
            <w:rPr>
              <w:rStyle w:val="47"/>
              <w:rFonts w:ascii="Times New Roman" w:hAnsi="Times New Roman"/>
            </w:rPr>
            <w:t>4.3</w:t>
          </w:r>
          <w:r>
            <w:rPr>
              <w:rStyle w:val="47"/>
              <w:rFonts w:hint="eastAsia"/>
            </w:rPr>
            <w:t xml:space="preserve"> 商务要求</w:t>
          </w:r>
          <w:r>
            <w:tab/>
          </w:r>
          <w:r>
            <w:fldChar w:fldCharType="begin"/>
          </w:r>
          <w:r>
            <w:instrText xml:space="preserve"> PAGEREF _Toc77584657 \h </w:instrText>
          </w:r>
          <w:r>
            <w:fldChar w:fldCharType="separate"/>
          </w:r>
          <w:r>
            <w:t>67</w:t>
          </w:r>
          <w:r>
            <w:fldChar w:fldCharType="end"/>
          </w:r>
          <w:r>
            <w:fldChar w:fldCharType="end"/>
          </w:r>
        </w:p>
        <w:p>
          <w:pPr>
            <w:pStyle w:val="29"/>
            <w:rPr>
              <w:rFonts w:asciiTheme="minorHAnsi" w:hAnsiTheme="minorHAnsi" w:eastAsiaTheme="minorEastAsia" w:cstheme="minorBidi"/>
              <w:bCs w:val="0"/>
              <w:caps w:val="0"/>
              <w:sz w:val="21"/>
              <w:szCs w:val="22"/>
            </w:rPr>
          </w:pPr>
          <w:r>
            <w:fldChar w:fldCharType="begin"/>
          </w:r>
          <w:r>
            <w:instrText xml:space="preserve"> HYPERLINK \l "_Toc77584658" </w:instrText>
          </w:r>
          <w:r>
            <w:fldChar w:fldCharType="separate"/>
          </w:r>
          <w:r>
            <w:rPr>
              <w:rStyle w:val="47"/>
              <w:rFonts w:hint="eastAsia" w:ascii="Times New Roman" w:hAnsi="Times New Roman"/>
            </w:rPr>
            <w:t>第5章</w:t>
          </w:r>
          <w:r>
            <w:rPr>
              <w:rFonts w:asciiTheme="minorHAnsi" w:hAnsiTheme="minorHAnsi" w:eastAsiaTheme="minorEastAsia" w:cstheme="minorBidi"/>
              <w:bCs w:val="0"/>
              <w:caps w:val="0"/>
              <w:sz w:val="21"/>
              <w:szCs w:val="22"/>
            </w:rPr>
            <w:tab/>
          </w:r>
          <w:r>
            <w:rPr>
              <w:rStyle w:val="47"/>
              <w:rFonts w:hint="eastAsia"/>
            </w:rPr>
            <w:t>资格性审查</w:t>
          </w:r>
          <w:r>
            <w:tab/>
          </w:r>
          <w:r>
            <w:fldChar w:fldCharType="begin"/>
          </w:r>
          <w:r>
            <w:instrText xml:space="preserve"> PAGEREF _Toc77584658 \h </w:instrText>
          </w:r>
          <w:r>
            <w:fldChar w:fldCharType="separate"/>
          </w:r>
          <w:r>
            <w:t>108</w:t>
          </w:r>
          <w:r>
            <w:fldChar w:fldCharType="end"/>
          </w:r>
          <w:r>
            <w:fldChar w:fldCharType="end"/>
          </w:r>
        </w:p>
        <w:p>
          <w:pPr>
            <w:pStyle w:val="29"/>
            <w:rPr>
              <w:rFonts w:asciiTheme="minorHAnsi" w:hAnsiTheme="minorHAnsi" w:eastAsiaTheme="minorEastAsia" w:cstheme="minorBidi"/>
              <w:bCs w:val="0"/>
              <w:caps w:val="0"/>
              <w:sz w:val="21"/>
              <w:szCs w:val="22"/>
            </w:rPr>
          </w:pPr>
          <w:r>
            <w:fldChar w:fldCharType="begin"/>
          </w:r>
          <w:r>
            <w:instrText xml:space="preserve"> HYPERLINK \l "_Toc77584659" </w:instrText>
          </w:r>
          <w:r>
            <w:fldChar w:fldCharType="separate"/>
          </w:r>
          <w:r>
            <w:rPr>
              <w:rStyle w:val="47"/>
              <w:rFonts w:hint="eastAsia" w:ascii="Times New Roman" w:hAnsi="Times New Roman"/>
            </w:rPr>
            <w:t>第6章</w:t>
          </w:r>
          <w:r>
            <w:rPr>
              <w:rFonts w:asciiTheme="minorHAnsi" w:hAnsiTheme="minorHAnsi" w:eastAsiaTheme="minorEastAsia" w:cstheme="minorBidi"/>
              <w:bCs w:val="0"/>
              <w:caps w:val="0"/>
              <w:sz w:val="21"/>
              <w:szCs w:val="22"/>
            </w:rPr>
            <w:tab/>
          </w:r>
          <w:r>
            <w:rPr>
              <w:rStyle w:val="47"/>
              <w:rFonts w:hint="eastAsia"/>
            </w:rPr>
            <w:t>评标办法</w:t>
          </w:r>
          <w:r>
            <w:tab/>
          </w:r>
          <w:r>
            <w:fldChar w:fldCharType="begin"/>
          </w:r>
          <w:r>
            <w:instrText xml:space="preserve"> PAGEREF _Toc77584659 \h </w:instrText>
          </w:r>
          <w:r>
            <w:fldChar w:fldCharType="separate"/>
          </w:r>
          <w:r>
            <w:t>113</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"_Toc77584660" </w:instrText>
          </w:r>
          <w:r>
            <w:fldChar w:fldCharType="separate"/>
          </w:r>
          <w:r>
            <w:rPr>
              <w:rStyle w:val="47"/>
              <w:rFonts w:ascii="Times New Roman" w:hAnsi="Times New Roman"/>
            </w:rPr>
            <w:t>6.1</w:t>
          </w:r>
          <w:r>
            <w:rPr>
              <w:rStyle w:val="47"/>
              <w:rFonts w:hint="eastAsia"/>
            </w:rPr>
            <w:t xml:space="preserve"> 总则</w:t>
          </w:r>
          <w:r>
            <w:tab/>
          </w:r>
          <w:r>
            <w:fldChar w:fldCharType="begin"/>
          </w:r>
          <w:r>
            <w:instrText xml:space="preserve"> PAGEREF _Toc77584660 \h </w:instrText>
          </w:r>
          <w:r>
            <w:fldChar w:fldCharType="separate"/>
          </w:r>
          <w:r>
            <w:t>113</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"_Toc77584661" </w:instrText>
          </w:r>
          <w:r>
            <w:fldChar w:fldCharType="separate"/>
          </w:r>
          <w:r>
            <w:rPr>
              <w:rStyle w:val="47"/>
              <w:rFonts w:ascii="Times New Roman" w:hAnsi="Times New Roman"/>
            </w:rPr>
            <w:t>6.2</w:t>
          </w:r>
          <w:r>
            <w:rPr>
              <w:rStyle w:val="47"/>
              <w:rFonts w:hint="eastAsia"/>
            </w:rPr>
            <w:t xml:space="preserve"> 评标方法</w:t>
          </w:r>
          <w:r>
            <w:tab/>
          </w:r>
          <w:r>
            <w:fldChar w:fldCharType="begin"/>
          </w:r>
          <w:r>
            <w:instrText xml:space="preserve"> PAGEREF _Toc77584661 \h </w:instrText>
          </w:r>
          <w:r>
            <w:fldChar w:fldCharType="separate"/>
          </w:r>
          <w:r>
            <w:t>114</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"_Toc77584662" </w:instrText>
          </w:r>
          <w:r>
            <w:fldChar w:fldCharType="separate"/>
          </w:r>
          <w:r>
            <w:rPr>
              <w:rStyle w:val="47"/>
              <w:rFonts w:ascii="Times New Roman" w:hAnsi="Times New Roman"/>
            </w:rPr>
            <w:t>6.3</w:t>
          </w:r>
          <w:r>
            <w:rPr>
              <w:rStyle w:val="47"/>
              <w:rFonts w:hint="eastAsia"/>
            </w:rPr>
            <w:t xml:space="preserve"> 评标程序</w:t>
          </w:r>
          <w:r>
            <w:tab/>
          </w:r>
          <w:r>
            <w:fldChar w:fldCharType="begin"/>
          </w:r>
          <w:r>
            <w:instrText xml:space="preserve"> PAGEREF _Toc77584662 \h </w:instrText>
          </w:r>
          <w:r>
            <w:fldChar w:fldCharType="separate"/>
          </w:r>
          <w:r>
            <w:t>114</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"_Toc77584663" </w:instrText>
          </w:r>
          <w:r>
            <w:fldChar w:fldCharType="separate"/>
          </w:r>
          <w:r>
            <w:rPr>
              <w:rStyle w:val="47"/>
              <w:rFonts w:ascii="Times New Roman" w:hAnsi="Times New Roman"/>
            </w:rPr>
            <w:t>6.4</w:t>
          </w:r>
          <w:r>
            <w:rPr>
              <w:rStyle w:val="47"/>
              <w:rFonts w:hint="eastAsia"/>
            </w:rPr>
            <w:t xml:space="preserve"> 评标争议处理规则</w:t>
          </w:r>
          <w:r>
            <w:tab/>
          </w:r>
          <w:r>
            <w:fldChar w:fldCharType="begin"/>
          </w:r>
          <w:r>
            <w:instrText xml:space="preserve"> PAGEREF _Toc77584663 \h </w:instrText>
          </w:r>
          <w:r>
            <w:fldChar w:fldCharType="separate"/>
          </w:r>
          <w:r>
            <w:t>121</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"_Toc77584664" </w:instrText>
          </w:r>
          <w:r>
            <w:fldChar w:fldCharType="separate"/>
          </w:r>
          <w:r>
            <w:rPr>
              <w:rStyle w:val="47"/>
              <w:rFonts w:ascii="Times New Roman" w:hAnsi="Times New Roman"/>
            </w:rPr>
            <w:t>6.5</w:t>
          </w:r>
          <w:r>
            <w:rPr>
              <w:rStyle w:val="47"/>
              <w:rFonts w:hint="eastAsia"/>
            </w:rPr>
            <w:t xml:space="preserve"> 评标细则及标准</w:t>
          </w:r>
          <w:r>
            <w:tab/>
          </w:r>
          <w:r>
            <w:fldChar w:fldCharType="begin"/>
          </w:r>
          <w:r>
            <w:instrText xml:space="preserve"> PAGEREF _Toc77584664 \h </w:instrText>
          </w:r>
          <w:r>
            <w:fldChar w:fldCharType="separate"/>
          </w:r>
          <w:r>
            <w:t>121</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"_Toc77584665" </w:instrText>
          </w:r>
          <w:r>
            <w:fldChar w:fldCharType="separate"/>
          </w:r>
          <w:r>
            <w:rPr>
              <w:rStyle w:val="47"/>
              <w:rFonts w:ascii="Times New Roman" w:hAnsi="Times New Roman"/>
            </w:rPr>
            <w:t>6.6</w:t>
          </w:r>
          <w:r>
            <w:rPr>
              <w:rStyle w:val="47"/>
              <w:rFonts w:hint="eastAsia"/>
            </w:rPr>
            <w:t xml:space="preserve"> 废标</w:t>
          </w:r>
          <w:r>
            <w:tab/>
          </w:r>
          <w:r>
            <w:fldChar w:fldCharType="begin"/>
          </w:r>
          <w:r>
            <w:instrText xml:space="preserve"> PAGEREF _Toc77584665 \h </w:instrText>
          </w:r>
          <w:r>
            <w:fldChar w:fldCharType="separate"/>
          </w:r>
          <w:r>
            <w:t>129</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"_Toc77584666" </w:instrText>
          </w:r>
          <w:r>
            <w:fldChar w:fldCharType="separate"/>
          </w:r>
          <w:r>
            <w:rPr>
              <w:rStyle w:val="47"/>
              <w:rFonts w:ascii="Times New Roman" w:hAnsi="Times New Roman"/>
            </w:rPr>
            <w:t>6.7</w:t>
          </w:r>
          <w:r>
            <w:rPr>
              <w:rStyle w:val="47"/>
              <w:rFonts w:hint="eastAsia"/>
            </w:rPr>
            <w:t xml:space="preserve"> 定标</w:t>
          </w:r>
          <w:r>
            <w:tab/>
          </w:r>
          <w:r>
            <w:fldChar w:fldCharType="begin"/>
          </w:r>
          <w:r>
            <w:instrText xml:space="preserve"> PAGEREF _Toc77584666 \h </w:instrText>
          </w:r>
          <w:r>
            <w:fldChar w:fldCharType="separate"/>
          </w:r>
          <w:r>
            <w:t>130</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"_Toc77584667" </w:instrText>
          </w:r>
          <w:r>
            <w:fldChar w:fldCharType="separate"/>
          </w:r>
          <w:r>
            <w:rPr>
              <w:rStyle w:val="47"/>
              <w:rFonts w:ascii="Times New Roman" w:hAnsi="Times New Roman"/>
            </w:rPr>
            <w:t>6.8</w:t>
          </w:r>
          <w:r>
            <w:rPr>
              <w:rStyle w:val="47"/>
              <w:rFonts w:hint="eastAsia"/>
            </w:rPr>
            <w:t xml:space="preserve"> 评标专家在政府采购活动中承担以下义务</w:t>
          </w:r>
          <w:r>
            <w:tab/>
          </w:r>
          <w:r>
            <w:fldChar w:fldCharType="begin"/>
          </w:r>
          <w:r>
            <w:instrText xml:space="preserve"> PAGEREF _Toc77584667 \h </w:instrText>
          </w:r>
          <w:r>
            <w:fldChar w:fldCharType="separate"/>
          </w:r>
          <w:r>
            <w:t>131</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"_Toc77584668" </w:instrText>
          </w:r>
          <w:r>
            <w:fldChar w:fldCharType="separate"/>
          </w:r>
          <w:r>
            <w:rPr>
              <w:rStyle w:val="47"/>
              <w:rFonts w:ascii="Times New Roman" w:hAnsi="Times New Roman"/>
            </w:rPr>
            <w:t>6.9</w:t>
          </w:r>
          <w:r>
            <w:rPr>
              <w:rStyle w:val="47"/>
              <w:rFonts w:hint="eastAsia"/>
            </w:rPr>
            <w:t xml:space="preserve"> 评标委员会及其成员不得有下列行为：</w:t>
          </w:r>
          <w:r>
            <w:tab/>
          </w:r>
          <w:r>
            <w:fldChar w:fldCharType="begin"/>
          </w:r>
          <w:r>
            <w:instrText xml:space="preserve"> PAGEREF _Toc77584668 \h </w:instrText>
          </w:r>
          <w:r>
            <w:fldChar w:fldCharType="separate"/>
          </w:r>
          <w:r>
            <w:t>131</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"_Toc77584669" </w:instrText>
          </w:r>
          <w:r>
            <w:fldChar w:fldCharType="separate"/>
          </w:r>
          <w:r>
            <w:rPr>
              <w:rStyle w:val="47"/>
              <w:rFonts w:ascii="Times New Roman" w:hAnsi="Times New Roman"/>
            </w:rPr>
            <w:t>6.10</w:t>
          </w:r>
          <w:r>
            <w:rPr>
              <w:rStyle w:val="47"/>
              <w:rFonts w:hint="eastAsia"/>
            </w:rPr>
            <w:t xml:space="preserve"> 评审专家在政府采购活动中应当遵守以下工作纪律</w:t>
          </w:r>
          <w:r>
            <w:tab/>
          </w:r>
          <w:r>
            <w:fldChar w:fldCharType="begin"/>
          </w:r>
          <w:r>
            <w:instrText xml:space="preserve"> PAGEREF _Toc77584669 \h </w:instrText>
          </w:r>
          <w:r>
            <w:fldChar w:fldCharType="separate"/>
          </w:r>
          <w:r>
            <w:t>132</w:t>
          </w:r>
          <w:r>
            <w:fldChar w:fldCharType="end"/>
          </w:r>
          <w:r>
            <w:fldChar w:fldCharType="end"/>
          </w:r>
        </w:p>
        <w:p>
          <w:pPr>
            <w:pStyle w:val="29"/>
            <w:rPr>
              <w:rFonts w:asciiTheme="minorHAnsi" w:hAnsiTheme="minorHAnsi" w:eastAsiaTheme="minorEastAsia" w:cstheme="minorBidi"/>
              <w:bCs w:val="0"/>
              <w:caps w:val="0"/>
              <w:sz w:val="21"/>
              <w:szCs w:val="22"/>
            </w:rPr>
          </w:pPr>
          <w:r>
            <w:fldChar w:fldCharType="begin"/>
          </w:r>
          <w:r>
            <w:instrText xml:space="preserve"> HYPERLINK \l "_Toc77584670" </w:instrText>
          </w:r>
          <w:r>
            <w:fldChar w:fldCharType="separate"/>
          </w:r>
          <w:r>
            <w:rPr>
              <w:rStyle w:val="47"/>
              <w:rFonts w:hint="eastAsia" w:ascii="Times New Roman" w:hAnsi="Times New Roman"/>
            </w:rPr>
            <w:t>第7章</w:t>
          </w:r>
          <w:r>
            <w:rPr>
              <w:rFonts w:asciiTheme="minorHAnsi" w:hAnsiTheme="minorHAnsi" w:eastAsiaTheme="minorEastAsia" w:cstheme="minorBidi"/>
              <w:bCs w:val="0"/>
              <w:caps w:val="0"/>
              <w:sz w:val="21"/>
              <w:szCs w:val="22"/>
            </w:rPr>
            <w:tab/>
          </w:r>
          <w:r>
            <w:rPr>
              <w:rStyle w:val="47"/>
              <w:rFonts w:hint="eastAsia"/>
            </w:rPr>
            <w:t>拟签订合同文本</w:t>
          </w:r>
          <w:r>
            <w:tab/>
          </w:r>
          <w:r>
            <w:fldChar w:fldCharType="begin"/>
          </w:r>
          <w:r>
            <w:instrText xml:space="preserve"> PAGEREF _Toc77584670 \h </w:instrText>
          </w:r>
          <w:r>
            <w:fldChar w:fldCharType="separate"/>
          </w:r>
          <w:r>
            <w:t>134</w:t>
          </w:r>
          <w:r>
            <w:fldChar w:fldCharType="end"/>
          </w:r>
          <w:r>
            <w:fldChar w:fldCharType="end"/>
          </w:r>
        </w:p>
        <w:p>
          <w:pPr>
            <w:pStyle w:val="35"/>
            <w:tabs>
              <w:tab w:val="right" w:leader="dot" w:pos="8647"/>
              <w:tab w:val="clear" w:pos="8364"/>
            </w:tabs>
            <w:ind w:left="0"/>
            <w:rPr>
              <w:color w:val="000000" w:themeColor="text1"/>
              <w14:textFill>
                <w14:solidFill>
                  <w14:schemeClr w14:val="tx1"/>
                </w14:solidFill>
              </w14:textFill>
            </w:rPr>
          </w:pPr>
          <w:r>
            <w:rPr>
              <w:rFonts w:hint="eastAsia"/>
              <w:color w:val="000000" w:themeColor="text1"/>
              <w14:textFill>
                <w14:solidFill>
                  <w14:schemeClr w14:val="tx1"/>
                </w14:solidFill>
              </w14:textFill>
            </w:rPr>
            <w:fldChar w:fldCharType="end"/>
          </w:r>
        </w:p>
      </w:sdtContent>
    </w:sdt>
    <w:p>
      <w:pPr>
        <w:rPr>
          <w:color w:val="000000" w:themeColor="text1"/>
          <w14:textFill>
            <w14:solidFill>
              <w14:schemeClr w14:val="tx1"/>
            </w14:solidFill>
          </w14:textFill>
        </w:rPr>
      </w:pPr>
    </w:p>
    <w:p>
      <w:pPr>
        <w:pStyle w:val="17"/>
        <w:rPr>
          <w:color w:val="000000" w:themeColor="text1"/>
          <w14:textFill>
            <w14:solidFill>
              <w14:schemeClr w14:val="tx1"/>
            </w14:solidFill>
          </w14:textFill>
        </w:rPr>
      </w:pPr>
    </w:p>
    <w:p>
      <w:pPr>
        <w:pStyle w:val="2"/>
        <w:numPr>
          <w:ilvl w:val="0"/>
          <w:numId w:val="3"/>
        </w:numPr>
        <w:spacing w:before="0" w:after="0" w:line="560" w:lineRule="exact"/>
        <w:ind w:left="0" w:firstLine="0"/>
        <w:rPr>
          <w:color w:val="000000" w:themeColor="text1"/>
          <w14:textFill>
            <w14:solidFill>
              <w14:schemeClr w14:val="tx1"/>
            </w14:solidFill>
          </w14:textFill>
        </w:rPr>
      </w:pPr>
      <w:bookmarkStart w:id="4" w:name="_Toc25954"/>
      <w:bookmarkStart w:id="5" w:name="_Toc20241"/>
      <w:bookmarkStart w:id="6" w:name="_Toc22017"/>
      <w:bookmarkStart w:id="7" w:name="_Toc26321"/>
      <w:bookmarkStart w:id="8" w:name="_Toc181610856"/>
      <w:bookmarkStart w:id="9" w:name="_Toc181591102"/>
      <w:bookmarkStart w:id="10" w:name="_Toc77584638"/>
      <w:bookmarkStart w:id="11" w:name="_Toc204575871"/>
      <w:r>
        <w:rPr>
          <w:rFonts w:hint="eastAsia"/>
          <w:color w:val="000000" w:themeColor="text1"/>
          <w14:textFill>
            <w14:solidFill>
              <w14:schemeClr w14:val="tx1"/>
            </w14:solidFill>
          </w14:textFill>
        </w:rPr>
        <w:t>投标邀请</w:t>
      </w:r>
      <w:bookmarkEnd w:id="4"/>
      <w:bookmarkEnd w:id="5"/>
      <w:bookmarkEnd w:id="6"/>
      <w:bookmarkEnd w:id="7"/>
      <w:bookmarkEnd w:id="8"/>
      <w:bookmarkEnd w:id="9"/>
      <w:bookmarkEnd w:id="10"/>
      <w:bookmarkEnd w:id="11"/>
    </w:p>
    <w:p>
      <w:pPr>
        <w:tabs>
          <w:tab w:val="left" w:pos="2552"/>
        </w:tabs>
        <w:spacing w:line="560" w:lineRule="exact"/>
        <w:ind w:left="1" w:firstLine="562" w:firstLineChars="201"/>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成都市青羊区政府采购服务中心(以下简称“区采购中心”)</w:t>
      </w:r>
      <w:r>
        <w:rPr>
          <w:rFonts w:hint="eastAsia" w:asciiTheme="minorEastAsia" w:hAnsiTheme="minorEastAsia" w:eastAsiaTheme="minorEastAsia"/>
          <w:color w:val="000000" w:themeColor="text1"/>
          <w:sz w:val="28"/>
          <w:szCs w:val="28"/>
          <w14:textFill>
            <w14:solidFill>
              <w14:schemeClr w14:val="tx1"/>
            </w14:solidFill>
          </w14:textFill>
        </w:rPr>
        <w:t>受</w:t>
      </w:r>
      <w:r>
        <w:rPr>
          <w:rFonts w:hint="eastAsia" w:asciiTheme="minorEastAsia" w:hAnsiTheme="minorEastAsia" w:eastAsiaTheme="minorEastAsia"/>
          <w:b/>
          <w:bCs/>
          <w:color w:val="000000" w:themeColor="text1"/>
          <w:sz w:val="28"/>
          <w:szCs w:val="28"/>
          <w14:textFill>
            <w14:solidFill>
              <w14:schemeClr w14:val="tx1"/>
            </w14:solidFill>
          </w14:textFill>
        </w:rPr>
        <w:t>成都市青羊区教育技术装备与信息管理中心</w:t>
      </w:r>
      <w:r>
        <w:rPr>
          <w:rFonts w:hint="eastAsia" w:asciiTheme="minorEastAsia" w:hAnsiTheme="minorEastAsia" w:eastAsiaTheme="minorEastAsia"/>
          <w:color w:val="000000" w:themeColor="text1"/>
          <w:sz w:val="28"/>
          <w:szCs w:val="28"/>
          <w14:textFill>
            <w14:solidFill>
              <w14:schemeClr w14:val="tx1"/>
            </w14:solidFill>
          </w14:textFill>
        </w:rPr>
        <w:t>委托</w:t>
      </w:r>
      <w:r>
        <w:rPr>
          <w:rFonts w:hint="eastAsia" w:ascii="宋体" w:hAnsi="宋体"/>
          <w:color w:val="000000" w:themeColor="text1"/>
          <w:sz w:val="28"/>
          <w:szCs w:val="28"/>
          <w14:textFill>
            <w14:solidFill>
              <w14:schemeClr w14:val="tx1"/>
            </w14:solidFill>
          </w14:textFill>
        </w:rPr>
        <w:t>拟对</w:t>
      </w:r>
      <w:r>
        <w:rPr>
          <w:rFonts w:hint="eastAsia" w:ascii="宋体" w:hAnsi="宋体"/>
          <w:b/>
          <w:bCs/>
          <w:color w:val="000000" w:themeColor="text1"/>
          <w:sz w:val="28"/>
          <w:szCs w:val="28"/>
          <w14:textFill>
            <w14:solidFill>
              <w14:schemeClr w14:val="tx1"/>
            </w14:solidFill>
          </w14:textFill>
        </w:rPr>
        <w:t>成都市青羊区教育技术装备与信息管理中心部分学校（单位）2022-2024年物业管理服务政府集中采购项目</w:t>
      </w:r>
      <w:r>
        <w:rPr>
          <w:rFonts w:hint="eastAsia" w:ascii="宋体" w:hAnsi="宋体"/>
          <w:color w:val="000000" w:themeColor="text1"/>
          <w:sz w:val="28"/>
          <w:szCs w:val="28"/>
          <w14:textFill>
            <w14:solidFill>
              <w14:schemeClr w14:val="tx1"/>
            </w14:solidFill>
          </w14:textFill>
        </w:rPr>
        <w:t>进行国内公开招标，兹邀请符合本次招标要求的供应商参加投标。</w:t>
      </w:r>
    </w:p>
    <w:p>
      <w:pPr>
        <w:numPr>
          <w:ilvl w:val="0"/>
          <w:numId w:val="4"/>
        </w:numPr>
        <w:spacing w:after="200" w:line="560" w:lineRule="exact"/>
        <w:ind w:left="993"/>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项目编号：青羊政采（2021）A0033号</w:t>
      </w:r>
    </w:p>
    <w:p>
      <w:pPr>
        <w:pStyle w:val="17"/>
        <w:ind w:firstLine="413" w:firstLineChars="14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（采购项目编号：510105202100187）</w:t>
      </w:r>
    </w:p>
    <w:p>
      <w:pPr>
        <w:numPr>
          <w:ilvl w:val="0"/>
          <w:numId w:val="4"/>
        </w:numPr>
        <w:spacing w:after="200" w:line="560" w:lineRule="exact"/>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项目名称：成都市青羊区教育技术装备与信息管理中心部分学校（单位）2022-2024年物业管理服务政府集中采购项目</w:t>
      </w:r>
    </w:p>
    <w:p>
      <w:pPr>
        <w:numPr>
          <w:ilvl w:val="0"/>
          <w:numId w:val="4"/>
        </w:numPr>
        <w:spacing w:after="200" w:line="560" w:lineRule="exact"/>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资金来源、预算金额及最高限价：</w:t>
      </w:r>
      <w:r>
        <w:rPr>
          <w:rFonts w:hint="eastAsia" w:ascii="宋体" w:hAnsi="宋体"/>
          <w:color w:val="000000" w:themeColor="text1"/>
          <w:sz w:val="28"/>
          <w:szCs w:val="28"/>
          <w14:textFill>
            <w14:solidFill>
              <w14:schemeClr w14:val="tx1"/>
            </w14:solidFill>
          </w14:textFill>
        </w:rPr>
        <w:t>财政性资金，政府采购实施计划备案表号：SCZC510105801068_20210012。预算品目：C1204物业管理服务；预算金额： 11260480.00元/年；最高限价：11260480.00元/年；采购标的：物业管理服务；所属行业：物业管理。</w:t>
      </w:r>
    </w:p>
    <w:p>
      <w:pPr>
        <w:numPr>
          <w:ilvl w:val="0"/>
          <w:numId w:val="4"/>
        </w:numPr>
        <w:spacing w:after="200" w:line="560" w:lineRule="exact"/>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招标项目简介</w:t>
      </w:r>
    </w:p>
    <w:p>
      <w:pPr>
        <w:spacing w:line="360" w:lineRule="auto"/>
        <w:ind w:firstLine="560" w:firstLineChars="200"/>
        <w:rPr>
          <w:rFonts w:ascii="宋体" w:hAnsi="宋体"/>
          <w:sz w:val="28"/>
        </w:rPr>
      </w:pPr>
      <w:r>
        <w:rPr>
          <w:rFonts w:hint="eastAsia" w:ascii="宋体" w:hAnsi="宋体"/>
          <w:color w:val="000000" w:themeColor="text1"/>
          <w:sz w:val="28"/>
          <w:szCs w:val="28"/>
          <w14:textFill>
            <w14:solidFill>
              <w14:schemeClr w14:val="tx1"/>
            </w14:solidFill>
          </w14:textFill>
        </w:rPr>
        <w:t>成都市青羊区教育局所属的成都市第五幼儿园、成都市实验小学附属幼儿园、成都市实验小学明道分校、成都市同辉(国际)小学、成都市石室联中蜀华分校、成都市石室联中西区分校、成都市青羊区教育科学研究院、成都市第11中学、成都市树德协进中学、成都市泡桐树中学、成都市第37中学、成都市成飞中学共12所学校(单位)的物业管理服务即将到期，为保证学校教育教学工作的有序进行，现对以上学校(单位)的物业管理服务项目进行政府采购。</w:t>
      </w:r>
    </w:p>
    <w:p>
      <w:pPr>
        <w:pStyle w:val="17"/>
        <w:ind w:firstLine="560" w:firstLineChars="200"/>
        <w:rPr>
          <w:b/>
          <w:color w:val="000000" w:themeColor="text1"/>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详细的技术、服务、商务及其他要求见招标文件第4章。</w:t>
      </w:r>
    </w:p>
    <w:p>
      <w:pPr>
        <w:numPr>
          <w:ilvl w:val="0"/>
          <w:numId w:val="4"/>
        </w:numPr>
        <w:spacing w:after="200" w:line="560" w:lineRule="exact"/>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供应商参加本次政府采购活动应具备的条件</w:t>
      </w:r>
    </w:p>
    <w:p>
      <w:pPr>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（一）符合《政府采购法》第二十二条第一款规定的条件；</w:t>
      </w:r>
    </w:p>
    <w:p>
      <w:pPr>
        <w:tabs>
          <w:tab w:val="left" w:pos="1134"/>
        </w:tabs>
        <w:spacing w:line="560" w:lineRule="exact"/>
        <w:ind w:left="7"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（二）在中华人民共和国境内依法登记注册，并有效存续具有独立法人资格的供应商；</w:t>
      </w:r>
    </w:p>
    <w:p>
      <w:pPr>
        <w:tabs>
          <w:tab w:val="left" w:pos="1134"/>
        </w:tabs>
        <w:spacing w:line="560" w:lineRule="exact"/>
        <w:ind w:left="7"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（三）未被列入失信被执行人、重大税收违法案件当事人名单、政府采购严重违法失信行为记录名单； </w:t>
      </w:r>
    </w:p>
    <w:p>
      <w:pPr>
        <w:tabs>
          <w:tab w:val="left" w:pos="1134"/>
        </w:tabs>
        <w:spacing w:line="560" w:lineRule="exact"/>
        <w:ind w:left="7"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（四）在行贿犯罪信息查询期限内，投标人及其现任法定代表人、主要负责人没有行贿犯罪记录；</w:t>
      </w:r>
    </w:p>
    <w:p>
      <w:pPr>
        <w:pStyle w:val="17"/>
        <w:ind w:firstLine="560" w:firstLineChars="200"/>
        <w:rPr>
          <w:color w:val="000000" w:themeColor="text1"/>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（五）未处于被行政部门禁止参与政府采购活动的期限内；</w:t>
      </w:r>
    </w:p>
    <w:p>
      <w:pPr>
        <w:tabs>
          <w:tab w:val="left" w:pos="1134"/>
        </w:tabs>
        <w:spacing w:line="560" w:lineRule="exact"/>
        <w:ind w:left="7"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（六）不属于其他国家相关法律法规规定的禁止参加投标的供应商；</w:t>
      </w:r>
    </w:p>
    <w:p>
      <w:pPr>
        <w:pStyle w:val="152"/>
        <w:tabs>
          <w:tab w:val="left" w:pos="0"/>
          <w:tab w:val="left" w:pos="993"/>
          <w:tab w:val="left" w:pos="1418"/>
          <w:tab w:val="left" w:pos="1560"/>
        </w:tabs>
        <w:spacing w:line="560" w:lineRule="exact"/>
        <w:ind w:left="7" w:firstLine="560"/>
        <w:rPr>
          <w:rFonts w:ascii="宋体" w:hAnsi="宋体"/>
          <w:b/>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（七）本项目</w:t>
      </w:r>
      <w:r>
        <w:rPr>
          <w:rFonts w:hint="eastAsia" w:ascii="宋体" w:hAnsi="宋体"/>
          <w:b/>
          <w:bCs/>
          <w:color w:val="000000" w:themeColor="text1"/>
          <w:sz w:val="28"/>
          <w:szCs w:val="28"/>
          <w14:textFill>
            <w14:solidFill>
              <w14:schemeClr w14:val="tx1"/>
            </w14:solidFill>
          </w14:textFill>
        </w:rPr>
        <w:t>不接受</w:t>
      </w:r>
      <w:r>
        <w:rPr>
          <w:rFonts w:hint="eastAsia" w:ascii="宋体" w:hAnsi="宋体"/>
          <w:color w:val="000000" w:themeColor="text1"/>
          <w:sz w:val="28"/>
          <w:szCs w:val="28"/>
          <w14:textFill>
            <w14:solidFill>
              <w14:schemeClr w14:val="tx1"/>
            </w14:solidFill>
          </w14:textFill>
        </w:rPr>
        <w:t>联合体投标。</w:t>
      </w:r>
    </w:p>
    <w:p>
      <w:pPr>
        <w:numPr>
          <w:ilvl w:val="0"/>
          <w:numId w:val="4"/>
        </w:numPr>
        <w:spacing w:after="200" w:line="560" w:lineRule="exact"/>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招标文件获取时间</w:t>
      </w:r>
    </w:p>
    <w:p>
      <w:pPr>
        <w:numPr>
          <w:ilvl w:val="0"/>
          <w:numId w:val="5"/>
        </w:numPr>
        <w:spacing w:line="360" w:lineRule="auto"/>
        <w:ind w:left="0" w:firstLine="567"/>
        <w:rPr>
          <w:rFonts w:ascii="宋体" w:hAnsi="宋体"/>
          <w:b/>
          <w:sz w:val="28"/>
        </w:rPr>
      </w:pPr>
      <w:r>
        <w:rPr>
          <w:rFonts w:hint="eastAsia" w:ascii="宋体" w:hAnsi="宋体"/>
          <w:b/>
          <w:sz w:val="28"/>
          <w:szCs w:val="28"/>
        </w:rPr>
        <w:t>招标文件获取时间：2021年12月16日至2022年1月5日。</w:t>
      </w:r>
    </w:p>
    <w:p>
      <w:pPr>
        <w:numPr>
          <w:ilvl w:val="0"/>
          <w:numId w:val="5"/>
        </w:numPr>
        <w:spacing w:line="360" w:lineRule="auto"/>
        <w:ind w:left="0" w:firstLine="567"/>
        <w:rPr>
          <w:rFonts w:ascii="宋体" w:hAnsi="宋体"/>
          <w:b/>
          <w:sz w:val="28"/>
        </w:rPr>
      </w:pPr>
      <w:r>
        <w:rPr>
          <w:rFonts w:hint="eastAsia" w:ascii="宋体" w:hAnsi="宋体"/>
          <w:b/>
          <w:sz w:val="28"/>
          <w:szCs w:val="28"/>
        </w:rPr>
        <w:t>公告期限：2021年12月16日至12月23日。</w:t>
      </w:r>
    </w:p>
    <w:p>
      <w:pPr>
        <w:numPr>
          <w:ilvl w:val="0"/>
          <w:numId w:val="4"/>
        </w:numPr>
        <w:spacing w:after="200" w:line="560" w:lineRule="exact"/>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招标文件获取方式</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要参加投标，应在成都市公共资源交易服务中心“政府采购云平台”获取采购文件。登录成都市公共资源交易服务中心门户网站（https://www.cdggzy.com/）—用户中心—政府采购云平台—项目采购—获取采购文件—申请获取采购文件。</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提示：</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（1）本项目采购文件免费获取。</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成都市公共资源交易服务中心门户网站上采购公告附件内的采购文件仅供下载阅览使用，投标人只有在“政府采购云平台”完成获取采购文件申请并下载采购文件后才视作依法参与本项目。如未在“政府采购云平台”内完成相关流程，引起的投标无效责任自负。</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（3）首次登录成都市公共资源交易服务中心门户网站的新用户应先点击“注册新用户”，注册成功后再登录。</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（4）本项目为电子招标投标项目，投标人参与本项目全过程中凡涉及系统操作请详见《成都市全流程电子化采购系统操作指南——供应商版》。</w:t>
      </w:r>
      <w:bookmarkStart w:id="12" w:name="_Toc174185149"/>
      <w:bookmarkStart w:id="13" w:name="_Toc184013605"/>
      <w:bookmarkStart w:id="14" w:name="_Toc186274101"/>
      <w:bookmarkStart w:id="15" w:name="_Toc184023104"/>
      <w:bookmarkStart w:id="16" w:name="_Toc180051012"/>
      <w:r>
        <w:rPr>
          <w:rFonts w:hint="eastAsia" w:ascii="宋体" w:hAnsi="宋体"/>
          <w:sz w:val="28"/>
          <w:szCs w:val="28"/>
        </w:rPr>
        <w:t>（操作指南请登录政府采购云平台后，点击“前台大厅</w:t>
      </w:r>
      <w:r>
        <w:rPr>
          <w:rFonts w:ascii="宋体" w:hAnsi="宋体"/>
          <w:sz w:val="28"/>
          <w:szCs w:val="28"/>
        </w:rPr>
        <w:t>—</w:t>
      </w:r>
      <w:r>
        <w:rPr>
          <w:rFonts w:hint="eastAsia" w:ascii="宋体" w:hAnsi="宋体"/>
          <w:sz w:val="28"/>
          <w:szCs w:val="28"/>
        </w:rPr>
        <w:t>操作指南</w:t>
      </w:r>
      <w:r>
        <w:rPr>
          <w:rFonts w:ascii="宋体" w:hAnsi="宋体"/>
          <w:sz w:val="28"/>
          <w:szCs w:val="28"/>
        </w:rPr>
        <w:t>—</w:t>
      </w:r>
      <w:r>
        <w:rPr>
          <w:rFonts w:hint="eastAsia" w:ascii="宋体" w:hAnsi="宋体"/>
          <w:sz w:val="28"/>
          <w:szCs w:val="28"/>
        </w:rPr>
        <w:t>供应商”处下载查看）。</w:t>
      </w:r>
    </w:p>
    <w:p>
      <w:pPr>
        <w:numPr>
          <w:ilvl w:val="0"/>
          <w:numId w:val="4"/>
        </w:numPr>
        <w:spacing w:after="200" w:line="560" w:lineRule="exact"/>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招标文件获取地点</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登录成都市公共资源交易服务中心门户网站（https://www.cdggzy.com/）—用户中心—政府采购云平台获取</w:t>
      </w:r>
      <w:r>
        <w:rPr>
          <w:rFonts w:hint="eastAsia" w:ascii="宋体" w:hAnsi="宋体"/>
          <w:color w:val="000000" w:themeColor="text1"/>
          <w:sz w:val="28"/>
          <w14:textFill>
            <w14:solidFill>
              <w14:schemeClr w14:val="tx1"/>
            </w14:solidFill>
          </w14:textFill>
        </w:rPr>
        <w:t>。</w:t>
      </w:r>
    </w:p>
    <w:p>
      <w:pPr>
        <w:numPr>
          <w:ilvl w:val="0"/>
          <w:numId w:val="4"/>
        </w:numPr>
        <w:spacing w:after="200" w:line="560" w:lineRule="exact"/>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投标文件递交截止时间及开标时间</w:t>
      </w:r>
      <w:bookmarkEnd w:id="12"/>
      <w:bookmarkEnd w:id="13"/>
      <w:bookmarkEnd w:id="14"/>
      <w:bookmarkEnd w:id="15"/>
      <w:bookmarkEnd w:id="16"/>
      <w:r>
        <w:rPr>
          <w:rFonts w:hint="eastAsia" w:ascii="宋体" w:hAnsi="宋体"/>
          <w:b/>
          <w:color w:val="000000" w:themeColor="text1"/>
          <w:sz w:val="28"/>
          <w:szCs w:val="28"/>
          <w14:textFill>
            <w14:solidFill>
              <w14:schemeClr w14:val="tx1"/>
            </w14:solidFill>
          </w14:textFill>
        </w:rPr>
        <w:t>(北京时间)、地点、方式</w:t>
      </w:r>
    </w:p>
    <w:p>
      <w:pPr>
        <w:spacing w:line="560" w:lineRule="exact"/>
        <w:ind w:firstLine="560" w:firstLineChars="200"/>
        <w:rPr>
          <w:rFonts w:ascii="宋体" w:hAnsi="宋体"/>
          <w:b/>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（一）投标文件递交截止时间及开标时间：</w:t>
      </w:r>
      <w:r>
        <w:rPr>
          <w:rFonts w:hint="eastAsia" w:ascii="宋体" w:hAnsi="宋体"/>
          <w:b/>
          <w:color w:val="000000" w:themeColor="text1"/>
          <w:sz w:val="28"/>
          <w:szCs w:val="28"/>
          <w14:textFill>
            <w14:solidFill>
              <w14:schemeClr w14:val="tx1"/>
            </w14:solidFill>
          </w14:textFill>
        </w:rPr>
        <w:t>2022年1月6日上午09:30。</w:t>
      </w:r>
    </w:p>
    <w:p>
      <w:pPr>
        <w:spacing w:line="560" w:lineRule="exact"/>
        <w:ind w:firstLine="560" w:firstLineChars="200"/>
        <w:rPr>
          <w:rFonts w:ascii="宋体" w:hAnsi="宋体"/>
          <w:b/>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（二）投标文件递交方式、地点：投标截止时间前，投标人应将加密的电子投标文件递交至“政府采购云平台”对应项目（包件）。</w:t>
      </w:r>
    </w:p>
    <w:p>
      <w:pPr>
        <w:numPr>
          <w:ilvl w:val="0"/>
          <w:numId w:val="4"/>
        </w:numPr>
        <w:spacing w:after="200" w:line="560" w:lineRule="exact"/>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开标地点</w:t>
      </w:r>
    </w:p>
    <w:p>
      <w:pPr>
        <w:spacing w:line="360" w:lineRule="auto"/>
        <w:ind w:firstLine="420" w:firstLineChars="15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本项目为不见面开标项目。</w:t>
      </w:r>
    </w:p>
    <w:p>
      <w:pPr>
        <w:spacing w:line="360" w:lineRule="auto"/>
        <w:ind w:firstLine="420" w:firstLineChars="15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开标地点为：成都市公共资源交易服务中心“政府采购云平台”。登录成都市公共资源交易服务中心门户网站（https://www.cdggzy.com）—用户中心—政府采购云平台。</w:t>
      </w:r>
    </w:p>
    <w:p>
      <w:pPr>
        <w:spacing w:line="360" w:lineRule="auto"/>
        <w:ind w:firstLine="420" w:firstLineChars="15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本项目只接受投标人加密并递交至“政府采购云平台”的投标文件。</w:t>
      </w:r>
    </w:p>
    <w:p>
      <w:pPr>
        <w:numPr>
          <w:ilvl w:val="0"/>
          <w:numId w:val="4"/>
        </w:numPr>
        <w:spacing w:after="200" w:line="560" w:lineRule="exact"/>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政采中小企业政府采购信用融资</w:t>
      </w:r>
    </w:p>
    <w:p>
      <w:pPr>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p>
    <w:p>
      <w:pPr>
        <w:numPr>
          <w:ilvl w:val="0"/>
          <w:numId w:val="4"/>
        </w:numPr>
        <w:spacing w:after="200" w:line="560" w:lineRule="exact"/>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本投标邀请在“四川政府采购网”和“成都市公共资源交易服务中心”网站上以公告形式发布</w:t>
      </w:r>
    </w:p>
    <w:p>
      <w:pPr>
        <w:numPr>
          <w:ilvl w:val="0"/>
          <w:numId w:val="4"/>
        </w:numPr>
        <w:spacing w:after="200" w:line="560" w:lineRule="exact"/>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联系方式</w:t>
      </w:r>
    </w:p>
    <w:p>
      <w:pPr>
        <w:pStyle w:val="152"/>
        <w:spacing w:line="580" w:lineRule="exact"/>
        <w:ind w:firstLine="562"/>
        <w:rPr>
          <w:rFonts w:ascii="宋体" w:hAnsi="宋体"/>
          <w:b/>
          <w:color w:val="000000" w:themeColor="text1"/>
          <w:kern w:val="0"/>
          <w:sz w:val="28"/>
          <w:szCs w:val="22"/>
          <w14:textFill>
            <w14:solidFill>
              <w14:schemeClr w14:val="tx1"/>
            </w14:solidFill>
          </w14:textFill>
        </w:rPr>
      </w:pPr>
      <w:r>
        <w:rPr>
          <w:rFonts w:hint="eastAsia" w:ascii="宋体" w:hAnsi="宋体"/>
          <w:b/>
          <w:color w:val="000000" w:themeColor="text1"/>
          <w:kern w:val="0"/>
          <w:sz w:val="28"/>
          <w:szCs w:val="22"/>
          <w14:textFill>
            <w14:solidFill>
              <w14:schemeClr w14:val="tx1"/>
            </w14:solidFill>
          </w14:textFill>
        </w:rPr>
        <w:t>采购人：</w:t>
      </w:r>
      <w:r>
        <w:rPr>
          <w:rFonts w:hint="eastAsia" w:ascii="宋体" w:hAnsi="宋体"/>
          <w:bCs/>
          <w:color w:val="000000" w:themeColor="text1"/>
          <w:sz w:val="28"/>
          <w:szCs w:val="28"/>
          <w14:textFill>
            <w14:solidFill>
              <w14:schemeClr w14:val="tx1"/>
            </w14:solidFill>
          </w14:textFill>
        </w:rPr>
        <w:t>成都市青羊区教育技术装备与信息管理中心</w:t>
      </w:r>
      <w:r>
        <w:rPr>
          <w:rFonts w:hint="eastAsia" w:ascii="宋体" w:hAnsi="宋体"/>
          <w:b/>
          <w:color w:val="000000" w:themeColor="text1"/>
          <w:sz w:val="28"/>
          <w:szCs w:val="28"/>
          <w14:textFill>
            <w14:solidFill>
              <w14:schemeClr w14:val="tx1"/>
            </w14:solidFill>
          </w14:textFill>
        </w:rPr>
        <w:t xml:space="preserve"> </w:t>
      </w:r>
    </w:p>
    <w:p>
      <w:pPr>
        <w:pStyle w:val="152"/>
        <w:spacing w:line="480" w:lineRule="exact"/>
        <w:ind w:firstLine="560"/>
        <w:rPr>
          <w:rFonts w:ascii="宋体" w:hAnsi="宋体"/>
          <w:color w:val="000000" w:themeColor="text1"/>
          <w:kern w:val="0"/>
          <w:sz w:val="28"/>
          <w:szCs w:val="22"/>
          <w14:textFill>
            <w14:solidFill>
              <w14:schemeClr w14:val="tx1"/>
            </w14:solidFill>
          </w14:textFill>
        </w:rPr>
      </w:pPr>
      <w:r>
        <w:rPr>
          <w:rFonts w:hint="eastAsia" w:ascii="宋体" w:hAnsi="宋体"/>
          <w:color w:val="000000" w:themeColor="text1"/>
          <w:kern w:val="0"/>
          <w:sz w:val="28"/>
          <w:szCs w:val="22"/>
          <w14:textFill>
            <w14:solidFill>
              <w14:schemeClr w14:val="tx1"/>
            </w14:solidFill>
          </w14:textFill>
        </w:rPr>
        <w:t>地  址：成都市青羊区苏坡桥西街27号</w:t>
      </w:r>
    </w:p>
    <w:p>
      <w:pPr>
        <w:pStyle w:val="152"/>
        <w:spacing w:line="480" w:lineRule="exact"/>
        <w:ind w:firstLine="560"/>
        <w:rPr>
          <w:rFonts w:ascii="宋体" w:hAnsi="宋体"/>
          <w:color w:val="000000" w:themeColor="text1"/>
          <w:kern w:val="0"/>
          <w:sz w:val="28"/>
          <w:szCs w:val="22"/>
          <w14:textFill>
            <w14:solidFill>
              <w14:schemeClr w14:val="tx1"/>
            </w14:solidFill>
          </w14:textFill>
        </w:rPr>
      </w:pPr>
      <w:r>
        <w:rPr>
          <w:rFonts w:hint="eastAsia" w:ascii="宋体" w:hAnsi="宋体"/>
          <w:color w:val="000000" w:themeColor="text1"/>
          <w:kern w:val="0"/>
          <w:sz w:val="28"/>
          <w:szCs w:val="22"/>
          <w14:textFill>
            <w14:solidFill>
              <w14:schemeClr w14:val="tx1"/>
            </w14:solidFill>
          </w14:textFill>
        </w:rPr>
        <w:t xml:space="preserve">联系人：蒲利民 </w:t>
      </w:r>
    </w:p>
    <w:p>
      <w:pPr>
        <w:pStyle w:val="152"/>
        <w:spacing w:line="480" w:lineRule="exact"/>
        <w:ind w:firstLine="560"/>
        <w:rPr>
          <w:rFonts w:ascii="宋体" w:hAnsi="宋体"/>
          <w:color w:val="000000" w:themeColor="text1"/>
          <w:kern w:val="0"/>
          <w:sz w:val="28"/>
          <w:szCs w:val="22"/>
          <w14:textFill>
            <w14:solidFill>
              <w14:schemeClr w14:val="tx1"/>
            </w14:solidFill>
          </w14:textFill>
        </w:rPr>
      </w:pPr>
      <w:r>
        <w:rPr>
          <w:rFonts w:hint="eastAsia" w:ascii="宋体" w:hAnsi="宋体"/>
          <w:color w:val="000000" w:themeColor="text1"/>
          <w:kern w:val="0"/>
          <w:sz w:val="28"/>
          <w:szCs w:val="22"/>
          <w14:textFill>
            <w14:solidFill>
              <w14:schemeClr w14:val="tx1"/>
            </w14:solidFill>
          </w14:textFill>
        </w:rPr>
        <w:t>联系</w:t>
      </w:r>
      <w:r>
        <w:rPr>
          <w:rFonts w:hint="eastAsia" w:ascii="宋体" w:hAnsi="宋体"/>
          <w:kern w:val="0"/>
          <w:sz w:val="28"/>
          <w:szCs w:val="22"/>
        </w:rPr>
        <w:t>电话：028-86275800</w:t>
      </w:r>
    </w:p>
    <w:p>
      <w:pPr>
        <w:pStyle w:val="152"/>
        <w:spacing w:line="480" w:lineRule="exact"/>
        <w:ind w:firstLine="562"/>
        <w:rPr>
          <w:rFonts w:ascii="宋体" w:hAnsi="宋体"/>
          <w:b/>
          <w:color w:val="000000" w:themeColor="text1"/>
          <w:kern w:val="0"/>
          <w:sz w:val="28"/>
          <w:szCs w:val="22"/>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成都市青羊区政府采购服务中心</w:t>
      </w:r>
    </w:p>
    <w:p>
      <w:pPr>
        <w:pStyle w:val="152"/>
        <w:spacing w:line="560" w:lineRule="exact"/>
        <w:ind w:firstLine="560"/>
        <w:rPr>
          <w:rFonts w:ascii="宋体" w:hAnsi="宋体"/>
          <w:color w:val="000000" w:themeColor="text1"/>
          <w:kern w:val="0"/>
          <w:sz w:val="28"/>
          <w:szCs w:val="22"/>
          <w14:textFill>
            <w14:solidFill>
              <w14:schemeClr w14:val="tx1"/>
            </w14:solidFill>
          </w14:textFill>
        </w:rPr>
      </w:pPr>
      <w:r>
        <w:rPr>
          <w:rFonts w:hint="eastAsia" w:ascii="宋体" w:hAnsi="宋体"/>
          <w:color w:val="000000" w:themeColor="text1"/>
          <w:kern w:val="0"/>
          <w:sz w:val="28"/>
          <w:szCs w:val="22"/>
          <w14:textFill>
            <w14:solidFill>
              <w14:schemeClr w14:val="tx1"/>
            </w14:solidFill>
          </w14:textFill>
        </w:rPr>
        <w:t>地  址：成都市青羊区西华门街19号1号楼2楼</w:t>
      </w:r>
      <w:r>
        <w:rPr>
          <w:rFonts w:hint="eastAsia" w:ascii="宋体" w:hAnsi="宋体"/>
          <w:color w:val="000000" w:themeColor="text1"/>
          <w:kern w:val="0"/>
          <w:sz w:val="28"/>
          <w:szCs w:val="22"/>
          <w14:textFill>
            <w14:solidFill>
              <w14:schemeClr w14:val="tx1"/>
            </w14:solidFill>
          </w14:textFill>
        </w:rPr>
        <w:tab/>
      </w:r>
      <w:r>
        <w:rPr>
          <w:rFonts w:hint="eastAsia" w:ascii="宋体" w:hAnsi="宋体"/>
          <w:color w:val="000000" w:themeColor="text1"/>
          <w:kern w:val="0"/>
          <w:sz w:val="28"/>
          <w:szCs w:val="22"/>
          <w14:textFill>
            <w14:solidFill>
              <w14:schemeClr w14:val="tx1"/>
            </w14:solidFill>
          </w14:textFill>
        </w:rPr>
        <w:tab/>
      </w:r>
    </w:p>
    <w:p>
      <w:pPr>
        <w:pStyle w:val="152"/>
        <w:spacing w:line="560" w:lineRule="exact"/>
        <w:ind w:firstLine="560"/>
        <w:rPr>
          <w:rFonts w:ascii="宋体" w:hAnsi="宋体"/>
          <w:color w:val="000000" w:themeColor="text1"/>
          <w:kern w:val="0"/>
          <w:sz w:val="28"/>
          <w:szCs w:val="22"/>
          <w14:textFill>
            <w14:solidFill>
              <w14:schemeClr w14:val="tx1"/>
            </w14:solidFill>
          </w14:textFill>
        </w:rPr>
      </w:pPr>
      <w:r>
        <w:rPr>
          <w:rFonts w:hint="eastAsia" w:ascii="宋体" w:hAnsi="宋体"/>
          <w:color w:val="000000" w:themeColor="text1"/>
          <w:kern w:val="0"/>
          <w:sz w:val="28"/>
          <w:szCs w:val="22"/>
          <w14:textFill>
            <w14:solidFill>
              <w14:schemeClr w14:val="tx1"/>
            </w14:solidFill>
          </w14:textFill>
        </w:rPr>
        <w:t>联系人：孙妙</w:t>
      </w:r>
      <w:r>
        <w:rPr>
          <w:rFonts w:hint="eastAsia" w:ascii="宋体" w:hAnsi="宋体"/>
          <w:color w:val="000000" w:themeColor="text1"/>
          <w:kern w:val="0"/>
          <w:sz w:val="28"/>
          <w:szCs w:val="22"/>
          <w14:textFill>
            <w14:solidFill>
              <w14:schemeClr w14:val="tx1"/>
            </w14:solidFill>
          </w14:textFill>
        </w:rPr>
        <w:tab/>
      </w:r>
    </w:p>
    <w:p>
      <w:pPr>
        <w:pStyle w:val="152"/>
        <w:spacing w:line="560" w:lineRule="exact"/>
        <w:ind w:firstLine="560"/>
        <w:rPr>
          <w:rFonts w:ascii="宋体" w:hAnsi="宋体"/>
          <w:color w:val="000000" w:themeColor="text1"/>
          <w:kern w:val="0"/>
          <w:sz w:val="28"/>
          <w:szCs w:val="22"/>
          <w14:textFill>
            <w14:solidFill>
              <w14:schemeClr w14:val="tx1"/>
            </w14:solidFill>
          </w14:textFill>
        </w:rPr>
      </w:pPr>
      <w:r>
        <w:rPr>
          <w:rFonts w:hint="eastAsia" w:ascii="宋体" w:hAnsi="宋体"/>
          <w:color w:val="000000" w:themeColor="text1"/>
          <w:kern w:val="0"/>
          <w:sz w:val="28"/>
          <w:szCs w:val="22"/>
          <w14:textFill>
            <w14:solidFill>
              <w14:schemeClr w14:val="tx1"/>
            </w14:solidFill>
          </w14:textFill>
        </w:rPr>
        <w:t>联系电话：028-86249042</w:t>
      </w:r>
    </w:p>
    <w:p>
      <w:pPr>
        <w:pStyle w:val="152"/>
        <w:spacing w:line="560" w:lineRule="exact"/>
        <w:ind w:firstLine="560"/>
        <w:rPr>
          <w:rFonts w:ascii="宋体" w:hAnsi="宋体"/>
          <w:color w:val="000000" w:themeColor="text1"/>
          <w:kern w:val="0"/>
          <w:sz w:val="28"/>
          <w14:textFill>
            <w14:solidFill>
              <w14:schemeClr w14:val="tx1"/>
            </w14:solidFill>
          </w14:textFill>
        </w:rPr>
      </w:pPr>
      <w:r>
        <w:rPr>
          <w:rFonts w:hint="eastAsia" w:ascii="宋体" w:hAnsi="宋体"/>
          <w:color w:val="000000" w:themeColor="text1"/>
          <w:kern w:val="0"/>
          <w:sz w:val="28"/>
          <w14:textFill>
            <w14:solidFill>
              <w14:schemeClr w14:val="tx1"/>
            </w14:solidFill>
          </w14:textFill>
        </w:rPr>
        <w:t>技术支持</w:t>
      </w:r>
      <w:r>
        <w:rPr>
          <w:rFonts w:ascii="宋体" w:hAnsi="宋体"/>
          <w:color w:val="000000" w:themeColor="text1"/>
          <w:kern w:val="0"/>
          <w:sz w:val="28"/>
          <w14:textFill>
            <w14:solidFill>
              <w14:schemeClr w14:val="tx1"/>
            </w14:solidFill>
          </w14:textFill>
        </w:rPr>
        <w:t>联系电话：</w:t>
      </w:r>
      <w:r>
        <w:rPr>
          <w:rFonts w:hint="eastAsia" w:ascii="宋体" w:hAnsi="宋体"/>
          <w:sz w:val="28"/>
          <w:szCs w:val="28"/>
        </w:rPr>
        <w:t>400-881-7190</w:t>
      </w:r>
    </w:p>
    <w:p>
      <w:pPr>
        <w:pStyle w:val="129"/>
        <w:tabs>
          <w:tab w:val="left" w:pos="900"/>
        </w:tabs>
        <w:spacing w:line="560" w:lineRule="exact"/>
        <w:ind w:firstLine="562"/>
        <w:jc w:val="left"/>
        <w:rPr>
          <w:rFonts w:ascii="宋体" w:hAnsi="宋体" w:cs="Times New Roman"/>
          <w:b/>
          <w:color w:val="000000" w:themeColor="text1"/>
          <w:kern w:val="0"/>
          <w:sz w:val="28"/>
          <w14:textFill>
            <w14:solidFill>
              <w14:schemeClr w14:val="tx1"/>
            </w14:solidFill>
          </w14:textFill>
        </w:rPr>
      </w:pPr>
      <w:r>
        <w:rPr>
          <w:rFonts w:hint="eastAsia" w:ascii="宋体" w:hAnsi="宋体" w:cs="Times New Roman"/>
          <w:b/>
          <w:color w:val="000000" w:themeColor="text1"/>
          <w:sz w:val="28"/>
          <w14:textFill>
            <w14:solidFill>
              <w14:schemeClr w14:val="tx1"/>
            </w14:solidFill>
          </w14:textFill>
        </w:rPr>
        <w:t>集中采购监督机构：成都市青羊区财政局</w:t>
      </w:r>
    </w:p>
    <w:p>
      <w:pPr>
        <w:pStyle w:val="129"/>
        <w:tabs>
          <w:tab w:val="left" w:pos="900"/>
        </w:tabs>
        <w:spacing w:line="560" w:lineRule="exact"/>
        <w:ind w:firstLine="560"/>
        <w:jc w:val="left"/>
        <w:rPr>
          <w:rFonts w:ascii="宋体" w:hAnsi="宋体"/>
          <w:color w:val="000000" w:themeColor="text1"/>
          <w:kern w:val="0"/>
          <w:sz w:val="28"/>
          <w14:textFill>
            <w14:solidFill>
              <w14:schemeClr w14:val="tx1"/>
            </w14:solidFill>
          </w14:textFill>
        </w:rPr>
      </w:pPr>
      <w:r>
        <w:rPr>
          <w:rFonts w:hint="eastAsia" w:ascii="宋体" w:hAnsi="宋体" w:cs="Times New Roman"/>
          <w:color w:val="000000" w:themeColor="text1"/>
          <w:sz w:val="28"/>
          <w14:textFill>
            <w14:solidFill>
              <w14:schemeClr w14:val="tx1"/>
            </w14:solidFill>
          </w14:textFill>
        </w:rPr>
        <w:t>地 址：</w:t>
      </w:r>
      <w:r>
        <w:rPr>
          <w:rFonts w:hint="eastAsia" w:ascii="宋体" w:hAnsi="宋体"/>
          <w:color w:val="000000" w:themeColor="text1"/>
          <w:kern w:val="0"/>
          <w:sz w:val="28"/>
          <w14:textFill>
            <w14:solidFill>
              <w14:schemeClr w14:val="tx1"/>
            </w14:solidFill>
          </w14:textFill>
        </w:rPr>
        <w:t>成都市青羊区西华门街19号1号楼4楼</w:t>
      </w:r>
    </w:p>
    <w:p>
      <w:pPr>
        <w:pStyle w:val="129"/>
        <w:tabs>
          <w:tab w:val="left" w:pos="900"/>
        </w:tabs>
        <w:spacing w:line="560" w:lineRule="exact"/>
        <w:ind w:firstLine="560"/>
        <w:jc w:val="left"/>
        <w:rPr>
          <w:rFonts w:ascii="宋体" w:hAnsi="宋体" w:cs="Times New Roman"/>
          <w:color w:val="000000" w:themeColor="text1"/>
          <w:sz w:val="28"/>
          <w14:textFill>
            <w14:solidFill>
              <w14:schemeClr w14:val="tx1"/>
            </w14:solidFill>
          </w14:textFill>
        </w:rPr>
      </w:pPr>
      <w:r>
        <w:rPr>
          <w:rFonts w:hint="eastAsia" w:ascii="宋体" w:hAnsi="宋体" w:cs="Times New Roman"/>
          <w:color w:val="000000" w:themeColor="text1"/>
          <w:sz w:val="28"/>
          <w14:textFill>
            <w14:solidFill>
              <w14:schemeClr w14:val="tx1"/>
            </w14:solidFill>
          </w14:textFill>
        </w:rPr>
        <w:t>联系电话：028-86699817</w:t>
      </w:r>
    </w:p>
    <w:p>
      <w:pPr>
        <w:pStyle w:val="129"/>
        <w:tabs>
          <w:tab w:val="left" w:pos="900"/>
        </w:tabs>
        <w:spacing w:line="560" w:lineRule="exact"/>
        <w:ind w:firstLine="560"/>
        <w:jc w:val="left"/>
        <w:rPr>
          <w:rFonts w:ascii="宋体" w:hAnsi="宋体" w:cs="Times New Roman"/>
          <w:color w:val="000000" w:themeColor="text1"/>
          <w:sz w:val="28"/>
          <w14:textFill>
            <w14:solidFill>
              <w14:schemeClr w14:val="tx1"/>
            </w14:solidFill>
          </w14:textFill>
        </w:rPr>
      </w:pPr>
    </w:p>
    <w:p>
      <w:pPr>
        <w:pStyle w:val="129"/>
        <w:tabs>
          <w:tab w:val="left" w:pos="900"/>
        </w:tabs>
        <w:spacing w:line="560" w:lineRule="exact"/>
        <w:ind w:firstLine="560"/>
        <w:jc w:val="left"/>
        <w:rPr>
          <w:rFonts w:ascii="宋体" w:hAnsi="宋体" w:cs="Times New Roman"/>
          <w:color w:val="000000" w:themeColor="text1"/>
          <w:sz w:val="28"/>
          <w14:textFill>
            <w14:solidFill>
              <w14:schemeClr w14:val="tx1"/>
            </w14:solidFill>
          </w14:textFill>
        </w:rPr>
      </w:pPr>
    </w:p>
    <w:p>
      <w:pPr>
        <w:pStyle w:val="129"/>
        <w:tabs>
          <w:tab w:val="left" w:pos="900"/>
        </w:tabs>
        <w:spacing w:line="560" w:lineRule="exact"/>
        <w:ind w:firstLine="560"/>
        <w:jc w:val="left"/>
        <w:rPr>
          <w:rFonts w:ascii="宋体" w:hAnsi="宋体" w:cs="Times New Roman"/>
          <w:color w:val="000000" w:themeColor="text1"/>
          <w:sz w:val="28"/>
          <w14:textFill>
            <w14:solidFill>
              <w14:schemeClr w14:val="tx1"/>
            </w14:solidFill>
          </w14:textFill>
        </w:rPr>
      </w:pPr>
    </w:p>
    <w:p>
      <w:pPr>
        <w:pStyle w:val="129"/>
        <w:tabs>
          <w:tab w:val="left" w:pos="900"/>
        </w:tabs>
        <w:spacing w:line="560" w:lineRule="exact"/>
        <w:ind w:firstLine="560"/>
        <w:jc w:val="left"/>
        <w:rPr>
          <w:rFonts w:ascii="宋体" w:hAnsi="宋体" w:cs="Times New Roman"/>
          <w:color w:val="000000" w:themeColor="text1"/>
          <w:sz w:val="28"/>
          <w14:textFill>
            <w14:solidFill>
              <w14:schemeClr w14:val="tx1"/>
            </w14:solidFill>
          </w14:textFill>
        </w:rPr>
      </w:pPr>
    </w:p>
    <w:p>
      <w:pPr>
        <w:pStyle w:val="129"/>
        <w:tabs>
          <w:tab w:val="left" w:pos="900"/>
        </w:tabs>
        <w:spacing w:line="560" w:lineRule="exact"/>
        <w:ind w:firstLine="560"/>
        <w:jc w:val="left"/>
        <w:rPr>
          <w:rFonts w:ascii="宋体" w:hAnsi="宋体" w:cs="Times New Roman"/>
          <w:color w:val="000000" w:themeColor="text1"/>
          <w:sz w:val="28"/>
          <w14:textFill>
            <w14:solidFill>
              <w14:schemeClr w14:val="tx1"/>
            </w14:solidFill>
          </w14:textFill>
        </w:rPr>
      </w:pPr>
    </w:p>
    <w:p>
      <w:pPr>
        <w:pStyle w:val="129"/>
        <w:tabs>
          <w:tab w:val="left" w:pos="900"/>
        </w:tabs>
        <w:spacing w:line="560" w:lineRule="exact"/>
        <w:ind w:firstLine="560"/>
        <w:jc w:val="left"/>
        <w:rPr>
          <w:rFonts w:ascii="宋体" w:hAnsi="宋体" w:cs="Times New Roman"/>
          <w:color w:val="000000" w:themeColor="text1"/>
          <w:sz w:val="28"/>
          <w14:textFill>
            <w14:solidFill>
              <w14:schemeClr w14:val="tx1"/>
            </w14:solidFill>
          </w14:textFill>
        </w:rPr>
      </w:pPr>
    </w:p>
    <w:p>
      <w:pPr>
        <w:pStyle w:val="129"/>
        <w:tabs>
          <w:tab w:val="left" w:pos="900"/>
        </w:tabs>
        <w:spacing w:line="560" w:lineRule="exact"/>
        <w:ind w:firstLine="560"/>
        <w:jc w:val="left"/>
        <w:rPr>
          <w:rFonts w:ascii="宋体" w:hAnsi="宋体" w:cs="Times New Roman"/>
          <w:color w:val="000000" w:themeColor="text1"/>
          <w:sz w:val="28"/>
          <w14:textFill>
            <w14:solidFill>
              <w14:schemeClr w14:val="tx1"/>
            </w14:solidFill>
          </w14:textFill>
        </w:rPr>
      </w:pPr>
    </w:p>
    <w:p>
      <w:pPr>
        <w:pStyle w:val="129"/>
        <w:tabs>
          <w:tab w:val="left" w:pos="900"/>
        </w:tabs>
        <w:spacing w:line="560" w:lineRule="exact"/>
        <w:ind w:firstLine="560"/>
        <w:jc w:val="left"/>
        <w:rPr>
          <w:rFonts w:ascii="宋体" w:hAnsi="宋体" w:cs="Times New Roman"/>
          <w:color w:val="000000" w:themeColor="text1"/>
          <w:sz w:val="28"/>
          <w14:textFill>
            <w14:solidFill>
              <w14:schemeClr w14:val="tx1"/>
            </w14:solidFill>
          </w14:textFill>
        </w:rPr>
      </w:pPr>
    </w:p>
    <w:p>
      <w:pPr>
        <w:pStyle w:val="129"/>
        <w:tabs>
          <w:tab w:val="left" w:pos="900"/>
        </w:tabs>
        <w:spacing w:line="560" w:lineRule="exact"/>
        <w:ind w:firstLine="560"/>
        <w:jc w:val="left"/>
        <w:rPr>
          <w:rFonts w:ascii="宋体" w:hAnsi="宋体" w:cs="Times New Roman"/>
          <w:color w:val="000000" w:themeColor="text1"/>
          <w:sz w:val="28"/>
          <w14:textFill>
            <w14:solidFill>
              <w14:schemeClr w14:val="tx1"/>
            </w14:solidFill>
          </w14:textFill>
        </w:rPr>
      </w:pPr>
    </w:p>
    <w:p>
      <w:pPr>
        <w:pStyle w:val="129"/>
        <w:tabs>
          <w:tab w:val="left" w:pos="900"/>
        </w:tabs>
        <w:spacing w:line="560" w:lineRule="exact"/>
        <w:ind w:firstLine="560"/>
        <w:jc w:val="left"/>
        <w:rPr>
          <w:rFonts w:ascii="宋体" w:hAnsi="宋体" w:cs="Times New Roman"/>
          <w:color w:val="000000" w:themeColor="text1"/>
          <w:sz w:val="28"/>
          <w14:textFill>
            <w14:solidFill>
              <w14:schemeClr w14:val="tx1"/>
            </w14:solidFill>
          </w14:textFill>
        </w:rPr>
      </w:pPr>
    </w:p>
    <w:p>
      <w:pPr>
        <w:pStyle w:val="129"/>
        <w:tabs>
          <w:tab w:val="left" w:pos="900"/>
        </w:tabs>
        <w:spacing w:line="560" w:lineRule="exact"/>
        <w:ind w:firstLine="560"/>
        <w:jc w:val="left"/>
        <w:rPr>
          <w:rFonts w:ascii="宋体" w:hAnsi="宋体" w:cs="Times New Roman"/>
          <w:color w:val="000000" w:themeColor="text1"/>
          <w:sz w:val="28"/>
          <w14:textFill>
            <w14:solidFill>
              <w14:schemeClr w14:val="tx1"/>
            </w14:solidFill>
          </w14:textFill>
        </w:rPr>
      </w:pPr>
    </w:p>
    <w:p>
      <w:pPr>
        <w:pStyle w:val="129"/>
        <w:tabs>
          <w:tab w:val="left" w:pos="900"/>
        </w:tabs>
        <w:spacing w:line="560" w:lineRule="exact"/>
        <w:ind w:firstLine="560"/>
        <w:jc w:val="left"/>
        <w:rPr>
          <w:rFonts w:ascii="宋体" w:hAnsi="宋体" w:cs="Times New Roman"/>
          <w:color w:val="000000" w:themeColor="text1"/>
          <w:sz w:val="28"/>
          <w14:textFill>
            <w14:solidFill>
              <w14:schemeClr w14:val="tx1"/>
            </w14:solidFill>
          </w14:textFill>
        </w:rPr>
      </w:pPr>
    </w:p>
    <w:p>
      <w:pPr>
        <w:pStyle w:val="129"/>
        <w:tabs>
          <w:tab w:val="left" w:pos="900"/>
        </w:tabs>
        <w:spacing w:line="560" w:lineRule="exact"/>
        <w:ind w:firstLine="560"/>
        <w:jc w:val="left"/>
        <w:rPr>
          <w:rFonts w:ascii="宋体" w:hAnsi="宋体" w:cs="Times New Roman"/>
          <w:color w:val="000000" w:themeColor="text1"/>
          <w:sz w:val="28"/>
          <w14:textFill>
            <w14:solidFill>
              <w14:schemeClr w14:val="tx1"/>
            </w14:solidFill>
          </w14:textFill>
        </w:rPr>
      </w:pPr>
    </w:p>
    <w:p>
      <w:pPr>
        <w:pStyle w:val="129"/>
        <w:tabs>
          <w:tab w:val="left" w:pos="900"/>
        </w:tabs>
        <w:spacing w:line="560" w:lineRule="exact"/>
        <w:ind w:firstLine="560"/>
        <w:jc w:val="left"/>
        <w:rPr>
          <w:rFonts w:ascii="宋体" w:hAnsi="宋体" w:cs="Times New Roman"/>
          <w:color w:val="000000" w:themeColor="text1"/>
          <w:sz w:val="28"/>
          <w14:textFill>
            <w14:solidFill>
              <w14:schemeClr w14:val="tx1"/>
            </w14:solidFill>
          </w14:textFill>
        </w:rPr>
      </w:pPr>
    </w:p>
    <w:p>
      <w:pPr>
        <w:pStyle w:val="129"/>
        <w:tabs>
          <w:tab w:val="left" w:pos="900"/>
        </w:tabs>
        <w:spacing w:line="560" w:lineRule="exact"/>
        <w:ind w:firstLine="560"/>
        <w:jc w:val="left"/>
        <w:rPr>
          <w:rFonts w:ascii="宋体" w:hAnsi="宋体" w:cs="Times New Roman"/>
          <w:color w:val="000000" w:themeColor="text1"/>
          <w:sz w:val="28"/>
          <w14:textFill>
            <w14:solidFill>
              <w14:schemeClr w14:val="tx1"/>
            </w14:solidFill>
          </w14:textFill>
        </w:rPr>
      </w:pPr>
    </w:p>
    <w:p>
      <w:pPr>
        <w:pStyle w:val="129"/>
        <w:tabs>
          <w:tab w:val="left" w:pos="900"/>
        </w:tabs>
        <w:spacing w:line="560" w:lineRule="exact"/>
        <w:ind w:firstLine="560"/>
        <w:jc w:val="left"/>
        <w:rPr>
          <w:rFonts w:ascii="宋体" w:hAnsi="宋体" w:cs="Times New Roman"/>
          <w:color w:val="000000" w:themeColor="text1"/>
          <w:sz w:val="28"/>
          <w14:textFill>
            <w14:solidFill>
              <w14:schemeClr w14:val="tx1"/>
            </w14:solidFill>
          </w14:textFill>
        </w:rPr>
      </w:pPr>
    </w:p>
    <w:p>
      <w:pPr>
        <w:pStyle w:val="129"/>
        <w:tabs>
          <w:tab w:val="left" w:pos="900"/>
        </w:tabs>
        <w:spacing w:line="560" w:lineRule="exact"/>
        <w:ind w:firstLine="560"/>
        <w:jc w:val="left"/>
        <w:rPr>
          <w:rFonts w:ascii="宋体" w:hAnsi="宋体" w:cs="Times New Roman"/>
          <w:color w:val="000000" w:themeColor="text1"/>
          <w:sz w:val="28"/>
          <w14:textFill>
            <w14:solidFill>
              <w14:schemeClr w14:val="tx1"/>
            </w14:solidFill>
          </w14:textFill>
        </w:rPr>
      </w:pPr>
    </w:p>
    <w:p>
      <w:pPr>
        <w:pStyle w:val="129"/>
        <w:tabs>
          <w:tab w:val="left" w:pos="900"/>
        </w:tabs>
        <w:spacing w:line="560" w:lineRule="exact"/>
        <w:ind w:firstLine="560"/>
        <w:jc w:val="left"/>
        <w:rPr>
          <w:rFonts w:ascii="宋体" w:hAnsi="宋体" w:cs="Times New Roman"/>
          <w:color w:val="000000" w:themeColor="text1"/>
          <w:sz w:val="28"/>
          <w14:textFill>
            <w14:solidFill>
              <w14:schemeClr w14:val="tx1"/>
            </w14:solidFill>
          </w14:textFill>
        </w:rPr>
      </w:pPr>
    </w:p>
    <w:p>
      <w:pPr>
        <w:pStyle w:val="2"/>
        <w:numPr>
          <w:ilvl w:val="0"/>
          <w:numId w:val="3"/>
        </w:numPr>
        <w:spacing w:before="0" w:after="0" w:line="240" w:lineRule="auto"/>
        <w:ind w:left="0" w:firstLine="0"/>
        <w:rPr>
          <w:color w:val="000000" w:themeColor="text1"/>
          <w14:textFill>
            <w14:solidFill>
              <w14:schemeClr w14:val="tx1"/>
            </w14:solidFill>
          </w14:textFill>
        </w:rPr>
      </w:pPr>
      <w:bookmarkStart w:id="17" w:name="_Toc77584639"/>
      <w:bookmarkStart w:id="18" w:name="_Toc11280"/>
      <w:bookmarkStart w:id="19" w:name="_Toc23978"/>
      <w:bookmarkStart w:id="20" w:name="_Toc16071"/>
      <w:bookmarkStart w:id="21" w:name="_Toc22501"/>
      <w:r>
        <w:rPr>
          <w:rFonts w:hint="eastAsia"/>
          <w:color w:val="000000" w:themeColor="text1"/>
          <w14:textFill>
            <w14:solidFill>
              <w14:schemeClr w14:val="tx1"/>
            </w14:solidFill>
          </w14:textFill>
        </w:rPr>
        <w:t>投标人须知</w:t>
      </w:r>
      <w:bookmarkEnd w:id="17"/>
      <w:bookmarkEnd w:id="18"/>
      <w:bookmarkEnd w:id="19"/>
      <w:bookmarkEnd w:id="20"/>
      <w:bookmarkEnd w:id="21"/>
    </w:p>
    <w:p>
      <w:pPr>
        <w:pStyle w:val="3"/>
        <w:numPr>
          <w:ilvl w:val="1"/>
          <w:numId w:val="3"/>
        </w:numPr>
        <w:spacing w:before="0" w:after="0" w:line="240" w:lineRule="auto"/>
        <w:ind w:left="2269" w:hanging="2127"/>
        <w:rPr>
          <w:color w:val="000000" w:themeColor="text1"/>
          <w14:textFill>
            <w14:solidFill>
              <w14:schemeClr w14:val="tx1"/>
            </w14:solidFill>
          </w14:textFill>
        </w:rPr>
      </w:pPr>
      <w:bookmarkStart w:id="22" w:name="_Toc217446032"/>
      <w:bookmarkStart w:id="23" w:name="_Toc14528"/>
      <w:bookmarkStart w:id="24" w:name="_Toc213396760"/>
      <w:bookmarkStart w:id="25" w:name="_Toc1773"/>
      <w:bookmarkStart w:id="26" w:name="_Toc77584640"/>
      <w:bookmarkStart w:id="27" w:name="_Toc213396946"/>
      <w:bookmarkStart w:id="28" w:name="_Toc316462344"/>
      <w:bookmarkStart w:id="29" w:name="_Toc15505"/>
      <w:bookmarkStart w:id="30" w:name="_Toc213496268"/>
      <w:bookmarkStart w:id="31" w:name="_Toc189727030"/>
      <w:bookmarkStart w:id="32" w:name="_Toc213397010"/>
      <w:bookmarkStart w:id="33" w:name="_Toc32366"/>
      <w:r>
        <w:rPr>
          <w:rFonts w:hint="eastAsia"/>
          <w:color w:val="000000" w:themeColor="text1"/>
          <w14:textFill>
            <w14:solidFill>
              <w14:schemeClr w14:val="tx1"/>
            </w14:solidFill>
          </w14:textFill>
        </w:rPr>
        <w:t>投标人须知前附表</w:t>
      </w:r>
      <w:bookmarkEnd w:id="22"/>
      <w:bookmarkEnd w:id="23"/>
      <w:bookmarkEnd w:id="24"/>
      <w:bookmarkEnd w:id="25"/>
      <w:bookmarkEnd w:id="26"/>
      <w:bookmarkEnd w:id="27"/>
      <w:bookmarkEnd w:id="28"/>
      <w:bookmarkEnd w:id="29"/>
      <w:bookmarkEnd w:id="30"/>
      <w:bookmarkEnd w:id="31"/>
      <w:bookmarkEnd w:id="32"/>
      <w:bookmarkEnd w:id="33"/>
    </w:p>
    <w:tbl>
      <w:tblPr>
        <w:tblStyle w:val="43"/>
        <w:tblW w:w="9312"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689"/>
        <w:gridCol w:w="1942"/>
        <w:gridCol w:w="6681"/>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89" w:type="dxa"/>
            <w:tcBorders>
              <w:top w:val="single" w:color="auto" w:sz="18" w:space="0"/>
              <w:left w:val="single" w:color="auto" w:sz="18" w:space="0"/>
              <w:bottom w:val="single" w:color="auto" w:sz="8" w:space="0"/>
              <w:right w:val="single" w:color="auto" w:sz="8" w:space="0"/>
            </w:tcBorders>
            <w:vAlign w:val="center"/>
          </w:tcPr>
          <w:p>
            <w:pPr>
              <w:snapToGrid w:val="0"/>
              <w:spacing w:line="360" w:lineRule="auto"/>
              <w:jc w:val="center"/>
              <w:rPr>
                <w:rFonts w:ascii="宋体" w:hAnsi="宋体"/>
                <w:b/>
                <w:color w:val="000000" w:themeColor="text1"/>
                <w:sz w:val="24"/>
                <w14:textFill>
                  <w14:solidFill>
                    <w14:schemeClr w14:val="tx1"/>
                  </w14:solidFill>
                </w14:textFill>
              </w:rPr>
            </w:pPr>
            <w:r>
              <w:rPr>
                <w:rFonts w:hint="eastAsia" w:ascii="宋体" w:hAnsi="宋体"/>
                <w:b/>
                <w:color w:val="000000" w:themeColor="text1"/>
                <w:sz w:val="28"/>
                <w:szCs w:val="28"/>
                <w:lang w:val="zh-CN"/>
                <w14:textFill>
                  <w14:solidFill>
                    <w14:schemeClr w14:val="tx1"/>
                  </w14:solidFill>
                </w14:textFill>
              </w:rPr>
              <w:t>序号</w:t>
            </w:r>
          </w:p>
        </w:tc>
        <w:tc>
          <w:tcPr>
            <w:tcW w:w="1942" w:type="dxa"/>
            <w:tcBorders>
              <w:top w:val="single" w:color="auto" w:sz="18" w:space="0"/>
              <w:left w:val="single" w:color="auto" w:sz="8" w:space="0"/>
              <w:bottom w:val="single" w:color="auto" w:sz="8" w:space="0"/>
              <w:right w:val="single" w:color="auto" w:sz="8" w:space="0"/>
            </w:tcBorders>
            <w:vAlign w:val="center"/>
          </w:tcPr>
          <w:p>
            <w:pPr>
              <w:pStyle w:val="121"/>
              <w:spacing w:line="360" w:lineRule="auto"/>
              <w:ind w:left="38"/>
              <w:jc w:val="center"/>
              <w:rPr>
                <w:b/>
                <w:color w:val="000000" w:themeColor="text1"/>
                <w:kern w:val="2"/>
                <w:lang w:val="zh-CN"/>
                <w14:textFill>
                  <w14:solidFill>
                    <w14:schemeClr w14:val="tx1"/>
                  </w14:solidFill>
                </w14:textFill>
              </w:rPr>
            </w:pPr>
            <w:r>
              <w:rPr>
                <w:rFonts w:hint="eastAsia"/>
                <w:b/>
                <w:color w:val="000000" w:themeColor="text1"/>
                <w:kern w:val="2"/>
                <w:sz w:val="28"/>
                <w:szCs w:val="28"/>
                <w:lang w:val="zh-CN"/>
                <w14:textFill>
                  <w14:solidFill>
                    <w14:schemeClr w14:val="tx1"/>
                  </w14:solidFill>
                </w14:textFill>
              </w:rPr>
              <w:t>应知事项</w:t>
            </w:r>
          </w:p>
        </w:tc>
        <w:tc>
          <w:tcPr>
            <w:tcW w:w="6681" w:type="dxa"/>
            <w:tcBorders>
              <w:top w:val="single" w:color="auto" w:sz="18" w:space="0"/>
              <w:left w:val="single" w:color="auto" w:sz="8" w:space="0"/>
              <w:bottom w:val="single" w:color="auto" w:sz="8" w:space="0"/>
              <w:right w:val="single" w:color="auto" w:sz="18" w:space="0"/>
            </w:tcBorders>
            <w:vAlign w:val="center"/>
          </w:tcPr>
          <w:p>
            <w:pPr>
              <w:pStyle w:val="121"/>
              <w:spacing w:line="360" w:lineRule="auto"/>
              <w:jc w:val="center"/>
              <w:rPr>
                <w:b/>
                <w:color w:val="000000" w:themeColor="text1"/>
                <w:kern w:val="2"/>
                <w:lang w:val="zh-CN"/>
                <w14:textFill>
                  <w14:solidFill>
                    <w14:schemeClr w14:val="tx1"/>
                  </w14:solidFill>
                </w14:textFill>
              </w:rPr>
            </w:pPr>
            <w:r>
              <w:rPr>
                <w:rFonts w:hint="eastAsia"/>
                <w:b/>
                <w:color w:val="000000" w:themeColor="text1"/>
                <w:kern w:val="2"/>
                <w:sz w:val="28"/>
                <w:szCs w:val="28"/>
                <w:lang w:val="zh-CN"/>
                <w14:textFill>
                  <w14:solidFill>
                    <w14:schemeClr w14:val="tx1"/>
                  </w14:solidFill>
                </w14:textFill>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757"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6"/>
              </w:numPr>
              <w:snapToGrid w:val="0"/>
              <w:spacing w:after="200" w:line="360" w:lineRule="auto"/>
              <w:jc w:val="center"/>
              <w:rPr>
                <w:rFonts w:ascii="宋体" w:hAnsi="宋体"/>
                <w:b/>
                <w:color w:val="000000" w:themeColor="text1"/>
                <w:sz w:val="28"/>
                <w:szCs w:val="28"/>
                <w:lang w:val="zh-CN"/>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pStyle w:val="121"/>
              <w:spacing w:line="360" w:lineRule="auto"/>
              <w:ind w:left="38"/>
              <w:rPr>
                <w:color w:val="000000" w:themeColor="text1"/>
                <w:kern w:val="2"/>
                <w:lang w:val="zh-CN"/>
                <w14:textFill>
                  <w14:solidFill>
                    <w14:schemeClr w14:val="tx1"/>
                  </w14:solidFill>
                </w14:textFill>
              </w:rPr>
            </w:pPr>
            <w:r>
              <w:rPr>
                <w:rFonts w:hint="eastAsia"/>
                <w:color w:val="000000" w:themeColor="text1"/>
                <w:kern w:val="2"/>
                <w:lang w:val="zh-CN"/>
                <w14:textFill>
                  <w14:solidFill>
                    <w14:schemeClr w14:val="tx1"/>
                  </w14:solidFill>
                </w14:textFill>
              </w:rPr>
              <w:t>采购预算</w:t>
            </w:r>
          </w:p>
        </w:tc>
        <w:tc>
          <w:tcPr>
            <w:tcW w:w="6681" w:type="dxa"/>
            <w:tcBorders>
              <w:top w:val="single" w:color="auto" w:sz="8" w:space="0"/>
              <w:left w:val="single" w:color="auto" w:sz="8" w:space="0"/>
              <w:bottom w:val="single" w:color="auto" w:sz="8" w:space="0"/>
              <w:right w:val="single" w:color="auto" w:sz="18" w:space="0"/>
            </w:tcBorders>
            <w:vAlign w:val="center"/>
          </w:tcPr>
          <w:p>
            <w:pPr>
              <w:pStyle w:val="121"/>
              <w:spacing w:line="360" w:lineRule="auto"/>
              <w:rPr>
                <w:b/>
                <w:color w:val="000000" w:themeColor="text1"/>
                <w:kern w:val="2"/>
                <w:lang w:val="zh-CN"/>
                <w14:textFill>
                  <w14:solidFill>
                    <w14:schemeClr w14:val="tx1"/>
                  </w14:solidFill>
                </w14:textFill>
              </w:rPr>
            </w:pPr>
            <w:r>
              <w:rPr>
                <w:rFonts w:hint="eastAsia"/>
                <w:b/>
                <w:color w:val="000000" w:themeColor="text1"/>
                <w:kern w:val="2"/>
                <w:lang w:val="zh-CN"/>
                <w14:textFill>
                  <w14:solidFill>
                    <w14:schemeClr w14:val="tx1"/>
                  </w14:solidFill>
                </w14:textFill>
              </w:rPr>
              <w:t>本项目总预算为人民币 11260480.00元/年，组成如下：</w:t>
            </w:r>
          </w:p>
          <w:p>
            <w:pPr>
              <w:pStyle w:val="121"/>
              <w:spacing w:line="360" w:lineRule="auto"/>
              <w:rPr>
                <w:b/>
                <w:color w:val="000000" w:themeColor="text1"/>
                <w:kern w:val="2"/>
                <w:lang w:val="zh-CN"/>
                <w14:textFill>
                  <w14:solidFill>
                    <w14:schemeClr w14:val="tx1"/>
                  </w14:solidFill>
                </w14:textFill>
              </w:rPr>
            </w:pPr>
            <w:r>
              <w:rPr>
                <w:rFonts w:hint="eastAsia"/>
                <w:b/>
                <w:color w:val="000000" w:themeColor="text1"/>
                <w:kern w:val="2"/>
                <w14:textFill>
                  <w14:solidFill>
                    <w14:schemeClr w14:val="tx1"/>
                  </w14:solidFill>
                </w14:textFill>
              </w:rPr>
              <w:t>1.</w:t>
            </w:r>
            <w:r>
              <w:rPr>
                <w:rFonts w:hint="eastAsia"/>
                <w:b/>
                <w:color w:val="000000" w:themeColor="text1"/>
                <w:kern w:val="2"/>
                <w:lang w:val="zh-CN"/>
                <w14:textFill>
                  <w14:solidFill>
                    <w14:schemeClr w14:val="tx1"/>
                  </w14:solidFill>
                </w14:textFill>
              </w:rPr>
              <w:t>包件</w:t>
            </w:r>
            <w:r>
              <w:rPr>
                <w:rFonts w:hint="eastAsia"/>
                <w:b/>
                <w:color w:val="000000" w:themeColor="text1"/>
                <w:kern w:val="2"/>
                <w14:textFill>
                  <w14:solidFill>
                    <w14:schemeClr w14:val="tx1"/>
                  </w14:solidFill>
                </w14:textFill>
              </w:rPr>
              <w:t>1预算为3688000.00元/年（其中第五幼儿园预算为1831200.00元/年；实验小学附属幼儿园预算为856800.00元/年；同辉(国际)小学预算为550000.00/年；实验小学明道分校预算为450000.00/年）</w:t>
            </w:r>
            <w:r>
              <w:rPr>
                <w:rFonts w:hint="eastAsia"/>
                <w:b/>
                <w:color w:val="000000" w:themeColor="text1"/>
                <w:kern w:val="2"/>
                <w:lang w:val="zh-CN"/>
                <w14:textFill>
                  <w14:solidFill>
                    <w14:schemeClr w14:val="tx1"/>
                  </w14:solidFill>
                </w14:textFill>
              </w:rPr>
              <w:t>。</w:t>
            </w:r>
          </w:p>
          <w:p>
            <w:pPr>
              <w:pStyle w:val="121"/>
              <w:spacing w:line="360" w:lineRule="auto"/>
              <w:rPr>
                <w:b/>
                <w:color w:val="000000" w:themeColor="text1"/>
                <w:kern w:val="2"/>
                <w14:textFill>
                  <w14:solidFill>
                    <w14:schemeClr w14:val="tx1"/>
                  </w14:solidFill>
                </w14:textFill>
              </w:rPr>
            </w:pPr>
            <w:r>
              <w:rPr>
                <w:rFonts w:hint="eastAsia"/>
                <w:b/>
                <w:color w:val="000000" w:themeColor="text1"/>
                <w:kern w:val="2"/>
                <w14:textFill>
                  <w14:solidFill>
                    <w14:schemeClr w14:val="tx1"/>
                  </w14:solidFill>
                </w14:textFill>
              </w:rPr>
              <w:t>2.</w:t>
            </w:r>
            <w:r>
              <w:rPr>
                <w:rFonts w:hint="eastAsia"/>
                <w:b/>
                <w:color w:val="000000" w:themeColor="text1"/>
                <w:kern w:val="2"/>
                <w:lang w:val="zh-CN"/>
                <w14:textFill>
                  <w14:solidFill>
                    <w14:schemeClr w14:val="tx1"/>
                  </w14:solidFill>
                </w14:textFill>
              </w:rPr>
              <w:t>包件</w:t>
            </w:r>
            <w:r>
              <w:rPr>
                <w:rFonts w:hint="eastAsia"/>
                <w:b/>
                <w:color w:val="000000" w:themeColor="text1"/>
                <w:kern w:val="2"/>
                <w14:textFill>
                  <w14:solidFill>
                    <w14:schemeClr w14:val="tx1"/>
                  </w14:solidFill>
                </w14:textFill>
              </w:rPr>
              <w:t>2预算为3432880.00元/年（其中石室联中蜀华分校预算为650000.00元/年；泡桐树中学预算为1782960.00/年；石室联中西区分校预算为349920.00元/年，青羊区教育科学研究院预算为650000.00元/年）。</w:t>
            </w:r>
          </w:p>
          <w:p>
            <w:pPr>
              <w:pStyle w:val="121"/>
              <w:spacing w:line="360" w:lineRule="auto"/>
              <w:rPr>
                <w:b/>
                <w:color w:val="000000" w:themeColor="text1"/>
                <w:kern w:val="2"/>
                <w:lang w:val="zh-CN"/>
                <w14:textFill>
                  <w14:solidFill>
                    <w14:schemeClr w14:val="tx1"/>
                  </w14:solidFill>
                </w14:textFill>
              </w:rPr>
            </w:pPr>
            <w:r>
              <w:rPr>
                <w:rFonts w:hint="eastAsia"/>
                <w:b/>
                <w:color w:val="000000" w:themeColor="text1"/>
                <w:kern w:val="2"/>
                <w14:textFill>
                  <w14:solidFill>
                    <w14:schemeClr w14:val="tx1"/>
                  </w14:solidFill>
                </w14:textFill>
              </w:rPr>
              <w:t>3.包件3预算为4139600.00元/年（其中第11中学预算为633600.00元/年；成飞中学预算为1100000.00元/年；第37中学预算为1218000.00元/年；树德协进中学预算为1188000.00/年）</w:t>
            </w:r>
          </w:p>
          <w:p>
            <w:pPr>
              <w:pStyle w:val="121"/>
              <w:spacing w:line="360" w:lineRule="auto"/>
              <w:rPr>
                <w:b/>
                <w:color w:val="000000" w:themeColor="text1"/>
                <w:kern w:val="2"/>
                <w:lang w:val="zh-CN"/>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6"/>
              </w:numPr>
              <w:snapToGrid w:val="0"/>
              <w:spacing w:after="200" w:line="360" w:lineRule="auto"/>
              <w:jc w:val="center"/>
              <w:rPr>
                <w:rFonts w:ascii="宋体" w:hAnsi="宋体"/>
                <w:b/>
                <w:color w:val="000000" w:themeColor="text1"/>
                <w:sz w:val="28"/>
                <w:szCs w:val="28"/>
                <w:lang w:val="zh-CN"/>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pStyle w:val="121"/>
              <w:spacing w:line="360" w:lineRule="auto"/>
              <w:ind w:left="38"/>
              <w:rPr>
                <w:color w:val="000000" w:themeColor="text1"/>
                <w:kern w:val="2"/>
                <w:lang w:val="zh-CN"/>
                <w14:textFill>
                  <w14:solidFill>
                    <w14:schemeClr w14:val="tx1"/>
                  </w14:solidFill>
                </w14:textFill>
              </w:rPr>
            </w:pPr>
            <w:r>
              <w:rPr>
                <w:rFonts w:hint="eastAsia"/>
                <w:color w:val="000000" w:themeColor="text1"/>
                <w:kern w:val="2"/>
                <w:lang w:val="zh-CN"/>
                <w14:textFill>
                  <w14:solidFill>
                    <w14:schemeClr w14:val="tx1"/>
                  </w14:solidFill>
                </w14:textFill>
              </w:rPr>
              <w:t>最高限价</w:t>
            </w:r>
          </w:p>
        </w:tc>
        <w:tc>
          <w:tcPr>
            <w:tcW w:w="6681" w:type="dxa"/>
            <w:tcBorders>
              <w:top w:val="single" w:color="auto" w:sz="8" w:space="0"/>
              <w:left w:val="single" w:color="auto" w:sz="8" w:space="0"/>
              <w:bottom w:val="single" w:color="auto" w:sz="8" w:space="0"/>
              <w:right w:val="single" w:color="auto" w:sz="18" w:space="0"/>
            </w:tcBorders>
            <w:vAlign w:val="center"/>
          </w:tcPr>
          <w:p>
            <w:pPr>
              <w:pStyle w:val="121"/>
              <w:spacing w:line="360" w:lineRule="auto"/>
              <w:ind w:left="38"/>
              <w:rPr>
                <w:b/>
                <w:color w:val="000000" w:themeColor="text1"/>
                <w:kern w:val="2"/>
                <w:lang w:val="zh-CN"/>
                <w14:textFill>
                  <w14:solidFill>
                    <w14:schemeClr w14:val="tx1"/>
                  </w14:solidFill>
                </w14:textFill>
              </w:rPr>
            </w:pPr>
            <w:r>
              <w:rPr>
                <w:rFonts w:hint="eastAsia"/>
                <w:b/>
                <w:color w:val="000000" w:themeColor="text1"/>
                <w:kern w:val="2"/>
                <w:lang w:val="zh-CN"/>
                <w14:textFill>
                  <w14:solidFill>
                    <w14:schemeClr w14:val="tx1"/>
                  </w14:solidFill>
                </w14:textFill>
              </w:rPr>
              <w:t>本项目最高限价为人民币 11260480.00元/年，各包件和点位具体最高限价如下：</w:t>
            </w:r>
          </w:p>
          <w:p>
            <w:pPr>
              <w:pStyle w:val="121"/>
              <w:spacing w:line="360" w:lineRule="auto"/>
              <w:rPr>
                <w:b/>
                <w:color w:val="000000" w:themeColor="text1"/>
                <w:kern w:val="2"/>
                <w:lang w:val="zh-CN"/>
                <w14:textFill>
                  <w14:solidFill>
                    <w14:schemeClr w14:val="tx1"/>
                  </w14:solidFill>
                </w14:textFill>
              </w:rPr>
            </w:pPr>
            <w:r>
              <w:rPr>
                <w:rFonts w:hint="eastAsia"/>
                <w:b/>
                <w:color w:val="000000" w:themeColor="text1"/>
                <w:kern w:val="2"/>
                <w14:textFill>
                  <w14:solidFill>
                    <w14:schemeClr w14:val="tx1"/>
                  </w14:solidFill>
                </w14:textFill>
              </w:rPr>
              <w:t>1.</w:t>
            </w:r>
            <w:r>
              <w:rPr>
                <w:rFonts w:hint="eastAsia"/>
                <w:b/>
                <w:color w:val="000000" w:themeColor="text1"/>
                <w:kern w:val="2"/>
                <w:lang w:val="zh-CN"/>
                <w14:textFill>
                  <w14:solidFill>
                    <w14:schemeClr w14:val="tx1"/>
                  </w14:solidFill>
                </w14:textFill>
              </w:rPr>
              <w:t>包件</w:t>
            </w:r>
            <w:r>
              <w:rPr>
                <w:rFonts w:hint="eastAsia"/>
                <w:b/>
                <w:color w:val="000000" w:themeColor="text1"/>
                <w:kern w:val="2"/>
                <w14:textFill>
                  <w14:solidFill>
                    <w14:schemeClr w14:val="tx1"/>
                  </w14:solidFill>
                </w14:textFill>
              </w:rPr>
              <w:t>1最高限价为3688000.00元/年（其中第五幼儿园最高限价为1831200.00元/年；实验小学附属幼儿园最高限价为856800.00元/年；同辉(国际)小学最高限价为550000.00/年；实验小学明道分校最高限价为450000.00/年）</w:t>
            </w:r>
            <w:r>
              <w:rPr>
                <w:rFonts w:hint="eastAsia"/>
                <w:b/>
                <w:color w:val="000000" w:themeColor="text1"/>
                <w:kern w:val="2"/>
                <w:lang w:val="zh-CN"/>
                <w14:textFill>
                  <w14:solidFill>
                    <w14:schemeClr w14:val="tx1"/>
                  </w14:solidFill>
                </w14:textFill>
              </w:rPr>
              <w:t>。</w:t>
            </w:r>
          </w:p>
          <w:p>
            <w:pPr>
              <w:pStyle w:val="121"/>
              <w:spacing w:line="360" w:lineRule="auto"/>
              <w:rPr>
                <w:b/>
                <w:color w:val="000000" w:themeColor="text1"/>
                <w:kern w:val="2"/>
                <w14:textFill>
                  <w14:solidFill>
                    <w14:schemeClr w14:val="tx1"/>
                  </w14:solidFill>
                </w14:textFill>
              </w:rPr>
            </w:pPr>
            <w:r>
              <w:rPr>
                <w:rFonts w:hint="eastAsia"/>
                <w:b/>
                <w:color w:val="000000" w:themeColor="text1"/>
                <w:kern w:val="2"/>
                <w14:textFill>
                  <w14:solidFill>
                    <w14:schemeClr w14:val="tx1"/>
                  </w14:solidFill>
                </w14:textFill>
              </w:rPr>
              <w:t>2.</w:t>
            </w:r>
            <w:r>
              <w:rPr>
                <w:rFonts w:hint="eastAsia"/>
                <w:b/>
                <w:color w:val="000000" w:themeColor="text1"/>
                <w:kern w:val="2"/>
                <w:lang w:val="zh-CN"/>
                <w14:textFill>
                  <w14:solidFill>
                    <w14:schemeClr w14:val="tx1"/>
                  </w14:solidFill>
                </w14:textFill>
              </w:rPr>
              <w:t>包件</w:t>
            </w:r>
            <w:r>
              <w:rPr>
                <w:rFonts w:hint="eastAsia"/>
                <w:b/>
                <w:color w:val="000000" w:themeColor="text1"/>
                <w:kern w:val="2"/>
                <w14:textFill>
                  <w14:solidFill>
                    <w14:schemeClr w14:val="tx1"/>
                  </w14:solidFill>
                </w14:textFill>
              </w:rPr>
              <w:t>2最高限价为3432880.00元/年（其中石室联中蜀华分校最高限价为650000.00元/年；泡桐树中学最高限价为1782960.00/年；石室联中西区分校最高限价为349920.00元/年，青羊区教育科学研究院最高限价为650000.00元/年）。</w:t>
            </w:r>
          </w:p>
          <w:p>
            <w:pPr>
              <w:pStyle w:val="121"/>
              <w:spacing w:line="360" w:lineRule="auto"/>
              <w:rPr>
                <w:b/>
                <w:color w:val="000000" w:themeColor="text1"/>
                <w:kern w:val="2"/>
                <w:lang w:val="zh-CN"/>
                <w14:textFill>
                  <w14:solidFill>
                    <w14:schemeClr w14:val="tx1"/>
                  </w14:solidFill>
                </w14:textFill>
              </w:rPr>
            </w:pPr>
            <w:r>
              <w:rPr>
                <w:rFonts w:hint="eastAsia"/>
                <w:b/>
                <w:color w:val="000000" w:themeColor="text1"/>
                <w:kern w:val="2"/>
                <w14:textFill>
                  <w14:solidFill>
                    <w14:schemeClr w14:val="tx1"/>
                  </w14:solidFill>
                </w14:textFill>
              </w:rPr>
              <w:t>3.包件3最高限价为4139600.00元/年（其中第11中学最高限价为633600.00元/年；成飞中学最高限价为1100000.00元/年；第37中学最高限价为1218000.00元/年；树德协进中学最高限价为1188000.00/年）</w:t>
            </w:r>
          </w:p>
          <w:p>
            <w:pPr>
              <w:pStyle w:val="121"/>
              <w:spacing w:line="360" w:lineRule="auto"/>
              <w:ind w:left="38"/>
              <w:rPr>
                <w:b/>
                <w:color w:val="000000" w:themeColor="text1"/>
                <w:kern w:val="2"/>
                <w:lang w:val="zh-CN"/>
                <w14:textFill>
                  <w14:solidFill>
                    <w14:schemeClr w14:val="tx1"/>
                  </w14:solidFill>
                </w14:textFill>
              </w:rPr>
            </w:pPr>
            <w:r>
              <w:rPr>
                <w:rFonts w:hint="eastAsia"/>
                <w:b/>
                <w:color w:val="000000" w:themeColor="text1"/>
                <w:kern w:val="2"/>
                <w:lang w:val="zh-CN"/>
                <w14:textFill>
                  <w14:solidFill>
                    <w14:schemeClr w14:val="tx1"/>
                  </w14:solidFill>
                </w14:textFill>
              </w:rPr>
              <w:t>投标人投标报价高于以上任一最高限价的则其投标文件将按无效投标文件处理。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6"/>
              </w:numPr>
              <w:snapToGrid w:val="0"/>
              <w:spacing w:after="200" w:line="360" w:lineRule="auto"/>
              <w:jc w:val="center"/>
              <w:rPr>
                <w:rFonts w:ascii="宋体" w:hAnsi="宋体"/>
                <w:color w:val="000000" w:themeColor="text1"/>
                <w:sz w:val="24"/>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pStyle w:val="121"/>
              <w:spacing w:line="360" w:lineRule="auto"/>
              <w:ind w:left="38"/>
              <w:rPr>
                <w:color w:val="000000" w:themeColor="text1"/>
                <w:kern w:val="2"/>
                <w:lang w:val="zh-CN"/>
                <w14:textFill>
                  <w14:solidFill>
                    <w14:schemeClr w14:val="tx1"/>
                  </w14:solidFill>
                </w14:textFill>
              </w:rPr>
            </w:pPr>
            <w:r>
              <w:rPr>
                <w:rFonts w:hint="eastAsia"/>
                <w:color w:val="000000" w:themeColor="text1"/>
                <w:kern w:val="2"/>
                <w:lang w:val="zh-CN"/>
                <w14:textFill>
                  <w14:solidFill>
                    <w14:schemeClr w14:val="tx1"/>
                  </w14:solidFill>
                </w14:textFill>
              </w:rPr>
              <w:t>采购方式</w:t>
            </w:r>
          </w:p>
        </w:tc>
        <w:tc>
          <w:tcPr>
            <w:tcW w:w="6681" w:type="dxa"/>
            <w:tcBorders>
              <w:top w:val="single" w:color="auto" w:sz="8" w:space="0"/>
              <w:left w:val="single" w:color="auto" w:sz="8" w:space="0"/>
              <w:bottom w:val="single" w:color="auto" w:sz="8" w:space="0"/>
              <w:right w:val="single" w:color="auto" w:sz="18" w:space="0"/>
            </w:tcBorders>
            <w:vAlign w:val="center"/>
          </w:tcPr>
          <w:p>
            <w:pPr>
              <w:pStyle w:val="121"/>
              <w:spacing w:line="360" w:lineRule="auto"/>
              <w:jc w:val="both"/>
              <w:rPr>
                <w:color w:val="000000" w:themeColor="text1"/>
                <w:kern w:val="2"/>
                <w:lang w:val="zh-CN"/>
                <w14:textFill>
                  <w14:solidFill>
                    <w14:schemeClr w14:val="tx1"/>
                  </w14:solidFill>
                </w14:textFill>
              </w:rPr>
            </w:pPr>
            <w:r>
              <w:rPr>
                <w:rFonts w:hint="eastAsia"/>
                <w:color w:val="000000" w:themeColor="text1"/>
                <w:kern w:val="2"/>
                <w:lang w:val="zh-CN"/>
                <w14:textFill>
                  <w14:solidFill>
                    <w14:schemeClr w14:val="tx1"/>
                  </w14:solidFill>
                </w14:textFill>
              </w:rPr>
              <w:t>公开招标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6"/>
              </w:numPr>
              <w:snapToGrid w:val="0"/>
              <w:spacing w:after="200" w:line="360" w:lineRule="auto"/>
              <w:jc w:val="center"/>
              <w:rPr>
                <w:rFonts w:ascii="宋体" w:hAnsi="宋体"/>
                <w:color w:val="000000" w:themeColor="text1"/>
                <w:sz w:val="24"/>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pStyle w:val="121"/>
              <w:spacing w:line="360" w:lineRule="auto"/>
              <w:ind w:left="96"/>
              <w:rPr>
                <w:color w:val="000000" w:themeColor="text1"/>
                <w:kern w:val="2"/>
                <w:lang w:val="zh-CN"/>
                <w14:textFill>
                  <w14:solidFill>
                    <w14:schemeClr w14:val="tx1"/>
                  </w14:solidFill>
                </w14:textFill>
              </w:rPr>
            </w:pPr>
            <w:r>
              <w:rPr>
                <w:rFonts w:hint="eastAsia"/>
                <w:color w:val="000000" w:themeColor="text1"/>
                <w:kern w:val="2"/>
                <w:lang w:val="zh-CN"/>
                <w14:textFill>
                  <w14:solidFill>
                    <w14:schemeClr w14:val="tx1"/>
                  </w14:solidFill>
                </w14:textFill>
              </w:rPr>
              <w:t>评标方法</w:t>
            </w:r>
          </w:p>
        </w:tc>
        <w:tc>
          <w:tcPr>
            <w:tcW w:w="6681" w:type="dxa"/>
            <w:tcBorders>
              <w:top w:val="single" w:color="auto" w:sz="8" w:space="0"/>
              <w:left w:val="single" w:color="auto" w:sz="8" w:space="0"/>
              <w:bottom w:val="single" w:color="auto" w:sz="8" w:space="0"/>
              <w:right w:val="single" w:color="auto" w:sz="18" w:space="0"/>
            </w:tcBorders>
            <w:vAlign w:val="center"/>
          </w:tcPr>
          <w:p>
            <w:pPr>
              <w:pStyle w:val="121"/>
              <w:spacing w:line="360" w:lineRule="auto"/>
              <w:rPr>
                <w:color w:val="000000" w:themeColor="text1"/>
                <w:kern w:val="2"/>
                <w:lang w:val="zh-CN"/>
                <w14:textFill>
                  <w14:solidFill>
                    <w14:schemeClr w14:val="tx1"/>
                  </w14:solidFill>
                </w14:textFill>
              </w:rPr>
            </w:pPr>
            <w:r>
              <w:rPr>
                <w:rFonts w:hint="eastAsia"/>
                <w:color w:val="000000" w:themeColor="text1"/>
                <w:kern w:val="2"/>
                <w:lang w:val="zh-CN"/>
                <w14:textFill>
                  <w14:solidFill>
                    <w14:schemeClr w14:val="tx1"/>
                  </w14:solidFill>
                </w14:textFill>
              </w:rPr>
              <w:t>综合评分法(详见第6章)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6"/>
              </w:numPr>
              <w:snapToGrid w:val="0"/>
              <w:spacing w:after="200" w:line="360" w:lineRule="auto"/>
              <w:jc w:val="center"/>
              <w:rPr>
                <w:rFonts w:ascii="宋体" w:hAnsi="宋体"/>
                <w:color w:val="000000" w:themeColor="text1"/>
                <w:sz w:val="24"/>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pStyle w:val="121"/>
              <w:spacing w:line="360" w:lineRule="auto"/>
              <w:ind w:left="96"/>
              <w:rPr>
                <w:color w:val="000000" w:themeColor="text1"/>
                <w:kern w:val="2"/>
                <w:lang w:val="zh-CN"/>
                <w14:textFill>
                  <w14:solidFill>
                    <w14:schemeClr w14:val="tx1"/>
                  </w14:solidFill>
                </w14:textFill>
              </w:rPr>
            </w:pPr>
            <w:r>
              <w:rPr>
                <w:rFonts w:hint="eastAsia"/>
                <w:color w:val="000000" w:themeColor="text1"/>
                <w:kern w:val="2"/>
                <w:lang w:val="zh-CN"/>
                <w14:textFill>
                  <w14:solidFill>
                    <w14:schemeClr w14:val="tx1"/>
                  </w14:solidFill>
                </w14:textFill>
              </w:rPr>
              <w:t>低于成本价不正当竞争预防措施</w:t>
            </w:r>
          </w:p>
        </w:tc>
        <w:tc>
          <w:tcPr>
            <w:tcW w:w="6681" w:type="dxa"/>
            <w:tcBorders>
              <w:top w:val="single" w:color="auto" w:sz="8" w:space="0"/>
              <w:left w:val="single" w:color="auto" w:sz="8" w:space="0"/>
              <w:bottom w:val="single" w:color="auto" w:sz="8" w:space="0"/>
              <w:right w:val="single" w:color="auto" w:sz="18" w:space="0"/>
            </w:tcBorders>
            <w:vAlign w:val="center"/>
          </w:tcPr>
          <w:p>
            <w:pPr>
              <w:spacing w:line="360" w:lineRule="auto"/>
              <w:ind w:right="94" w:rightChars="45"/>
              <w:rPr>
                <w:rFonts w:ascii="宋体" w:hAnsi="宋体"/>
                <w:b/>
                <w:color w:val="000000" w:themeColor="text1"/>
                <w:sz w:val="24"/>
                <w14:textFill>
                  <w14:solidFill>
                    <w14:schemeClr w14:val="tx1"/>
                  </w14:solidFill>
                </w14:textFill>
              </w:rPr>
            </w:pPr>
            <w:r>
              <w:rPr>
                <w:rFonts w:hint="eastAsia" w:ascii="宋体" w:hAnsi="宋体" w:cs="宋体"/>
                <w:color w:val="000000" w:themeColor="text1"/>
                <w:sz w:val="24"/>
                <w:szCs w:val="24"/>
                <w:lang w:val="zh-CN"/>
                <w14:textFill>
                  <w14:solidFill>
                    <w14:schemeClr w14:val="tx1"/>
                  </w14:solidFill>
                </w14:textFill>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政府采购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6"/>
              </w:numPr>
              <w:snapToGrid w:val="0"/>
              <w:spacing w:after="200" w:line="360" w:lineRule="auto"/>
              <w:jc w:val="center"/>
              <w:rPr>
                <w:rFonts w:ascii="宋体" w:hAnsi="宋体"/>
                <w:color w:val="000000" w:themeColor="text1"/>
                <w:sz w:val="24"/>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pStyle w:val="121"/>
              <w:spacing w:line="360" w:lineRule="auto"/>
              <w:ind w:left="96"/>
              <w:rPr>
                <w:color w:val="000000" w:themeColor="text1"/>
                <w:kern w:val="2"/>
                <w:lang w:val="zh-CN"/>
                <w14:textFill>
                  <w14:solidFill>
                    <w14:schemeClr w14:val="tx1"/>
                  </w14:solidFill>
                </w14:textFill>
              </w:rPr>
            </w:pPr>
            <w:r>
              <w:rPr>
                <w:rFonts w:hint="eastAsia"/>
                <w:color w:val="000000" w:themeColor="text1"/>
                <w:kern w:val="2"/>
                <w:lang w:val="zh-CN"/>
                <w14:textFill>
                  <w14:solidFill>
                    <w14:schemeClr w14:val="tx1"/>
                  </w14:solidFill>
                </w14:textFill>
              </w:rPr>
              <w:t>投标保证金</w:t>
            </w:r>
          </w:p>
        </w:tc>
        <w:tc>
          <w:tcPr>
            <w:tcW w:w="6681"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olor w:val="000000" w:themeColor="text1"/>
                <w:sz w:val="24"/>
                <w:lang w:val="zh-CN"/>
                <w14:textFill>
                  <w14:solidFill>
                    <w14:schemeClr w14:val="tx1"/>
                  </w14:solidFill>
                </w14:textFill>
              </w:rPr>
            </w:pPr>
            <w:r>
              <w:rPr>
                <w:rFonts w:hint="eastAsia" w:ascii="宋体" w:hAnsi="宋体"/>
                <w:color w:val="000000" w:themeColor="text1"/>
                <w:sz w:val="24"/>
                <w:lang w:val="zh-CN"/>
                <w14:textFill>
                  <w14:solidFill>
                    <w14:schemeClr w14:val="tx1"/>
                  </w14:solidFill>
                </w14:textFill>
              </w:rPr>
              <w:t>本项目不收取投标保证金。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6"/>
              </w:numPr>
              <w:snapToGrid w:val="0"/>
              <w:spacing w:after="200" w:line="360" w:lineRule="auto"/>
              <w:jc w:val="center"/>
              <w:rPr>
                <w:rFonts w:ascii="宋体" w:hAnsi="宋体"/>
                <w:color w:val="000000" w:themeColor="text1"/>
                <w:sz w:val="24"/>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jc w:val="left"/>
              <w:rPr>
                <w:rFonts w:ascii="宋体" w:hAnsi="宋体"/>
                <w:color w:val="000000" w:themeColor="text1"/>
                <w:sz w:val="24"/>
                <w14:textFill>
                  <w14:solidFill>
                    <w14:schemeClr w14:val="tx1"/>
                  </w14:solidFill>
                </w14:textFill>
              </w:rPr>
            </w:pPr>
            <w:r>
              <w:rPr>
                <w:rFonts w:hint="eastAsia" w:ascii="宋体" w:hAnsi="宋体" w:cs="宋体"/>
                <w:color w:val="000000" w:themeColor="text1"/>
                <w:kern w:val="0"/>
                <w:sz w:val="24"/>
                <w:szCs w:val="24"/>
                <w:lang w:val="zh-CN"/>
                <w14:textFill>
                  <w14:solidFill>
                    <w14:schemeClr w14:val="tx1"/>
                  </w14:solidFill>
                </w14:textFill>
              </w:rPr>
              <w:t>履约保证金</w:t>
            </w:r>
          </w:p>
        </w:tc>
        <w:tc>
          <w:tcPr>
            <w:tcW w:w="6681"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color w:val="000000" w:themeColor="text1"/>
                <w:kern w:val="0"/>
                <w:sz w:val="24"/>
                <w14:textFill>
                  <w14:solidFill>
                    <w14:schemeClr w14:val="tx1"/>
                  </w14:solidFill>
                </w14:textFill>
              </w:rPr>
            </w:pPr>
            <w:r>
              <w:rPr>
                <w:rFonts w:hint="eastAsia" w:ascii="宋体" w:hAnsi="宋体"/>
                <w:color w:val="000000" w:themeColor="text1"/>
                <w:sz w:val="24"/>
                <w:lang w:val="zh-CN"/>
                <w14:textFill>
                  <w14:solidFill>
                    <w14:schemeClr w14:val="tx1"/>
                  </w14:solidFill>
                </w14:textFill>
              </w:rPr>
              <w:t>详见投标人须知2.6.4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6"/>
              </w:numPr>
              <w:snapToGrid w:val="0"/>
              <w:spacing w:after="200" w:line="360" w:lineRule="auto"/>
              <w:jc w:val="center"/>
              <w:rPr>
                <w:rFonts w:ascii="宋体" w:hAnsi="宋体"/>
                <w:color w:val="000000" w:themeColor="text1"/>
                <w:sz w:val="24"/>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投标有效期</w:t>
            </w:r>
          </w:p>
        </w:tc>
        <w:tc>
          <w:tcPr>
            <w:tcW w:w="6681"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color w:val="000000" w:themeColor="text1"/>
                <w:sz w:val="24"/>
                <w14:textFill>
                  <w14:solidFill>
                    <w14:schemeClr w14:val="tx1"/>
                  </w14:solidFill>
                </w14:textFill>
              </w:rPr>
            </w:pPr>
            <w:r>
              <w:rPr>
                <w:rFonts w:hint="eastAsia" w:ascii="Helvetica" w:hAnsi="Helvetica" w:cs="Helvetica"/>
                <w:color w:val="000000" w:themeColor="text1"/>
                <w:kern w:val="0"/>
                <w:sz w:val="24"/>
                <w:szCs w:val="24"/>
                <w14:textFill>
                  <w14:solidFill>
                    <w14:schemeClr w14:val="tx1"/>
                  </w14:solidFill>
                </w14:textFill>
              </w:rPr>
              <w:t>提交投标文件的截止之日起</w:t>
            </w:r>
            <w:r>
              <w:rPr>
                <w:rFonts w:hint="eastAsia" w:ascii="宋体" w:hAnsi="宋体"/>
                <w:color w:val="000000" w:themeColor="text1"/>
                <w:sz w:val="24"/>
                <w:szCs w:val="24"/>
                <w:u w:val="single"/>
                <w14:textFill>
                  <w14:solidFill>
                    <w14:schemeClr w14:val="tx1"/>
                  </w14:solidFill>
                </w14:textFill>
              </w:rPr>
              <w:t xml:space="preserve"> 120</w:t>
            </w:r>
            <w:r>
              <w:rPr>
                <w:rFonts w:hint="eastAsia" w:ascii="宋体" w:hAnsi="宋体"/>
                <w:color w:val="000000" w:themeColor="text1"/>
                <w:sz w:val="24"/>
                <w:szCs w:val="24"/>
                <w14:textFill>
                  <w14:solidFill>
                    <w14:schemeClr w14:val="tx1"/>
                  </w14:solidFill>
                </w14:textFill>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6"/>
              </w:numPr>
              <w:snapToGrid w:val="0"/>
              <w:spacing w:after="200" w:line="360" w:lineRule="auto"/>
              <w:jc w:val="center"/>
              <w:rPr>
                <w:rFonts w:ascii="宋体" w:hAnsi="宋体"/>
                <w:color w:val="000000" w:themeColor="text1"/>
                <w:sz w:val="24"/>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投标文件的制作和签章、加密</w:t>
            </w:r>
          </w:p>
        </w:tc>
        <w:tc>
          <w:tcPr>
            <w:tcW w:w="6681"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详见投标人须知2.4.11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89" w:type="dxa"/>
            <w:tcBorders>
              <w:top w:val="single" w:color="auto" w:sz="8" w:space="0"/>
              <w:left w:val="single" w:color="auto" w:sz="18" w:space="0"/>
              <w:bottom w:val="single" w:color="auto" w:sz="4" w:space="0"/>
              <w:right w:val="single" w:color="auto" w:sz="8" w:space="0"/>
            </w:tcBorders>
            <w:vAlign w:val="center"/>
          </w:tcPr>
          <w:p>
            <w:pPr>
              <w:numPr>
                <w:ilvl w:val="0"/>
                <w:numId w:val="6"/>
              </w:numPr>
              <w:snapToGrid w:val="0"/>
              <w:spacing w:after="200" w:line="360" w:lineRule="auto"/>
              <w:jc w:val="center"/>
              <w:rPr>
                <w:rFonts w:ascii="宋体" w:hAnsi="宋体"/>
                <w:color w:val="000000" w:themeColor="text1"/>
                <w:sz w:val="24"/>
                <w14:textFill>
                  <w14:solidFill>
                    <w14:schemeClr w14:val="tx1"/>
                  </w14:solidFill>
                </w14:textFill>
              </w:rPr>
            </w:pPr>
          </w:p>
        </w:tc>
        <w:tc>
          <w:tcPr>
            <w:tcW w:w="1942" w:type="dxa"/>
            <w:tcBorders>
              <w:top w:val="single" w:color="auto" w:sz="8" w:space="0"/>
              <w:left w:val="single" w:color="auto" w:sz="8" w:space="0"/>
              <w:bottom w:val="single" w:color="auto" w:sz="4" w:space="0"/>
              <w:right w:val="single" w:color="auto" w:sz="8" w:space="0"/>
            </w:tcBorders>
            <w:vAlign w:val="center"/>
          </w:tcPr>
          <w:p>
            <w:pPr>
              <w:tabs>
                <w:tab w:val="left" w:pos="7665"/>
              </w:tabs>
              <w:snapToGrid w:val="0"/>
              <w:spacing w:line="360" w:lineRule="auto"/>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投标文件的递交</w:t>
            </w:r>
          </w:p>
        </w:tc>
        <w:tc>
          <w:tcPr>
            <w:tcW w:w="6681"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详见投标人须知2.4.12</w:t>
            </w:r>
          </w:p>
          <w:p>
            <w:pPr>
              <w:tabs>
                <w:tab w:val="left" w:pos="7665"/>
              </w:tabs>
              <w:snapToGrid w:val="0"/>
              <w:spacing w:line="360" w:lineRule="auto"/>
              <w:jc w:val="left"/>
              <w:rPr>
                <w:color w:val="000000" w:themeColor="text1"/>
                <w14:textFill>
                  <w14:solidFill>
                    <w14:schemeClr w14:val="tx1"/>
                  </w14:solidFill>
                </w14:textFill>
              </w:rPr>
            </w:pPr>
            <w:r>
              <w:rPr>
                <w:rFonts w:hint="eastAsia" w:ascii="宋体" w:hAnsi="宋体"/>
                <w:color w:val="000000" w:themeColor="text1"/>
                <w:sz w:val="24"/>
                <w14:textFill>
                  <w14:solidFill>
                    <w14:schemeClr w14:val="tx1"/>
                  </w14:solidFill>
                </w14:textFill>
              </w:rPr>
              <w:t>注：投标人使用CA证书在投标截止时间前，将电子投标文件上传至政府采购云平台，上传前须对电子投标文件是否有电子签章等进行核对。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89" w:type="dxa"/>
            <w:tcBorders>
              <w:top w:val="single" w:color="auto" w:sz="4" w:space="0"/>
              <w:left w:val="single" w:color="auto" w:sz="18" w:space="0"/>
              <w:bottom w:val="single" w:color="auto" w:sz="4" w:space="0"/>
              <w:right w:val="single" w:color="auto" w:sz="8" w:space="0"/>
            </w:tcBorders>
            <w:vAlign w:val="center"/>
          </w:tcPr>
          <w:p>
            <w:pPr>
              <w:numPr>
                <w:ilvl w:val="0"/>
                <w:numId w:val="6"/>
              </w:numPr>
              <w:snapToGrid w:val="0"/>
              <w:spacing w:after="200" w:line="360" w:lineRule="auto"/>
              <w:jc w:val="center"/>
              <w:rPr>
                <w:rFonts w:ascii="宋体" w:hAnsi="宋体"/>
                <w:color w:val="000000" w:themeColor="text1"/>
                <w:sz w:val="24"/>
                <w14:textFill>
                  <w14:solidFill>
                    <w14:schemeClr w14:val="tx1"/>
                  </w14:solidFill>
                </w14:textFill>
              </w:rPr>
            </w:pPr>
          </w:p>
        </w:tc>
        <w:tc>
          <w:tcPr>
            <w:tcW w:w="1942" w:type="dxa"/>
            <w:tcBorders>
              <w:top w:val="single" w:color="auto" w:sz="4" w:space="0"/>
              <w:left w:val="single" w:color="auto" w:sz="8" w:space="0"/>
              <w:bottom w:val="single" w:color="auto" w:sz="4" w:space="0"/>
              <w:right w:val="single" w:color="auto" w:sz="8" w:space="0"/>
            </w:tcBorders>
            <w:vAlign w:val="center"/>
          </w:tcPr>
          <w:p>
            <w:pPr>
              <w:tabs>
                <w:tab w:val="left" w:pos="7665"/>
              </w:tabs>
              <w:snapToGrid w:val="0"/>
              <w:spacing w:line="360" w:lineRule="auto"/>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投标文件的补充、修改</w:t>
            </w:r>
          </w:p>
        </w:tc>
        <w:tc>
          <w:tcPr>
            <w:tcW w:w="6681"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详见投标人须知2.4.13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89" w:type="dxa"/>
            <w:tcBorders>
              <w:top w:val="single" w:color="auto" w:sz="4" w:space="0"/>
              <w:left w:val="single" w:color="auto" w:sz="18" w:space="0"/>
              <w:bottom w:val="single" w:color="auto" w:sz="8" w:space="0"/>
              <w:right w:val="single" w:color="auto" w:sz="8" w:space="0"/>
            </w:tcBorders>
            <w:vAlign w:val="center"/>
          </w:tcPr>
          <w:p>
            <w:pPr>
              <w:numPr>
                <w:ilvl w:val="0"/>
                <w:numId w:val="6"/>
              </w:numPr>
              <w:snapToGrid w:val="0"/>
              <w:spacing w:after="200" w:line="360" w:lineRule="auto"/>
              <w:jc w:val="center"/>
              <w:rPr>
                <w:rFonts w:ascii="宋体" w:hAnsi="宋体"/>
                <w:color w:val="000000" w:themeColor="text1"/>
                <w:sz w:val="24"/>
                <w14:textFill>
                  <w14:solidFill>
                    <w14:schemeClr w14:val="tx1"/>
                  </w14:solidFill>
                </w14:textFill>
              </w:rPr>
            </w:pPr>
          </w:p>
        </w:tc>
        <w:tc>
          <w:tcPr>
            <w:tcW w:w="1942" w:type="dxa"/>
            <w:tcBorders>
              <w:top w:val="single" w:color="auto" w:sz="4" w:space="0"/>
              <w:left w:val="single" w:color="auto" w:sz="8" w:space="0"/>
              <w:bottom w:val="single" w:color="auto" w:sz="8" w:space="0"/>
              <w:right w:val="single" w:color="auto" w:sz="8" w:space="0"/>
            </w:tcBorders>
            <w:vAlign w:val="center"/>
          </w:tcPr>
          <w:p>
            <w:pPr>
              <w:tabs>
                <w:tab w:val="left" w:pos="7665"/>
              </w:tabs>
              <w:snapToGrid w:val="0"/>
              <w:spacing w:line="360" w:lineRule="auto"/>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投标文件的撤回</w:t>
            </w:r>
          </w:p>
        </w:tc>
        <w:tc>
          <w:tcPr>
            <w:tcW w:w="6681" w:type="dxa"/>
            <w:tcBorders>
              <w:top w:val="single" w:color="auto" w:sz="4" w:space="0"/>
              <w:left w:val="single" w:color="auto" w:sz="8" w:space="0"/>
              <w:bottom w:val="single" w:color="auto" w:sz="8" w:space="0"/>
              <w:right w:val="single" w:color="auto" w:sz="18" w:space="0"/>
            </w:tcBorders>
            <w:vAlign w:val="center"/>
          </w:tcPr>
          <w:p>
            <w:pPr>
              <w:tabs>
                <w:tab w:val="left" w:pos="7665"/>
              </w:tabs>
              <w:snapToGrid w:val="0"/>
              <w:spacing w:line="360" w:lineRule="auto"/>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详见投标人须知2.4.14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89" w:type="dxa"/>
            <w:tcBorders>
              <w:top w:val="single" w:color="auto" w:sz="4" w:space="0"/>
              <w:left w:val="single" w:color="auto" w:sz="18" w:space="0"/>
              <w:bottom w:val="single" w:color="auto" w:sz="8" w:space="0"/>
              <w:right w:val="single" w:color="auto" w:sz="8" w:space="0"/>
            </w:tcBorders>
            <w:vAlign w:val="center"/>
          </w:tcPr>
          <w:p>
            <w:pPr>
              <w:numPr>
                <w:ilvl w:val="0"/>
                <w:numId w:val="6"/>
              </w:numPr>
              <w:snapToGrid w:val="0"/>
              <w:spacing w:after="200" w:line="360" w:lineRule="auto"/>
              <w:jc w:val="center"/>
              <w:rPr>
                <w:rFonts w:ascii="宋体" w:hAnsi="宋体"/>
                <w:color w:val="000000" w:themeColor="text1"/>
                <w:sz w:val="24"/>
                <w14:textFill>
                  <w14:solidFill>
                    <w14:schemeClr w14:val="tx1"/>
                  </w14:solidFill>
                </w14:textFill>
              </w:rPr>
            </w:pPr>
          </w:p>
        </w:tc>
        <w:tc>
          <w:tcPr>
            <w:tcW w:w="1942" w:type="dxa"/>
            <w:tcBorders>
              <w:top w:val="single" w:color="auto" w:sz="4" w:space="0"/>
              <w:left w:val="single" w:color="auto" w:sz="8" w:space="0"/>
              <w:bottom w:val="single" w:color="auto" w:sz="8" w:space="0"/>
              <w:right w:val="single" w:color="auto" w:sz="8" w:space="0"/>
            </w:tcBorders>
            <w:vAlign w:val="center"/>
          </w:tcPr>
          <w:p>
            <w:pPr>
              <w:tabs>
                <w:tab w:val="left" w:pos="7665"/>
              </w:tabs>
              <w:snapToGrid w:val="0"/>
              <w:spacing w:line="360" w:lineRule="auto"/>
              <w:jc w:val="left"/>
              <w:rPr>
                <w:rFonts w:ascii="宋体" w:hAnsi="宋体"/>
                <w:color w:val="000000" w:themeColor="text1"/>
                <w:sz w:val="24"/>
                <w14:textFill>
                  <w14:solidFill>
                    <w14:schemeClr w14:val="tx1"/>
                  </w14:solidFill>
                </w14:textFill>
              </w:rPr>
            </w:pPr>
            <w:r>
              <w:rPr>
                <w:rFonts w:hint="eastAsia"/>
                <w:b/>
                <w:color w:val="000000" w:themeColor="text1"/>
                <w14:textFill>
                  <w14:solidFill>
                    <w14:schemeClr w14:val="tx1"/>
                  </w14:solidFill>
                </w14:textFill>
              </w:rPr>
              <w:t>开标及开标程序</w:t>
            </w:r>
          </w:p>
        </w:tc>
        <w:tc>
          <w:tcPr>
            <w:tcW w:w="6681" w:type="dxa"/>
            <w:tcBorders>
              <w:top w:val="single" w:color="auto" w:sz="4" w:space="0"/>
              <w:left w:val="single" w:color="auto" w:sz="8" w:space="0"/>
              <w:bottom w:val="single" w:color="auto" w:sz="8" w:space="0"/>
              <w:right w:val="single" w:color="auto" w:sz="18" w:space="0"/>
            </w:tcBorders>
            <w:vAlign w:val="center"/>
          </w:tcPr>
          <w:p>
            <w:pPr>
              <w:snapToGrid w:val="0"/>
              <w:spacing w:line="360" w:lineRule="auto"/>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详见投标人须知2.5.1。</w:t>
            </w:r>
          </w:p>
          <w:p>
            <w:pPr>
              <w:snapToGrid w:val="0"/>
              <w:spacing w:line="360" w:lineRule="auto"/>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投标文件解密：开启解密后，投标人应在系统提示的解密开始时间后</w:t>
            </w:r>
            <w:r>
              <w:rPr>
                <w:rFonts w:ascii="宋体" w:hAnsi="宋体"/>
                <w:b/>
                <w:color w:val="000000" w:themeColor="text1"/>
                <w14:textFill>
                  <w14:solidFill>
                    <w14:schemeClr w14:val="tx1"/>
                  </w14:solidFill>
                </w14:textFill>
              </w:rPr>
              <w:t>60</w:t>
            </w:r>
            <w:r>
              <w:rPr>
                <w:rFonts w:hint="eastAsia" w:ascii="宋体" w:hAnsi="宋体"/>
                <w:b/>
                <w:color w:val="000000" w:themeColor="text1"/>
                <w14:textFill>
                  <w14:solidFill>
                    <w14:schemeClr w14:val="tx1"/>
                  </w14:solidFill>
                </w14:textFill>
              </w:rPr>
              <w:t>分钟内 ，使用对投标文件进行加密的CA证书在线完成对投标人递交至政府采购云平台的投标文件的解密。</w:t>
            </w:r>
          </w:p>
          <w:p>
            <w:pPr>
              <w:snapToGrid w:val="0"/>
              <w:spacing w:line="360" w:lineRule="auto"/>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投标人电脑终端等硬件设备和软件系统配置：投标人电脑终端等硬件设备和软件系统配置应符合开标大厅投标人电脑终端配置要求并运行正常，投标人承担因未尽职责产生的不利后果。</w:t>
            </w:r>
          </w:p>
          <w:p>
            <w:pPr>
              <w:tabs>
                <w:tab w:val="left" w:pos="7665"/>
              </w:tabs>
              <w:snapToGrid w:val="0"/>
              <w:spacing w:line="360" w:lineRule="auto"/>
              <w:jc w:val="left"/>
              <w:rPr>
                <w:rFonts w:ascii="宋体" w:hAnsi="宋体"/>
                <w:color w:val="000000" w:themeColor="text1"/>
                <w:sz w:val="24"/>
                <w14:textFill>
                  <w14:solidFill>
                    <w14:schemeClr w14:val="tx1"/>
                  </w14:solidFill>
                </w14:textFill>
              </w:rPr>
            </w:pPr>
            <w:r>
              <w:rPr>
                <w:rFonts w:hint="eastAsia" w:ascii="宋体" w:hAnsi="宋体"/>
                <w:b/>
                <w:color w:val="000000" w:themeColor="text1"/>
                <w14:textFill>
                  <w14:solidFill>
                    <w14:schemeClr w14:val="tx1"/>
                  </w14:solidFill>
                </w14:textFill>
              </w:rPr>
              <w:t>开标、投标文件的解密详见《成都市全流程电子化采购系统操作指南——供应商版》。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6"/>
              </w:numPr>
              <w:snapToGrid w:val="0"/>
              <w:spacing w:after="200" w:line="360" w:lineRule="auto"/>
              <w:jc w:val="center"/>
              <w:rPr>
                <w:rFonts w:ascii="宋体" w:hAnsi="宋体"/>
                <w:color w:val="000000" w:themeColor="text1"/>
                <w:sz w:val="24"/>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对招标文件中供应商参加本次政府采购活动应当具备的条件，招标项目技术、服务、商务及其他要求，评标细则及标准，以及关于资格审查的询问、质疑</w:t>
            </w:r>
          </w:p>
        </w:tc>
        <w:tc>
          <w:tcPr>
            <w:tcW w:w="6681"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right="210"/>
              <w:rPr>
                <w:rFonts w:ascii="宋体" w:hAnsi="宋体" w:eastAsia="仿宋_GB2312" w:cs="宋体"/>
                <w:color w:val="000000" w:themeColor="text1"/>
                <w:kern w:val="0"/>
                <w:sz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向采购人提出，并由</w:t>
            </w:r>
            <w:r>
              <w:rPr>
                <w:rFonts w:hint="eastAsia" w:ascii="宋体" w:hAnsi="宋体"/>
                <w:color w:val="000000" w:themeColor="text1"/>
                <w:kern w:val="0"/>
                <w:sz w:val="24"/>
                <w14:textFill>
                  <w14:solidFill>
                    <w14:schemeClr w14:val="tx1"/>
                  </w14:solidFill>
                </w14:textFill>
              </w:rPr>
              <w:t>采购人</w:t>
            </w:r>
            <w:r>
              <w:rPr>
                <w:rFonts w:hint="eastAsia" w:ascii="宋体" w:hAnsi="宋体"/>
                <w:color w:val="000000" w:themeColor="text1"/>
                <w:sz w:val="24"/>
                <w:szCs w:val="24"/>
                <w14:textFill>
                  <w14:solidFill>
                    <w14:schemeClr w14:val="tx1"/>
                  </w14:solidFill>
                </w14:textFill>
              </w:rPr>
              <w:t>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6"/>
              </w:numPr>
              <w:snapToGrid w:val="0"/>
              <w:spacing w:after="200" w:line="360" w:lineRule="auto"/>
              <w:jc w:val="center"/>
              <w:rPr>
                <w:rFonts w:ascii="宋体" w:hAnsi="宋体"/>
                <w:color w:val="000000" w:themeColor="text1"/>
                <w:sz w:val="24"/>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对招标文件中的其他内容、采购过程及中标结果（除资格审查）的询问、质疑</w:t>
            </w:r>
          </w:p>
        </w:tc>
        <w:tc>
          <w:tcPr>
            <w:tcW w:w="6681"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right="210"/>
              <w:rPr>
                <w:rFonts w:ascii="宋体" w:hAnsi="宋体" w:eastAsia="仿宋_GB2312" w:cs="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向区采购中心提出，</w:t>
            </w:r>
            <w:r>
              <w:rPr>
                <w:rFonts w:hint="eastAsia" w:ascii="宋体" w:hAnsi="宋体"/>
                <w:color w:val="000000" w:themeColor="text1"/>
                <w:sz w:val="24"/>
                <w:szCs w:val="24"/>
                <w14:textFill>
                  <w14:solidFill>
                    <w14:schemeClr w14:val="tx1"/>
                  </w14:solidFill>
                </w14:textFill>
              </w:rPr>
              <w:t>并由区采购中心按相关规定作出答复（详见投标人须知2.8）。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6"/>
              </w:numPr>
              <w:snapToGrid w:val="0"/>
              <w:spacing w:after="200" w:line="360" w:lineRule="auto"/>
              <w:jc w:val="center"/>
              <w:rPr>
                <w:rFonts w:ascii="宋体" w:hAnsi="宋体"/>
                <w:color w:val="000000" w:themeColor="text1"/>
                <w:sz w:val="24"/>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投标人投诉</w:t>
            </w:r>
          </w:p>
        </w:tc>
        <w:tc>
          <w:tcPr>
            <w:tcW w:w="6681"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right="210" w:rightChars="100"/>
              <w:rPr>
                <w:rFonts w:ascii="宋体" w:hAnsi="宋体" w:eastAsia="仿宋_GB2312" w:cs="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投诉受理单位：本项目同级财政部门，即成都市青羊区财政局。</w:t>
            </w:r>
          </w:p>
          <w:p>
            <w:pPr>
              <w:tabs>
                <w:tab w:val="left" w:pos="7665"/>
              </w:tabs>
              <w:snapToGrid w:val="0"/>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联系电话：028-86699817。</w:t>
            </w:r>
          </w:p>
          <w:p>
            <w:pPr>
              <w:tabs>
                <w:tab w:val="left" w:pos="7665"/>
              </w:tabs>
              <w:snapToGrid w:val="0"/>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地址：成都市青羊区西华门街19号1号楼4楼。</w:t>
            </w:r>
          </w:p>
          <w:p>
            <w:pPr>
              <w:tabs>
                <w:tab w:val="left" w:pos="7665"/>
              </w:tabs>
              <w:snapToGrid w:val="0"/>
              <w:spacing w:line="360" w:lineRule="auto"/>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邮编：610041。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89" w:type="dxa"/>
            <w:tcBorders>
              <w:top w:val="single" w:color="auto" w:sz="8" w:space="0"/>
              <w:left w:val="single" w:color="auto" w:sz="18" w:space="0"/>
              <w:bottom w:val="single" w:color="auto" w:sz="4" w:space="0"/>
              <w:right w:val="single" w:color="auto" w:sz="8" w:space="0"/>
            </w:tcBorders>
            <w:vAlign w:val="center"/>
          </w:tcPr>
          <w:p>
            <w:pPr>
              <w:numPr>
                <w:ilvl w:val="0"/>
                <w:numId w:val="6"/>
              </w:numPr>
              <w:snapToGrid w:val="0"/>
              <w:spacing w:after="200" w:line="360" w:lineRule="auto"/>
              <w:ind w:left="0" w:firstLine="0"/>
              <w:jc w:val="center"/>
              <w:rPr>
                <w:rFonts w:ascii="宋体" w:hAnsi="宋体"/>
                <w:color w:val="000000" w:themeColor="text1"/>
                <w:sz w:val="24"/>
                <w14:textFill>
                  <w14:solidFill>
                    <w14:schemeClr w14:val="tx1"/>
                  </w14:solidFill>
                </w14:textFill>
              </w:rPr>
            </w:pPr>
          </w:p>
        </w:tc>
        <w:tc>
          <w:tcPr>
            <w:tcW w:w="1942"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jc w:val="left"/>
              <w:rPr>
                <w:rFonts w:ascii="宋体" w:hAnsi="宋体" w:cs="宋体"/>
                <w:color w:val="000000" w:themeColor="text1"/>
                <w:kern w:val="0"/>
                <w:sz w:val="24"/>
                <w:szCs w:val="24"/>
                <w:lang w:val="zh-CN"/>
                <w14:textFill>
                  <w14:solidFill>
                    <w14:schemeClr w14:val="tx1"/>
                  </w14:solidFill>
                </w14:textFill>
              </w:rPr>
            </w:pPr>
            <w:r>
              <w:rPr>
                <w:rFonts w:hint="eastAsia" w:ascii="宋体" w:hAnsi="宋体" w:cs="宋体"/>
                <w:color w:val="000000" w:themeColor="text1"/>
                <w:kern w:val="0"/>
                <w:sz w:val="24"/>
                <w:szCs w:val="24"/>
                <w:lang w:val="zh-CN"/>
                <w14:textFill>
                  <w14:solidFill>
                    <w14:schemeClr w14:val="tx1"/>
                  </w14:solidFill>
                </w14:textFill>
              </w:rPr>
              <w:t>评标情况公告</w:t>
            </w:r>
          </w:p>
        </w:tc>
        <w:tc>
          <w:tcPr>
            <w:tcW w:w="6681" w:type="dxa"/>
            <w:tcBorders>
              <w:top w:val="single" w:color="auto" w:sz="8" w:space="0"/>
              <w:left w:val="single" w:color="auto" w:sz="8" w:space="0"/>
              <w:bottom w:val="single" w:color="auto" w:sz="4" w:space="0"/>
              <w:right w:val="single" w:color="auto" w:sz="18" w:space="0"/>
            </w:tcBorders>
            <w:vAlign w:val="center"/>
          </w:tcPr>
          <w:p>
            <w:pPr>
              <w:widowControl/>
              <w:tabs>
                <w:tab w:val="left" w:pos="7665"/>
              </w:tabs>
              <w:spacing w:line="360" w:lineRule="auto"/>
              <w:jc w:val="left"/>
              <w:rPr>
                <w:rFonts w:ascii="宋体" w:hAnsi="宋体" w:cs="宋体"/>
                <w:color w:val="000000" w:themeColor="text1"/>
                <w:kern w:val="0"/>
                <w:sz w:val="24"/>
                <w:szCs w:val="24"/>
                <w:lang w:val="zh-CN"/>
                <w14:textFill>
                  <w14:solidFill>
                    <w14:schemeClr w14:val="tx1"/>
                  </w14:solidFill>
                </w14:textFill>
              </w:rPr>
            </w:pPr>
            <w:r>
              <w:rPr>
                <w:rFonts w:hint="eastAsia" w:ascii="宋体" w:hAnsi="宋体" w:cs="宋体"/>
                <w:color w:val="000000" w:themeColor="text1"/>
                <w:kern w:val="0"/>
                <w:sz w:val="24"/>
                <w:szCs w:val="24"/>
                <w:lang w:val="zh-CN"/>
                <w14:textFill>
                  <w14:solidFill>
                    <w14:schemeClr w14:val="tx1"/>
                  </w14:solidFill>
                </w14:textFill>
              </w:rPr>
              <w:t>所有</w:t>
            </w:r>
            <w:r>
              <w:rPr>
                <w:rFonts w:hint="eastAsia" w:ascii="宋体" w:hAnsi="宋体"/>
                <w:color w:val="000000" w:themeColor="text1"/>
                <w:sz w:val="24"/>
                <w:szCs w:val="24"/>
                <w14:textFill>
                  <w14:solidFill>
                    <w14:schemeClr w14:val="tx1"/>
                  </w14:solidFill>
                </w14:textFill>
              </w:rPr>
              <w:t>投标人</w:t>
            </w:r>
            <w:r>
              <w:rPr>
                <w:rFonts w:hint="eastAsia" w:ascii="宋体" w:hAnsi="宋体" w:cs="宋体"/>
                <w:color w:val="000000" w:themeColor="text1"/>
                <w:kern w:val="0"/>
                <w:sz w:val="24"/>
                <w:szCs w:val="24"/>
                <w:lang w:val="zh-CN"/>
                <w14:textFill>
                  <w14:solidFill>
                    <w14:schemeClr w14:val="tx1"/>
                  </w14:solidFill>
                </w14:textFill>
              </w:rPr>
              <w:t>投标文件资格性、符合性检查情况、采用综合评分法时的得分情况、评标结果等将在成都市公共资源交易服务中心网、四川政府采购网上采购结果公告栏中予以公告。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89" w:type="dxa"/>
            <w:tcBorders>
              <w:top w:val="single" w:color="auto" w:sz="8" w:space="0"/>
              <w:left w:val="single" w:color="auto" w:sz="18" w:space="0"/>
              <w:bottom w:val="single" w:color="auto" w:sz="4" w:space="0"/>
              <w:right w:val="single" w:color="auto" w:sz="8" w:space="0"/>
            </w:tcBorders>
            <w:vAlign w:val="center"/>
          </w:tcPr>
          <w:p>
            <w:pPr>
              <w:numPr>
                <w:ilvl w:val="0"/>
                <w:numId w:val="6"/>
              </w:numPr>
              <w:snapToGrid w:val="0"/>
              <w:spacing w:after="200" w:line="360" w:lineRule="auto"/>
              <w:ind w:left="0" w:firstLine="0"/>
              <w:jc w:val="center"/>
              <w:rPr>
                <w:rFonts w:ascii="宋体" w:hAnsi="宋体"/>
                <w:color w:val="000000" w:themeColor="text1"/>
                <w:sz w:val="24"/>
                <w14:textFill>
                  <w14:solidFill>
                    <w14:schemeClr w14:val="tx1"/>
                  </w14:solidFill>
                </w14:textFill>
              </w:rPr>
            </w:pPr>
          </w:p>
        </w:tc>
        <w:tc>
          <w:tcPr>
            <w:tcW w:w="1942"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jc w:val="left"/>
              <w:rPr>
                <w:rFonts w:ascii="宋体" w:hAnsi="宋体"/>
                <w:color w:val="000000" w:themeColor="text1"/>
                <w:sz w:val="24"/>
                <w:szCs w:val="24"/>
                <w14:textFill>
                  <w14:solidFill>
                    <w14:schemeClr w14:val="tx1"/>
                  </w14:solidFill>
                </w14:textFill>
              </w:rPr>
            </w:pPr>
            <w:r>
              <w:rPr>
                <w:rFonts w:hint="eastAsia" w:ascii="宋体" w:hAnsi="宋体" w:cs="宋体"/>
                <w:color w:val="000000" w:themeColor="text1"/>
                <w:kern w:val="0"/>
                <w:sz w:val="24"/>
                <w:szCs w:val="24"/>
                <w:lang w:val="zh-CN"/>
                <w14:textFill>
                  <w14:solidFill>
                    <w14:schemeClr w14:val="tx1"/>
                  </w14:solidFill>
                </w14:textFill>
              </w:rPr>
              <w:t>中标通知书</w:t>
            </w:r>
          </w:p>
        </w:tc>
        <w:tc>
          <w:tcPr>
            <w:tcW w:w="6681"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color w:val="000000" w:themeColor="text1"/>
                <w:kern w:val="0"/>
                <w:sz w:val="24"/>
                <w:szCs w:val="24"/>
                <w14:textFill>
                  <w14:solidFill>
                    <w14:schemeClr w14:val="tx1"/>
                  </w14:solidFill>
                </w14:textFill>
              </w:rPr>
            </w:pPr>
            <w:r>
              <w:rPr>
                <w:rFonts w:hint="eastAsia" w:ascii="宋体" w:hAnsi="宋体"/>
                <w:color w:val="000000" w:themeColor="text1"/>
                <w:kern w:val="0"/>
                <w:sz w:val="24"/>
                <w:szCs w:val="24"/>
                <w14:textFill>
                  <w14:solidFill>
                    <w14:schemeClr w14:val="tx1"/>
                  </w14:solidFill>
                </w14:textFill>
              </w:rPr>
              <w:t>中标公告在四川政府采购网上公告后，中标供应商自行登录政府采购云平台下载中标通知书。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89" w:type="dxa"/>
            <w:tcBorders>
              <w:top w:val="single" w:color="auto" w:sz="8" w:space="0"/>
              <w:left w:val="single" w:color="auto" w:sz="18" w:space="0"/>
              <w:bottom w:val="single" w:color="auto" w:sz="4" w:space="0"/>
              <w:right w:val="single" w:color="auto" w:sz="8" w:space="0"/>
            </w:tcBorders>
            <w:vAlign w:val="center"/>
          </w:tcPr>
          <w:p>
            <w:pPr>
              <w:numPr>
                <w:ilvl w:val="0"/>
                <w:numId w:val="6"/>
              </w:numPr>
              <w:snapToGrid w:val="0"/>
              <w:spacing w:after="200" w:line="360" w:lineRule="auto"/>
              <w:ind w:left="0" w:firstLine="0"/>
              <w:jc w:val="center"/>
              <w:rPr>
                <w:rFonts w:ascii="宋体" w:hAnsi="宋体"/>
                <w:color w:val="000000" w:themeColor="text1"/>
                <w:sz w:val="24"/>
                <w14:textFill>
                  <w14:solidFill>
                    <w14:schemeClr w14:val="tx1"/>
                  </w14:solidFill>
                </w14:textFill>
              </w:rPr>
            </w:pPr>
          </w:p>
        </w:tc>
        <w:tc>
          <w:tcPr>
            <w:tcW w:w="1942"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合同签订地点</w:t>
            </w:r>
          </w:p>
        </w:tc>
        <w:tc>
          <w:tcPr>
            <w:tcW w:w="6681"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四川省成都市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89" w:type="dxa"/>
            <w:tcBorders>
              <w:top w:val="single" w:color="auto" w:sz="4" w:space="0"/>
              <w:left w:val="single" w:color="auto" w:sz="18" w:space="0"/>
              <w:bottom w:val="single" w:color="auto" w:sz="4" w:space="0"/>
              <w:right w:val="single" w:color="auto" w:sz="8" w:space="0"/>
            </w:tcBorders>
            <w:vAlign w:val="center"/>
          </w:tcPr>
          <w:p>
            <w:pPr>
              <w:numPr>
                <w:ilvl w:val="0"/>
                <w:numId w:val="6"/>
              </w:numPr>
              <w:snapToGrid w:val="0"/>
              <w:spacing w:after="200" w:line="360" w:lineRule="auto"/>
              <w:ind w:left="0" w:firstLine="0"/>
              <w:jc w:val="center"/>
              <w:rPr>
                <w:rFonts w:ascii="宋体" w:hAnsi="宋体"/>
                <w:color w:val="000000" w:themeColor="text1"/>
                <w:sz w:val="24"/>
                <w14:textFill>
                  <w14:solidFill>
                    <w14:schemeClr w14:val="tx1"/>
                  </w14:solidFill>
                </w14:textFill>
              </w:rPr>
            </w:pPr>
          </w:p>
        </w:tc>
        <w:tc>
          <w:tcPr>
            <w:tcW w:w="1942"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right="210" w:rightChars="100"/>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政府采购合同公告、备案</w:t>
            </w:r>
          </w:p>
        </w:tc>
        <w:tc>
          <w:tcPr>
            <w:tcW w:w="6681"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4" w:leftChars="-2" w:right="210"/>
              <w:rPr>
                <w:rFonts w:ascii="宋体" w:hAns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政府采购合同签订之日起2个工作日内，采购人将在四川政府采购网公告政府采购合同；</w:t>
            </w:r>
            <w:r>
              <w:rPr>
                <w:rFonts w:hint="eastAsia" w:ascii="宋体" w:hAnsi="宋体" w:cs="宋体"/>
                <w:kern w:val="0"/>
                <w:sz w:val="24"/>
                <w:szCs w:val="24"/>
                <w:lang w:val="zh-CN"/>
              </w:rPr>
              <w:t>采购人与供应商签订政府采购合同及向本采购项目同级财政部门，即</w:t>
            </w:r>
            <w:r>
              <w:rPr>
                <w:rFonts w:hint="eastAsia" w:ascii="宋体" w:hAnsi="宋体" w:cs="宋体"/>
                <w:color w:val="000000" w:themeColor="text1"/>
                <w:kern w:val="0"/>
                <w:sz w:val="24"/>
                <w:szCs w:val="24"/>
                <w:lang w:val="zh-CN"/>
                <w14:textFill>
                  <w14:solidFill>
                    <w14:schemeClr w14:val="tx1"/>
                  </w14:solidFill>
                </w14:textFill>
              </w:rPr>
              <w:t>成都市青羊区财政局备案政府采购合同。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89" w:type="dxa"/>
            <w:tcBorders>
              <w:top w:val="single" w:color="auto" w:sz="4" w:space="0"/>
              <w:left w:val="single" w:color="auto" w:sz="18" w:space="0"/>
              <w:bottom w:val="single" w:color="auto" w:sz="4" w:space="0"/>
              <w:right w:val="single" w:color="auto" w:sz="8" w:space="0"/>
            </w:tcBorders>
            <w:vAlign w:val="center"/>
          </w:tcPr>
          <w:p>
            <w:pPr>
              <w:numPr>
                <w:ilvl w:val="0"/>
                <w:numId w:val="6"/>
              </w:numPr>
              <w:snapToGrid w:val="0"/>
              <w:spacing w:after="200" w:line="360" w:lineRule="auto"/>
              <w:ind w:left="0" w:firstLine="0"/>
              <w:jc w:val="center"/>
              <w:rPr>
                <w:rFonts w:ascii="宋体" w:hAnsi="宋体"/>
                <w:color w:val="000000" w:themeColor="text1"/>
                <w:sz w:val="24"/>
                <w14:textFill>
                  <w14:solidFill>
                    <w14:schemeClr w14:val="tx1"/>
                  </w14:solidFill>
                </w14:textFill>
              </w:rPr>
            </w:pPr>
          </w:p>
        </w:tc>
        <w:tc>
          <w:tcPr>
            <w:tcW w:w="1942" w:type="dxa"/>
            <w:tcBorders>
              <w:top w:val="single" w:color="auto" w:sz="4" w:space="0"/>
              <w:left w:val="single" w:color="auto" w:sz="8" w:space="0"/>
              <w:bottom w:val="single" w:color="auto" w:sz="4" w:space="0"/>
              <w:right w:val="single" w:color="auto" w:sz="8" w:space="0"/>
            </w:tcBorders>
            <w:vAlign w:val="center"/>
          </w:tcPr>
          <w:p>
            <w:pPr>
              <w:tabs>
                <w:tab w:val="left" w:pos="7665"/>
              </w:tabs>
              <w:snapToGrid w:val="0"/>
              <w:spacing w:line="360" w:lineRule="auto"/>
              <w:ind w:left="-4" w:leftChars="-2" w:right="210"/>
              <w:rPr>
                <w:rFonts w:ascii="宋体" w:hAnsi="宋体" w:cs="宋体"/>
                <w:color w:val="000000" w:themeColor="text1"/>
                <w:kern w:val="0"/>
                <w:sz w:val="24"/>
                <w:szCs w:val="24"/>
                <w:lang w:val="zh-CN"/>
                <w14:textFill>
                  <w14:solidFill>
                    <w14:schemeClr w14:val="tx1"/>
                  </w14:solidFill>
                </w14:textFill>
              </w:rPr>
            </w:pPr>
            <w:r>
              <w:rPr>
                <w:rFonts w:hint="eastAsia" w:ascii="宋体" w:hAnsi="宋体" w:cs="宋体"/>
                <w:color w:val="000000" w:themeColor="text1"/>
                <w:kern w:val="0"/>
                <w:sz w:val="24"/>
                <w:szCs w:val="24"/>
                <w:lang w:val="zh-CN"/>
                <w14:textFill>
                  <w14:solidFill>
                    <w14:schemeClr w14:val="tx1"/>
                  </w14:solidFill>
                </w14:textFill>
              </w:rPr>
              <w:t>中小企业政府采购信用融资</w:t>
            </w:r>
          </w:p>
        </w:tc>
        <w:tc>
          <w:tcPr>
            <w:tcW w:w="6681"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4" w:leftChars="-2" w:right="210"/>
              <w:rPr>
                <w:rFonts w:ascii="宋体" w:hAnsi="宋体" w:cs="宋体"/>
                <w:color w:val="000000" w:themeColor="text1"/>
                <w:kern w:val="0"/>
                <w:sz w:val="24"/>
                <w:szCs w:val="24"/>
                <w:lang w:val="zh-CN"/>
                <w14:textFill>
                  <w14:solidFill>
                    <w14:schemeClr w14:val="tx1"/>
                  </w14:solidFill>
                </w14:textFill>
              </w:rPr>
            </w:pPr>
            <w:r>
              <w:rPr>
                <w:rFonts w:hint="eastAsia" w:ascii="宋体" w:hAnsi="宋体" w:cs="宋体"/>
                <w:color w:val="000000" w:themeColor="text1"/>
                <w:kern w:val="0"/>
                <w:sz w:val="24"/>
                <w:szCs w:val="24"/>
                <w:lang w:val="zh-CN"/>
                <w14:textFill>
                  <w14:solidFill>
                    <w14:schemeClr w14:val="tx1"/>
                  </w14:solidFill>
                </w14:textFill>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2020〕20号）见附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89" w:type="dxa"/>
            <w:tcBorders>
              <w:top w:val="single" w:color="auto" w:sz="4" w:space="0"/>
              <w:left w:val="single" w:color="auto" w:sz="18" w:space="0"/>
              <w:bottom w:val="single" w:color="auto" w:sz="4" w:space="0"/>
              <w:right w:val="single" w:color="auto" w:sz="8" w:space="0"/>
            </w:tcBorders>
            <w:vAlign w:val="center"/>
          </w:tcPr>
          <w:p>
            <w:pPr>
              <w:numPr>
                <w:ilvl w:val="0"/>
                <w:numId w:val="6"/>
              </w:numPr>
              <w:snapToGrid w:val="0"/>
              <w:spacing w:after="200" w:line="360" w:lineRule="auto"/>
              <w:ind w:left="0" w:firstLine="0"/>
              <w:jc w:val="center"/>
              <w:rPr>
                <w:rFonts w:ascii="宋体" w:hAnsi="宋体"/>
                <w:color w:val="000000" w:themeColor="text1"/>
                <w:sz w:val="24"/>
                <w14:textFill>
                  <w14:solidFill>
                    <w14:schemeClr w14:val="tx1"/>
                  </w14:solidFill>
                </w14:textFill>
              </w:rPr>
            </w:pPr>
          </w:p>
        </w:tc>
        <w:tc>
          <w:tcPr>
            <w:tcW w:w="1942"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进口产品 </w:t>
            </w:r>
          </w:p>
        </w:tc>
        <w:tc>
          <w:tcPr>
            <w:tcW w:w="6681"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招标文件中未载明“允许采购进口产品”的产品，拒绝进口产品的投标。招标文件中载明“允许采购进口产品”的产品，允许国产产品参与投标竞争。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89" w:type="dxa"/>
            <w:tcBorders>
              <w:top w:val="single" w:color="auto" w:sz="4" w:space="0"/>
              <w:left w:val="single" w:color="auto" w:sz="18" w:space="0"/>
              <w:bottom w:val="single" w:color="auto" w:sz="18" w:space="0"/>
              <w:right w:val="single" w:color="auto" w:sz="8" w:space="0"/>
            </w:tcBorders>
            <w:vAlign w:val="center"/>
          </w:tcPr>
          <w:p>
            <w:pPr>
              <w:numPr>
                <w:ilvl w:val="0"/>
                <w:numId w:val="6"/>
              </w:numPr>
              <w:snapToGrid w:val="0"/>
              <w:spacing w:after="200" w:line="360" w:lineRule="auto"/>
              <w:ind w:left="0" w:firstLine="0"/>
              <w:jc w:val="center"/>
              <w:rPr>
                <w:rFonts w:ascii="宋体" w:hAnsi="宋体"/>
                <w:color w:val="000000" w:themeColor="text1"/>
                <w:sz w:val="24"/>
                <w14:textFill>
                  <w14:solidFill>
                    <w14:schemeClr w14:val="tx1"/>
                  </w14:solidFill>
                </w14:textFill>
              </w:rPr>
            </w:pPr>
          </w:p>
        </w:tc>
        <w:tc>
          <w:tcPr>
            <w:tcW w:w="8623" w:type="dxa"/>
            <w:gridSpan w:val="2"/>
            <w:tcBorders>
              <w:top w:val="single" w:color="auto" w:sz="4" w:space="0"/>
              <w:left w:val="single" w:color="auto" w:sz="8" w:space="0"/>
              <w:bottom w:val="single" w:color="auto" w:sz="18" w:space="0"/>
              <w:right w:val="single" w:color="auto" w:sz="18" w:space="0"/>
            </w:tcBorders>
            <w:vAlign w:val="center"/>
          </w:tcPr>
          <w:p>
            <w:pPr>
              <w:tabs>
                <w:tab w:val="left" w:pos="7665"/>
              </w:tabs>
              <w:snapToGrid w:val="0"/>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采购人可以要求参加政府采购的供应商提供有关资质证明文件和业绩情况，并根据《中华人民共和国政府采购法》规定的供应商条件和采购项目对供应商的特定要求，对供应商的资格进行审查。</w:t>
            </w:r>
          </w:p>
        </w:tc>
      </w:tr>
    </w:tbl>
    <w:p>
      <w:pPr>
        <w:pStyle w:val="3"/>
        <w:numPr>
          <w:ilvl w:val="1"/>
          <w:numId w:val="3"/>
        </w:numPr>
        <w:spacing w:before="0" w:after="0" w:line="240" w:lineRule="auto"/>
        <w:ind w:left="2269" w:hanging="2127"/>
        <w:rPr>
          <w:color w:val="000000" w:themeColor="text1"/>
          <w14:textFill>
            <w14:solidFill>
              <w14:schemeClr w14:val="tx1"/>
            </w14:solidFill>
          </w14:textFill>
        </w:rPr>
      </w:pPr>
      <w:bookmarkStart w:id="34" w:name="_Toc29824"/>
      <w:bookmarkStart w:id="35" w:name="_Toc30390"/>
      <w:bookmarkStart w:id="36" w:name="_Toc10565"/>
      <w:bookmarkStart w:id="37" w:name="_Toc22447"/>
      <w:bookmarkStart w:id="38" w:name="_Toc77584641"/>
      <w:r>
        <w:rPr>
          <w:rFonts w:hint="eastAsia"/>
          <w:color w:val="000000" w:themeColor="text1"/>
          <w14:textFill>
            <w14:solidFill>
              <w14:schemeClr w14:val="tx1"/>
            </w14:solidFill>
          </w14:textFill>
        </w:rPr>
        <w:t>总则</w:t>
      </w:r>
      <w:bookmarkEnd w:id="34"/>
      <w:bookmarkEnd w:id="35"/>
      <w:bookmarkEnd w:id="36"/>
      <w:bookmarkEnd w:id="37"/>
      <w:bookmarkEnd w:id="38"/>
    </w:p>
    <w:p>
      <w:pPr>
        <w:pStyle w:val="4"/>
        <w:numPr>
          <w:ilvl w:val="2"/>
          <w:numId w:val="3"/>
        </w:numPr>
        <w:spacing w:after="200" w:line="240" w:lineRule="auto"/>
        <w:ind w:left="-141" w:leftChars="-67"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适用范围</w:t>
      </w:r>
    </w:p>
    <w:p>
      <w:pPr>
        <w:numPr>
          <w:ilvl w:val="0"/>
          <w:numId w:val="7"/>
        </w:numPr>
        <w:tabs>
          <w:tab w:val="left" w:pos="1134"/>
        </w:tabs>
        <w:spacing w:after="200"/>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本招标文件仅适用于本次公开招标采购项目。</w:t>
      </w:r>
    </w:p>
    <w:p>
      <w:pPr>
        <w:numPr>
          <w:ilvl w:val="0"/>
          <w:numId w:val="7"/>
        </w:numPr>
        <w:tabs>
          <w:tab w:val="left" w:pos="1134"/>
        </w:tabs>
        <w:spacing w:after="200"/>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招标文件的最终解释权由采购人或区采购中心享有。对招标文件中供应商参加本次政府采购活动应当具备的条件，招标项目技术、服务、商务及其他要求，评标细则及标准由采购人负责解释。除上述招标文件内容，其他内容由区采购中心负责解释。</w:t>
      </w:r>
    </w:p>
    <w:p>
      <w:pPr>
        <w:pStyle w:val="4"/>
        <w:numPr>
          <w:ilvl w:val="2"/>
          <w:numId w:val="3"/>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有关定义</w:t>
      </w:r>
    </w:p>
    <w:p>
      <w:pPr>
        <w:numPr>
          <w:ilvl w:val="0"/>
          <w:numId w:val="8"/>
        </w:numPr>
        <w:tabs>
          <w:tab w:val="left" w:pos="1134"/>
        </w:tabs>
        <w:spacing w:after="200"/>
        <w:ind w:left="0" w:firstLine="567"/>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“采购人”和“甲方”系指依法进行政府采购的成都市青羊区级机关、事业单位、团体组织。本次招标的采购人是</w:t>
      </w:r>
      <w:r>
        <w:rPr>
          <w:rFonts w:hint="eastAsia" w:ascii="宋体" w:hAnsi="宋体"/>
          <w:b/>
          <w:bCs/>
          <w:sz w:val="28"/>
          <w:szCs w:val="28"/>
        </w:rPr>
        <w:t>成都市青羊区教育技术装备与信息管理中心</w:t>
      </w:r>
      <w:r>
        <w:rPr>
          <w:rFonts w:hint="eastAsia" w:ascii="宋体" w:hAnsi="宋体"/>
          <w:color w:val="000000" w:themeColor="text1"/>
          <w:sz w:val="28"/>
          <w:szCs w:val="28"/>
          <w14:textFill>
            <w14:solidFill>
              <w14:schemeClr w14:val="tx1"/>
            </w14:solidFill>
          </w14:textFill>
        </w:rPr>
        <w:t>。</w:t>
      </w:r>
    </w:p>
    <w:p>
      <w:pPr>
        <w:numPr>
          <w:ilvl w:val="0"/>
          <w:numId w:val="8"/>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“投标人”系指在系统中成功提交《采购文件获取登记表》拟参加投标和向采购人提供货物及服务的供应商。</w:t>
      </w:r>
    </w:p>
    <w:p>
      <w:pPr>
        <w:numPr>
          <w:ilvl w:val="0"/>
          <w:numId w:val="8"/>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本招标文件各部分规定的期间以时、日、月、年计算。期间开始的时和日，不计算在期间内，而从次日开始计算。期间届满的最后一天是节假日的，以节假日后的第一日为期间届满的日期。</w:t>
      </w:r>
    </w:p>
    <w:p>
      <w:pPr>
        <w:numPr>
          <w:ilvl w:val="0"/>
          <w:numId w:val="8"/>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本招标文件各部分规定的“以上”、“以下”、“内”、“以内”，包括本数；所称的“不足”，不包括本数。</w:t>
      </w:r>
    </w:p>
    <w:p>
      <w:pPr>
        <w:numPr>
          <w:ilvl w:val="0"/>
          <w:numId w:val="8"/>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重大违法记录是指供应商因违法经营受到刑事处罚或者责令停产停业、吊销许可证或者执照、较大数额罚款等行政处罚。</w:t>
      </w:r>
    </w:p>
    <w:p>
      <w:pPr>
        <w:numPr>
          <w:ilvl w:val="0"/>
          <w:numId w:val="8"/>
        </w:numPr>
        <w:tabs>
          <w:tab w:val="left" w:pos="1200"/>
        </w:tabs>
        <w:spacing w:line="600" w:lineRule="exact"/>
        <w:ind w:left="0" w:firstLine="567"/>
        <w:rPr>
          <w:rFonts w:ascii="宋体" w:hAnsi="宋体"/>
          <w:sz w:val="28"/>
          <w:szCs w:val="28"/>
        </w:rPr>
      </w:pPr>
      <w:r>
        <w:rPr>
          <w:rFonts w:hint="eastAsia" w:ascii="宋体" w:hAnsi="宋体"/>
          <w:sz w:val="28"/>
          <w:szCs w:val="28"/>
        </w:rPr>
        <w:t>本</w:t>
      </w:r>
      <w:r>
        <w:rPr>
          <w:rFonts w:ascii="宋体" w:hAnsi="宋体"/>
          <w:sz w:val="28"/>
          <w:szCs w:val="28"/>
        </w:rPr>
        <w:t>项目重大违法记录中的较大数额罚款的具体金额标准：若行业行政主管部门对较大数额罚款金额标准有明文规定的，以行业行政主管部门规定的较大数额罚款金额标准为准；若行业行政主管部门对较大数额罚款金额标准未明文规定的，以作出行政处罚机关当地的行政处罚罚款听证标准金额为准。</w:t>
      </w:r>
    </w:p>
    <w:p>
      <w:pPr>
        <w:numPr>
          <w:ilvl w:val="0"/>
          <w:numId w:val="8"/>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sz w:val="28"/>
          <w:szCs w:val="28"/>
        </w:rPr>
        <w:t>不见面开标是指，区采购中心依托政府采购云平台组织开标活动，供应商在线参与开标的一种组织形式。</w:t>
      </w:r>
      <w:r>
        <w:rPr>
          <w:rFonts w:hint="eastAsia" w:ascii="宋体" w:hAnsi="宋体"/>
          <w:color w:val="000000" w:themeColor="text1"/>
          <w:sz w:val="28"/>
          <w:szCs w:val="28"/>
          <w14:textFill>
            <w14:solidFill>
              <w14:schemeClr w14:val="tx1"/>
            </w14:solidFill>
          </w14:textFill>
        </w:rPr>
        <w:t> </w:t>
      </w:r>
    </w:p>
    <w:p>
      <w:pPr>
        <w:pStyle w:val="4"/>
        <w:numPr>
          <w:ilvl w:val="2"/>
          <w:numId w:val="3"/>
        </w:numPr>
        <w:spacing w:after="200" w:line="240" w:lineRule="auto"/>
        <w:rPr>
          <w:color w:val="000000" w:themeColor="text1"/>
          <w14:textFill>
            <w14:solidFill>
              <w14:schemeClr w14:val="tx1"/>
            </w14:solidFill>
          </w14:textFill>
        </w:rPr>
      </w:pPr>
      <w:bookmarkStart w:id="39" w:name="_Toc217390843"/>
      <w:bookmarkStart w:id="40" w:name="_Toc183582207"/>
      <w:bookmarkStart w:id="41" w:name="_Toc217446036"/>
      <w:bookmarkStart w:id="42" w:name="_Toc183682344"/>
      <w:r>
        <w:rPr>
          <w:rFonts w:hint="eastAsia"/>
          <w:color w:val="000000" w:themeColor="text1"/>
          <w14:textFill>
            <w14:solidFill>
              <w14:schemeClr w14:val="tx1"/>
            </w14:solidFill>
          </w14:textFill>
        </w:rPr>
        <w:t>合格的投标人</w:t>
      </w:r>
      <w:bookmarkEnd w:id="39"/>
      <w:bookmarkEnd w:id="40"/>
      <w:bookmarkEnd w:id="41"/>
      <w:bookmarkEnd w:id="42"/>
    </w:p>
    <w:p>
      <w:pPr>
        <w:tabs>
          <w:tab w:val="left" w:pos="7665"/>
        </w:tabs>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合格的投标人应具备以下条件：</w:t>
      </w:r>
    </w:p>
    <w:p>
      <w:pPr>
        <w:numPr>
          <w:ilvl w:val="0"/>
          <w:numId w:val="9"/>
        </w:numPr>
        <w:tabs>
          <w:tab w:val="left" w:pos="1134"/>
        </w:tabs>
        <w:spacing w:after="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本招标文件“投标邀请”第五条规定的条件；</w:t>
      </w:r>
    </w:p>
    <w:p>
      <w:pPr>
        <w:numPr>
          <w:ilvl w:val="0"/>
          <w:numId w:val="9"/>
        </w:numPr>
        <w:tabs>
          <w:tab w:val="left" w:pos="1134"/>
        </w:tabs>
        <w:spacing w:after="200"/>
        <w:ind w:left="0" w:firstLine="568"/>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按照招标文件“投标邀请”中第六、七、八条规定获取了招标文件。</w:t>
      </w:r>
    </w:p>
    <w:p>
      <w:pPr>
        <w:pStyle w:val="4"/>
        <w:numPr>
          <w:ilvl w:val="2"/>
          <w:numId w:val="3"/>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投标费用</w:t>
      </w:r>
    </w:p>
    <w:p>
      <w:pPr>
        <w:ind w:firstLine="660" w:firstLineChars="236"/>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投标人应自行承担参加投标的全部费用。</w:t>
      </w:r>
    </w:p>
    <w:p>
      <w:pPr>
        <w:pStyle w:val="4"/>
        <w:numPr>
          <w:ilvl w:val="2"/>
          <w:numId w:val="3"/>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充分、公平竞争保障措施</w:t>
      </w:r>
    </w:p>
    <w:p>
      <w:pPr>
        <w:pStyle w:val="114"/>
        <w:tabs>
          <w:tab w:val="left" w:pos="851"/>
        </w:tabs>
        <w:spacing w:before="156" w:line="240" w:lineRule="auto"/>
        <w:ind w:firstLine="560" w:firstLineChars="200"/>
        <w:rPr>
          <w:rFonts w:hAnsi="宋体"/>
          <w:color w:val="000000" w:themeColor="text1"/>
          <w:sz w:val="28"/>
          <w:szCs w:val="28"/>
          <w14:textFill>
            <w14:solidFill>
              <w14:schemeClr w14:val="tx1"/>
            </w14:solidFill>
          </w14:textFill>
        </w:rPr>
      </w:pPr>
      <w:r>
        <w:rPr>
          <w:rFonts w:hint="eastAsia" w:hAnsi="宋体"/>
          <w:color w:val="000000" w:themeColor="text1"/>
          <w:sz w:val="28"/>
          <w:szCs w:val="28"/>
          <w14:textFill>
            <w14:solidFill>
              <w14:schemeClr w14:val="tx1"/>
            </w14:solidFill>
          </w14:textFill>
        </w:rPr>
        <w:t>一、单位负责人为同一人或者存在直接控股、管理关系的不同供应商，不得参加同一项目的投标。</w:t>
      </w:r>
    </w:p>
    <w:p>
      <w:pPr>
        <w:pStyle w:val="114"/>
        <w:tabs>
          <w:tab w:val="left" w:pos="851"/>
        </w:tabs>
        <w:spacing w:before="156" w:line="240" w:lineRule="auto"/>
        <w:ind w:left="-143" w:leftChars="-68" w:firstLine="700" w:firstLineChars="250"/>
        <w:rPr>
          <w:rFonts w:hAnsi="宋体"/>
          <w:b/>
          <w:color w:val="000000" w:themeColor="text1"/>
          <w:sz w:val="28"/>
          <w:szCs w:val="28"/>
          <w14:textFill>
            <w14:solidFill>
              <w14:schemeClr w14:val="tx1"/>
            </w14:solidFill>
          </w14:textFill>
        </w:rPr>
      </w:pPr>
      <w:r>
        <w:rPr>
          <w:rFonts w:hint="eastAsia" w:hAnsi="宋体"/>
          <w:color w:val="000000" w:themeColor="text1"/>
          <w:sz w:val="28"/>
          <w:szCs w:val="28"/>
          <w14:textFill>
            <w14:solidFill>
              <w14:schemeClr w14:val="tx1"/>
            </w14:solidFill>
          </w14:textFill>
        </w:rPr>
        <w:t>二、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Pr>
          <w:rFonts w:hint="eastAsia" w:hAnsi="宋体"/>
          <w:b/>
          <w:color w:val="000000" w:themeColor="text1"/>
          <w:sz w:val="28"/>
          <w:szCs w:val="28"/>
          <w14:textFill>
            <w14:solidFill>
              <w14:schemeClr w14:val="tx1"/>
            </w14:solidFill>
          </w14:textFill>
        </w:rPr>
        <w:t>（说明：无供应商为本项目提供整体设计、规范编制或者项目管理、监理、检测等服务。）</w:t>
      </w:r>
    </w:p>
    <w:p>
      <w:pPr>
        <w:pStyle w:val="3"/>
        <w:numPr>
          <w:ilvl w:val="1"/>
          <w:numId w:val="3"/>
        </w:numPr>
        <w:spacing w:before="0" w:after="0" w:line="240" w:lineRule="auto"/>
        <w:ind w:left="2269" w:hanging="2127"/>
        <w:rPr>
          <w:color w:val="000000" w:themeColor="text1"/>
          <w14:textFill>
            <w14:solidFill>
              <w14:schemeClr w14:val="tx1"/>
            </w14:solidFill>
          </w14:textFill>
        </w:rPr>
      </w:pPr>
      <w:bookmarkStart w:id="43" w:name="_Toc77584642"/>
      <w:bookmarkStart w:id="44" w:name="_Toc14139"/>
      <w:bookmarkStart w:id="45" w:name="_Toc32420"/>
      <w:bookmarkStart w:id="46" w:name="_Toc12455"/>
      <w:bookmarkStart w:id="47" w:name="_Toc2675"/>
      <w:r>
        <w:rPr>
          <w:rFonts w:hint="eastAsia"/>
          <w:color w:val="000000" w:themeColor="text1"/>
          <w14:textFill>
            <w14:solidFill>
              <w14:schemeClr w14:val="tx1"/>
            </w14:solidFill>
          </w14:textFill>
        </w:rPr>
        <w:t>招标文件</w:t>
      </w:r>
      <w:bookmarkEnd w:id="43"/>
      <w:bookmarkEnd w:id="44"/>
      <w:bookmarkEnd w:id="45"/>
      <w:bookmarkEnd w:id="46"/>
      <w:bookmarkEnd w:id="47"/>
    </w:p>
    <w:p>
      <w:pPr>
        <w:pStyle w:val="4"/>
        <w:numPr>
          <w:ilvl w:val="2"/>
          <w:numId w:val="3"/>
        </w:numPr>
        <w:spacing w:after="200" w:line="240" w:lineRule="auto"/>
        <w:ind w:left="0" w:firstLine="0"/>
        <w:rPr>
          <w:color w:val="000000" w:themeColor="text1"/>
          <w14:textFill>
            <w14:solidFill>
              <w14:schemeClr w14:val="tx1"/>
            </w14:solidFill>
          </w14:textFill>
        </w:rPr>
      </w:pPr>
      <w:bookmarkStart w:id="48" w:name="_Toc217446039"/>
      <w:bookmarkStart w:id="49" w:name="_Toc183582210"/>
      <w:bookmarkStart w:id="50" w:name="_Toc183682347"/>
      <w:r>
        <w:rPr>
          <w:rFonts w:hint="eastAsia"/>
          <w:color w:val="000000" w:themeColor="text1"/>
          <w14:textFill>
            <w14:solidFill>
              <w14:schemeClr w14:val="tx1"/>
            </w14:solidFill>
          </w14:textFill>
        </w:rPr>
        <w:t>招标文件的构成</w:t>
      </w:r>
      <w:bookmarkEnd w:id="48"/>
      <w:bookmarkEnd w:id="49"/>
      <w:bookmarkEnd w:id="50"/>
    </w:p>
    <w:p>
      <w:pPr>
        <w:numPr>
          <w:ilvl w:val="0"/>
          <w:numId w:val="10"/>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招标文件是供应商准备投标文件和参加投标的依据，同时也是评标的重要依据。招标文件用以阐明招标项目所需的资质、服务及报价等要求、招标投标程序、有关规定和注意事项以及合同主要条款等。本招标文件包括以下内容：</w:t>
      </w:r>
    </w:p>
    <w:p>
      <w:pPr>
        <w:numPr>
          <w:ilvl w:val="1"/>
          <w:numId w:val="11"/>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投标邀请；</w:t>
      </w:r>
    </w:p>
    <w:p>
      <w:pPr>
        <w:numPr>
          <w:ilvl w:val="1"/>
          <w:numId w:val="11"/>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投标人须知；</w:t>
      </w:r>
    </w:p>
    <w:p>
      <w:pPr>
        <w:numPr>
          <w:ilvl w:val="1"/>
          <w:numId w:val="11"/>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投标文件格式；</w:t>
      </w:r>
    </w:p>
    <w:p>
      <w:pPr>
        <w:numPr>
          <w:ilvl w:val="1"/>
          <w:numId w:val="11"/>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招标项目服务、商务及其他要求；</w:t>
      </w:r>
    </w:p>
    <w:p>
      <w:pPr>
        <w:numPr>
          <w:ilvl w:val="1"/>
          <w:numId w:val="11"/>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资格性审查；</w:t>
      </w:r>
    </w:p>
    <w:p>
      <w:pPr>
        <w:numPr>
          <w:ilvl w:val="1"/>
          <w:numId w:val="11"/>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评标办法；</w:t>
      </w:r>
    </w:p>
    <w:p>
      <w:pPr>
        <w:numPr>
          <w:ilvl w:val="1"/>
          <w:numId w:val="11"/>
        </w:numPr>
        <w:tabs>
          <w:tab w:val="left" w:pos="1134"/>
        </w:tabs>
        <w:spacing w:after="200"/>
        <w:ind w:left="567" w:firstLine="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拟签订合同文本。</w:t>
      </w:r>
    </w:p>
    <w:p>
      <w:pPr>
        <w:numPr>
          <w:ilvl w:val="0"/>
          <w:numId w:val="10"/>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投标人应认真阅读和充分理解招标文件中所有的事项、格式条款和规范要求。投标人没有对招标文件全面做出实质性响应所产生的风险由投标人承担。</w:t>
      </w:r>
    </w:p>
    <w:p>
      <w:pPr>
        <w:pStyle w:val="4"/>
        <w:numPr>
          <w:ilvl w:val="2"/>
          <w:numId w:val="3"/>
        </w:numPr>
        <w:spacing w:after="200" w:line="240" w:lineRule="auto"/>
        <w:ind w:left="0" w:firstLine="0"/>
        <w:rPr>
          <w:color w:val="000000" w:themeColor="text1"/>
          <w14:textFill>
            <w14:solidFill>
              <w14:schemeClr w14:val="tx1"/>
            </w14:solidFill>
          </w14:textFill>
        </w:rPr>
      </w:pPr>
      <w:bookmarkStart w:id="51" w:name="_Toc183682348"/>
      <w:bookmarkStart w:id="52" w:name="_Toc183582211"/>
      <w:bookmarkStart w:id="53" w:name="_Toc217446040"/>
      <w:r>
        <w:rPr>
          <w:rFonts w:hint="eastAsia"/>
          <w:color w:val="000000" w:themeColor="text1"/>
          <w14:textFill>
            <w14:solidFill>
              <w14:schemeClr w14:val="tx1"/>
            </w14:solidFill>
          </w14:textFill>
        </w:rPr>
        <w:t>招标文件的澄清</w:t>
      </w:r>
      <w:bookmarkEnd w:id="51"/>
      <w:bookmarkEnd w:id="52"/>
      <w:r>
        <w:rPr>
          <w:rFonts w:hint="eastAsia"/>
          <w:color w:val="000000" w:themeColor="text1"/>
          <w14:textFill>
            <w14:solidFill>
              <w14:schemeClr w14:val="tx1"/>
            </w14:solidFill>
          </w14:textFill>
        </w:rPr>
        <w:t>和修改</w:t>
      </w:r>
      <w:bookmarkEnd w:id="53"/>
      <w:bookmarkStart w:id="54" w:name="_Toc183682351"/>
      <w:bookmarkStart w:id="55" w:name="_Toc6071"/>
      <w:bookmarkStart w:id="56" w:name="_Toc183582214"/>
      <w:bookmarkStart w:id="57" w:name="_Toc77400780"/>
      <w:bookmarkStart w:id="58" w:name="_Toc27307"/>
      <w:bookmarkStart w:id="59" w:name="_Toc217446042"/>
      <w:bookmarkStart w:id="60" w:name="_Toc31441"/>
      <w:bookmarkStart w:id="61" w:name="_Toc89075876"/>
      <w:bookmarkStart w:id="62" w:name="_Toc19128"/>
    </w:p>
    <w:p>
      <w:pPr>
        <w:numPr>
          <w:ilvl w:val="0"/>
          <w:numId w:val="12"/>
        </w:numPr>
        <w:tabs>
          <w:tab w:val="left" w:pos="142"/>
          <w:tab w:val="left" w:pos="1134"/>
        </w:tabs>
        <w:spacing w:after="200" w:line="360" w:lineRule="auto"/>
        <w:ind w:left="0" w:firstLine="56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在投标截止时间前，采购人或者区采购</w:t>
      </w:r>
      <w:r>
        <w:rPr>
          <w:rFonts w:hint="eastAsia" w:cs="Arial"/>
          <w:color w:val="000000" w:themeColor="text1"/>
          <w:sz w:val="28"/>
          <w:szCs w:val="28"/>
          <w14:textFill>
            <w14:solidFill>
              <w14:schemeClr w14:val="tx1"/>
            </w14:solidFill>
          </w14:textFill>
        </w:rPr>
        <w:t>中心</w:t>
      </w:r>
      <w:r>
        <w:rPr>
          <w:rFonts w:hint="eastAsia" w:ascii="宋体" w:hAnsi="宋体"/>
          <w:color w:val="000000" w:themeColor="text1"/>
          <w:sz w:val="28"/>
          <w:szCs w:val="28"/>
          <w14:textFill>
            <w14:solidFill>
              <w14:schemeClr w14:val="tx1"/>
            </w14:solidFill>
          </w14:textFill>
        </w:rPr>
        <w:t>可以对已发出的招标文件进行必要的澄清或者修改。</w:t>
      </w:r>
    </w:p>
    <w:p>
      <w:pPr>
        <w:numPr>
          <w:ilvl w:val="0"/>
          <w:numId w:val="12"/>
        </w:numPr>
        <w:spacing w:after="200"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澄清或者修改的内容，区采购中心将在“四川政府采购网”和“成都市公共资源交易服务中心”网站上发布澄清公告，同时通过政府采购云平台将澄清或者修改的内容告知所有在系统中成功获取招标文件的潜在投标人（投标人通过账号或CA证书登录云平台查看）</w:t>
      </w:r>
    </w:p>
    <w:p>
      <w:pPr>
        <w:numPr>
          <w:ilvl w:val="0"/>
          <w:numId w:val="12"/>
        </w:numPr>
        <w:tabs>
          <w:tab w:val="left" w:pos="142"/>
          <w:tab w:val="left" w:pos="1134"/>
        </w:tabs>
        <w:spacing w:after="200" w:line="360" w:lineRule="auto"/>
        <w:ind w:left="0" w:firstLine="56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澄清或者修改的内容可能影响投标文件编制的，区采购中心应当在投标截止时间至少15日前，通过政府采购云平台通知所有获取招标文件的潜在投标人；不足15日的，采购人或区采购中心应当顺延提交投标文件的截止时间。</w:t>
      </w:r>
    </w:p>
    <w:p>
      <w:pPr>
        <w:pStyle w:val="3"/>
        <w:numPr>
          <w:ilvl w:val="1"/>
          <w:numId w:val="3"/>
        </w:numPr>
        <w:spacing w:before="0" w:after="0" w:line="240" w:lineRule="auto"/>
        <w:ind w:left="2269" w:hanging="2127"/>
        <w:rPr>
          <w:color w:val="000000" w:themeColor="text1"/>
          <w14:textFill>
            <w14:solidFill>
              <w14:schemeClr w14:val="tx1"/>
            </w14:solidFill>
          </w14:textFill>
        </w:rPr>
      </w:pPr>
      <w:bookmarkStart w:id="63" w:name="_Toc77584643"/>
      <w:r>
        <w:rPr>
          <w:rFonts w:hint="eastAsia"/>
          <w:color w:val="000000" w:themeColor="text1"/>
          <w14:textFill>
            <w14:solidFill>
              <w14:schemeClr w14:val="tx1"/>
            </w14:solidFill>
          </w14:textFill>
        </w:rPr>
        <w:t>投标文件</w:t>
      </w:r>
      <w:bookmarkEnd w:id="54"/>
      <w:bookmarkEnd w:id="55"/>
      <w:bookmarkEnd w:id="56"/>
      <w:bookmarkEnd w:id="57"/>
      <w:bookmarkEnd w:id="58"/>
      <w:bookmarkEnd w:id="59"/>
      <w:bookmarkEnd w:id="60"/>
      <w:bookmarkEnd w:id="61"/>
      <w:bookmarkEnd w:id="62"/>
      <w:bookmarkEnd w:id="63"/>
    </w:p>
    <w:p>
      <w:pPr>
        <w:pStyle w:val="4"/>
        <w:numPr>
          <w:ilvl w:val="2"/>
          <w:numId w:val="3"/>
        </w:numPr>
        <w:spacing w:after="200" w:line="240" w:lineRule="auto"/>
        <w:ind w:left="0" w:firstLine="0"/>
        <w:rPr>
          <w:color w:val="000000" w:themeColor="text1"/>
          <w14:textFill>
            <w14:solidFill>
              <w14:schemeClr w14:val="tx1"/>
            </w14:solidFill>
          </w14:textFill>
        </w:rPr>
      </w:pPr>
      <w:bookmarkStart w:id="64" w:name="_Toc183582215"/>
      <w:bookmarkStart w:id="65" w:name="_Toc183682352"/>
      <w:bookmarkStart w:id="66" w:name="_Toc217446043"/>
      <w:r>
        <w:rPr>
          <w:rFonts w:hint="eastAsia"/>
          <w:color w:val="000000" w:themeColor="text1"/>
          <w14:textFill>
            <w14:solidFill>
              <w14:schemeClr w14:val="tx1"/>
            </w14:solidFill>
          </w14:textFill>
        </w:rPr>
        <w:t>投标文件的语言</w:t>
      </w:r>
      <w:bookmarkEnd w:id="64"/>
      <w:bookmarkEnd w:id="65"/>
      <w:bookmarkEnd w:id="66"/>
    </w:p>
    <w:p>
      <w:pPr>
        <w:numPr>
          <w:ilvl w:val="0"/>
          <w:numId w:val="13"/>
        </w:numPr>
        <w:tabs>
          <w:tab w:val="left" w:pos="1134"/>
        </w:tabs>
        <w:spacing w:after="200"/>
        <w:ind w:left="0" w:firstLine="56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提交的投标文件以及投标人与采购人或区采购中心就有关投标的所有来往书面文件均须使用中文，投标文件中所附或引用的外文资料，应翻译成中文附在相关外文资料后面。（说明：投标人的法定代表人为外籍人士的，则法定代表人的签字和护照除外）。</w:t>
      </w:r>
    </w:p>
    <w:p>
      <w:pPr>
        <w:numPr>
          <w:ilvl w:val="0"/>
          <w:numId w:val="13"/>
        </w:numPr>
        <w:tabs>
          <w:tab w:val="left" w:pos="1134"/>
        </w:tabs>
        <w:spacing w:after="200"/>
        <w:ind w:left="0" w:firstLine="56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对不同文字文本投标文件的解释发生异议的，以中文文本为准。若投标人投标文件中提供的外文资料未翻译成中文，则评标委员会可将其视为无效材料。 </w:t>
      </w:r>
    </w:p>
    <w:p>
      <w:pPr>
        <w:pStyle w:val="4"/>
        <w:numPr>
          <w:ilvl w:val="2"/>
          <w:numId w:val="3"/>
        </w:numPr>
        <w:spacing w:after="200" w:line="240" w:lineRule="auto"/>
        <w:ind w:left="0" w:firstLine="0"/>
        <w:rPr>
          <w:color w:val="000000" w:themeColor="text1"/>
          <w14:textFill>
            <w14:solidFill>
              <w14:schemeClr w14:val="tx1"/>
            </w14:solidFill>
          </w14:textFill>
        </w:rPr>
      </w:pPr>
      <w:bookmarkStart w:id="67" w:name="_Toc183682353"/>
      <w:bookmarkStart w:id="68" w:name="_Toc217446044"/>
      <w:bookmarkStart w:id="69" w:name="_Toc183582216"/>
      <w:r>
        <w:rPr>
          <w:rFonts w:hint="eastAsia"/>
          <w:color w:val="000000" w:themeColor="text1"/>
          <w14:textFill>
            <w14:solidFill>
              <w14:schemeClr w14:val="tx1"/>
            </w14:solidFill>
          </w14:textFill>
        </w:rPr>
        <w:t>计量单位</w:t>
      </w:r>
      <w:bookmarkEnd w:id="67"/>
      <w:bookmarkEnd w:id="68"/>
      <w:bookmarkEnd w:id="69"/>
    </w:p>
    <w:p>
      <w:pPr>
        <w:tabs>
          <w:tab w:val="left" w:pos="7665"/>
        </w:tabs>
        <w:ind w:left="13" w:firstLine="554"/>
        <w:rPr>
          <w:rFonts w:ascii="宋体" w:hAnsi="宋体"/>
          <w:color w:val="000000" w:themeColor="text1"/>
          <w:sz w:val="28"/>
          <w:szCs w:val="28"/>
          <w14:textFill>
            <w14:solidFill>
              <w14:schemeClr w14:val="tx1"/>
            </w14:solidFill>
          </w14:textFill>
        </w:rPr>
      </w:pPr>
      <w:bookmarkStart w:id="70" w:name="_Toc217446045"/>
      <w:r>
        <w:rPr>
          <w:rFonts w:hint="eastAsia" w:ascii="宋体" w:hAnsi="宋体"/>
          <w:color w:val="000000" w:themeColor="text1"/>
          <w:sz w:val="28"/>
          <w:szCs w:val="28"/>
          <w14:textFill>
            <w14:solidFill>
              <w14:schemeClr w14:val="tx1"/>
            </w14:solidFill>
          </w14:textFill>
        </w:rPr>
        <w:t>除招标文件中另有规定外，本次采购项目所有合同项下的投标均采用国家法定的计量单位。</w:t>
      </w:r>
    </w:p>
    <w:p>
      <w:pPr>
        <w:pStyle w:val="4"/>
        <w:numPr>
          <w:ilvl w:val="2"/>
          <w:numId w:val="3"/>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投标货币</w:t>
      </w:r>
      <w:bookmarkEnd w:id="70"/>
    </w:p>
    <w:p>
      <w:pPr>
        <w:tabs>
          <w:tab w:val="left" w:pos="7665"/>
        </w:tabs>
        <w:ind w:left="13" w:firstLine="554"/>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本次招标项目的投标均以人民币报价。</w:t>
      </w:r>
    </w:p>
    <w:p>
      <w:pPr>
        <w:pStyle w:val="4"/>
        <w:numPr>
          <w:ilvl w:val="2"/>
          <w:numId w:val="3"/>
        </w:numPr>
        <w:spacing w:after="200" w:line="240" w:lineRule="auto"/>
        <w:ind w:left="0" w:firstLine="0"/>
        <w:rPr>
          <w:color w:val="000000" w:themeColor="text1"/>
          <w14:textFill>
            <w14:solidFill>
              <w14:schemeClr w14:val="tx1"/>
            </w14:solidFill>
          </w14:textFill>
        </w:rPr>
      </w:pPr>
      <w:bookmarkStart w:id="71" w:name="_Toc217446046"/>
      <w:r>
        <w:rPr>
          <w:rFonts w:hint="eastAsia"/>
          <w:color w:val="000000" w:themeColor="text1"/>
          <w14:textFill>
            <w14:solidFill>
              <w14:schemeClr w14:val="tx1"/>
            </w14:solidFill>
          </w14:textFill>
        </w:rPr>
        <w:t>联合体投标</w:t>
      </w:r>
      <w:bookmarkEnd w:id="71"/>
    </w:p>
    <w:p>
      <w:pPr>
        <w:tabs>
          <w:tab w:val="left" w:pos="1134"/>
        </w:tabs>
        <w:ind w:left="546"/>
        <w:rPr>
          <w:rFonts w:ascii="宋体" w:hAnsi="宋体"/>
          <w:color w:val="000000" w:themeColor="text1"/>
          <w:sz w:val="28"/>
          <w:szCs w:val="28"/>
          <w14:textFill>
            <w14:solidFill>
              <w14:schemeClr w14:val="tx1"/>
            </w14:solidFill>
          </w14:textFill>
        </w:rPr>
      </w:pPr>
      <w:bookmarkStart w:id="72" w:name="_Toc217446047"/>
      <w:r>
        <w:rPr>
          <w:rFonts w:hint="eastAsia" w:ascii="宋体" w:hAnsi="宋体"/>
          <w:color w:val="000000" w:themeColor="text1"/>
          <w:sz w:val="28"/>
          <w:szCs w:val="28"/>
          <w14:textFill>
            <w14:solidFill>
              <w14:schemeClr w14:val="tx1"/>
            </w14:solidFill>
          </w14:textFill>
        </w:rPr>
        <w:t>本次政府采购活动</w:t>
      </w:r>
      <w:r>
        <w:rPr>
          <w:rFonts w:hint="eastAsia" w:ascii="宋体" w:hAnsi="宋体"/>
          <w:b/>
          <w:color w:val="000000" w:themeColor="text1"/>
          <w:sz w:val="28"/>
          <w:szCs w:val="28"/>
          <w14:textFill>
            <w14:solidFill>
              <w14:schemeClr w14:val="tx1"/>
            </w14:solidFill>
          </w14:textFill>
        </w:rPr>
        <w:t>不接受</w:t>
      </w:r>
      <w:r>
        <w:rPr>
          <w:rFonts w:hint="eastAsia" w:ascii="宋体" w:hAnsi="宋体"/>
          <w:color w:val="000000" w:themeColor="text1"/>
          <w:sz w:val="28"/>
          <w:szCs w:val="28"/>
          <w14:textFill>
            <w14:solidFill>
              <w14:schemeClr w14:val="tx1"/>
            </w14:solidFill>
          </w14:textFill>
        </w:rPr>
        <w:t>联合体投标。</w:t>
      </w:r>
    </w:p>
    <w:p>
      <w:pPr>
        <w:pStyle w:val="4"/>
        <w:numPr>
          <w:ilvl w:val="2"/>
          <w:numId w:val="3"/>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知识产权</w:t>
      </w:r>
      <w:bookmarkEnd w:id="72"/>
    </w:p>
    <w:p>
      <w:pPr>
        <w:pStyle w:val="155"/>
        <w:numPr>
          <w:ilvl w:val="0"/>
          <w:numId w:val="14"/>
        </w:numPr>
        <w:tabs>
          <w:tab w:val="left" w:pos="1134"/>
        </w:tabs>
        <w:spacing w:after="200"/>
        <w:ind w:left="0" w:firstLine="549" w:firstLineChars="0"/>
        <w:rPr>
          <w:rFonts w:ascii="宋体" w:hAnsi="宋体"/>
          <w:color w:val="000000" w:themeColor="text1"/>
          <w:sz w:val="28"/>
          <w:szCs w:val="28"/>
          <w14:textFill>
            <w14:solidFill>
              <w14:schemeClr w14:val="tx1"/>
            </w14:solidFill>
          </w14:textFill>
        </w:rPr>
      </w:pPr>
      <w:bookmarkStart w:id="73" w:name="_Toc183682354"/>
      <w:bookmarkStart w:id="74" w:name="_Toc217446048"/>
      <w:bookmarkStart w:id="75" w:name="_Toc183582217"/>
      <w:r>
        <w:rPr>
          <w:rFonts w:hint="eastAsia" w:ascii="宋体" w:hAnsi="宋体"/>
          <w:color w:val="000000" w:themeColor="text1"/>
          <w:sz w:val="28"/>
          <w:szCs w:val="28"/>
          <w14:textFill>
            <w14:solidFill>
              <w14:schemeClr w14:val="tx1"/>
            </w14:solidFill>
          </w14:textFill>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pStyle w:val="155"/>
        <w:numPr>
          <w:ilvl w:val="0"/>
          <w:numId w:val="14"/>
        </w:numPr>
        <w:tabs>
          <w:tab w:val="left" w:pos="1134"/>
        </w:tabs>
        <w:spacing w:after="200"/>
        <w:ind w:left="0" w:firstLine="549"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采购人享有本项目实施过程中产生的知识成果及知识产权。</w:t>
      </w:r>
    </w:p>
    <w:p>
      <w:pPr>
        <w:pStyle w:val="155"/>
        <w:numPr>
          <w:ilvl w:val="0"/>
          <w:numId w:val="14"/>
        </w:numPr>
        <w:tabs>
          <w:tab w:val="left" w:pos="1134"/>
        </w:tabs>
        <w:spacing w:after="200"/>
        <w:ind w:left="0" w:firstLine="549"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如拟在项目实施过程中采用自有知识成果，需在投标文件中声明，并提供相关知识产权证明文件。使用该知识成果后，投标人需提供开发接口和开发手册等技术文档，并提供无限期技术支持，采购人享有永久使用权（含采购人委托第三方在该项目后续开发的使用权）。</w:t>
      </w:r>
    </w:p>
    <w:p>
      <w:pPr>
        <w:pStyle w:val="155"/>
        <w:numPr>
          <w:ilvl w:val="0"/>
          <w:numId w:val="14"/>
        </w:numPr>
        <w:tabs>
          <w:tab w:val="left" w:pos="1134"/>
        </w:tabs>
        <w:spacing w:after="200"/>
        <w:ind w:left="0" w:firstLine="549"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如采用投标人所不拥有的知识产权，则在投标报价中必须包括合法获取该知识产权的相关费用。</w:t>
      </w:r>
    </w:p>
    <w:p>
      <w:pPr>
        <w:pStyle w:val="4"/>
        <w:numPr>
          <w:ilvl w:val="2"/>
          <w:numId w:val="3"/>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投标文件的组成</w:t>
      </w:r>
      <w:bookmarkEnd w:id="73"/>
      <w:bookmarkEnd w:id="74"/>
      <w:bookmarkEnd w:id="75"/>
    </w:p>
    <w:p>
      <w:pPr>
        <w:ind w:firstLine="548" w:firstLineChars="196"/>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投标人应按照招标文件的规定和要求编制投标文件。投标人拟在中标后将中标项目的非主体、非关键性工作交由他人完成的，应当在投标文件中载明。投标人编写的投标文件应包括下列部分：</w:t>
      </w:r>
    </w:p>
    <w:p>
      <w:pPr>
        <w:pStyle w:val="5"/>
        <w:numPr>
          <w:ilvl w:val="3"/>
          <w:numId w:val="3"/>
        </w:numPr>
        <w:spacing w:line="560" w:lineRule="exac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资格响应文件：</w:t>
      </w:r>
    </w:p>
    <w:p>
      <w:pPr>
        <w:pStyle w:val="84"/>
        <w:numPr>
          <w:ilvl w:val="0"/>
          <w:numId w:val="15"/>
        </w:numPr>
        <w:tabs>
          <w:tab w:val="left" w:pos="1134"/>
        </w:tabs>
        <w:spacing w:after="200"/>
        <w:ind w:firstLineChars="0"/>
        <w:rPr>
          <w:rFonts w:ascii="宋体" w:hAnsi="宋体"/>
          <w:b/>
          <w:color w:val="000000" w:themeColor="text1"/>
          <w:kern w:val="0"/>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关于投标人资格申明的函；</w:t>
      </w:r>
    </w:p>
    <w:p>
      <w:pPr>
        <w:pStyle w:val="84"/>
        <w:numPr>
          <w:ilvl w:val="0"/>
          <w:numId w:val="15"/>
        </w:numPr>
        <w:tabs>
          <w:tab w:val="left" w:pos="1134"/>
        </w:tabs>
        <w:spacing w:after="200"/>
        <w:ind w:firstLineChars="0"/>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声明；</w:t>
      </w:r>
    </w:p>
    <w:p>
      <w:pPr>
        <w:pStyle w:val="84"/>
        <w:numPr>
          <w:ilvl w:val="0"/>
          <w:numId w:val="15"/>
        </w:numPr>
        <w:tabs>
          <w:tab w:val="left" w:pos="1134"/>
        </w:tabs>
        <w:spacing w:after="200"/>
        <w:ind w:firstLineChars="0"/>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投标人应提交的相关资格证明材料：</w:t>
      </w:r>
    </w:p>
    <w:p>
      <w:pPr>
        <w:pStyle w:val="153"/>
        <w:numPr>
          <w:ilvl w:val="0"/>
          <w:numId w:val="16"/>
        </w:numPr>
        <w:spacing w:after="200" w:line="360" w:lineRule="auto"/>
        <w:ind w:left="0" w:firstLine="573" w:firstLineChars="0"/>
        <w:rPr>
          <w:rFonts w:ascii="宋体" w:hAnsi="宋体"/>
          <w:b/>
          <w:bCs/>
          <w:kern w:val="0"/>
          <w:sz w:val="28"/>
          <w:szCs w:val="28"/>
        </w:rPr>
      </w:pPr>
      <w:r>
        <w:rPr>
          <w:rFonts w:hint="eastAsia" w:ascii="宋体" w:hAnsi="宋体"/>
          <w:b/>
          <w:color w:val="000000" w:themeColor="text1"/>
          <w:sz w:val="28"/>
          <w:szCs w:val="28"/>
          <w14:textFill>
            <w14:solidFill>
              <w14:schemeClr w14:val="tx1"/>
            </w14:solidFill>
          </w14:textFill>
        </w:rPr>
        <w:t>营业执照复印件（正本或副本）或法人证书复印件（正本或副本）；</w:t>
      </w:r>
    </w:p>
    <w:p>
      <w:pPr>
        <w:pStyle w:val="153"/>
        <w:numPr>
          <w:ilvl w:val="0"/>
          <w:numId w:val="16"/>
        </w:numPr>
        <w:spacing w:after="200" w:line="360" w:lineRule="auto"/>
        <w:ind w:left="0" w:firstLine="573" w:firstLineChars="0"/>
        <w:rPr>
          <w:rFonts w:ascii="宋体" w:hAnsi="宋体"/>
          <w:b/>
          <w:bCs/>
          <w:kern w:val="0"/>
          <w:sz w:val="28"/>
          <w:szCs w:val="28"/>
        </w:rPr>
      </w:pPr>
      <w:r>
        <w:rPr>
          <w:rFonts w:ascii="宋体" w:hAnsi="宋体"/>
          <w:b/>
          <w:color w:val="000000" w:themeColor="text1"/>
          <w:sz w:val="28"/>
          <w:szCs w:val="28"/>
          <w14:textFill>
            <w14:solidFill>
              <w14:schemeClr w14:val="tx1"/>
            </w14:solidFill>
          </w14:textFill>
        </w:rPr>
        <w:t>2019</w:t>
      </w:r>
      <w:r>
        <w:rPr>
          <w:rFonts w:hint="eastAsia" w:ascii="宋体" w:hAnsi="宋体"/>
          <w:b/>
          <w:color w:val="000000" w:themeColor="text1"/>
          <w:sz w:val="28"/>
          <w:szCs w:val="28"/>
          <w14:textFill>
            <w14:solidFill>
              <w14:schemeClr w14:val="tx1"/>
            </w14:solidFill>
          </w14:textFill>
        </w:rPr>
        <w:t>或</w:t>
      </w:r>
      <w:r>
        <w:rPr>
          <w:rFonts w:ascii="宋体" w:hAnsi="宋体"/>
          <w:b/>
          <w:color w:val="000000" w:themeColor="text1"/>
          <w:sz w:val="28"/>
          <w:szCs w:val="28"/>
          <w14:textFill>
            <w14:solidFill>
              <w14:schemeClr w14:val="tx1"/>
            </w14:solidFill>
          </w14:textFill>
        </w:rPr>
        <w:t>2020</w:t>
      </w:r>
      <w:r>
        <w:rPr>
          <w:rFonts w:hint="eastAsia" w:ascii="宋体" w:hAnsi="宋体"/>
          <w:b/>
          <w:color w:val="000000" w:themeColor="text1"/>
          <w:sz w:val="28"/>
          <w:szCs w:val="28"/>
          <w14:textFill>
            <w14:solidFill>
              <w14:schemeClr w14:val="tx1"/>
            </w14:solidFill>
          </w14:textFill>
        </w:rPr>
        <w:t>会计年度资产负债表复印件（说明：投标人成立时间至递交投标文件截止时间止不足一年的，提供成立后任意时段的资产负债表复印件）；</w:t>
      </w:r>
    </w:p>
    <w:p>
      <w:pPr>
        <w:pStyle w:val="153"/>
        <w:numPr>
          <w:ilvl w:val="0"/>
          <w:numId w:val="16"/>
        </w:numPr>
        <w:spacing w:after="200" w:line="360" w:lineRule="auto"/>
        <w:ind w:left="0" w:firstLine="573" w:firstLineChars="0"/>
        <w:rPr>
          <w:rFonts w:ascii="宋体" w:hAnsi="宋体"/>
          <w:b/>
          <w:bCs/>
          <w:kern w:val="0"/>
          <w:sz w:val="28"/>
          <w:szCs w:val="28"/>
        </w:rPr>
      </w:pPr>
      <w:r>
        <w:rPr>
          <w:rFonts w:hint="eastAsia" w:ascii="宋体" w:hAnsi="宋体"/>
          <w:b/>
          <w:color w:val="000000" w:themeColor="text1"/>
          <w:sz w:val="28"/>
          <w:szCs w:val="28"/>
          <w14:textFill>
            <w14:solidFill>
              <w14:schemeClr w14:val="tx1"/>
            </w14:solidFill>
          </w14:textFill>
        </w:rPr>
        <w:t>投标人缴纳</w:t>
      </w:r>
      <w:r>
        <w:rPr>
          <w:rFonts w:ascii="宋体" w:hAnsi="宋体"/>
          <w:b/>
          <w:color w:val="000000" w:themeColor="text1"/>
          <w:sz w:val="28"/>
          <w:szCs w:val="28"/>
          <w14:textFill>
            <w14:solidFill>
              <w14:schemeClr w14:val="tx1"/>
            </w14:solidFill>
          </w14:textFill>
        </w:rPr>
        <w:t>2020</w:t>
      </w:r>
      <w:r>
        <w:rPr>
          <w:rFonts w:hint="eastAsia" w:ascii="宋体" w:hAnsi="宋体"/>
          <w:b/>
          <w:color w:val="000000" w:themeColor="text1"/>
          <w:sz w:val="28"/>
          <w:szCs w:val="28"/>
          <w14:textFill>
            <w14:solidFill>
              <w14:schemeClr w14:val="tx1"/>
            </w14:solidFill>
          </w14:textFill>
        </w:rPr>
        <w:t>年或</w:t>
      </w:r>
      <w:r>
        <w:rPr>
          <w:rFonts w:ascii="宋体" w:hAnsi="宋体"/>
          <w:b/>
          <w:color w:val="000000" w:themeColor="text1"/>
          <w:sz w:val="28"/>
          <w:szCs w:val="28"/>
          <w14:textFill>
            <w14:solidFill>
              <w14:schemeClr w14:val="tx1"/>
            </w14:solidFill>
          </w14:textFill>
        </w:rPr>
        <w:t>2021</w:t>
      </w:r>
      <w:r>
        <w:rPr>
          <w:rFonts w:hint="eastAsia" w:ascii="宋体" w:hAnsi="宋体"/>
          <w:b/>
          <w:color w:val="000000" w:themeColor="text1"/>
          <w:sz w:val="28"/>
          <w:szCs w:val="28"/>
          <w14:textFill>
            <w14:solidFill>
              <w14:schemeClr w14:val="tx1"/>
            </w14:solidFill>
          </w14:textFill>
        </w:rPr>
        <w:t>年任意时段的税收的银行电子回单或者行政部门出具的纳税证明或完税证明复印件；</w:t>
      </w:r>
    </w:p>
    <w:p>
      <w:pPr>
        <w:pStyle w:val="153"/>
        <w:numPr>
          <w:ilvl w:val="0"/>
          <w:numId w:val="16"/>
        </w:numPr>
        <w:spacing w:after="200" w:line="360" w:lineRule="auto"/>
        <w:ind w:left="0" w:firstLine="573" w:firstLineChars="0"/>
        <w:rPr>
          <w:rFonts w:ascii="宋体" w:hAnsi="宋体"/>
          <w:b/>
          <w:bCs/>
          <w:kern w:val="0"/>
          <w:sz w:val="28"/>
          <w:szCs w:val="28"/>
        </w:rPr>
      </w:pPr>
      <w:r>
        <w:rPr>
          <w:rFonts w:hint="eastAsia" w:ascii="宋体" w:hAnsi="宋体"/>
          <w:b/>
          <w:color w:val="000000" w:themeColor="text1"/>
          <w:sz w:val="28"/>
          <w:szCs w:val="28"/>
          <w14:textFill>
            <w14:solidFill>
              <w14:schemeClr w14:val="tx1"/>
            </w14:solidFill>
          </w14:textFill>
        </w:rPr>
        <w:t>采购人对投标人履行合同所必须的设备和专业技术能力无其他特殊要求，投标人具有有效的营业执照或法人证书即可，可不提供其他证明材料；</w:t>
      </w:r>
    </w:p>
    <w:p>
      <w:pPr>
        <w:pStyle w:val="153"/>
        <w:numPr>
          <w:ilvl w:val="0"/>
          <w:numId w:val="16"/>
        </w:numPr>
        <w:spacing w:after="200" w:line="360" w:lineRule="auto"/>
        <w:ind w:left="0" w:firstLine="573" w:firstLineChars="0"/>
        <w:rPr>
          <w:rFonts w:ascii="宋体" w:hAnsi="宋体"/>
          <w:b/>
          <w:bCs/>
          <w:kern w:val="0"/>
          <w:sz w:val="28"/>
          <w:szCs w:val="28"/>
        </w:rPr>
      </w:pPr>
      <w:r>
        <w:rPr>
          <w:rFonts w:hint="eastAsia" w:ascii="宋体" w:hAnsi="宋体"/>
          <w:b/>
          <w:color w:val="000000" w:themeColor="text1"/>
          <w:sz w:val="28"/>
          <w:szCs w:val="28"/>
          <w14:textFill>
            <w14:solidFill>
              <w14:schemeClr w14:val="tx1"/>
            </w14:solidFill>
          </w14:textFill>
        </w:rPr>
        <w:t>投标人缴纳</w:t>
      </w:r>
      <w:r>
        <w:rPr>
          <w:rFonts w:ascii="宋体" w:hAnsi="宋体"/>
          <w:b/>
          <w:color w:val="000000" w:themeColor="text1"/>
          <w:sz w:val="28"/>
          <w:szCs w:val="28"/>
          <w14:textFill>
            <w14:solidFill>
              <w14:schemeClr w14:val="tx1"/>
            </w14:solidFill>
          </w14:textFill>
        </w:rPr>
        <w:t>2020</w:t>
      </w:r>
      <w:r>
        <w:rPr>
          <w:rFonts w:hint="eastAsia" w:ascii="宋体" w:hAnsi="宋体"/>
          <w:b/>
          <w:color w:val="000000" w:themeColor="text1"/>
          <w:sz w:val="28"/>
          <w:szCs w:val="28"/>
          <w14:textFill>
            <w14:solidFill>
              <w14:schemeClr w14:val="tx1"/>
            </w14:solidFill>
          </w14:textFill>
        </w:rPr>
        <w:t>年或</w:t>
      </w:r>
      <w:r>
        <w:rPr>
          <w:rFonts w:ascii="宋体" w:hAnsi="宋体"/>
          <w:b/>
          <w:color w:val="000000" w:themeColor="text1"/>
          <w:sz w:val="28"/>
          <w:szCs w:val="28"/>
          <w14:textFill>
            <w14:solidFill>
              <w14:schemeClr w14:val="tx1"/>
            </w14:solidFill>
          </w14:textFill>
        </w:rPr>
        <w:t>2021</w:t>
      </w:r>
      <w:r>
        <w:rPr>
          <w:rFonts w:hint="eastAsia" w:ascii="宋体" w:hAnsi="宋体"/>
          <w:b/>
          <w:color w:val="000000" w:themeColor="text1"/>
          <w:sz w:val="28"/>
          <w:szCs w:val="28"/>
          <w14:textFill>
            <w14:solidFill>
              <w14:schemeClr w14:val="tx1"/>
            </w14:solidFill>
          </w14:textFill>
        </w:rPr>
        <w:t>年任意时段的社保的银行电子回单或行政部门出具的社保缴纳证明材料复印件；</w:t>
      </w:r>
    </w:p>
    <w:p>
      <w:pPr>
        <w:pStyle w:val="153"/>
        <w:numPr>
          <w:ilvl w:val="0"/>
          <w:numId w:val="16"/>
        </w:numPr>
        <w:spacing w:after="200" w:line="360" w:lineRule="auto"/>
        <w:ind w:left="0" w:firstLine="573" w:firstLineChars="0"/>
        <w:rPr>
          <w:rFonts w:ascii="宋体" w:hAnsi="宋体"/>
          <w:b/>
          <w:bCs/>
          <w:kern w:val="0"/>
          <w:sz w:val="28"/>
          <w:szCs w:val="28"/>
        </w:rPr>
      </w:pPr>
      <w:r>
        <w:rPr>
          <w:rFonts w:hint="eastAsia" w:ascii="宋体" w:hAnsi="宋体"/>
          <w:b/>
          <w:color w:val="000000" w:themeColor="text1"/>
          <w:sz w:val="28"/>
          <w:szCs w:val="28"/>
          <w14:textFill>
            <w14:solidFill>
              <w14:schemeClr w14:val="tx1"/>
            </w14:solidFill>
          </w14:textFill>
        </w:rPr>
        <w:t>采购人对法律、行政法规规定的其他条件无其他特殊要求，投标人具有有效的营业执照或法人证书即可，可不提供其他证明材料。</w:t>
      </w:r>
    </w:p>
    <w:p>
      <w:pPr>
        <w:pStyle w:val="5"/>
        <w:numPr>
          <w:ilvl w:val="3"/>
          <w:numId w:val="3"/>
        </w:numPr>
        <w:spacing w:line="560" w:lineRule="exac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商务技术响应文件：</w:t>
      </w:r>
    </w:p>
    <w:p>
      <w:pPr>
        <w:numPr>
          <w:ilvl w:val="0"/>
          <w:numId w:val="17"/>
        </w:numPr>
        <w:tabs>
          <w:tab w:val="left" w:pos="1134"/>
        </w:tabs>
        <w:spacing w:after="200"/>
        <w:ind w:left="0" w:firstLine="546"/>
        <w:rPr>
          <w:rFonts w:ascii="宋体" w:hAnsi="宋体"/>
          <w:b/>
          <w:color w:val="000000" w:themeColor="text1"/>
          <w:kern w:val="0"/>
          <w:sz w:val="28"/>
          <w:szCs w:val="28"/>
          <w14:textFill>
            <w14:solidFill>
              <w14:schemeClr w14:val="tx1"/>
            </w14:solidFill>
          </w14:textFill>
        </w:rPr>
      </w:pPr>
      <w:r>
        <w:rPr>
          <w:rFonts w:hint="eastAsia" w:ascii="宋体" w:hAnsi="宋体"/>
          <w:b/>
          <w:color w:val="000000" w:themeColor="text1"/>
          <w:kern w:val="0"/>
          <w:sz w:val="28"/>
          <w:szCs w:val="28"/>
          <w14:textFill>
            <w14:solidFill>
              <w14:schemeClr w14:val="tx1"/>
            </w14:solidFill>
          </w14:textFill>
        </w:rPr>
        <w:t>投标函；</w:t>
      </w:r>
    </w:p>
    <w:p>
      <w:pPr>
        <w:numPr>
          <w:ilvl w:val="0"/>
          <w:numId w:val="17"/>
        </w:numPr>
        <w:tabs>
          <w:tab w:val="left" w:pos="1134"/>
        </w:tabs>
        <w:spacing w:after="200"/>
        <w:ind w:left="0" w:firstLine="546"/>
        <w:rPr>
          <w:rFonts w:ascii="宋体" w:hAnsi="宋体"/>
          <w:b/>
          <w:color w:val="000000" w:themeColor="text1"/>
          <w:kern w:val="0"/>
          <w:sz w:val="28"/>
          <w:szCs w:val="28"/>
          <w14:textFill>
            <w14:solidFill>
              <w14:schemeClr w14:val="tx1"/>
            </w14:solidFill>
          </w14:textFill>
        </w:rPr>
      </w:pPr>
      <w:r>
        <w:rPr>
          <w:rFonts w:hint="eastAsia" w:ascii="宋体" w:hAnsi="宋体"/>
          <w:b/>
          <w:color w:val="000000" w:themeColor="text1"/>
          <w:kern w:val="0"/>
          <w:sz w:val="28"/>
          <w:szCs w:val="28"/>
          <w14:textFill>
            <w14:solidFill>
              <w14:schemeClr w14:val="tx1"/>
            </w14:solidFill>
          </w14:textFill>
        </w:rPr>
        <w:t>法定代表人身份证明书；</w:t>
      </w:r>
    </w:p>
    <w:p>
      <w:pPr>
        <w:numPr>
          <w:ilvl w:val="0"/>
          <w:numId w:val="17"/>
        </w:numPr>
        <w:tabs>
          <w:tab w:val="left" w:pos="1134"/>
        </w:tabs>
        <w:spacing w:after="200"/>
        <w:ind w:left="0" w:firstLine="546"/>
        <w:rPr>
          <w:rFonts w:ascii="宋体" w:hAnsi="宋体"/>
          <w:b/>
          <w:color w:val="000000" w:themeColor="text1"/>
          <w:kern w:val="0"/>
          <w:sz w:val="28"/>
          <w:szCs w:val="28"/>
          <w14:textFill>
            <w14:solidFill>
              <w14:schemeClr w14:val="tx1"/>
            </w14:solidFill>
          </w14:textFill>
        </w:rPr>
      </w:pPr>
      <w:r>
        <w:rPr>
          <w:rFonts w:hint="eastAsia" w:ascii="宋体" w:hAnsi="宋体"/>
          <w:b/>
          <w:color w:val="000000" w:themeColor="text1"/>
          <w:kern w:val="0"/>
          <w:sz w:val="28"/>
          <w:szCs w:val="28"/>
          <w14:textFill>
            <w14:solidFill>
              <w14:schemeClr w14:val="tx1"/>
            </w14:solidFill>
          </w14:textFill>
        </w:rPr>
        <w:t>投标人基本情况表；</w:t>
      </w:r>
    </w:p>
    <w:p>
      <w:pPr>
        <w:numPr>
          <w:ilvl w:val="0"/>
          <w:numId w:val="17"/>
        </w:numPr>
        <w:tabs>
          <w:tab w:val="left" w:pos="1134"/>
          <w:tab w:val="left" w:pos="1418"/>
        </w:tabs>
        <w:spacing w:after="200"/>
        <w:ind w:left="0" w:firstLine="546"/>
        <w:rPr>
          <w:rFonts w:ascii="宋体" w:hAnsi="宋体"/>
          <w:b/>
          <w:color w:val="000000" w:themeColor="text1"/>
          <w:kern w:val="0"/>
          <w:sz w:val="28"/>
          <w:szCs w:val="28"/>
          <w14:textFill>
            <w14:solidFill>
              <w14:schemeClr w14:val="tx1"/>
            </w14:solidFill>
          </w14:textFill>
        </w:rPr>
      </w:pPr>
      <w:r>
        <w:rPr>
          <w:rFonts w:hint="eastAsia" w:ascii="宋体" w:hAnsi="宋体"/>
          <w:b/>
          <w:color w:val="000000" w:themeColor="text1"/>
          <w:kern w:val="0"/>
          <w:sz w:val="28"/>
          <w:szCs w:val="28"/>
          <w14:textFill>
            <w14:solidFill>
              <w14:schemeClr w14:val="tx1"/>
            </w14:solidFill>
          </w14:textFill>
        </w:rPr>
        <w:t>服务方案及服务承诺；</w:t>
      </w:r>
    </w:p>
    <w:p>
      <w:pPr>
        <w:numPr>
          <w:ilvl w:val="0"/>
          <w:numId w:val="17"/>
        </w:numPr>
        <w:tabs>
          <w:tab w:val="left" w:pos="1134"/>
          <w:tab w:val="left" w:pos="1418"/>
        </w:tabs>
        <w:spacing w:after="200"/>
        <w:ind w:left="0" w:firstLine="546"/>
        <w:rPr>
          <w:rFonts w:ascii="宋体" w:hAnsi="宋体"/>
          <w:b/>
          <w:color w:val="000000" w:themeColor="text1"/>
          <w:kern w:val="0"/>
          <w:sz w:val="28"/>
          <w:szCs w:val="28"/>
          <w14:textFill>
            <w14:solidFill>
              <w14:schemeClr w14:val="tx1"/>
            </w14:solidFill>
          </w14:textFill>
        </w:rPr>
      </w:pPr>
      <w:r>
        <w:rPr>
          <w:rFonts w:hint="eastAsia" w:ascii="宋体" w:hAnsi="宋体"/>
          <w:b/>
          <w:color w:val="000000" w:themeColor="text1"/>
          <w:kern w:val="0"/>
          <w:sz w:val="28"/>
          <w:szCs w:val="28"/>
          <w14:textFill>
            <w14:solidFill>
              <w14:schemeClr w14:val="tx1"/>
            </w14:solidFill>
          </w14:textFill>
        </w:rPr>
        <w:t>中小企业声明函</w:t>
      </w:r>
      <w:r>
        <w:rPr>
          <w:rFonts w:hint="eastAsia" w:ascii="宋体" w:hAnsi="宋体"/>
          <w:b/>
          <w:sz w:val="28"/>
          <w:szCs w:val="28"/>
        </w:rPr>
        <w:t>（说明：提供了《残疾人福利性单位声明</w:t>
      </w:r>
      <w:r>
        <w:rPr>
          <w:rFonts w:ascii="宋体" w:hAnsi="宋体"/>
          <w:b/>
          <w:sz w:val="28"/>
          <w:szCs w:val="28"/>
        </w:rPr>
        <w:t>函</w:t>
      </w:r>
      <w:r>
        <w:rPr>
          <w:rFonts w:hint="eastAsia" w:ascii="宋体" w:hAnsi="宋体"/>
          <w:b/>
          <w:sz w:val="28"/>
          <w:szCs w:val="28"/>
        </w:rPr>
        <w:t>》的不需提供）</w:t>
      </w:r>
    </w:p>
    <w:p>
      <w:pPr>
        <w:numPr>
          <w:ilvl w:val="0"/>
          <w:numId w:val="17"/>
        </w:numPr>
        <w:tabs>
          <w:tab w:val="left" w:pos="1134"/>
          <w:tab w:val="left" w:pos="1418"/>
        </w:tabs>
        <w:spacing w:after="200"/>
        <w:ind w:left="0" w:firstLine="546"/>
        <w:rPr>
          <w:rFonts w:ascii="宋体" w:hAnsi="宋体"/>
          <w:b/>
          <w:color w:val="000000" w:themeColor="text1"/>
          <w:kern w:val="0"/>
          <w:sz w:val="28"/>
          <w:szCs w:val="28"/>
          <w14:textFill>
            <w14:solidFill>
              <w14:schemeClr w14:val="tx1"/>
            </w14:solidFill>
          </w14:textFill>
        </w:rPr>
      </w:pPr>
      <w:r>
        <w:rPr>
          <w:rFonts w:hint="eastAsia" w:ascii="宋体" w:hAnsi="宋体"/>
          <w:b/>
          <w:color w:val="000000" w:themeColor="text1"/>
          <w:kern w:val="0"/>
          <w:sz w:val="28"/>
          <w:szCs w:val="28"/>
          <w14:textFill>
            <w14:solidFill>
              <w14:schemeClr w14:val="tx1"/>
            </w14:solidFill>
          </w14:textFill>
        </w:rPr>
        <w:t>残疾人福利性单位声明函</w:t>
      </w:r>
      <w:r>
        <w:rPr>
          <w:rFonts w:hint="eastAsia" w:ascii="宋体" w:hAnsi="宋体"/>
          <w:b/>
          <w:sz w:val="28"/>
          <w:szCs w:val="28"/>
        </w:rPr>
        <w:t>（说明：提供了《中小</w:t>
      </w:r>
      <w:r>
        <w:rPr>
          <w:rFonts w:ascii="宋体" w:hAnsi="宋体"/>
          <w:b/>
          <w:sz w:val="28"/>
          <w:szCs w:val="28"/>
        </w:rPr>
        <w:t>企业声明函</w:t>
      </w:r>
      <w:r>
        <w:rPr>
          <w:rFonts w:hint="eastAsia" w:ascii="宋体" w:hAnsi="宋体"/>
          <w:b/>
          <w:sz w:val="28"/>
          <w:szCs w:val="28"/>
        </w:rPr>
        <w:t>》的不需提供）</w:t>
      </w:r>
    </w:p>
    <w:p>
      <w:pPr>
        <w:pStyle w:val="5"/>
        <w:numPr>
          <w:ilvl w:val="3"/>
          <w:numId w:val="3"/>
        </w:numPr>
        <w:spacing w:line="560" w:lineRule="exact"/>
        <w:rPr>
          <w:rFonts w:ascii="宋体" w:hAnsi="宋体"/>
          <w:b w:val="0"/>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报价</w:t>
      </w:r>
      <w:r>
        <w:rPr>
          <w:rFonts w:ascii="宋体" w:hAnsi="宋体"/>
          <w:color w:val="000000" w:themeColor="text1"/>
          <w14:textFill>
            <w14:solidFill>
              <w14:schemeClr w14:val="tx1"/>
            </w14:solidFill>
          </w14:textFill>
        </w:rPr>
        <w:t>要求响应文件</w:t>
      </w:r>
    </w:p>
    <w:p>
      <w:pPr>
        <w:tabs>
          <w:tab w:val="left" w:pos="1134"/>
          <w:tab w:val="left" w:pos="1418"/>
        </w:tabs>
        <w:spacing w:after="200"/>
        <w:ind w:firstLine="551" w:firstLineChars="196"/>
        <w:rPr>
          <w:rFonts w:ascii="宋体" w:hAnsi="宋体"/>
          <w:b/>
          <w:color w:val="000000" w:themeColor="text1"/>
          <w:kern w:val="0"/>
          <w:sz w:val="28"/>
          <w:szCs w:val="28"/>
          <w14:textFill>
            <w14:solidFill>
              <w14:schemeClr w14:val="tx1"/>
            </w14:solidFill>
          </w14:textFill>
        </w:rPr>
      </w:pPr>
      <w:r>
        <w:rPr>
          <w:rFonts w:hint="eastAsia" w:ascii="宋体" w:hAnsi="宋体"/>
          <w:b/>
          <w:color w:val="000000" w:themeColor="text1"/>
          <w:kern w:val="0"/>
          <w:sz w:val="28"/>
          <w:szCs w:val="28"/>
          <w14:textFill>
            <w14:solidFill>
              <w14:schemeClr w14:val="tx1"/>
            </w14:solidFill>
          </w14:textFill>
        </w:rPr>
        <w:t>一、开标一览表；</w:t>
      </w:r>
    </w:p>
    <w:p>
      <w:pPr>
        <w:tabs>
          <w:tab w:val="left" w:pos="1134"/>
          <w:tab w:val="left" w:pos="1418"/>
        </w:tabs>
        <w:spacing w:after="200"/>
        <w:ind w:firstLine="551" w:firstLineChars="196"/>
        <w:rPr>
          <w:rFonts w:ascii="宋体" w:hAnsi="宋体"/>
          <w:b/>
          <w:color w:val="000000" w:themeColor="text1"/>
          <w:kern w:val="0"/>
          <w:sz w:val="28"/>
          <w:szCs w:val="28"/>
          <w14:textFill>
            <w14:solidFill>
              <w14:schemeClr w14:val="tx1"/>
            </w14:solidFill>
          </w14:textFill>
        </w:rPr>
      </w:pPr>
      <w:r>
        <w:rPr>
          <w:rFonts w:hint="eastAsia" w:ascii="宋体" w:hAnsi="宋体"/>
          <w:b/>
          <w:color w:val="000000" w:themeColor="text1"/>
          <w:kern w:val="0"/>
          <w:sz w:val="28"/>
          <w:szCs w:val="28"/>
          <w14:textFill>
            <w14:solidFill>
              <w14:schemeClr w14:val="tx1"/>
            </w14:solidFill>
          </w14:textFill>
        </w:rPr>
        <w:t>二、分项报价明细表。</w:t>
      </w:r>
    </w:p>
    <w:p>
      <w:pPr>
        <w:pStyle w:val="4"/>
        <w:numPr>
          <w:ilvl w:val="2"/>
          <w:numId w:val="3"/>
        </w:numPr>
        <w:spacing w:after="200" w:line="240" w:lineRule="auto"/>
        <w:ind w:left="0" w:firstLine="0"/>
        <w:rPr>
          <w:color w:val="000000" w:themeColor="text1"/>
          <w14:textFill>
            <w14:solidFill>
              <w14:schemeClr w14:val="tx1"/>
            </w14:solidFill>
          </w14:textFill>
        </w:rPr>
      </w:pPr>
      <w:bookmarkStart w:id="76" w:name="_Toc316291396"/>
      <w:bookmarkEnd w:id="76"/>
      <w:bookmarkStart w:id="77" w:name="_Toc316292020"/>
      <w:bookmarkEnd w:id="77"/>
      <w:bookmarkStart w:id="78" w:name="_Toc316292019"/>
      <w:bookmarkEnd w:id="78"/>
      <w:bookmarkStart w:id="79" w:name="_Toc316291395"/>
      <w:bookmarkEnd w:id="79"/>
      <w:bookmarkStart w:id="80" w:name="_Toc183582218"/>
      <w:bookmarkStart w:id="81" w:name="_Toc183682355"/>
      <w:bookmarkStart w:id="82" w:name="_Toc217446049"/>
      <w:r>
        <w:rPr>
          <w:rFonts w:hint="eastAsia"/>
          <w:color w:val="000000" w:themeColor="text1"/>
          <w14:textFill>
            <w14:solidFill>
              <w14:schemeClr w14:val="tx1"/>
            </w14:solidFill>
          </w14:textFill>
        </w:rPr>
        <w:t>投标文件格式</w:t>
      </w:r>
      <w:bookmarkEnd w:id="80"/>
      <w:bookmarkEnd w:id="81"/>
      <w:bookmarkEnd w:id="82"/>
      <w:r>
        <w:rPr>
          <w:rFonts w:hint="eastAsia"/>
          <w:color w:val="000000" w:themeColor="text1"/>
          <w14:textFill>
            <w14:solidFill>
              <w14:schemeClr w14:val="tx1"/>
            </w14:solidFill>
          </w14:textFill>
        </w:rPr>
        <w:tab/>
      </w:r>
    </w:p>
    <w:p>
      <w:pPr>
        <w:numPr>
          <w:ilvl w:val="0"/>
          <w:numId w:val="18"/>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投标人应按照招标文件第3章中提供的“投标文件格式”填写相关内容。</w:t>
      </w:r>
    </w:p>
    <w:p>
      <w:pPr>
        <w:numPr>
          <w:ilvl w:val="0"/>
          <w:numId w:val="18"/>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对于没有格式要求的投标文件由投标人自行编写。</w:t>
      </w:r>
    </w:p>
    <w:p>
      <w:pPr>
        <w:pStyle w:val="4"/>
        <w:numPr>
          <w:ilvl w:val="2"/>
          <w:numId w:val="3"/>
        </w:numPr>
        <w:spacing w:after="200" w:line="240" w:lineRule="auto"/>
        <w:ind w:left="0" w:firstLine="0"/>
        <w:rPr>
          <w:color w:val="000000" w:themeColor="text1"/>
          <w14:textFill>
            <w14:solidFill>
              <w14:schemeClr w14:val="tx1"/>
            </w14:solidFill>
          </w14:textFill>
        </w:rPr>
      </w:pPr>
      <w:bookmarkStart w:id="83" w:name="_Toc217446050"/>
      <w:bookmarkStart w:id="84" w:name="_Toc183582223"/>
      <w:bookmarkStart w:id="85" w:name="_Toc183682360"/>
      <w:r>
        <w:rPr>
          <w:rFonts w:hint="eastAsia"/>
          <w:color w:val="000000" w:themeColor="text1"/>
          <w14:textFill>
            <w14:solidFill>
              <w14:schemeClr w14:val="tx1"/>
            </w14:solidFill>
          </w14:textFill>
        </w:rPr>
        <w:t>投标报价</w:t>
      </w:r>
    </w:p>
    <w:p>
      <w:pPr>
        <w:numPr>
          <w:ilvl w:val="0"/>
          <w:numId w:val="19"/>
        </w:numPr>
        <w:tabs>
          <w:tab w:val="left" w:pos="1134"/>
        </w:tabs>
        <w:spacing w:line="360" w:lineRule="auto"/>
        <w:ind w:left="0" w:firstLine="56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投标人的报价是投标人响应招标项目要求的全部工作内容的价格体现，包括投标人完成本项目所需的一切费用。</w:t>
      </w:r>
    </w:p>
    <w:p>
      <w:pPr>
        <w:numPr>
          <w:ilvl w:val="0"/>
          <w:numId w:val="19"/>
        </w:numPr>
        <w:tabs>
          <w:tab w:val="left" w:pos="1134"/>
        </w:tabs>
        <w:spacing w:line="360" w:lineRule="auto"/>
        <w:ind w:left="0" w:firstLine="56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投标人每种货物及服务内容只允许有一个报价，并且在合同履行过程中是固定不变的，任何有选择或可调整的报价将不予接受，并按无效投标处理。</w:t>
      </w:r>
    </w:p>
    <w:p>
      <w:pPr>
        <w:tabs>
          <w:tab w:val="left" w:pos="1134"/>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三、投标文件报价出现前后不一致的，按照下列规定修正：（1）大写金额和小写金额不一致的，以大写金额为准，但大写金额出现文字错误，导致金额无法判断的除外；（</w:t>
      </w:r>
      <w:r>
        <w:rPr>
          <w:rFonts w:ascii="宋体" w:hAnsi="宋体"/>
          <w:color w:val="000000" w:themeColor="text1"/>
          <w:sz w:val="28"/>
          <w:szCs w:val="28"/>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）单价金额小数点或者百分比有明显错位的，应以总价为准，并修改单价；（</w:t>
      </w:r>
      <w:r>
        <w:rPr>
          <w:rFonts w:ascii="宋体" w:hAnsi="宋体"/>
          <w:color w:val="000000" w:themeColor="text1"/>
          <w:sz w:val="28"/>
          <w:szCs w:val="28"/>
          <w14:textFill>
            <w14:solidFill>
              <w14:schemeClr w14:val="tx1"/>
            </w14:solidFill>
          </w14:textFill>
        </w:rPr>
        <w:t>3</w:t>
      </w:r>
      <w:r>
        <w:rPr>
          <w:rFonts w:hint="eastAsia" w:ascii="宋体" w:hAnsi="宋体"/>
          <w:color w:val="000000" w:themeColor="text1"/>
          <w:sz w:val="28"/>
          <w:szCs w:val="28"/>
          <w14:textFill>
            <w14:solidFill>
              <w14:schemeClr w14:val="tx1"/>
            </w14:solidFill>
          </w14:textFill>
        </w:rPr>
        <w:t>）总价金额与按单价汇总金额不一致的，以单价金额计算结果为准。</w:t>
      </w:r>
    </w:p>
    <w:p>
      <w:pPr>
        <w:tabs>
          <w:tab w:val="left" w:pos="1134"/>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cs="Arial"/>
          <w:color w:val="000000" w:themeColor="text1"/>
          <w:sz w:val="28"/>
          <w:szCs w:val="28"/>
          <w14:textFill>
            <w14:solidFill>
              <w14:schemeClr w14:val="tx1"/>
            </w14:solidFill>
          </w14:textFill>
        </w:rPr>
        <w:t>同时出现两种以上不一致的，按照前款规定的顺序修正。修正后的报价经投标人以书面形式通过政府采购云平台进行确认，并加盖投标人（法定名称）电子签章，投标人逾时确认的，其投标无效。</w:t>
      </w:r>
      <w:r>
        <w:rPr>
          <w:rFonts w:hint="eastAsia" w:ascii="宋体" w:hAnsi="宋体"/>
          <w:color w:val="000000" w:themeColor="text1"/>
          <w:sz w:val="28"/>
          <w:szCs w:val="28"/>
          <w14:textFill>
            <w14:solidFill>
              <w14:schemeClr w14:val="tx1"/>
            </w14:solidFill>
          </w14:textFill>
        </w:rPr>
        <w:t>如因断电、断网、系统故障或其他不可抗力等因素</w:t>
      </w:r>
      <w:r>
        <w:rPr>
          <w:rFonts w:hint="eastAsia" w:cs="Arial"/>
          <w:color w:val="000000" w:themeColor="text1"/>
          <w:sz w:val="28"/>
          <w:szCs w:val="28"/>
          <w14:textFill>
            <w14:solidFill>
              <w14:schemeClr w14:val="tx1"/>
            </w14:solidFill>
          </w14:textFill>
        </w:rPr>
        <w:t>，导致系统无法使用的，由投标人按评标委员会的要求进行澄清或者说明。</w:t>
      </w:r>
    </w:p>
    <w:p>
      <w:pPr>
        <w:pStyle w:val="4"/>
        <w:numPr>
          <w:ilvl w:val="2"/>
          <w:numId w:val="3"/>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投标保证金</w:t>
      </w:r>
      <w:bookmarkEnd w:id="83"/>
      <w:bookmarkEnd w:id="84"/>
      <w:bookmarkEnd w:id="85"/>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本项目不收取投标保证金。</w:t>
      </w:r>
    </w:p>
    <w:p>
      <w:pPr>
        <w:pStyle w:val="4"/>
        <w:numPr>
          <w:ilvl w:val="2"/>
          <w:numId w:val="3"/>
        </w:numPr>
        <w:tabs>
          <w:tab w:val="left" w:pos="851"/>
        </w:tabs>
        <w:spacing w:after="200" w:line="240" w:lineRule="auto"/>
        <w:ind w:left="0" w:firstLine="0"/>
        <w:rPr>
          <w:color w:val="000000" w:themeColor="text1"/>
          <w14:textFill>
            <w14:solidFill>
              <w14:schemeClr w14:val="tx1"/>
            </w14:solidFill>
          </w14:textFill>
        </w:rPr>
      </w:pPr>
      <w:bookmarkStart w:id="86" w:name="_Toc316291400"/>
      <w:bookmarkEnd w:id="86"/>
      <w:bookmarkStart w:id="87" w:name="_Toc316292024"/>
      <w:bookmarkEnd w:id="87"/>
      <w:bookmarkStart w:id="88" w:name="_Toc183682361"/>
      <w:bookmarkStart w:id="89" w:name="_Toc217446051"/>
      <w:bookmarkStart w:id="90" w:name="_Toc183582224"/>
      <w:r>
        <w:rPr>
          <w:rFonts w:hint="eastAsia"/>
          <w:color w:val="000000" w:themeColor="text1"/>
          <w14:textFill>
            <w14:solidFill>
              <w14:schemeClr w14:val="tx1"/>
            </w14:solidFill>
          </w14:textFill>
        </w:rPr>
        <w:t>投标有效期</w:t>
      </w:r>
      <w:bookmarkEnd w:id="88"/>
      <w:bookmarkEnd w:id="89"/>
      <w:bookmarkEnd w:id="90"/>
    </w:p>
    <w:p>
      <w:pPr>
        <w:numPr>
          <w:ilvl w:val="0"/>
          <w:numId w:val="20"/>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投标有效期为</w:t>
      </w:r>
      <w:r>
        <w:rPr>
          <w:rFonts w:hint="eastAsia" w:ascii="Helvetica" w:hAnsi="Helvetica" w:cs="Helvetica"/>
          <w:color w:val="000000" w:themeColor="text1"/>
          <w:sz w:val="28"/>
          <w:szCs w:val="28"/>
          <w14:textFill>
            <w14:solidFill>
              <w14:schemeClr w14:val="tx1"/>
            </w14:solidFill>
          </w14:textFill>
        </w:rPr>
        <w:t>提交投标文件的截止之日起</w:t>
      </w:r>
      <w:r>
        <w:rPr>
          <w:rFonts w:hint="eastAsia" w:ascii="宋体" w:hAnsi="宋体"/>
          <w:color w:val="000000" w:themeColor="text1"/>
          <w:sz w:val="28"/>
          <w:szCs w:val="28"/>
          <w:u w:val="single"/>
          <w14:textFill>
            <w14:solidFill>
              <w14:schemeClr w14:val="tx1"/>
            </w14:solidFill>
          </w14:textFill>
        </w:rPr>
        <w:t>120</w:t>
      </w:r>
      <w:r>
        <w:rPr>
          <w:rFonts w:hint="eastAsia" w:ascii="宋体" w:hAnsi="宋体"/>
          <w:color w:val="000000" w:themeColor="text1"/>
          <w:sz w:val="28"/>
          <w:szCs w:val="28"/>
          <w14:textFill>
            <w14:solidFill>
              <w14:schemeClr w14:val="tx1"/>
            </w14:solidFill>
          </w14:textFill>
        </w:rPr>
        <w:t>天。投标有效期短于此规定期限的或不作响应的，则其投标文件将按无效投标文件处理。</w:t>
      </w:r>
    </w:p>
    <w:p>
      <w:pPr>
        <w:numPr>
          <w:ilvl w:val="0"/>
          <w:numId w:val="20"/>
        </w:numPr>
        <w:tabs>
          <w:tab w:val="left" w:pos="1134"/>
        </w:tabs>
        <w:spacing w:after="200"/>
        <w:ind w:left="0" w:firstLine="567"/>
        <w:rPr>
          <w:rFonts w:ascii="宋体" w:hAnsi="宋体"/>
          <w:color w:val="000000" w:themeColor="text1"/>
          <w:sz w:val="28"/>
          <w:szCs w:val="28"/>
          <w14:textFill>
            <w14:solidFill>
              <w14:schemeClr w14:val="tx1"/>
            </w14:solidFill>
          </w14:textFill>
        </w:rPr>
      </w:pPr>
      <w:bookmarkStart w:id="91" w:name="_Toc217446052"/>
      <w:bookmarkStart w:id="92" w:name="_Toc183582225"/>
      <w:bookmarkStart w:id="93" w:name="_Toc183682362"/>
      <w:r>
        <w:rPr>
          <w:rFonts w:hint="eastAsia" w:ascii="宋体" w:hAnsi="宋体"/>
          <w:color w:val="000000" w:themeColor="text1"/>
          <w:sz w:val="28"/>
          <w:szCs w:val="28"/>
          <w14:textFill>
            <w14:solidFill>
              <w14:schemeClr w14:val="tx1"/>
            </w14:solidFill>
          </w14:textFill>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pPr>
        <w:pStyle w:val="4"/>
        <w:numPr>
          <w:ilvl w:val="2"/>
          <w:numId w:val="3"/>
        </w:numPr>
        <w:tabs>
          <w:tab w:val="left" w:pos="851"/>
        </w:tabs>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投标文件的制作和签章、加密</w:t>
      </w:r>
      <w:bookmarkEnd w:id="91"/>
      <w:bookmarkEnd w:id="92"/>
      <w:bookmarkEnd w:id="93"/>
      <w:bookmarkStart w:id="94" w:name="_Toc316475580"/>
      <w:bookmarkEnd w:id="94"/>
      <w:bookmarkStart w:id="95" w:name="_Toc316475582"/>
      <w:bookmarkEnd w:id="95"/>
      <w:bookmarkStart w:id="96" w:name="_Toc316475579"/>
      <w:bookmarkEnd w:id="96"/>
      <w:bookmarkStart w:id="97" w:name="_Toc316475578"/>
      <w:bookmarkEnd w:id="97"/>
      <w:bookmarkStart w:id="98" w:name="_Toc316475581"/>
      <w:bookmarkEnd w:id="98"/>
      <w:bookmarkStart w:id="99" w:name="_Toc316475583"/>
      <w:bookmarkEnd w:id="99"/>
      <w:bookmarkStart w:id="100" w:name="_Toc316475577"/>
      <w:bookmarkEnd w:id="100"/>
      <w:bookmarkStart w:id="101" w:name="_Toc183582227"/>
      <w:bookmarkStart w:id="102" w:name="_Toc183682364"/>
      <w:bookmarkStart w:id="103" w:name="_Toc217446054"/>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一、投标文件应根据招标文件的要求进行制作。（说明：1、招标文件中要求提供复印件证明材料的，包含提供原件的影印件或复印件。2、要求提供复印件的证明材料须清晰可辨。）</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二、投标文件制作详情：</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本项目实行电子投标。投标人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投标人应按招标文件要求，通过“政采云投标客户端”制作、加密并提交投标文件。</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2、投标文件应加盖投标人（法定名称）电子签章，不得使用投标人专用章（如经济合同章、投标专用章等）或下属单位印章代替。</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3、投标人应使用本企业CA数字证书对投标文件进行加密。</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4、招标文件有修改的，投标人须重新下载修改后的招标文件（修改后的招标文件在更正公告中下载），根据修改后的招标文件制作、撤回修改，并递交投标文件。</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5、使用“政府采购云平台”（含政采云电子交易客户端）需要提前申领CA数字证书及电子签章，请自行前往四川CA、CFCA、天威CA服务点办理，只需办理其中一家CA数字证书及签章（提示：办理时请说明参与成都市政府采购项目）。投标人应及时完成在“政府采购云平台”的CA账号绑定，确保顺利参与电子投标。</w:t>
      </w:r>
    </w:p>
    <w:p>
      <w:pPr>
        <w:pStyle w:val="4"/>
        <w:numPr>
          <w:ilvl w:val="2"/>
          <w:numId w:val="3"/>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投标文件的</w:t>
      </w:r>
      <w:bookmarkEnd w:id="101"/>
      <w:bookmarkEnd w:id="102"/>
      <w:r>
        <w:rPr>
          <w:rFonts w:hint="eastAsia"/>
          <w:color w:val="000000" w:themeColor="text1"/>
          <w14:textFill>
            <w14:solidFill>
              <w14:schemeClr w14:val="tx1"/>
            </w14:solidFill>
          </w14:textFill>
        </w:rPr>
        <w:t>递交</w:t>
      </w:r>
      <w:bookmarkEnd w:id="103"/>
    </w:p>
    <w:p>
      <w:pPr>
        <w:tabs>
          <w:tab w:val="left" w:pos="0"/>
        </w:tabs>
        <w:spacing w:line="360" w:lineRule="auto"/>
        <w:ind w:firstLine="420" w:firstLineChars="150"/>
        <w:rPr>
          <w:rFonts w:ascii="宋体" w:hAnsi="宋体" w:eastAsiaTheme="minorEastAsia" w:cstheme="minorBidi"/>
          <w:bCs/>
          <w:color w:val="000000" w:themeColor="text1"/>
          <w:sz w:val="28"/>
          <w:szCs w:val="28"/>
          <w14:textFill>
            <w14:solidFill>
              <w14:schemeClr w14:val="tx1"/>
            </w14:solidFill>
          </w14:textFill>
        </w:rPr>
      </w:pPr>
      <w:r>
        <w:rPr>
          <w:rFonts w:hint="eastAsia" w:ascii="宋体" w:hAnsi="宋体" w:eastAsiaTheme="minorEastAsia" w:cstheme="minorBidi"/>
          <w:bCs/>
          <w:color w:val="000000" w:themeColor="text1"/>
          <w:sz w:val="28"/>
          <w:szCs w:val="28"/>
          <w14:textFill>
            <w14:solidFill>
              <w14:schemeClr w14:val="tx1"/>
            </w14:solidFill>
          </w14:textFill>
        </w:rPr>
        <w:t>一、投标人应当在投标文件递交截止时间前，将生成的已加密的电子投标文件成功递交至“政府采购云平台”。</w:t>
      </w:r>
    </w:p>
    <w:p>
      <w:pPr>
        <w:tabs>
          <w:tab w:val="left" w:pos="0"/>
        </w:tabs>
        <w:spacing w:line="360" w:lineRule="auto"/>
        <w:ind w:firstLine="420" w:firstLineChars="150"/>
        <w:rPr>
          <w:rFonts w:ascii="宋体" w:hAnsi="宋体" w:eastAsiaTheme="minorEastAsia" w:cstheme="minorBidi"/>
          <w:bCs/>
          <w:color w:val="000000" w:themeColor="text1"/>
          <w:sz w:val="28"/>
          <w:szCs w:val="28"/>
          <w14:textFill>
            <w14:solidFill>
              <w14:schemeClr w14:val="tx1"/>
            </w14:solidFill>
          </w14:textFill>
        </w:rPr>
      </w:pPr>
      <w:r>
        <w:rPr>
          <w:rFonts w:hint="eastAsia" w:ascii="宋体" w:hAnsi="宋体" w:eastAsiaTheme="minorEastAsia" w:cstheme="minorBidi"/>
          <w:bCs/>
          <w:color w:val="000000" w:themeColor="text1"/>
          <w:sz w:val="28"/>
          <w:szCs w:val="28"/>
          <w14:textFill>
            <w14:solidFill>
              <w14:schemeClr w14:val="tx1"/>
            </w14:solidFill>
          </w14:textFill>
        </w:rPr>
        <w:t>二、因招标文件的修改推迟投标截止日期的，投标人按区采购中心在“四川政府采购网”和“成都市公共资源交易服务中心”网站上发布的澄清公告中修改的时间递交投标文件。</w:t>
      </w:r>
    </w:p>
    <w:p>
      <w:pPr>
        <w:tabs>
          <w:tab w:val="left" w:pos="0"/>
        </w:tabs>
        <w:spacing w:line="360" w:lineRule="auto"/>
        <w:ind w:firstLine="420" w:firstLineChars="150"/>
        <w:rPr>
          <w:rFonts w:ascii="宋体" w:hAnsi="宋体"/>
          <w:bCs/>
          <w:color w:val="000000" w:themeColor="text1"/>
          <w:sz w:val="28"/>
          <w:szCs w:val="28"/>
          <w14:textFill>
            <w14:solidFill>
              <w14:schemeClr w14:val="tx1"/>
            </w14:solidFill>
          </w14:textFill>
        </w:rPr>
      </w:pPr>
      <w:r>
        <w:rPr>
          <w:rFonts w:hint="eastAsia" w:ascii="宋体" w:hAnsi="宋体" w:eastAsiaTheme="minorEastAsia" w:cstheme="minorBidi"/>
          <w:bCs/>
          <w:color w:val="000000" w:themeColor="text1"/>
          <w:sz w:val="28"/>
          <w:szCs w:val="28"/>
          <w14:textFill>
            <w14:solidFill>
              <w14:schemeClr w14:val="tx1"/>
            </w14:solidFill>
          </w14:textFill>
        </w:rPr>
        <w:t>三、投标人应充分考虑递交文件的不可预见因素，未在投标截止时间前完成递交的，在投标截止时间后将无法递交</w:t>
      </w:r>
      <w:r>
        <w:rPr>
          <w:rFonts w:hint="eastAsia" w:ascii="宋体" w:hAnsi="宋体"/>
          <w:bCs/>
          <w:color w:val="000000" w:themeColor="text1"/>
          <w:sz w:val="28"/>
          <w:szCs w:val="28"/>
          <w14:textFill>
            <w14:solidFill>
              <w14:schemeClr w14:val="tx1"/>
            </w14:solidFill>
          </w14:textFill>
        </w:rPr>
        <w:t>。</w:t>
      </w:r>
    </w:p>
    <w:p>
      <w:pPr>
        <w:pStyle w:val="4"/>
        <w:numPr>
          <w:ilvl w:val="2"/>
          <w:numId w:val="3"/>
        </w:numPr>
        <w:spacing w:after="200" w:line="276"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投标文件的补充、修改</w:t>
      </w:r>
    </w:p>
    <w:p>
      <w:pPr>
        <w:numPr>
          <w:ilvl w:val="0"/>
          <w:numId w:val="21"/>
        </w:numPr>
        <w:spacing w:before="120" w:after="200"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投标截止时间之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p>
    <w:p>
      <w:pPr>
        <w:numPr>
          <w:ilvl w:val="0"/>
          <w:numId w:val="21"/>
        </w:numPr>
        <w:spacing w:before="120" w:after="200"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在投标截止时间之后，投标人不得对其递交的投标文件做任何补充、修改。</w:t>
      </w:r>
    </w:p>
    <w:p>
      <w:pPr>
        <w:pStyle w:val="4"/>
        <w:numPr>
          <w:ilvl w:val="2"/>
          <w:numId w:val="3"/>
        </w:numPr>
        <w:spacing w:after="200"/>
        <w:rPr>
          <w:color w:val="000000" w:themeColor="text1"/>
          <w14:textFill>
            <w14:solidFill>
              <w14:schemeClr w14:val="tx1"/>
            </w14:solidFill>
          </w14:textFill>
        </w:rPr>
      </w:pPr>
      <w:r>
        <w:rPr>
          <w:rFonts w:hint="eastAsia"/>
          <w:color w:val="000000" w:themeColor="text1"/>
          <w14:textFill>
            <w14:solidFill>
              <w14:schemeClr w14:val="tx1"/>
            </w14:solidFill>
          </w14:textFill>
        </w:rPr>
        <w:t>投标文件的撤回</w:t>
      </w:r>
    </w:p>
    <w:p>
      <w:pPr>
        <w:numPr>
          <w:ilvl w:val="0"/>
          <w:numId w:val="22"/>
        </w:numPr>
        <w:spacing w:before="120" w:after="200" w:line="360" w:lineRule="auto"/>
        <w:ind w:left="0" w:firstLine="567"/>
        <w:rPr>
          <w:rFonts w:ascii="宋体" w:hAnsi="宋体"/>
          <w:bCs/>
          <w:color w:val="000000" w:themeColor="text1"/>
          <w:sz w:val="28"/>
          <w:szCs w:val="28"/>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在投标截止时间之前，投标人可对已递交的投标文件进行撤回。在投标截止时间之后，投标人不得撤回投标文件。</w:t>
      </w:r>
    </w:p>
    <w:p>
      <w:pPr>
        <w:pStyle w:val="4"/>
        <w:numPr>
          <w:ilvl w:val="2"/>
          <w:numId w:val="3"/>
        </w:numPr>
        <w:spacing w:after="200"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投标文件的解密</w:t>
      </w:r>
    </w:p>
    <w:p>
      <w:pPr>
        <w:tabs>
          <w:tab w:val="left" w:pos="1134"/>
        </w:tabs>
        <w:spacing w:before="120" w:line="360" w:lineRule="auto"/>
        <w:ind w:firstLine="565" w:firstLineChars="202"/>
        <w:rPr>
          <w:rFonts w:ascii="宋体" w:hAnsi="宋体"/>
          <w:bCs/>
          <w:color w:val="000000" w:themeColor="text1"/>
          <w:sz w:val="28"/>
          <w:szCs w:val="28"/>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投标人</w:t>
      </w:r>
      <w:r>
        <w:rPr>
          <w:rFonts w:hint="eastAsia" w:ascii="宋体" w:hAnsi="宋体"/>
          <w:color w:val="000000" w:themeColor="text1"/>
          <w:sz w:val="28"/>
          <w:szCs w:val="28"/>
          <w14:textFill>
            <w14:solidFill>
              <w14:schemeClr w14:val="tx1"/>
            </w14:solidFill>
          </w14:textFill>
        </w:rPr>
        <w:t>登录政府采购云平台，点击“项目采购—开标评标”模块，找到对应项目，进入“开标大厅”，等待区采购中心开启解密后，进行线上解密。</w:t>
      </w:r>
      <w:r>
        <w:rPr>
          <w:rFonts w:hint="eastAsia" w:ascii="宋体" w:hAnsi="宋体"/>
          <w:bCs/>
          <w:color w:val="000000" w:themeColor="text1"/>
          <w:sz w:val="28"/>
          <w:szCs w:val="28"/>
          <w14:textFill>
            <w14:solidFill>
              <w14:schemeClr w14:val="tx1"/>
            </w14:solidFill>
          </w14:textFill>
        </w:rPr>
        <w:t>除因断电、断网、系统故障或其他不可抗力等因素，导致系统无法使用外，投标人在规定的解密时间内，未成功解密的投标文件将视为无效投标文件。</w:t>
      </w:r>
    </w:p>
    <w:p>
      <w:pPr>
        <w:pStyle w:val="3"/>
        <w:numPr>
          <w:ilvl w:val="1"/>
          <w:numId w:val="3"/>
        </w:numPr>
        <w:spacing w:before="0" w:after="0" w:line="240" w:lineRule="auto"/>
        <w:ind w:left="2269" w:hanging="2269"/>
        <w:rPr>
          <w:color w:val="000000" w:themeColor="text1"/>
          <w14:textFill>
            <w14:solidFill>
              <w14:schemeClr w14:val="tx1"/>
            </w14:solidFill>
          </w14:textFill>
        </w:rPr>
      </w:pPr>
      <w:bookmarkStart w:id="104" w:name="_Toc316475587"/>
      <w:bookmarkEnd w:id="104"/>
      <w:bookmarkStart w:id="105" w:name="_Toc316475586"/>
      <w:bookmarkEnd w:id="105"/>
      <w:bookmarkStart w:id="106" w:name="_Toc183682368"/>
      <w:bookmarkStart w:id="107" w:name="_Toc28766"/>
      <w:bookmarkStart w:id="108" w:name="_Toc77584644"/>
      <w:bookmarkStart w:id="109" w:name="_Toc77400782"/>
      <w:bookmarkStart w:id="110" w:name="_Toc217446056"/>
      <w:bookmarkStart w:id="111" w:name="_Toc89075878"/>
      <w:bookmarkStart w:id="112" w:name="_Toc4457"/>
      <w:bookmarkStart w:id="113" w:name="_Toc16979"/>
      <w:bookmarkStart w:id="114" w:name="_Toc183582231"/>
      <w:bookmarkStart w:id="115" w:name="_Toc31524"/>
      <w:r>
        <w:rPr>
          <w:rFonts w:hint="eastAsia"/>
          <w:color w:val="000000" w:themeColor="text1"/>
          <w14:textFill>
            <w14:solidFill>
              <w14:schemeClr w14:val="tx1"/>
            </w14:solidFill>
          </w14:textFill>
        </w:rPr>
        <w:t>开标、资格审查、评标和中标</w:t>
      </w:r>
      <w:bookmarkEnd w:id="106"/>
      <w:bookmarkEnd w:id="107"/>
      <w:bookmarkEnd w:id="108"/>
      <w:bookmarkEnd w:id="109"/>
      <w:bookmarkEnd w:id="110"/>
      <w:bookmarkEnd w:id="111"/>
      <w:bookmarkEnd w:id="112"/>
      <w:bookmarkEnd w:id="113"/>
      <w:bookmarkEnd w:id="114"/>
      <w:bookmarkEnd w:id="115"/>
    </w:p>
    <w:p>
      <w:pPr>
        <w:keepNext/>
        <w:keepLines/>
        <w:numPr>
          <w:ilvl w:val="2"/>
          <w:numId w:val="3"/>
        </w:numPr>
        <w:spacing w:line="360" w:lineRule="auto"/>
        <w:ind w:left="0" w:firstLine="0"/>
        <w:outlineLvl w:val="2"/>
        <w:rPr>
          <w:rFonts w:ascii="宋体" w:hAnsi="宋体"/>
          <w:b/>
          <w:bCs/>
          <w:color w:val="000000" w:themeColor="text1"/>
          <w:sz w:val="28"/>
          <w:szCs w:val="28"/>
          <w14:textFill>
            <w14:solidFill>
              <w14:schemeClr w14:val="tx1"/>
            </w14:solidFill>
          </w14:textFill>
        </w:rPr>
      </w:pPr>
      <w:bookmarkStart w:id="116" w:name="_Toc183682369"/>
      <w:bookmarkStart w:id="117" w:name="_Toc217446057"/>
      <w:bookmarkStart w:id="118" w:name="_Toc183582232"/>
      <w:r>
        <w:rPr>
          <w:rFonts w:hint="eastAsia" w:ascii="宋体" w:hAnsi="宋体"/>
          <w:b/>
          <w:bCs/>
          <w:color w:val="000000" w:themeColor="text1"/>
          <w:sz w:val="28"/>
          <w:szCs w:val="28"/>
          <w14:textFill>
            <w14:solidFill>
              <w14:schemeClr w14:val="tx1"/>
            </w14:solidFill>
          </w14:textFill>
        </w:rPr>
        <w:t>开标</w:t>
      </w:r>
      <w:bookmarkEnd w:id="116"/>
      <w:bookmarkEnd w:id="117"/>
      <w:bookmarkEnd w:id="118"/>
      <w:r>
        <w:rPr>
          <w:rFonts w:hint="eastAsia" w:ascii="宋体" w:hAnsi="宋体"/>
          <w:b/>
          <w:bCs/>
          <w:color w:val="000000" w:themeColor="text1"/>
          <w:sz w:val="28"/>
          <w:szCs w:val="28"/>
          <w14:textFill>
            <w14:solidFill>
              <w14:schemeClr w14:val="tx1"/>
            </w14:solidFill>
          </w14:textFill>
        </w:rPr>
        <w:t>及开标程序</w:t>
      </w:r>
    </w:p>
    <w:p>
      <w:pPr>
        <w:pStyle w:val="84"/>
        <w:numPr>
          <w:ilvl w:val="0"/>
          <w:numId w:val="23"/>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本项目为不见面开标项目。递交电子投标文件的投标人不足3家的，不予开标。</w:t>
      </w:r>
    </w:p>
    <w:p>
      <w:pPr>
        <w:pStyle w:val="84"/>
        <w:numPr>
          <w:ilvl w:val="0"/>
          <w:numId w:val="23"/>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开标准备工作。投标人需在开标当日、投标截止时间前登录“政府采购云平台”，通过“开标大厅”参与不见面开标。登录成都市公共资源交易服务中心门户网站（https://www.cdggzy.com/）—政府采购云平台—项目采购—开标评标—开标大厅（找到对应项目）。提示：投标人未按时登录不见面开标系统，错过开标解密时间的，由投标人自行承担不利后果。</w:t>
      </w:r>
    </w:p>
    <w:p>
      <w:pPr>
        <w:pStyle w:val="84"/>
        <w:numPr>
          <w:ilvl w:val="0"/>
          <w:numId w:val="23"/>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解密投标文件。等待区采购中心开启解密后，投标人进行线上解密。开启解密后，投标人应在60分钟内，使用加密该投标文件的CA数字证书在线完成投标文件的解密。除因断电、断网、系统故障或其他不可抗力等因素，导致系统无法使用外，投标人在规定的解密时间内，未成功解密的投标文件将视为无效投标文件。</w:t>
      </w:r>
    </w:p>
    <w:p>
      <w:pPr>
        <w:pStyle w:val="84"/>
        <w:numPr>
          <w:ilvl w:val="0"/>
          <w:numId w:val="23"/>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pPr>
        <w:pStyle w:val="84"/>
        <w:numPr>
          <w:ilvl w:val="0"/>
          <w:numId w:val="23"/>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投标人对开标过程和开标记录有疑义，以及认为采购人、区采购中心相关工作人员有需要回避的情形的，及时向工作人员提出询问或者回避申请。采购人、区采购中心对投标人提出的询问或者回避申请应当及时处理。</w:t>
      </w:r>
    </w:p>
    <w:p>
      <w:pPr>
        <w:pStyle w:val="84"/>
        <w:numPr>
          <w:ilvl w:val="0"/>
          <w:numId w:val="23"/>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投标人电脑终端等硬件设备和软件系统配置：投标人电脑终端等硬件设备和软件系统配置应符合电子投标（含不见面开标大厅）投标人电脑终端配置要求并运行正常，投标人承担因未尽职责产生的不利后果。</w:t>
      </w:r>
    </w:p>
    <w:p>
      <w:pPr>
        <w:pStyle w:val="84"/>
        <w:numPr>
          <w:ilvl w:val="0"/>
          <w:numId w:val="23"/>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因断电、断网、系统故障或其他不可抗力等因素导致不见面开标系统无法正常运行的，开标活动中止或延迟，待系统恢复正常后继续进行开标活动。</w:t>
      </w:r>
    </w:p>
    <w:p>
      <w:pPr>
        <w:pStyle w:val="84"/>
        <w:numPr>
          <w:ilvl w:val="0"/>
          <w:numId w:val="23"/>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不见面开标过程中，各方主体均应遵守互联网有关规定，不得发表与交易活动无关的言论。</w:t>
      </w:r>
    </w:p>
    <w:p>
      <w:pPr>
        <w:pStyle w:val="4"/>
        <w:numPr>
          <w:ilvl w:val="2"/>
          <w:numId w:val="3"/>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资格审查</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详见招标文件第5章。</w:t>
      </w:r>
    </w:p>
    <w:p>
      <w:pPr>
        <w:pStyle w:val="4"/>
        <w:numPr>
          <w:ilvl w:val="2"/>
          <w:numId w:val="3"/>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评标</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详见招标文件第6章。</w:t>
      </w:r>
    </w:p>
    <w:p>
      <w:pPr>
        <w:pStyle w:val="4"/>
        <w:numPr>
          <w:ilvl w:val="2"/>
          <w:numId w:val="3"/>
        </w:numPr>
        <w:spacing w:after="200" w:line="240" w:lineRule="auto"/>
        <w:ind w:left="0" w:firstLine="0"/>
        <w:rPr>
          <w:color w:val="000000" w:themeColor="text1"/>
          <w14:textFill>
            <w14:solidFill>
              <w14:schemeClr w14:val="tx1"/>
            </w14:solidFill>
          </w14:textFill>
        </w:rPr>
      </w:pPr>
      <w:bookmarkStart w:id="119" w:name="_Toc183682375"/>
      <w:bookmarkStart w:id="120" w:name="_Toc183582238"/>
      <w:bookmarkStart w:id="121" w:name="_Toc217446063"/>
      <w:r>
        <w:rPr>
          <w:rFonts w:hint="eastAsia"/>
          <w:color w:val="000000" w:themeColor="text1"/>
          <w14:textFill>
            <w14:solidFill>
              <w14:schemeClr w14:val="tx1"/>
            </w14:solidFill>
          </w14:textFill>
        </w:rPr>
        <w:t>中标通知</w:t>
      </w:r>
      <w:bookmarkEnd w:id="119"/>
      <w:bookmarkEnd w:id="120"/>
      <w:r>
        <w:rPr>
          <w:rFonts w:hint="eastAsia"/>
          <w:color w:val="000000" w:themeColor="text1"/>
          <w14:textFill>
            <w14:solidFill>
              <w14:schemeClr w14:val="tx1"/>
            </w14:solidFill>
          </w14:textFill>
        </w:rPr>
        <w:t>书</w:t>
      </w:r>
      <w:bookmarkEnd w:id="121"/>
    </w:p>
    <w:p>
      <w:pPr>
        <w:widowControl/>
        <w:ind w:right="210" w:firstLine="560" w:firstLineChars="200"/>
        <w:jc w:val="left"/>
        <w:rPr>
          <w:rFonts w:ascii="宋体" w:hAnsi="宋体"/>
          <w:color w:val="000000" w:themeColor="text1"/>
          <w:sz w:val="28"/>
          <w:szCs w:val="28"/>
          <w14:textFill>
            <w14:solidFill>
              <w14:schemeClr w14:val="tx1"/>
            </w14:solidFill>
          </w14:textFill>
        </w:rPr>
      </w:pPr>
      <w:bookmarkStart w:id="122" w:name="_Toc217446064"/>
      <w:bookmarkStart w:id="123" w:name="_Toc183582240"/>
      <w:bookmarkStart w:id="124" w:name="_Toc183682377"/>
      <w:r>
        <w:rPr>
          <w:rFonts w:hint="eastAsia" w:ascii="宋体" w:hAnsi="宋体"/>
          <w:color w:val="000000" w:themeColor="text1"/>
          <w:sz w:val="28"/>
          <w:szCs w:val="28"/>
          <w14:textFill>
            <w14:solidFill>
              <w14:schemeClr w14:val="tx1"/>
            </w14:solidFill>
          </w14:textFill>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二、中标通知书对采购人和中标人均具有法律效力。中标通知书发出后，采购人改变中标结果，或者中标人无正当理由放弃中标的，应当承担相应的法律责任。</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三、中标公告在四川政府采购网上公告后，中标供应商自行登录政府采购云平台下载中标通知书。</w:t>
      </w:r>
    </w:p>
    <w:p>
      <w:pPr>
        <w:pStyle w:val="3"/>
        <w:numPr>
          <w:ilvl w:val="1"/>
          <w:numId w:val="3"/>
        </w:numPr>
        <w:spacing w:before="0" w:after="0" w:line="240" w:lineRule="auto"/>
        <w:ind w:left="2269" w:hanging="2269"/>
        <w:rPr>
          <w:color w:val="000000" w:themeColor="text1"/>
          <w14:textFill>
            <w14:solidFill>
              <w14:schemeClr w14:val="tx1"/>
            </w14:solidFill>
          </w14:textFill>
        </w:rPr>
      </w:pPr>
      <w:bookmarkStart w:id="125" w:name="_Toc19973"/>
      <w:bookmarkStart w:id="126" w:name="_Toc18993"/>
      <w:bookmarkStart w:id="127" w:name="_Toc77584645"/>
      <w:bookmarkStart w:id="128" w:name="_Toc6010"/>
      <w:bookmarkStart w:id="129" w:name="_Toc12385"/>
      <w:r>
        <w:rPr>
          <w:rFonts w:hint="eastAsia"/>
          <w:color w:val="000000" w:themeColor="text1"/>
          <w14:textFill>
            <w14:solidFill>
              <w14:schemeClr w14:val="tx1"/>
            </w14:solidFill>
          </w14:textFill>
        </w:rPr>
        <w:t>签订及履行合同</w:t>
      </w:r>
      <w:bookmarkEnd w:id="122"/>
      <w:r>
        <w:rPr>
          <w:rFonts w:hint="eastAsia"/>
          <w:color w:val="000000" w:themeColor="text1"/>
          <w14:textFill>
            <w14:solidFill>
              <w14:schemeClr w14:val="tx1"/>
            </w14:solidFill>
          </w14:textFill>
        </w:rPr>
        <w:t>和验收</w:t>
      </w:r>
      <w:bookmarkEnd w:id="125"/>
      <w:bookmarkEnd w:id="126"/>
      <w:bookmarkEnd w:id="127"/>
      <w:bookmarkEnd w:id="128"/>
      <w:bookmarkEnd w:id="129"/>
    </w:p>
    <w:p>
      <w:pPr>
        <w:pStyle w:val="4"/>
        <w:numPr>
          <w:ilvl w:val="2"/>
          <w:numId w:val="3"/>
        </w:numPr>
        <w:spacing w:after="200" w:line="240" w:lineRule="auto"/>
        <w:ind w:left="0" w:firstLine="0"/>
        <w:rPr>
          <w:color w:val="000000" w:themeColor="text1"/>
          <w14:textFill>
            <w14:solidFill>
              <w14:schemeClr w14:val="tx1"/>
            </w14:solidFill>
          </w14:textFill>
        </w:rPr>
      </w:pPr>
      <w:bookmarkStart w:id="130" w:name="_Toc217446065"/>
      <w:r>
        <w:rPr>
          <w:rFonts w:hint="eastAsia"/>
          <w:color w:val="000000" w:themeColor="text1"/>
          <w14:textFill>
            <w14:solidFill>
              <w14:schemeClr w14:val="tx1"/>
            </w14:solidFill>
          </w14:textFill>
        </w:rPr>
        <w:t>签订合同</w:t>
      </w:r>
      <w:bookmarkEnd w:id="130"/>
    </w:p>
    <w:p>
      <w:pPr>
        <w:numPr>
          <w:ilvl w:val="0"/>
          <w:numId w:val="24"/>
        </w:numPr>
        <w:tabs>
          <w:tab w:val="left" w:pos="1134"/>
        </w:tabs>
        <w:spacing w:after="200"/>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疫情防控期间，采购人原则上在中标通知书发出之日起5个工作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pPr>
        <w:numPr>
          <w:ilvl w:val="0"/>
          <w:numId w:val="24"/>
        </w:numPr>
        <w:tabs>
          <w:tab w:val="left" w:pos="1134"/>
        </w:tabs>
        <w:spacing w:after="200"/>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采购人不得向中标人提出任何不合理的要求，作为签订合同的条件，不得与中标人私下订立背离合同实质性内容的任何协议，所签订的合同不得对招标文件和中标人投标文件作实质性修改。</w:t>
      </w:r>
    </w:p>
    <w:p>
      <w:pPr>
        <w:numPr>
          <w:ilvl w:val="0"/>
          <w:numId w:val="24"/>
        </w:numPr>
        <w:tabs>
          <w:tab w:val="left" w:pos="1134"/>
        </w:tabs>
        <w:spacing w:after="200"/>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招标文件、投标文件、中标通知书等一切与本项目评标结果有关且经责任主体确认的资料均为合同的有效组成部分。</w:t>
      </w:r>
    </w:p>
    <w:p>
      <w:pPr>
        <w:numPr>
          <w:ilvl w:val="0"/>
          <w:numId w:val="24"/>
        </w:numPr>
        <w:tabs>
          <w:tab w:val="left" w:pos="1134"/>
        </w:tabs>
        <w:spacing w:after="200"/>
        <w:ind w:left="0" w:firstLine="565" w:firstLineChars="202"/>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询问或者质疑事项可能影响中标、成交结果的，采购人应当暂停签订合同，已经签订合同的，应当中止履行合同。</w:t>
      </w:r>
    </w:p>
    <w:p>
      <w:pPr>
        <w:pStyle w:val="4"/>
        <w:numPr>
          <w:ilvl w:val="2"/>
          <w:numId w:val="3"/>
        </w:numPr>
        <w:spacing w:after="200" w:line="240" w:lineRule="auto"/>
        <w:ind w:left="0" w:firstLine="0"/>
        <w:rPr>
          <w:color w:val="000000" w:themeColor="text1"/>
          <w14:textFill>
            <w14:solidFill>
              <w14:schemeClr w14:val="tx1"/>
            </w14:solidFill>
          </w14:textFill>
        </w:rPr>
      </w:pPr>
      <w:bookmarkStart w:id="131" w:name="_Toc315871033"/>
      <w:bookmarkEnd w:id="131"/>
      <w:bookmarkStart w:id="132" w:name="_Toc217446066"/>
      <w:bookmarkStart w:id="133" w:name="_Toc217446069"/>
      <w:r>
        <w:rPr>
          <w:rFonts w:hint="eastAsia"/>
          <w:color w:val="000000" w:themeColor="text1"/>
          <w14:textFill>
            <w14:solidFill>
              <w14:schemeClr w14:val="tx1"/>
            </w14:solidFill>
          </w14:textFill>
        </w:rPr>
        <w:t>合同分包</w:t>
      </w:r>
      <w:bookmarkEnd w:id="132"/>
      <w:r>
        <w:rPr>
          <w:rFonts w:hint="eastAsia"/>
          <w:color w:val="000000" w:themeColor="text1"/>
          <w14:textFill>
            <w14:solidFill>
              <w14:schemeClr w14:val="tx1"/>
            </w14:solidFill>
          </w14:textFill>
        </w:rPr>
        <w:t>和转包</w:t>
      </w:r>
    </w:p>
    <w:p>
      <w:pPr>
        <w:pStyle w:val="4"/>
        <w:numPr>
          <w:ilvl w:val="3"/>
          <w:numId w:val="3"/>
        </w:numPr>
        <w:spacing w:after="200" w:line="240" w:lineRule="auto"/>
        <w:rPr>
          <w:color w:val="000000" w:themeColor="text1"/>
          <w14:textFill>
            <w14:solidFill>
              <w14:schemeClr w14:val="tx1"/>
            </w14:solidFill>
          </w14:textFill>
        </w:rPr>
      </w:pPr>
      <w:bookmarkStart w:id="134" w:name="_Toc217446067"/>
      <w:r>
        <w:rPr>
          <w:rFonts w:hint="eastAsia"/>
          <w:color w:val="000000" w:themeColor="text1"/>
          <w14:textFill>
            <w14:solidFill>
              <w14:schemeClr w14:val="tx1"/>
            </w14:solidFill>
          </w14:textFill>
        </w:rPr>
        <w:t>合同分包</w:t>
      </w:r>
    </w:p>
    <w:p>
      <w:pPr>
        <w:pStyle w:val="121"/>
        <w:spacing w:line="360" w:lineRule="auto"/>
        <w:ind w:firstLine="560" w:firstLineChars="200"/>
        <w:rPr>
          <w:rFonts w:cs="Times New Roman"/>
          <w:color w:val="000000" w:themeColor="text1"/>
          <w:sz w:val="28"/>
          <w:szCs w:val="28"/>
          <w:lang w:val="zh-CN"/>
          <w14:textFill>
            <w14:solidFill>
              <w14:schemeClr w14:val="tx1"/>
            </w14:solidFill>
          </w14:textFill>
        </w:rPr>
      </w:pPr>
      <w:r>
        <w:rPr>
          <w:rFonts w:hint="eastAsia" w:cs="Times New Roman"/>
          <w:color w:val="000000" w:themeColor="text1"/>
          <w:sz w:val="28"/>
          <w:szCs w:val="28"/>
          <w:lang w:val="zh-CN"/>
          <w14:textFill>
            <w14:solidFill>
              <w14:schemeClr w14:val="tx1"/>
            </w14:solidFill>
          </w14:textFill>
        </w:rPr>
        <w:t>本</w:t>
      </w:r>
      <w:r>
        <w:rPr>
          <w:rFonts w:cs="Times New Roman"/>
          <w:color w:val="000000" w:themeColor="text1"/>
          <w:sz w:val="28"/>
          <w:szCs w:val="28"/>
          <w:lang w:val="zh-CN"/>
          <w14:textFill>
            <w14:solidFill>
              <w14:schemeClr w14:val="tx1"/>
            </w14:solidFill>
          </w14:textFill>
        </w:rPr>
        <w:t>项目不允许分包</w:t>
      </w:r>
      <w:r>
        <w:rPr>
          <w:rFonts w:hint="eastAsia" w:cs="Times New Roman"/>
          <w:color w:val="000000" w:themeColor="text1"/>
          <w:sz w:val="28"/>
          <w:szCs w:val="28"/>
          <w:lang w:val="zh-CN"/>
          <w14:textFill>
            <w14:solidFill>
              <w14:schemeClr w14:val="tx1"/>
            </w14:solidFill>
          </w14:textFill>
        </w:rPr>
        <w:t xml:space="preserve"> </w:t>
      </w:r>
    </w:p>
    <w:p>
      <w:pPr>
        <w:pStyle w:val="4"/>
        <w:numPr>
          <w:ilvl w:val="3"/>
          <w:numId w:val="3"/>
        </w:numPr>
        <w:spacing w:after="200"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合同转包</w:t>
      </w:r>
    </w:p>
    <w:p>
      <w:pPr>
        <w:ind w:firstLine="560" w:firstLineChars="200"/>
        <w:rPr>
          <w:rFonts w:ascii="宋体" w:hAnsi="宋体" w:cs="宋体"/>
          <w:color w:val="000000" w:themeColor="text1"/>
          <w:kern w:val="0"/>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一、严禁中标供应商将本项目转包。本项目所称转包，是指</w:t>
      </w:r>
      <w:r>
        <w:rPr>
          <w:rFonts w:hint="eastAsia" w:ascii="宋体" w:hAnsi="宋体" w:cs="宋体"/>
          <w:color w:val="000000" w:themeColor="text1"/>
          <w:kern w:val="0"/>
          <w:sz w:val="28"/>
          <w:szCs w:val="28"/>
          <w14:textFill>
            <w14:solidFill>
              <w14:schemeClr w14:val="tx1"/>
            </w14:solidFill>
          </w14:textFill>
        </w:rPr>
        <w:t xml:space="preserve">将本项目转给他人或者将本项目全部肢解以后以分包的名义分别转给他人的行为。 </w:t>
      </w:r>
    </w:p>
    <w:p>
      <w:pPr>
        <w:ind w:firstLine="49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二、中标供应商转包的，视同拒绝履行政府采购合同，将依法追究法律责任。</w:t>
      </w:r>
    </w:p>
    <w:p>
      <w:pPr>
        <w:pStyle w:val="4"/>
        <w:numPr>
          <w:ilvl w:val="2"/>
          <w:numId w:val="3"/>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采购人增加合同标的的权</w:t>
      </w:r>
      <w:bookmarkEnd w:id="134"/>
      <w:r>
        <w:rPr>
          <w:rFonts w:hint="eastAsia"/>
          <w:color w:val="000000" w:themeColor="text1"/>
          <w14:textFill>
            <w14:solidFill>
              <w14:schemeClr w14:val="tx1"/>
            </w14:solidFill>
          </w14:textFill>
        </w:rPr>
        <w:t>利</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pPr>
        <w:pStyle w:val="4"/>
        <w:numPr>
          <w:ilvl w:val="2"/>
          <w:numId w:val="3"/>
        </w:numPr>
        <w:spacing w:after="200" w:line="240" w:lineRule="auto"/>
        <w:ind w:left="0" w:firstLine="0"/>
        <w:rPr>
          <w:color w:val="000000" w:themeColor="text1"/>
          <w14:textFill>
            <w14:solidFill>
              <w14:schemeClr w14:val="tx1"/>
            </w14:solidFill>
          </w14:textFill>
        </w:rPr>
      </w:pPr>
      <w:bookmarkStart w:id="135" w:name="_Toc217446068"/>
      <w:r>
        <w:rPr>
          <w:rFonts w:hint="eastAsia"/>
          <w:color w:val="000000" w:themeColor="text1"/>
          <w14:textFill>
            <w14:solidFill>
              <w14:schemeClr w14:val="tx1"/>
            </w14:solidFill>
          </w14:textFill>
        </w:rPr>
        <w:t>履约保证金</w:t>
      </w:r>
      <w:bookmarkEnd w:id="135"/>
    </w:p>
    <w:p>
      <w:pPr>
        <w:pStyle w:val="12"/>
        <w:ind w:firstLine="56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无。</w:t>
      </w:r>
    </w:p>
    <w:p>
      <w:pPr>
        <w:pStyle w:val="4"/>
        <w:numPr>
          <w:ilvl w:val="2"/>
          <w:numId w:val="3"/>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合同公告</w:t>
      </w:r>
    </w:p>
    <w:p>
      <w:pPr>
        <w:pStyle w:val="12"/>
        <w:spacing w:line="24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采购人应当自政府采购合同签订之日起2个工作日内，在四川政府采购网公告，但政府采购合同中涉及国家秘密、商业秘密的内容除外。</w:t>
      </w:r>
    </w:p>
    <w:p>
      <w:pPr>
        <w:pStyle w:val="4"/>
        <w:numPr>
          <w:ilvl w:val="2"/>
          <w:numId w:val="3"/>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合同备案</w:t>
      </w:r>
    </w:p>
    <w:p>
      <w:pPr>
        <w:tabs>
          <w:tab w:val="left" w:pos="1134"/>
        </w:tabs>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采购人供应商签订政府采购合同及按成都市青羊区财政局的要求完成合同备案工作。</w:t>
      </w:r>
    </w:p>
    <w:p>
      <w:pPr>
        <w:pStyle w:val="4"/>
        <w:numPr>
          <w:ilvl w:val="2"/>
          <w:numId w:val="3"/>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履行合同</w:t>
      </w:r>
      <w:bookmarkEnd w:id="133"/>
    </w:p>
    <w:p>
      <w:pPr>
        <w:numPr>
          <w:ilvl w:val="0"/>
          <w:numId w:val="25"/>
        </w:numPr>
        <w:tabs>
          <w:tab w:val="left" w:pos="1134"/>
        </w:tabs>
        <w:spacing w:after="200"/>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合同一经签订，双方应严格履行合同规定的义务。</w:t>
      </w:r>
    </w:p>
    <w:p>
      <w:pPr>
        <w:numPr>
          <w:ilvl w:val="0"/>
          <w:numId w:val="25"/>
        </w:numPr>
        <w:tabs>
          <w:tab w:val="left" w:pos="1134"/>
        </w:tabs>
        <w:spacing w:after="200"/>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在合同履行过程中，如发生合同纠纷，合同双方应按照《中华人民共和国民法典》及合同条款的有关规定进行处理。</w:t>
      </w:r>
    </w:p>
    <w:p>
      <w:pPr>
        <w:pStyle w:val="4"/>
        <w:numPr>
          <w:ilvl w:val="2"/>
          <w:numId w:val="3"/>
        </w:numPr>
        <w:spacing w:after="200" w:line="240" w:lineRule="auto"/>
        <w:ind w:left="0" w:firstLine="0"/>
        <w:rPr>
          <w:color w:val="000000" w:themeColor="text1"/>
          <w14:textFill>
            <w14:solidFill>
              <w14:schemeClr w14:val="tx1"/>
            </w14:solidFill>
          </w14:textFill>
        </w:rPr>
      </w:pPr>
      <w:bookmarkStart w:id="136" w:name="_Toc217446070"/>
      <w:r>
        <w:rPr>
          <w:rFonts w:hint="eastAsia"/>
          <w:color w:val="000000" w:themeColor="text1"/>
          <w14:textFill>
            <w14:solidFill>
              <w14:schemeClr w14:val="tx1"/>
            </w14:solidFill>
          </w14:textFill>
        </w:rPr>
        <w:t>验收或考核</w:t>
      </w:r>
    </w:p>
    <w:p>
      <w:pPr>
        <w:ind w:firstLine="49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中标人与采购人应严格按照财库【2016】205号文要求进行验收。</w:t>
      </w:r>
    </w:p>
    <w:p>
      <w:pPr>
        <w:pStyle w:val="4"/>
        <w:numPr>
          <w:ilvl w:val="2"/>
          <w:numId w:val="3"/>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资金支付</w:t>
      </w:r>
    </w:p>
    <w:p>
      <w:pPr>
        <w:pStyle w:val="39"/>
        <w:shd w:val="clear" w:color="auto" w:fill="FFFFFF"/>
        <w:spacing w:before="0" w:beforeAutospacing="0" w:after="0" w:afterAutospacing="0"/>
        <w:ind w:firstLine="57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采购人按财政部门的相关规定及采购合同的约定进行支付。</w:t>
      </w:r>
    </w:p>
    <w:bookmarkEnd w:id="123"/>
    <w:bookmarkEnd w:id="124"/>
    <w:bookmarkEnd w:id="136"/>
    <w:p>
      <w:pPr>
        <w:pStyle w:val="3"/>
        <w:numPr>
          <w:ilvl w:val="1"/>
          <w:numId w:val="3"/>
        </w:numPr>
        <w:spacing w:before="0" w:after="0" w:line="240" w:lineRule="auto"/>
        <w:ind w:left="2269" w:hanging="2269"/>
        <w:rPr>
          <w:color w:val="000000" w:themeColor="text1"/>
          <w14:textFill>
            <w14:solidFill>
              <w14:schemeClr w14:val="tx1"/>
            </w14:solidFill>
          </w14:textFill>
        </w:rPr>
      </w:pPr>
      <w:bookmarkStart w:id="137" w:name="_Toc13859"/>
      <w:bookmarkStart w:id="138" w:name="_Toc77584646"/>
      <w:bookmarkStart w:id="139" w:name="_Toc12434"/>
      <w:bookmarkStart w:id="140" w:name="_Toc6102"/>
      <w:bookmarkStart w:id="141" w:name="_Toc217446074"/>
      <w:bookmarkStart w:id="142" w:name="_Toc30945"/>
      <w:bookmarkStart w:id="143" w:name="_Toc183682380"/>
      <w:bookmarkStart w:id="144" w:name="_Toc183582243"/>
      <w:r>
        <w:rPr>
          <w:rFonts w:hint="eastAsia"/>
          <w:color w:val="000000" w:themeColor="text1"/>
          <w14:textFill>
            <w14:solidFill>
              <w14:schemeClr w14:val="tx1"/>
            </w14:solidFill>
          </w14:textFill>
        </w:rPr>
        <w:t>投标纪律要求</w:t>
      </w:r>
      <w:bookmarkEnd w:id="137"/>
      <w:bookmarkEnd w:id="138"/>
      <w:bookmarkEnd w:id="139"/>
      <w:bookmarkEnd w:id="140"/>
      <w:bookmarkEnd w:id="141"/>
      <w:bookmarkEnd w:id="142"/>
    </w:p>
    <w:p>
      <w:pPr>
        <w:pStyle w:val="4"/>
        <w:numPr>
          <w:ilvl w:val="2"/>
          <w:numId w:val="3"/>
        </w:numPr>
        <w:spacing w:after="200" w:line="240" w:lineRule="auto"/>
        <w:ind w:left="0" w:firstLine="0"/>
        <w:rPr>
          <w:color w:val="000000" w:themeColor="text1"/>
          <w14:textFill>
            <w14:solidFill>
              <w14:schemeClr w14:val="tx1"/>
            </w14:solidFill>
          </w14:textFill>
        </w:rPr>
      </w:pPr>
      <w:bookmarkStart w:id="145" w:name="_Toc217446075"/>
      <w:r>
        <w:rPr>
          <w:rFonts w:hint="eastAsia"/>
          <w:color w:val="000000" w:themeColor="text1"/>
          <w14:textFill>
            <w14:solidFill>
              <w14:schemeClr w14:val="tx1"/>
            </w14:solidFill>
          </w14:textFill>
        </w:rPr>
        <w:t>投标人不得具有的情形</w:t>
      </w:r>
      <w:bookmarkEnd w:id="145"/>
    </w:p>
    <w:p>
      <w:pPr>
        <w:pStyle w:val="12"/>
        <w:spacing w:line="240" w:lineRule="auto"/>
        <w:ind w:firstLine="567"/>
        <w:rPr>
          <w:rFonts w:ascii="宋体" w:hAnsi="宋体"/>
          <w:color w:val="000000" w:themeColor="text1"/>
          <w:sz w:val="28"/>
          <w:szCs w:val="28"/>
          <w14:textFill>
            <w14:solidFill>
              <w14:schemeClr w14:val="tx1"/>
            </w14:solidFill>
          </w14:textFill>
        </w:rPr>
      </w:pPr>
      <w:bookmarkStart w:id="146" w:name="_Toc314574786"/>
      <w:r>
        <w:rPr>
          <w:rFonts w:hint="eastAsia" w:ascii="宋体" w:hAnsi="宋体"/>
          <w:color w:val="000000" w:themeColor="text1"/>
          <w:sz w:val="28"/>
          <w:szCs w:val="28"/>
          <w14:textFill>
            <w14:solidFill>
              <w14:schemeClr w14:val="tx1"/>
            </w14:solidFill>
          </w14:textFill>
        </w:rPr>
        <w:t>投标人参加投标不得有下列情形：</w:t>
      </w:r>
    </w:p>
    <w:p>
      <w:pPr>
        <w:numPr>
          <w:ilvl w:val="1"/>
          <w:numId w:val="26"/>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有下列情形之一的，视为投标人串通投标：</w:t>
      </w:r>
    </w:p>
    <w:p>
      <w:pPr>
        <w:tabs>
          <w:tab w:val="left" w:pos="1134"/>
        </w:tabs>
        <w:ind w:left="42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（一）不同投标人的投标文件由同一单位或者个人编制；</w:t>
      </w:r>
    </w:p>
    <w:p>
      <w:pPr>
        <w:tabs>
          <w:tab w:val="left" w:pos="1134"/>
        </w:tabs>
        <w:ind w:left="42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（二）不同投标人委托同一单位或者个人办理投标事宜；</w:t>
      </w:r>
    </w:p>
    <w:p>
      <w:pPr>
        <w:tabs>
          <w:tab w:val="left" w:pos="1134"/>
        </w:tabs>
        <w:ind w:firstLine="425" w:firstLineChars="15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（三）不同投标人的投标文件载明的项目管理成员或者联系人员为同一人；</w:t>
      </w:r>
    </w:p>
    <w:p>
      <w:pPr>
        <w:tabs>
          <w:tab w:val="left" w:pos="1134"/>
        </w:tabs>
        <w:ind w:firstLine="420" w:firstLineChars="15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（四）不同投标人的投标文件异常一致或者投标报价呈规律性差异；</w:t>
      </w:r>
    </w:p>
    <w:p>
      <w:pPr>
        <w:tabs>
          <w:tab w:val="left" w:pos="1134"/>
        </w:tabs>
        <w:ind w:firstLine="420" w:firstLineChars="15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（五）不同投标人的投标文件相互混装；</w:t>
      </w:r>
    </w:p>
    <w:p>
      <w:pPr>
        <w:tabs>
          <w:tab w:val="left" w:pos="1134"/>
        </w:tabs>
        <w:ind w:left="42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（六）不同投标人的投标保证金从同一单位或者个人的账户转出；</w:t>
      </w:r>
    </w:p>
    <w:p>
      <w:pPr>
        <w:numPr>
          <w:ilvl w:val="1"/>
          <w:numId w:val="26"/>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提供虚假材料谋取中标；</w:t>
      </w:r>
    </w:p>
    <w:p>
      <w:pPr>
        <w:numPr>
          <w:ilvl w:val="1"/>
          <w:numId w:val="26"/>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采取不正当手段诋毁、排挤其他投标人；</w:t>
      </w:r>
    </w:p>
    <w:p>
      <w:pPr>
        <w:numPr>
          <w:ilvl w:val="1"/>
          <w:numId w:val="26"/>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与采购人或区采购</w:t>
      </w:r>
      <w:r>
        <w:rPr>
          <w:rFonts w:hint="eastAsia" w:cs="Arial"/>
          <w:color w:val="000000" w:themeColor="text1"/>
          <w:sz w:val="28"/>
          <w:szCs w:val="28"/>
          <w14:textFill>
            <w14:solidFill>
              <w14:schemeClr w14:val="tx1"/>
            </w14:solidFill>
          </w14:textFill>
        </w:rPr>
        <w:t>中心</w:t>
      </w:r>
      <w:r>
        <w:rPr>
          <w:rFonts w:hint="eastAsia" w:ascii="宋体" w:hAnsi="宋体"/>
          <w:color w:val="000000" w:themeColor="text1"/>
          <w:sz w:val="28"/>
          <w:szCs w:val="28"/>
          <w14:textFill>
            <w14:solidFill>
              <w14:schemeClr w14:val="tx1"/>
            </w14:solidFill>
          </w14:textFill>
        </w:rPr>
        <w:t>、其他投标人恶意串通；</w:t>
      </w:r>
    </w:p>
    <w:p>
      <w:pPr>
        <w:numPr>
          <w:ilvl w:val="1"/>
          <w:numId w:val="26"/>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向采购人或区采购</w:t>
      </w:r>
      <w:r>
        <w:rPr>
          <w:rFonts w:hint="eastAsia" w:cs="Arial"/>
          <w:color w:val="000000" w:themeColor="text1"/>
          <w:sz w:val="28"/>
          <w:szCs w:val="28"/>
          <w14:textFill>
            <w14:solidFill>
              <w14:schemeClr w14:val="tx1"/>
            </w14:solidFill>
          </w14:textFill>
        </w:rPr>
        <w:t>中心</w:t>
      </w:r>
      <w:r>
        <w:rPr>
          <w:rFonts w:hint="eastAsia" w:ascii="宋体" w:hAnsi="宋体"/>
          <w:color w:val="000000" w:themeColor="text1"/>
          <w:sz w:val="28"/>
          <w:szCs w:val="28"/>
          <w14:textFill>
            <w14:solidFill>
              <w14:schemeClr w14:val="tx1"/>
            </w14:solidFill>
          </w14:textFill>
        </w:rPr>
        <w:t>、评标委员会成员行贿或者提供其他不正当利益；</w:t>
      </w:r>
    </w:p>
    <w:p>
      <w:pPr>
        <w:numPr>
          <w:ilvl w:val="1"/>
          <w:numId w:val="26"/>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在招标过程中与采购人或区采购</w:t>
      </w:r>
      <w:r>
        <w:rPr>
          <w:rFonts w:hint="eastAsia" w:cs="Arial"/>
          <w:color w:val="000000" w:themeColor="text1"/>
          <w:sz w:val="28"/>
          <w:szCs w:val="28"/>
          <w14:textFill>
            <w14:solidFill>
              <w14:schemeClr w14:val="tx1"/>
            </w14:solidFill>
          </w14:textFill>
        </w:rPr>
        <w:t>中心</w:t>
      </w:r>
      <w:r>
        <w:rPr>
          <w:rFonts w:hint="eastAsia" w:ascii="宋体" w:hAnsi="宋体"/>
          <w:color w:val="000000" w:themeColor="text1"/>
          <w:sz w:val="28"/>
          <w:szCs w:val="28"/>
          <w14:textFill>
            <w14:solidFill>
              <w14:schemeClr w14:val="tx1"/>
            </w14:solidFill>
          </w14:textFill>
        </w:rPr>
        <w:t>进行协商谈判；</w:t>
      </w:r>
    </w:p>
    <w:p>
      <w:pPr>
        <w:numPr>
          <w:ilvl w:val="1"/>
          <w:numId w:val="26"/>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中标后无正当理由拒不与采购人签订政府采购合同；</w:t>
      </w:r>
    </w:p>
    <w:p>
      <w:pPr>
        <w:numPr>
          <w:ilvl w:val="1"/>
          <w:numId w:val="26"/>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未按照采购文件确定的事项签订政府采购合同；</w:t>
      </w:r>
    </w:p>
    <w:p>
      <w:pPr>
        <w:numPr>
          <w:ilvl w:val="1"/>
          <w:numId w:val="26"/>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将政府采购合同转包或者违规分包；</w:t>
      </w:r>
    </w:p>
    <w:p>
      <w:pPr>
        <w:numPr>
          <w:ilvl w:val="1"/>
          <w:numId w:val="26"/>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提供假冒伪劣产品；</w:t>
      </w:r>
    </w:p>
    <w:p>
      <w:pPr>
        <w:numPr>
          <w:ilvl w:val="1"/>
          <w:numId w:val="26"/>
        </w:numPr>
        <w:tabs>
          <w:tab w:val="left" w:pos="1134"/>
          <w:tab w:val="left" w:pos="1418"/>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擅自变更、中止或者终止政府采购合同；</w:t>
      </w:r>
    </w:p>
    <w:p>
      <w:pPr>
        <w:tabs>
          <w:tab w:val="left" w:pos="1134"/>
        </w:tabs>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十二、被列入失信被执行人、重大税收违法案件当事人名单、政府采购严重违法失信行为记录名单。参加政府采购活动前三年内，在经营活动中有重大违法记录；</w:t>
      </w:r>
    </w:p>
    <w:p>
      <w:pPr>
        <w:tabs>
          <w:tab w:val="left" w:pos="1134"/>
        </w:tabs>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十三、在行贿犯罪信息查询期限内，根据中国裁判文书网（https://wenshu.court.gov.cn）查询结果供应商及其现任法定代表人、主要负责人有行贿犯罪记录；</w:t>
      </w:r>
    </w:p>
    <w:p>
      <w:pPr>
        <w:tabs>
          <w:tab w:val="left" w:pos="1134"/>
        </w:tabs>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十四、处于被行政部门禁止参与政府采购活动的期限内；</w:t>
      </w:r>
    </w:p>
    <w:p>
      <w:pPr>
        <w:tabs>
          <w:tab w:val="left" w:pos="1134"/>
        </w:tabs>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十五、拒绝有关部门的监督检查或者向监督检查部门提供虚假情况；</w:t>
      </w:r>
    </w:p>
    <w:p>
      <w:pPr>
        <w:pStyle w:val="12"/>
        <w:spacing w:line="24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十六、法律法规规定的其他情形。</w:t>
      </w:r>
    </w:p>
    <w:p>
      <w:pPr>
        <w:tabs>
          <w:tab w:val="left" w:pos="1134"/>
        </w:tabs>
        <w:ind w:firstLine="568" w:firstLineChars="202"/>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投标人有上述情形的，按照规定追究法律责任，具备一至十四条情形之一的，同时将认定投标人投标无效或不确定其为中标人，或者取消中标资格或认定中标无效。</w:t>
      </w:r>
    </w:p>
    <w:p>
      <w:pPr>
        <w:pStyle w:val="4"/>
        <w:numPr>
          <w:ilvl w:val="2"/>
          <w:numId w:val="3"/>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保密</w:t>
      </w:r>
      <w:bookmarkEnd w:id="146"/>
    </w:p>
    <w:p>
      <w:pPr>
        <w:pStyle w:val="12"/>
        <w:numPr>
          <w:ilvl w:val="0"/>
          <w:numId w:val="27"/>
        </w:numPr>
        <w:tabs>
          <w:tab w:val="left" w:pos="1134"/>
        </w:tabs>
        <w:spacing w:after="0" w:line="24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不得透露有关在系统中成功提交《采购文件获取登记表》的潜在投标人的任何情况。</w:t>
      </w:r>
    </w:p>
    <w:p>
      <w:pPr>
        <w:pStyle w:val="12"/>
        <w:numPr>
          <w:ilvl w:val="0"/>
          <w:numId w:val="27"/>
        </w:numPr>
        <w:tabs>
          <w:tab w:val="left" w:pos="1134"/>
        </w:tabs>
        <w:spacing w:after="0" w:line="24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有关投标文件的审查、澄清、评估和比较以及合同授予意向等情况都不得对外透露。</w:t>
      </w:r>
    </w:p>
    <w:p>
      <w:pPr>
        <w:pStyle w:val="4"/>
        <w:numPr>
          <w:ilvl w:val="2"/>
          <w:numId w:val="3"/>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回避</w:t>
      </w:r>
    </w:p>
    <w:p>
      <w:pPr>
        <w:pStyle w:val="39"/>
        <w:shd w:val="clear" w:color="auto" w:fill="FFFFFF"/>
        <w:spacing w:before="0" w:beforeAutospacing="0" w:after="0" w:afterAutospacing="0"/>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在政府采购活动中，采购人员（如</w:t>
      </w:r>
      <w:r>
        <w:rPr>
          <w:rFonts w:hint="eastAsia"/>
          <w:color w:val="000000" w:themeColor="text1"/>
          <w:sz w:val="28"/>
          <w:szCs w:val="28"/>
          <w14:textFill>
            <w14:solidFill>
              <w14:schemeClr w14:val="tx1"/>
            </w14:solidFill>
          </w14:textFill>
        </w:rPr>
        <w:t>采购人内部负责采购项目的具体经办工作人员或直接分管采购项目的负责人、区采购</w:t>
      </w:r>
      <w:r>
        <w:rPr>
          <w:rFonts w:hint="eastAsia" w:cs="Arial"/>
          <w:color w:val="000000" w:themeColor="text1"/>
          <w:sz w:val="28"/>
          <w:szCs w:val="28"/>
          <w14:textFill>
            <w14:solidFill>
              <w14:schemeClr w14:val="tx1"/>
            </w14:solidFill>
          </w14:textFill>
        </w:rPr>
        <w:t>中心</w:t>
      </w:r>
      <w:r>
        <w:rPr>
          <w:rFonts w:hint="eastAsia"/>
          <w:color w:val="000000" w:themeColor="text1"/>
          <w:sz w:val="28"/>
          <w:szCs w:val="28"/>
          <w14:textFill>
            <w14:solidFill>
              <w14:schemeClr w14:val="tx1"/>
            </w14:solidFill>
          </w14:textFill>
        </w:rPr>
        <w:t>负责采购项目的具体经办工作人员或直接分管采购活动的负责人等</w:t>
      </w:r>
      <w:r>
        <w:rPr>
          <w:rFonts w:hint="eastAsia" w:cs="Helvetica"/>
          <w:color w:val="000000" w:themeColor="text1"/>
          <w:sz w:val="28"/>
          <w:szCs w:val="28"/>
          <w14:textFill>
            <w14:solidFill>
              <w14:schemeClr w14:val="tx1"/>
            </w14:solidFill>
          </w14:textFill>
        </w:rPr>
        <w:t>）及相关人员与供应商有下列利害关系之一的，应当回避：</w:t>
      </w:r>
    </w:p>
    <w:p>
      <w:pPr>
        <w:pStyle w:val="39"/>
        <w:shd w:val="clear" w:color="auto" w:fill="FFFFFF"/>
        <w:spacing w:before="0" w:beforeAutospacing="0" w:after="0" w:afterAutospacing="0"/>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（一）参加采购活动前3年内与供应商存在劳动关系；</w:t>
      </w:r>
    </w:p>
    <w:p>
      <w:pPr>
        <w:pStyle w:val="39"/>
        <w:shd w:val="clear" w:color="auto" w:fill="FFFFFF"/>
        <w:spacing w:before="0" w:beforeAutospacing="0" w:after="0" w:afterAutospacing="0"/>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（二）参加采购活动前3年内担任供应商的董事、监事；</w:t>
      </w:r>
    </w:p>
    <w:p>
      <w:pPr>
        <w:pStyle w:val="39"/>
        <w:shd w:val="clear" w:color="auto" w:fill="FFFFFF"/>
        <w:spacing w:before="0" w:beforeAutospacing="0" w:after="0" w:afterAutospacing="0"/>
        <w:ind w:firstLine="562" w:firstLineChars="201"/>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（三）参加采购活动前3年内是供应商的控股股东或者实际控制人；</w:t>
      </w:r>
    </w:p>
    <w:p>
      <w:pPr>
        <w:pStyle w:val="39"/>
        <w:shd w:val="clear" w:color="auto" w:fill="FFFFFF"/>
        <w:spacing w:before="0" w:beforeAutospacing="0" w:after="0" w:afterAutospacing="0"/>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（四）与供应商的法定代表人或者负责人有夫妻、直系血亲、三代以内旁系血亲或者近姻亲关系；</w:t>
      </w:r>
    </w:p>
    <w:p>
      <w:pPr>
        <w:pStyle w:val="39"/>
        <w:shd w:val="clear" w:color="auto" w:fill="FFFFFF"/>
        <w:spacing w:before="0" w:beforeAutospacing="0" w:after="0" w:afterAutospacing="0"/>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（五）与供应商有其他可能影响政府采购活动公平、公正进行的关系。</w:t>
      </w:r>
    </w:p>
    <w:p>
      <w:pPr>
        <w:pStyle w:val="39"/>
        <w:shd w:val="clear" w:color="auto" w:fill="FFFFFF"/>
        <w:spacing w:before="0" w:beforeAutospacing="0" w:after="0" w:afterAutospacing="0"/>
        <w:ind w:firstLine="560" w:firstLineChars="200"/>
        <w:rPr>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bookmarkEnd w:id="143"/>
    <w:bookmarkEnd w:id="144"/>
    <w:p>
      <w:pPr>
        <w:pStyle w:val="3"/>
        <w:numPr>
          <w:ilvl w:val="1"/>
          <w:numId w:val="3"/>
        </w:numPr>
        <w:spacing w:before="0" w:after="0" w:line="240" w:lineRule="auto"/>
        <w:ind w:left="993" w:hanging="993"/>
        <w:rPr>
          <w:color w:val="000000" w:themeColor="text1"/>
          <w14:textFill>
            <w14:solidFill>
              <w14:schemeClr w14:val="tx1"/>
            </w14:solidFill>
          </w14:textFill>
        </w:rPr>
      </w:pPr>
      <w:bookmarkStart w:id="147" w:name="_Toc8315"/>
      <w:bookmarkStart w:id="148" w:name="_Toc446402234"/>
      <w:bookmarkStart w:id="149" w:name="_Toc77584647"/>
      <w:bookmarkStart w:id="150" w:name="_Toc15833"/>
      <w:bookmarkStart w:id="151" w:name="_Toc217446078"/>
      <w:bookmarkStart w:id="152" w:name="_Toc26656"/>
      <w:bookmarkStart w:id="153" w:name="_Toc21164"/>
      <w:bookmarkStart w:id="154" w:name="_Toc379536619"/>
      <w:bookmarkStart w:id="155" w:name="_Toc374971122"/>
      <w:r>
        <w:rPr>
          <w:rFonts w:hint="eastAsia"/>
          <w:color w:val="000000" w:themeColor="text1"/>
          <w14:textFill>
            <w14:solidFill>
              <w14:schemeClr w14:val="tx1"/>
            </w14:solidFill>
          </w14:textFill>
        </w:rPr>
        <w:t>询问、质疑和投诉</w:t>
      </w:r>
      <w:bookmarkEnd w:id="147"/>
      <w:bookmarkEnd w:id="148"/>
      <w:bookmarkEnd w:id="149"/>
      <w:bookmarkEnd w:id="150"/>
      <w:bookmarkEnd w:id="151"/>
      <w:bookmarkEnd w:id="152"/>
      <w:bookmarkEnd w:id="153"/>
      <w:bookmarkStart w:id="156" w:name="_Toc217446079"/>
    </w:p>
    <w:p>
      <w:pPr>
        <w:numPr>
          <w:ilvl w:val="0"/>
          <w:numId w:val="28"/>
        </w:numPr>
        <w:spacing w:line="500" w:lineRule="exact"/>
        <w:ind w:left="0" w:firstLine="567"/>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询问、质疑、投诉的接收和处理严格按照《中华人民共和国政府采购法》、《中华人民共和国政府采购法实施条例》《中华人民共和国财政部货物和服务招投标管理办法》（财政部第</w:t>
      </w:r>
      <w:r>
        <w:rPr>
          <w:color w:val="000000" w:themeColor="text1"/>
          <w:sz w:val="28"/>
          <w:szCs w:val="28"/>
          <w14:textFill>
            <w14:solidFill>
              <w14:schemeClr w14:val="tx1"/>
            </w14:solidFill>
          </w14:textFill>
        </w:rPr>
        <w:t>87</w:t>
      </w:r>
      <w:r>
        <w:rPr>
          <w:rFonts w:hint="eastAsia"/>
          <w:color w:val="000000" w:themeColor="text1"/>
          <w:sz w:val="28"/>
          <w:szCs w:val="28"/>
          <w14:textFill>
            <w14:solidFill>
              <w14:schemeClr w14:val="tx1"/>
            </w14:solidFill>
          </w14:textFill>
        </w:rPr>
        <w:t>号令）和《政府采购质疑和投诉办法》（财政部</w:t>
      </w:r>
      <w:r>
        <w:rPr>
          <w:color w:val="000000" w:themeColor="text1"/>
          <w:sz w:val="28"/>
          <w:szCs w:val="28"/>
          <w14:textFill>
            <w14:solidFill>
              <w14:schemeClr w14:val="tx1"/>
            </w14:solidFill>
          </w14:textFill>
        </w:rPr>
        <w:t>94</w:t>
      </w:r>
      <w:r>
        <w:rPr>
          <w:rFonts w:hint="eastAsia"/>
          <w:color w:val="000000" w:themeColor="text1"/>
          <w:sz w:val="28"/>
          <w:szCs w:val="28"/>
          <w14:textFill>
            <w14:solidFill>
              <w14:schemeClr w14:val="tx1"/>
            </w14:solidFill>
          </w14:textFill>
        </w:rPr>
        <w:t>号令）的规定办理。</w:t>
      </w:r>
    </w:p>
    <w:p>
      <w:pPr>
        <w:numPr>
          <w:ilvl w:val="0"/>
          <w:numId w:val="28"/>
        </w:numPr>
        <w:spacing w:line="500" w:lineRule="exact"/>
        <w:ind w:left="0" w:firstLine="567"/>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供应商</w:t>
      </w:r>
      <w:r>
        <w:rPr>
          <w:rFonts w:hint="eastAsia" w:ascii="宋体" w:hAnsi="宋体"/>
          <w:color w:val="000000" w:themeColor="text1"/>
          <w:sz w:val="28"/>
          <w:szCs w:val="28"/>
          <w14:textFill>
            <w14:solidFill>
              <w14:schemeClr w14:val="tx1"/>
            </w14:solidFill>
          </w14:textFill>
        </w:rPr>
        <w:t>询问、质疑的对象</w:t>
      </w:r>
    </w:p>
    <w:p>
      <w:pPr>
        <w:numPr>
          <w:ilvl w:val="1"/>
          <w:numId w:val="29"/>
        </w:numPr>
        <w:tabs>
          <w:tab w:val="left" w:pos="0"/>
          <w:tab w:val="left" w:pos="1276"/>
        </w:tabs>
        <w:spacing w:after="120" w:line="500" w:lineRule="exact"/>
        <w:ind w:left="0" w:firstLine="567"/>
        <w:rPr>
          <w:rFonts w:ascii="宋体" w:hAnsi="宋体"/>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供应商</w:t>
      </w:r>
      <w:r>
        <w:rPr>
          <w:rFonts w:hint="eastAsia" w:ascii="宋体" w:hAnsi="宋体"/>
          <w:color w:val="000000" w:themeColor="text1"/>
          <w:sz w:val="28"/>
          <w:szCs w:val="28"/>
          <w14:textFill>
            <w14:solidFill>
              <w14:schemeClr w14:val="tx1"/>
            </w14:solidFill>
          </w14:textFill>
        </w:rPr>
        <w:t>对招标文件中</w:t>
      </w:r>
      <w:r>
        <w:rPr>
          <w:rFonts w:hint="eastAsia"/>
          <w:color w:val="000000" w:themeColor="text1"/>
          <w:sz w:val="28"/>
          <w:szCs w:val="28"/>
          <w14:textFill>
            <w14:solidFill>
              <w14:schemeClr w14:val="tx1"/>
            </w14:solidFill>
          </w14:textFill>
        </w:rPr>
        <w:t>供应商</w:t>
      </w:r>
      <w:r>
        <w:rPr>
          <w:rFonts w:hint="eastAsia" w:ascii="宋体" w:hAnsi="宋体"/>
          <w:color w:val="000000" w:themeColor="text1"/>
          <w:sz w:val="28"/>
          <w:szCs w:val="28"/>
          <w14:textFill>
            <w14:solidFill>
              <w14:schemeClr w14:val="tx1"/>
            </w14:solidFill>
          </w14:textFill>
        </w:rPr>
        <w:t>参加本次政府采购活动应当具备的条件，招标项目技术、服务、商务及其他要求，评标细则及标准，和中标结果中关于资格审查提出询问或质疑的，应通过</w:t>
      </w:r>
      <w:r>
        <w:rPr>
          <w:rFonts w:hint="eastAsia"/>
          <w:color w:val="000000" w:themeColor="text1"/>
          <w:sz w:val="28"/>
          <w:szCs w:val="28"/>
          <w14:textFill>
            <w14:solidFill>
              <w14:schemeClr w14:val="tx1"/>
            </w14:solidFill>
          </w14:textFill>
        </w:rPr>
        <w:t>“政府采购云平台”</w:t>
      </w:r>
      <w:r>
        <w:rPr>
          <w:rFonts w:hint="eastAsia" w:ascii="宋体" w:hAnsi="宋体"/>
          <w:color w:val="000000" w:themeColor="text1"/>
          <w:sz w:val="28"/>
          <w:szCs w:val="28"/>
          <w14:textFill>
            <w14:solidFill>
              <w14:schemeClr w14:val="tx1"/>
            </w14:solidFill>
          </w14:textFill>
        </w:rPr>
        <w:t>向采购人提出；</w:t>
      </w:r>
    </w:p>
    <w:p>
      <w:pPr>
        <w:numPr>
          <w:ilvl w:val="1"/>
          <w:numId w:val="29"/>
        </w:numPr>
        <w:spacing w:after="120" w:line="500" w:lineRule="exact"/>
        <w:ind w:left="0" w:firstLine="567"/>
        <w:rPr>
          <w:rFonts w:ascii="宋体" w:hAnsi="宋体"/>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供应商对除上述招标文件中的其他内容，采购过程及中标结果（除资格审查）提出询问或质疑的，应通过“政府采购云平台”向区采购中心提出</w:t>
      </w:r>
      <w:r>
        <w:rPr>
          <w:rFonts w:hint="eastAsia" w:ascii="宋体" w:hAnsi="宋体"/>
          <w:color w:val="000000" w:themeColor="text1"/>
          <w:sz w:val="28"/>
          <w:szCs w:val="28"/>
          <w14:textFill>
            <w14:solidFill>
              <w14:schemeClr w14:val="tx1"/>
            </w14:solidFill>
          </w14:textFill>
        </w:rPr>
        <w:t>。</w:t>
      </w:r>
    </w:p>
    <w:p>
      <w:pPr>
        <w:numPr>
          <w:ilvl w:val="0"/>
          <w:numId w:val="28"/>
        </w:numPr>
        <w:tabs>
          <w:tab w:val="left" w:pos="1134"/>
        </w:tabs>
        <w:spacing w:after="120"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供应商提出的询问，应当明确询问事项，如以书面形式提出的，应由供应商签字并加盖公章。</w:t>
      </w:r>
    </w:p>
    <w:p>
      <w:pPr>
        <w:numPr>
          <w:ilvl w:val="0"/>
          <w:numId w:val="28"/>
        </w:numPr>
        <w:tabs>
          <w:tab w:val="left" w:pos="1134"/>
        </w:tabs>
        <w:spacing w:after="120"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供应商应在法定质疑期内一次性提出针对同一采购程序环节的质疑。</w:t>
      </w:r>
    </w:p>
    <w:p>
      <w:pPr>
        <w:numPr>
          <w:ilvl w:val="0"/>
          <w:numId w:val="28"/>
        </w:numPr>
        <w:tabs>
          <w:tab w:val="left" w:pos="1134"/>
        </w:tabs>
        <w:spacing w:after="120"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供应商提出质疑时应当准备的资料</w:t>
      </w:r>
    </w:p>
    <w:p>
      <w:pPr>
        <w:pStyle w:val="39"/>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（一）质疑书正本1份；</w:t>
      </w:r>
    </w:p>
    <w:p>
      <w:pPr>
        <w:pStyle w:val="39"/>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（二）法定代表人授权委托书1份（委托代理人办理质疑事宜的需提供）；</w:t>
      </w:r>
    </w:p>
    <w:p>
      <w:pPr>
        <w:pStyle w:val="39"/>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（三）营业执照或法人证书复印件1份（加盖公章）；</w:t>
      </w:r>
    </w:p>
    <w:p>
      <w:pPr>
        <w:pStyle w:val="39"/>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（四）法定代表人身份证复印件1份；</w:t>
      </w:r>
    </w:p>
    <w:p>
      <w:pPr>
        <w:pStyle w:val="39"/>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（五）委托代理人身份证复印件1份（委托代理人办理质疑事宜的需提供）；</w:t>
      </w:r>
    </w:p>
    <w:p>
      <w:pPr>
        <w:pStyle w:val="39"/>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（六）针对质疑事项必要的证明材料。</w:t>
      </w:r>
    </w:p>
    <w:p>
      <w:pPr>
        <w:numPr>
          <w:ilvl w:val="0"/>
          <w:numId w:val="28"/>
        </w:numPr>
        <w:tabs>
          <w:tab w:val="left" w:pos="1134"/>
        </w:tabs>
        <w:spacing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供应商对采购人</w:t>
      </w:r>
      <w:r>
        <w:rPr>
          <w:rFonts w:ascii="宋体" w:hAnsi="宋体"/>
          <w:color w:val="000000" w:themeColor="text1"/>
          <w:sz w:val="28"/>
          <w:szCs w:val="28"/>
          <w14:textFill>
            <w14:solidFill>
              <w14:schemeClr w14:val="tx1"/>
            </w14:solidFill>
          </w14:textFill>
        </w:rPr>
        <w:t>或</w:t>
      </w:r>
      <w:r>
        <w:rPr>
          <w:rFonts w:hint="eastAsia" w:ascii="宋体" w:hAnsi="宋体"/>
          <w:color w:val="000000" w:themeColor="text1"/>
          <w:sz w:val="28"/>
          <w:szCs w:val="28"/>
          <w14:textFill>
            <w14:solidFill>
              <w14:schemeClr w14:val="tx1"/>
            </w14:solidFill>
          </w14:textFill>
        </w:rPr>
        <w:t>区采购中心的质疑答复不满意，或者采购人</w:t>
      </w:r>
      <w:r>
        <w:rPr>
          <w:rFonts w:ascii="宋体" w:hAnsi="宋体"/>
          <w:color w:val="000000" w:themeColor="text1"/>
          <w:sz w:val="28"/>
          <w:szCs w:val="28"/>
          <w14:textFill>
            <w14:solidFill>
              <w14:schemeClr w14:val="tx1"/>
            </w14:solidFill>
          </w14:textFill>
        </w:rPr>
        <w:t>或</w:t>
      </w:r>
      <w:r>
        <w:rPr>
          <w:rFonts w:hint="eastAsia" w:ascii="宋体" w:hAnsi="宋体"/>
          <w:color w:val="000000" w:themeColor="text1"/>
          <w:sz w:val="28"/>
          <w:szCs w:val="28"/>
          <w14:textFill>
            <w14:solidFill>
              <w14:schemeClr w14:val="tx1"/>
            </w14:solidFill>
          </w14:textFill>
        </w:rPr>
        <w:t>区采购中心未在规定期限内作出答复的，供应商可以在答复期满后15个工作日内向同级财政部门提起投诉。</w:t>
      </w:r>
    </w:p>
    <w:bookmarkEnd w:id="156"/>
    <w:p>
      <w:pPr>
        <w:pStyle w:val="3"/>
        <w:numPr>
          <w:ilvl w:val="1"/>
          <w:numId w:val="3"/>
        </w:numPr>
        <w:spacing w:before="0" w:after="0" w:line="240" w:lineRule="auto"/>
        <w:ind w:left="2269" w:hanging="2269"/>
        <w:rPr>
          <w:color w:val="000000" w:themeColor="text1"/>
          <w:sz w:val="36"/>
          <w:szCs w:val="36"/>
          <w14:textFill>
            <w14:solidFill>
              <w14:schemeClr w14:val="tx1"/>
            </w14:solidFill>
          </w14:textFill>
        </w:rPr>
      </w:pPr>
      <w:bookmarkStart w:id="157" w:name="_Toc11597"/>
      <w:bookmarkStart w:id="158" w:name="_Toc8941"/>
      <w:bookmarkStart w:id="159" w:name="_Toc10245"/>
      <w:bookmarkStart w:id="160" w:name="_Toc1212"/>
      <w:bookmarkStart w:id="161" w:name="_Toc77584648"/>
      <w:r>
        <w:rPr>
          <w:rFonts w:hint="eastAsia"/>
          <w:color w:val="000000" w:themeColor="text1"/>
          <w14:textFill>
            <w14:solidFill>
              <w14:schemeClr w14:val="tx1"/>
            </w14:solidFill>
          </w14:textFill>
        </w:rPr>
        <w:t>中小企业政府采购信用融资</w:t>
      </w:r>
      <w:bookmarkEnd w:id="154"/>
      <w:bookmarkEnd w:id="155"/>
      <w:bookmarkEnd w:id="157"/>
      <w:bookmarkEnd w:id="158"/>
      <w:bookmarkEnd w:id="159"/>
      <w:bookmarkEnd w:id="160"/>
      <w:bookmarkEnd w:id="161"/>
    </w:p>
    <w:p>
      <w:pPr>
        <w:numPr>
          <w:ilvl w:val="2"/>
          <w:numId w:val="30"/>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参与本次招标活动中标的中小企业投标人无需提供财产抵押或第三方担保，凭借政府采购合同可向融资机构申请融资。</w:t>
      </w:r>
    </w:p>
    <w:p>
      <w:pPr>
        <w:numPr>
          <w:ilvl w:val="2"/>
          <w:numId w:val="30"/>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见附件。</w:t>
      </w:r>
    </w:p>
    <w:p>
      <w:pPr>
        <w:tabs>
          <w:tab w:val="left" w:pos="1134"/>
        </w:tabs>
        <w:spacing w:after="200"/>
        <w:rPr>
          <w:rFonts w:ascii="宋体" w:hAnsi="宋体"/>
          <w:color w:val="000000" w:themeColor="text1"/>
          <w:sz w:val="28"/>
          <w:szCs w:val="28"/>
          <w14:textFill>
            <w14:solidFill>
              <w14:schemeClr w14:val="tx1"/>
            </w14:solidFill>
          </w14:textFill>
        </w:rPr>
      </w:pPr>
    </w:p>
    <w:p>
      <w:pPr>
        <w:tabs>
          <w:tab w:val="left" w:pos="1134"/>
        </w:tabs>
        <w:spacing w:after="200"/>
        <w:rPr>
          <w:rFonts w:ascii="宋体" w:hAnsi="宋体"/>
          <w:color w:val="000000" w:themeColor="text1"/>
          <w:sz w:val="28"/>
          <w:szCs w:val="28"/>
          <w14:textFill>
            <w14:solidFill>
              <w14:schemeClr w14:val="tx1"/>
            </w14:solidFill>
          </w14:textFill>
        </w:rPr>
      </w:pPr>
    </w:p>
    <w:p>
      <w:pPr>
        <w:tabs>
          <w:tab w:val="left" w:pos="1134"/>
        </w:tabs>
        <w:spacing w:after="200"/>
        <w:rPr>
          <w:rFonts w:ascii="宋体" w:hAnsi="宋体"/>
          <w:color w:val="000000" w:themeColor="text1"/>
          <w:sz w:val="28"/>
          <w:szCs w:val="28"/>
          <w14:textFill>
            <w14:solidFill>
              <w14:schemeClr w14:val="tx1"/>
            </w14:solidFill>
          </w14:textFill>
        </w:rPr>
      </w:pPr>
    </w:p>
    <w:p>
      <w:pPr>
        <w:pStyle w:val="2"/>
        <w:numPr>
          <w:ilvl w:val="0"/>
          <w:numId w:val="3"/>
        </w:numPr>
        <w:spacing w:line="240" w:lineRule="auto"/>
        <w:rPr>
          <w:color w:val="000000" w:themeColor="text1"/>
          <w14:textFill>
            <w14:solidFill>
              <w14:schemeClr w14:val="tx1"/>
            </w14:solidFill>
          </w14:textFill>
        </w:rPr>
      </w:pPr>
      <w:bookmarkStart w:id="162" w:name="_Toc315871049"/>
      <w:bookmarkEnd w:id="162"/>
      <w:bookmarkStart w:id="163" w:name="_Toc315871050"/>
      <w:bookmarkEnd w:id="163"/>
      <w:bookmarkStart w:id="164" w:name="_Toc316292052"/>
      <w:bookmarkEnd w:id="164"/>
      <w:bookmarkStart w:id="165" w:name="_Toc315871047"/>
      <w:bookmarkEnd w:id="165"/>
      <w:bookmarkStart w:id="166" w:name="_Toc316292049"/>
      <w:bookmarkEnd w:id="166"/>
      <w:bookmarkStart w:id="167" w:name="_Toc315871045"/>
      <w:bookmarkEnd w:id="167"/>
      <w:bookmarkStart w:id="168" w:name="_Toc315871048"/>
      <w:bookmarkEnd w:id="168"/>
      <w:bookmarkStart w:id="169" w:name="_Toc316292050"/>
      <w:bookmarkEnd w:id="169"/>
      <w:bookmarkStart w:id="170" w:name="_Toc316292051"/>
      <w:bookmarkEnd w:id="170"/>
      <w:bookmarkStart w:id="171" w:name="_Toc316292048"/>
      <w:bookmarkEnd w:id="171"/>
      <w:bookmarkStart w:id="172" w:name="_Toc315871046"/>
      <w:bookmarkEnd w:id="172"/>
      <w:bookmarkStart w:id="173" w:name="_Toc77584649"/>
      <w:bookmarkStart w:id="174" w:name="_Toc17383"/>
      <w:bookmarkStart w:id="175" w:name="_Toc8836"/>
      <w:bookmarkStart w:id="176" w:name="_Toc7565"/>
      <w:bookmarkStart w:id="177" w:name="_Toc29131"/>
      <w:r>
        <w:rPr>
          <w:rFonts w:hint="eastAsia"/>
          <w:color w:val="000000" w:themeColor="text1"/>
          <w14:textFill>
            <w14:solidFill>
              <w14:schemeClr w14:val="tx1"/>
            </w14:solidFill>
          </w14:textFill>
        </w:rPr>
        <w:t>投标文件格式</w:t>
      </w:r>
      <w:bookmarkEnd w:id="173"/>
      <w:bookmarkEnd w:id="174"/>
      <w:bookmarkEnd w:id="175"/>
      <w:bookmarkEnd w:id="176"/>
      <w:bookmarkEnd w:id="177"/>
    </w:p>
    <w:p>
      <w:pPr>
        <w:pStyle w:val="3"/>
        <w:numPr>
          <w:ilvl w:val="1"/>
          <w:numId w:val="3"/>
        </w:numPr>
        <w:spacing w:line="240" w:lineRule="auto"/>
        <w:ind w:left="2269" w:hanging="2269"/>
        <w:rPr>
          <w:color w:val="000000" w:themeColor="text1"/>
          <w14:textFill>
            <w14:solidFill>
              <w14:schemeClr w14:val="tx1"/>
            </w14:solidFill>
          </w14:textFill>
        </w:rPr>
      </w:pPr>
      <w:bookmarkStart w:id="178" w:name="_Toc211218954"/>
      <w:bookmarkStart w:id="179" w:name="_Toc182629023"/>
      <w:bookmarkStart w:id="180" w:name="_Toc316462354"/>
      <w:bookmarkStart w:id="181" w:name="_Toc295978802"/>
      <w:bookmarkStart w:id="182" w:name="_Toc287367101"/>
      <w:bookmarkStart w:id="183" w:name="_Toc15035"/>
      <w:bookmarkStart w:id="184" w:name="_Toc2879"/>
      <w:bookmarkStart w:id="185" w:name="_Toc182759327"/>
      <w:bookmarkStart w:id="186" w:name="_Toc294688711"/>
      <w:bookmarkStart w:id="187" w:name="_Toc77584650"/>
      <w:bookmarkStart w:id="188" w:name="_Toc294701519"/>
      <w:bookmarkStart w:id="189" w:name="_Toc187"/>
      <w:bookmarkStart w:id="190" w:name="_Toc23011"/>
      <w:r>
        <w:rPr>
          <w:rFonts w:hint="eastAsia"/>
          <w:color w:val="000000" w:themeColor="text1"/>
          <w14:textFill>
            <w14:solidFill>
              <w14:schemeClr w14:val="tx1"/>
            </w14:solidFill>
          </w14:textFill>
        </w:rPr>
        <w:t>投标文件封面格式</w:t>
      </w:r>
      <w:bookmarkEnd w:id="178"/>
      <w:bookmarkEnd w:id="179"/>
      <w:bookmarkEnd w:id="180"/>
      <w:bookmarkEnd w:id="181"/>
      <w:bookmarkEnd w:id="182"/>
      <w:bookmarkEnd w:id="183"/>
      <w:bookmarkEnd w:id="184"/>
      <w:bookmarkEnd w:id="185"/>
      <w:bookmarkEnd w:id="186"/>
      <w:bookmarkEnd w:id="187"/>
      <w:bookmarkEnd w:id="188"/>
      <w:bookmarkEnd w:id="189"/>
      <w:bookmarkEnd w:id="190"/>
    </w:p>
    <w:p>
      <w:pPr>
        <w:rPr>
          <w:rFonts w:ascii="宋体" w:hAnsi="宋体"/>
          <w:bCs/>
          <w:color w:val="000000" w:themeColor="text1"/>
          <w:szCs w:val="21"/>
          <w14:textFill>
            <w14:solidFill>
              <w14:schemeClr w14:val="tx1"/>
            </w14:solidFill>
          </w14:textFill>
        </w:rPr>
      </w:pPr>
    </w:p>
    <w:p>
      <w:pPr>
        <w:rPr>
          <w:rFonts w:ascii="宋体" w:hAnsi="宋体"/>
          <w:bCs/>
          <w:color w:val="000000" w:themeColor="text1"/>
          <w:szCs w:val="21"/>
          <w14:textFill>
            <w14:solidFill>
              <w14:schemeClr w14:val="tx1"/>
            </w14:solidFill>
          </w14:textFill>
        </w:rPr>
      </w:pPr>
    </w:p>
    <w:p>
      <w:pPr>
        <w:rPr>
          <w:rFonts w:ascii="宋体" w:hAnsi="宋体"/>
          <w:bCs/>
          <w:color w:val="000000" w:themeColor="text1"/>
          <w:szCs w:val="21"/>
          <w14:textFill>
            <w14:solidFill>
              <w14:schemeClr w14:val="tx1"/>
            </w14:solidFill>
          </w14:textFill>
        </w:rPr>
      </w:pPr>
    </w:p>
    <w:p>
      <w:pPr>
        <w:jc w:val="right"/>
        <w:rPr>
          <w:rFonts w:ascii="宋体" w:hAnsi="宋体"/>
          <w:color w:val="000000" w:themeColor="text1"/>
          <w:sz w:val="24"/>
          <w14:textFill>
            <w14:solidFill>
              <w14:schemeClr w14:val="tx1"/>
            </w14:solidFill>
          </w14:textFill>
        </w:rPr>
      </w:pPr>
    </w:p>
    <w:p>
      <w:pPr>
        <w:jc w:val="center"/>
        <w:rPr>
          <w:rFonts w:ascii="宋体" w:hAnsi="宋体"/>
          <w:color w:val="000000" w:themeColor="text1"/>
          <w:spacing w:val="78"/>
          <w:sz w:val="120"/>
          <w:szCs w:val="120"/>
          <w14:textFill>
            <w14:solidFill>
              <w14:schemeClr w14:val="tx1"/>
            </w14:solidFill>
          </w14:textFill>
        </w:rPr>
      </w:pPr>
      <w:r>
        <w:rPr>
          <w:rFonts w:hint="eastAsia" w:ascii="宋体" w:hAnsi="宋体"/>
          <w:color w:val="000000" w:themeColor="text1"/>
          <w:spacing w:val="78"/>
          <w:sz w:val="120"/>
          <w:szCs w:val="120"/>
          <w14:textFill>
            <w14:solidFill>
              <w14:schemeClr w14:val="tx1"/>
            </w14:solidFill>
          </w14:textFill>
        </w:rPr>
        <w:t>投标文件</w:t>
      </w:r>
    </w:p>
    <w:p>
      <w:pPr>
        <w:rPr>
          <w:rFonts w:ascii="宋体" w:hAnsi="宋体"/>
          <w:bCs/>
          <w:color w:val="000000" w:themeColor="text1"/>
          <w:sz w:val="36"/>
          <w14:textFill>
            <w14:solidFill>
              <w14:schemeClr w14:val="tx1"/>
            </w14:solidFill>
          </w14:textFill>
        </w:rPr>
      </w:pPr>
    </w:p>
    <w:p>
      <w:pPr>
        <w:tabs>
          <w:tab w:val="left" w:pos="665"/>
          <w:tab w:val="left" w:pos="3241"/>
          <w:tab w:val="left" w:pos="3525"/>
          <w:tab w:val="left" w:pos="3994"/>
          <w:tab w:val="left" w:pos="4234"/>
        </w:tabs>
        <w:ind w:left="2125" w:leftChars="270" w:hanging="1558" w:hangingChars="485"/>
        <w:jc w:val="left"/>
        <w:rPr>
          <w:rFonts w:ascii="宋体" w:hAnsi="宋体"/>
          <w:b/>
          <w:bCs/>
          <w:color w:val="000000" w:themeColor="text1"/>
          <w:sz w:val="32"/>
          <w:szCs w:val="32"/>
          <w14:textFill>
            <w14:solidFill>
              <w14:schemeClr w14:val="tx1"/>
            </w14:solidFill>
          </w14:textFill>
        </w:rPr>
      </w:pPr>
      <w:r>
        <w:rPr>
          <w:rFonts w:hint="eastAsia" w:ascii="宋体" w:hAnsi="宋体"/>
          <w:b/>
          <w:bCs/>
          <w:color w:val="000000" w:themeColor="text1"/>
          <w:sz w:val="32"/>
          <w:szCs w:val="32"/>
          <w14:textFill>
            <w14:solidFill>
              <w14:schemeClr w14:val="tx1"/>
            </w14:solidFill>
          </w14:textFill>
        </w:rPr>
        <w:t>项目名称：</w:t>
      </w:r>
    </w:p>
    <w:p>
      <w:pPr>
        <w:tabs>
          <w:tab w:val="left" w:pos="665"/>
        </w:tabs>
        <w:ind w:firstLine="565" w:firstLineChars="176"/>
        <w:rPr>
          <w:rFonts w:ascii="宋体" w:hAnsi="宋体"/>
          <w:b/>
          <w:bCs/>
          <w:color w:val="000000" w:themeColor="text1"/>
          <w:sz w:val="36"/>
          <w14:textFill>
            <w14:solidFill>
              <w14:schemeClr w14:val="tx1"/>
            </w14:solidFill>
          </w14:textFill>
        </w:rPr>
      </w:pPr>
      <w:r>
        <w:rPr>
          <w:rFonts w:hint="eastAsia" w:ascii="宋体" w:hAnsi="宋体"/>
          <w:b/>
          <w:bCs/>
          <w:color w:val="000000" w:themeColor="text1"/>
          <w:sz w:val="32"/>
          <w:szCs w:val="32"/>
          <w14:textFill>
            <w14:solidFill>
              <w14:schemeClr w14:val="tx1"/>
            </w14:solidFill>
          </w14:textFill>
        </w:rPr>
        <w:t>项目编号：</w:t>
      </w:r>
    </w:p>
    <w:p>
      <w:pPr>
        <w:pStyle w:val="17"/>
        <w:rPr>
          <w:color w:val="000000" w:themeColor="text1"/>
          <w14:textFill>
            <w14:solidFill>
              <w14:schemeClr w14:val="tx1"/>
            </w14:solidFill>
          </w14:textFill>
        </w:rPr>
      </w:pPr>
    </w:p>
    <w:p>
      <w:pPr>
        <w:pStyle w:val="17"/>
        <w:rPr>
          <w:color w:val="000000" w:themeColor="text1"/>
          <w14:textFill>
            <w14:solidFill>
              <w14:schemeClr w14:val="tx1"/>
            </w14:solidFill>
          </w14:textFill>
        </w:rPr>
      </w:pPr>
    </w:p>
    <w:p>
      <w:pPr>
        <w:pStyle w:val="17"/>
        <w:rPr>
          <w:color w:val="000000" w:themeColor="text1"/>
          <w14:textFill>
            <w14:solidFill>
              <w14:schemeClr w14:val="tx1"/>
            </w14:solidFill>
          </w14:textFill>
        </w:rPr>
      </w:pPr>
    </w:p>
    <w:p>
      <w:pPr>
        <w:pStyle w:val="17"/>
        <w:rPr>
          <w:color w:val="000000" w:themeColor="text1"/>
          <w14:textFill>
            <w14:solidFill>
              <w14:schemeClr w14:val="tx1"/>
            </w14:solidFill>
          </w14:textFill>
        </w:rPr>
      </w:pPr>
    </w:p>
    <w:p>
      <w:pPr>
        <w:pStyle w:val="17"/>
        <w:rPr>
          <w:color w:val="000000" w:themeColor="text1"/>
          <w14:textFill>
            <w14:solidFill>
              <w14:schemeClr w14:val="tx1"/>
            </w14:solidFill>
          </w14:textFill>
        </w:rPr>
      </w:pPr>
    </w:p>
    <w:p>
      <w:pPr>
        <w:pStyle w:val="17"/>
        <w:rPr>
          <w:color w:val="000000" w:themeColor="text1"/>
          <w14:textFill>
            <w14:solidFill>
              <w14:schemeClr w14:val="tx1"/>
            </w14:solidFill>
          </w14:textFill>
        </w:rPr>
      </w:pPr>
    </w:p>
    <w:p>
      <w:pPr>
        <w:pStyle w:val="17"/>
        <w:rPr>
          <w:color w:val="000000" w:themeColor="text1"/>
          <w14:textFill>
            <w14:solidFill>
              <w14:schemeClr w14:val="tx1"/>
            </w14:solidFill>
          </w14:textFill>
        </w:rPr>
      </w:pPr>
    </w:p>
    <w:p>
      <w:pPr>
        <w:pStyle w:val="17"/>
        <w:rPr>
          <w:color w:val="000000" w:themeColor="text1"/>
          <w14:textFill>
            <w14:solidFill>
              <w14:schemeClr w14:val="tx1"/>
            </w14:solidFill>
          </w14:textFill>
        </w:rPr>
      </w:pPr>
    </w:p>
    <w:p>
      <w:pPr>
        <w:ind w:firstLine="630" w:firstLineChars="196"/>
        <w:jc w:val="left"/>
        <w:rPr>
          <w:rFonts w:ascii="宋体" w:hAnsi="宋体"/>
          <w:b/>
          <w:bCs/>
          <w:color w:val="000000" w:themeColor="text1"/>
          <w:sz w:val="32"/>
          <w:szCs w:val="32"/>
          <w:u w:val="single"/>
          <w14:textFill>
            <w14:solidFill>
              <w14:schemeClr w14:val="tx1"/>
            </w14:solidFill>
          </w14:textFill>
        </w:rPr>
      </w:pPr>
      <w:r>
        <w:rPr>
          <w:rFonts w:hint="eastAsia" w:ascii="宋体" w:hAnsi="宋体"/>
          <w:b/>
          <w:bCs/>
          <w:color w:val="000000" w:themeColor="text1"/>
          <w:sz w:val="32"/>
          <w:szCs w:val="32"/>
          <w14:textFill>
            <w14:solidFill>
              <w14:schemeClr w14:val="tx1"/>
            </w14:solidFill>
          </w14:textFill>
        </w:rPr>
        <w:t>投标人名称：</w:t>
      </w:r>
      <w:r>
        <w:rPr>
          <w:rFonts w:hint="eastAsia" w:ascii="宋体" w:hAnsi="宋体"/>
          <w:b/>
          <w:color w:val="000000" w:themeColor="text1"/>
          <w:sz w:val="32"/>
          <w:szCs w:val="28"/>
          <w14:textFill>
            <w14:solidFill>
              <w14:schemeClr w14:val="tx1"/>
            </w14:solidFill>
          </w14:textFill>
        </w:rPr>
        <w:t>XXXX</w:t>
      </w:r>
    </w:p>
    <w:p>
      <w:pPr>
        <w:ind w:firstLine="569" w:firstLineChars="177"/>
        <w:rPr>
          <w:rFonts w:ascii="宋体" w:hAnsi="宋体"/>
          <w:b/>
          <w:bCs/>
          <w:color w:val="000000" w:themeColor="text1"/>
          <w:sz w:val="32"/>
          <w:szCs w:val="32"/>
          <w14:textFill>
            <w14:solidFill>
              <w14:schemeClr w14:val="tx1"/>
            </w14:solidFill>
          </w14:textFill>
        </w:rPr>
      </w:pPr>
      <w:r>
        <w:rPr>
          <w:rFonts w:hint="eastAsia" w:ascii="宋体" w:hAnsi="宋体"/>
          <w:b/>
          <w:bCs/>
          <w:color w:val="000000" w:themeColor="text1"/>
          <w:sz w:val="32"/>
          <w:szCs w:val="32"/>
          <w14:textFill>
            <w14:solidFill>
              <w14:schemeClr w14:val="tx1"/>
            </w14:solidFill>
          </w14:textFill>
        </w:rPr>
        <w:t>日       期：20XX年XX月XX日</w:t>
      </w:r>
    </w:p>
    <w:p>
      <w:pPr>
        <w:pStyle w:val="17"/>
        <w:rPr>
          <w:color w:val="000000" w:themeColor="text1"/>
          <w14:textFill>
            <w14:solidFill>
              <w14:schemeClr w14:val="tx1"/>
            </w14:solidFill>
          </w14:textFill>
        </w:rPr>
      </w:pPr>
    </w:p>
    <w:p>
      <w:pPr>
        <w:pStyle w:val="17"/>
        <w:rPr>
          <w:color w:val="000000" w:themeColor="text1"/>
          <w14:textFill>
            <w14:solidFill>
              <w14:schemeClr w14:val="tx1"/>
            </w14:solidFill>
          </w14:textFill>
        </w:rPr>
      </w:pPr>
    </w:p>
    <w:p>
      <w:pPr>
        <w:pStyle w:val="17"/>
        <w:rPr>
          <w:color w:val="000000" w:themeColor="text1"/>
          <w14:textFill>
            <w14:solidFill>
              <w14:schemeClr w14:val="tx1"/>
            </w14:solidFill>
          </w14:textFill>
        </w:rPr>
      </w:pPr>
    </w:p>
    <w:p>
      <w:pPr>
        <w:pStyle w:val="3"/>
        <w:numPr>
          <w:ilvl w:val="1"/>
          <w:numId w:val="3"/>
        </w:numPr>
        <w:spacing w:before="0" w:after="0" w:line="240" w:lineRule="auto"/>
        <w:ind w:left="2269" w:hanging="2269"/>
        <w:rPr>
          <w:color w:val="000000" w:themeColor="text1"/>
          <w14:textFill>
            <w14:solidFill>
              <w14:schemeClr w14:val="tx1"/>
            </w14:solidFill>
          </w14:textFill>
        </w:rPr>
      </w:pPr>
      <w:bookmarkStart w:id="191" w:name="_Toc22607"/>
      <w:bookmarkStart w:id="192" w:name="_Toc729"/>
      <w:bookmarkStart w:id="193" w:name="_Toc22488"/>
      <w:bookmarkStart w:id="194" w:name="_Toc9940"/>
      <w:bookmarkStart w:id="195" w:name="_Toc77584651"/>
      <w:bookmarkStart w:id="196" w:name="_Toc217446082"/>
      <w:r>
        <w:rPr>
          <w:rFonts w:hint="eastAsia"/>
          <w:color w:val="000000" w:themeColor="text1"/>
          <w14:textFill>
            <w14:solidFill>
              <w14:schemeClr w14:val="tx1"/>
            </w14:solidFill>
          </w14:textFill>
        </w:rPr>
        <w:t>资格</w:t>
      </w:r>
      <w:bookmarkEnd w:id="191"/>
      <w:bookmarkEnd w:id="192"/>
      <w:bookmarkEnd w:id="193"/>
      <w:bookmarkEnd w:id="194"/>
      <w:r>
        <w:rPr>
          <w:rFonts w:hint="eastAsia"/>
          <w:color w:val="000000" w:themeColor="text1"/>
          <w14:textFill>
            <w14:solidFill>
              <w14:schemeClr w14:val="tx1"/>
            </w14:solidFill>
          </w14:textFill>
        </w:rPr>
        <w:t>响应文件</w:t>
      </w:r>
      <w:bookmarkEnd w:id="195"/>
    </w:p>
    <w:p>
      <w:pPr>
        <w:pStyle w:val="4"/>
        <w:numPr>
          <w:ilvl w:val="2"/>
          <w:numId w:val="3"/>
        </w:numPr>
        <w:spacing w:after="200"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关于投标人资格申明的函</w:t>
      </w:r>
    </w:p>
    <w:p>
      <w:pPr>
        <w:rPr>
          <w:rFonts w:ascii="宋体" w:hAnsi="宋体"/>
          <w:color w:val="000000" w:themeColor="text1"/>
          <w:sz w:val="28"/>
          <w:szCs w:val="28"/>
          <w14:textFill>
            <w14:solidFill>
              <w14:schemeClr w14:val="tx1"/>
            </w14:solidFill>
          </w14:textFill>
        </w:rPr>
      </w:pPr>
      <w:bookmarkStart w:id="197" w:name="_Toc238581782"/>
      <w:bookmarkStart w:id="198" w:name="_Toc119295087"/>
      <w:bookmarkStart w:id="199" w:name="_Toc146903609"/>
      <w:bookmarkStart w:id="200" w:name="_Toc119296788"/>
      <w:bookmarkStart w:id="201" w:name="_Toc52184753"/>
      <w:bookmarkStart w:id="202" w:name="_Toc119203988"/>
      <w:r>
        <w:rPr>
          <w:rFonts w:hint="eastAsia" w:ascii="宋体" w:hAnsi="宋体"/>
          <w:color w:val="000000" w:themeColor="text1"/>
          <w:sz w:val="28"/>
          <w:szCs w:val="28"/>
          <w14:textFill>
            <w14:solidFill>
              <w14:schemeClr w14:val="tx1"/>
            </w14:solidFill>
          </w14:textFill>
        </w:rPr>
        <w:t>致：成都市青羊区政府采购服务中心</w:t>
      </w:r>
      <w:bookmarkEnd w:id="197"/>
    </w:p>
    <w:p>
      <w:pPr>
        <w:ind w:firstLine="565" w:firstLineChars="202"/>
        <w:rPr>
          <w:rFonts w:ascii="宋体" w:hAnsi="宋体"/>
          <w:color w:val="000000" w:themeColor="text1"/>
          <w:sz w:val="28"/>
          <w:szCs w:val="28"/>
          <w14:textFill>
            <w14:solidFill>
              <w14:schemeClr w14:val="tx1"/>
            </w14:solidFill>
          </w14:textFill>
        </w:rPr>
      </w:pPr>
      <w:bookmarkStart w:id="203" w:name="_Toc238581783"/>
      <w:r>
        <w:rPr>
          <w:rFonts w:hint="eastAsia" w:ascii="宋体" w:hAnsi="宋体"/>
          <w:color w:val="000000" w:themeColor="text1"/>
          <w:sz w:val="28"/>
          <w:szCs w:val="28"/>
          <w14:textFill>
            <w14:solidFill>
              <w14:schemeClr w14:val="tx1"/>
            </w14:solidFill>
          </w14:textFill>
        </w:rPr>
        <w:t>关于我方对</w:t>
      </w:r>
      <w:r>
        <w:rPr>
          <w:rFonts w:hint="eastAsia" w:ascii="宋体" w:hAnsi="宋体"/>
          <w:color w:val="000000" w:themeColor="text1"/>
          <w:sz w:val="28"/>
          <w:szCs w:val="28"/>
          <w:u w:val="single"/>
          <w14:textFill>
            <w14:solidFill>
              <w14:schemeClr w14:val="tx1"/>
            </w14:solidFill>
          </w14:textFill>
        </w:rPr>
        <w:t xml:space="preserve">  </w:t>
      </w:r>
      <w:r>
        <w:rPr>
          <w:rFonts w:hint="eastAsia" w:ascii="宋体" w:hAnsi="宋体"/>
          <w:b/>
          <w:color w:val="000000" w:themeColor="text1"/>
          <w:sz w:val="28"/>
          <w:szCs w:val="28"/>
          <w:u w:val="single"/>
          <w14:textFill>
            <w14:solidFill>
              <w14:schemeClr w14:val="tx1"/>
            </w14:solidFill>
          </w14:textFill>
        </w:rPr>
        <w:t>项目名称（项目编号：）</w:t>
      </w:r>
      <w:r>
        <w:rPr>
          <w:rFonts w:hint="eastAsia" w:ascii="宋体" w:hAnsi="宋体"/>
          <w:color w:val="000000" w:themeColor="text1"/>
          <w:sz w:val="28"/>
          <w:szCs w:val="28"/>
          <w14:textFill>
            <w14:solidFill>
              <w14:schemeClr w14:val="tx1"/>
            </w14:solidFill>
          </w14:textFill>
        </w:rPr>
        <w:t>的公开招标，提交的下列文件和说明是准确的和真实的。</w:t>
      </w:r>
      <w:bookmarkEnd w:id="203"/>
    </w:p>
    <w:p>
      <w:pPr>
        <w:widowControl/>
        <w:numPr>
          <w:ilvl w:val="2"/>
          <w:numId w:val="31"/>
        </w:numPr>
        <w:spacing w:after="200"/>
        <w:ind w:left="0" w:firstLine="560" w:firstLineChars="200"/>
        <w:rPr>
          <w:rFonts w:ascii="宋体" w:hAnsi="宋体"/>
          <w:color w:val="000000" w:themeColor="text1"/>
          <w:sz w:val="28"/>
          <w:szCs w:val="28"/>
          <w14:textFill>
            <w14:solidFill>
              <w14:schemeClr w14:val="tx1"/>
            </w14:solidFill>
          </w14:textFill>
        </w:rPr>
      </w:pPr>
      <w:bookmarkStart w:id="204" w:name="_Toc238581784"/>
      <w:r>
        <w:rPr>
          <w:rFonts w:hint="eastAsia" w:ascii="宋体" w:hAnsi="宋体"/>
          <w:color w:val="000000" w:themeColor="text1"/>
          <w:sz w:val="28"/>
          <w:szCs w:val="28"/>
          <w14:textFill>
            <w14:solidFill>
              <w14:schemeClr w14:val="tx1"/>
            </w14:solidFill>
          </w14:textFill>
        </w:rPr>
        <w:t>投标人名称及概况：</w:t>
      </w:r>
      <w:bookmarkEnd w:id="198"/>
      <w:bookmarkEnd w:id="199"/>
      <w:bookmarkEnd w:id="200"/>
      <w:bookmarkEnd w:id="201"/>
      <w:bookmarkEnd w:id="202"/>
      <w:bookmarkEnd w:id="204"/>
    </w:p>
    <w:p>
      <w:pPr>
        <w:widowControl/>
        <w:numPr>
          <w:ilvl w:val="0"/>
          <w:numId w:val="32"/>
        </w:numPr>
        <w:spacing w:after="200"/>
        <w:ind w:left="0" w:firstLine="560" w:firstLineChars="20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投标人名称：XXXX</w:t>
      </w:r>
    </w:p>
    <w:p>
      <w:pPr>
        <w:widowControl/>
        <w:numPr>
          <w:ilvl w:val="0"/>
          <w:numId w:val="32"/>
        </w:numPr>
        <w:spacing w:after="200"/>
        <w:ind w:left="0" w:firstLine="560" w:firstLineChars="20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地址：XXXX      邮编：XXXX</w:t>
      </w:r>
    </w:p>
    <w:p>
      <w:pPr>
        <w:widowControl/>
        <w:ind w:left="1261"/>
        <w:jc w:val="left"/>
        <w:rPr>
          <w:rFonts w:ascii="宋体" w:hAnsi="宋体"/>
          <w:color w:val="000000" w:themeColor="text1"/>
          <w:sz w:val="28"/>
          <w:szCs w:val="28"/>
          <w:u w:val="single"/>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传真/电话： XXXX</w:t>
      </w:r>
    </w:p>
    <w:p>
      <w:pPr>
        <w:widowControl/>
        <w:numPr>
          <w:ilvl w:val="0"/>
          <w:numId w:val="32"/>
        </w:numPr>
        <w:spacing w:after="200"/>
        <w:ind w:left="0" w:firstLine="560" w:firstLineChars="20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成立日期或注册日期：XXXX</w:t>
      </w:r>
    </w:p>
    <w:p>
      <w:pPr>
        <w:widowControl/>
        <w:numPr>
          <w:ilvl w:val="0"/>
          <w:numId w:val="32"/>
        </w:numPr>
        <w:spacing w:after="200"/>
        <w:ind w:left="0" w:firstLine="560" w:firstLineChars="200"/>
        <w:jc w:val="left"/>
        <w:rPr>
          <w:rFonts w:ascii="宋体" w:hAnsi="宋体"/>
          <w:color w:val="000000" w:themeColor="text1"/>
          <w:sz w:val="28"/>
          <w:szCs w:val="28"/>
          <w:u w:val="single"/>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法定代表人姓名：XXXX</w:t>
      </w:r>
    </w:p>
    <w:p>
      <w:pPr>
        <w:widowControl/>
        <w:numPr>
          <w:ilvl w:val="2"/>
          <w:numId w:val="31"/>
        </w:numPr>
        <w:tabs>
          <w:tab w:val="left" w:pos="1276"/>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开户银行名称：XXXX</w:t>
      </w:r>
    </w:p>
    <w:p>
      <w:pPr>
        <w:ind w:firstLine="1260" w:firstLineChars="450"/>
        <w:rPr>
          <w:rFonts w:ascii="宋体" w:hAnsi="宋体"/>
          <w:color w:val="000000" w:themeColor="text1"/>
          <w:sz w:val="28"/>
          <w:szCs w:val="28"/>
          <w:u w:val="single"/>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地址：XXXX</w:t>
      </w:r>
    </w:p>
    <w:p>
      <w:pPr>
        <w:ind w:firstLine="1260" w:firstLineChars="45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账号：XXXX</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投标人名称：XXXX</w:t>
      </w:r>
    </w:p>
    <w:p>
      <w:pPr>
        <w:ind w:left="283" w:leftChars="135" w:firstLine="280" w:firstLineChars="100"/>
        <w:rPr>
          <w:rFonts w:ascii="宋体" w:hAnsi="宋体"/>
          <w:bCs/>
          <w:color w:val="000000" w:themeColor="text1"/>
          <w:sz w:val="28"/>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日    期：</w:t>
      </w:r>
      <w:r>
        <w:rPr>
          <w:rFonts w:hint="eastAsia" w:ascii="宋体" w:hAnsi="宋体"/>
          <w:bCs/>
          <w:color w:val="000000" w:themeColor="text1"/>
          <w:sz w:val="28"/>
          <w14:textFill>
            <w14:solidFill>
              <w14:schemeClr w14:val="tx1"/>
            </w14:solidFill>
          </w14:textFill>
        </w:rPr>
        <w:t>20XX年XX月XX日</w:t>
      </w:r>
    </w:p>
    <w:p>
      <w:pPr>
        <w:ind w:left="283" w:leftChars="135" w:firstLine="280" w:firstLineChars="100"/>
        <w:rPr>
          <w:rFonts w:ascii="宋体" w:hAnsi="宋体"/>
          <w:bCs/>
          <w:color w:val="000000" w:themeColor="text1"/>
          <w:sz w:val="28"/>
          <w14:textFill>
            <w14:solidFill>
              <w14:schemeClr w14:val="tx1"/>
            </w14:solidFill>
          </w14:textFill>
        </w:rPr>
      </w:pPr>
    </w:p>
    <w:p>
      <w:pPr>
        <w:ind w:left="283" w:leftChars="135" w:firstLine="280" w:firstLineChars="100"/>
        <w:rPr>
          <w:rFonts w:ascii="宋体" w:hAnsi="宋体"/>
          <w:bCs/>
          <w:color w:val="000000" w:themeColor="text1"/>
          <w:sz w:val="28"/>
          <w14:textFill>
            <w14:solidFill>
              <w14:schemeClr w14:val="tx1"/>
            </w14:solidFill>
          </w14:textFill>
        </w:rPr>
      </w:pPr>
    </w:p>
    <w:p>
      <w:pPr>
        <w:ind w:left="283" w:leftChars="135" w:firstLine="280" w:firstLineChars="100"/>
        <w:rPr>
          <w:rFonts w:ascii="宋体" w:hAnsi="宋体"/>
          <w:color w:val="000000" w:themeColor="text1"/>
          <w:sz w:val="28"/>
          <w:szCs w:val="28"/>
          <w14:textFill>
            <w14:solidFill>
              <w14:schemeClr w14:val="tx1"/>
            </w14:solidFill>
          </w14:textFill>
        </w:rPr>
      </w:pPr>
    </w:p>
    <w:p>
      <w:pPr>
        <w:pStyle w:val="4"/>
        <w:numPr>
          <w:ilvl w:val="2"/>
          <w:numId w:val="3"/>
        </w:numPr>
        <w:spacing w:after="200"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声明</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致：成都市青羊区政府采购服务中心</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我单位作为</w:t>
      </w:r>
      <w:r>
        <w:rPr>
          <w:rFonts w:hint="eastAsia" w:ascii="宋体" w:hAnsi="宋体"/>
          <w:b/>
          <w:color w:val="000000" w:themeColor="text1"/>
          <w:sz w:val="28"/>
          <w:szCs w:val="28"/>
          <w:u w:val="single"/>
          <w14:textFill>
            <w14:solidFill>
              <w14:schemeClr w14:val="tx1"/>
            </w14:solidFill>
          </w14:textFill>
        </w:rPr>
        <w:t>项目名称（项目编号：）</w:t>
      </w:r>
      <w:r>
        <w:rPr>
          <w:rFonts w:hint="eastAsia" w:ascii="宋体" w:hAnsi="宋体"/>
          <w:color w:val="000000" w:themeColor="text1"/>
          <w:sz w:val="28"/>
          <w:szCs w:val="28"/>
          <w14:textFill>
            <w14:solidFill>
              <w14:schemeClr w14:val="tx1"/>
            </w14:solidFill>
          </w14:textFill>
        </w:rPr>
        <w:t>的投标人，在此郑重声明：</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一、我单位参加政府采购活动前三年内，在经营活动中</w:t>
      </w:r>
      <w:r>
        <w:rPr>
          <w:rFonts w:hint="eastAsia" w:ascii="宋体" w:hAnsi="宋体"/>
          <w:b/>
          <w:color w:val="000000" w:themeColor="text1"/>
          <w:sz w:val="28"/>
          <w:szCs w:val="28"/>
          <w:u w:val="single"/>
          <w14:textFill>
            <w14:solidFill>
              <w14:schemeClr w14:val="tx1"/>
            </w14:solidFill>
          </w14:textFill>
        </w:rPr>
        <w:t>（说明：填写“没有”或“有”）</w:t>
      </w:r>
      <w:r>
        <w:rPr>
          <w:rFonts w:hint="eastAsia" w:ascii="宋体" w:hAnsi="宋体"/>
          <w:color w:val="000000" w:themeColor="text1"/>
          <w:sz w:val="28"/>
          <w:szCs w:val="28"/>
          <w14:textFill>
            <w14:solidFill>
              <w14:schemeClr w14:val="tx1"/>
            </w14:solidFill>
          </w14:textFill>
        </w:rPr>
        <w:t>重大违法记录。</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二、我单位</w:t>
      </w:r>
      <w:r>
        <w:rPr>
          <w:rFonts w:hint="eastAsia" w:ascii="宋体" w:hAnsi="宋体"/>
          <w:b/>
          <w:color w:val="000000" w:themeColor="text1"/>
          <w:sz w:val="28"/>
          <w:szCs w:val="28"/>
          <w:u w:val="single"/>
          <w14:textFill>
            <w14:solidFill>
              <w14:schemeClr w14:val="tx1"/>
            </w14:solidFill>
          </w14:textFill>
        </w:rPr>
        <w:t>（说明：填写“具有”或“不具有”）</w:t>
      </w:r>
      <w:r>
        <w:rPr>
          <w:rFonts w:hint="eastAsia" w:ascii="宋体" w:hAnsi="宋体"/>
          <w:color w:val="000000" w:themeColor="text1"/>
          <w:sz w:val="28"/>
          <w:szCs w:val="28"/>
          <w14:textFill>
            <w14:solidFill>
              <w14:schemeClr w14:val="tx1"/>
            </w14:solidFill>
          </w14:textFill>
        </w:rPr>
        <w:t>良好的商业信誉。</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三、与我单位负责人为同一人或者存在直接控股、管理关系的相关供应商：</w:t>
      </w:r>
      <w:r>
        <w:rPr>
          <w:rFonts w:hint="eastAsia" w:ascii="宋体" w:hAnsi="宋体"/>
          <w:b/>
          <w:color w:val="000000" w:themeColor="text1"/>
          <w:sz w:val="28"/>
          <w:szCs w:val="28"/>
          <w:u w:val="single"/>
          <w14:textFill>
            <w14:solidFill>
              <w14:schemeClr w14:val="tx1"/>
            </w14:solidFill>
          </w14:textFill>
        </w:rPr>
        <w:t>（说明：填写“无”或“（一）供应商名称１；（二）供应商名称２；（三）……”）</w:t>
      </w:r>
      <w:r>
        <w:rPr>
          <w:rFonts w:hint="eastAsia" w:ascii="宋体" w:hAnsi="宋体"/>
          <w:color w:val="000000" w:themeColor="text1"/>
          <w:sz w:val="28"/>
          <w:szCs w:val="28"/>
          <w14:textFill>
            <w14:solidFill>
              <w14:schemeClr w14:val="tx1"/>
            </w14:solidFill>
          </w14:textFill>
        </w:rPr>
        <w:t xml:space="preserve"> 。</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四、在行贿犯罪信息查询期限内，我单位及我单位现任法定代表人、主要负责人</w:t>
      </w:r>
      <w:r>
        <w:rPr>
          <w:rFonts w:hint="eastAsia" w:ascii="宋体" w:hAnsi="宋体"/>
          <w:b/>
          <w:color w:val="000000" w:themeColor="text1"/>
          <w:sz w:val="28"/>
          <w:szCs w:val="28"/>
          <w:u w:val="single"/>
          <w14:textFill>
            <w14:solidFill>
              <w14:schemeClr w14:val="tx1"/>
            </w14:solidFill>
          </w14:textFill>
        </w:rPr>
        <w:t>（说明：填写“没有”或“有”）</w:t>
      </w:r>
      <w:r>
        <w:rPr>
          <w:rFonts w:hint="eastAsia" w:ascii="宋体" w:hAnsi="宋体"/>
          <w:color w:val="000000" w:themeColor="text1"/>
          <w:sz w:val="28"/>
          <w:szCs w:val="28"/>
          <w14:textFill>
            <w14:solidFill>
              <w14:schemeClr w14:val="tx1"/>
            </w14:solidFill>
          </w14:textFill>
        </w:rPr>
        <w:t>行贿犯罪记录。</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五、我单位</w:t>
      </w:r>
      <w:r>
        <w:rPr>
          <w:rFonts w:hint="eastAsia" w:ascii="宋体" w:hAnsi="宋体"/>
          <w:b/>
          <w:color w:val="000000" w:themeColor="text1"/>
          <w:sz w:val="28"/>
          <w:szCs w:val="28"/>
          <w:u w:val="single"/>
          <w14:textFill>
            <w14:solidFill>
              <w14:schemeClr w14:val="tx1"/>
            </w14:solidFill>
          </w14:textFill>
        </w:rPr>
        <w:t>（说明：填写“未列入”或“被列入”）</w:t>
      </w:r>
      <w:r>
        <w:rPr>
          <w:rFonts w:hint="eastAsia" w:ascii="宋体" w:hAnsi="宋体"/>
          <w:color w:val="000000" w:themeColor="text1"/>
          <w:sz w:val="28"/>
          <w:szCs w:val="28"/>
          <w14:textFill>
            <w14:solidFill>
              <w14:schemeClr w14:val="tx1"/>
            </w14:solidFill>
          </w14:textFill>
        </w:rPr>
        <w:t>失信被执行人、重大税收违法案件当事人名单。</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我单位</w:t>
      </w:r>
      <w:r>
        <w:rPr>
          <w:rFonts w:hint="eastAsia" w:ascii="宋体" w:hAnsi="宋体"/>
          <w:b/>
          <w:color w:val="000000" w:themeColor="text1"/>
          <w:sz w:val="28"/>
          <w:szCs w:val="28"/>
          <w:u w:val="single"/>
          <w14:textFill>
            <w14:solidFill>
              <w14:schemeClr w14:val="tx1"/>
            </w14:solidFill>
          </w14:textFill>
        </w:rPr>
        <w:t>（说明：填写“未列入”或“被列入”）</w:t>
      </w:r>
      <w:r>
        <w:rPr>
          <w:rFonts w:hint="eastAsia" w:ascii="宋体" w:hAnsi="宋体"/>
          <w:color w:val="000000" w:themeColor="text1"/>
          <w:sz w:val="28"/>
          <w:szCs w:val="28"/>
          <w14:textFill>
            <w14:solidFill>
              <w14:schemeClr w14:val="tx1"/>
            </w14:solidFill>
          </w14:textFill>
        </w:rPr>
        <w:t>政府采购严重违法失信行为记录名单。</w:t>
      </w:r>
    </w:p>
    <w:p>
      <w:pPr>
        <w:ind w:firstLine="560" w:firstLineChars="200"/>
        <w:rPr>
          <w:bCs/>
          <w:color w:val="000000" w:themeColor="text1"/>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六、我单位</w:t>
      </w:r>
      <w:r>
        <w:rPr>
          <w:rFonts w:hint="eastAsia" w:ascii="宋体" w:hAnsi="宋体"/>
          <w:b/>
          <w:color w:val="000000" w:themeColor="text1"/>
          <w:sz w:val="28"/>
          <w:szCs w:val="28"/>
          <w:u w:val="single"/>
          <w14:textFill>
            <w14:solidFill>
              <w14:schemeClr w14:val="tx1"/>
            </w14:solidFill>
          </w14:textFill>
        </w:rPr>
        <w:t>（说明：填写“未处于”或“处于”）</w:t>
      </w:r>
      <w:r>
        <w:rPr>
          <w:rFonts w:hint="eastAsia" w:ascii="宋体" w:hAnsi="宋体"/>
          <w:bCs/>
          <w:color w:val="000000" w:themeColor="text1"/>
          <w:sz w:val="28"/>
          <w:szCs w:val="28"/>
          <w14:textFill>
            <w14:solidFill>
              <w14:schemeClr w14:val="tx1"/>
            </w14:solidFill>
          </w14:textFill>
        </w:rPr>
        <w:t>被行政部门禁止参与政府采购活动的期限内。</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特此声明。</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投标人名称：XXXX</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日    期：20XX年XX月XX日</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说明： 1.对声明中第一条的说明：如投标人在参加政府采购活动前三年内，在经营活动中有重大违法记录的，应填写“有”，投标人将被认定投标无效或被取消中标资格；</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2.对声明中第三条的说明：单位负责人为同一人或者存在直接控股、管理关系的不同供应商，不得参加同一合同项下的政府采购活动；</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3.对声明中第四条的说明：在行贿犯罪信息查询期限内，投标人根据中国裁判文书网（https://wenshu.court.gov.cn）查询结果，如果投标人及其现任法定代表人、主要负责人有行贿犯罪记录的，投标人应填写“有”，投标人将被认定投标无效或被取消中标资格；</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4.对声明中第五条的说明：投标人如被列入失信被执行人、重大税收违法案件当事人名单，应填写“被列入”，投标人将被认定投标无效或被取消中标资格；投标人如被列入政府采购严重违法失信行为记录名单，应填写“被列入”，投标人将被认定投标无效或被取消中标资格；</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5.对声明中第六条的说明：如投标人处于被行政部门禁止参加政府采购活动期限内的，该声明填“处于”，投标人将被认定投标无效或被取消中标资格。</w:t>
      </w:r>
    </w:p>
    <w:p>
      <w:pPr>
        <w:ind w:firstLine="560" w:firstLineChars="200"/>
        <w:rPr>
          <w:rFonts w:ascii="宋体" w:hAnsi="宋体"/>
          <w:color w:val="000000" w:themeColor="text1"/>
          <w:sz w:val="28"/>
          <w:szCs w:val="28"/>
          <w14:textFill>
            <w14:solidFill>
              <w14:schemeClr w14:val="tx1"/>
            </w14:solidFill>
          </w14:textFill>
        </w:rPr>
      </w:pPr>
    </w:p>
    <w:p>
      <w:pPr>
        <w:ind w:firstLine="560" w:firstLineChars="200"/>
        <w:rPr>
          <w:rFonts w:ascii="宋体" w:hAnsi="宋体"/>
          <w:color w:val="000000" w:themeColor="text1"/>
          <w:sz w:val="28"/>
          <w:szCs w:val="28"/>
          <w14:textFill>
            <w14:solidFill>
              <w14:schemeClr w14:val="tx1"/>
            </w14:solidFill>
          </w14:textFill>
        </w:rPr>
      </w:pPr>
    </w:p>
    <w:p>
      <w:pPr>
        <w:ind w:firstLine="560" w:firstLineChars="200"/>
        <w:rPr>
          <w:rFonts w:ascii="宋体" w:hAnsi="宋体"/>
          <w:color w:val="000000" w:themeColor="text1"/>
          <w:sz w:val="28"/>
          <w:szCs w:val="28"/>
          <w14:textFill>
            <w14:solidFill>
              <w14:schemeClr w14:val="tx1"/>
            </w14:solidFill>
          </w14:textFill>
        </w:rPr>
      </w:pPr>
    </w:p>
    <w:p>
      <w:pPr>
        <w:ind w:firstLine="560" w:firstLineChars="200"/>
        <w:rPr>
          <w:rFonts w:ascii="宋体" w:hAnsi="宋体"/>
          <w:color w:val="000000" w:themeColor="text1"/>
          <w:sz w:val="28"/>
          <w:szCs w:val="28"/>
          <w14:textFill>
            <w14:solidFill>
              <w14:schemeClr w14:val="tx1"/>
            </w14:solidFill>
          </w14:textFill>
        </w:rPr>
      </w:pPr>
    </w:p>
    <w:p>
      <w:pPr>
        <w:ind w:firstLine="560" w:firstLineChars="200"/>
        <w:rPr>
          <w:rFonts w:ascii="宋体" w:hAnsi="宋体"/>
          <w:color w:val="000000" w:themeColor="text1"/>
          <w:sz w:val="28"/>
          <w:szCs w:val="28"/>
          <w14:textFill>
            <w14:solidFill>
              <w14:schemeClr w14:val="tx1"/>
            </w14:solidFill>
          </w14:textFill>
        </w:rPr>
      </w:pPr>
    </w:p>
    <w:p>
      <w:pPr>
        <w:rPr>
          <w:rFonts w:ascii="宋体" w:hAnsi="宋体"/>
          <w:color w:val="000000" w:themeColor="text1"/>
          <w:sz w:val="28"/>
          <w:szCs w:val="28"/>
          <w14:textFill>
            <w14:solidFill>
              <w14:schemeClr w14:val="tx1"/>
            </w14:solidFill>
          </w14:textFill>
        </w:rPr>
      </w:pPr>
    </w:p>
    <w:p>
      <w:pPr>
        <w:pStyle w:val="4"/>
        <w:numPr>
          <w:ilvl w:val="2"/>
          <w:numId w:val="3"/>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投标人应提交的相关资格证明材料</w:t>
      </w:r>
    </w:p>
    <w:p>
      <w:pPr>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投标人按招标文件要求，应提供以下相关资格证明材料：</w:t>
      </w:r>
    </w:p>
    <w:p>
      <w:pPr>
        <w:numPr>
          <w:ilvl w:val="0"/>
          <w:numId w:val="33"/>
        </w:numPr>
        <w:tabs>
          <w:tab w:val="left" w:pos="709"/>
        </w:tabs>
        <w:spacing w:after="200"/>
        <w:ind w:left="0" w:firstLine="546"/>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营业执照复印件（正本或副本）或法人证书复印件（正本或副本）；</w:t>
      </w:r>
    </w:p>
    <w:p>
      <w:pPr>
        <w:numPr>
          <w:ilvl w:val="0"/>
          <w:numId w:val="33"/>
        </w:numPr>
        <w:tabs>
          <w:tab w:val="left" w:pos="709"/>
        </w:tabs>
        <w:spacing w:after="200"/>
        <w:ind w:left="0" w:firstLine="546"/>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20</w:t>
      </w:r>
      <w:r>
        <w:rPr>
          <w:rFonts w:ascii="宋体" w:hAnsi="宋体"/>
          <w:color w:val="000000" w:themeColor="text1"/>
          <w:kern w:val="0"/>
          <w:sz w:val="28"/>
          <w:szCs w:val="28"/>
          <w14:textFill>
            <w14:solidFill>
              <w14:schemeClr w14:val="tx1"/>
            </w14:solidFill>
          </w14:textFill>
        </w:rPr>
        <w:t>19</w:t>
      </w:r>
      <w:r>
        <w:rPr>
          <w:rFonts w:hint="eastAsia" w:ascii="宋体" w:hAnsi="宋体"/>
          <w:color w:val="000000" w:themeColor="text1"/>
          <w:kern w:val="0"/>
          <w:sz w:val="28"/>
          <w:szCs w:val="28"/>
          <w14:textFill>
            <w14:solidFill>
              <w14:schemeClr w14:val="tx1"/>
            </w14:solidFill>
          </w14:textFill>
        </w:rPr>
        <w:t>或20</w:t>
      </w:r>
      <w:r>
        <w:rPr>
          <w:rFonts w:ascii="宋体" w:hAnsi="宋体"/>
          <w:color w:val="000000" w:themeColor="text1"/>
          <w:kern w:val="0"/>
          <w:sz w:val="28"/>
          <w:szCs w:val="28"/>
          <w14:textFill>
            <w14:solidFill>
              <w14:schemeClr w14:val="tx1"/>
            </w14:solidFill>
          </w14:textFill>
        </w:rPr>
        <w:t>20</w:t>
      </w:r>
      <w:r>
        <w:rPr>
          <w:rFonts w:hint="eastAsia" w:ascii="宋体" w:hAnsi="宋体"/>
          <w:color w:val="000000" w:themeColor="text1"/>
          <w:kern w:val="0"/>
          <w:sz w:val="28"/>
          <w:szCs w:val="28"/>
          <w14:textFill>
            <w14:solidFill>
              <w14:schemeClr w14:val="tx1"/>
            </w14:solidFill>
          </w14:textFill>
        </w:rPr>
        <w:t>会计年度资产负债表复印件（说明：投标人成立时间至递交投标文件截止时间止不足一年的，提供成立后任意时段的资产负债表复印件）；</w:t>
      </w:r>
    </w:p>
    <w:p>
      <w:pPr>
        <w:numPr>
          <w:ilvl w:val="0"/>
          <w:numId w:val="33"/>
        </w:numPr>
        <w:tabs>
          <w:tab w:val="left" w:pos="1134"/>
        </w:tabs>
        <w:spacing w:after="200"/>
        <w:ind w:left="0" w:firstLine="546"/>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投标人缴纳20</w:t>
      </w:r>
      <w:r>
        <w:rPr>
          <w:rFonts w:ascii="宋体" w:hAnsi="宋体"/>
          <w:color w:val="000000" w:themeColor="text1"/>
          <w:kern w:val="0"/>
          <w:sz w:val="28"/>
          <w:szCs w:val="28"/>
          <w14:textFill>
            <w14:solidFill>
              <w14:schemeClr w14:val="tx1"/>
            </w14:solidFill>
          </w14:textFill>
        </w:rPr>
        <w:t>20</w:t>
      </w:r>
      <w:r>
        <w:rPr>
          <w:rFonts w:hint="eastAsia" w:ascii="宋体" w:hAnsi="宋体"/>
          <w:color w:val="000000" w:themeColor="text1"/>
          <w:kern w:val="0"/>
          <w:sz w:val="28"/>
          <w:szCs w:val="28"/>
          <w14:textFill>
            <w14:solidFill>
              <w14:schemeClr w14:val="tx1"/>
            </w14:solidFill>
          </w14:textFill>
        </w:rPr>
        <w:t>年或20</w:t>
      </w:r>
      <w:r>
        <w:rPr>
          <w:rFonts w:ascii="宋体" w:hAnsi="宋体"/>
          <w:color w:val="000000" w:themeColor="text1"/>
          <w:kern w:val="0"/>
          <w:sz w:val="28"/>
          <w:szCs w:val="28"/>
          <w14:textFill>
            <w14:solidFill>
              <w14:schemeClr w14:val="tx1"/>
            </w14:solidFill>
          </w14:textFill>
        </w:rPr>
        <w:t>21</w:t>
      </w:r>
      <w:r>
        <w:rPr>
          <w:rFonts w:hint="eastAsia" w:ascii="宋体" w:hAnsi="宋体"/>
          <w:color w:val="000000" w:themeColor="text1"/>
          <w:kern w:val="0"/>
          <w:sz w:val="28"/>
          <w:szCs w:val="28"/>
          <w14:textFill>
            <w14:solidFill>
              <w14:schemeClr w14:val="tx1"/>
            </w14:solidFill>
          </w14:textFill>
        </w:rPr>
        <w:t>年任意时段的税收的银行电子回单或者行政部门出具的纳税证明或完税证明复印件；</w:t>
      </w:r>
    </w:p>
    <w:p>
      <w:pPr>
        <w:numPr>
          <w:ilvl w:val="0"/>
          <w:numId w:val="33"/>
        </w:numPr>
        <w:tabs>
          <w:tab w:val="left" w:pos="1134"/>
        </w:tabs>
        <w:spacing w:after="200"/>
        <w:ind w:left="0" w:firstLine="546"/>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采购人对投标人履行合同所必须的设备和专业技术能力无其他特殊要求，投标人具有有效的营业执照或法人证书即可，可不提供其他证明材料；</w:t>
      </w:r>
    </w:p>
    <w:p>
      <w:pPr>
        <w:numPr>
          <w:ilvl w:val="0"/>
          <w:numId w:val="33"/>
        </w:numPr>
        <w:tabs>
          <w:tab w:val="left" w:pos="1134"/>
        </w:tabs>
        <w:spacing w:after="200"/>
        <w:ind w:left="0" w:firstLine="546"/>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投标人缴纳20</w:t>
      </w:r>
      <w:r>
        <w:rPr>
          <w:rFonts w:ascii="宋体" w:hAnsi="宋体"/>
          <w:color w:val="000000" w:themeColor="text1"/>
          <w:kern w:val="0"/>
          <w:sz w:val="28"/>
          <w:szCs w:val="28"/>
          <w14:textFill>
            <w14:solidFill>
              <w14:schemeClr w14:val="tx1"/>
            </w14:solidFill>
          </w14:textFill>
        </w:rPr>
        <w:t>20</w:t>
      </w:r>
      <w:r>
        <w:rPr>
          <w:rFonts w:hint="eastAsia" w:ascii="宋体" w:hAnsi="宋体"/>
          <w:color w:val="000000" w:themeColor="text1"/>
          <w:kern w:val="0"/>
          <w:sz w:val="28"/>
          <w:szCs w:val="28"/>
          <w14:textFill>
            <w14:solidFill>
              <w14:schemeClr w14:val="tx1"/>
            </w14:solidFill>
          </w14:textFill>
        </w:rPr>
        <w:t>年或20</w:t>
      </w:r>
      <w:r>
        <w:rPr>
          <w:rFonts w:ascii="宋体" w:hAnsi="宋体"/>
          <w:color w:val="000000" w:themeColor="text1"/>
          <w:kern w:val="0"/>
          <w:sz w:val="28"/>
          <w:szCs w:val="28"/>
          <w14:textFill>
            <w14:solidFill>
              <w14:schemeClr w14:val="tx1"/>
            </w14:solidFill>
          </w14:textFill>
        </w:rPr>
        <w:t>21</w:t>
      </w:r>
      <w:r>
        <w:rPr>
          <w:rFonts w:hint="eastAsia" w:ascii="宋体" w:hAnsi="宋体"/>
          <w:color w:val="000000" w:themeColor="text1"/>
          <w:kern w:val="0"/>
          <w:sz w:val="28"/>
          <w:szCs w:val="28"/>
          <w14:textFill>
            <w14:solidFill>
              <w14:schemeClr w14:val="tx1"/>
            </w14:solidFill>
          </w14:textFill>
        </w:rPr>
        <w:t>年任意时段的社保的银行电子回单或行政部门出具的社保缴纳证明材料复印件；</w:t>
      </w:r>
    </w:p>
    <w:p>
      <w:pPr>
        <w:numPr>
          <w:ilvl w:val="0"/>
          <w:numId w:val="33"/>
        </w:numPr>
        <w:tabs>
          <w:tab w:val="left" w:pos="1134"/>
        </w:tabs>
        <w:spacing w:after="200"/>
        <w:ind w:left="0" w:firstLine="546"/>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采购人对法律、行政法规规定的其他条件无其他特殊要求，投标人具有有效的营业执照或法人证书即可，可不提供其他证明材料。</w:t>
      </w:r>
    </w:p>
    <w:p>
      <w:pPr>
        <w:tabs>
          <w:tab w:val="left" w:pos="1134"/>
        </w:tabs>
        <w:spacing w:after="200"/>
        <w:ind w:left="546"/>
        <w:rPr>
          <w:rFonts w:ascii="宋体" w:hAnsi="宋体"/>
          <w:color w:val="000000" w:themeColor="text1"/>
          <w:kern w:val="0"/>
          <w:sz w:val="28"/>
          <w:szCs w:val="28"/>
          <w14:textFill>
            <w14:solidFill>
              <w14:schemeClr w14:val="tx1"/>
            </w14:solidFill>
          </w14:textFill>
        </w:rPr>
      </w:pPr>
    </w:p>
    <w:p>
      <w:pPr>
        <w:pStyle w:val="208"/>
        <w:rPr>
          <w:color w:val="000000" w:themeColor="text1"/>
          <w14:textFill>
            <w14:solidFill>
              <w14:schemeClr w14:val="tx1"/>
            </w14:solidFill>
          </w14:textFill>
        </w:rPr>
      </w:pPr>
    </w:p>
    <w:p>
      <w:pPr>
        <w:pStyle w:val="3"/>
        <w:numPr>
          <w:ilvl w:val="1"/>
          <w:numId w:val="3"/>
        </w:numPr>
        <w:spacing w:before="0" w:after="0" w:line="240" w:lineRule="auto"/>
        <w:ind w:left="2269" w:hanging="2269"/>
        <w:rPr>
          <w:color w:val="000000" w:themeColor="text1"/>
          <w14:textFill>
            <w14:solidFill>
              <w14:schemeClr w14:val="tx1"/>
            </w14:solidFill>
          </w14:textFill>
        </w:rPr>
      </w:pPr>
      <w:bookmarkStart w:id="205" w:name="_Toc77584652"/>
      <w:r>
        <w:rPr>
          <w:rFonts w:hint="eastAsia"/>
          <w:color w:val="000000" w:themeColor="text1"/>
          <w14:textFill>
            <w14:solidFill>
              <w14:schemeClr w14:val="tx1"/>
            </w14:solidFill>
          </w14:textFill>
        </w:rPr>
        <w:t>商务技术</w:t>
      </w:r>
      <w:r>
        <w:rPr>
          <w:color w:val="000000" w:themeColor="text1"/>
          <w14:textFill>
            <w14:solidFill>
              <w14:schemeClr w14:val="tx1"/>
            </w14:solidFill>
          </w14:textFill>
        </w:rPr>
        <w:t>响应文件</w:t>
      </w:r>
      <w:bookmarkEnd w:id="205"/>
    </w:p>
    <w:p>
      <w:pPr>
        <w:pStyle w:val="4"/>
        <w:numPr>
          <w:ilvl w:val="2"/>
          <w:numId w:val="3"/>
        </w:numPr>
        <w:spacing w:after="200"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投标函</w:t>
      </w:r>
      <w:bookmarkEnd w:id="196"/>
    </w:p>
    <w:p>
      <w:pPr>
        <w:pStyle w:val="25"/>
        <w:spacing w:after="0" w:line="500" w:lineRule="exact"/>
        <w:ind w:left="0" w:leftChars="0"/>
        <w:rPr>
          <w:rFonts w:ascii="宋体" w:hAnsi="宋体"/>
          <w:bCs/>
          <w:color w:val="000000" w:themeColor="text1"/>
          <w:sz w:val="28"/>
          <w:szCs w:val="28"/>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成都市青羊区政府采购服务中心：</w:t>
      </w:r>
    </w:p>
    <w:p>
      <w:pPr>
        <w:pStyle w:val="25"/>
        <w:spacing w:after="0" w:line="500" w:lineRule="exact"/>
        <w:ind w:left="0" w:leftChars="0" w:firstLine="560" w:firstLineChars="200"/>
        <w:rPr>
          <w:rFonts w:ascii="宋体" w:hAnsi="宋体"/>
          <w:bCs/>
          <w:color w:val="000000" w:themeColor="text1"/>
          <w:sz w:val="28"/>
          <w:szCs w:val="28"/>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我方全面研究了</w:t>
      </w:r>
      <w:r>
        <w:rPr>
          <w:rFonts w:hint="eastAsia" w:ascii="宋体" w:hAnsi="宋体"/>
          <w:b/>
          <w:color w:val="000000" w:themeColor="text1"/>
          <w:sz w:val="28"/>
          <w:szCs w:val="28"/>
          <w:u w:val="single"/>
          <w14:textFill>
            <w14:solidFill>
              <w14:schemeClr w14:val="tx1"/>
            </w14:solidFill>
          </w14:textFill>
        </w:rPr>
        <w:t>项目名称（项目编号：）</w:t>
      </w:r>
      <w:r>
        <w:rPr>
          <w:rFonts w:hint="eastAsia" w:ascii="宋体" w:hAnsi="宋体"/>
          <w:bCs/>
          <w:color w:val="000000" w:themeColor="text1"/>
          <w:sz w:val="28"/>
          <w:szCs w:val="28"/>
          <w14:textFill>
            <w14:solidFill>
              <w14:schemeClr w14:val="tx1"/>
            </w14:solidFill>
          </w14:textFill>
        </w:rPr>
        <w:t>招标文件，决定参加贵单位组织的本项目的投标。</w:t>
      </w:r>
    </w:p>
    <w:p>
      <w:pPr>
        <w:pStyle w:val="25"/>
        <w:spacing w:after="0" w:line="500" w:lineRule="exact"/>
        <w:ind w:left="0" w:leftChars="0"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我方自愿按照招标文件规定的各项要求向采购人提供所需服务，</w:t>
      </w:r>
      <w:r>
        <w:rPr>
          <w:rFonts w:hint="eastAsia" w:ascii="宋体" w:hAnsi="宋体"/>
          <w:b/>
          <w:color w:val="000000" w:themeColor="text1"/>
          <w:sz w:val="28"/>
          <w:szCs w:val="28"/>
          <w14:textFill>
            <w14:solidFill>
              <w14:schemeClr w14:val="tx1"/>
            </w14:solidFill>
          </w14:textFill>
        </w:rPr>
        <w:t>投标报价以《开标一览表》为准</w:t>
      </w:r>
      <w:r>
        <w:rPr>
          <w:rFonts w:hint="eastAsia" w:ascii="宋体" w:hAnsi="宋体"/>
          <w:color w:val="000000" w:themeColor="text1"/>
          <w:sz w:val="28"/>
          <w:szCs w:val="28"/>
          <w14:textFill>
            <w14:solidFill>
              <w14:schemeClr w14:val="tx1"/>
            </w14:solidFill>
          </w14:textFill>
        </w:rPr>
        <w:t>。</w:t>
      </w:r>
    </w:p>
    <w:p>
      <w:pPr>
        <w:numPr>
          <w:ilvl w:val="1"/>
          <w:numId w:val="34"/>
        </w:numPr>
        <w:tabs>
          <w:tab w:val="left" w:pos="1134"/>
        </w:tabs>
        <w:spacing w:after="200"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如果我方中标，我方将严格履行合同规定的责任和义务，否则将承担由此产生的一切责任。</w:t>
      </w:r>
    </w:p>
    <w:p>
      <w:pPr>
        <w:numPr>
          <w:ilvl w:val="1"/>
          <w:numId w:val="34"/>
        </w:numPr>
        <w:tabs>
          <w:tab w:val="left" w:pos="1134"/>
        </w:tabs>
        <w:spacing w:after="200"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我方已知晓全部招标文件的内容，包括修改文件（如有）以及全部相关资料和有关附件，并对上述文件均无异议。</w:t>
      </w:r>
    </w:p>
    <w:p>
      <w:pPr>
        <w:numPr>
          <w:ilvl w:val="1"/>
          <w:numId w:val="34"/>
        </w:numPr>
        <w:tabs>
          <w:tab w:val="left" w:pos="1134"/>
        </w:tabs>
        <w:spacing w:after="200"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投标有效期为从投标截止之日起120天。</w:t>
      </w:r>
    </w:p>
    <w:p>
      <w:pPr>
        <w:numPr>
          <w:ilvl w:val="1"/>
          <w:numId w:val="34"/>
        </w:numPr>
        <w:tabs>
          <w:tab w:val="left" w:pos="1134"/>
        </w:tabs>
        <w:spacing w:after="200"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我方愿意提供贵中心可能另外要求的，与投标有关的文件资料，并保证我方已提供和将要提供的文件资料是真实、准确的，并对此承担一切法律后果。</w:t>
      </w:r>
    </w:p>
    <w:p>
      <w:pPr>
        <w:numPr>
          <w:ilvl w:val="1"/>
          <w:numId w:val="34"/>
        </w:numPr>
        <w:tabs>
          <w:tab w:val="left" w:pos="1134"/>
        </w:tabs>
        <w:spacing w:after="200"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我单位联系方式：XXXX</w:t>
      </w:r>
    </w:p>
    <w:p>
      <w:pPr>
        <w:tabs>
          <w:tab w:val="left" w:pos="1134"/>
        </w:tabs>
        <w:spacing w:line="500" w:lineRule="exact"/>
        <w:ind w:left="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地    址：XXXX</w:t>
      </w:r>
    </w:p>
    <w:p>
      <w:pPr>
        <w:tabs>
          <w:tab w:val="left" w:pos="1134"/>
        </w:tabs>
        <w:spacing w:line="500" w:lineRule="exact"/>
        <w:ind w:left="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传    真：XXXX</w:t>
      </w:r>
    </w:p>
    <w:p>
      <w:pPr>
        <w:tabs>
          <w:tab w:val="left" w:pos="1134"/>
        </w:tabs>
        <w:spacing w:line="500" w:lineRule="exact"/>
        <w:ind w:left="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邮政编码：XXXX</w:t>
      </w:r>
    </w:p>
    <w:p>
      <w:pPr>
        <w:tabs>
          <w:tab w:val="left" w:pos="1134"/>
        </w:tabs>
        <w:spacing w:line="500" w:lineRule="exact"/>
        <w:ind w:left="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投标人名称：XXXX</w:t>
      </w:r>
    </w:p>
    <w:p>
      <w:pPr>
        <w:tabs>
          <w:tab w:val="left" w:pos="1134"/>
        </w:tabs>
        <w:spacing w:line="500" w:lineRule="exact"/>
        <w:ind w:left="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日    期：20XX年XX月XX日</w:t>
      </w:r>
    </w:p>
    <w:p>
      <w:pPr>
        <w:pStyle w:val="17"/>
        <w:rPr>
          <w:rFonts w:ascii="宋体" w:hAnsi="宋体"/>
          <w:color w:val="000000" w:themeColor="text1"/>
          <w:sz w:val="28"/>
          <w:szCs w:val="28"/>
          <w14:textFill>
            <w14:solidFill>
              <w14:schemeClr w14:val="tx1"/>
            </w14:solidFill>
          </w14:textFill>
        </w:rPr>
      </w:pPr>
    </w:p>
    <w:p>
      <w:pPr>
        <w:pStyle w:val="4"/>
        <w:numPr>
          <w:ilvl w:val="2"/>
          <w:numId w:val="3"/>
        </w:numPr>
        <w:spacing w:after="200" w:line="240" w:lineRule="auto"/>
        <w:rPr>
          <w:color w:val="000000" w:themeColor="text1"/>
          <w14:textFill>
            <w14:solidFill>
              <w14:schemeClr w14:val="tx1"/>
            </w14:solidFill>
          </w14:textFill>
        </w:rPr>
      </w:pPr>
      <w:bookmarkStart w:id="206" w:name="_Toc229802674"/>
      <w:bookmarkStart w:id="207" w:name="_Toc239849853"/>
      <w:bookmarkStart w:id="208" w:name="_Toc239846734"/>
      <w:bookmarkStart w:id="209" w:name="_Toc237145395"/>
      <w:bookmarkStart w:id="210" w:name="_Toc231030275"/>
      <w:bookmarkStart w:id="211" w:name="_Toc265494342"/>
      <w:bookmarkStart w:id="212" w:name="_Toc240367172"/>
      <w:bookmarkStart w:id="213" w:name="_Toc240865266"/>
      <w:bookmarkStart w:id="214" w:name="_Toc314574804"/>
      <w:r>
        <w:rPr>
          <w:rFonts w:hint="eastAsia"/>
          <w:color w:val="000000" w:themeColor="text1"/>
          <w14:textFill>
            <w14:solidFill>
              <w14:schemeClr w14:val="tx1"/>
            </w14:solidFill>
          </w14:textFill>
        </w:rPr>
        <w:t>法定代表人身份证明书</w:t>
      </w:r>
    </w:p>
    <w:p>
      <w:pPr>
        <w:tabs>
          <w:tab w:val="left" w:pos="6300"/>
        </w:tabs>
        <w:ind w:firstLine="573"/>
        <w:rPr>
          <w:rFonts w:ascii="宋体" w:hAnsi="宋体"/>
          <w:color w:val="000000" w:themeColor="text1"/>
          <w:sz w:val="28"/>
          <w:u w:val="single"/>
          <w:lang w:val="zh-CN"/>
          <w14:textFill>
            <w14:solidFill>
              <w14:schemeClr w14:val="tx1"/>
            </w14:solidFill>
          </w14:textFill>
        </w:rPr>
      </w:pPr>
    </w:p>
    <w:p>
      <w:pPr>
        <w:tabs>
          <w:tab w:val="left" w:pos="6300"/>
        </w:tabs>
        <w:ind w:firstLine="573"/>
        <w:rPr>
          <w:rFonts w:ascii="宋体" w:hAnsi="宋体"/>
          <w:color w:val="000000" w:themeColor="text1"/>
          <w:sz w:val="28"/>
          <w:lang w:val="zh-CN"/>
          <w14:textFill>
            <w14:solidFill>
              <w14:schemeClr w14:val="tx1"/>
            </w14:solidFill>
          </w14:textFill>
        </w:rPr>
      </w:pPr>
      <w:r>
        <w:rPr>
          <w:rFonts w:hint="eastAsia" w:ascii="宋体" w:hAnsi="宋体"/>
          <w:color w:val="000000" w:themeColor="text1"/>
          <w:sz w:val="28"/>
          <w:szCs w:val="28"/>
          <w:u w:val="single"/>
          <w14:textFill>
            <w14:solidFill>
              <w14:schemeClr w14:val="tx1"/>
            </w14:solidFill>
          </w14:textFill>
        </w:rPr>
        <w:t>XXXX</w:t>
      </w:r>
      <w:r>
        <w:rPr>
          <w:rFonts w:hint="eastAsia" w:ascii="宋体" w:hAnsi="宋体"/>
          <w:color w:val="000000" w:themeColor="text1"/>
          <w:sz w:val="28"/>
          <w:u w:val="single"/>
          <w:lang w:val="zh-CN"/>
          <w14:textFill>
            <w14:solidFill>
              <w14:schemeClr w14:val="tx1"/>
            </w14:solidFill>
          </w14:textFill>
        </w:rPr>
        <w:t>（法定代表人姓名）</w:t>
      </w:r>
      <w:r>
        <w:rPr>
          <w:rFonts w:hint="eastAsia" w:ascii="宋体" w:hAnsi="宋体"/>
          <w:color w:val="000000" w:themeColor="text1"/>
          <w:sz w:val="28"/>
          <w:lang w:val="zh-CN"/>
          <w14:textFill>
            <w14:solidFill>
              <w14:schemeClr w14:val="tx1"/>
            </w14:solidFill>
          </w14:textFill>
        </w:rPr>
        <w:t>在</w:t>
      </w:r>
      <w:r>
        <w:rPr>
          <w:rFonts w:hint="eastAsia" w:ascii="宋体" w:hAnsi="宋体"/>
          <w:color w:val="000000" w:themeColor="text1"/>
          <w:sz w:val="28"/>
          <w:szCs w:val="28"/>
          <w:u w:val="single"/>
          <w14:textFill>
            <w14:solidFill>
              <w14:schemeClr w14:val="tx1"/>
            </w14:solidFill>
          </w14:textFill>
        </w:rPr>
        <w:t>XXXX</w:t>
      </w:r>
      <w:r>
        <w:rPr>
          <w:rFonts w:hint="eastAsia" w:ascii="宋体" w:hAnsi="宋体"/>
          <w:color w:val="000000" w:themeColor="text1"/>
          <w:sz w:val="28"/>
          <w:u w:val="single"/>
          <w:lang w:val="zh-CN"/>
          <w14:textFill>
            <w14:solidFill>
              <w14:schemeClr w14:val="tx1"/>
            </w14:solidFill>
          </w14:textFill>
        </w:rPr>
        <w:t xml:space="preserve"> （投标人名称）</w:t>
      </w:r>
      <w:r>
        <w:rPr>
          <w:rFonts w:hint="eastAsia" w:ascii="宋体" w:hAnsi="宋体"/>
          <w:color w:val="000000" w:themeColor="text1"/>
          <w:sz w:val="28"/>
          <w:lang w:val="zh-CN"/>
          <w14:textFill>
            <w14:solidFill>
              <w14:schemeClr w14:val="tx1"/>
            </w14:solidFill>
          </w14:textFill>
        </w:rPr>
        <w:t>处任</w:t>
      </w:r>
      <w:r>
        <w:rPr>
          <w:rFonts w:hint="eastAsia" w:ascii="宋体" w:hAnsi="宋体"/>
          <w:color w:val="000000" w:themeColor="text1"/>
          <w:sz w:val="28"/>
          <w:u w:val="single"/>
          <w:lang w:val="zh-CN"/>
          <w14:textFill>
            <w14:solidFill>
              <w14:schemeClr w14:val="tx1"/>
            </w14:solidFill>
          </w14:textFill>
        </w:rPr>
        <w:t xml:space="preserve">         XXXX（职务名称）</w:t>
      </w:r>
      <w:r>
        <w:rPr>
          <w:rFonts w:hint="eastAsia" w:ascii="宋体" w:hAnsi="宋体"/>
          <w:color w:val="000000" w:themeColor="text1"/>
          <w:sz w:val="28"/>
          <w:lang w:val="zh-CN"/>
          <w14:textFill>
            <w14:solidFill>
              <w14:schemeClr w14:val="tx1"/>
            </w14:solidFill>
          </w14:textFill>
        </w:rPr>
        <w:t>职务，是</w:t>
      </w:r>
      <w:r>
        <w:rPr>
          <w:rFonts w:hint="eastAsia" w:ascii="宋体" w:hAnsi="宋体"/>
          <w:color w:val="000000" w:themeColor="text1"/>
          <w:sz w:val="28"/>
          <w:szCs w:val="28"/>
          <w:u w:val="single"/>
          <w14:textFill>
            <w14:solidFill>
              <w14:schemeClr w14:val="tx1"/>
            </w14:solidFill>
          </w14:textFill>
        </w:rPr>
        <w:t>XXXX</w:t>
      </w:r>
      <w:r>
        <w:rPr>
          <w:rFonts w:hint="eastAsia" w:ascii="宋体" w:hAnsi="宋体"/>
          <w:color w:val="000000" w:themeColor="text1"/>
          <w:sz w:val="28"/>
          <w:u w:val="single"/>
          <w:lang w:val="zh-CN"/>
          <w14:textFill>
            <w14:solidFill>
              <w14:schemeClr w14:val="tx1"/>
            </w14:solidFill>
          </w14:textFill>
        </w:rPr>
        <w:t>（投标人名称）</w:t>
      </w:r>
      <w:r>
        <w:rPr>
          <w:rFonts w:hint="eastAsia" w:ascii="宋体" w:hAnsi="宋体"/>
          <w:color w:val="000000" w:themeColor="text1"/>
          <w:sz w:val="28"/>
          <w:lang w:val="zh-CN"/>
          <w14:textFill>
            <w14:solidFill>
              <w14:schemeClr w14:val="tx1"/>
            </w14:solidFill>
          </w14:textFill>
        </w:rPr>
        <w:t>的法定代表人。</w:t>
      </w:r>
    </w:p>
    <w:p>
      <w:pPr>
        <w:tabs>
          <w:tab w:val="left" w:pos="6300"/>
        </w:tabs>
        <w:rPr>
          <w:rFonts w:ascii="宋体" w:hAnsi="宋体"/>
          <w:color w:val="000000" w:themeColor="text1"/>
          <w:sz w:val="28"/>
          <w:lang w:val="zh-CN"/>
          <w14:textFill>
            <w14:solidFill>
              <w14:schemeClr w14:val="tx1"/>
            </w14:solidFill>
          </w14:textFill>
        </w:rPr>
      </w:pPr>
    </w:p>
    <w:p>
      <w:pPr>
        <w:tabs>
          <w:tab w:val="left" w:pos="6300"/>
        </w:tabs>
        <w:rPr>
          <w:rFonts w:ascii="宋体" w:hAnsi="宋体"/>
          <w:color w:val="000000" w:themeColor="text1"/>
          <w:sz w:val="28"/>
          <w:lang w:val="zh-CN"/>
          <w14:textFill>
            <w14:solidFill>
              <w14:schemeClr w14:val="tx1"/>
            </w14:solidFill>
          </w14:textFill>
        </w:rPr>
      </w:pPr>
    </w:p>
    <w:p>
      <w:pPr>
        <w:tabs>
          <w:tab w:val="left" w:pos="6300"/>
        </w:tabs>
        <w:rPr>
          <w:rFonts w:ascii="宋体" w:hAnsi="宋体"/>
          <w:color w:val="000000" w:themeColor="text1"/>
          <w:sz w:val="28"/>
          <w:lang w:val="zh-CN"/>
          <w14:textFill>
            <w14:solidFill>
              <w14:schemeClr w14:val="tx1"/>
            </w14:solidFill>
          </w14:textFill>
        </w:rPr>
      </w:pPr>
    </w:p>
    <w:p>
      <w:pPr>
        <w:tabs>
          <w:tab w:val="left" w:pos="6300"/>
        </w:tabs>
        <w:rPr>
          <w:rFonts w:ascii="宋体" w:hAnsi="宋体"/>
          <w:color w:val="000000" w:themeColor="text1"/>
          <w:sz w:val="28"/>
          <w:lang w:val="zh-CN"/>
          <w14:textFill>
            <w14:solidFill>
              <w14:schemeClr w14:val="tx1"/>
            </w14:solidFill>
          </w14:textFill>
        </w:rPr>
      </w:pPr>
    </w:p>
    <w:p>
      <w:pPr>
        <w:tabs>
          <w:tab w:val="left" w:pos="6300"/>
        </w:tabs>
        <w:rPr>
          <w:rFonts w:ascii="宋体" w:hAnsi="宋体"/>
          <w:color w:val="000000" w:themeColor="text1"/>
          <w:sz w:val="28"/>
          <w:lang w:val="zh-CN"/>
          <w14:textFill>
            <w14:solidFill>
              <w14:schemeClr w14:val="tx1"/>
            </w14:solidFill>
          </w14:textFill>
        </w:rPr>
      </w:pPr>
    </w:p>
    <w:p>
      <w:pPr>
        <w:tabs>
          <w:tab w:val="left" w:pos="6300"/>
        </w:tabs>
        <w:rPr>
          <w:rFonts w:ascii="宋体" w:hAnsi="宋体"/>
          <w:color w:val="000000" w:themeColor="text1"/>
          <w:sz w:val="28"/>
          <w:lang w:val="zh-CN"/>
          <w14:textFill>
            <w14:solidFill>
              <w14:schemeClr w14:val="tx1"/>
            </w14:solidFill>
          </w14:textFill>
        </w:rPr>
      </w:pPr>
    </w:p>
    <w:p>
      <w:pPr>
        <w:tabs>
          <w:tab w:val="left" w:pos="6300"/>
        </w:tabs>
        <w:ind w:firstLine="573"/>
        <w:rPr>
          <w:rFonts w:ascii="宋体" w:hAnsi="宋体"/>
          <w:color w:val="000000" w:themeColor="text1"/>
          <w:sz w:val="28"/>
          <w:lang w:val="zh-CN"/>
          <w14:textFill>
            <w14:solidFill>
              <w14:schemeClr w14:val="tx1"/>
            </w14:solidFill>
          </w14:textFill>
        </w:rPr>
      </w:pPr>
    </w:p>
    <w:p>
      <w:pPr>
        <w:tabs>
          <w:tab w:val="left" w:pos="6300"/>
        </w:tabs>
        <w:ind w:firstLine="573"/>
        <w:rPr>
          <w:rFonts w:ascii="宋体" w:hAnsi="宋体"/>
          <w:color w:val="000000" w:themeColor="text1"/>
          <w:sz w:val="28"/>
          <w:lang w:val="zh-CN"/>
          <w14:textFill>
            <w14:solidFill>
              <w14:schemeClr w14:val="tx1"/>
            </w14:solidFill>
          </w14:textFill>
        </w:rPr>
      </w:pPr>
      <w:bookmarkStart w:id="215" w:name="_Toc263768866"/>
      <w:r>
        <w:rPr>
          <w:rFonts w:hint="eastAsia" w:ascii="宋体" w:hAnsi="宋体"/>
          <w:color w:val="000000" w:themeColor="text1"/>
          <w:sz w:val="28"/>
          <w:lang w:val="zh-CN"/>
          <w14:textFill>
            <w14:solidFill>
              <w14:schemeClr w14:val="tx1"/>
            </w14:solidFill>
          </w14:textFill>
        </w:rPr>
        <w:t>特此证明。</w:t>
      </w:r>
      <w:bookmarkEnd w:id="215"/>
    </w:p>
    <w:p>
      <w:pPr>
        <w:tabs>
          <w:tab w:val="left" w:pos="6300"/>
        </w:tabs>
        <w:rPr>
          <w:rFonts w:ascii="宋体" w:hAnsi="宋体"/>
          <w:color w:val="000000" w:themeColor="text1"/>
          <w:sz w:val="28"/>
          <w:lang w:val="zh-CN"/>
          <w14:textFill>
            <w14:solidFill>
              <w14:schemeClr w14:val="tx1"/>
            </w14:solidFill>
          </w14:textFill>
        </w:rPr>
      </w:pPr>
    </w:p>
    <w:p>
      <w:pPr>
        <w:tabs>
          <w:tab w:val="left" w:pos="6300"/>
        </w:tabs>
        <w:rPr>
          <w:rFonts w:ascii="宋体" w:hAnsi="宋体"/>
          <w:color w:val="000000" w:themeColor="text1"/>
          <w:sz w:val="28"/>
          <w:lang w:val="zh-CN"/>
          <w14:textFill>
            <w14:solidFill>
              <w14:schemeClr w14:val="tx1"/>
            </w14:solidFill>
          </w14:textFill>
        </w:rPr>
      </w:pPr>
    </w:p>
    <w:p>
      <w:pPr>
        <w:ind w:firstLine="560" w:firstLineChars="200"/>
        <w:rPr>
          <w:rFonts w:ascii="宋体" w:hAnsi="宋体"/>
          <w:color w:val="000000" w:themeColor="text1"/>
          <w:sz w:val="28"/>
          <w:lang w:val="zh-CN"/>
          <w14:textFill>
            <w14:solidFill>
              <w14:schemeClr w14:val="tx1"/>
            </w14:solidFill>
          </w14:textFill>
        </w:rPr>
      </w:pPr>
      <w:r>
        <w:rPr>
          <w:rFonts w:hint="eastAsia" w:ascii="宋体" w:hAnsi="宋体"/>
          <w:color w:val="000000" w:themeColor="text1"/>
          <w:sz w:val="28"/>
          <w:lang w:val="zh-CN"/>
          <w14:textFill>
            <w14:solidFill>
              <w14:schemeClr w14:val="tx1"/>
            </w14:solidFill>
          </w14:textFill>
        </w:rPr>
        <w:t>投标人名称：</w:t>
      </w:r>
      <w:r>
        <w:rPr>
          <w:rFonts w:hint="eastAsia" w:ascii="宋体" w:hAnsi="宋体"/>
          <w:color w:val="000000" w:themeColor="text1"/>
          <w:sz w:val="28"/>
          <w:szCs w:val="28"/>
          <w14:textFill>
            <w14:solidFill>
              <w14:schemeClr w14:val="tx1"/>
            </w14:solidFill>
          </w14:textFill>
        </w:rPr>
        <w:t>XXXX</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14:textFill>
            <w14:solidFill>
              <w14:schemeClr w14:val="tx1"/>
            </w14:solidFill>
          </w14:textFill>
        </w:rPr>
        <w:t>日期：</w:t>
      </w:r>
      <w:r>
        <w:rPr>
          <w:rFonts w:hint="eastAsia" w:ascii="宋体" w:hAnsi="宋体"/>
          <w:color w:val="000000" w:themeColor="text1"/>
          <w:sz w:val="28"/>
          <w:szCs w:val="28"/>
          <w14:textFill>
            <w14:solidFill>
              <w14:schemeClr w14:val="tx1"/>
            </w14:solidFill>
          </w14:textFill>
        </w:rPr>
        <w:t>20XX</w:t>
      </w:r>
      <w:r>
        <w:rPr>
          <w:rFonts w:hint="eastAsia" w:ascii="宋体" w:hAnsi="宋体"/>
          <w:color w:val="000000" w:themeColor="text1"/>
          <w:sz w:val="28"/>
          <w14:textFill>
            <w14:solidFill>
              <w14:schemeClr w14:val="tx1"/>
            </w14:solidFill>
          </w14:textFill>
        </w:rPr>
        <w:t xml:space="preserve"> 年</w:t>
      </w:r>
      <w:r>
        <w:rPr>
          <w:rFonts w:hint="eastAsia" w:ascii="宋体" w:hAnsi="宋体"/>
          <w:color w:val="000000" w:themeColor="text1"/>
          <w:sz w:val="28"/>
          <w:szCs w:val="28"/>
          <w14:textFill>
            <w14:solidFill>
              <w14:schemeClr w14:val="tx1"/>
            </w14:solidFill>
          </w14:textFill>
        </w:rPr>
        <w:t>XX</w:t>
      </w:r>
      <w:r>
        <w:rPr>
          <w:rFonts w:hint="eastAsia" w:ascii="宋体" w:hAnsi="宋体"/>
          <w:color w:val="000000" w:themeColor="text1"/>
          <w:sz w:val="28"/>
          <w14:textFill>
            <w14:solidFill>
              <w14:schemeClr w14:val="tx1"/>
            </w14:solidFill>
          </w14:textFill>
        </w:rPr>
        <w:t>月</w:t>
      </w:r>
      <w:r>
        <w:rPr>
          <w:rFonts w:hint="eastAsia" w:ascii="宋体" w:hAnsi="宋体"/>
          <w:color w:val="000000" w:themeColor="text1"/>
          <w:sz w:val="28"/>
          <w:szCs w:val="28"/>
          <w14:textFill>
            <w14:solidFill>
              <w14:schemeClr w14:val="tx1"/>
            </w14:solidFill>
          </w14:textFill>
        </w:rPr>
        <w:t>XX</w:t>
      </w:r>
      <w:r>
        <w:rPr>
          <w:rFonts w:hint="eastAsia" w:ascii="宋体" w:hAnsi="宋体"/>
          <w:color w:val="000000" w:themeColor="text1"/>
          <w:sz w:val="28"/>
          <w14:textFill>
            <w14:solidFill>
              <w14:schemeClr w14:val="tx1"/>
            </w14:solidFill>
          </w14:textFill>
        </w:rPr>
        <w:t>日</w:t>
      </w:r>
    </w:p>
    <w:p>
      <w:pPr>
        <w:tabs>
          <w:tab w:val="left" w:pos="6300"/>
        </w:tabs>
        <w:rPr>
          <w:rFonts w:ascii="宋体" w:hAnsi="宋体"/>
          <w:b/>
          <w:color w:val="000000" w:themeColor="text1"/>
          <w:sz w:val="28"/>
          <w:u w:val="single"/>
          <w:lang w:val="zh-CN"/>
          <w14:textFill>
            <w14:solidFill>
              <w14:schemeClr w14:val="tx1"/>
            </w14:solidFill>
          </w14:textFill>
        </w:rPr>
      </w:pPr>
    </w:p>
    <w:p>
      <w:pPr>
        <w:pStyle w:val="12"/>
        <w:spacing w:line="240" w:lineRule="auto"/>
        <w:ind w:firstLine="568" w:firstLineChars="202"/>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说明：上述证明文件在投标文件中附有法定代表人身份证复印件（身份证两面均应复印）或护照复印件（供应商的法定代表人为外籍人士的，则提供护照复印件）时才能生效。</w:t>
      </w:r>
    </w:p>
    <w:bookmarkEnd w:id="206"/>
    <w:bookmarkEnd w:id="207"/>
    <w:bookmarkEnd w:id="208"/>
    <w:bookmarkEnd w:id="209"/>
    <w:bookmarkEnd w:id="210"/>
    <w:bookmarkEnd w:id="211"/>
    <w:bookmarkEnd w:id="212"/>
    <w:bookmarkEnd w:id="213"/>
    <w:bookmarkEnd w:id="214"/>
    <w:p>
      <w:pPr>
        <w:ind w:firstLine="563"/>
        <w:rPr>
          <w:rFonts w:ascii="宋体" w:hAnsi="宋体"/>
          <w:b/>
          <w:color w:val="000000" w:themeColor="text1"/>
          <w:kern w:val="0"/>
          <w:sz w:val="28"/>
          <w:szCs w:val="28"/>
          <w14:textFill>
            <w14:solidFill>
              <w14:schemeClr w14:val="tx1"/>
            </w14:solidFill>
          </w14:textFill>
        </w:rPr>
      </w:pPr>
      <w:bookmarkStart w:id="216" w:name="_Toc302997926"/>
      <w:bookmarkStart w:id="217" w:name="_Toc263768870"/>
      <w:bookmarkStart w:id="218" w:name="_Toc220299393"/>
      <w:bookmarkStart w:id="219" w:name="_Toc263753605"/>
      <w:bookmarkStart w:id="220" w:name="_Toc217446083"/>
    </w:p>
    <w:p>
      <w:pPr>
        <w:pStyle w:val="208"/>
        <w:rPr>
          <w:color w:val="000000" w:themeColor="text1"/>
          <w14:textFill>
            <w14:solidFill>
              <w14:schemeClr w14:val="tx1"/>
            </w14:solidFill>
          </w14:textFill>
        </w:rPr>
      </w:pPr>
    </w:p>
    <w:p>
      <w:pPr>
        <w:pStyle w:val="4"/>
        <w:numPr>
          <w:ilvl w:val="2"/>
          <w:numId w:val="3"/>
        </w:numPr>
        <w:spacing w:after="200"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投标人基本情况表</w:t>
      </w:r>
      <w:bookmarkEnd w:id="216"/>
    </w:p>
    <w:tbl>
      <w:tblPr>
        <w:tblStyle w:val="43"/>
        <w:tblW w:w="8520"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977"/>
        <w:gridCol w:w="1215"/>
        <w:gridCol w:w="1248"/>
        <w:gridCol w:w="8"/>
        <w:gridCol w:w="1318"/>
        <w:gridCol w:w="160"/>
        <w:gridCol w:w="1012"/>
        <w:gridCol w:w="1067"/>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516" w:type="dxa"/>
            <w:tcBorders>
              <w:top w:val="double" w:color="auto" w:sz="4" w:space="0"/>
              <w:left w:val="double" w:color="auto" w:sz="4"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投标人名称</w:t>
            </w:r>
          </w:p>
        </w:tc>
        <w:tc>
          <w:tcPr>
            <w:tcW w:w="7006" w:type="dxa"/>
            <w:gridSpan w:val="8"/>
            <w:tcBorders>
              <w:top w:val="double" w:color="auto" w:sz="4" w:space="0"/>
              <w:left w:val="single" w:color="auto" w:sz="6" w:space="0"/>
              <w:bottom w:val="single" w:color="auto" w:sz="6" w:space="0"/>
              <w:right w:val="double" w:color="auto" w:sz="4"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注册地址</w:t>
            </w:r>
          </w:p>
        </w:tc>
        <w:tc>
          <w:tcPr>
            <w:tcW w:w="3449" w:type="dxa"/>
            <w:gridSpan w:val="4"/>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p>
        </w:tc>
        <w:tc>
          <w:tcPr>
            <w:tcW w:w="131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邮政编码</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16" w:type="dxa"/>
            <w:vMerge w:val="restart"/>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联系方式</w:t>
            </w: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联系人</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电话</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48" w:hRule="atLeast"/>
          <w:jc w:val="center"/>
        </w:trPr>
        <w:tc>
          <w:tcPr>
            <w:tcW w:w="1516" w:type="dxa"/>
            <w:vMerge w:val="continue"/>
            <w:tcBorders>
              <w:top w:val="single" w:color="auto" w:sz="6" w:space="0"/>
              <w:left w:val="double" w:color="auto" w:sz="4" w:space="0"/>
              <w:bottom w:val="single" w:color="auto" w:sz="6" w:space="0"/>
              <w:right w:val="single" w:color="auto" w:sz="6" w:space="0"/>
            </w:tcBorders>
            <w:vAlign w:val="center"/>
          </w:tcPr>
          <w:p>
            <w:pPr>
              <w:widowControl/>
              <w:jc w:val="left"/>
              <w:rPr>
                <w:rFonts w:ascii="宋体" w:hAnsi="宋体"/>
                <w:color w:val="000000" w:themeColor="text1"/>
                <w:kern w:val="0"/>
                <w:szCs w:val="21"/>
                <w14:textFill>
                  <w14:solidFill>
                    <w14:schemeClr w14:val="tx1"/>
                  </w14:solidFill>
                </w14:textFill>
              </w:rPr>
            </w:pP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传真</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网址</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单位性质</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法定代表人</w:t>
            </w: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姓名</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p>
        </w:tc>
        <w:tc>
          <w:tcPr>
            <w:tcW w:w="124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技术职称</w:t>
            </w: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p>
        </w:tc>
        <w:tc>
          <w:tcPr>
            <w:tcW w:w="1172"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电话</w:t>
            </w:r>
          </w:p>
        </w:tc>
        <w:tc>
          <w:tcPr>
            <w:tcW w:w="1067" w:type="dxa"/>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jc w:val="center"/>
              <w:rPr>
                <w:rFonts w:ascii="宋体" w:hAnsi="宋体"/>
                <w:bCs/>
                <w:color w:val="000000" w:themeColor="text1"/>
                <w:kern w:val="0"/>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12" w:hRule="atLeast"/>
          <w:jc w:val="center"/>
        </w:trPr>
        <w:tc>
          <w:tcPr>
            <w:tcW w:w="1516" w:type="dxa"/>
            <w:tcBorders>
              <w:top w:val="single" w:color="auto" w:sz="6" w:space="0"/>
              <w:left w:val="double" w:color="auto" w:sz="4" w:space="0"/>
              <w:bottom w:val="single" w:color="auto" w:sz="4" w:space="0"/>
              <w:right w:val="single" w:color="auto" w:sz="6"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技术负责人</w:t>
            </w:r>
          </w:p>
        </w:tc>
        <w:tc>
          <w:tcPr>
            <w:tcW w:w="97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姓名</w:t>
            </w:r>
          </w:p>
        </w:tc>
        <w:tc>
          <w:tcPr>
            <w:tcW w:w="1215"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p>
        </w:tc>
        <w:tc>
          <w:tcPr>
            <w:tcW w:w="124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技术职称</w:t>
            </w:r>
          </w:p>
        </w:tc>
        <w:tc>
          <w:tcPr>
            <w:tcW w:w="1326" w:type="dxa"/>
            <w:gridSpan w:val="2"/>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p>
        </w:tc>
        <w:tc>
          <w:tcPr>
            <w:tcW w:w="1172" w:type="dxa"/>
            <w:gridSpan w:val="2"/>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电话</w:t>
            </w:r>
          </w:p>
        </w:tc>
        <w:tc>
          <w:tcPr>
            <w:tcW w:w="1067" w:type="dxa"/>
            <w:tcBorders>
              <w:top w:val="single" w:color="auto" w:sz="6" w:space="0"/>
              <w:left w:val="single" w:color="auto" w:sz="6" w:space="0"/>
              <w:bottom w:val="single" w:color="auto" w:sz="4" w:space="0"/>
              <w:right w:val="double" w:color="auto" w:sz="4" w:space="0"/>
            </w:tcBorders>
            <w:vAlign w:val="center"/>
          </w:tcPr>
          <w:p>
            <w:pPr>
              <w:autoSpaceDE w:val="0"/>
              <w:autoSpaceDN w:val="0"/>
              <w:adjustRightInd w:val="0"/>
              <w:jc w:val="center"/>
              <w:rPr>
                <w:rFonts w:ascii="宋体" w:hAnsi="宋体"/>
                <w:bCs/>
                <w:color w:val="000000" w:themeColor="text1"/>
                <w:kern w:val="0"/>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atLeast"/>
          <w:jc w:val="center"/>
        </w:trPr>
        <w:tc>
          <w:tcPr>
            <w:tcW w:w="1516" w:type="dxa"/>
            <w:tcBorders>
              <w:top w:val="single" w:color="auto" w:sz="4" w:space="0"/>
              <w:left w:val="double" w:color="auto" w:sz="4"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财务负责人</w:t>
            </w:r>
          </w:p>
        </w:tc>
        <w:tc>
          <w:tcPr>
            <w:tcW w:w="978"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姓名</w:t>
            </w:r>
          </w:p>
        </w:tc>
        <w:tc>
          <w:tcPr>
            <w:tcW w:w="1215"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p>
        </w:tc>
        <w:tc>
          <w:tcPr>
            <w:tcW w:w="1248"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技术职称</w:t>
            </w:r>
          </w:p>
        </w:tc>
        <w:tc>
          <w:tcPr>
            <w:tcW w:w="1326"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p>
        </w:tc>
        <w:tc>
          <w:tcPr>
            <w:tcW w:w="1172"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电话</w:t>
            </w:r>
          </w:p>
        </w:tc>
        <w:tc>
          <w:tcPr>
            <w:tcW w:w="1067" w:type="dxa"/>
            <w:tcBorders>
              <w:top w:val="single" w:color="auto" w:sz="4" w:space="0"/>
              <w:left w:val="single" w:color="auto" w:sz="6" w:space="0"/>
              <w:bottom w:val="single" w:color="auto" w:sz="6" w:space="0"/>
              <w:right w:val="double" w:color="auto" w:sz="4" w:space="0"/>
            </w:tcBorders>
            <w:vAlign w:val="center"/>
          </w:tcPr>
          <w:p>
            <w:pPr>
              <w:autoSpaceDE w:val="0"/>
              <w:autoSpaceDN w:val="0"/>
              <w:adjustRightInd w:val="0"/>
              <w:jc w:val="center"/>
              <w:rPr>
                <w:rFonts w:ascii="宋体" w:hAnsi="宋体"/>
                <w:bCs/>
                <w:color w:val="000000" w:themeColor="text1"/>
                <w:kern w:val="0"/>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成立时间</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p>
        </w:tc>
        <w:tc>
          <w:tcPr>
            <w:tcW w:w="4813" w:type="dxa"/>
            <w:gridSpan w:val="6"/>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ind w:firstLine="1470" w:firstLineChars="700"/>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员工总人数：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企业资质等级</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p>
        </w:tc>
        <w:tc>
          <w:tcPr>
            <w:tcW w:w="1248"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其中</w:t>
            </w: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项目经理</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jc w:val="center"/>
              <w:rPr>
                <w:rFonts w:ascii="宋体" w:hAnsi="宋体"/>
                <w:bCs/>
                <w:color w:val="000000" w:themeColor="text1"/>
                <w:kern w:val="0"/>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营业执照号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p>
        </w:tc>
        <w:tc>
          <w:tcPr>
            <w:tcW w:w="4813"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color w:val="000000" w:themeColor="text1"/>
                <w:kern w:val="0"/>
                <w:szCs w:val="21"/>
                <w14:textFill>
                  <w14:solidFill>
                    <w14:schemeClr w14:val="tx1"/>
                  </w14:solidFill>
                </w14:textFill>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高级职称人员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jc w:val="center"/>
              <w:rPr>
                <w:rFonts w:ascii="宋体" w:hAnsi="宋体"/>
                <w:bCs/>
                <w:color w:val="000000" w:themeColor="text1"/>
                <w:kern w:val="0"/>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注册资金</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p>
        </w:tc>
        <w:tc>
          <w:tcPr>
            <w:tcW w:w="4813"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color w:val="000000" w:themeColor="text1"/>
                <w:kern w:val="0"/>
                <w:szCs w:val="21"/>
                <w14:textFill>
                  <w14:solidFill>
                    <w14:schemeClr w14:val="tx1"/>
                  </w14:solidFill>
                </w14:textFill>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中级职称人员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jc w:val="center"/>
              <w:rPr>
                <w:rFonts w:ascii="宋体" w:hAnsi="宋体"/>
                <w:bCs/>
                <w:color w:val="000000" w:themeColor="text1"/>
                <w:kern w:val="0"/>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开户银行</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p>
        </w:tc>
        <w:tc>
          <w:tcPr>
            <w:tcW w:w="4813"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color w:val="000000" w:themeColor="text1"/>
                <w:kern w:val="0"/>
                <w:szCs w:val="21"/>
                <w14:textFill>
                  <w14:solidFill>
                    <w14:schemeClr w14:val="tx1"/>
                  </w14:solidFill>
                </w14:textFill>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初级职称人员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jc w:val="center"/>
              <w:rPr>
                <w:rFonts w:ascii="宋体" w:hAnsi="宋体"/>
                <w:bCs/>
                <w:color w:val="000000" w:themeColor="text1"/>
                <w:kern w:val="0"/>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账号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p>
        </w:tc>
        <w:tc>
          <w:tcPr>
            <w:tcW w:w="4813"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color w:val="000000" w:themeColor="text1"/>
                <w:kern w:val="0"/>
                <w:szCs w:val="21"/>
                <w14:textFill>
                  <w14:solidFill>
                    <w14:schemeClr w14:val="tx1"/>
                  </w14:solidFill>
                </w14:textFill>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技工</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jc w:val="center"/>
              <w:rPr>
                <w:rFonts w:ascii="宋体" w:hAnsi="宋体"/>
                <w:bCs/>
                <w:color w:val="000000" w:themeColor="text1"/>
                <w:kern w:val="0"/>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937"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经营范围</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rPr>
                <w:rFonts w:ascii="宋体" w:hAnsi="宋体"/>
                <w:bCs/>
                <w:color w:val="000000" w:themeColor="text1"/>
                <w:kern w:val="0"/>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2" w:hRule="atLeast"/>
          <w:jc w:val="center"/>
        </w:trPr>
        <w:tc>
          <w:tcPr>
            <w:tcW w:w="1516" w:type="dxa"/>
            <w:tcBorders>
              <w:top w:val="single" w:color="auto" w:sz="6" w:space="0"/>
              <w:left w:val="double" w:color="auto" w:sz="4" w:space="0"/>
              <w:bottom w:val="double" w:color="auto" w:sz="4" w:space="0"/>
              <w:right w:val="single" w:color="auto" w:sz="6" w:space="0"/>
            </w:tcBorders>
          </w:tcPr>
          <w:p>
            <w:pPr>
              <w:autoSpaceDE w:val="0"/>
              <w:autoSpaceDN w:val="0"/>
              <w:adjustRightInd w:val="0"/>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备注</w:t>
            </w:r>
          </w:p>
        </w:tc>
        <w:tc>
          <w:tcPr>
            <w:tcW w:w="7006" w:type="dxa"/>
            <w:gridSpan w:val="8"/>
            <w:tcBorders>
              <w:top w:val="single" w:color="auto" w:sz="6" w:space="0"/>
              <w:left w:val="single" w:color="auto" w:sz="6" w:space="0"/>
              <w:bottom w:val="double" w:color="auto" w:sz="4" w:space="0"/>
              <w:right w:val="double" w:color="auto" w:sz="4" w:space="0"/>
            </w:tcBorders>
          </w:tcPr>
          <w:p>
            <w:pPr>
              <w:autoSpaceDE w:val="0"/>
              <w:autoSpaceDN w:val="0"/>
              <w:adjustRightInd w:val="0"/>
              <w:jc w:val="left"/>
              <w:rPr>
                <w:rFonts w:ascii="宋体" w:hAnsi="宋体"/>
                <w:color w:val="000000" w:themeColor="text1"/>
                <w:kern w:val="0"/>
                <w:szCs w:val="21"/>
                <w14:textFill>
                  <w14:solidFill>
                    <w14:schemeClr w14:val="tx1"/>
                  </w14:solidFill>
                </w14:textFill>
              </w:rPr>
            </w:pPr>
          </w:p>
        </w:tc>
      </w:tr>
    </w:tbl>
    <w:p>
      <w:pPr>
        <w:adjustRightInd w:val="0"/>
        <w:jc w:val="left"/>
        <w:rPr>
          <w:rFonts w:ascii="宋体" w:hAnsi="宋体"/>
          <w:bCs/>
          <w:color w:val="000000" w:themeColor="text1"/>
          <w:sz w:val="28"/>
          <w:szCs w:val="28"/>
          <w14:textFill>
            <w14:solidFill>
              <w14:schemeClr w14:val="tx1"/>
            </w14:solidFill>
          </w14:textFill>
        </w:rPr>
      </w:pPr>
    </w:p>
    <w:p>
      <w:pPr>
        <w:pStyle w:val="25"/>
        <w:spacing w:line="240" w:lineRule="auto"/>
        <w:ind w:firstLine="288" w:firstLineChars="103"/>
        <w:rPr>
          <w:rFonts w:ascii="宋体" w:hAnsi="宋体"/>
          <w:bCs/>
          <w:color w:val="000000" w:themeColor="text1"/>
          <w:sz w:val="28"/>
          <w:szCs w:val="28"/>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投标人名称：XXXX</w:t>
      </w:r>
    </w:p>
    <w:p>
      <w:pPr>
        <w:adjustRightInd w:val="0"/>
        <w:ind w:firstLine="700" w:firstLineChars="250"/>
        <w:jc w:val="left"/>
        <w:rPr>
          <w:rFonts w:ascii="宋体" w:hAnsi="宋体"/>
          <w:bCs/>
          <w:color w:val="000000" w:themeColor="text1"/>
          <w:sz w:val="28"/>
          <w:szCs w:val="28"/>
          <w14:textFill>
            <w14:solidFill>
              <w14:schemeClr w14:val="tx1"/>
            </w14:solidFill>
          </w14:textFill>
        </w:rPr>
      </w:pPr>
      <w:r>
        <w:rPr>
          <w:rFonts w:hint="eastAsia" w:ascii="宋体" w:hAnsi="宋体"/>
          <w:color w:val="000000" w:themeColor="text1"/>
          <w:sz w:val="28"/>
          <w14:textFill>
            <w14:solidFill>
              <w14:schemeClr w14:val="tx1"/>
            </w14:solidFill>
          </w14:textFill>
        </w:rPr>
        <w:t>日期：</w:t>
      </w:r>
      <w:r>
        <w:rPr>
          <w:rFonts w:hint="eastAsia" w:ascii="宋体" w:hAnsi="宋体"/>
          <w:bCs/>
          <w:color w:val="000000" w:themeColor="text1"/>
          <w:sz w:val="28"/>
          <w14:textFill>
            <w14:solidFill>
              <w14:schemeClr w14:val="tx1"/>
            </w14:solidFill>
          </w14:textFill>
        </w:rPr>
        <w:t>20XX年XX</w:t>
      </w:r>
      <w:r>
        <w:rPr>
          <w:rFonts w:hint="eastAsia" w:ascii="宋体" w:hAnsi="宋体"/>
          <w:bCs/>
          <w:color w:val="000000" w:themeColor="text1"/>
          <w:sz w:val="28"/>
          <w:szCs w:val="28"/>
          <w14:textFill>
            <w14:solidFill>
              <w14:schemeClr w14:val="tx1"/>
            </w14:solidFill>
          </w14:textFill>
        </w:rPr>
        <w:t>月</w:t>
      </w:r>
      <w:r>
        <w:rPr>
          <w:rFonts w:hint="eastAsia" w:ascii="宋体" w:hAnsi="宋体"/>
          <w:bCs/>
          <w:color w:val="000000" w:themeColor="text1"/>
          <w:sz w:val="28"/>
          <w14:textFill>
            <w14:solidFill>
              <w14:schemeClr w14:val="tx1"/>
            </w14:solidFill>
          </w14:textFill>
        </w:rPr>
        <w:t>XX</w:t>
      </w:r>
      <w:r>
        <w:rPr>
          <w:rFonts w:hint="eastAsia" w:ascii="宋体" w:hAnsi="宋体"/>
          <w:bCs/>
          <w:color w:val="000000" w:themeColor="text1"/>
          <w:sz w:val="28"/>
          <w:szCs w:val="28"/>
          <w14:textFill>
            <w14:solidFill>
              <w14:schemeClr w14:val="tx1"/>
            </w14:solidFill>
          </w14:textFill>
        </w:rPr>
        <w:t>日</w:t>
      </w:r>
      <w:bookmarkEnd w:id="217"/>
      <w:bookmarkEnd w:id="218"/>
      <w:bookmarkEnd w:id="219"/>
      <w:bookmarkStart w:id="221" w:name="_Toc220299404"/>
      <w:bookmarkStart w:id="222" w:name="_Toc263768873"/>
      <w:bookmarkStart w:id="223" w:name="_Toc263753615"/>
    </w:p>
    <w:p>
      <w:pPr>
        <w:pStyle w:val="17"/>
        <w:rPr>
          <w:color w:val="000000" w:themeColor="text1"/>
          <w14:textFill>
            <w14:solidFill>
              <w14:schemeClr w14:val="tx1"/>
            </w14:solidFill>
          </w14:textFill>
        </w:rPr>
      </w:pPr>
    </w:p>
    <w:p>
      <w:pPr>
        <w:pStyle w:val="17"/>
        <w:rPr>
          <w:color w:val="000000" w:themeColor="text1"/>
          <w14:textFill>
            <w14:solidFill>
              <w14:schemeClr w14:val="tx1"/>
            </w14:solidFill>
          </w14:textFill>
        </w:rPr>
      </w:pPr>
    </w:p>
    <w:p>
      <w:pPr>
        <w:pStyle w:val="17"/>
        <w:rPr>
          <w:color w:val="000000" w:themeColor="text1"/>
          <w14:textFill>
            <w14:solidFill>
              <w14:schemeClr w14:val="tx1"/>
            </w14:solidFill>
          </w14:textFill>
        </w:rPr>
      </w:pPr>
    </w:p>
    <w:p>
      <w:pPr>
        <w:pStyle w:val="17"/>
        <w:rPr>
          <w:color w:val="000000" w:themeColor="text1"/>
          <w14:textFill>
            <w14:solidFill>
              <w14:schemeClr w14:val="tx1"/>
            </w14:solidFill>
          </w14:textFill>
        </w:rPr>
      </w:pPr>
    </w:p>
    <w:p>
      <w:pPr>
        <w:pStyle w:val="17"/>
        <w:rPr>
          <w:color w:val="000000" w:themeColor="text1"/>
          <w14:textFill>
            <w14:solidFill>
              <w14:schemeClr w14:val="tx1"/>
            </w14:solidFill>
          </w14:textFill>
        </w:rPr>
      </w:pPr>
    </w:p>
    <w:p>
      <w:pPr>
        <w:pStyle w:val="17"/>
        <w:rPr>
          <w:color w:val="000000" w:themeColor="text1"/>
          <w14:textFill>
            <w14:solidFill>
              <w14:schemeClr w14:val="tx1"/>
            </w14:solidFill>
          </w14:textFill>
        </w:rPr>
      </w:pPr>
    </w:p>
    <w:p>
      <w:pPr>
        <w:pStyle w:val="4"/>
        <w:numPr>
          <w:ilvl w:val="2"/>
          <w:numId w:val="3"/>
        </w:numPr>
        <w:spacing w:after="200"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服务方案及服务承诺</w:t>
      </w:r>
    </w:p>
    <w:p>
      <w:pPr>
        <w:snapToGrid w:val="0"/>
        <w:rPr>
          <w:rFonts w:ascii="宋体" w:hAnsi="宋体"/>
          <w:b/>
          <w:color w:val="000000" w:themeColor="text1"/>
          <w:spacing w:val="-20"/>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项目名称：</w:t>
      </w:r>
    </w:p>
    <w:p>
      <w:pPr>
        <w:snapToGrid w:val="0"/>
        <w:rPr>
          <w:rFonts w:ascii="宋体" w:hAnsi="宋体"/>
          <w:b/>
          <w:color w:val="000000" w:themeColor="text1"/>
          <w:sz w:val="28"/>
          <w:szCs w:val="28"/>
          <w:u w:val="single"/>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项目编号：</w:t>
      </w:r>
    </w:p>
    <w:p>
      <w:pPr>
        <w:pStyle w:val="25"/>
        <w:spacing w:line="240" w:lineRule="auto"/>
        <w:rPr>
          <w:rFonts w:ascii="宋体" w:hAnsi="宋体"/>
          <w:bCs/>
          <w:color w:val="000000" w:themeColor="text1"/>
          <w:sz w:val="28"/>
          <w:szCs w:val="28"/>
          <w14:textFill>
            <w14:solidFill>
              <w14:schemeClr w14:val="tx1"/>
            </w14:solidFill>
          </w14:textFill>
        </w:rPr>
      </w:pPr>
    </w:p>
    <w:p>
      <w:pPr>
        <w:pStyle w:val="25"/>
        <w:spacing w:line="240" w:lineRule="auto"/>
        <w:rPr>
          <w:rFonts w:ascii="宋体" w:hAnsi="宋体"/>
          <w:bCs/>
          <w:color w:val="000000" w:themeColor="text1"/>
          <w:sz w:val="28"/>
          <w:szCs w:val="28"/>
          <w14:textFill>
            <w14:solidFill>
              <w14:schemeClr w14:val="tx1"/>
            </w14:solidFill>
          </w14:textFill>
        </w:rPr>
      </w:pPr>
    </w:p>
    <w:p>
      <w:pPr>
        <w:pStyle w:val="25"/>
        <w:spacing w:line="240" w:lineRule="auto"/>
        <w:rPr>
          <w:rFonts w:ascii="宋体" w:hAnsi="宋体"/>
          <w:bCs/>
          <w:color w:val="000000" w:themeColor="text1"/>
          <w:sz w:val="28"/>
          <w:szCs w:val="28"/>
          <w14:textFill>
            <w14:solidFill>
              <w14:schemeClr w14:val="tx1"/>
            </w14:solidFill>
          </w14:textFill>
        </w:rPr>
      </w:pPr>
    </w:p>
    <w:p>
      <w:pPr>
        <w:pStyle w:val="25"/>
        <w:spacing w:line="240" w:lineRule="auto"/>
        <w:rPr>
          <w:rFonts w:ascii="宋体" w:hAnsi="宋体"/>
          <w:bCs/>
          <w:color w:val="000000" w:themeColor="text1"/>
          <w:sz w:val="28"/>
          <w:szCs w:val="28"/>
          <w14:textFill>
            <w14:solidFill>
              <w14:schemeClr w14:val="tx1"/>
            </w14:solidFill>
          </w14:textFill>
        </w:rPr>
      </w:pPr>
    </w:p>
    <w:p>
      <w:pPr>
        <w:pStyle w:val="25"/>
        <w:spacing w:line="240" w:lineRule="auto"/>
        <w:rPr>
          <w:rFonts w:ascii="宋体" w:hAnsi="宋体"/>
          <w:bCs/>
          <w:color w:val="000000" w:themeColor="text1"/>
          <w:sz w:val="28"/>
          <w:szCs w:val="28"/>
          <w14:textFill>
            <w14:solidFill>
              <w14:schemeClr w14:val="tx1"/>
            </w14:solidFill>
          </w14:textFill>
        </w:rPr>
      </w:pPr>
    </w:p>
    <w:p>
      <w:pPr>
        <w:pStyle w:val="25"/>
        <w:spacing w:line="240" w:lineRule="auto"/>
        <w:rPr>
          <w:rFonts w:ascii="宋体" w:hAnsi="宋体"/>
          <w:bCs/>
          <w:color w:val="000000" w:themeColor="text1"/>
          <w:sz w:val="28"/>
          <w:szCs w:val="28"/>
          <w14:textFill>
            <w14:solidFill>
              <w14:schemeClr w14:val="tx1"/>
            </w14:solidFill>
          </w14:textFill>
        </w:rPr>
      </w:pPr>
    </w:p>
    <w:p>
      <w:pPr>
        <w:pStyle w:val="25"/>
        <w:spacing w:line="240" w:lineRule="auto"/>
        <w:rPr>
          <w:rFonts w:ascii="宋体" w:hAnsi="宋体"/>
          <w:bCs/>
          <w:color w:val="000000" w:themeColor="text1"/>
          <w:sz w:val="28"/>
          <w:szCs w:val="28"/>
          <w14:textFill>
            <w14:solidFill>
              <w14:schemeClr w14:val="tx1"/>
            </w14:solidFill>
          </w14:textFill>
        </w:rPr>
      </w:pPr>
    </w:p>
    <w:p>
      <w:pPr>
        <w:pStyle w:val="25"/>
        <w:spacing w:line="240" w:lineRule="auto"/>
        <w:rPr>
          <w:rFonts w:ascii="宋体" w:hAnsi="宋体"/>
          <w:bCs/>
          <w:color w:val="000000" w:themeColor="text1"/>
          <w:sz w:val="28"/>
          <w:szCs w:val="28"/>
          <w14:textFill>
            <w14:solidFill>
              <w14:schemeClr w14:val="tx1"/>
            </w14:solidFill>
          </w14:textFill>
        </w:rPr>
      </w:pPr>
    </w:p>
    <w:p>
      <w:pPr>
        <w:pStyle w:val="25"/>
        <w:spacing w:line="240" w:lineRule="auto"/>
        <w:rPr>
          <w:rFonts w:ascii="宋体" w:hAnsi="宋体"/>
          <w:bCs/>
          <w:color w:val="000000" w:themeColor="text1"/>
          <w:sz w:val="28"/>
          <w:szCs w:val="28"/>
          <w14:textFill>
            <w14:solidFill>
              <w14:schemeClr w14:val="tx1"/>
            </w14:solidFill>
          </w14:textFill>
        </w:rPr>
      </w:pPr>
    </w:p>
    <w:p>
      <w:pPr>
        <w:pStyle w:val="25"/>
        <w:spacing w:line="240" w:lineRule="auto"/>
        <w:rPr>
          <w:rFonts w:ascii="宋体" w:hAnsi="宋体"/>
          <w:bCs/>
          <w:color w:val="000000" w:themeColor="text1"/>
          <w:sz w:val="28"/>
          <w:szCs w:val="28"/>
          <w14:textFill>
            <w14:solidFill>
              <w14:schemeClr w14:val="tx1"/>
            </w14:solidFill>
          </w14:textFill>
        </w:rPr>
      </w:pPr>
    </w:p>
    <w:p>
      <w:pPr>
        <w:pStyle w:val="25"/>
        <w:spacing w:line="240" w:lineRule="auto"/>
        <w:rPr>
          <w:rFonts w:ascii="宋体" w:hAnsi="宋体"/>
          <w:bCs/>
          <w:color w:val="000000" w:themeColor="text1"/>
          <w:sz w:val="28"/>
          <w:szCs w:val="28"/>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投标人名称：XXXX</w:t>
      </w:r>
    </w:p>
    <w:p>
      <w:pPr>
        <w:adjustRightInd w:val="0"/>
        <w:ind w:firstLine="420" w:firstLineChars="150"/>
        <w:jc w:val="left"/>
        <w:rPr>
          <w:rFonts w:ascii="宋体" w:hAnsi="宋体"/>
          <w:color w:val="000000" w:themeColor="text1"/>
          <w:sz w:val="28"/>
          <w14:textFill>
            <w14:solidFill>
              <w14:schemeClr w14:val="tx1"/>
            </w14:solidFill>
          </w14:textFill>
        </w:rPr>
      </w:pPr>
      <w:r>
        <w:rPr>
          <w:rFonts w:hint="eastAsia" w:ascii="宋体" w:hAnsi="宋体"/>
          <w:color w:val="000000" w:themeColor="text1"/>
          <w:sz w:val="28"/>
          <w14:textFill>
            <w14:solidFill>
              <w14:schemeClr w14:val="tx1"/>
            </w14:solidFill>
          </w14:textFill>
        </w:rPr>
        <w:t>日期：20XX年XX月XX日</w:t>
      </w:r>
    </w:p>
    <w:p>
      <w:pPr>
        <w:pStyle w:val="17"/>
        <w:rPr>
          <w:color w:val="000000" w:themeColor="text1"/>
          <w14:textFill>
            <w14:solidFill>
              <w14:schemeClr w14:val="tx1"/>
            </w14:solidFill>
          </w14:textFill>
        </w:rPr>
      </w:pPr>
    </w:p>
    <w:p>
      <w:pPr>
        <w:pStyle w:val="17"/>
        <w:rPr>
          <w:color w:val="000000" w:themeColor="text1"/>
          <w14:textFill>
            <w14:solidFill>
              <w14:schemeClr w14:val="tx1"/>
            </w14:solidFill>
          </w14:textFill>
        </w:rPr>
      </w:pPr>
    </w:p>
    <w:p>
      <w:pPr>
        <w:pStyle w:val="17"/>
        <w:rPr>
          <w:color w:val="000000" w:themeColor="text1"/>
          <w14:textFill>
            <w14:solidFill>
              <w14:schemeClr w14:val="tx1"/>
            </w14:solidFill>
          </w14:textFill>
        </w:rPr>
      </w:pPr>
    </w:p>
    <w:p>
      <w:pPr>
        <w:pStyle w:val="17"/>
        <w:rPr>
          <w:color w:val="000000" w:themeColor="text1"/>
          <w14:textFill>
            <w14:solidFill>
              <w14:schemeClr w14:val="tx1"/>
            </w14:solidFill>
          </w14:textFill>
        </w:rPr>
      </w:pPr>
    </w:p>
    <w:p>
      <w:pPr>
        <w:pStyle w:val="17"/>
        <w:rPr>
          <w:color w:val="000000" w:themeColor="text1"/>
          <w14:textFill>
            <w14:solidFill>
              <w14:schemeClr w14:val="tx1"/>
            </w14:solidFill>
          </w14:textFill>
        </w:rPr>
      </w:pPr>
    </w:p>
    <w:p>
      <w:pPr>
        <w:pStyle w:val="17"/>
        <w:rPr>
          <w:color w:val="000000" w:themeColor="text1"/>
          <w14:textFill>
            <w14:solidFill>
              <w14:schemeClr w14:val="tx1"/>
            </w14:solidFill>
          </w14:textFill>
        </w:rPr>
      </w:pPr>
    </w:p>
    <w:p>
      <w:pPr>
        <w:keepNext/>
        <w:keepLines/>
        <w:numPr>
          <w:ilvl w:val="1"/>
          <w:numId w:val="3"/>
        </w:numPr>
        <w:spacing w:before="260" w:after="260" w:line="360" w:lineRule="auto"/>
        <w:jc w:val="left"/>
        <w:outlineLvl w:val="1"/>
        <w:rPr>
          <w:rFonts w:ascii="宋体" w:hAnsi="宋体"/>
          <w:b/>
          <w:sz w:val="28"/>
        </w:rPr>
      </w:pPr>
      <w:bookmarkStart w:id="224" w:name="_Toc77584653"/>
      <w:bookmarkStart w:id="225" w:name="_Toc73619745"/>
      <w:r>
        <w:rPr>
          <w:rFonts w:hint="eastAsia" w:ascii="宋体" w:hAnsi="宋体"/>
          <w:b/>
          <w:sz w:val="28"/>
        </w:rPr>
        <w:t>报价</w:t>
      </w:r>
      <w:r>
        <w:rPr>
          <w:rFonts w:hint="eastAsia" w:ascii="宋体" w:hAnsi="宋体"/>
          <w:b/>
          <w:bCs/>
          <w:sz w:val="28"/>
          <w:szCs w:val="28"/>
        </w:rPr>
        <w:t>要求</w:t>
      </w:r>
      <w:r>
        <w:rPr>
          <w:rFonts w:hint="eastAsia" w:ascii="宋体" w:hAnsi="宋体"/>
          <w:b/>
          <w:sz w:val="28"/>
        </w:rPr>
        <w:t>响应文件</w:t>
      </w:r>
      <w:bookmarkEnd w:id="224"/>
      <w:bookmarkEnd w:id="225"/>
    </w:p>
    <w:p>
      <w:pPr>
        <w:keepNext/>
        <w:keepLines/>
        <w:numPr>
          <w:ilvl w:val="2"/>
          <w:numId w:val="3"/>
        </w:numPr>
        <w:spacing w:line="360" w:lineRule="auto"/>
        <w:ind w:left="3119" w:hanging="3119"/>
        <w:outlineLvl w:val="2"/>
        <w:rPr>
          <w:rFonts w:ascii="宋体" w:hAnsi="宋体"/>
          <w:b/>
          <w:bCs/>
          <w:sz w:val="28"/>
          <w:szCs w:val="28"/>
        </w:rPr>
      </w:pPr>
      <w:r>
        <w:rPr>
          <w:rFonts w:hint="eastAsia" w:ascii="宋体" w:hAnsi="宋体"/>
          <w:b/>
          <w:bCs/>
          <w:kern w:val="0"/>
          <w:sz w:val="28"/>
          <w:szCs w:val="28"/>
        </w:rPr>
        <w:t>开标一览表</w:t>
      </w:r>
    </w:p>
    <w:p>
      <w:pPr>
        <w:tabs>
          <w:tab w:val="left" w:pos="1134"/>
        </w:tabs>
        <w:spacing w:line="560" w:lineRule="exact"/>
        <w:ind w:firstLine="427" w:firstLineChars="152"/>
        <w:rPr>
          <w:rFonts w:ascii="宋体" w:hAnsi="宋体"/>
          <w:b/>
          <w:bCs/>
          <w:sz w:val="28"/>
          <w:szCs w:val="28"/>
        </w:rPr>
      </w:pPr>
      <w:r>
        <w:rPr>
          <w:rFonts w:hint="eastAsia" w:ascii="宋体" w:hAnsi="宋体"/>
          <w:b/>
          <w:bCs/>
          <w:sz w:val="28"/>
          <w:szCs w:val="28"/>
        </w:rPr>
        <w:t xml:space="preserve">标项1： </w:t>
      </w:r>
    </w:p>
    <w:tbl>
      <w:tblPr>
        <w:tblStyle w:val="44"/>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jc w:val="center"/>
              <w:rPr>
                <w:rFonts w:ascii="宋体" w:hAnsi="宋体"/>
                <w:kern w:val="0"/>
                <w:sz w:val="28"/>
                <w:szCs w:val="28"/>
              </w:rPr>
            </w:pPr>
            <w:r>
              <w:rPr>
                <w:rFonts w:hint="eastAsia" w:ascii="宋体" w:hAnsi="宋体"/>
                <w:kern w:val="0"/>
                <w:sz w:val="28"/>
                <w:szCs w:val="28"/>
              </w:rPr>
              <w:t>投标报价（元）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rPr>
                <w:rFonts w:ascii="宋体" w:hAnsi="宋体"/>
                <w:kern w:val="0"/>
                <w:sz w:val="28"/>
                <w:szCs w:val="28"/>
              </w:rPr>
            </w:pPr>
          </w:p>
        </w:tc>
      </w:tr>
    </w:tbl>
    <w:p>
      <w:pPr>
        <w:tabs>
          <w:tab w:val="left" w:pos="1134"/>
        </w:tabs>
        <w:spacing w:line="560" w:lineRule="exact"/>
        <w:ind w:firstLine="425" w:firstLineChars="152"/>
        <w:rPr>
          <w:rFonts w:ascii="宋体" w:hAnsi="宋体"/>
          <w:sz w:val="28"/>
          <w:szCs w:val="28"/>
        </w:rPr>
      </w:pPr>
    </w:p>
    <w:p>
      <w:pPr>
        <w:tabs>
          <w:tab w:val="left" w:pos="1134"/>
        </w:tabs>
        <w:spacing w:line="560" w:lineRule="exact"/>
        <w:ind w:firstLine="427" w:firstLineChars="152"/>
        <w:rPr>
          <w:rFonts w:ascii="宋体" w:hAnsi="宋体"/>
          <w:b/>
          <w:bCs/>
          <w:sz w:val="28"/>
        </w:rPr>
      </w:pPr>
      <w:r>
        <w:rPr>
          <w:rFonts w:hint="eastAsia" w:ascii="宋体" w:hAnsi="宋体"/>
          <w:b/>
          <w:sz w:val="28"/>
          <w:szCs w:val="28"/>
        </w:rPr>
        <w:t>投标报价以投标人在政府采购云平台开标一览表中填写的报价为准。</w:t>
      </w:r>
    </w:p>
    <w:p>
      <w:pPr>
        <w:snapToGrid w:val="0"/>
        <w:spacing w:line="500" w:lineRule="exact"/>
        <w:ind w:left="1445" w:right="-57" w:rightChars="-27" w:hanging="1445" w:hangingChars="514"/>
        <w:rPr>
          <w:rFonts w:ascii="宋体" w:hAnsi="宋体"/>
          <w:b/>
          <w:bCs/>
          <w:sz w:val="28"/>
          <w:u w:val="single"/>
        </w:rPr>
      </w:pPr>
    </w:p>
    <w:p>
      <w:pPr>
        <w:spacing w:line="360" w:lineRule="auto"/>
        <w:rPr>
          <w:rFonts w:ascii="宋体" w:hAnsi="宋体"/>
          <w:b/>
          <w:sz w:val="28"/>
          <w:szCs w:val="28"/>
          <w:u w:val="single"/>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keepNext/>
        <w:keepLines/>
        <w:numPr>
          <w:ilvl w:val="2"/>
          <w:numId w:val="3"/>
        </w:numPr>
        <w:spacing w:line="360" w:lineRule="auto"/>
        <w:ind w:left="3119" w:hanging="3119"/>
        <w:outlineLvl w:val="2"/>
        <w:rPr>
          <w:rFonts w:ascii="宋体" w:hAnsi="宋体"/>
          <w:b/>
          <w:bCs/>
          <w:sz w:val="28"/>
          <w:szCs w:val="28"/>
        </w:rPr>
      </w:pPr>
      <w:r>
        <w:rPr>
          <w:rFonts w:hint="eastAsia" w:ascii="宋体" w:hAnsi="宋体"/>
          <w:b/>
          <w:bCs/>
          <w:sz w:val="28"/>
          <w:szCs w:val="28"/>
        </w:rPr>
        <w:t>分项报价明细表</w:t>
      </w:r>
    </w:p>
    <w:p>
      <w:pPr>
        <w:snapToGrid w:val="0"/>
        <w:spacing w:line="440" w:lineRule="exact"/>
        <w:ind w:right="-624" w:rightChars="-297"/>
        <w:rPr>
          <w:rFonts w:ascii="宋体" w:hAnsi="宋体"/>
          <w:b/>
          <w:sz w:val="28"/>
        </w:rPr>
      </w:pPr>
      <w:r>
        <w:rPr>
          <w:rFonts w:hint="eastAsia" w:ascii="宋体" w:hAnsi="宋体"/>
          <w:b/>
          <w:sz w:val="28"/>
        </w:rPr>
        <w:t>项目名称：</w:t>
      </w:r>
    </w:p>
    <w:p>
      <w:pPr>
        <w:tabs>
          <w:tab w:val="left" w:pos="7560"/>
        </w:tabs>
        <w:spacing w:after="180" w:line="440" w:lineRule="exact"/>
        <w:rPr>
          <w:rFonts w:ascii="宋体" w:hAnsi="宋体"/>
          <w:b/>
          <w:sz w:val="28"/>
          <w:szCs w:val="20"/>
        </w:rPr>
      </w:pPr>
      <w:r>
        <w:rPr>
          <w:rFonts w:hint="eastAsia" w:ascii="宋体" w:hAnsi="宋体"/>
          <w:b/>
          <w:sz w:val="28"/>
          <w:szCs w:val="20"/>
        </w:rPr>
        <w:t>项目编号：</w:t>
      </w:r>
    </w:p>
    <w:tbl>
      <w:tblPr>
        <w:tblStyle w:val="43"/>
        <w:tblW w:w="84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5" w:type="dxa"/>
          <w:bottom w:w="0" w:type="dxa"/>
          <w:right w:w="115" w:type="dxa"/>
        </w:tblCellMar>
      </w:tblPr>
      <w:tblGrid>
        <w:gridCol w:w="824"/>
        <w:gridCol w:w="1843"/>
        <w:gridCol w:w="850"/>
        <w:gridCol w:w="1418"/>
        <w:gridCol w:w="1843"/>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trHeight w:val="23" w:hRule="atLeast"/>
        </w:trPr>
        <w:tc>
          <w:tcPr>
            <w:tcW w:w="824" w:type="dxa"/>
            <w:vAlign w:val="center"/>
          </w:tcPr>
          <w:p>
            <w:pPr>
              <w:widowControl/>
              <w:jc w:val="center"/>
              <w:rPr>
                <w:rFonts w:asciiTheme="majorEastAsia" w:hAnsiTheme="majorEastAsia" w:eastAsiaTheme="majorEastAsia" w:cstheme="majorEastAsia"/>
                <w:b/>
                <w:sz w:val="28"/>
              </w:rPr>
            </w:pPr>
            <w:r>
              <w:rPr>
                <w:rFonts w:hint="eastAsia" w:asciiTheme="majorEastAsia" w:hAnsiTheme="majorEastAsia" w:eastAsiaTheme="majorEastAsia" w:cstheme="majorEastAsia"/>
                <w:b/>
                <w:sz w:val="28"/>
              </w:rPr>
              <w:t>序号</w:t>
            </w:r>
          </w:p>
        </w:tc>
        <w:tc>
          <w:tcPr>
            <w:tcW w:w="1843" w:type="dxa"/>
            <w:vAlign w:val="center"/>
          </w:tcPr>
          <w:p>
            <w:pPr>
              <w:widowControl/>
              <w:jc w:val="center"/>
              <w:rPr>
                <w:rFonts w:asciiTheme="majorEastAsia" w:hAnsiTheme="majorEastAsia" w:eastAsiaTheme="majorEastAsia" w:cstheme="majorEastAsia"/>
                <w:b/>
                <w:sz w:val="28"/>
              </w:rPr>
            </w:pPr>
            <w:r>
              <w:rPr>
                <w:rFonts w:hint="eastAsia" w:asciiTheme="majorEastAsia" w:hAnsiTheme="majorEastAsia" w:eastAsiaTheme="majorEastAsia" w:cstheme="majorEastAsia"/>
                <w:b/>
                <w:sz w:val="28"/>
              </w:rPr>
              <w:t>服务岗位</w:t>
            </w:r>
          </w:p>
        </w:tc>
        <w:tc>
          <w:tcPr>
            <w:tcW w:w="850" w:type="dxa"/>
            <w:vAlign w:val="center"/>
          </w:tcPr>
          <w:p>
            <w:pPr>
              <w:pStyle w:val="208"/>
              <w:jc w:val="center"/>
              <w:rPr>
                <w:rFonts w:asciiTheme="majorEastAsia" w:hAnsiTheme="majorEastAsia" w:eastAsiaTheme="majorEastAsia" w:cstheme="majorEastAsia"/>
                <w:b/>
                <w:color w:val="auto"/>
                <w:sz w:val="28"/>
                <w:szCs w:val="28"/>
              </w:rPr>
            </w:pPr>
            <w:r>
              <w:rPr>
                <w:rFonts w:hint="eastAsia" w:asciiTheme="majorEastAsia" w:hAnsiTheme="majorEastAsia" w:eastAsiaTheme="majorEastAsia" w:cstheme="majorEastAsia"/>
                <w:b/>
                <w:color w:val="auto"/>
                <w:sz w:val="28"/>
                <w:szCs w:val="28"/>
              </w:rPr>
              <w:t>人数</w:t>
            </w:r>
          </w:p>
        </w:tc>
        <w:tc>
          <w:tcPr>
            <w:tcW w:w="1418" w:type="dxa"/>
            <w:shd w:val="clear" w:color="auto" w:fill="auto"/>
            <w:vAlign w:val="center"/>
          </w:tcPr>
          <w:p>
            <w:pPr>
              <w:pStyle w:val="208"/>
              <w:jc w:val="center"/>
              <w:rPr>
                <w:rFonts w:asciiTheme="majorEastAsia" w:hAnsiTheme="majorEastAsia" w:eastAsiaTheme="majorEastAsia" w:cstheme="majorEastAsia"/>
                <w:b/>
                <w:color w:val="auto"/>
                <w:sz w:val="28"/>
                <w:szCs w:val="28"/>
              </w:rPr>
            </w:pPr>
            <w:r>
              <w:rPr>
                <w:rFonts w:hint="eastAsia" w:asciiTheme="majorEastAsia" w:hAnsiTheme="majorEastAsia" w:eastAsiaTheme="majorEastAsia" w:cstheme="majorEastAsia"/>
                <w:b/>
                <w:color w:val="auto"/>
                <w:sz w:val="28"/>
                <w:szCs w:val="28"/>
              </w:rPr>
              <w:t>服务期限</w:t>
            </w:r>
          </w:p>
        </w:tc>
        <w:tc>
          <w:tcPr>
            <w:tcW w:w="1843" w:type="dxa"/>
            <w:vAlign w:val="center"/>
          </w:tcPr>
          <w:p>
            <w:pPr>
              <w:pStyle w:val="208"/>
              <w:ind w:firstLine="422" w:firstLineChars="150"/>
              <w:jc w:val="center"/>
              <w:rPr>
                <w:rFonts w:asciiTheme="majorEastAsia" w:hAnsiTheme="majorEastAsia" w:eastAsiaTheme="majorEastAsia" w:cstheme="majorEastAsia"/>
                <w:b/>
                <w:color w:val="auto"/>
                <w:sz w:val="28"/>
                <w:szCs w:val="28"/>
              </w:rPr>
            </w:pPr>
            <w:r>
              <w:rPr>
                <w:rFonts w:hint="eastAsia" w:asciiTheme="majorEastAsia" w:hAnsiTheme="majorEastAsia" w:eastAsiaTheme="majorEastAsia" w:cstheme="majorEastAsia"/>
                <w:b/>
                <w:color w:val="auto"/>
                <w:sz w:val="28"/>
                <w:szCs w:val="28"/>
              </w:rPr>
              <w:t>单价</w:t>
            </w:r>
          </w:p>
        </w:tc>
        <w:tc>
          <w:tcPr>
            <w:tcW w:w="1701" w:type="dxa"/>
            <w:vAlign w:val="center"/>
          </w:tcPr>
          <w:p>
            <w:pPr>
              <w:pStyle w:val="208"/>
              <w:jc w:val="center"/>
              <w:rPr>
                <w:rFonts w:asciiTheme="majorEastAsia" w:hAnsiTheme="majorEastAsia" w:eastAsiaTheme="majorEastAsia" w:cstheme="majorEastAsia"/>
                <w:b/>
                <w:color w:val="auto"/>
                <w:sz w:val="28"/>
                <w:szCs w:val="28"/>
              </w:rPr>
            </w:pPr>
            <w:r>
              <w:rPr>
                <w:rFonts w:hint="eastAsia" w:asciiTheme="majorEastAsia" w:hAnsiTheme="majorEastAsia" w:eastAsiaTheme="majorEastAsia" w:cstheme="majorEastAsia"/>
                <w:b/>
                <w:color w:val="auto"/>
                <w:sz w:val="28"/>
                <w:szCs w:val="28"/>
              </w:rPr>
              <w:t>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trHeight w:val="23" w:hRule="atLeast"/>
        </w:trPr>
        <w:tc>
          <w:tcPr>
            <w:tcW w:w="824" w:type="dxa"/>
            <w:vAlign w:val="center"/>
          </w:tcPr>
          <w:p>
            <w:pPr>
              <w:widowControl/>
              <w:jc w:val="center"/>
              <w:rPr>
                <w:rFonts w:asciiTheme="majorEastAsia" w:hAnsiTheme="majorEastAsia" w:eastAsiaTheme="majorEastAsia" w:cstheme="majorEastAsia"/>
                <w:bCs/>
                <w:sz w:val="28"/>
                <w:szCs w:val="28"/>
              </w:rPr>
            </w:pPr>
            <w:r>
              <w:rPr>
                <w:rFonts w:asciiTheme="majorEastAsia" w:hAnsiTheme="majorEastAsia" w:eastAsiaTheme="majorEastAsia" w:cstheme="majorEastAsia"/>
                <w:bCs/>
                <w:sz w:val="28"/>
                <w:szCs w:val="28"/>
              </w:rPr>
              <w:t>1</w:t>
            </w:r>
          </w:p>
        </w:tc>
        <w:tc>
          <w:tcPr>
            <w:tcW w:w="1843" w:type="dxa"/>
            <w:vAlign w:val="center"/>
          </w:tcPr>
          <w:p>
            <w:pPr>
              <w:widowControl/>
              <w:jc w:val="center"/>
              <w:rPr>
                <w:rFonts w:asciiTheme="majorEastAsia" w:hAnsiTheme="majorEastAsia" w:eastAsiaTheme="majorEastAsia" w:cstheme="majorEastAsia"/>
                <w:bCs/>
                <w:sz w:val="24"/>
                <w:szCs w:val="24"/>
              </w:rPr>
            </w:pPr>
          </w:p>
        </w:tc>
        <w:tc>
          <w:tcPr>
            <w:tcW w:w="850" w:type="dxa"/>
            <w:vAlign w:val="center"/>
          </w:tcPr>
          <w:p>
            <w:pPr>
              <w:widowControl/>
              <w:jc w:val="center"/>
              <w:rPr>
                <w:rFonts w:asciiTheme="majorEastAsia" w:hAnsiTheme="majorEastAsia" w:eastAsiaTheme="majorEastAsia" w:cstheme="majorEastAsia"/>
                <w:bCs/>
                <w:sz w:val="24"/>
                <w:szCs w:val="24"/>
              </w:rPr>
            </w:pPr>
          </w:p>
        </w:tc>
        <w:tc>
          <w:tcPr>
            <w:tcW w:w="1418" w:type="dxa"/>
            <w:shd w:val="clear" w:color="auto" w:fill="auto"/>
            <w:vAlign w:val="center"/>
          </w:tcPr>
          <w:p>
            <w:pPr>
              <w:widowControl/>
              <w:jc w:val="center"/>
              <w:rPr>
                <w:rFonts w:asciiTheme="majorEastAsia" w:hAnsiTheme="majorEastAsia" w:eastAsiaTheme="majorEastAsia" w:cstheme="majorEastAsia"/>
                <w:bCs/>
                <w:sz w:val="24"/>
                <w:szCs w:val="24"/>
              </w:rPr>
            </w:pPr>
          </w:p>
        </w:tc>
        <w:tc>
          <w:tcPr>
            <w:tcW w:w="1843" w:type="dxa"/>
            <w:vAlign w:val="center"/>
          </w:tcPr>
          <w:p>
            <w:pPr>
              <w:widowControl/>
              <w:jc w:val="center"/>
              <w:rPr>
                <w:rFonts w:asciiTheme="majorEastAsia" w:hAnsiTheme="majorEastAsia" w:eastAsiaTheme="majorEastAsia" w:cstheme="majorEastAsia"/>
                <w:bCs/>
                <w:sz w:val="24"/>
                <w:szCs w:val="24"/>
              </w:rPr>
            </w:pPr>
          </w:p>
        </w:tc>
        <w:tc>
          <w:tcPr>
            <w:tcW w:w="1701" w:type="dxa"/>
          </w:tcPr>
          <w:p>
            <w:pPr>
              <w:widowControl/>
              <w:jc w:val="center"/>
              <w:rPr>
                <w:rFonts w:asciiTheme="majorEastAsia" w:hAnsiTheme="majorEastAsia" w:eastAsiaTheme="majorEastAsia" w:cstheme="majorEastAsia"/>
                <w:bCs/>
                <w:sz w:val="28"/>
                <w:szCs w:val="28"/>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trHeight w:val="23" w:hRule="atLeast"/>
        </w:trPr>
        <w:tc>
          <w:tcPr>
            <w:tcW w:w="824" w:type="dxa"/>
            <w:vAlign w:val="center"/>
          </w:tcPr>
          <w:p>
            <w:pPr>
              <w:widowControl/>
              <w:jc w:val="center"/>
              <w:rPr>
                <w:rFonts w:asciiTheme="majorEastAsia" w:hAnsiTheme="majorEastAsia" w:eastAsiaTheme="majorEastAsia" w:cstheme="majorEastAsia"/>
                <w:bCs/>
                <w:sz w:val="28"/>
                <w:szCs w:val="28"/>
              </w:rPr>
            </w:pPr>
            <w:r>
              <w:rPr>
                <w:rFonts w:asciiTheme="majorEastAsia" w:hAnsiTheme="majorEastAsia" w:eastAsiaTheme="majorEastAsia" w:cstheme="majorEastAsia"/>
                <w:bCs/>
                <w:sz w:val="28"/>
                <w:szCs w:val="28"/>
              </w:rPr>
              <w:t>2</w:t>
            </w:r>
          </w:p>
        </w:tc>
        <w:tc>
          <w:tcPr>
            <w:tcW w:w="1843" w:type="dxa"/>
            <w:vAlign w:val="center"/>
          </w:tcPr>
          <w:p>
            <w:pPr>
              <w:widowControl/>
              <w:jc w:val="center"/>
              <w:rPr>
                <w:rFonts w:asciiTheme="majorEastAsia" w:hAnsiTheme="majorEastAsia" w:eastAsiaTheme="majorEastAsia" w:cstheme="majorEastAsia"/>
                <w:bCs/>
                <w:sz w:val="24"/>
                <w:szCs w:val="24"/>
              </w:rPr>
            </w:pPr>
          </w:p>
        </w:tc>
        <w:tc>
          <w:tcPr>
            <w:tcW w:w="850" w:type="dxa"/>
            <w:vAlign w:val="center"/>
          </w:tcPr>
          <w:p>
            <w:pPr>
              <w:widowControl/>
              <w:jc w:val="center"/>
              <w:rPr>
                <w:rFonts w:asciiTheme="majorEastAsia" w:hAnsiTheme="majorEastAsia" w:eastAsiaTheme="majorEastAsia" w:cstheme="majorEastAsia"/>
                <w:bCs/>
                <w:sz w:val="24"/>
                <w:szCs w:val="24"/>
              </w:rPr>
            </w:pPr>
          </w:p>
        </w:tc>
        <w:tc>
          <w:tcPr>
            <w:tcW w:w="1418" w:type="dxa"/>
            <w:shd w:val="clear" w:color="auto" w:fill="auto"/>
          </w:tcPr>
          <w:p>
            <w:pPr>
              <w:widowControl/>
              <w:jc w:val="center"/>
              <w:rPr>
                <w:rFonts w:asciiTheme="majorEastAsia" w:hAnsiTheme="majorEastAsia" w:eastAsiaTheme="majorEastAsia" w:cstheme="majorEastAsia"/>
                <w:bCs/>
                <w:sz w:val="24"/>
                <w:szCs w:val="24"/>
              </w:rPr>
            </w:pPr>
          </w:p>
        </w:tc>
        <w:tc>
          <w:tcPr>
            <w:tcW w:w="1843" w:type="dxa"/>
          </w:tcPr>
          <w:p>
            <w:pPr>
              <w:widowControl/>
              <w:jc w:val="center"/>
              <w:rPr>
                <w:rFonts w:asciiTheme="majorEastAsia" w:hAnsiTheme="majorEastAsia" w:eastAsiaTheme="majorEastAsia" w:cstheme="majorEastAsia"/>
                <w:bCs/>
                <w:sz w:val="24"/>
                <w:szCs w:val="24"/>
                <w:u w:val="single"/>
              </w:rPr>
            </w:pPr>
          </w:p>
        </w:tc>
        <w:tc>
          <w:tcPr>
            <w:tcW w:w="1701" w:type="dxa"/>
          </w:tcPr>
          <w:p>
            <w:pPr>
              <w:widowControl/>
              <w:jc w:val="center"/>
              <w:rPr>
                <w:rFonts w:asciiTheme="majorEastAsia" w:hAnsiTheme="majorEastAsia" w:eastAsiaTheme="majorEastAsia" w:cstheme="majorEastAsia"/>
                <w:bCs/>
                <w:sz w:val="28"/>
                <w:szCs w:val="28"/>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trHeight w:val="23" w:hRule="atLeast"/>
        </w:trPr>
        <w:tc>
          <w:tcPr>
            <w:tcW w:w="824" w:type="dxa"/>
            <w:vAlign w:val="center"/>
          </w:tcPr>
          <w:p>
            <w:pPr>
              <w:widowControl/>
              <w:jc w:val="center"/>
              <w:rPr>
                <w:rFonts w:asciiTheme="majorEastAsia" w:hAnsiTheme="majorEastAsia" w:eastAsiaTheme="majorEastAsia" w:cstheme="majorEastAsia"/>
                <w:bCs/>
                <w:sz w:val="28"/>
                <w:szCs w:val="28"/>
              </w:rPr>
            </w:pPr>
            <w:r>
              <w:rPr>
                <w:rFonts w:asciiTheme="majorEastAsia" w:hAnsiTheme="majorEastAsia" w:eastAsiaTheme="majorEastAsia" w:cstheme="majorEastAsia"/>
                <w:bCs/>
                <w:sz w:val="28"/>
                <w:szCs w:val="28"/>
              </w:rPr>
              <w:t>3</w:t>
            </w:r>
          </w:p>
        </w:tc>
        <w:tc>
          <w:tcPr>
            <w:tcW w:w="1843" w:type="dxa"/>
            <w:vAlign w:val="center"/>
          </w:tcPr>
          <w:p>
            <w:pPr>
              <w:widowControl/>
              <w:jc w:val="center"/>
              <w:rPr>
                <w:rFonts w:asciiTheme="majorEastAsia" w:hAnsiTheme="majorEastAsia" w:eastAsiaTheme="majorEastAsia" w:cstheme="majorEastAsia"/>
                <w:bCs/>
                <w:sz w:val="24"/>
                <w:szCs w:val="24"/>
              </w:rPr>
            </w:pPr>
          </w:p>
        </w:tc>
        <w:tc>
          <w:tcPr>
            <w:tcW w:w="850" w:type="dxa"/>
            <w:vAlign w:val="center"/>
          </w:tcPr>
          <w:p>
            <w:pPr>
              <w:widowControl/>
              <w:jc w:val="center"/>
              <w:rPr>
                <w:rFonts w:asciiTheme="majorEastAsia" w:hAnsiTheme="majorEastAsia" w:eastAsiaTheme="majorEastAsia" w:cstheme="majorEastAsia"/>
                <w:bCs/>
                <w:sz w:val="24"/>
                <w:szCs w:val="24"/>
              </w:rPr>
            </w:pPr>
          </w:p>
        </w:tc>
        <w:tc>
          <w:tcPr>
            <w:tcW w:w="1418" w:type="dxa"/>
            <w:shd w:val="clear" w:color="auto" w:fill="auto"/>
          </w:tcPr>
          <w:p>
            <w:pPr>
              <w:widowControl/>
              <w:jc w:val="center"/>
              <w:rPr>
                <w:rFonts w:asciiTheme="majorEastAsia" w:hAnsiTheme="majorEastAsia" w:eastAsiaTheme="majorEastAsia" w:cstheme="majorEastAsia"/>
                <w:bCs/>
                <w:sz w:val="24"/>
                <w:szCs w:val="24"/>
              </w:rPr>
            </w:pPr>
          </w:p>
        </w:tc>
        <w:tc>
          <w:tcPr>
            <w:tcW w:w="1843" w:type="dxa"/>
          </w:tcPr>
          <w:p>
            <w:pPr>
              <w:widowControl/>
              <w:jc w:val="center"/>
              <w:rPr>
                <w:rFonts w:asciiTheme="majorEastAsia" w:hAnsiTheme="majorEastAsia" w:eastAsiaTheme="majorEastAsia" w:cstheme="majorEastAsia"/>
                <w:bCs/>
                <w:sz w:val="24"/>
                <w:szCs w:val="24"/>
                <w:u w:val="single"/>
              </w:rPr>
            </w:pPr>
          </w:p>
        </w:tc>
        <w:tc>
          <w:tcPr>
            <w:tcW w:w="1701" w:type="dxa"/>
          </w:tcPr>
          <w:p>
            <w:pPr>
              <w:widowControl/>
              <w:jc w:val="center"/>
              <w:rPr>
                <w:rFonts w:asciiTheme="majorEastAsia" w:hAnsiTheme="majorEastAsia" w:eastAsiaTheme="majorEastAsia" w:cstheme="majorEastAsia"/>
                <w:bCs/>
                <w:sz w:val="28"/>
                <w:szCs w:val="28"/>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trHeight w:val="23" w:hRule="atLeast"/>
        </w:trPr>
        <w:tc>
          <w:tcPr>
            <w:tcW w:w="824" w:type="dxa"/>
            <w:vAlign w:val="center"/>
          </w:tcPr>
          <w:p>
            <w:pPr>
              <w:widowControl/>
              <w:jc w:val="center"/>
              <w:rPr>
                <w:rFonts w:asciiTheme="majorEastAsia" w:hAnsiTheme="majorEastAsia" w:eastAsiaTheme="majorEastAsia" w:cstheme="majorEastAsia"/>
                <w:bCs/>
                <w:sz w:val="28"/>
                <w:szCs w:val="28"/>
              </w:rPr>
            </w:pPr>
            <w:r>
              <w:rPr>
                <w:rFonts w:asciiTheme="majorEastAsia" w:hAnsiTheme="majorEastAsia" w:eastAsiaTheme="majorEastAsia" w:cstheme="majorEastAsia"/>
                <w:bCs/>
                <w:sz w:val="28"/>
                <w:szCs w:val="28"/>
              </w:rPr>
              <w:t>4</w:t>
            </w:r>
          </w:p>
        </w:tc>
        <w:tc>
          <w:tcPr>
            <w:tcW w:w="1843" w:type="dxa"/>
            <w:vAlign w:val="center"/>
          </w:tcPr>
          <w:p>
            <w:pPr>
              <w:widowControl/>
              <w:jc w:val="center"/>
              <w:rPr>
                <w:rFonts w:asciiTheme="majorEastAsia" w:hAnsiTheme="majorEastAsia" w:eastAsiaTheme="majorEastAsia" w:cstheme="majorEastAsia"/>
                <w:bCs/>
                <w:sz w:val="24"/>
                <w:szCs w:val="24"/>
              </w:rPr>
            </w:pPr>
          </w:p>
        </w:tc>
        <w:tc>
          <w:tcPr>
            <w:tcW w:w="850" w:type="dxa"/>
            <w:vAlign w:val="center"/>
          </w:tcPr>
          <w:p>
            <w:pPr>
              <w:widowControl/>
              <w:jc w:val="center"/>
              <w:rPr>
                <w:rFonts w:asciiTheme="majorEastAsia" w:hAnsiTheme="majorEastAsia" w:eastAsiaTheme="majorEastAsia" w:cstheme="majorEastAsia"/>
                <w:bCs/>
                <w:sz w:val="24"/>
                <w:szCs w:val="24"/>
              </w:rPr>
            </w:pPr>
          </w:p>
        </w:tc>
        <w:tc>
          <w:tcPr>
            <w:tcW w:w="1418" w:type="dxa"/>
            <w:shd w:val="clear" w:color="auto" w:fill="auto"/>
          </w:tcPr>
          <w:p>
            <w:pPr>
              <w:widowControl/>
              <w:jc w:val="center"/>
              <w:rPr>
                <w:rFonts w:asciiTheme="majorEastAsia" w:hAnsiTheme="majorEastAsia" w:eastAsiaTheme="majorEastAsia" w:cstheme="majorEastAsia"/>
                <w:bCs/>
                <w:sz w:val="24"/>
                <w:szCs w:val="24"/>
              </w:rPr>
            </w:pPr>
          </w:p>
        </w:tc>
        <w:tc>
          <w:tcPr>
            <w:tcW w:w="1843" w:type="dxa"/>
          </w:tcPr>
          <w:p>
            <w:pPr>
              <w:widowControl/>
              <w:jc w:val="center"/>
              <w:rPr>
                <w:rFonts w:asciiTheme="majorEastAsia" w:hAnsiTheme="majorEastAsia" w:eastAsiaTheme="majorEastAsia" w:cstheme="majorEastAsia"/>
                <w:bCs/>
                <w:sz w:val="24"/>
                <w:szCs w:val="24"/>
                <w:u w:val="single"/>
              </w:rPr>
            </w:pPr>
          </w:p>
        </w:tc>
        <w:tc>
          <w:tcPr>
            <w:tcW w:w="1701" w:type="dxa"/>
          </w:tcPr>
          <w:p>
            <w:pPr>
              <w:widowControl/>
              <w:jc w:val="center"/>
              <w:rPr>
                <w:rFonts w:asciiTheme="majorEastAsia" w:hAnsiTheme="majorEastAsia" w:eastAsiaTheme="majorEastAsia" w:cstheme="majorEastAsia"/>
                <w:bCs/>
                <w:sz w:val="28"/>
                <w:szCs w:val="28"/>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trHeight w:val="23" w:hRule="atLeast"/>
        </w:trPr>
        <w:tc>
          <w:tcPr>
            <w:tcW w:w="824" w:type="dxa"/>
            <w:vAlign w:val="center"/>
          </w:tcPr>
          <w:p>
            <w:pPr>
              <w:widowControl/>
              <w:jc w:val="center"/>
              <w:rPr>
                <w:rFonts w:asciiTheme="majorEastAsia" w:hAnsiTheme="majorEastAsia" w:eastAsiaTheme="majorEastAsia" w:cstheme="majorEastAsia"/>
                <w:bCs/>
                <w:sz w:val="28"/>
                <w:szCs w:val="28"/>
              </w:rPr>
            </w:pPr>
            <w:r>
              <w:rPr>
                <w:rFonts w:asciiTheme="majorEastAsia" w:hAnsiTheme="majorEastAsia" w:eastAsiaTheme="majorEastAsia" w:cstheme="majorEastAsia"/>
                <w:bCs/>
                <w:sz w:val="28"/>
                <w:szCs w:val="28"/>
              </w:rPr>
              <w:t>5</w:t>
            </w:r>
          </w:p>
        </w:tc>
        <w:tc>
          <w:tcPr>
            <w:tcW w:w="1843" w:type="dxa"/>
            <w:vAlign w:val="center"/>
          </w:tcPr>
          <w:p>
            <w:pPr>
              <w:widowControl/>
              <w:jc w:val="center"/>
              <w:rPr>
                <w:rFonts w:asciiTheme="majorEastAsia" w:hAnsiTheme="majorEastAsia" w:eastAsiaTheme="majorEastAsia" w:cstheme="majorEastAsia"/>
                <w:bCs/>
                <w:sz w:val="24"/>
                <w:szCs w:val="24"/>
              </w:rPr>
            </w:pPr>
          </w:p>
        </w:tc>
        <w:tc>
          <w:tcPr>
            <w:tcW w:w="850" w:type="dxa"/>
            <w:vAlign w:val="center"/>
          </w:tcPr>
          <w:p>
            <w:pPr>
              <w:tabs>
                <w:tab w:val="left" w:pos="1500"/>
              </w:tabs>
              <w:spacing w:before="2" w:line="320" w:lineRule="exact"/>
              <w:jc w:val="center"/>
              <w:rPr>
                <w:rFonts w:asciiTheme="majorEastAsia" w:hAnsiTheme="majorEastAsia" w:eastAsiaTheme="majorEastAsia" w:cstheme="majorEastAsia"/>
                <w:bCs/>
                <w:sz w:val="24"/>
                <w:szCs w:val="24"/>
              </w:rPr>
            </w:pPr>
          </w:p>
        </w:tc>
        <w:tc>
          <w:tcPr>
            <w:tcW w:w="1418" w:type="dxa"/>
            <w:shd w:val="clear" w:color="auto" w:fill="auto"/>
          </w:tcPr>
          <w:p>
            <w:pPr>
              <w:widowControl/>
              <w:jc w:val="center"/>
              <w:rPr>
                <w:rFonts w:asciiTheme="majorEastAsia" w:hAnsiTheme="majorEastAsia" w:eastAsiaTheme="majorEastAsia" w:cstheme="majorEastAsia"/>
                <w:bCs/>
                <w:sz w:val="24"/>
                <w:szCs w:val="24"/>
              </w:rPr>
            </w:pPr>
          </w:p>
        </w:tc>
        <w:tc>
          <w:tcPr>
            <w:tcW w:w="1843" w:type="dxa"/>
          </w:tcPr>
          <w:p>
            <w:pPr>
              <w:widowControl/>
              <w:jc w:val="center"/>
              <w:rPr>
                <w:rFonts w:asciiTheme="majorEastAsia" w:hAnsiTheme="majorEastAsia" w:eastAsiaTheme="majorEastAsia" w:cstheme="majorEastAsia"/>
                <w:bCs/>
                <w:sz w:val="24"/>
                <w:szCs w:val="24"/>
                <w:u w:val="single"/>
              </w:rPr>
            </w:pPr>
          </w:p>
        </w:tc>
        <w:tc>
          <w:tcPr>
            <w:tcW w:w="1701" w:type="dxa"/>
          </w:tcPr>
          <w:p>
            <w:pPr>
              <w:widowControl/>
              <w:jc w:val="center"/>
              <w:rPr>
                <w:rFonts w:asciiTheme="majorEastAsia" w:hAnsiTheme="majorEastAsia" w:eastAsiaTheme="majorEastAsia" w:cstheme="majorEastAsia"/>
                <w:bCs/>
                <w:sz w:val="28"/>
                <w:szCs w:val="28"/>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trHeight w:val="23" w:hRule="atLeast"/>
        </w:trPr>
        <w:tc>
          <w:tcPr>
            <w:tcW w:w="6778" w:type="dxa"/>
            <w:gridSpan w:val="5"/>
            <w:vAlign w:val="center"/>
          </w:tcPr>
          <w:p>
            <w:pPr>
              <w:jc w:val="center"/>
              <w:rPr>
                <w:rFonts w:asciiTheme="majorEastAsia" w:hAnsiTheme="majorEastAsia" w:eastAsiaTheme="majorEastAsia" w:cstheme="majorEastAsia"/>
                <w:bCs/>
                <w:sz w:val="28"/>
                <w:u w:val="single"/>
              </w:rPr>
            </w:pPr>
            <w:r>
              <w:rPr>
                <w:rFonts w:hint="eastAsia" w:asciiTheme="majorEastAsia" w:hAnsiTheme="majorEastAsia" w:eastAsiaTheme="majorEastAsia" w:cstheme="majorEastAsia"/>
                <w:b/>
                <w:bCs/>
                <w:sz w:val="28"/>
              </w:rPr>
              <w:t>投标报价（报价合计）</w:t>
            </w:r>
          </w:p>
        </w:tc>
        <w:tc>
          <w:tcPr>
            <w:tcW w:w="1701" w:type="dxa"/>
          </w:tcPr>
          <w:p>
            <w:pPr>
              <w:jc w:val="center"/>
              <w:rPr>
                <w:rFonts w:asciiTheme="majorEastAsia" w:hAnsiTheme="majorEastAsia" w:eastAsiaTheme="majorEastAsia" w:cstheme="majorEastAsia"/>
                <w:b/>
                <w:bCs/>
                <w:sz w:val="28"/>
              </w:rPr>
            </w:pPr>
            <w:r>
              <w:rPr>
                <w:rFonts w:asciiTheme="majorEastAsia" w:hAnsiTheme="majorEastAsia" w:eastAsiaTheme="majorEastAsia" w:cstheme="majorEastAsia"/>
                <w:bCs/>
                <w:sz w:val="28"/>
                <w:u w:val="single"/>
              </w:rPr>
              <w:t>XX</w:t>
            </w:r>
            <w:r>
              <w:rPr>
                <w:rFonts w:hint="eastAsia" w:asciiTheme="majorEastAsia" w:hAnsiTheme="majorEastAsia" w:eastAsiaTheme="majorEastAsia" w:cstheme="majorEastAsia"/>
                <w:bCs/>
                <w:sz w:val="28"/>
              </w:rPr>
              <w:t>元</w:t>
            </w:r>
          </w:p>
        </w:tc>
      </w:tr>
    </w:tbl>
    <w:p>
      <w:pPr>
        <w:rPr>
          <w:rFonts w:ascii="宋体" w:hAnsi="宋体"/>
          <w:sz w:val="28"/>
          <w:lang w:val="zh-CN"/>
        </w:rPr>
      </w:pPr>
      <w:r>
        <w:rPr>
          <w:rFonts w:hint="eastAsia" w:ascii="宋体" w:hAnsi="宋体"/>
          <w:sz w:val="28"/>
          <w:lang w:val="zh-CN"/>
        </w:rPr>
        <w:t>投标人名称：XXXX</w:t>
      </w:r>
    </w:p>
    <w:p>
      <w:pPr>
        <w:rPr>
          <w:rFonts w:ascii="宋体" w:hAnsi="宋体"/>
          <w:bCs/>
          <w:sz w:val="28"/>
          <w:szCs w:val="28"/>
        </w:rPr>
      </w:pPr>
      <w:r>
        <w:rPr>
          <w:rFonts w:hint="eastAsia" w:ascii="宋体" w:hAnsi="宋体"/>
          <w:sz w:val="28"/>
        </w:rPr>
        <w:t>日期：</w:t>
      </w:r>
      <w:r>
        <w:rPr>
          <w:rFonts w:hint="eastAsia" w:ascii="宋体" w:hAnsi="宋体"/>
          <w:bCs/>
          <w:sz w:val="28"/>
        </w:rPr>
        <w:t>20XX年XX月XX日</w:t>
      </w:r>
    </w:p>
    <w:p>
      <w:pPr>
        <w:pStyle w:val="12"/>
        <w:spacing w:after="0" w:line="240" w:lineRule="auto"/>
        <w:ind w:firstLine="0"/>
        <w:rPr>
          <w:rFonts w:ascii="宋体" w:hAnsi="宋体"/>
          <w:b/>
          <w:sz w:val="28"/>
        </w:rPr>
      </w:pPr>
      <w:r>
        <w:rPr>
          <w:rFonts w:hint="eastAsia" w:ascii="宋体" w:hAnsi="宋体"/>
          <w:b/>
          <w:sz w:val="28"/>
        </w:rPr>
        <w:t>说明：投标人应根据投标报价的构成，以学校（单位）为单位分别提供详细的分项报价明细表，报价合计应包括投标人完成本项目所需的一切费用。如</w:t>
      </w:r>
      <w:r>
        <w:rPr>
          <w:rFonts w:ascii="宋体" w:hAnsi="宋体"/>
          <w:b/>
          <w:sz w:val="28"/>
        </w:rPr>
        <w:t>投标人配备的人员有增加的，可自行调整人数。</w:t>
      </w:r>
    </w:p>
    <w:p>
      <w:pPr>
        <w:keepNext/>
        <w:keepLines/>
        <w:spacing w:line="360" w:lineRule="auto"/>
        <w:outlineLvl w:val="2"/>
        <w:rPr>
          <w:rFonts w:ascii="宋体" w:hAnsi="宋体"/>
          <w:b/>
          <w:bCs/>
          <w:sz w:val="28"/>
          <w:szCs w:val="28"/>
        </w:rPr>
      </w:pPr>
      <w:r>
        <w:rPr>
          <w:rFonts w:ascii="宋体" w:hAnsi="宋体"/>
          <w:b/>
          <w:sz w:val="28"/>
        </w:rPr>
        <w:br w:type="column"/>
      </w:r>
    </w:p>
    <w:p>
      <w:pPr>
        <w:keepNext/>
        <w:keepLines/>
        <w:numPr>
          <w:ilvl w:val="2"/>
          <w:numId w:val="3"/>
        </w:numPr>
        <w:spacing w:line="360" w:lineRule="auto"/>
        <w:ind w:left="3119" w:hanging="3119"/>
        <w:outlineLvl w:val="2"/>
        <w:rPr>
          <w:rFonts w:ascii="宋体" w:hAnsi="宋体"/>
          <w:b/>
          <w:bCs/>
          <w:sz w:val="28"/>
          <w:szCs w:val="28"/>
        </w:rPr>
      </w:pPr>
      <w:r>
        <w:rPr>
          <w:rFonts w:hint="eastAsia" w:ascii="宋体" w:hAnsi="宋体"/>
          <w:b/>
          <w:bCs/>
          <w:sz w:val="28"/>
          <w:szCs w:val="28"/>
        </w:rPr>
        <w:t>中小企业申明函</w:t>
      </w:r>
    </w:p>
    <w:p>
      <w:pPr>
        <w:spacing w:line="500" w:lineRule="exact"/>
        <w:jc w:val="center"/>
        <w:rPr>
          <w:rFonts w:ascii="宋体" w:hAnsi="宋体"/>
          <w:b/>
          <w:color w:val="000000" w:themeColor="text1"/>
          <w:spacing w:val="6"/>
          <w:sz w:val="28"/>
          <w:szCs w:val="28"/>
          <w14:textFill>
            <w14:solidFill>
              <w14:schemeClr w14:val="tx1"/>
            </w14:solidFill>
          </w14:textFill>
        </w:rPr>
      </w:pPr>
      <w:r>
        <w:rPr>
          <w:rFonts w:hint="eastAsia" w:ascii="宋体" w:hAnsi="宋体"/>
          <w:b/>
          <w:color w:val="000000" w:themeColor="text1"/>
          <w:spacing w:val="6"/>
          <w:sz w:val="28"/>
          <w:szCs w:val="28"/>
          <w14:textFill>
            <w14:solidFill>
              <w14:schemeClr w14:val="tx1"/>
            </w14:solidFill>
          </w14:textFill>
        </w:rPr>
        <w:t>中小企业声明函</w:t>
      </w:r>
    </w:p>
    <w:p>
      <w:pPr>
        <w:spacing w:line="500" w:lineRule="exact"/>
        <w:ind w:firstLine="584" w:firstLineChars="200"/>
        <w:rPr>
          <w:rFonts w:ascii="宋体" w:hAnsi="宋体"/>
          <w:color w:val="000000" w:themeColor="text1"/>
          <w:spacing w:val="6"/>
          <w:sz w:val="28"/>
          <w:szCs w:val="28"/>
          <w14:textFill>
            <w14:solidFill>
              <w14:schemeClr w14:val="tx1"/>
            </w14:solidFill>
          </w14:textFill>
        </w:rPr>
      </w:pPr>
      <w:r>
        <w:rPr>
          <w:rFonts w:hint="eastAsia" w:ascii="宋体" w:hAnsi="宋体"/>
          <w:color w:val="000000" w:themeColor="text1"/>
          <w:spacing w:val="6"/>
          <w:sz w:val="28"/>
          <w:szCs w:val="28"/>
          <w14:textFill>
            <w14:solidFill>
              <w14:schemeClr w14:val="tx1"/>
            </w14:solidFill>
          </w14:textFill>
        </w:rPr>
        <w:t>本公司郑重声明，根据《政府采购促进中小企业发展管理办法》（财库〔</w:t>
      </w:r>
      <w:r>
        <w:rPr>
          <w:rFonts w:ascii="宋体" w:hAnsi="宋体"/>
          <w:color w:val="000000" w:themeColor="text1"/>
          <w:spacing w:val="6"/>
          <w:sz w:val="28"/>
          <w:szCs w:val="28"/>
          <w14:textFill>
            <w14:solidFill>
              <w14:schemeClr w14:val="tx1"/>
            </w14:solidFill>
          </w14:textFill>
        </w:rPr>
        <w:t>2020〕46号）的规定，本公司参加</w:t>
      </w:r>
      <w:r>
        <w:rPr>
          <w:rFonts w:hint="eastAsia" w:ascii="宋体" w:hAnsi="宋体"/>
          <w:b/>
          <w:color w:val="000000" w:themeColor="text1"/>
          <w:sz w:val="28"/>
          <w:szCs w:val="28"/>
          <w:u w:val="single"/>
          <w14:textFill>
            <w14:solidFill>
              <w14:schemeClr w14:val="tx1"/>
            </w14:solidFill>
          </w14:textFill>
        </w:rPr>
        <w:t>项目名称（项目编号）</w:t>
      </w:r>
      <w:r>
        <w:rPr>
          <w:rFonts w:hint="eastAsia" w:ascii="宋体" w:hAnsi="宋体"/>
          <w:color w:val="000000" w:themeColor="text1"/>
          <w:spacing w:val="6"/>
          <w:sz w:val="28"/>
          <w:szCs w:val="28"/>
          <w14:textFill>
            <w14:solidFill>
              <w14:schemeClr w14:val="tx1"/>
            </w14:solidFill>
          </w14:textFill>
        </w:rPr>
        <w:t>采购活动，服务全部由符合政策要求的中小企业承接。相关企业的具体情况如下：</w:t>
      </w:r>
    </w:p>
    <w:p>
      <w:pPr>
        <w:tabs>
          <w:tab w:val="left" w:pos="1134"/>
        </w:tabs>
        <w:spacing w:line="500" w:lineRule="exact"/>
        <w:ind w:firstLine="584" w:firstLineChars="200"/>
        <w:rPr>
          <w:rFonts w:ascii="宋体" w:hAnsi="宋体"/>
          <w:color w:val="000000" w:themeColor="text1"/>
          <w:spacing w:val="6"/>
          <w:sz w:val="28"/>
          <w:szCs w:val="28"/>
          <w14:textFill>
            <w14:solidFill>
              <w14:schemeClr w14:val="tx1"/>
            </w14:solidFill>
          </w14:textFill>
        </w:rPr>
      </w:pPr>
      <w:r>
        <w:rPr>
          <w:rFonts w:hint="eastAsia" w:ascii="宋体" w:hAnsi="宋体"/>
          <w:color w:val="000000" w:themeColor="text1"/>
          <w:spacing w:val="6"/>
          <w:sz w:val="28"/>
          <w:szCs w:val="28"/>
          <w:u w:val="single"/>
          <w14:textFill>
            <w14:solidFill>
              <w14:schemeClr w14:val="tx1"/>
            </w14:solidFill>
          </w14:textFill>
        </w:rPr>
        <w:t>物业管理服务（标的名称）</w:t>
      </w:r>
      <w:r>
        <w:rPr>
          <w:rFonts w:hint="eastAsia" w:ascii="宋体" w:hAnsi="宋体"/>
          <w:color w:val="000000" w:themeColor="text1"/>
          <w:spacing w:val="6"/>
          <w:sz w:val="28"/>
          <w:szCs w:val="28"/>
          <w14:textFill>
            <w14:solidFill>
              <w14:schemeClr w14:val="tx1"/>
            </w14:solidFill>
          </w14:textFill>
        </w:rPr>
        <w:t>，属于</w:t>
      </w:r>
      <w:r>
        <w:rPr>
          <w:rFonts w:hint="eastAsia" w:ascii="宋体" w:hAnsi="宋体"/>
          <w:color w:val="000000" w:themeColor="text1"/>
          <w:spacing w:val="6"/>
          <w:sz w:val="28"/>
          <w:szCs w:val="28"/>
          <w:u w:val="single"/>
          <w14:textFill>
            <w14:solidFill>
              <w14:schemeClr w14:val="tx1"/>
            </w14:solidFill>
          </w14:textFill>
        </w:rPr>
        <w:t>物业管理（采购文件中明确的所属行业）</w:t>
      </w:r>
      <w:r>
        <w:rPr>
          <w:rFonts w:hint="eastAsia" w:ascii="宋体" w:hAnsi="宋体"/>
          <w:color w:val="000000" w:themeColor="text1"/>
          <w:spacing w:val="6"/>
          <w:sz w:val="28"/>
          <w:szCs w:val="28"/>
          <w14:textFill>
            <w14:solidFill>
              <w14:schemeClr w14:val="tx1"/>
            </w14:solidFill>
          </w14:textFill>
        </w:rPr>
        <w:t>；承接企业为</w:t>
      </w:r>
      <w:r>
        <w:rPr>
          <w:rFonts w:ascii="宋体" w:hAnsi="宋体"/>
          <w:color w:val="000000" w:themeColor="text1"/>
          <w:spacing w:val="6"/>
          <w:sz w:val="28"/>
          <w:szCs w:val="28"/>
          <w:u w:val="single"/>
          <w14:textFill>
            <w14:solidFill>
              <w14:schemeClr w14:val="tx1"/>
            </w14:solidFill>
          </w14:textFill>
        </w:rPr>
        <w:t>XXX</w:t>
      </w:r>
      <w:r>
        <w:rPr>
          <w:rFonts w:hint="eastAsia" w:ascii="宋体" w:hAnsi="宋体"/>
          <w:color w:val="000000" w:themeColor="text1"/>
          <w:spacing w:val="6"/>
          <w:sz w:val="28"/>
          <w:szCs w:val="28"/>
          <w:u w:val="single"/>
          <w14:textFill>
            <w14:solidFill>
              <w14:schemeClr w14:val="tx1"/>
            </w14:solidFill>
          </w14:textFill>
        </w:rPr>
        <w:t>X</w:t>
      </w:r>
      <w:r>
        <w:rPr>
          <w:rFonts w:ascii="宋体" w:hAnsi="宋体"/>
          <w:color w:val="000000" w:themeColor="text1"/>
          <w:spacing w:val="6"/>
          <w:sz w:val="28"/>
          <w:szCs w:val="28"/>
          <w:u w:val="single"/>
          <w14:textFill>
            <w14:solidFill>
              <w14:schemeClr w14:val="tx1"/>
            </w14:solidFill>
          </w14:textFill>
        </w:rPr>
        <w:t>（企业名称）</w:t>
      </w:r>
      <w:r>
        <w:rPr>
          <w:rFonts w:hint="eastAsia" w:ascii="宋体" w:hAnsi="宋体"/>
          <w:color w:val="000000" w:themeColor="text1"/>
          <w:spacing w:val="6"/>
          <w:sz w:val="28"/>
          <w:szCs w:val="28"/>
          <w14:textFill>
            <w14:solidFill>
              <w14:schemeClr w14:val="tx1"/>
            </w14:solidFill>
          </w14:textFill>
        </w:rPr>
        <w:t>，从业人员</w:t>
      </w:r>
      <w:r>
        <w:rPr>
          <w:rFonts w:ascii="宋体" w:hAnsi="宋体"/>
          <w:color w:val="000000" w:themeColor="text1"/>
          <w:spacing w:val="6"/>
          <w:sz w:val="28"/>
          <w:szCs w:val="28"/>
          <w:u w:val="single"/>
          <w14:textFill>
            <w14:solidFill>
              <w14:schemeClr w14:val="tx1"/>
            </w14:solidFill>
          </w14:textFill>
        </w:rPr>
        <w:t>XX</w:t>
      </w:r>
      <w:r>
        <w:rPr>
          <w:rFonts w:hint="eastAsia" w:ascii="宋体" w:hAnsi="宋体"/>
          <w:color w:val="000000" w:themeColor="text1"/>
          <w:spacing w:val="6"/>
          <w:sz w:val="28"/>
          <w:szCs w:val="28"/>
          <w14:textFill>
            <w14:solidFill>
              <w14:schemeClr w14:val="tx1"/>
            </w14:solidFill>
          </w14:textFill>
        </w:rPr>
        <w:t>人，营业收入为</w:t>
      </w:r>
      <w:r>
        <w:rPr>
          <w:rFonts w:ascii="宋体" w:hAnsi="宋体"/>
          <w:color w:val="000000" w:themeColor="text1"/>
          <w:spacing w:val="6"/>
          <w:sz w:val="28"/>
          <w:szCs w:val="28"/>
          <w:u w:val="single"/>
          <w14:textFill>
            <w14:solidFill>
              <w14:schemeClr w14:val="tx1"/>
            </w14:solidFill>
          </w14:textFill>
        </w:rPr>
        <w:t>XX</w:t>
      </w:r>
      <w:r>
        <w:rPr>
          <w:rFonts w:hint="eastAsia" w:ascii="宋体" w:hAnsi="宋体"/>
          <w:color w:val="000000" w:themeColor="text1"/>
          <w:spacing w:val="6"/>
          <w:sz w:val="28"/>
          <w:szCs w:val="28"/>
          <w14:textFill>
            <w14:solidFill>
              <w14:schemeClr w14:val="tx1"/>
            </w14:solidFill>
          </w14:textFill>
        </w:rPr>
        <w:t>万元，资产总额为</w:t>
      </w:r>
      <w:r>
        <w:rPr>
          <w:rFonts w:ascii="宋体" w:hAnsi="宋体"/>
          <w:color w:val="000000" w:themeColor="text1"/>
          <w:spacing w:val="6"/>
          <w:sz w:val="28"/>
          <w:szCs w:val="28"/>
          <w:u w:val="single"/>
          <w14:textFill>
            <w14:solidFill>
              <w14:schemeClr w14:val="tx1"/>
            </w14:solidFill>
          </w14:textFill>
        </w:rPr>
        <w:t>XX</w:t>
      </w:r>
      <w:r>
        <w:rPr>
          <w:rFonts w:hint="eastAsia" w:ascii="宋体" w:hAnsi="宋体"/>
          <w:color w:val="000000" w:themeColor="text1"/>
          <w:spacing w:val="6"/>
          <w:sz w:val="28"/>
          <w:szCs w:val="28"/>
          <w14:textFill>
            <w14:solidFill>
              <w14:schemeClr w14:val="tx1"/>
            </w14:solidFill>
          </w14:textFill>
        </w:rPr>
        <w:t>万元，属于</w:t>
      </w:r>
      <w:r>
        <w:rPr>
          <w:rFonts w:ascii="宋体" w:hAnsi="宋体"/>
          <w:color w:val="000000" w:themeColor="text1"/>
          <w:spacing w:val="6"/>
          <w:sz w:val="28"/>
          <w:szCs w:val="28"/>
          <w:u w:val="single"/>
          <w14:textFill>
            <w14:solidFill>
              <w14:schemeClr w14:val="tx1"/>
            </w14:solidFill>
          </w14:textFill>
        </w:rPr>
        <w:t>XXXX（中型企业、小型企业、微型企业）</w:t>
      </w:r>
      <w:r>
        <w:rPr>
          <w:rFonts w:hint="eastAsia" w:ascii="宋体" w:hAnsi="宋体"/>
          <w:color w:val="000000" w:themeColor="text1"/>
          <w:spacing w:val="6"/>
          <w:sz w:val="28"/>
          <w:szCs w:val="28"/>
          <w14:textFill>
            <w14:solidFill>
              <w14:schemeClr w14:val="tx1"/>
            </w14:solidFill>
          </w14:textFill>
        </w:rPr>
        <w:t>。</w:t>
      </w:r>
    </w:p>
    <w:p>
      <w:pPr>
        <w:tabs>
          <w:tab w:val="left" w:pos="1134"/>
        </w:tabs>
        <w:spacing w:line="500" w:lineRule="exact"/>
        <w:ind w:firstLine="584" w:firstLineChars="200"/>
        <w:rPr>
          <w:rFonts w:ascii="宋体" w:hAnsi="宋体"/>
          <w:color w:val="000000" w:themeColor="text1"/>
          <w:spacing w:val="6"/>
          <w:sz w:val="28"/>
          <w:szCs w:val="28"/>
          <w14:textFill>
            <w14:solidFill>
              <w14:schemeClr w14:val="tx1"/>
            </w14:solidFill>
          </w14:textFill>
        </w:rPr>
      </w:pPr>
      <w:r>
        <w:rPr>
          <w:rFonts w:hint="eastAsia" w:ascii="宋体" w:hAnsi="宋体"/>
          <w:color w:val="000000" w:themeColor="text1"/>
          <w:spacing w:val="6"/>
          <w:sz w:val="28"/>
          <w:szCs w:val="28"/>
          <w14:textFill>
            <w14:solidFill>
              <w14:schemeClr w14:val="tx1"/>
            </w14:solidFill>
          </w14:textFill>
        </w:rPr>
        <w:t>以上企业，不属于大企业的分支机构，不存在控股股东为大企业的情形，也不存在与大企业的负责人为同一人的情形。</w:t>
      </w:r>
    </w:p>
    <w:p>
      <w:pPr>
        <w:tabs>
          <w:tab w:val="left" w:pos="1134"/>
        </w:tabs>
        <w:spacing w:line="500" w:lineRule="exact"/>
        <w:ind w:firstLine="584" w:firstLineChars="200"/>
        <w:rPr>
          <w:rFonts w:ascii="宋体" w:hAnsi="宋体"/>
          <w:color w:val="000000" w:themeColor="text1"/>
          <w:spacing w:val="6"/>
          <w:sz w:val="28"/>
          <w:szCs w:val="28"/>
          <w14:textFill>
            <w14:solidFill>
              <w14:schemeClr w14:val="tx1"/>
            </w14:solidFill>
          </w14:textFill>
        </w:rPr>
      </w:pPr>
      <w:r>
        <w:rPr>
          <w:rFonts w:hint="eastAsia" w:ascii="宋体" w:hAnsi="宋体"/>
          <w:color w:val="000000" w:themeColor="text1"/>
          <w:spacing w:val="6"/>
          <w:sz w:val="28"/>
          <w:szCs w:val="28"/>
          <w14:textFill>
            <w14:solidFill>
              <w14:schemeClr w14:val="tx1"/>
            </w14:solidFill>
          </w14:textFill>
        </w:rPr>
        <w:t>本企业对上述声明内容的真实性负责。如有虚假，将依法承担相应责任。</w:t>
      </w:r>
    </w:p>
    <w:p>
      <w:pPr>
        <w:spacing w:line="500" w:lineRule="exact"/>
        <w:ind w:firstLine="586" w:firstLineChars="200"/>
        <w:rPr>
          <w:rFonts w:ascii="宋体" w:hAnsi="宋体"/>
          <w:b/>
          <w:color w:val="000000" w:themeColor="text1"/>
          <w:spacing w:val="6"/>
          <w:sz w:val="28"/>
          <w:szCs w:val="28"/>
          <w14:textFill>
            <w14:solidFill>
              <w14:schemeClr w14:val="tx1"/>
            </w14:solidFill>
          </w14:textFill>
        </w:rPr>
      </w:pPr>
    </w:p>
    <w:p>
      <w:pPr>
        <w:spacing w:line="500" w:lineRule="exact"/>
        <w:ind w:firstLine="586" w:firstLineChars="200"/>
        <w:rPr>
          <w:rFonts w:ascii="宋体" w:hAnsi="宋体"/>
          <w:b/>
          <w:color w:val="000000" w:themeColor="text1"/>
          <w:spacing w:val="6"/>
          <w:sz w:val="28"/>
          <w:szCs w:val="28"/>
          <w14:textFill>
            <w14:solidFill>
              <w14:schemeClr w14:val="tx1"/>
            </w14:solidFill>
          </w14:textFill>
        </w:rPr>
      </w:pPr>
    </w:p>
    <w:p>
      <w:pPr>
        <w:spacing w:line="500" w:lineRule="exact"/>
        <w:rPr>
          <w:rFonts w:ascii="宋体" w:hAnsi="宋体"/>
          <w:b/>
          <w:color w:val="000000" w:themeColor="text1"/>
          <w:spacing w:val="6"/>
          <w:sz w:val="28"/>
          <w:szCs w:val="28"/>
          <w14:textFill>
            <w14:solidFill>
              <w14:schemeClr w14:val="tx1"/>
            </w14:solidFill>
          </w14:textFill>
        </w:rPr>
      </w:pPr>
    </w:p>
    <w:p>
      <w:pPr>
        <w:tabs>
          <w:tab w:val="left" w:pos="3969"/>
        </w:tabs>
        <w:spacing w:line="500" w:lineRule="exact"/>
        <w:ind w:right="-58" w:firstLine="584" w:firstLineChars="200"/>
        <w:jc w:val="left"/>
        <w:rPr>
          <w:rFonts w:ascii="宋体" w:hAnsi="宋体"/>
          <w:color w:val="000000" w:themeColor="text1"/>
          <w:spacing w:val="6"/>
          <w:sz w:val="28"/>
          <w:szCs w:val="28"/>
          <w14:textFill>
            <w14:solidFill>
              <w14:schemeClr w14:val="tx1"/>
            </w14:solidFill>
          </w14:textFill>
        </w:rPr>
      </w:pPr>
      <w:r>
        <w:rPr>
          <w:rFonts w:hint="eastAsia" w:ascii="宋体" w:hAnsi="宋体"/>
          <w:color w:val="000000" w:themeColor="text1"/>
          <w:spacing w:val="6"/>
          <w:sz w:val="28"/>
          <w:szCs w:val="28"/>
          <w14:textFill>
            <w14:solidFill>
              <w14:schemeClr w14:val="tx1"/>
            </w14:solidFill>
          </w14:textFill>
        </w:rPr>
        <w:t>企业名称：</w:t>
      </w:r>
      <w:r>
        <w:rPr>
          <w:rFonts w:ascii="宋体" w:hAnsi="宋体"/>
          <w:color w:val="000000" w:themeColor="text1"/>
          <w:sz w:val="28"/>
          <w:szCs w:val="28"/>
          <w:u w:val="single"/>
          <w14:textFill>
            <w14:solidFill>
              <w14:schemeClr w14:val="tx1"/>
            </w14:solidFill>
          </w14:textFill>
        </w:rPr>
        <w:t>XXXX</w:t>
      </w:r>
      <w:r>
        <w:rPr>
          <w:rFonts w:ascii="宋体" w:hAnsi="宋体"/>
          <w:color w:val="000000" w:themeColor="text1"/>
          <w:spacing w:val="6"/>
          <w:sz w:val="28"/>
          <w:szCs w:val="28"/>
          <w14:textFill>
            <w14:solidFill>
              <w14:schemeClr w14:val="tx1"/>
            </w14:solidFill>
          </w14:textFill>
        </w:rPr>
        <w:t xml:space="preserve"> </w:t>
      </w:r>
    </w:p>
    <w:p>
      <w:pPr>
        <w:tabs>
          <w:tab w:val="left" w:pos="3969"/>
        </w:tabs>
        <w:spacing w:line="500" w:lineRule="exact"/>
        <w:ind w:right="-58" w:firstLine="584" w:firstLineChars="200"/>
        <w:jc w:val="left"/>
        <w:rPr>
          <w:color w:val="000000" w:themeColor="text1"/>
          <w:sz w:val="28"/>
          <w:szCs w:val="28"/>
          <w14:textFill>
            <w14:solidFill>
              <w14:schemeClr w14:val="tx1"/>
            </w14:solidFill>
          </w14:textFill>
        </w:rPr>
      </w:pPr>
      <w:r>
        <w:rPr>
          <w:rFonts w:hint="eastAsia" w:ascii="宋体" w:hAnsi="宋体"/>
          <w:color w:val="000000" w:themeColor="text1"/>
          <w:spacing w:val="6"/>
          <w:sz w:val="28"/>
          <w:szCs w:val="28"/>
          <w14:textFill>
            <w14:solidFill>
              <w14:schemeClr w14:val="tx1"/>
            </w14:solidFill>
          </w14:textFill>
        </w:rPr>
        <w:t>日</w:t>
      </w:r>
      <w:r>
        <w:rPr>
          <w:rFonts w:ascii="宋体" w:hAnsi="宋体"/>
          <w:color w:val="000000" w:themeColor="text1"/>
          <w:spacing w:val="6"/>
          <w:sz w:val="28"/>
          <w:szCs w:val="28"/>
          <w14:textFill>
            <w14:solidFill>
              <w14:schemeClr w14:val="tx1"/>
            </w14:solidFill>
          </w14:textFill>
        </w:rPr>
        <w:t xml:space="preserve">  </w:t>
      </w:r>
      <w:r>
        <w:rPr>
          <w:rFonts w:hint="eastAsia" w:ascii="宋体" w:hAnsi="宋体"/>
          <w:color w:val="000000" w:themeColor="text1"/>
          <w:spacing w:val="6"/>
          <w:sz w:val="28"/>
          <w:szCs w:val="28"/>
          <w14:textFill>
            <w14:solidFill>
              <w14:schemeClr w14:val="tx1"/>
            </w14:solidFill>
          </w14:textFill>
        </w:rPr>
        <w:t>期：</w:t>
      </w:r>
      <w:r>
        <w:rPr>
          <w:rFonts w:ascii="宋体" w:hAnsi="宋体"/>
          <w:color w:val="000000" w:themeColor="text1"/>
          <w:sz w:val="28"/>
          <w:szCs w:val="28"/>
          <w14:textFill>
            <w14:solidFill>
              <w14:schemeClr w14:val="tx1"/>
            </w14:solidFill>
          </w14:textFill>
        </w:rPr>
        <w:t>20</w:t>
      </w:r>
      <w:r>
        <w:rPr>
          <w:rFonts w:ascii="宋体" w:hAnsi="宋体"/>
          <w:color w:val="000000" w:themeColor="text1"/>
          <w:sz w:val="28"/>
          <w:szCs w:val="28"/>
          <w:u w:val="single"/>
          <w14:textFill>
            <w14:solidFill>
              <w14:schemeClr w14:val="tx1"/>
            </w14:solidFill>
          </w14:textFill>
        </w:rPr>
        <w:t>XX</w:t>
      </w:r>
      <w:r>
        <w:rPr>
          <w:rFonts w:ascii="宋体" w:hAnsi="宋体"/>
          <w:color w:val="000000" w:themeColor="text1"/>
          <w:sz w:val="28"/>
          <w:szCs w:val="28"/>
          <w14:textFill>
            <w14:solidFill>
              <w14:schemeClr w14:val="tx1"/>
            </w14:solidFill>
          </w14:textFill>
        </w:rPr>
        <w:t>年</w:t>
      </w:r>
      <w:r>
        <w:rPr>
          <w:rFonts w:ascii="宋体" w:hAnsi="宋体"/>
          <w:color w:val="000000" w:themeColor="text1"/>
          <w:sz w:val="28"/>
          <w:szCs w:val="28"/>
          <w:u w:val="single"/>
          <w14:textFill>
            <w14:solidFill>
              <w14:schemeClr w14:val="tx1"/>
            </w14:solidFill>
          </w14:textFill>
        </w:rPr>
        <w:t>XX</w:t>
      </w:r>
      <w:r>
        <w:rPr>
          <w:rFonts w:ascii="宋体" w:hAnsi="宋体"/>
          <w:color w:val="000000" w:themeColor="text1"/>
          <w:sz w:val="28"/>
          <w:szCs w:val="28"/>
          <w14:textFill>
            <w14:solidFill>
              <w14:schemeClr w14:val="tx1"/>
            </w14:solidFill>
          </w14:textFill>
        </w:rPr>
        <w:t>月</w:t>
      </w:r>
      <w:r>
        <w:rPr>
          <w:rFonts w:ascii="宋体" w:hAnsi="宋体"/>
          <w:color w:val="000000" w:themeColor="text1"/>
          <w:sz w:val="28"/>
          <w:szCs w:val="28"/>
          <w:u w:val="single"/>
          <w14:textFill>
            <w14:solidFill>
              <w14:schemeClr w14:val="tx1"/>
            </w14:solidFill>
          </w14:textFill>
        </w:rPr>
        <w:t>XX</w:t>
      </w:r>
      <w:r>
        <w:rPr>
          <w:rFonts w:ascii="宋体" w:hAnsi="宋体"/>
          <w:color w:val="000000" w:themeColor="text1"/>
          <w:sz w:val="28"/>
          <w:szCs w:val="28"/>
          <w14:textFill>
            <w14:solidFill>
              <w14:schemeClr w14:val="tx1"/>
            </w14:solidFill>
          </w14:textFill>
        </w:rPr>
        <w:t>日</w:t>
      </w:r>
    </w:p>
    <w:p>
      <w:pPr>
        <w:keepNext/>
        <w:keepLines/>
        <w:spacing w:line="360" w:lineRule="auto"/>
        <w:outlineLvl w:val="2"/>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kern w:val="0"/>
          <w:sz w:val="28"/>
          <w:szCs w:val="28"/>
          <w14:textFill>
            <w14:solidFill>
              <w14:schemeClr w14:val="tx1"/>
            </w14:solidFill>
          </w14:textFill>
        </w:rPr>
        <w:t>说明：</w:t>
      </w:r>
      <w:r>
        <w:rPr>
          <w:rFonts w:ascii="宋体" w:hAnsi="宋体"/>
          <w:b/>
          <w:color w:val="000000" w:themeColor="text1"/>
          <w:sz w:val="28"/>
          <w:szCs w:val="28"/>
          <w14:textFill>
            <w14:solidFill>
              <w14:schemeClr w14:val="tx1"/>
            </w14:solidFill>
          </w14:textFill>
        </w:rPr>
        <w:t>从业人员、营业收入、资产总额填报上</w:t>
      </w:r>
      <w:r>
        <w:rPr>
          <w:rFonts w:hint="eastAsia" w:ascii="宋体" w:hAnsi="宋体"/>
          <w:b/>
          <w:color w:val="000000" w:themeColor="text1"/>
          <w:sz w:val="28"/>
          <w:szCs w:val="28"/>
          <w14:textFill>
            <w14:solidFill>
              <w14:schemeClr w14:val="tx1"/>
            </w14:solidFill>
          </w14:textFill>
        </w:rPr>
        <w:t>一</w:t>
      </w:r>
      <w:r>
        <w:rPr>
          <w:rFonts w:ascii="宋体" w:hAnsi="宋体"/>
          <w:b/>
          <w:color w:val="000000" w:themeColor="text1"/>
          <w:sz w:val="28"/>
          <w:szCs w:val="28"/>
          <w14:textFill>
            <w14:solidFill>
              <w14:schemeClr w14:val="tx1"/>
            </w14:solidFill>
          </w14:textFill>
        </w:rPr>
        <w:t>年度数据，无上一年度</w:t>
      </w:r>
      <w:r>
        <w:rPr>
          <w:rFonts w:hint="eastAsia" w:ascii="宋体" w:hAnsi="宋体"/>
          <w:b/>
          <w:color w:val="000000" w:themeColor="text1"/>
          <w:sz w:val="28"/>
          <w:szCs w:val="28"/>
          <w14:textFill>
            <w14:solidFill>
              <w14:schemeClr w14:val="tx1"/>
            </w14:solidFill>
          </w14:textFill>
        </w:rPr>
        <w:t>数据</w:t>
      </w:r>
      <w:r>
        <w:rPr>
          <w:rFonts w:ascii="宋体" w:hAnsi="宋体"/>
          <w:b/>
          <w:color w:val="000000" w:themeColor="text1"/>
          <w:sz w:val="28"/>
          <w:szCs w:val="28"/>
          <w14:textFill>
            <w14:solidFill>
              <w14:schemeClr w14:val="tx1"/>
            </w14:solidFill>
          </w14:textFill>
        </w:rPr>
        <w:t>的新成立企业可不填报。</w:t>
      </w:r>
    </w:p>
    <w:p>
      <w:pPr>
        <w:rPr>
          <w:rFonts w:ascii="宋体" w:hAnsi="宋体"/>
          <w:b/>
          <w:color w:val="000000" w:themeColor="text1"/>
          <w:sz w:val="28"/>
          <w:szCs w:val="28"/>
          <w14:textFill>
            <w14:solidFill>
              <w14:schemeClr w14:val="tx1"/>
            </w14:solidFill>
          </w14:textFill>
        </w:rPr>
      </w:pPr>
      <w:r>
        <w:rPr>
          <w:rFonts w:ascii="宋体" w:hAnsi="宋体"/>
          <w:b/>
          <w:color w:val="000000" w:themeColor="text1"/>
          <w:sz w:val="28"/>
          <w:szCs w:val="28"/>
          <w14:textFill>
            <w14:solidFill>
              <w14:schemeClr w14:val="tx1"/>
            </w14:solidFill>
          </w14:textFill>
        </w:rPr>
        <w:br w:type="page"/>
      </w:r>
    </w:p>
    <w:p>
      <w:pPr>
        <w:keepNext/>
        <w:keepLines/>
        <w:numPr>
          <w:ilvl w:val="2"/>
          <w:numId w:val="3"/>
        </w:numPr>
        <w:spacing w:line="360" w:lineRule="auto"/>
        <w:ind w:left="3119" w:hanging="3119"/>
        <w:outlineLvl w:val="2"/>
        <w:rPr>
          <w:rFonts w:ascii="宋体" w:hAnsi="宋体"/>
          <w:b/>
          <w:bCs/>
          <w:sz w:val="28"/>
          <w:szCs w:val="28"/>
        </w:rPr>
      </w:pPr>
      <w:r>
        <w:rPr>
          <w:rFonts w:hint="eastAsia" w:ascii="宋体" w:hAnsi="宋体"/>
          <w:b/>
          <w:bCs/>
          <w:sz w:val="28"/>
          <w:szCs w:val="28"/>
        </w:rPr>
        <w:t>残疾人福利性单位声明函</w:t>
      </w:r>
    </w:p>
    <w:p>
      <w:pPr>
        <w:spacing w:line="500" w:lineRule="exact"/>
        <w:jc w:val="center"/>
        <w:rPr>
          <w:rFonts w:ascii="宋体" w:hAnsi="宋体"/>
          <w:b/>
          <w:color w:val="000000" w:themeColor="text1"/>
          <w:spacing w:val="6"/>
          <w:sz w:val="28"/>
          <w:szCs w:val="28"/>
          <w14:textFill>
            <w14:solidFill>
              <w14:schemeClr w14:val="tx1"/>
            </w14:solidFill>
          </w14:textFill>
        </w:rPr>
      </w:pPr>
      <w:r>
        <w:rPr>
          <w:rFonts w:hint="eastAsia" w:ascii="宋体" w:hAnsi="宋体"/>
          <w:b/>
          <w:color w:val="000000" w:themeColor="text1"/>
          <w:spacing w:val="6"/>
          <w:sz w:val="28"/>
          <w:szCs w:val="28"/>
          <w14:textFill>
            <w14:solidFill>
              <w14:schemeClr w14:val="tx1"/>
            </w14:solidFill>
          </w14:textFill>
        </w:rPr>
        <w:t>残疾人福利性单位声明函</w:t>
      </w:r>
    </w:p>
    <w:p>
      <w:pPr>
        <w:spacing w:line="440" w:lineRule="exact"/>
        <w:rPr>
          <w:rFonts w:ascii="仿宋_GB2312" w:eastAsia="仿宋_GB2312"/>
          <w:b/>
          <w:color w:val="000000" w:themeColor="text1"/>
          <w:spacing w:val="6"/>
          <w:sz w:val="30"/>
          <w:szCs w:val="30"/>
          <w14:textFill>
            <w14:solidFill>
              <w14:schemeClr w14:val="tx1"/>
            </w14:solidFill>
          </w14:textFill>
        </w:rPr>
      </w:pPr>
    </w:p>
    <w:p>
      <w:pPr>
        <w:tabs>
          <w:tab w:val="left" w:pos="1134"/>
        </w:tabs>
        <w:spacing w:line="500" w:lineRule="exact"/>
        <w:ind w:firstLine="584" w:firstLineChars="200"/>
        <w:rPr>
          <w:rFonts w:ascii="宋体" w:hAnsi="宋体"/>
          <w:color w:val="000000" w:themeColor="text1"/>
          <w:spacing w:val="6"/>
          <w:sz w:val="28"/>
          <w:szCs w:val="28"/>
          <w14:textFill>
            <w14:solidFill>
              <w14:schemeClr w14:val="tx1"/>
            </w14:solidFill>
          </w14:textFill>
        </w:rPr>
      </w:pPr>
      <w:r>
        <w:rPr>
          <w:rFonts w:hint="eastAsia" w:ascii="宋体" w:hAnsi="宋体"/>
          <w:color w:val="000000" w:themeColor="text1"/>
          <w:spacing w:val="6"/>
          <w:sz w:val="28"/>
          <w:szCs w:val="28"/>
          <w14:textFill>
            <w14:solidFill>
              <w14:schemeClr w14:val="tx1"/>
            </w14:solidFill>
          </w14:textFill>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b/>
          <w:bCs/>
          <w:color w:val="000000" w:themeColor="text1"/>
          <w:spacing w:val="6"/>
          <w:sz w:val="28"/>
          <w:szCs w:val="28"/>
          <w:u w:val="single"/>
          <w14:textFill>
            <w14:solidFill>
              <w14:schemeClr w14:val="tx1"/>
            </w14:solidFill>
          </w14:textFill>
        </w:rPr>
        <w:t>（项目名称）</w:t>
      </w:r>
      <w:r>
        <w:rPr>
          <w:rFonts w:hint="eastAsia" w:ascii="宋体" w:hAnsi="宋体"/>
          <w:color w:val="000000" w:themeColor="text1"/>
          <w:spacing w:val="6"/>
          <w:sz w:val="28"/>
          <w:szCs w:val="28"/>
          <w14:textFill>
            <w14:solidFill>
              <w14:schemeClr w14:val="tx1"/>
            </w14:solidFill>
          </w14:textFill>
        </w:rPr>
        <w:t>采购活动由本单位提供服务。</w:t>
      </w:r>
    </w:p>
    <w:p>
      <w:pPr>
        <w:tabs>
          <w:tab w:val="left" w:pos="1134"/>
        </w:tabs>
        <w:spacing w:line="500" w:lineRule="exact"/>
        <w:ind w:firstLine="584" w:firstLineChars="200"/>
        <w:rPr>
          <w:rFonts w:ascii="宋体" w:hAnsi="宋体"/>
          <w:color w:val="000000" w:themeColor="text1"/>
          <w:spacing w:val="6"/>
          <w:sz w:val="28"/>
          <w:szCs w:val="28"/>
          <w14:textFill>
            <w14:solidFill>
              <w14:schemeClr w14:val="tx1"/>
            </w14:solidFill>
          </w14:textFill>
        </w:rPr>
      </w:pPr>
      <w:r>
        <w:rPr>
          <w:rFonts w:hint="eastAsia" w:ascii="宋体" w:hAnsi="宋体"/>
          <w:color w:val="000000" w:themeColor="text1"/>
          <w:spacing w:val="6"/>
          <w:sz w:val="28"/>
          <w:szCs w:val="28"/>
          <w14:textFill>
            <w14:solidFill>
              <w14:schemeClr w14:val="tx1"/>
            </w14:solidFill>
          </w14:textFill>
        </w:rPr>
        <w:t>本单位对上述声明的真实性负责。如有虚假，将依法承担相应责任。</w:t>
      </w:r>
    </w:p>
    <w:p>
      <w:pPr>
        <w:overflowPunct w:val="0"/>
        <w:spacing w:line="520" w:lineRule="exact"/>
        <w:ind w:firstLine="560" w:firstLineChars="200"/>
        <w:rPr>
          <w:rFonts w:ascii="Times New Roman" w:hAnsi="Times New Roman" w:eastAsia="仿宋_GB2312"/>
          <w:bCs/>
          <w:color w:val="000000" w:themeColor="text1"/>
          <w:sz w:val="28"/>
          <w:szCs w:val="28"/>
          <w14:textFill>
            <w14:solidFill>
              <w14:schemeClr w14:val="tx1"/>
            </w14:solidFill>
          </w14:textFill>
        </w:rPr>
      </w:pPr>
    </w:p>
    <w:p>
      <w:pPr>
        <w:overflowPunct w:val="0"/>
        <w:spacing w:line="546" w:lineRule="exact"/>
        <w:ind w:firstLine="560" w:firstLineChars="200"/>
        <w:rPr>
          <w:rFonts w:ascii="Times New Roman" w:hAnsi="Times New Roman" w:eastAsia="仿宋_GB2312"/>
          <w:bCs/>
          <w:color w:val="000000" w:themeColor="text1"/>
          <w:sz w:val="28"/>
          <w:szCs w:val="28"/>
          <w14:textFill>
            <w14:solidFill>
              <w14:schemeClr w14:val="tx1"/>
            </w14:solidFill>
          </w14:textFill>
        </w:rPr>
      </w:pPr>
    </w:p>
    <w:p>
      <w:pPr>
        <w:overflowPunct w:val="0"/>
        <w:spacing w:line="546" w:lineRule="exact"/>
        <w:ind w:firstLine="560" w:firstLineChars="200"/>
        <w:rPr>
          <w:rFonts w:ascii="Times New Roman" w:hAnsi="Times New Roman" w:eastAsia="仿宋_GB2312"/>
          <w:bCs/>
          <w:color w:val="000000" w:themeColor="text1"/>
          <w:sz w:val="28"/>
          <w:szCs w:val="28"/>
          <w14:textFill>
            <w14:solidFill>
              <w14:schemeClr w14:val="tx1"/>
            </w14:solidFill>
          </w14:textFill>
        </w:rPr>
      </w:pPr>
    </w:p>
    <w:p>
      <w:pPr>
        <w:overflowPunct w:val="0"/>
        <w:spacing w:line="546" w:lineRule="exact"/>
        <w:ind w:firstLine="560" w:firstLineChars="200"/>
        <w:rPr>
          <w:rFonts w:ascii="Times New Roman" w:hAnsi="Times New Roman" w:eastAsia="仿宋_GB2312"/>
          <w:bCs/>
          <w:color w:val="000000" w:themeColor="text1"/>
          <w:sz w:val="28"/>
          <w:szCs w:val="28"/>
          <w14:textFill>
            <w14:solidFill>
              <w14:schemeClr w14:val="tx1"/>
            </w14:solidFill>
          </w14:textFill>
        </w:rPr>
      </w:pPr>
    </w:p>
    <w:p>
      <w:pPr>
        <w:overflowPunct w:val="0"/>
        <w:spacing w:line="546" w:lineRule="exact"/>
        <w:ind w:firstLine="560" w:firstLineChars="200"/>
        <w:rPr>
          <w:rFonts w:ascii="Times New Roman" w:hAnsi="Times New Roman" w:eastAsia="仿宋_GB2312"/>
          <w:bCs/>
          <w:color w:val="000000" w:themeColor="text1"/>
          <w:sz w:val="28"/>
          <w:szCs w:val="28"/>
          <w14:textFill>
            <w14:solidFill>
              <w14:schemeClr w14:val="tx1"/>
            </w14:solidFill>
          </w14:textFill>
        </w:rPr>
      </w:pPr>
    </w:p>
    <w:p>
      <w:pPr>
        <w:overflowPunct w:val="0"/>
        <w:spacing w:line="546" w:lineRule="exact"/>
        <w:ind w:firstLine="560" w:firstLineChars="200"/>
        <w:rPr>
          <w:rFonts w:ascii="Times New Roman" w:hAnsi="Times New Roman" w:eastAsia="仿宋_GB2312"/>
          <w:bCs/>
          <w:color w:val="000000" w:themeColor="text1"/>
          <w:sz w:val="28"/>
          <w:szCs w:val="28"/>
          <w14:textFill>
            <w14:solidFill>
              <w14:schemeClr w14:val="tx1"/>
            </w14:solidFill>
          </w14:textFill>
        </w:rPr>
      </w:pPr>
    </w:p>
    <w:p>
      <w:pPr>
        <w:overflowPunct w:val="0"/>
        <w:spacing w:line="546" w:lineRule="exact"/>
        <w:ind w:firstLine="560" w:firstLineChars="200"/>
        <w:rPr>
          <w:rFonts w:ascii="Times New Roman" w:hAnsi="Times New Roman" w:eastAsia="仿宋_GB2312"/>
          <w:bCs/>
          <w:color w:val="000000" w:themeColor="text1"/>
          <w:sz w:val="28"/>
          <w:szCs w:val="28"/>
          <w14:textFill>
            <w14:solidFill>
              <w14:schemeClr w14:val="tx1"/>
            </w14:solidFill>
          </w14:textFill>
        </w:rPr>
      </w:pPr>
    </w:p>
    <w:p>
      <w:pPr>
        <w:overflowPunct w:val="0"/>
        <w:spacing w:line="546" w:lineRule="exact"/>
        <w:ind w:firstLine="560" w:firstLineChars="200"/>
        <w:rPr>
          <w:rFonts w:ascii="Times New Roman" w:hAnsi="Times New Roman" w:eastAsia="仿宋_GB2312"/>
          <w:bCs/>
          <w:color w:val="000000" w:themeColor="text1"/>
          <w:sz w:val="28"/>
          <w:szCs w:val="28"/>
          <w14:textFill>
            <w14:solidFill>
              <w14:schemeClr w14:val="tx1"/>
            </w14:solidFill>
          </w14:textFill>
        </w:rPr>
      </w:pPr>
    </w:p>
    <w:p>
      <w:pPr>
        <w:tabs>
          <w:tab w:val="left" w:pos="3969"/>
        </w:tabs>
        <w:spacing w:line="500" w:lineRule="exact"/>
        <w:ind w:right="-58" w:firstLine="584" w:firstLineChars="200"/>
        <w:jc w:val="left"/>
        <w:rPr>
          <w:rFonts w:ascii="宋体" w:hAnsi="宋体"/>
          <w:color w:val="000000" w:themeColor="text1"/>
          <w:spacing w:val="6"/>
          <w:sz w:val="28"/>
          <w:szCs w:val="28"/>
          <w14:textFill>
            <w14:solidFill>
              <w14:schemeClr w14:val="tx1"/>
            </w14:solidFill>
          </w14:textFill>
        </w:rPr>
      </w:pPr>
      <w:r>
        <w:rPr>
          <w:rFonts w:hint="eastAsia" w:ascii="宋体" w:hAnsi="宋体"/>
          <w:color w:val="000000" w:themeColor="text1"/>
          <w:spacing w:val="6"/>
          <w:sz w:val="28"/>
          <w:szCs w:val="28"/>
          <w14:textFill>
            <w14:solidFill>
              <w14:schemeClr w14:val="tx1"/>
            </w14:solidFill>
          </w14:textFill>
        </w:rPr>
        <w:t>单位名称：</w:t>
      </w:r>
      <w:r>
        <w:rPr>
          <w:rFonts w:ascii="宋体" w:hAnsi="宋体"/>
          <w:color w:val="000000" w:themeColor="text1"/>
          <w:sz w:val="28"/>
          <w:szCs w:val="28"/>
          <w:u w:val="single"/>
          <w14:textFill>
            <w14:solidFill>
              <w14:schemeClr w14:val="tx1"/>
            </w14:solidFill>
          </w14:textFill>
        </w:rPr>
        <w:t>XXXX</w:t>
      </w:r>
      <w:r>
        <w:rPr>
          <w:rFonts w:ascii="宋体" w:hAnsi="宋体"/>
          <w:color w:val="000000" w:themeColor="text1"/>
          <w:spacing w:val="6"/>
          <w:sz w:val="28"/>
          <w:szCs w:val="28"/>
          <w14:textFill>
            <w14:solidFill>
              <w14:schemeClr w14:val="tx1"/>
            </w14:solidFill>
          </w14:textFill>
        </w:rPr>
        <w:t xml:space="preserve"> </w:t>
      </w:r>
    </w:p>
    <w:p>
      <w:pPr>
        <w:tabs>
          <w:tab w:val="left" w:pos="3969"/>
        </w:tabs>
        <w:spacing w:line="500" w:lineRule="exact"/>
        <w:ind w:right="-58" w:firstLine="584" w:firstLineChars="20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pacing w:val="6"/>
          <w:sz w:val="28"/>
          <w:szCs w:val="28"/>
          <w14:textFill>
            <w14:solidFill>
              <w14:schemeClr w14:val="tx1"/>
            </w14:solidFill>
          </w14:textFill>
        </w:rPr>
        <w:t>日</w:t>
      </w:r>
      <w:r>
        <w:rPr>
          <w:rFonts w:ascii="宋体" w:hAnsi="宋体"/>
          <w:color w:val="000000" w:themeColor="text1"/>
          <w:spacing w:val="6"/>
          <w:sz w:val="28"/>
          <w:szCs w:val="28"/>
          <w14:textFill>
            <w14:solidFill>
              <w14:schemeClr w14:val="tx1"/>
            </w14:solidFill>
          </w14:textFill>
        </w:rPr>
        <w:t xml:space="preserve">  </w:t>
      </w:r>
      <w:r>
        <w:rPr>
          <w:rFonts w:hint="eastAsia" w:ascii="宋体" w:hAnsi="宋体"/>
          <w:color w:val="000000" w:themeColor="text1"/>
          <w:spacing w:val="6"/>
          <w:sz w:val="28"/>
          <w:szCs w:val="28"/>
          <w14:textFill>
            <w14:solidFill>
              <w14:schemeClr w14:val="tx1"/>
            </w14:solidFill>
          </w14:textFill>
        </w:rPr>
        <w:t>期：</w:t>
      </w:r>
      <w:r>
        <w:rPr>
          <w:rFonts w:ascii="宋体" w:hAnsi="宋体"/>
          <w:color w:val="000000" w:themeColor="text1"/>
          <w:sz w:val="28"/>
          <w:szCs w:val="28"/>
          <w14:textFill>
            <w14:solidFill>
              <w14:schemeClr w14:val="tx1"/>
            </w14:solidFill>
          </w14:textFill>
        </w:rPr>
        <w:t>20</w:t>
      </w:r>
      <w:r>
        <w:rPr>
          <w:rFonts w:ascii="宋体" w:hAnsi="宋体"/>
          <w:color w:val="000000" w:themeColor="text1"/>
          <w:sz w:val="28"/>
          <w:szCs w:val="28"/>
          <w:u w:val="single"/>
          <w14:textFill>
            <w14:solidFill>
              <w14:schemeClr w14:val="tx1"/>
            </w14:solidFill>
          </w14:textFill>
        </w:rPr>
        <w:t>XX</w:t>
      </w:r>
      <w:r>
        <w:rPr>
          <w:rFonts w:ascii="宋体" w:hAnsi="宋体"/>
          <w:color w:val="000000" w:themeColor="text1"/>
          <w:sz w:val="28"/>
          <w:szCs w:val="28"/>
          <w14:textFill>
            <w14:solidFill>
              <w14:schemeClr w14:val="tx1"/>
            </w14:solidFill>
          </w14:textFill>
        </w:rPr>
        <w:t>年</w:t>
      </w:r>
      <w:r>
        <w:rPr>
          <w:rFonts w:ascii="宋体" w:hAnsi="宋体"/>
          <w:color w:val="000000" w:themeColor="text1"/>
          <w:sz w:val="28"/>
          <w:szCs w:val="28"/>
          <w:u w:val="single"/>
          <w14:textFill>
            <w14:solidFill>
              <w14:schemeClr w14:val="tx1"/>
            </w14:solidFill>
          </w14:textFill>
        </w:rPr>
        <w:t>XX</w:t>
      </w:r>
      <w:r>
        <w:rPr>
          <w:rFonts w:ascii="宋体" w:hAnsi="宋体"/>
          <w:color w:val="000000" w:themeColor="text1"/>
          <w:sz w:val="28"/>
          <w:szCs w:val="28"/>
          <w14:textFill>
            <w14:solidFill>
              <w14:schemeClr w14:val="tx1"/>
            </w14:solidFill>
          </w14:textFill>
        </w:rPr>
        <w:t>月</w:t>
      </w:r>
      <w:r>
        <w:rPr>
          <w:rFonts w:ascii="宋体" w:hAnsi="宋体"/>
          <w:color w:val="000000" w:themeColor="text1"/>
          <w:sz w:val="28"/>
          <w:szCs w:val="28"/>
          <w:u w:val="single"/>
          <w14:textFill>
            <w14:solidFill>
              <w14:schemeClr w14:val="tx1"/>
            </w14:solidFill>
          </w14:textFill>
        </w:rPr>
        <w:t>XX</w:t>
      </w:r>
      <w:r>
        <w:rPr>
          <w:rFonts w:ascii="宋体" w:hAnsi="宋体"/>
          <w:color w:val="000000" w:themeColor="text1"/>
          <w:sz w:val="28"/>
          <w:szCs w:val="28"/>
          <w14:textFill>
            <w14:solidFill>
              <w14:schemeClr w14:val="tx1"/>
            </w14:solidFill>
          </w14:textFill>
        </w:rPr>
        <w:t>日</w:t>
      </w:r>
    </w:p>
    <w:p>
      <w:pPr>
        <w:tabs>
          <w:tab w:val="left" w:pos="3969"/>
        </w:tabs>
        <w:spacing w:line="500" w:lineRule="exact"/>
        <w:ind w:right="-58" w:firstLine="560" w:firstLineChars="200"/>
        <w:jc w:val="left"/>
        <w:rPr>
          <w:rFonts w:ascii="宋体" w:hAnsi="宋体"/>
          <w:color w:val="000000" w:themeColor="text1"/>
          <w:sz w:val="28"/>
          <w:szCs w:val="28"/>
          <w14:textFill>
            <w14:solidFill>
              <w14:schemeClr w14:val="tx1"/>
            </w14:solidFill>
          </w14:textFill>
        </w:rPr>
      </w:pPr>
    </w:p>
    <w:p>
      <w:pPr>
        <w:tabs>
          <w:tab w:val="left" w:pos="3969"/>
        </w:tabs>
        <w:spacing w:line="500" w:lineRule="exact"/>
        <w:ind w:right="-58" w:firstLine="560" w:firstLineChars="200"/>
        <w:jc w:val="left"/>
        <w:rPr>
          <w:rFonts w:ascii="宋体" w:hAnsi="宋体"/>
          <w:color w:val="000000" w:themeColor="text1"/>
          <w:sz w:val="28"/>
          <w:szCs w:val="28"/>
          <w14:textFill>
            <w14:solidFill>
              <w14:schemeClr w14:val="tx1"/>
            </w14:solidFill>
          </w14:textFill>
        </w:rPr>
      </w:pPr>
    </w:p>
    <w:p>
      <w:pPr>
        <w:tabs>
          <w:tab w:val="left" w:pos="3969"/>
        </w:tabs>
        <w:spacing w:line="500" w:lineRule="exact"/>
        <w:ind w:right="-58" w:firstLine="560" w:firstLineChars="200"/>
        <w:jc w:val="left"/>
        <w:rPr>
          <w:rFonts w:ascii="宋体" w:hAnsi="宋体"/>
          <w:color w:val="000000" w:themeColor="text1"/>
          <w:sz w:val="28"/>
          <w:szCs w:val="28"/>
          <w14:textFill>
            <w14:solidFill>
              <w14:schemeClr w14:val="tx1"/>
            </w14:solidFill>
          </w14:textFill>
        </w:rPr>
      </w:pPr>
    </w:p>
    <w:p>
      <w:pPr>
        <w:tabs>
          <w:tab w:val="left" w:pos="3969"/>
        </w:tabs>
        <w:spacing w:line="500" w:lineRule="exact"/>
        <w:ind w:right="-58" w:firstLine="560" w:firstLineChars="200"/>
        <w:jc w:val="left"/>
        <w:rPr>
          <w:rFonts w:ascii="宋体" w:hAnsi="宋体"/>
          <w:color w:val="000000" w:themeColor="text1"/>
          <w:sz w:val="28"/>
          <w:szCs w:val="28"/>
          <w14:textFill>
            <w14:solidFill>
              <w14:schemeClr w14:val="tx1"/>
            </w14:solidFill>
          </w14:textFill>
        </w:rPr>
      </w:pPr>
    </w:p>
    <w:p>
      <w:pPr>
        <w:tabs>
          <w:tab w:val="left" w:pos="3969"/>
        </w:tabs>
        <w:spacing w:line="500" w:lineRule="exact"/>
        <w:ind w:right="-58" w:firstLine="560" w:firstLineChars="200"/>
        <w:jc w:val="left"/>
        <w:rPr>
          <w:rFonts w:ascii="宋体" w:hAnsi="宋体"/>
          <w:color w:val="000000" w:themeColor="text1"/>
          <w:sz w:val="28"/>
          <w:szCs w:val="28"/>
          <w14:textFill>
            <w14:solidFill>
              <w14:schemeClr w14:val="tx1"/>
            </w14:solidFill>
          </w14:textFill>
        </w:rPr>
      </w:pPr>
    </w:p>
    <w:bookmarkEnd w:id="220"/>
    <w:bookmarkEnd w:id="221"/>
    <w:bookmarkEnd w:id="222"/>
    <w:bookmarkEnd w:id="223"/>
    <w:p>
      <w:pPr>
        <w:pStyle w:val="2"/>
        <w:numPr>
          <w:ilvl w:val="0"/>
          <w:numId w:val="3"/>
        </w:numPr>
        <w:spacing w:before="0" w:after="0" w:line="500" w:lineRule="exact"/>
        <w:rPr>
          <w:color w:val="000000" w:themeColor="text1"/>
          <w14:textFill>
            <w14:solidFill>
              <w14:schemeClr w14:val="tx1"/>
            </w14:solidFill>
          </w14:textFill>
        </w:rPr>
      </w:pPr>
      <w:bookmarkStart w:id="226" w:name="_Toc77584654"/>
      <w:bookmarkStart w:id="227" w:name="_Toc17291826"/>
      <w:bookmarkStart w:id="228" w:name="_Toc1870"/>
      <w:bookmarkStart w:id="229" w:name="_Toc30585"/>
      <w:bookmarkStart w:id="230" w:name="_Toc24469"/>
      <w:bookmarkStart w:id="231" w:name="_Toc4768"/>
      <w:bookmarkStart w:id="232" w:name="_Toc316292231"/>
      <w:bookmarkStart w:id="233" w:name="_Toc321382057"/>
      <w:r>
        <w:rPr>
          <w:rFonts w:hint="eastAsia"/>
          <w:color w:val="000000" w:themeColor="text1"/>
          <w14:textFill>
            <w14:solidFill>
              <w14:schemeClr w14:val="tx1"/>
            </w14:solidFill>
          </w14:textFill>
        </w:rPr>
        <w:t>招标项目服务、商务及其他要求</w:t>
      </w:r>
      <w:bookmarkEnd w:id="226"/>
      <w:bookmarkEnd w:id="227"/>
      <w:bookmarkEnd w:id="228"/>
      <w:bookmarkEnd w:id="229"/>
      <w:bookmarkEnd w:id="230"/>
      <w:bookmarkEnd w:id="231"/>
    </w:p>
    <w:bookmarkEnd w:id="232"/>
    <w:bookmarkEnd w:id="233"/>
    <w:p>
      <w:pPr>
        <w:pStyle w:val="3"/>
        <w:numPr>
          <w:ilvl w:val="1"/>
          <w:numId w:val="3"/>
        </w:numPr>
        <w:tabs>
          <w:tab w:val="left" w:pos="0"/>
          <w:tab w:val="left" w:pos="426"/>
          <w:tab w:val="left" w:pos="576"/>
          <w:tab w:val="left" w:pos="786"/>
        </w:tabs>
        <w:spacing w:before="0" w:after="0" w:line="500" w:lineRule="exact"/>
        <w:ind w:left="0" w:firstLine="0"/>
        <w:jc w:val="both"/>
        <w:rPr>
          <w:color w:val="000000" w:themeColor="text1"/>
          <w14:textFill>
            <w14:solidFill>
              <w14:schemeClr w14:val="tx1"/>
            </w14:solidFill>
          </w14:textFill>
        </w:rPr>
      </w:pPr>
      <w:bookmarkStart w:id="234" w:name="_Toc54857461"/>
      <w:bookmarkStart w:id="235" w:name="_Toc77584655"/>
      <w:bookmarkStart w:id="236" w:name="_Toc24101"/>
      <w:bookmarkStart w:id="237" w:name="_Toc26497"/>
      <w:bookmarkStart w:id="238" w:name="_Toc5355"/>
      <w:bookmarkStart w:id="239" w:name="_Toc21821"/>
      <w:bookmarkStart w:id="240" w:name="_Toc8639"/>
      <w:r>
        <w:rPr>
          <w:rFonts w:hint="eastAsia"/>
          <w:color w:val="000000" w:themeColor="text1"/>
          <w14:textFill>
            <w14:solidFill>
              <w14:schemeClr w14:val="tx1"/>
            </w14:solidFill>
          </w14:textFill>
        </w:rPr>
        <w:t>项目概况</w:t>
      </w:r>
      <w:bookmarkEnd w:id="234"/>
      <w:bookmarkEnd w:id="235"/>
    </w:p>
    <w:p>
      <w:pPr>
        <w:tabs>
          <w:tab w:val="left" w:pos="0"/>
        </w:tabs>
        <w:adjustRightInd w:val="0"/>
        <w:snapToGrid w:val="0"/>
        <w:spacing w:line="560" w:lineRule="exact"/>
        <w:ind w:firstLine="560" w:firstLineChars="200"/>
        <w:rPr>
          <w:rFonts w:ascii="宋体" w:hAnsi="宋体" w:cs="宋体"/>
          <w:sz w:val="28"/>
          <w:szCs w:val="28"/>
          <w:lang w:val="zh-CN"/>
        </w:rPr>
      </w:pPr>
      <w:bookmarkStart w:id="241" w:name="_Toc54857462"/>
      <w:bookmarkStart w:id="242" w:name="_Toc24356540"/>
      <w:bookmarkStart w:id="243" w:name="_Toc4576"/>
      <w:bookmarkStart w:id="244" w:name="_Toc4509118"/>
      <w:bookmarkStart w:id="245" w:name="_Toc77584656"/>
      <w:bookmarkStart w:id="246" w:name="_Toc30090"/>
      <w:bookmarkStart w:id="247" w:name="_Toc13016"/>
      <w:bookmarkStart w:id="248" w:name="_Toc3868"/>
      <w:bookmarkStart w:id="249" w:name="_Toc31844"/>
      <w:bookmarkStart w:id="250" w:name="_Toc513796935"/>
      <w:r>
        <w:rPr>
          <w:rFonts w:hint="eastAsia" w:ascii="宋体" w:hAnsi="宋体" w:cs="宋体"/>
          <w:sz w:val="28"/>
          <w:szCs w:val="28"/>
          <w:lang w:val="zh-CN"/>
        </w:rPr>
        <w:t>一、项目预算：年度费用为11260480.00元/年。</w:t>
      </w:r>
    </w:p>
    <w:p>
      <w:pPr>
        <w:tabs>
          <w:tab w:val="left" w:pos="0"/>
        </w:tabs>
        <w:adjustRightInd w:val="0"/>
        <w:snapToGrid w:val="0"/>
        <w:spacing w:line="560" w:lineRule="exact"/>
        <w:ind w:firstLine="560" w:firstLineChars="200"/>
        <w:rPr>
          <w:rFonts w:ascii="宋体" w:hAnsi="宋体" w:cs="宋体"/>
          <w:sz w:val="28"/>
          <w:szCs w:val="28"/>
          <w:lang w:val="zh-CN"/>
        </w:rPr>
      </w:pPr>
      <w:r>
        <w:rPr>
          <w:rFonts w:hint="eastAsia" w:ascii="宋体" w:hAnsi="宋体" w:cs="宋体"/>
          <w:sz w:val="28"/>
          <w:szCs w:val="28"/>
          <w:lang w:val="zh-CN"/>
        </w:rPr>
        <w:t>二、实施时间：实验小学附属幼儿园服务期为一年；其余学校服务期为三年。合同一年一签。</w:t>
      </w:r>
    </w:p>
    <w:p>
      <w:pPr>
        <w:pStyle w:val="3"/>
        <w:numPr>
          <w:ilvl w:val="1"/>
          <w:numId w:val="3"/>
        </w:numPr>
        <w:tabs>
          <w:tab w:val="left" w:pos="0"/>
          <w:tab w:val="left" w:pos="426"/>
          <w:tab w:val="left" w:pos="576"/>
          <w:tab w:val="left" w:pos="786"/>
        </w:tabs>
        <w:spacing w:before="0" w:after="0" w:line="520" w:lineRule="exact"/>
        <w:ind w:left="0" w:firstLine="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服务内容及要求</w:t>
      </w:r>
      <w:bookmarkEnd w:id="241"/>
      <w:bookmarkEnd w:id="242"/>
      <w:bookmarkEnd w:id="243"/>
      <w:bookmarkEnd w:id="244"/>
      <w:bookmarkEnd w:id="245"/>
      <w:bookmarkEnd w:id="246"/>
      <w:bookmarkEnd w:id="247"/>
      <w:bookmarkEnd w:id="248"/>
      <w:bookmarkEnd w:id="249"/>
      <w:bookmarkEnd w:id="250"/>
    </w:p>
    <w:p>
      <w:pPr>
        <w:pStyle w:val="4"/>
        <w:numPr>
          <w:ilvl w:val="2"/>
          <w:numId w:val="3"/>
        </w:numPr>
        <w:spacing w:after="200" w:line="520" w:lineRule="exact"/>
        <w:rPr>
          <w:bCs w:val="0"/>
          <w:color w:val="000000" w:themeColor="text1"/>
          <w14:textFill>
            <w14:solidFill>
              <w14:schemeClr w14:val="tx1"/>
            </w14:solidFill>
          </w14:textFill>
        </w:rPr>
      </w:pPr>
      <w:bookmarkStart w:id="251" w:name="_Toc513796936"/>
      <w:r>
        <w:rPr>
          <w:rFonts w:hint="eastAsia"/>
          <w:bCs w:val="0"/>
          <w:color w:val="000000" w:themeColor="text1"/>
          <w14:textFill>
            <w14:solidFill>
              <w14:schemeClr w14:val="tx1"/>
            </w14:solidFill>
          </w14:textFill>
        </w:rPr>
        <w:t>服务内容及范围</w:t>
      </w:r>
    </w:p>
    <w:p>
      <w:pPr>
        <w:spacing w:line="360" w:lineRule="auto"/>
        <w:ind w:firstLine="560" w:firstLineChars="200"/>
        <w:rPr>
          <w:rFonts w:ascii="宋体" w:hAnsi="宋体"/>
          <w:color w:val="000000" w:themeColor="text1"/>
          <w:sz w:val="28"/>
          <w:szCs w:val="28"/>
          <w:lang w:val="zh-CN"/>
          <w14:textFill>
            <w14:solidFill>
              <w14:schemeClr w14:val="tx1"/>
            </w14:solidFill>
          </w14:textFill>
        </w:rPr>
      </w:pPr>
      <w:r>
        <w:rPr>
          <w:rFonts w:hint="eastAsia" w:ascii="宋体" w:hAnsi="宋体"/>
          <w:color w:val="000000" w:themeColor="text1"/>
          <w:sz w:val="28"/>
          <w:szCs w:val="28"/>
          <w:lang w:val="zh-CN"/>
          <w14:textFill>
            <w14:solidFill>
              <w14:schemeClr w14:val="tx1"/>
            </w14:solidFill>
          </w14:textFill>
        </w:rPr>
        <w:t>成都市青羊区教育局所属的成都市第五幼儿园、成都市实验小学附属幼儿园、成都市实验小学明道分校、成都市同辉(国际)小学、成都市石室联中蜀华分校、成都市石室联中西区分校、成都市青羊区教育科学研究院、成都市第11中学、成都市树德协进中学、成都市泡桐树中学、成都市第37中学、成都市成飞中学共12所学校(单位)的物业管理服务即将到期，为保证学校教育教学工作的有序进行，现对以上学校(单位)的物业管理服务项目进行政府采购。</w:t>
      </w:r>
    </w:p>
    <w:tbl>
      <w:tblPr>
        <w:tblStyle w:val="43"/>
        <w:tblpPr w:leftFromText="180" w:rightFromText="180" w:vertAnchor="text" w:horzAnchor="page" w:tblpX="1627" w:tblpY="98"/>
        <w:tblOverlap w:val="never"/>
        <w:tblW w:w="8762" w:type="dxa"/>
        <w:tblInd w:w="0" w:type="dxa"/>
        <w:tblLayout w:type="fixed"/>
        <w:tblCellMar>
          <w:top w:w="0" w:type="dxa"/>
          <w:left w:w="108" w:type="dxa"/>
          <w:bottom w:w="0" w:type="dxa"/>
          <w:right w:w="108" w:type="dxa"/>
        </w:tblCellMar>
      </w:tblPr>
      <w:tblGrid>
        <w:gridCol w:w="992"/>
        <w:gridCol w:w="2734"/>
        <w:gridCol w:w="1800"/>
        <w:gridCol w:w="909"/>
        <w:gridCol w:w="2327"/>
      </w:tblGrid>
      <w:tr>
        <w:tblPrEx>
          <w:tblCellMar>
            <w:top w:w="0" w:type="dxa"/>
            <w:left w:w="108" w:type="dxa"/>
            <w:bottom w:w="0" w:type="dxa"/>
            <w:right w:w="108" w:type="dxa"/>
          </w:tblCellMar>
        </w:tblPrEx>
        <w:trPr>
          <w:trHeight w:val="475" w:hRule="atLeast"/>
        </w:trPr>
        <w:tc>
          <w:tcPr>
            <w:tcW w:w="992" w:type="dxa"/>
            <w:tcBorders>
              <w:top w:val="single" w:color="auto" w:sz="4" w:space="0"/>
              <w:left w:val="single" w:color="auto" w:sz="4" w:space="0"/>
              <w:bottom w:val="single" w:color="auto" w:sz="4" w:space="0"/>
              <w:right w:val="single" w:color="auto" w:sz="4" w:space="0"/>
            </w:tcBorders>
            <w:shd w:val="clear" w:color="auto" w:fill="BEBEBE"/>
            <w:noWrap/>
            <w:vAlign w:val="center"/>
          </w:tcPr>
          <w:p>
            <w:pPr>
              <w:widowControl/>
              <w:jc w:val="center"/>
              <w:rPr>
                <w:rFonts w:cs="宋体"/>
                <w:color w:val="000000"/>
                <w:kern w:val="0"/>
                <w:sz w:val="22"/>
              </w:rPr>
            </w:pPr>
            <w:r>
              <w:rPr>
                <w:rFonts w:hint="eastAsia" w:cs="宋体"/>
                <w:color w:val="000000"/>
                <w:kern w:val="0"/>
                <w:sz w:val="22"/>
              </w:rPr>
              <w:t>序号</w:t>
            </w:r>
          </w:p>
        </w:tc>
        <w:tc>
          <w:tcPr>
            <w:tcW w:w="2734" w:type="dxa"/>
            <w:tcBorders>
              <w:top w:val="single" w:color="auto" w:sz="4" w:space="0"/>
              <w:left w:val="nil"/>
              <w:bottom w:val="single" w:color="auto" w:sz="4" w:space="0"/>
              <w:right w:val="single" w:color="auto" w:sz="4" w:space="0"/>
            </w:tcBorders>
            <w:shd w:val="clear" w:color="auto" w:fill="BEBEBE"/>
            <w:noWrap/>
            <w:vAlign w:val="center"/>
          </w:tcPr>
          <w:p>
            <w:pPr>
              <w:widowControl/>
              <w:jc w:val="center"/>
              <w:rPr>
                <w:rFonts w:cs="宋体"/>
                <w:color w:val="000000"/>
                <w:kern w:val="0"/>
                <w:sz w:val="22"/>
              </w:rPr>
            </w:pPr>
            <w:r>
              <w:rPr>
                <w:rFonts w:hint="eastAsia" w:cs="宋体"/>
                <w:color w:val="000000"/>
                <w:kern w:val="0"/>
                <w:sz w:val="22"/>
              </w:rPr>
              <w:t>学校</w:t>
            </w:r>
          </w:p>
        </w:tc>
        <w:tc>
          <w:tcPr>
            <w:tcW w:w="1800" w:type="dxa"/>
            <w:tcBorders>
              <w:top w:val="single" w:color="auto" w:sz="4" w:space="0"/>
              <w:left w:val="nil"/>
              <w:bottom w:val="single" w:color="auto" w:sz="4" w:space="0"/>
              <w:right w:val="single" w:color="auto" w:sz="4" w:space="0"/>
            </w:tcBorders>
            <w:shd w:val="clear" w:color="auto" w:fill="BEBEBE"/>
            <w:noWrap/>
            <w:vAlign w:val="center"/>
          </w:tcPr>
          <w:p>
            <w:pPr>
              <w:widowControl/>
              <w:jc w:val="center"/>
              <w:rPr>
                <w:rFonts w:cs="宋体"/>
                <w:color w:val="000000"/>
                <w:kern w:val="0"/>
                <w:sz w:val="22"/>
              </w:rPr>
            </w:pPr>
            <w:r>
              <w:rPr>
                <w:rFonts w:hint="eastAsia" w:cs="宋体"/>
                <w:color w:val="000000"/>
                <w:kern w:val="0"/>
                <w:sz w:val="22"/>
              </w:rPr>
              <w:t>预算（元/年）</w:t>
            </w:r>
          </w:p>
        </w:tc>
        <w:tc>
          <w:tcPr>
            <w:tcW w:w="909" w:type="dxa"/>
            <w:tcBorders>
              <w:top w:val="single" w:color="auto" w:sz="4" w:space="0"/>
              <w:left w:val="nil"/>
              <w:bottom w:val="single" w:color="auto" w:sz="4" w:space="0"/>
              <w:right w:val="single" w:color="auto" w:sz="4" w:space="0"/>
            </w:tcBorders>
            <w:shd w:val="clear" w:color="auto" w:fill="BEBEBE"/>
            <w:noWrap/>
            <w:vAlign w:val="center"/>
          </w:tcPr>
          <w:p>
            <w:pPr>
              <w:widowControl/>
              <w:jc w:val="center"/>
              <w:rPr>
                <w:rFonts w:cs="宋体"/>
                <w:color w:val="000000"/>
                <w:kern w:val="0"/>
                <w:sz w:val="22"/>
              </w:rPr>
            </w:pPr>
            <w:r>
              <w:rPr>
                <w:rFonts w:hint="eastAsia" w:cs="宋体"/>
                <w:color w:val="000000"/>
                <w:kern w:val="0"/>
                <w:sz w:val="22"/>
              </w:rPr>
              <w:t>分包</w:t>
            </w:r>
          </w:p>
        </w:tc>
        <w:tc>
          <w:tcPr>
            <w:tcW w:w="2327" w:type="dxa"/>
            <w:tcBorders>
              <w:top w:val="single" w:color="auto" w:sz="4" w:space="0"/>
              <w:left w:val="nil"/>
              <w:bottom w:val="single" w:color="auto" w:sz="4" w:space="0"/>
              <w:right w:val="single" w:color="auto" w:sz="4" w:space="0"/>
            </w:tcBorders>
            <w:shd w:val="clear" w:color="auto" w:fill="BEBEBE"/>
            <w:noWrap/>
            <w:vAlign w:val="center"/>
          </w:tcPr>
          <w:p>
            <w:pPr>
              <w:widowControl/>
              <w:jc w:val="center"/>
              <w:rPr>
                <w:rFonts w:cs="宋体"/>
                <w:color w:val="000000"/>
                <w:kern w:val="0"/>
                <w:sz w:val="22"/>
              </w:rPr>
            </w:pPr>
            <w:r>
              <w:rPr>
                <w:rFonts w:hint="eastAsia" w:cs="宋体"/>
                <w:color w:val="000000"/>
                <w:kern w:val="0"/>
                <w:sz w:val="22"/>
              </w:rPr>
              <w:t>分包预算（元/年）</w:t>
            </w:r>
          </w:p>
        </w:tc>
      </w:tr>
      <w:tr>
        <w:tblPrEx>
          <w:tblCellMar>
            <w:top w:w="0" w:type="dxa"/>
            <w:left w:w="108" w:type="dxa"/>
            <w:bottom w:w="0" w:type="dxa"/>
            <w:right w:w="108" w:type="dxa"/>
          </w:tblCellMar>
        </w:tblPrEx>
        <w:trPr>
          <w:trHeight w:val="444" w:hRule="atLeast"/>
        </w:trPr>
        <w:tc>
          <w:tcPr>
            <w:tcW w:w="992" w:type="dxa"/>
            <w:tcBorders>
              <w:top w:val="nil"/>
              <w:left w:val="single" w:color="auto" w:sz="4" w:space="0"/>
              <w:bottom w:val="single" w:color="auto" w:sz="4" w:space="0"/>
              <w:right w:val="single" w:color="auto" w:sz="4" w:space="0"/>
            </w:tcBorders>
            <w:noWrap/>
            <w:vAlign w:val="center"/>
          </w:tcPr>
          <w:p>
            <w:pPr>
              <w:widowControl/>
              <w:jc w:val="center"/>
              <w:rPr>
                <w:rFonts w:cs="宋体"/>
                <w:color w:val="000000"/>
                <w:kern w:val="0"/>
                <w:sz w:val="22"/>
              </w:rPr>
            </w:pPr>
            <w:r>
              <w:rPr>
                <w:rFonts w:hint="eastAsia" w:cs="宋体"/>
                <w:color w:val="000000"/>
                <w:kern w:val="0"/>
                <w:sz w:val="22"/>
              </w:rPr>
              <w:t>1</w:t>
            </w:r>
          </w:p>
        </w:tc>
        <w:tc>
          <w:tcPr>
            <w:tcW w:w="2734" w:type="dxa"/>
            <w:tcBorders>
              <w:top w:val="nil"/>
              <w:left w:val="nil"/>
              <w:bottom w:val="single" w:color="auto" w:sz="4" w:space="0"/>
              <w:right w:val="single" w:color="auto" w:sz="4" w:space="0"/>
            </w:tcBorders>
            <w:noWrap/>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第五幼儿园</w:t>
            </w:r>
          </w:p>
        </w:tc>
        <w:tc>
          <w:tcPr>
            <w:tcW w:w="1800" w:type="dxa"/>
            <w:tcBorders>
              <w:top w:val="nil"/>
              <w:left w:val="nil"/>
              <w:bottom w:val="single" w:color="auto" w:sz="4" w:space="0"/>
              <w:right w:val="single" w:color="auto" w:sz="4" w:space="0"/>
            </w:tcBorders>
            <w:noWrap/>
            <w:vAlign w:val="center"/>
          </w:tcPr>
          <w:p>
            <w:pPr>
              <w:widowControl/>
              <w:jc w:val="right"/>
              <w:rPr>
                <w:rFonts w:cs="宋体"/>
                <w:color w:val="000000"/>
                <w:kern w:val="0"/>
                <w:sz w:val="22"/>
              </w:rPr>
            </w:pPr>
            <w:r>
              <w:rPr>
                <w:rFonts w:hint="eastAsia" w:cs="宋体"/>
                <w:color w:val="000000"/>
                <w:kern w:val="0"/>
                <w:sz w:val="22"/>
              </w:rPr>
              <w:t>1,831,200.00</w:t>
            </w:r>
          </w:p>
        </w:tc>
        <w:tc>
          <w:tcPr>
            <w:tcW w:w="909" w:type="dxa"/>
            <w:vMerge w:val="restart"/>
            <w:tcBorders>
              <w:top w:val="nil"/>
              <w:left w:val="single" w:color="auto" w:sz="4" w:space="0"/>
              <w:bottom w:val="single" w:color="000000" w:sz="4" w:space="0"/>
              <w:right w:val="single" w:color="auto" w:sz="4" w:space="0"/>
            </w:tcBorders>
            <w:noWrap/>
            <w:vAlign w:val="center"/>
          </w:tcPr>
          <w:p>
            <w:pPr>
              <w:widowControl/>
              <w:jc w:val="center"/>
              <w:rPr>
                <w:rFonts w:cs="宋体"/>
                <w:color w:val="000000"/>
                <w:kern w:val="0"/>
                <w:sz w:val="22"/>
              </w:rPr>
            </w:pPr>
            <w:r>
              <w:rPr>
                <w:rFonts w:hint="eastAsia" w:cs="宋体"/>
                <w:color w:val="000000"/>
                <w:kern w:val="0"/>
                <w:sz w:val="22"/>
              </w:rPr>
              <w:t>包件1</w:t>
            </w:r>
          </w:p>
        </w:tc>
        <w:tc>
          <w:tcPr>
            <w:tcW w:w="2327" w:type="dxa"/>
            <w:vMerge w:val="restart"/>
            <w:tcBorders>
              <w:top w:val="nil"/>
              <w:left w:val="single" w:color="auto" w:sz="4" w:space="0"/>
              <w:bottom w:val="single" w:color="000000" w:sz="4" w:space="0"/>
              <w:right w:val="single" w:color="auto" w:sz="4" w:space="0"/>
            </w:tcBorders>
            <w:noWrap/>
            <w:vAlign w:val="center"/>
          </w:tcPr>
          <w:p>
            <w:pPr>
              <w:widowControl/>
              <w:jc w:val="center"/>
              <w:rPr>
                <w:rFonts w:cs="宋体"/>
                <w:color w:val="000000"/>
                <w:kern w:val="0"/>
                <w:sz w:val="22"/>
              </w:rPr>
            </w:pPr>
            <w:r>
              <w:rPr>
                <w:rFonts w:hint="eastAsia" w:cs="宋体"/>
                <w:color w:val="000000"/>
                <w:kern w:val="0"/>
                <w:sz w:val="22"/>
              </w:rPr>
              <w:t>3,688,000.00</w:t>
            </w:r>
          </w:p>
        </w:tc>
      </w:tr>
      <w:tr>
        <w:tblPrEx>
          <w:tblCellMar>
            <w:top w:w="0" w:type="dxa"/>
            <w:left w:w="108" w:type="dxa"/>
            <w:bottom w:w="0" w:type="dxa"/>
            <w:right w:w="108" w:type="dxa"/>
          </w:tblCellMar>
        </w:tblPrEx>
        <w:trPr>
          <w:trHeight w:val="444" w:hRule="atLeast"/>
        </w:trPr>
        <w:tc>
          <w:tcPr>
            <w:tcW w:w="992" w:type="dxa"/>
            <w:tcBorders>
              <w:top w:val="nil"/>
              <w:left w:val="single" w:color="auto" w:sz="4" w:space="0"/>
              <w:bottom w:val="single" w:color="auto" w:sz="4" w:space="0"/>
              <w:right w:val="single" w:color="auto" w:sz="4" w:space="0"/>
            </w:tcBorders>
            <w:noWrap/>
            <w:vAlign w:val="center"/>
          </w:tcPr>
          <w:p>
            <w:pPr>
              <w:widowControl/>
              <w:jc w:val="center"/>
              <w:rPr>
                <w:rFonts w:cs="宋体"/>
                <w:color w:val="000000"/>
                <w:kern w:val="0"/>
                <w:sz w:val="22"/>
              </w:rPr>
            </w:pPr>
            <w:r>
              <w:rPr>
                <w:rFonts w:hint="eastAsia" w:cs="宋体"/>
                <w:color w:val="000000"/>
                <w:kern w:val="0"/>
                <w:sz w:val="22"/>
              </w:rPr>
              <w:t>2</w:t>
            </w:r>
          </w:p>
        </w:tc>
        <w:tc>
          <w:tcPr>
            <w:tcW w:w="2734" w:type="dxa"/>
            <w:tcBorders>
              <w:top w:val="nil"/>
              <w:left w:val="nil"/>
              <w:bottom w:val="single" w:color="auto" w:sz="4" w:space="0"/>
              <w:right w:val="single" w:color="auto" w:sz="4" w:space="0"/>
            </w:tcBorders>
            <w:noWrap/>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实验小学附属幼儿园</w:t>
            </w:r>
          </w:p>
        </w:tc>
        <w:tc>
          <w:tcPr>
            <w:tcW w:w="1800" w:type="dxa"/>
            <w:tcBorders>
              <w:top w:val="nil"/>
              <w:left w:val="nil"/>
              <w:bottom w:val="single" w:color="auto" w:sz="4" w:space="0"/>
              <w:right w:val="single" w:color="auto" w:sz="4" w:space="0"/>
            </w:tcBorders>
            <w:noWrap/>
            <w:vAlign w:val="center"/>
          </w:tcPr>
          <w:p>
            <w:pPr>
              <w:widowControl/>
              <w:jc w:val="right"/>
              <w:rPr>
                <w:rFonts w:cs="宋体"/>
                <w:color w:val="000000"/>
                <w:kern w:val="0"/>
                <w:sz w:val="22"/>
              </w:rPr>
            </w:pPr>
            <w:r>
              <w:rPr>
                <w:rFonts w:hint="eastAsia" w:cs="宋体"/>
                <w:color w:val="000000"/>
                <w:kern w:val="0"/>
                <w:sz w:val="22"/>
              </w:rPr>
              <w:t>856,800.00</w:t>
            </w:r>
          </w:p>
        </w:tc>
        <w:tc>
          <w:tcPr>
            <w:tcW w:w="909" w:type="dxa"/>
            <w:vMerge w:val="continue"/>
            <w:tcBorders>
              <w:top w:val="nil"/>
              <w:left w:val="single" w:color="auto" w:sz="4" w:space="0"/>
              <w:bottom w:val="single" w:color="000000" w:sz="4" w:space="0"/>
              <w:right w:val="single" w:color="auto" w:sz="4" w:space="0"/>
            </w:tcBorders>
            <w:vAlign w:val="center"/>
          </w:tcPr>
          <w:p>
            <w:pPr>
              <w:widowControl/>
              <w:jc w:val="left"/>
              <w:rPr>
                <w:rFonts w:cs="宋体"/>
                <w:color w:val="000000"/>
                <w:kern w:val="0"/>
                <w:sz w:val="22"/>
              </w:rPr>
            </w:pPr>
          </w:p>
        </w:tc>
        <w:tc>
          <w:tcPr>
            <w:tcW w:w="2327" w:type="dxa"/>
            <w:vMerge w:val="continue"/>
            <w:tcBorders>
              <w:top w:val="nil"/>
              <w:left w:val="single" w:color="auto" w:sz="4" w:space="0"/>
              <w:bottom w:val="single" w:color="000000" w:sz="4" w:space="0"/>
              <w:right w:val="single" w:color="auto" w:sz="4" w:space="0"/>
            </w:tcBorders>
            <w:vAlign w:val="center"/>
          </w:tcPr>
          <w:p>
            <w:pPr>
              <w:widowControl/>
              <w:jc w:val="left"/>
              <w:rPr>
                <w:rFonts w:cs="宋体"/>
                <w:color w:val="000000"/>
                <w:kern w:val="0"/>
                <w:sz w:val="22"/>
              </w:rPr>
            </w:pPr>
          </w:p>
        </w:tc>
      </w:tr>
      <w:tr>
        <w:tblPrEx>
          <w:tblCellMar>
            <w:top w:w="0" w:type="dxa"/>
            <w:left w:w="108" w:type="dxa"/>
            <w:bottom w:w="0" w:type="dxa"/>
            <w:right w:w="108" w:type="dxa"/>
          </w:tblCellMar>
        </w:tblPrEx>
        <w:trPr>
          <w:trHeight w:val="444" w:hRule="atLeast"/>
        </w:trPr>
        <w:tc>
          <w:tcPr>
            <w:tcW w:w="992" w:type="dxa"/>
            <w:tcBorders>
              <w:top w:val="nil"/>
              <w:left w:val="single" w:color="auto" w:sz="4" w:space="0"/>
              <w:bottom w:val="single" w:color="auto" w:sz="4" w:space="0"/>
              <w:right w:val="single" w:color="auto" w:sz="4" w:space="0"/>
            </w:tcBorders>
            <w:noWrap/>
            <w:vAlign w:val="center"/>
          </w:tcPr>
          <w:p>
            <w:pPr>
              <w:widowControl/>
              <w:jc w:val="center"/>
              <w:rPr>
                <w:rFonts w:cs="宋体"/>
                <w:color w:val="000000"/>
                <w:kern w:val="0"/>
                <w:sz w:val="22"/>
              </w:rPr>
            </w:pPr>
            <w:r>
              <w:rPr>
                <w:rFonts w:hint="eastAsia" w:cs="宋体"/>
                <w:color w:val="000000"/>
                <w:kern w:val="0"/>
                <w:sz w:val="22"/>
              </w:rPr>
              <w:t>3</w:t>
            </w:r>
          </w:p>
        </w:tc>
        <w:tc>
          <w:tcPr>
            <w:tcW w:w="2734" w:type="dxa"/>
            <w:tcBorders>
              <w:top w:val="nil"/>
              <w:left w:val="nil"/>
              <w:bottom w:val="single" w:color="auto" w:sz="4" w:space="0"/>
              <w:right w:val="single" w:color="auto" w:sz="4" w:space="0"/>
            </w:tcBorders>
            <w:noWrap/>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同辉(国际)小学</w:t>
            </w:r>
          </w:p>
        </w:tc>
        <w:tc>
          <w:tcPr>
            <w:tcW w:w="1800" w:type="dxa"/>
            <w:tcBorders>
              <w:top w:val="nil"/>
              <w:left w:val="nil"/>
              <w:bottom w:val="single" w:color="auto" w:sz="4" w:space="0"/>
              <w:right w:val="single" w:color="auto" w:sz="4" w:space="0"/>
            </w:tcBorders>
            <w:noWrap/>
            <w:vAlign w:val="center"/>
          </w:tcPr>
          <w:p>
            <w:pPr>
              <w:widowControl/>
              <w:jc w:val="right"/>
              <w:rPr>
                <w:rFonts w:cs="宋体"/>
                <w:color w:val="000000"/>
                <w:kern w:val="0"/>
                <w:sz w:val="22"/>
              </w:rPr>
            </w:pPr>
            <w:r>
              <w:rPr>
                <w:rFonts w:hint="eastAsia" w:cs="宋体"/>
                <w:color w:val="000000"/>
                <w:kern w:val="0"/>
                <w:sz w:val="22"/>
              </w:rPr>
              <w:t>550,000.00</w:t>
            </w:r>
          </w:p>
        </w:tc>
        <w:tc>
          <w:tcPr>
            <w:tcW w:w="909" w:type="dxa"/>
            <w:vMerge w:val="continue"/>
            <w:tcBorders>
              <w:top w:val="nil"/>
              <w:left w:val="single" w:color="auto" w:sz="4" w:space="0"/>
              <w:bottom w:val="single" w:color="000000" w:sz="4" w:space="0"/>
              <w:right w:val="single" w:color="auto" w:sz="4" w:space="0"/>
            </w:tcBorders>
            <w:vAlign w:val="center"/>
          </w:tcPr>
          <w:p>
            <w:pPr>
              <w:widowControl/>
              <w:jc w:val="left"/>
              <w:rPr>
                <w:rFonts w:cs="宋体"/>
                <w:color w:val="000000"/>
                <w:kern w:val="0"/>
                <w:sz w:val="22"/>
              </w:rPr>
            </w:pPr>
          </w:p>
        </w:tc>
        <w:tc>
          <w:tcPr>
            <w:tcW w:w="2327" w:type="dxa"/>
            <w:vMerge w:val="continue"/>
            <w:tcBorders>
              <w:top w:val="nil"/>
              <w:left w:val="single" w:color="auto" w:sz="4" w:space="0"/>
              <w:bottom w:val="single" w:color="000000" w:sz="4" w:space="0"/>
              <w:right w:val="single" w:color="auto" w:sz="4" w:space="0"/>
            </w:tcBorders>
            <w:vAlign w:val="center"/>
          </w:tcPr>
          <w:p>
            <w:pPr>
              <w:widowControl/>
              <w:jc w:val="left"/>
              <w:rPr>
                <w:rFonts w:cs="宋体"/>
                <w:color w:val="000000"/>
                <w:kern w:val="0"/>
                <w:sz w:val="22"/>
              </w:rPr>
            </w:pPr>
          </w:p>
        </w:tc>
      </w:tr>
      <w:tr>
        <w:tblPrEx>
          <w:tblCellMar>
            <w:top w:w="0" w:type="dxa"/>
            <w:left w:w="108" w:type="dxa"/>
            <w:bottom w:w="0" w:type="dxa"/>
            <w:right w:w="108" w:type="dxa"/>
          </w:tblCellMar>
        </w:tblPrEx>
        <w:trPr>
          <w:trHeight w:val="444" w:hRule="atLeast"/>
        </w:trPr>
        <w:tc>
          <w:tcPr>
            <w:tcW w:w="992" w:type="dxa"/>
            <w:tcBorders>
              <w:top w:val="nil"/>
              <w:left w:val="single" w:color="auto" w:sz="4" w:space="0"/>
              <w:bottom w:val="single" w:color="auto" w:sz="4" w:space="0"/>
              <w:right w:val="single" w:color="auto" w:sz="4" w:space="0"/>
            </w:tcBorders>
            <w:noWrap/>
            <w:vAlign w:val="center"/>
          </w:tcPr>
          <w:p>
            <w:pPr>
              <w:widowControl/>
              <w:jc w:val="center"/>
              <w:rPr>
                <w:rFonts w:cs="宋体"/>
                <w:color w:val="000000"/>
                <w:kern w:val="0"/>
                <w:sz w:val="22"/>
              </w:rPr>
            </w:pPr>
            <w:r>
              <w:rPr>
                <w:rFonts w:hint="eastAsia" w:cs="宋体"/>
                <w:color w:val="000000"/>
                <w:kern w:val="0"/>
                <w:sz w:val="22"/>
              </w:rPr>
              <w:t>4</w:t>
            </w:r>
          </w:p>
        </w:tc>
        <w:tc>
          <w:tcPr>
            <w:tcW w:w="2734" w:type="dxa"/>
            <w:tcBorders>
              <w:top w:val="nil"/>
              <w:left w:val="nil"/>
              <w:bottom w:val="single" w:color="auto" w:sz="4" w:space="0"/>
              <w:right w:val="single" w:color="auto" w:sz="4" w:space="0"/>
            </w:tcBorders>
            <w:noWrap/>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实验小学明道分校</w:t>
            </w:r>
          </w:p>
        </w:tc>
        <w:tc>
          <w:tcPr>
            <w:tcW w:w="1800" w:type="dxa"/>
            <w:tcBorders>
              <w:top w:val="nil"/>
              <w:left w:val="nil"/>
              <w:bottom w:val="single" w:color="auto" w:sz="4" w:space="0"/>
              <w:right w:val="single" w:color="auto" w:sz="4" w:space="0"/>
            </w:tcBorders>
            <w:noWrap/>
            <w:vAlign w:val="center"/>
          </w:tcPr>
          <w:p>
            <w:pPr>
              <w:widowControl/>
              <w:jc w:val="right"/>
              <w:rPr>
                <w:rFonts w:cs="宋体"/>
                <w:color w:val="000000"/>
                <w:kern w:val="0"/>
                <w:sz w:val="22"/>
              </w:rPr>
            </w:pPr>
            <w:r>
              <w:rPr>
                <w:rFonts w:hint="eastAsia" w:cs="宋体"/>
                <w:color w:val="000000"/>
                <w:kern w:val="0"/>
                <w:sz w:val="22"/>
              </w:rPr>
              <w:t>450,000.00</w:t>
            </w:r>
          </w:p>
        </w:tc>
        <w:tc>
          <w:tcPr>
            <w:tcW w:w="909" w:type="dxa"/>
            <w:vMerge w:val="continue"/>
            <w:tcBorders>
              <w:top w:val="nil"/>
              <w:left w:val="single" w:color="auto" w:sz="4" w:space="0"/>
              <w:bottom w:val="single" w:color="000000" w:sz="4" w:space="0"/>
              <w:right w:val="single" w:color="auto" w:sz="4" w:space="0"/>
            </w:tcBorders>
            <w:vAlign w:val="center"/>
          </w:tcPr>
          <w:p>
            <w:pPr>
              <w:widowControl/>
              <w:jc w:val="left"/>
              <w:rPr>
                <w:rFonts w:cs="宋体"/>
                <w:color w:val="000000"/>
                <w:kern w:val="0"/>
                <w:sz w:val="22"/>
              </w:rPr>
            </w:pPr>
          </w:p>
        </w:tc>
        <w:tc>
          <w:tcPr>
            <w:tcW w:w="2327" w:type="dxa"/>
            <w:vMerge w:val="continue"/>
            <w:tcBorders>
              <w:top w:val="nil"/>
              <w:left w:val="single" w:color="auto" w:sz="4" w:space="0"/>
              <w:bottom w:val="single" w:color="000000" w:sz="4" w:space="0"/>
              <w:right w:val="single" w:color="auto" w:sz="4" w:space="0"/>
            </w:tcBorders>
            <w:vAlign w:val="center"/>
          </w:tcPr>
          <w:p>
            <w:pPr>
              <w:widowControl/>
              <w:jc w:val="left"/>
              <w:rPr>
                <w:rFonts w:cs="宋体"/>
                <w:color w:val="000000"/>
                <w:kern w:val="0"/>
                <w:sz w:val="22"/>
              </w:rPr>
            </w:pPr>
          </w:p>
        </w:tc>
      </w:tr>
      <w:tr>
        <w:tblPrEx>
          <w:tblCellMar>
            <w:top w:w="0" w:type="dxa"/>
            <w:left w:w="108" w:type="dxa"/>
            <w:bottom w:w="0" w:type="dxa"/>
            <w:right w:w="108" w:type="dxa"/>
          </w:tblCellMar>
        </w:tblPrEx>
        <w:trPr>
          <w:trHeight w:val="444" w:hRule="atLeast"/>
        </w:trPr>
        <w:tc>
          <w:tcPr>
            <w:tcW w:w="992" w:type="dxa"/>
            <w:tcBorders>
              <w:top w:val="nil"/>
              <w:left w:val="single" w:color="auto" w:sz="4" w:space="0"/>
              <w:bottom w:val="single" w:color="auto" w:sz="4" w:space="0"/>
              <w:right w:val="single" w:color="auto" w:sz="4" w:space="0"/>
            </w:tcBorders>
            <w:noWrap/>
            <w:vAlign w:val="center"/>
          </w:tcPr>
          <w:p>
            <w:pPr>
              <w:widowControl/>
              <w:jc w:val="center"/>
              <w:rPr>
                <w:rFonts w:cs="宋体"/>
                <w:color w:val="000000"/>
                <w:kern w:val="0"/>
                <w:sz w:val="22"/>
              </w:rPr>
            </w:pPr>
            <w:r>
              <w:rPr>
                <w:rFonts w:hint="eastAsia" w:cs="宋体"/>
                <w:color w:val="000000"/>
                <w:kern w:val="0"/>
                <w:sz w:val="22"/>
              </w:rPr>
              <w:t>5</w:t>
            </w:r>
          </w:p>
        </w:tc>
        <w:tc>
          <w:tcPr>
            <w:tcW w:w="2734" w:type="dxa"/>
            <w:tcBorders>
              <w:top w:val="nil"/>
              <w:left w:val="nil"/>
              <w:bottom w:val="single" w:color="auto" w:sz="4" w:space="0"/>
              <w:right w:val="single" w:color="auto" w:sz="4" w:space="0"/>
            </w:tcBorders>
            <w:noWrap/>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石室联中蜀华分校</w:t>
            </w:r>
          </w:p>
        </w:tc>
        <w:tc>
          <w:tcPr>
            <w:tcW w:w="1800" w:type="dxa"/>
            <w:tcBorders>
              <w:top w:val="nil"/>
              <w:left w:val="nil"/>
              <w:bottom w:val="single" w:color="auto" w:sz="4" w:space="0"/>
              <w:right w:val="single" w:color="auto" w:sz="4" w:space="0"/>
            </w:tcBorders>
            <w:noWrap/>
            <w:vAlign w:val="center"/>
          </w:tcPr>
          <w:p>
            <w:pPr>
              <w:widowControl/>
              <w:jc w:val="right"/>
              <w:rPr>
                <w:rFonts w:cs="宋体"/>
                <w:color w:val="000000"/>
                <w:kern w:val="0"/>
                <w:sz w:val="22"/>
              </w:rPr>
            </w:pPr>
            <w:r>
              <w:rPr>
                <w:rFonts w:hint="eastAsia" w:cs="宋体"/>
                <w:color w:val="000000"/>
                <w:kern w:val="0"/>
                <w:sz w:val="22"/>
              </w:rPr>
              <w:t>650,000.00</w:t>
            </w:r>
          </w:p>
        </w:tc>
        <w:tc>
          <w:tcPr>
            <w:tcW w:w="909" w:type="dxa"/>
            <w:vMerge w:val="restart"/>
            <w:tcBorders>
              <w:top w:val="nil"/>
              <w:left w:val="single" w:color="auto" w:sz="4" w:space="0"/>
              <w:bottom w:val="single" w:color="000000" w:sz="4" w:space="0"/>
              <w:right w:val="single" w:color="auto" w:sz="4" w:space="0"/>
            </w:tcBorders>
            <w:noWrap/>
            <w:vAlign w:val="center"/>
          </w:tcPr>
          <w:p>
            <w:pPr>
              <w:widowControl/>
              <w:jc w:val="center"/>
              <w:rPr>
                <w:rFonts w:cs="宋体"/>
                <w:color w:val="000000"/>
                <w:kern w:val="0"/>
                <w:sz w:val="22"/>
              </w:rPr>
            </w:pPr>
            <w:r>
              <w:rPr>
                <w:rFonts w:hint="eastAsia" w:cs="宋体"/>
                <w:color w:val="000000"/>
                <w:kern w:val="0"/>
                <w:sz w:val="22"/>
              </w:rPr>
              <w:t>包件2</w:t>
            </w:r>
          </w:p>
        </w:tc>
        <w:tc>
          <w:tcPr>
            <w:tcW w:w="2327" w:type="dxa"/>
            <w:vMerge w:val="restart"/>
            <w:tcBorders>
              <w:top w:val="nil"/>
              <w:left w:val="single" w:color="auto" w:sz="4" w:space="0"/>
              <w:bottom w:val="single" w:color="000000" w:sz="4" w:space="0"/>
              <w:right w:val="single" w:color="auto" w:sz="4" w:space="0"/>
            </w:tcBorders>
            <w:noWrap/>
            <w:vAlign w:val="center"/>
          </w:tcPr>
          <w:p>
            <w:pPr>
              <w:widowControl/>
              <w:jc w:val="center"/>
              <w:rPr>
                <w:rFonts w:cs="宋体"/>
                <w:color w:val="000000"/>
                <w:kern w:val="0"/>
                <w:sz w:val="22"/>
              </w:rPr>
            </w:pPr>
            <w:r>
              <w:rPr>
                <w:rFonts w:hint="eastAsia" w:cs="宋体"/>
                <w:color w:val="000000"/>
                <w:kern w:val="0"/>
                <w:sz w:val="22"/>
              </w:rPr>
              <w:t>3,432,880.00</w:t>
            </w:r>
          </w:p>
        </w:tc>
      </w:tr>
      <w:tr>
        <w:tblPrEx>
          <w:tblCellMar>
            <w:top w:w="0" w:type="dxa"/>
            <w:left w:w="108" w:type="dxa"/>
            <w:bottom w:w="0" w:type="dxa"/>
            <w:right w:w="108" w:type="dxa"/>
          </w:tblCellMar>
        </w:tblPrEx>
        <w:trPr>
          <w:trHeight w:val="444" w:hRule="atLeast"/>
        </w:trPr>
        <w:tc>
          <w:tcPr>
            <w:tcW w:w="992" w:type="dxa"/>
            <w:tcBorders>
              <w:top w:val="nil"/>
              <w:left w:val="single" w:color="auto" w:sz="4" w:space="0"/>
              <w:bottom w:val="single" w:color="auto" w:sz="4" w:space="0"/>
              <w:right w:val="single" w:color="auto" w:sz="4" w:space="0"/>
            </w:tcBorders>
            <w:noWrap/>
            <w:vAlign w:val="center"/>
          </w:tcPr>
          <w:p>
            <w:pPr>
              <w:widowControl/>
              <w:jc w:val="center"/>
              <w:rPr>
                <w:rFonts w:cs="宋体"/>
                <w:color w:val="000000"/>
                <w:kern w:val="0"/>
                <w:sz w:val="22"/>
              </w:rPr>
            </w:pPr>
            <w:r>
              <w:rPr>
                <w:rFonts w:hint="eastAsia" w:cs="宋体"/>
                <w:color w:val="000000"/>
                <w:kern w:val="0"/>
                <w:sz w:val="22"/>
              </w:rPr>
              <w:t>6</w:t>
            </w:r>
          </w:p>
        </w:tc>
        <w:tc>
          <w:tcPr>
            <w:tcW w:w="2734"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4"/>
              </w:rPr>
            </w:pPr>
            <w:r>
              <w:rPr>
                <w:rFonts w:hint="eastAsia" w:ascii="仿宋" w:hAnsi="仿宋" w:eastAsia="仿宋" w:cs="宋体"/>
                <w:kern w:val="0"/>
                <w:sz w:val="24"/>
              </w:rPr>
              <w:t>泡桐树中学</w:t>
            </w:r>
          </w:p>
        </w:tc>
        <w:tc>
          <w:tcPr>
            <w:tcW w:w="1800" w:type="dxa"/>
            <w:tcBorders>
              <w:top w:val="nil"/>
              <w:left w:val="nil"/>
              <w:bottom w:val="single" w:color="auto" w:sz="4" w:space="0"/>
              <w:right w:val="single" w:color="auto" w:sz="4" w:space="0"/>
            </w:tcBorders>
            <w:noWrap/>
            <w:vAlign w:val="center"/>
          </w:tcPr>
          <w:p>
            <w:pPr>
              <w:widowControl/>
              <w:jc w:val="right"/>
              <w:rPr>
                <w:rFonts w:cs="宋体"/>
                <w:kern w:val="0"/>
                <w:sz w:val="22"/>
              </w:rPr>
            </w:pPr>
            <w:r>
              <w:rPr>
                <w:rFonts w:hint="eastAsia" w:cs="宋体"/>
                <w:kern w:val="0"/>
                <w:sz w:val="22"/>
              </w:rPr>
              <w:t>1,782,960.00</w:t>
            </w:r>
          </w:p>
        </w:tc>
        <w:tc>
          <w:tcPr>
            <w:tcW w:w="909" w:type="dxa"/>
            <w:vMerge w:val="continue"/>
            <w:tcBorders>
              <w:top w:val="nil"/>
              <w:left w:val="single" w:color="auto" w:sz="4" w:space="0"/>
              <w:bottom w:val="single" w:color="000000" w:sz="4" w:space="0"/>
              <w:right w:val="single" w:color="auto" w:sz="4" w:space="0"/>
            </w:tcBorders>
            <w:vAlign w:val="center"/>
          </w:tcPr>
          <w:p>
            <w:pPr>
              <w:widowControl/>
              <w:jc w:val="left"/>
              <w:rPr>
                <w:rFonts w:cs="宋体"/>
                <w:color w:val="000000"/>
                <w:kern w:val="0"/>
                <w:sz w:val="22"/>
              </w:rPr>
            </w:pPr>
          </w:p>
        </w:tc>
        <w:tc>
          <w:tcPr>
            <w:tcW w:w="2327" w:type="dxa"/>
            <w:vMerge w:val="continue"/>
            <w:tcBorders>
              <w:top w:val="nil"/>
              <w:left w:val="single" w:color="auto" w:sz="4" w:space="0"/>
              <w:bottom w:val="single" w:color="000000" w:sz="4" w:space="0"/>
              <w:right w:val="single" w:color="auto" w:sz="4" w:space="0"/>
            </w:tcBorders>
            <w:vAlign w:val="center"/>
          </w:tcPr>
          <w:p>
            <w:pPr>
              <w:widowControl/>
              <w:jc w:val="left"/>
              <w:rPr>
                <w:rFonts w:cs="宋体"/>
                <w:color w:val="000000"/>
                <w:kern w:val="0"/>
                <w:sz w:val="22"/>
              </w:rPr>
            </w:pPr>
          </w:p>
        </w:tc>
      </w:tr>
      <w:tr>
        <w:tblPrEx>
          <w:tblCellMar>
            <w:top w:w="0" w:type="dxa"/>
            <w:left w:w="108" w:type="dxa"/>
            <w:bottom w:w="0" w:type="dxa"/>
            <w:right w:w="108" w:type="dxa"/>
          </w:tblCellMar>
        </w:tblPrEx>
        <w:trPr>
          <w:trHeight w:val="444" w:hRule="atLeast"/>
        </w:trPr>
        <w:tc>
          <w:tcPr>
            <w:tcW w:w="992" w:type="dxa"/>
            <w:tcBorders>
              <w:top w:val="nil"/>
              <w:left w:val="single" w:color="auto" w:sz="4" w:space="0"/>
              <w:bottom w:val="single" w:color="auto" w:sz="4" w:space="0"/>
              <w:right w:val="single" w:color="auto" w:sz="4" w:space="0"/>
            </w:tcBorders>
            <w:noWrap/>
            <w:vAlign w:val="center"/>
          </w:tcPr>
          <w:p>
            <w:pPr>
              <w:widowControl/>
              <w:jc w:val="center"/>
              <w:rPr>
                <w:rFonts w:cs="宋体"/>
                <w:color w:val="000000"/>
                <w:kern w:val="0"/>
                <w:sz w:val="22"/>
              </w:rPr>
            </w:pPr>
            <w:r>
              <w:rPr>
                <w:rFonts w:hint="eastAsia" w:cs="宋体"/>
                <w:color w:val="000000"/>
                <w:kern w:val="0"/>
                <w:sz w:val="22"/>
              </w:rPr>
              <w:t>7</w:t>
            </w:r>
          </w:p>
        </w:tc>
        <w:tc>
          <w:tcPr>
            <w:tcW w:w="2734" w:type="dxa"/>
            <w:tcBorders>
              <w:top w:val="nil"/>
              <w:left w:val="nil"/>
              <w:bottom w:val="single" w:color="auto" w:sz="4" w:space="0"/>
              <w:right w:val="single" w:color="auto" w:sz="4" w:space="0"/>
            </w:tcBorders>
            <w:noWrap/>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石室联中西区分校</w:t>
            </w:r>
          </w:p>
        </w:tc>
        <w:tc>
          <w:tcPr>
            <w:tcW w:w="1800" w:type="dxa"/>
            <w:tcBorders>
              <w:top w:val="nil"/>
              <w:left w:val="nil"/>
              <w:bottom w:val="single" w:color="auto" w:sz="4" w:space="0"/>
              <w:right w:val="single" w:color="auto" w:sz="4" w:space="0"/>
            </w:tcBorders>
            <w:noWrap/>
            <w:vAlign w:val="center"/>
          </w:tcPr>
          <w:p>
            <w:pPr>
              <w:widowControl/>
              <w:jc w:val="right"/>
              <w:rPr>
                <w:rFonts w:cs="宋体"/>
                <w:color w:val="000000"/>
                <w:kern w:val="0"/>
                <w:sz w:val="22"/>
              </w:rPr>
            </w:pPr>
            <w:r>
              <w:rPr>
                <w:rFonts w:hint="eastAsia" w:cs="宋体"/>
                <w:color w:val="000000"/>
                <w:kern w:val="0"/>
                <w:sz w:val="22"/>
              </w:rPr>
              <w:t>349,920.00</w:t>
            </w:r>
          </w:p>
        </w:tc>
        <w:tc>
          <w:tcPr>
            <w:tcW w:w="909" w:type="dxa"/>
            <w:vMerge w:val="continue"/>
            <w:tcBorders>
              <w:top w:val="nil"/>
              <w:left w:val="single" w:color="auto" w:sz="4" w:space="0"/>
              <w:bottom w:val="single" w:color="000000" w:sz="4" w:space="0"/>
              <w:right w:val="single" w:color="auto" w:sz="4" w:space="0"/>
            </w:tcBorders>
            <w:vAlign w:val="center"/>
          </w:tcPr>
          <w:p>
            <w:pPr>
              <w:widowControl/>
              <w:jc w:val="left"/>
              <w:rPr>
                <w:rFonts w:cs="宋体"/>
                <w:color w:val="000000"/>
                <w:kern w:val="0"/>
                <w:sz w:val="22"/>
              </w:rPr>
            </w:pPr>
          </w:p>
        </w:tc>
        <w:tc>
          <w:tcPr>
            <w:tcW w:w="2327" w:type="dxa"/>
            <w:vMerge w:val="continue"/>
            <w:tcBorders>
              <w:top w:val="nil"/>
              <w:left w:val="single" w:color="auto" w:sz="4" w:space="0"/>
              <w:bottom w:val="single" w:color="000000" w:sz="4" w:space="0"/>
              <w:right w:val="single" w:color="auto" w:sz="4" w:space="0"/>
            </w:tcBorders>
            <w:vAlign w:val="center"/>
          </w:tcPr>
          <w:p>
            <w:pPr>
              <w:widowControl/>
              <w:jc w:val="left"/>
              <w:rPr>
                <w:rFonts w:cs="宋体"/>
                <w:color w:val="000000"/>
                <w:kern w:val="0"/>
                <w:sz w:val="22"/>
              </w:rPr>
            </w:pPr>
          </w:p>
        </w:tc>
      </w:tr>
      <w:tr>
        <w:tblPrEx>
          <w:tblCellMar>
            <w:top w:w="0" w:type="dxa"/>
            <w:left w:w="108" w:type="dxa"/>
            <w:bottom w:w="0" w:type="dxa"/>
            <w:right w:w="108" w:type="dxa"/>
          </w:tblCellMar>
        </w:tblPrEx>
        <w:trPr>
          <w:trHeight w:val="444" w:hRule="atLeast"/>
        </w:trPr>
        <w:tc>
          <w:tcPr>
            <w:tcW w:w="992" w:type="dxa"/>
            <w:tcBorders>
              <w:top w:val="nil"/>
              <w:left w:val="single" w:color="auto" w:sz="4" w:space="0"/>
              <w:bottom w:val="single" w:color="auto" w:sz="4" w:space="0"/>
              <w:right w:val="single" w:color="auto" w:sz="4" w:space="0"/>
            </w:tcBorders>
            <w:noWrap/>
            <w:vAlign w:val="center"/>
          </w:tcPr>
          <w:p>
            <w:pPr>
              <w:widowControl/>
              <w:jc w:val="center"/>
              <w:rPr>
                <w:rFonts w:cs="宋体"/>
                <w:color w:val="000000"/>
                <w:kern w:val="0"/>
                <w:sz w:val="22"/>
              </w:rPr>
            </w:pPr>
            <w:r>
              <w:rPr>
                <w:rFonts w:hint="eastAsia" w:cs="宋体"/>
                <w:color w:val="000000"/>
                <w:kern w:val="0"/>
                <w:sz w:val="22"/>
              </w:rPr>
              <w:t>8</w:t>
            </w:r>
          </w:p>
        </w:tc>
        <w:tc>
          <w:tcPr>
            <w:tcW w:w="2734" w:type="dxa"/>
            <w:tcBorders>
              <w:top w:val="nil"/>
              <w:left w:val="nil"/>
              <w:bottom w:val="single" w:color="auto" w:sz="4" w:space="0"/>
              <w:right w:val="single" w:color="auto" w:sz="4" w:space="0"/>
            </w:tcBorders>
            <w:noWrap/>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青羊区教育科学研究院</w:t>
            </w:r>
          </w:p>
        </w:tc>
        <w:tc>
          <w:tcPr>
            <w:tcW w:w="1800" w:type="dxa"/>
            <w:tcBorders>
              <w:top w:val="nil"/>
              <w:left w:val="nil"/>
              <w:bottom w:val="single" w:color="auto" w:sz="4" w:space="0"/>
              <w:right w:val="single" w:color="auto" w:sz="4" w:space="0"/>
            </w:tcBorders>
            <w:noWrap/>
            <w:vAlign w:val="center"/>
          </w:tcPr>
          <w:p>
            <w:pPr>
              <w:widowControl/>
              <w:jc w:val="right"/>
              <w:rPr>
                <w:rFonts w:cs="宋体"/>
                <w:color w:val="000000"/>
                <w:kern w:val="0"/>
                <w:sz w:val="22"/>
              </w:rPr>
            </w:pPr>
            <w:r>
              <w:rPr>
                <w:rFonts w:hint="eastAsia" w:cs="宋体"/>
                <w:color w:val="000000"/>
                <w:kern w:val="0"/>
                <w:sz w:val="22"/>
              </w:rPr>
              <w:t>650,000.00</w:t>
            </w:r>
          </w:p>
        </w:tc>
        <w:tc>
          <w:tcPr>
            <w:tcW w:w="909" w:type="dxa"/>
            <w:vMerge w:val="continue"/>
            <w:tcBorders>
              <w:top w:val="nil"/>
              <w:left w:val="single" w:color="auto" w:sz="4" w:space="0"/>
              <w:bottom w:val="single" w:color="000000" w:sz="4" w:space="0"/>
              <w:right w:val="single" w:color="auto" w:sz="4" w:space="0"/>
            </w:tcBorders>
            <w:vAlign w:val="center"/>
          </w:tcPr>
          <w:p>
            <w:pPr>
              <w:widowControl/>
              <w:jc w:val="left"/>
              <w:rPr>
                <w:rFonts w:cs="宋体"/>
                <w:color w:val="000000"/>
                <w:kern w:val="0"/>
                <w:sz w:val="22"/>
              </w:rPr>
            </w:pPr>
          </w:p>
        </w:tc>
        <w:tc>
          <w:tcPr>
            <w:tcW w:w="2327" w:type="dxa"/>
            <w:vMerge w:val="continue"/>
            <w:tcBorders>
              <w:top w:val="nil"/>
              <w:left w:val="single" w:color="auto" w:sz="4" w:space="0"/>
              <w:bottom w:val="single" w:color="000000" w:sz="4" w:space="0"/>
              <w:right w:val="single" w:color="auto" w:sz="4" w:space="0"/>
            </w:tcBorders>
            <w:vAlign w:val="center"/>
          </w:tcPr>
          <w:p>
            <w:pPr>
              <w:widowControl/>
              <w:jc w:val="left"/>
              <w:rPr>
                <w:rFonts w:cs="宋体"/>
                <w:color w:val="000000"/>
                <w:kern w:val="0"/>
                <w:sz w:val="22"/>
              </w:rPr>
            </w:pPr>
          </w:p>
        </w:tc>
      </w:tr>
      <w:tr>
        <w:tblPrEx>
          <w:tblCellMar>
            <w:top w:w="0" w:type="dxa"/>
            <w:left w:w="108" w:type="dxa"/>
            <w:bottom w:w="0" w:type="dxa"/>
            <w:right w:w="108" w:type="dxa"/>
          </w:tblCellMar>
        </w:tblPrEx>
        <w:trPr>
          <w:trHeight w:val="444" w:hRule="atLeast"/>
        </w:trPr>
        <w:tc>
          <w:tcPr>
            <w:tcW w:w="992" w:type="dxa"/>
            <w:tcBorders>
              <w:top w:val="nil"/>
              <w:left w:val="single" w:color="auto" w:sz="4" w:space="0"/>
              <w:bottom w:val="single" w:color="auto" w:sz="4" w:space="0"/>
              <w:right w:val="single" w:color="auto" w:sz="4" w:space="0"/>
            </w:tcBorders>
            <w:noWrap/>
            <w:vAlign w:val="center"/>
          </w:tcPr>
          <w:p>
            <w:pPr>
              <w:widowControl/>
              <w:jc w:val="center"/>
              <w:rPr>
                <w:rFonts w:cs="宋体"/>
                <w:color w:val="000000"/>
                <w:kern w:val="0"/>
                <w:sz w:val="22"/>
              </w:rPr>
            </w:pPr>
            <w:r>
              <w:rPr>
                <w:rFonts w:hint="eastAsia" w:cs="宋体"/>
                <w:color w:val="000000"/>
                <w:kern w:val="0"/>
                <w:sz w:val="22"/>
              </w:rPr>
              <w:t>9</w:t>
            </w:r>
          </w:p>
        </w:tc>
        <w:tc>
          <w:tcPr>
            <w:tcW w:w="2734" w:type="dxa"/>
            <w:tcBorders>
              <w:top w:val="nil"/>
              <w:left w:val="nil"/>
              <w:bottom w:val="single" w:color="auto" w:sz="4" w:space="0"/>
              <w:right w:val="single" w:color="auto" w:sz="4" w:space="0"/>
            </w:tcBorders>
            <w:noWrap/>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第11中学</w:t>
            </w:r>
          </w:p>
        </w:tc>
        <w:tc>
          <w:tcPr>
            <w:tcW w:w="1800" w:type="dxa"/>
            <w:tcBorders>
              <w:top w:val="nil"/>
              <w:left w:val="nil"/>
              <w:bottom w:val="single" w:color="auto" w:sz="4" w:space="0"/>
              <w:right w:val="single" w:color="auto" w:sz="4" w:space="0"/>
            </w:tcBorders>
            <w:noWrap/>
            <w:vAlign w:val="center"/>
          </w:tcPr>
          <w:p>
            <w:pPr>
              <w:widowControl/>
              <w:jc w:val="right"/>
              <w:rPr>
                <w:rFonts w:cs="宋体"/>
                <w:color w:val="000000"/>
                <w:kern w:val="0"/>
                <w:sz w:val="22"/>
              </w:rPr>
            </w:pPr>
            <w:r>
              <w:rPr>
                <w:rFonts w:hint="eastAsia" w:cs="宋体"/>
                <w:color w:val="000000"/>
                <w:kern w:val="0"/>
                <w:sz w:val="22"/>
              </w:rPr>
              <w:t>633,600.00</w:t>
            </w:r>
          </w:p>
        </w:tc>
        <w:tc>
          <w:tcPr>
            <w:tcW w:w="909" w:type="dxa"/>
            <w:vMerge w:val="restart"/>
            <w:tcBorders>
              <w:top w:val="nil"/>
              <w:left w:val="single" w:color="auto" w:sz="4" w:space="0"/>
              <w:bottom w:val="single" w:color="000000" w:sz="4" w:space="0"/>
              <w:right w:val="single" w:color="auto" w:sz="4" w:space="0"/>
            </w:tcBorders>
            <w:noWrap/>
            <w:vAlign w:val="center"/>
          </w:tcPr>
          <w:p>
            <w:pPr>
              <w:widowControl/>
              <w:jc w:val="center"/>
              <w:rPr>
                <w:rFonts w:cs="宋体"/>
                <w:color w:val="000000"/>
                <w:kern w:val="0"/>
                <w:sz w:val="22"/>
              </w:rPr>
            </w:pPr>
            <w:r>
              <w:rPr>
                <w:rFonts w:hint="eastAsia" w:cs="宋体"/>
                <w:color w:val="000000"/>
                <w:kern w:val="0"/>
                <w:sz w:val="22"/>
              </w:rPr>
              <w:t>包件3</w:t>
            </w:r>
          </w:p>
        </w:tc>
        <w:tc>
          <w:tcPr>
            <w:tcW w:w="2327" w:type="dxa"/>
            <w:vMerge w:val="restart"/>
            <w:tcBorders>
              <w:top w:val="nil"/>
              <w:left w:val="single" w:color="auto" w:sz="4" w:space="0"/>
              <w:bottom w:val="single" w:color="000000" w:sz="4" w:space="0"/>
              <w:right w:val="single" w:color="auto" w:sz="4" w:space="0"/>
            </w:tcBorders>
            <w:noWrap/>
            <w:vAlign w:val="center"/>
          </w:tcPr>
          <w:p>
            <w:pPr>
              <w:widowControl/>
              <w:jc w:val="center"/>
              <w:rPr>
                <w:rFonts w:cs="宋体"/>
                <w:color w:val="000000"/>
                <w:kern w:val="0"/>
                <w:sz w:val="22"/>
              </w:rPr>
            </w:pPr>
            <w:r>
              <w:rPr>
                <w:rFonts w:hint="eastAsia" w:cs="宋体"/>
                <w:color w:val="000000"/>
                <w:kern w:val="0"/>
                <w:sz w:val="22"/>
              </w:rPr>
              <w:t>4,139,600.00</w:t>
            </w:r>
          </w:p>
        </w:tc>
      </w:tr>
      <w:tr>
        <w:tblPrEx>
          <w:tblCellMar>
            <w:top w:w="0" w:type="dxa"/>
            <w:left w:w="108" w:type="dxa"/>
            <w:bottom w:w="0" w:type="dxa"/>
            <w:right w:w="108" w:type="dxa"/>
          </w:tblCellMar>
        </w:tblPrEx>
        <w:trPr>
          <w:trHeight w:val="444" w:hRule="atLeast"/>
        </w:trPr>
        <w:tc>
          <w:tcPr>
            <w:tcW w:w="992" w:type="dxa"/>
            <w:tcBorders>
              <w:top w:val="nil"/>
              <w:left w:val="single" w:color="auto" w:sz="4" w:space="0"/>
              <w:bottom w:val="single" w:color="auto" w:sz="4" w:space="0"/>
              <w:right w:val="single" w:color="auto" w:sz="4" w:space="0"/>
            </w:tcBorders>
            <w:noWrap/>
            <w:vAlign w:val="center"/>
          </w:tcPr>
          <w:p>
            <w:pPr>
              <w:widowControl/>
              <w:jc w:val="center"/>
              <w:rPr>
                <w:rFonts w:cs="宋体"/>
                <w:color w:val="000000"/>
                <w:kern w:val="0"/>
                <w:sz w:val="22"/>
              </w:rPr>
            </w:pPr>
            <w:r>
              <w:rPr>
                <w:rFonts w:hint="eastAsia" w:cs="宋体"/>
                <w:color w:val="000000"/>
                <w:kern w:val="0"/>
                <w:sz w:val="22"/>
              </w:rPr>
              <w:t>10</w:t>
            </w:r>
          </w:p>
        </w:tc>
        <w:tc>
          <w:tcPr>
            <w:tcW w:w="2734" w:type="dxa"/>
            <w:tcBorders>
              <w:top w:val="nil"/>
              <w:left w:val="nil"/>
              <w:bottom w:val="single" w:color="auto" w:sz="4" w:space="0"/>
              <w:right w:val="single" w:color="auto" w:sz="4" w:space="0"/>
            </w:tcBorders>
            <w:noWrap/>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成飞中学</w:t>
            </w:r>
          </w:p>
        </w:tc>
        <w:tc>
          <w:tcPr>
            <w:tcW w:w="1800" w:type="dxa"/>
            <w:tcBorders>
              <w:top w:val="nil"/>
              <w:left w:val="nil"/>
              <w:bottom w:val="single" w:color="auto" w:sz="4" w:space="0"/>
              <w:right w:val="single" w:color="auto" w:sz="4" w:space="0"/>
            </w:tcBorders>
            <w:noWrap/>
            <w:vAlign w:val="center"/>
          </w:tcPr>
          <w:p>
            <w:pPr>
              <w:widowControl/>
              <w:jc w:val="right"/>
              <w:rPr>
                <w:rFonts w:cs="宋体"/>
                <w:color w:val="000000"/>
                <w:kern w:val="0"/>
                <w:sz w:val="22"/>
              </w:rPr>
            </w:pPr>
            <w:r>
              <w:rPr>
                <w:rFonts w:hint="eastAsia" w:cs="宋体"/>
                <w:color w:val="000000"/>
                <w:kern w:val="0"/>
                <w:sz w:val="22"/>
              </w:rPr>
              <w:t>1,100,000.00</w:t>
            </w:r>
          </w:p>
        </w:tc>
        <w:tc>
          <w:tcPr>
            <w:tcW w:w="909" w:type="dxa"/>
            <w:vMerge w:val="continue"/>
            <w:tcBorders>
              <w:top w:val="nil"/>
              <w:left w:val="single" w:color="auto" w:sz="4" w:space="0"/>
              <w:bottom w:val="single" w:color="000000" w:sz="4" w:space="0"/>
              <w:right w:val="single" w:color="auto" w:sz="4" w:space="0"/>
            </w:tcBorders>
            <w:vAlign w:val="center"/>
          </w:tcPr>
          <w:p>
            <w:pPr>
              <w:widowControl/>
              <w:jc w:val="left"/>
              <w:rPr>
                <w:rFonts w:cs="宋体"/>
                <w:color w:val="000000"/>
                <w:kern w:val="0"/>
                <w:sz w:val="22"/>
              </w:rPr>
            </w:pPr>
          </w:p>
        </w:tc>
        <w:tc>
          <w:tcPr>
            <w:tcW w:w="2327" w:type="dxa"/>
            <w:vMerge w:val="continue"/>
            <w:tcBorders>
              <w:top w:val="nil"/>
              <w:left w:val="single" w:color="auto" w:sz="4" w:space="0"/>
              <w:bottom w:val="single" w:color="000000" w:sz="4" w:space="0"/>
              <w:right w:val="single" w:color="auto" w:sz="4" w:space="0"/>
            </w:tcBorders>
            <w:vAlign w:val="center"/>
          </w:tcPr>
          <w:p>
            <w:pPr>
              <w:widowControl/>
              <w:jc w:val="left"/>
              <w:rPr>
                <w:rFonts w:cs="宋体"/>
                <w:color w:val="000000"/>
                <w:kern w:val="0"/>
                <w:sz w:val="22"/>
              </w:rPr>
            </w:pPr>
          </w:p>
        </w:tc>
      </w:tr>
      <w:tr>
        <w:tblPrEx>
          <w:tblCellMar>
            <w:top w:w="0" w:type="dxa"/>
            <w:left w:w="108" w:type="dxa"/>
            <w:bottom w:w="0" w:type="dxa"/>
            <w:right w:w="108" w:type="dxa"/>
          </w:tblCellMar>
        </w:tblPrEx>
        <w:trPr>
          <w:trHeight w:val="444" w:hRule="atLeast"/>
        </w:trPr>
        <w:tc>
          <w:tcPr>
            <w:tcW w:w="992" w:type="dxa"/>
            <w:tcBorders>
              <w:top w:val="nil"/>
              <w:left w:val="single" w:color="auto" w:sz="4" w:space="0"/>
              <w:bottom w:val="single" w:color="auto" w:sz="4" w:space="0"/>
              <w:right w:val="single" w:color="auto" w:sz="4" w:space="0"/>
            </w:tcBorders>
            <w:noWrap/>
            <w:vAlign w:val="center"/>
          </w:tcPr>
          <w:p>
            <w:pPr>
              <w:widowControl/>
              <w:jc w:val="center"/>
              <w:rPr>
                <w:rFonts w:cs="宋体"/>
                <w:color w:val="000000"/>
                <w:kern w:val="0"/>
                <w:sz w:val="22"/>
              </w:rPr>
            </w:pPr>
            <w:r>
              <w:rPr>
                <w:rFonts w:hint="eastAsia" w:cs="宋体"/>
                <w:color w:val="000000"/>
                <w:kern w:val="0"/>
                <w:sz w:val="22"/>
              </w:rPr>
              <w:t>11</w:t>
            </w:r>
          </w:p>
        </w:tc>
        <w:tc>
          <w:tcPr>
            <w:tcW w:w="2734" w:type="dxa"/>
            <w:tcBorders>
              <w:top w:val="nil"/>
              <w:left w:val="nil"/>
              <w:bottom w:val="single" w:color="auto" w:sz="4" w:space="0"/>
              <w:right w:val="single" w:color="auto" w:sz="4" w:space="0"/>
            </w:tcBorders>
            <w:noWrap/>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第37中学</w:t>
            </w:r>
          </w:p>
        </w:tc>
        <w:tc>
          <w:tcPr>
            <w:tcW w:w="1800" w:type="dxa"/>
            <w:tcBorders>
              <w:top w:val="nil"/>
              <w:left w:val="nil"/>
              <w:bottom w:val="single" w:color="auto" w:sz="4" w:space="0"/>
              <w:right w:val="single" w:color="auto" w:sz="4" w:space="0"/>
            </w:tcBorders>
            <w:noWrap/>
            <w:vAlign w:val="center"/>
          </w:tcPr>
          <w:p>
            <w:pPr>
              <w:widowControl/>
              <w:jc w:val="right"/>
              <w:rPr>
                <w:rFonts w:cs="宋体"/>
                <w:color w:val="000000"/>
                <w:kern w:val="0"/>
                <w:sz w:val="22"/>
              </w:rPr>
            </w:pPr>
            <w:r>
              <w:rPr>
                <w:rFonts w:hint="eastAsia" w:cs="宋体"/>
                <w:color w:val="000000"/>
                <w:kern w:val="0"/>
                <w:sz w:val="22"/>
              </w:rPr>
              <w:t>1,218,000.00</w:t>
            </w:r>
          </w:p>
        </w:tc>
        <w:tc>
          <w:tcPr>
            <w:tcW w:w="909" w:type="dxa"/>
            <w:vMerge w:val="continue"/>
            <w:tcBorders>
              <w:top w:val="nil"/>
              <w:left w:val="single" w:color="auto" w:sz="4" w:space="0"/>
              <w:bottom w:val="single" w:color="auto" w:sz="4" w:space="0"/>
              <w:right w:val="single" w:color="auto" w:sz="4" w:space="0"/>
            </w:tcBorders>
            <w:vAlign w:val="center"/>
          </w:tcPr>
          <w:p>
            <w:pPr>
              <w:widowControl/>
              <w:jc w:val="left"/>
              <w:rPr>
                <w:rFonts w:cs="宋体"/>
                <w:color w:val="000000"/>
                <w:kern w:val="0"/>
                <w:sz w:val="22"/>
              </w:rPr>
            </w:pPr>
          </w:p>
        </w:tc>
        <w:tc>
          <w:tcPr>
            <w:tcW w:w="2327" w:type="dxa"/>
            <w:vMerge w:val="continue"/>
            <w:tcBorders>
              <w:top w:val="nil"/>
              <w:left w:val="single" w:color="auto" w:sz="4" w:space="0"/>
              <w:bottom w:val="single" w:color="000000" w:sz="4" w:space="0"/>
              <w:right w:val="single" w:color="auto" w:sz="4" w:space="0"/>
            </w:tcBorders>
            <w:vAlign w:val="center"/>
          </w:tcPr>
          <w:p>
            <w:pPr>
              <w:widowControl/>
              <w:jc w:val="left"/>
              <w:rPr>
                <w:rFonts w:cs="宋体"/>
                <w:color w:val="000000"/>
                <w:kern w:val="0"/>
                <w:sz w:val="22"/>
              </w:rPr>
            </w:pPr>
          </w:p>
        </w:tc>
      </w:tr>
      <w:tr>
        <w:tblPrEx>
          <w:tblCellMar>
            <w:top w:w="0" w:type="dxa"/>
            <w:left w:w="108" w:type="dxa"/>
            <w:bottom w:w="0" w:type="dxa"/>
            <w:right w:w="108" w:type="dxa"/>
          </w:tblCellMar>
        </w:tblPrEx>
        <w:trPr>
          <w:trHeight w:val="444" w:hRule="atLeast"/>
        </w:trPr>
        <w:tc>
          <w:tcPr>
            <w:tcW w:w="9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cs="宋体"/>
                <w:color w:val="000000"/>
                <w:kern w:val="0"/>
                <w:sz w:val="22"/>
              </w:rPr>
            </w:pPr>
            <w:r>
              <w:rPr>
                <w:rFonts w:hint="eastAsia" w:cs="宋体"/>
                <w:color w:val="000000"/>
                <w:kern w:val="0"/>
                <w:sz w:val="22"/>
              </w:rPr>
              <w:t>12</w:t>
            </w:r>
          </w:p>
        </w:tc>
        <w:tc>
          <w:tcPr>
            <w:tcW w:w="2734"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树德协进中学</w:t>
            </w:r>
          </w:p>
        </w:tc>
        <w:tc>
          <w:tcPr>
            <w:tcW w:w="1800" w:type="dxa"/>
            <w:tcBorders>
              <w:top w:val="single" w:color="auto" w:sz="4" w:space="0"/>
              <w:left w:val="nil"/>
              <w:bottom w:val="single" w:color="auto" w:sz="4" w:space="0"/>
              <w:right w:val="single" w:color="auto" w:sz="4" w:space="0"/>
            </w:tcBorders>
            <w:noWrap/>
            <w:vAlign w:val="center"/>
          </w:tcPr>
          <w:p>
            <w:pPr>
              <w:widowControl/>
              <w:jc w:val="right"/>
              <w:rPr>
                <w:rFonts w:cs="宋体"/>
                <w:color w:val="000000"/>
                <w:kern w:val="0"/>
                <w:sz w:val="22"/>
              </w:rPr>
            </w:pPr>
            <w:r>
              <w:rPr>
                <w:rFonts w:hint="eastAsia" w:cs="宋体"/>
                <w:color w:val="000000"/>
                <w:kern w:val="0"/>
                <w:sz w:val="22"/>
              </w:rPr>
              <w:t>1,188,000.00</w:t>
            </w:r>
          </w:p>
        </w:tc>
        <w:tc>
          <w:tcPr>
            <w:tcW w:w="90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cs="宋体"/>
                <w:color w:val="000000"/>
                <w:kern w:val="0"/>
                <w:sz w:val="22"/>
              </w:rPr>
            </w:pPr>
          </w:p>
        </w:tc>
        <w:tc>
          <w:tcPr>
            <w:tcW w:w="2327" w:type="dxa"/>
            <w:vMerge w:val="continue"/>
            <w:tcBorders>
              <w:top w:val="nil"/>
              <w:left w:val="single" w:color="auto" w:sz="4" w:space="0"/>
              <w:bottom w:val="single" w:color="auto" w:sz="4" w:space="0"/>
              <w:right w:val="single" w:color="auto" w:sz="4" w:space="0"/>
            </w:tcBorders>
            <w:vAlign w:val="center"/>
          </w:tcPr>
          <w:p>
            <w:pPr>
              <w:widowControl/>
              <w:jc w:val="left"/>
              <w:rPr>
                <w:rFonts w:cs="宋体"/>
                <w:color w:val="000000"/>
                <w:kern w:val="0"/>
                <w:sz w:val="22"/>
              </w:rPr>
            </w:pPr>
          </w:p>
        </w:tc>
      </w:tr>
      <w:tr>
        <w:tblPrEx>
          <w:tblCellMar>
            <w:top w:w="0" w:type="dxa"/>
            <w:left w:w="108" w:type="dxa"/>
            <w:bottom w:w="0" w:type="dxa"/>
            <w:right w:w="108" w:type="dxa"/>
          </w:tblCellMar>
        </w:tblPrEx>
        <w:trPr>
          <w:trHeight w:val="444" w:hRule="atLeast"/>
        </w:trPr>
        <w:tc>
          <w:tcPr>
            <w:tcW w:w="6435" w:type="dxa"/>
            <w:gridSpan w:val="4"/>
            <w:tcBorders>
              <w:top w:val="single" w:color="auto" w:sz="4" w:space="0"/>
              <w:left w:val="single" w:color="auto" w:sz="4" w:space="0"/>
              <w:bottom w:val="single" w:color="auto" w:sz="4" w:space="0"/>
              <w:right w:val="single" w:color="auto" w:sz="4" w:space="0"/>
            </w:tcBorders>
            <w:noWrap/>
            <w:vAlign w:val="center"/>
          </w:tcPr>
          <w:p>
            <w:pPr>
              <w:widowControl/>
              <w:jc w:val="center"/>
              <w:rPr>
                <w:rFonts w:cs="宋体"/>
                <w:color w:val="000000"/>
                <w:kern w:val="0"/>
                <w:sz w:val="22"/>
              </w:rPr>
            </w:pPr>
            <w:r>
              <w:rPr>
                <w:rFonts w:hint="eastAsia" w:cs="宋体"/>
                <w:color w:val="000000"/>
                <w:kern w:val="0"/>
                <w:sz w:val="22"/>
              </w:rPr>
              <w:t>合 计</w:t>
            </w:r>
          </w:p>
        </w:tc>
        <w:tc>
          <w:tcPr>
            <w:tcW w:w="2327"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color w:val="000000"/>
                <w:kern w:val="0"/>
                <w:sz w:val="22"/>
              </w:rPr>
            </w:pPr>
            <w:r>
              <w:rPr>
                <w:rFonts w:hint="eastAsia" w:cs="宋体"/>
                <w:color w:val="000000"/>
                <w:kern w:val="0"/>
                <w:sz w:val="22"/>
              </w:rPr>
              <w:t>11,260,480.00</w:t>
            </w:r>
          </w:p>
        </w:tc>
      </w:tr>
    </w:tbl>
    <w:p>
      <w:pPr>
        <w:spacing w:line="560" w:lineRule="exact"/>
        <w:rPr>
          <w:rFonts w:ascii="宋体" w:hAnsi="宋体" w:cs="宋体"/>
          <w:sz w:val="28"/>
          <w:szCs w:val="28"/>
        </w:rPr>
      </w:pPr>
    </w:p>
    <w:p>
      <w:pPr>
        <w:pStyle w:val="4"/>
        <w:numPr>
          <w:ilvl w:val="2"/>
          <w:numId w:val="3"/>
        </w:numPr>
        <w:spacing w:after="200" w:line="520" w:lineRule="exact"/>
        <w:rPr>
          <w:bCs w:val="0"/>
          <w:color w:val="000000" w:themeColor="text1"/>
          <w14:textFill>
            <w14:solidFill>
              <w14:schemeClr w14:val="tx1"/>
            </w14:solidFill>
          </w14:textFill>
        </w:rPr>
      </w:pPr>
      <w:r>
        <w:rPr>
          <w:rFonts w:hint="eastAsia"/>
          <w:bCs w:val="0"/>
          <w:color w:val="000000" w:themeColor="text1"/>
          <w14:textFill>
            <w14:solidFill>
              <w14:schemeClr w14:val="tx1"/>
            </w14:solidFill>
          </w14:textFill>
        </w:rPr>
        <w:t>具体服务内容及要求</w:t>
      </w:r>
    </w:p>
    <w:p>
      <w:pPr>
        <w:rPr>
          <w:rFonts w:ascii="宋体" w:hAnsi="宋体" w:cs="宋体" w:eastAsiaTheme="minorEastAsia"/>
          <w:sz w:val="28"/>
          <w:szCs w:val="28"/>
        </w:rPr>
      </w:pPr>
      <w:r>
        <w:rPr>
          <w:rFonts w:hint="eastAsia" w:ascii="宋体" w:hAnsi="宋体" w:cs="宋体" w:eastAsiaTheme="minorEastAsia"/>
          <w:sz w:val="28"/>
          <w:szCs w:val="28"/>
          <w:lang w:val="zh-CN"/>
        </w:rPr>
        <w:t>包件</w:t>
      </w:r>
      <w:r>
        <w:rPr>
          <w:rFonts w:hint="eastAsia" w:ascii="宋体" w:hAnsi="宋体" w:cs="宋体" w:eastAsiaTheme="minorEastAsia"/>
          <w:sz w:val="28"/>
          <w:szCs w:val="28"/>
        </w:rPr>
        <w:t>1：</w:t>
      </w:r>
    </w:p>
    <w:p>
      <w:pPr>
        <w:pStyle w:val="152"/>
        <w:numPr>
          <w:ilvl w:val="0"/>
          <w:numId w:val="35"/>
        </w:numPr>
        <w:ind w:firstLine="233" w:firstLineChars="83"/>
        <w:rPr>
          <w:b/>
          <w:bCs/>
          <w:sz w:val="28"/>
          <w:szCs w:val="28"/>
        </w:rPr>
      </w:pPr>
      <w:r>
        <w:rPr>
          <w:rFonts w:hint="eastAsia"/>
          <w:b/>
          <w:bCs/>
          <w:sz w:val="28"/>
          <w:szCs w:val="28"/>
        </w:rPr>
        <w:t>学校概况及人员需求</w:t>
      </w:r>
    </w:p>
    <w:p>
      <w:pPr>
        <w:pStyle w:val="152"/>
        <w:ind w:firstLine="843" w:firstLineChars="300"/>
        <w:rPr>
          <w:b/>
          <w:bCs/>
          <w:sz w:val="28"/>
          <w:szCs w:val="28"/>
        </w:rPr>
      </w:pPr>
      <w:r>
        <w:rPr>
          <w:rFonts w:hint="eastAsia"/>
          <w:b/>
          <w:bCs/>
          <w:sz w:val="28"/>
          <w:szCs w:val="28"/>
        </w:rPr>
        <w:t xml:space="preserve">1.成都市第五幼儿园 </w:t>
      </w:r>
    </w:p>
    <w:p>
      <w:pPr>
        <w:pStyle w:val="152"/>
        <w:ind w:firstLine="652" w:firstLineChars="233"/>
        <w:rPr>
          <w:sz w:val="28"/>
          <w:szCs w:val="28"/>
        </w:rPr>
      </w:pPr>
      <w:r>
        <w:rPr>
          <w:rFonts w:hint="eastAsia"/>
          <w:sz w:val="28"/>
          <w:szCs w:val="28"/>
        </w:rPr>
        <w:t>成都市第五幼儿园位于青龙巷11号，占地面积4620㎡，始建于1926年，原名广益幼稚园，取“博爱、普惠”之意，至今已有95年历史。现为成都市青羊区公办幼儿园。幼儿园环境优美，设备现代化；制度健全，管理人本化；注重科研，教育特色化。2007年，成都市第五幼儿园成为成都市首批集团学校，开启集团化发展之路，目前旗下有“成都市第五幼儿园浣花分园”、“成都市第五幼儿园培风分园”、“成都市第五幼儿园清波分园”、“成都市第五幼儿园广益园”、“成都市第五幼儿园温馨园”五所分园。</w:t>
      </w:r>
    </w:p>
    <w:p>
      <w:pPr>
        <w:pStyle w:val="152"/>
        <w:ind w:firstLine="700" w:firstLineChars="250"/>
        <w:rPr>
          <w:sz w:val="28"/>
          <w:szCs w:val="28"/>
        </w:rPr>
      </w:pPr>
      <w:r>
        <w:rPr>
          <w:rFonts w:hint="eastAsia"/>
          <w:sz w:val="28"/>
          <w:szCs w:val="28"/>
        </w:rPr>
        <w:t>成都市第五幼儿园位于青龙巷11号，占地面积约4620平方米，建筑面积约3820平方米，主体建筑2栋，2个主大门，无停车场；</w:t>
      </w:r>
      <w:r>
        <w:rPr>
          <w:sz w:val="28"/>
          <w:szCs w:val="28"/>
        </w:rPr>
        <w:t>2021</w:t>
      </w:r>
      <w:r>
        <w:rPr>
          <w:rFonts w:hint="eastAsia"/>
          <w:sz w:val="28"/>
          <w:szCs w:val="28"/>
        </w:rPr>
        <w:t>年</w:t>
      </w:r>
      <w:r>
        <w:rPr>
          <w:sz w:val="28"/>
          <w:szCs w:val="28"/>
        </w:rPr>
        <w:t>9</w:t>
      </w:r>
      <w:r>
        <w:rPr>
          <w:rFonts w:hint="eastAsia"/>
          <w:sz w:val="28"/>
          <w:szCs w:val="28"/>
        </w:rPr>
        <w:t>月师生人数约340人。</w:t>
      </w:r>
    </w:p>
    <w:p>
      <w:pPr>
        <w:pStyle w:val="152"/>
        <w:ind w:firstLine="700" w:firstLineChars="250"/>
        <w:rPr>
          <w:sz w:val="28"/>
          <w:szCs w:val="28"/>
        </w:rPr>
      </w:pPr>
      <w:r>
        <w:rPr>
          <w:rFonts w:hint="eastAsia"/>
          <w:sz w:val="28"/>
          <w:szCs w:val="28"/>
        </w:rPr>
        <w:t>成都市第五幼儿园培风分园位于光华东三路2</w:t>
      </w:r>
      <w:r>
        <w:rPr>
          <w:sz w:val="28"/>
          <w:szCs w:val="28"/>
        </w:rPr>
        <w:t>10</w:t>
      </w:r>
      <w:r>
        <w:rPr>
          <w:rFonts w:hint="eastAsia"/>
          <w:sz w:val="28"/>
          <w:szCs w:val="28"/>
        </w:rPr>
        <w:t>号，占地面积约</w:t>
      </w:r>
      <w:r>
        <w:rPr>
          <w:sz w:val="28"/>
          <w:szCs w:val="28"/>
        </w:rPr>
        <w:t>4519</w:t>
      </w:r>
      <w:r>
        <w:rPr>
          <w:rFonts w:hint="eastAsia"/>
          <w:sz w:val="28"/>
          <w:szCs w:val="28"/>
        </w:rPr>
        <w:t>平方米，建筑面积约3</w:t>
      </w:r>
      <w:r>
        <w:rPr>
          <w:sz w:val="28"/>
          <w:szCs w:val="28"/>
        </w:rPr>
        <w:t>987</w:t>
      </w:r>
      <w:r>
        <w:rPr>
          <w:rFonts w:hint="eastAsia"/>
          <w:sz w:val="28"/>
          <w:szCs w:val="28"/>
        </w:rPr>
        <w:t>平方米，主体建筑</w:t>
      </w:r>
      <w:r>
        <w:rPr>
          <w:sz w:val="28"/>
          <w:szCs w:val="28"/>
        </w:rPr>
        <w:t>1</w:t>
      </w:r>
      <w:r>
        <w:rPr>
          <w:rFonts w:hint="eastAsia"/>
          <w:sz w:val="28"/>
          <w:szCs w:val="28"/>
        </w:rPr>
        <w:t>栋，</w:t>
      </w:r>
      <w:r>
        <w:rPr>
          <w:sz w:val="28"/>
          <w:szCs w:val="28"/>
        </w:rPr>
        <w:t>2</w:t>
      </w:r>
      <w:r>
        <w:rPr>
          <w:rFonts w:hint="eastAsia"/>
          <w:sz w:val="28"/>
          <w:szCs w:val="28"/>
        </w:rPr>
        <w:t>个主大门，无停车场；</w:t>
      </w:r>
      <w:r>
        <w:rPr>
          <w:sz w:val="28"/>
          <w:szCs w:val="28"/>
        </w:rPr>
        <w:t>2021</w:t>
      </w:r>
      <w:r>
        <w:rPr>
          <w:rFonts w:hint="eastAsia"/>
          <w:sz w:val="28"/>
          <w:szCs w:val="28"/>
        </w:rPr>
        <w:t>年</w:t>
      </w:r>
      <w:r>
        <w:rPr>
          <w:sz w:val="28"/>
          <w:szCs w:val="28"/>
        </w:rPr>
        <w:t>9</w:t>
      </w:r>
      <w:r>
        <w:rPr>
          <w:rFonts w:hint="eastAsia"/>
          <w:sz w:val="28"/>
          <w:szCs w:val="28"/>
        </w:rPr>
        <w:t>月师生人数约</w:t>
      </w:r>
      <w:r>
        <w:rPr>
          <w:sz w:val="28"/>
          <w:szCs w:val="28"/>
        </w:rPr>
        <w:t>376</w:t>
      </w:r>
      <w:r>
        <w:rPr>
          <w:rFonts w:hint="eastAsia"/>
          <w:sz w:val="28"/>
          <w:szCs w:val="28"/>
        </w:rPr>
        <w:t>人。</w:t>
      </w:r>
    </w:p>
    <w:p>
      <w:pPr>
        <w:pStyle w:val="152"/>
        <w:ind w:firstLine="700" w:firstLineChars="250"/>
        <w:rPr>
          <w:sz w:val="28"/>
          <w:szCs w:val="28"/>
        </w:rPr>
      </w:pPr>
      <w:r>
        <w:rPr>
          <w:rFonts w:hint="eastAsia"/>
          <w:sz w:val="28"/>
          <w:szCs w:val="28"/>
        </w:rPr>
        <w:t>成都市第五幼儿园清波分园位于清源一路1</w:t>
      </w:r>
      <w:r>
        <w:rPr>
          <w:sz w:val="28"/>
          <w:szCs w:val="28"/>
        </w:rPr>
        <w:t>9</w:t>
      </w:r>
      <w:r>
        <w:rPr>
          <w:rFonts w:hint="eastAsia"/>
          <w:sz w:val="28"/>
          <w:szCs w:val="28"/>
        </w:rPr>
        <w:t>号，占地面积约6</w:t>
      </w:r>
      <w:r>
        <w:rPr>
          <w:sz w:val="28"/>
          <w:szCs w:val="28"/>
        </w:rPr>
        <w:t>913</w:t>
      </w:r>
      <w:r>
        <w:rPr>
          <w:rFonts w:hint="eastAsia"/>
          <w:sz w:val="28"/>
          <w:szCs w:val="28"/>
        </w:rPr>
        <w:t>平方米，建筑面积约</w:t>
      </w:r>
      <w:r>
        <w:rPr>
          <w:sz w:val="28"/>
          <w:szCs w:val="28"/>
        </w:rPr>
        <w:t>4674</w:t>
      </w:r>
      <w:r>
        <w:rPr>
          <w:rFonts w:hint="eastAsia"/>
          <w:sz w:val="28"/>
          <w:szCs w:val="28"/>
        </w:rPr>
        <w:t>平方米，主体建筑1栋，2个主大门，有地下停车场，车位</w:t>
      </w:r>
      <w:r>
        <w:rPr>
          <w:sz w:val="28"/>
          <w:szCs w:val="28"/>
        </w:rPr>
        <w:t>8</w:t>
      </w:r>
      <w:r>
        <w:rPr>
          <w:rFonts w:hint="eastAsia"/>
          <w:sz w:val="28"/>
          <w:szCs w:val="28"/>
        </w:rPr>
        <w:t>个；</w:t>
      </w:r>
      <w:r>
        <w:rPr>
          <w:sz w:val="28"/>
          <w:szCs w:val="28"/>
        </w:rPr>
        <w:t>2021</w:t>
      </w:r>
      <w:r>
        <w:rPr>
          <w:rFonts w:hint="eastAsia"/>
          <w:sz w:val="28"/>
          <w:szCs w:val="28"/>
        </w:rPr>
        <w:t>年</w:t>
      </w:r>
      <w:r>
        <w:rPr>
          <w:sz w:val="28"/>
          <w:szCs w:val="28"/>
        </w:rPr>
        <w:t>9</w:t>
      </w:r>
      <w:r>
        <w:rPr>
          <w:rFonts w:hint="eastAsia"/>
          <w:sz w:val="28"/>
          <w:szCs w:val="28"/>
        </w:rPr>
        <w:t>月师生人数约</w:t>
      </w:r>
      <w:r>
        <w:rPr>
          <w:sz w:val="28"/>
          <w:szCs w:val="28"/>
        </w:rPr>
        <w:t>376</w:t>
      </w:r>
      <w:r>
        <w:rPr>
          <w:rFonts w:hint="eastAsia"/>
          <w:sz w:val="28"/>
          <w:szCs w:val="28"/>
        </w:rPr>
        <w:t>人。</w:t>
      </w:r>
    </w:p>
    <w:p>
      <w:pPr>
        <w:pStyle w:val="152"/>
        <w:ind w:firstLine="700" w:firstLineChars="250"/>
        <w:rPr>
          <w:sz w:val="28"/>
          <w:szCs w:val="28"/>
        </w:rPr>
      </w:pPr>
      <w:r>
        <w:rPr>
          <w:rFonts w:hint="eastAsia"/>
          <w:sz w:val="28"/>
          <w:szCs w:val="28"/>
        </w:rPr>
        <w:t>成都市第五幼儿园广益园位于光华西三路2</w:t>
      </w:r>
      <w:r>
        <w:rPr>
          <w:sz w:val="28"/>
          <w:szCs w:val="28"/>
        </w:rPr>
        <w:t>12</w:t>
      </w:r>
      <w:r>
        <w:rPr>
          <w:rFonts w:hint="eastAsia"/>
          <w:sz w:val="28"/>
          <w:szCs w:val="28"/>
        </w:rPr>
        <w:t>号，占地面积约</w:t>
      </w:r>
      <w:r>
        <w:rPr>
          <w:sz w:val="28"/>
          <w:szCs w:val="28"/>
        </w:rPr>
        <w:t>7209</w:t>
      </w:r>
      <w:r>
        <w:rPr>
          <w:rFonts w:hint="eastAsia"/>
          <w:sz w:val="28"/>
          <w:szCs w:val="28"/>
        </w:rPr>
        <w:t>平方米，建筑面积约7</w:t>
      </w:r>
      <w:r>
        <w:rPr>
          <w:sz w:val="28"/>
          <w:szCs w:val="28"/>
        </w:rPr>
        <w:t>409</w:t>
      </w:r>
      <w:r>
        <w:rPr>
          <w:rFonts w:hint="eastAsia"/>
          <w:sz w:val="28"/>
          <w:szCs w:val="28"/>
        </w:rPr>
        <w:t>平方米，主体建筑</w:t>
      </w:r>
      <w:r>
        <w:rPr>
          <w:sz w:val="28"/>
          <w:szCs w:val="28"/>
        </w:rPr>
        <w:t>1</w:t>
      </w:r>
      <w:r>
        <w:rPr>
          <w:rFonts w:hint="eastAsia"/>
          <w:sz w:val="28"/>
          <w:szCs w:val="28"/>
        </w:rPr>
        <w:t>栋，3个主大门，无停车场；</w:t>
      </w:r>
      <w:r>
        <w:rPr>
          <w:sz w:val="28"/>
          <w:szCs w:val="28"/>
        </w:rPr>
        <w:t>2021</w:t>
      </w:r>
      <w:r>
        <w:rPr>
          <w:rFonts w:hint="eastAsia"/>
          <w:sz w:val="28"/>
          <w:szCs w:val="28"/>
        </w:rPr>
        <w:t>年</w:t>
      </w:r>
      <w:r>
        <w:rPr>
          <w:sz w:val="28"/>
          <w:szCs w:val="28"/>
        </w:rPr>
        <w:t>9</w:t>
      </w:r>
      <w:r>
        <w:rPr>
          <w:rFonts w:hint="eastAsia"/>
          <w:sz w:val="28"/>
          <w:szCs w:val="28"/>
        </w:rPr>
        <w:t>月师生人数约4</w:t>
      </w:r>
      <w:r>
        <w:rPr>
          <w:sz w:val="28"/>
          <w:szCs w:val="28"/>
        </w:rPr>
        <w:t>91</w:t>
      </w:r>
      <w:r>
        <w:rPr>
          <w:rFonts w:hint="eastAsia"/>
          <w:sz w:val="28"/>
          <w:szCs w:val="28"/>
        </w:rPr>
        <w:t>人。</w:t>
      </w:r>
    </w:p>
    <w:p>
      <w:pPr>
        <w:pStyle w:val="152"/>
        <w:ind w:firstLine="560"/>
        <w:rPr>
          <w:sz w:val="28"/>
          <w:szCs w:val="28"/>
        </w:rPr>
      </w:pPr>
      <w:r>
        <w:rPr>
          <w:rFonts w:hint="eastAsia"/>
          <w:sz w:val="28"/>
          <w:szCs w:val="28"/>
        </w:rPr>
        <w:t>成都市第五幼儿园温馨分园位于雅馨巷5</w:t>
      </w:r>
      <w:r>
        <w:rPr>
          <w:sz w:val="28"/>
          <w:szCs w:val="28"/>
        </w:rPr>
        <w:t>1</w:t>
      </w:r>
      <w:r>
        <w:rPr>
          <w:rFonts w:hint="eastAsia"/>
          <w:sz w:val="28"/>
          <w:szCs w:val="28"/>
        </w:rPr>
        <w:t>号，占地面积约</w:t>
      </w:r>
      <w:r>
        <w:rPr>
          <w:sz w:val="28"/>
          <w:szCs w:val="28"/>
        </w:rPr>
        <w:t>4413</w:t>
      </w:r>
      <w:r>
        <w:rPr>
          <w:rFonts w:hint="eastAsia"/>
          <w:sz w:val="28"/>
          <w:szCs w:val="28"/>
        </w:rPr>
        <w:t>平方米，建筑面积约</w:t>
      </w:r>
      <w:r>
        <w:rPr>
          <w:sz w:val="28"/>
          <w:szCs w:val="28"/>
        </w:rPr>
        <w:t>3916</w:t>
      </w:r>
      <w:r>
        <w:rPr>
          <w:rFonts w:hint="eastAsia"/>
          <w:sz w:val="28"/>
          <w:szCs w:val="28"/>
        </w:rPr>
        <w:t>平方米，主体建筑1栋，</w:t>
      </w:r>
      <w:r>
        <w:rPr>
          <w:sz w:val="28"/>
          <w:szCs w:val="28"/>
        </w:rPr>
        <w:t>3</w:t>
      </w:r>
      <w:r>
        <w:rPr>
          <w:rFonts w:hint="eastAsia"/>
          <w:sz w:val="28"/>
          <w:szCs w:val="28"/>
        </w:rPr>
        <w:t>个主大门，无停车场；</w:t>
      </w:r>
      <w:r>
        <w:rPr>
          <w:sz w:val="28"/>
          <w:szCs w:val="28"/>
        </w:rPr>
        <w:t>2021</w:t>
      </w:r>
      <w:r>
        <w:rPr>
          <w:rFonts w:hint="eastAsia"/>
          <w:sz w:val="28"/>
          <w:szCs w:val="28"/>
        </w:rPr>
        <w:t>年</w:t>
      </w:r>
      <w:r>
        <w:rPr>
          <w:sz w:val="28"/>
          <w:szCs w:val="28"/>
        </w:rPr>
        <w:t>9</w:t>
      </w:r>
      <w:r>
        <w:rPr>
          <w:rFonts w:hint="eastAsia"/>
          <w:sz w:val="28"/>
          <w:szCs w:val="28"/>
        </w:rPr>
        <w:t>月师生人数约</w:t>
      </w:r>
      <w:r>
        <w:rPr>
          <w:sz w:val="28"/>
          <w:szCs w:val="28"/>
        </w:rPr>
        <w:t>148</w:t>
      </w:r>
      <w:r>
        <w:rPr>
          <w:rFonts w:hint="eastAsia"/>
          <w:sz w:val="28"/>
          <w:szCs w:val="28"/>
        </w:rPr>
        <w:t>人。</w:t>
      </w:r>
    </w:p>
    <w:p>
      <w:pPr>
        <w:pStyle w:val="152"/>
        <w:ind w:firstLine="560"/>
        <w:rPr>
          <w:sz w:val="28"/>
          <w:szCs w:val="28"/>
        </w:rPr>
      </w:pPr>
      <w:r>
        <w:rPr>
          <w:rFonts w:hint="eastAsia"/>
          <w:sz w:val="28"/>
          <w:szCs w:val="28"/>
        </w:rPr>
        <w:t>成都市第五幼儿园浣花分园位于石人南路4号（老园），石人南路2</w:t>
      </w:r>
      <w:r>
        <w:rPr>
          <w:sz w:val="28"/>
          <w:szCs w:val="28"/>
        </w:rPr>
        <w:t>4</w:t>
      </w:r>
      <w:r>
        <w:rPr>
          <w:rFonts w:hint="eastAsia"/>
          <w:sz w:val="28"/>
          <w:szCs w:val="28"/>
        </w:rPr>
        <w:t>号（新园），占地面积约3</w:t>
      </w:r>
      <w:r>
        <w:rPr>
          <w:sz w:val="28"/>
          <w:szCs w:val="28"/>
        </w:rPr>
        <w:t>150</w:t>
      </w:r>
      <w:r>
        <w:rPr>
          <w:rFonts w:hint="eastAsia"/>
          <w:sz w:val="28"/>
          <w:szCs w:val="28"/>
        </w:rPr>
        <w:t>平方米，建筑面积约4</w:t>
      </w:r>
      <w:r>
        <w:rPr>
          <w:sz w:val="28"/>
          <w:szCs w:val="28"/>
        </w:rPr>
        <w:t>400</w:t>
      </w:r>
      <w:r>
        <w:rPr>
          <w:rFonts w:hint="eastAsia"/>
          <w:sz w:val="28"/>
          <w:szCs w:val="28"/>
        </w:rPr>
        <w:t>平方米，主体建筑</w:t>
      </w:r>
      <w:r>
        <w:rPr>
          <w:sz w:val="28"/>
          <w:szCs w:val="28"/>
        </w:rPr>
        <w:t>2</w:t>
      </w:r>
      <w:r>
        <w:rPr>
          <w:rFonts w:hint="eastAsia"/>
          <w:sz w:val="28"/>
          <w:szCs w:val="28"/>
        </w:rPr>
        <w:t>栋，</w:t>
      </w:r>
      <w:r>
        <w:rPr>
          <w:sz w:val="28"/>
          <w:szCs w:val="28"/>
        </w:rPr>
        <w:t>3</w:t>
      </w:r>
      <w:r>
        <w:rPr>
          <w:rFonts w:hint="eastAsia"/>
          <w:sz w:val="28"/>
          <w:szCs w:val="28"/>
        </w:rPr>
        <w:t>个主大门，无停车场；</w:t>
      </w:r>
      <w:r>
        <w:rPr>
          <w:sz w:val="28"/>
          <w:szCs w:val="28"/>
        </w:rPr>
        <w:t>2021</w:t>
      </w:r>
      <w:r>
        <w:rPr>
          <w:rFonts w:hint="eastAsia"/>
          <w:sz w:val="28"/>
          <w:szCs w:val="28"/>
        </w:rPr>
        <w:t>年</w:t>
      </w:r>
      <w:r>
        <w:rPr>
          <w:sz w:val="28"/>
          <w:szCs w:val="28"/>
        </w:rPr>
        <w:t>9</w:t>
      </w:r>
      <w:r>
        <w:rPr>
          <w:rFonts w:hint="eastAsia"/>
          <w:sz w:val="28"/>
          <w:szCs w:val="28"/>
        </w:rPr>
        <w:t>月师生人数约1</w:t>
      </w:r>
      <w:r>
        <w:rPr>
          <w:sz w:val="28"/>
          <w:szCs w:val="28"/>
        </w:rPr>
        <w:t>87</w:t>
      </w:r>
      <w:r>
        <w:rPr>
          <w:rFonts w:hint="eastAsia"/>
          <w:sz w:val="28"/>
          <w:szCs w:val="28"/>
        </w:rPr>
        <w:t>人。</w:t>
      </w:r>
    </w:p>
    <w:p>
      <w:pPr>
        <w:pStyle w:val="152"/>
        <w:ind w:firstLine="560"/>
        <w:rPr>
          <w:sz w:val="28"/>
          <w:szCs w:val="28"/>
        </w:rPr>
      </w:pPr>
      <w:r>
        <w:rPr>
          <w:rFonts w:hint="eastAsia"/>
          <w:sz w:val="28"/>
          <w:szCs w:val="28"/>
        </w:rPr>
        <w:t>★人员配置类别及数量：</w:t>
      </w:r>
    </w:p>
    <w:p>
      <w:pPr>
        <w:pStyle w:val="152"/>
        <w:ind w:firstLine="560"/>
        <w:rPr>
          <w:rFonts w:ascii="黑体" w:hAnsi="黑体" w:eastAsia="黑体" w:cs="宋体"/>
          <w:sz w:val="28"/>
          <w:szCs w:val="28"/>
        </w:rPr>
      </w:pPr>
      <w:r>
        <w:rPr>
          <w:rFonts w:hint="eastAsia"/>
          <w:sz w:val="28"/>
          <w:szCs w:val="28"/>
        </w:rPr>
        <w:t>该项目服务人员定编43人。可优化配置，但不低于该配置力量。</w:t>
      </w:r>
    </w:p>
    <w:tbl>
      <w:tblPr>
        <w:tblStyle w:val="43"/>
        <w:tblW w:w="819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963"/>
        <w:gridCol w:w="1134"/>
        <w:gridCol w:w="993"/>
        <w:gridCol w:w="1134"/>
        <w:gridCol w:w="1701"/>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3" w:hRule="atLeast"/>
        </w:trPr>
        <w:tc>
          <w:tcPr>
            <w:tcW w:w="1418" w:type="dxa"/>
            <w:tcBorders>
              <w:top w:val="single" w:color="auto" w:sz="4" w:space="0"/>
              <w:left w:val="single" w:color="auto" w:sz="4" w:space="0"/>
              <w:bottom w:val="single" w:color="auto" w:sz="4" w:space="0"/>
              <w:right w:val="single" w:color="auto" w:sz="4" w:space="0"/>
            </w:tcBorders>
            <w:vAlign w:val="center"/>
          </w:tcPr>
          <w:p>
            <w:pPr>
              <w:pStyle w:val="152"/>
              <w:spacing w:line="420" w:lineRule="exact"/>
              <w:ind w:firstLine="0" w:firstLineChars="0"/>
              <w:jc w:val="center"/>
              <w:rPr>
                <w:szCs w:val="21"/>
              </w:rPr>
            </w:pPr>
            <w:r>
              <w:rPr>
                <w:rFonts w:hint="eastAsia"/>
                <w:szCs w:val="21"/>
              </w:rPr>
              <w:t>人员类别</w:t>
            </w:r>
          </w:p>
        </w:tc>
        <w:tc>
          <w:tcPr>
            <w:tcW w:w="963" w:type="dxa"/>
            <w:tcBorders>
              <w:top w:val="single" w:color="auto" w:sz="4" w:space="0"/>
              <w:left w:val="single" w:color="auto" w:sz="4" w:space="0"/>
              <w:bottom w:val="single" w:color="auto" w:sz="4" w:space="0"/>
              <w:right w:val="single" w:color="auto" w:sz="4" w:space="0"/>
            </w:tcBorders>
            <w:vAlign w:val="center"/>
          </w:tcPr>
          <w:p>
            <w:pPr>
              <w:pStyle w:val="152"/>
              <w:spacing w:line="420" w:lineRule="exact"/>
              <w:ind w:firstLine="0" w:firstLineChars="0"/>
              <w:jc w:val="center"/>
              <w:rPr>
                <w:szCs w:val="21"/>
              </w:rPr>
            </w:pPr>
            <w:r>
              <w:rPr>
                <w:rFonts w:hint="eastAsia"/>
                <w:szCs w:val="21"/>
              </w:rPr>
              <w:t>主管（兼秩序维护队长）</w:t>
            </w:r>
          </w:p>
        </w:tc>
        <w:tc>
          <w:tcPr>
            <w:tcW w:w="1134" w:type="dxa"/>
            <w:tcBorders>
              <w:top w:val="single" w:color="auto" w:sz="4" w:space="0"/>
              <w:left w:val="single" w:color="auto" w:sz="4" w:space="0"/>
              <w:bottom w:val="single" w:color="auto" w:sz="4" w:space="0"/>
              <w:right w:val="single" w:color="auto" w:sz="4" w:space="0"/>
            </w:tcBorders>
            <w:vAlign w:val="center"/>
          </w:tcPr>
          <w:p>
            <w:pPr>
              <w:pStyle w:val="152"/>
              <w:spacing w:line="420" w:lineRule="exact"/>
              <w:ind w:firstLine="0" w:firstLineChars="0"/>
              <w:jc w:val="center"/>
              <w:rPr>
                <w:szCs w:val="21"/>
              </w:rPr>
            </w:pPr>
            <w:r>
              <w:rPr>
                <w:rFonts w:hint="eastAsia"/>
                <w:szCs w:val="21"/>
              </w:rPr>
              <w:t>秩序维护</w:t>
            </w:r>
          </w:p>
        </w:tc>
        <w:tc>
          <w:tcPr>
            <w:tcW w:w="993" w:type="dxa"/>
            <w:tcBorders>
              <w:top w:val="single" w:color="auto" w:sz="4" w:space="0"/>
              <w:left w:val="single" w:color="auto" w:sz="4" w:space="0"/>
              <w:bottom w:val="single" w:color="auto" w:sz="4" w:space="0"/>
              <w:right w:val="single" w:color="auto" w:sz="4" w:space="0"/>
            </w:tcBorders>
            <w:vAlign w:val="center"/>
          </w:tcPr>
          <w:p>
            <w:pPr>
              <w:pStyle w:val="152"/>
              <w:spacing w:line="420" w:lineRule="exact"/>
              <w:ind w:firstLine="0" w:firstLineChars="0"/>
              <w:jc w:val="center"/>
              <w:rPr>
                <w:szCs w:val="21"/>
              </w:rPr>
            </w:pPr>
            <w:r>
              <w:rPr>
                <w:rFonts w:hint="eastAsia"/>
                <w:szCs w:val="21"/>
              </w:rPr>
              <w:t>保洁</w:t>
            </w:r>
          </w:p>
        </w:tc>
        <w:tc>
          <w:tcPr>
            <w:tcW w:w="1134" w:type="dxa"/>
            <w:tcBorders>
              <w:top w:val="single" w:color="auto" w:sz="4" w:space="0"/>
              <w:left w:val="single" w:color="auto" w:sz="4" w:space="0"/>
              <w:bottom w:val="single" w:color="auto" w:sz="4" w:space="0"/>
              <w:right w:val="single" w:color="auto" w:sz="4" w:space="0"/>
            </w:tcBorders>
            <w:vAlign w:val="center"/>
          </w:tcPr>
          <w:p>
            <w:pPr>
              <w:pStyle w:val="152"/>
              <w:spacing w:line="420" w:lineRule="exact"/>
              <w:ind w:firstLine="0" w:firstLineChars="0"/>
              <w:jc w:val="center"/>
              <w:rPr>
                <w:szCs w:val="21"/>
              </w:rPr>
            </w:pPr>
            <w:r>
              <w:rPr>
                <w:rFonts w:hint="eastAsia"/>
                <w:szCs w:val="21"/>
              </w:rPr>
              <w:t>绿化工</w:t>
            </w:r>
          </w:p>
        </w:tc>
        <w:tc>
          <w:tcPr>
            <w:tcW w:w="1701" w:type="dxa"/>
            <w:tcBorders>
              <w:top w:val="single" w:color="auto" w:sz="4" w:space="0"/>
              <w:left w:val="single" w:color="auto" w:sz="4" w:space="0"/>
              <w:bottom w:val="single" w:color="auto" w:sz="4" w:space="0"/>
              <w:right w:val="single" w:color="auto" w:sz="4" w:space="0"/>
            </w:tcBorders>
            <w:vAlign w:val="center"/>
          </w:tcPr>
          <w:p>
            <w:pPr>
              <w:pStyle w:val="152"/>
              <w:spacing w:line="420" w:lineRule="exact"/>
              <w:ind w:firstLine="0" w:firstLineChars="0"/>
              <w:rPr>
                <w:szCs w:val="21"/>
              </w:rPr>
            </w:pPr>
            <w:r>
              <w:rPr>
                <w:rFonts w:hint="eastAsia"/>
                <w:szCs w:val="21"/>
              </w:rPr>
              <w:t>水电(维修)工</w:t>
            </w:r>
          </w:p>
        </w:tc>
        <w:tc>
          <w:tcPr>
            <w:tcW w:w="850" w:type="dxa"/>
            <w:tcBorders>
              <w:top w:val="single" w:color="auto" w:sz="4" w:space="0"/>
              <w:left w:val="single" w:color="auto" w:sz="4" w:space="0"/>
              <w:bottom w:val="single" w:color="auto" w:sz="4" w:space="0"/>
              <w:right w:val="single" w:color="auto" w:sz="4" w:space="0"/>
            </w:tcBorders>
            <w:vAlign w:val="center"/>
          </w:tcPr>
          <w:p>
            <w:pPr>
              <w:pStyle w:val="152"/>
              <w:spacing w:line="420" w:lineRule="exact"/>
              <w:ind w:firstLine="0" w:firstLineChars="0"/>
              <w:rPr>
                <w:szCs w:val="21"/>
              </w:rPr>
            </w:pPr>
            <w:r>
              <w:rPr>
                <w:rFonts w:hint="eastAsia"/>
                <w:szCs w:val="21"/>
              </w:rPr>
              <w:t>汇总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418" w:type="dxa"/>
            <w:tcBorders>
              <w:top w:val="single" w:color="auto" w:sz="4" w:space="0"/>
              <w:left w:val="single" w:color="auto" w:sz="4" w:space="0"/>
              <w:bottom w:val="single" w:color="auto" w:sz="4" w:space="0"/>
              <w:right w:val="single" w:color="auto" w:sz="4" w:space="0"/>
            </w:tcBorders>
            <w:vAlign w:val="center"/>
          </w:tcPr>
          <w:p>
            <w:pPr>
              <w:pStyle w:val="152"/>
              <w:spacing w:line="420" w:lineRule="exact"/>
              <w:ind w:firstLine="0" w:firstLineChars="0"/>
              <w:jc w:val="center"/>
              <w:rPr>
                <w:szCs w:val="21"/>
              </w:rPr>
            </w:pPr>
            <w:r>
              <w:rPr>
                <w:rFonts w:hint="eastAsia"/>
                <w:szCs w:val="21"/>
              </w:rPr>
              <w:t>配置数量</w:t>
            </w:r>
          </w:p>
        </w:tc>
        <w:tc>
          <w:tcPr>
            <w:tcW w:w="963" w:type="dxa"/>
            <w:tcBorders>
              <w:top w:val="single" w:color="auto" w:sz="4" w:space="0"/>
              <w:left w:val="single" w:color="auto" w:sz="4" w:space="0"/>
              <w:bottom w:val="single" w:color="auto" w:sz="4" w:space="0"/>
              <w:right w:val="single" w:color="auto" w:sz="4" w:space="0"/>
            </w:tcBorders>
            <w:vAlign w:val="center"/>
          </w:tcPr>
          <w:p>
            <w:pPr>
              <w:pStyle w:val="152"/>
              <w:spacing w:line="420" w:lineRule="exact"/>
              <w:ind w:firstLine="0" w:firstLineChars="0"/>
              <w:jc w:val="center"/>
              <w:rPr>
                <w:szCs w:val="21"/>
              </w:rPr>
            </w:pPr>
            <w:r>
              <w:rPr>
                <w:rFonts w:hint="eastAsia"/>
                <w:szCs w:val="21"/>
              </w:rPr>
              <w:t>1</w:t>
            </w:r>
          </w:p>
        </w:tc>
        <w:tc>
          <w:tcPr>
            <w:tcW w:w="1134" w:type="dxa"/>
            <w:tcBorders>
              <w:top w:val="single" w:color="auto" w:sz="4" w:space="0"/>
              <w:left w:val="single" w:color="auto" w:sz="4" w:space="0"/>
              <w:bottom w:val="single" w:color="auto" w:sz="4" w:space="0"/>
              <w:right w:val="single" w:color="auto" w:sz="4" w:space="0"/>
            </w:tcBorders>
            <w:vAlign w:val="center"/>
          </w:tcPr>
          <w:p>
            <w:pPr>
              <w:pStyle w:val="152"/>
              <w:spacing w:line="420" w:lineRule="exact"/>
              <w:ind w:firstLine="0" w:firstLineChars="0"/>
              <w:jc w:val="center"/>
              <w:rPr>
                <w:szCs w:val="21"/>
              </w:rPr>
            </w:pPr>
            <w:r>
              <w:rPr>
                <w:rFonts w:hint="eastAsia"/>
                <w:szCs w:val="21"/>
              </w:rPr>
              <w:t>19</w:t>
            </w:r>
          </w:p>
        </w:tc>
        <w:tc>
          <w:tcPr>
            <w:tcW w:w="993" w:type="dxa"/>
            <w:tcBorders>
              <w:top w:val="single" w:color="auto" w:sz="4" w:space="0"/>
              <w:left w:val="single" w:color="auto" w:sz="4" w:space="0"/>
              <w:bottom w:val="single" w:color="auto" w:sz="4" w:space="0"/>
              <w:right w:val="single" w:color="auto" w:sz="4" w:space="0"/>
            </w:tcBorders>
            <w:vAlign w:val="center"/>
          </w:tcPr>
          <w:p>
            <w:pPr>
              <w:pStyle w:val="152"/>
              <w:spacing w:line="420" w:lineRule="exact"/>
              <w:ind w:firstLine="525" w:firstLineChars="250"/>
              <w:jc w:val="center"/>
              <w:rPr>
                <w:szCs w:val="21"/>
              </w:rPr>
            </w:pPr>
            <w:r>
              <w:rPr>
                <w:rFonts w:hint="eastAsia"/>
                <w:szCs w:val="21"/>
              </w:rPr>
              <w:t>18</w:t>
            </w:r>
          </w:p>
        </w:tc>
        <w:tc>
          <w:tcPr>
            <w:tcW w:w="1134" w:type="dxa"/>
            <w:tcBorders>
              <w:top w:val="single" w:color="auto" w:sz="4" w:space="0"/>
              <w:left w:val="single" w:color="auto" w:sz="4" w:space="0"/>
              <w:bottom w:val="single" w:color="auto" w:sz="4" w:space="0"/>
              <w:right w:val="single" w:color="auto" w:sz="4" w:space="0"/>
            </w:tcBorders>
            <w:vAlign w:val="center"/>
          </w:tcPr>
          <w:p>
            <w:pPr>
              <w:pStyle w:val="152"/>
              <w:spacing w:line="420" w:lineRule="exact"/>
              <w:ind w:firstLine="525" w:firstLineChars="250"/>
              <w:jc w:val="center"/>
              <w:rPr>
                <w:szCs w:val="21"/>
              </w:rPr>
            </w:pPr>
            <w:r>
              <w:rPr>
                <w:szCs w:val="21"/>
              </w:rPr>
              <w:t>3</w:t>
            </w:r>
          </w:p>
        </w:tc>
        <w:tc>
          <w:tcPr>
            <w:tcW w:w="1701" w:type="dxa"/>
            <w:tcBorders>
              <w:top w:val="single" w:color="auto" w:sz="4" w:space="0"/>
              <w:left w:val="single" w:color="auto" w:sz="4" w:space="0"/>
              <w:bottom w:val="single" w:color="auto" w:sz="4" w:space="0"/>
              <w:right w:val="single" w:color="auto" w:sz="4" w:space="0"/>
            </w:tcBorders>
            <w:vAlign w:val="center"/>
          </w:tcPr>
          <w:p>
            <w:pPr>
              <w:pStyle w:val="152"/>
              <w:spacing w:line="420" w:lineRule="exact"/>
              <w:ind w:firstLine="525" w:firstLineChars="250"/>
              <w:rPr>
                <w:szCs w:val="21"/>
              </w:rPr>
            </w:pPr>
            <w:r>
              <w:rPr>
                <w:rFonts w:hint="eastAsia"/>
                <w:szCs w:val="21"/>
              </w:rPr>
              <w:t>2</w:t>
            </w:r>
          </w:p>
        </w:tc>
        <w:tc>
          <w:tcPr>
            <w:tcW w:w="850" w:type="dxa"/>
            <w:tcBorders>
              <w:top w:val="single" w:color="auto" w:sz="4" w:space="0"/>
              <w:left w:val="single" w:color="auto" w:sz="4" w:space="0"/>
              <w:bottom w:val="single" w:color="auto" w:sz="4" w:space="0"/>
              <w:right w:val="single" w:color="auto" w:sz="4" w:space="0"/>
            </w:tcBorders>
            <w:vAlign w:val="center"/>
          </w:tcPr>
          <w:p>
            <w:pPr>
              <w:pStyle w:val="152"/>
              <w:spacing w:line="420" w:lineRule="exact"/>
              <w:ind w:firstLine="0" w:firstLineChars="0"/>
              <w:rPr>
                <w:szCs w:val="21"/>
              </w:rPr>
            </w:pPr>
            <w:r>
              <w:rPr>
                <w:rFonts w:hint="eastAsia"/>
                <w:szCs w:val="21"/>
              </w:rPr>
              <w:t>43</w:t>
            </w:r>
          </w:p>
        </w:tc>
      </w:tr>
    </w:tbl>
    <w:p>
      <w:pPr>
        <w:pStyle w:val="152"/>
        <w:ind w:firstLine="703" w:firstLineChars="250"/>
        <w:rPr>
          <w:b/>
          <w:bCs/>
          <w:sz w:val="28"/>
          <w:szCs w:val="28"/>
        </w:rPr>
      </w:pPr>
    </w:p>
    <w:p>
      <w:pPr>
        <w:pStyle w:val="152"/>
        <w:ind w:firstLine="703" w:firstLineChars="250"/>
        <w:rPr>
          <w:b/>
          <w:bCs/>
          <w:sz w:val="28"/>
          <w:szCs w:val="28"/>
        </w:rPr>
      </w:pPr>
      <w:r>
        <w:rPr>
          <w:rFonts w:hint="eastAsia"/>
          <w:b/>
          <w:bCs/>
          <w:sz w:val="28"/>
          <w:szCs w:val="28"/>
        </w:rPr>
        <w:t>2、成都市实验小学附属幼儿园</w:t>
      </w:r>
    </w:p>
    <w:p>
      <w:pPr>
        <w:pStyle w:val="152"/>
        <w:ind w:firstLine="700" w:firstLineChars="250"/>
        <w:rPr>
          <w:sz w:val="28"/>
          <w:szCs w:val="28"/>
        </w:rPr>
      </w:pPr>
      <w:r>
        <w:rPr>
          <w:rFonts w:hint="eastAsia"/>
          <w:sz w:val="28"/>
          <w:szCs w:val="28"/>
        </w:rPr>
        <w:t>成都市实验小学附属幼儿园集团</w:t>
      </w:r>
      <w:r>
        <w:rPr>
          <w:sz w:val="28"/>
          <w:szCs w:val="28"/>
        </w:rPr>
        <w:t>共</w:t>
      </w:r>
      <w:r>
        <w:rPr>
          <w:rFonts w:hint="eastAsia"/>
          <w:sz w:val="28"/>
          <w:szCs w:val="28"/>
        </w:rPr>
        <w:t>3所分园</w:t>
      </w:r>
    </w:p>
    <w:p>
      <w:pPr>
        <w:pStyle w:val="152"/>
        <w:ind w:firstLine="700" w:firstLineChars="250"/>
        <w:rPr>
          <w:sz w:val="28"/>
          <w:szCs w:val="28"/>
        </w:rPr>
      </w:pPr>
      <w:r>
        <w:rPr>
          <w:rFonts w:hint="eastAsia"/>
          <w:sz w:val="28"/>
          <w:szCs w:val="28"/>
        </w:rPr>
        <w:t>成都市实验小学附属幼儿园</w:t>
      </w:r>
      <w:r>
        <w:rPr>
          <w:sz w:val="28"/>
          <w:szCs w:val="28"/>
        </w:rPr>
        <w:t>文翁分园</w:t>
      </w:r>
      <w:r>
        <w:rPr>
          <w:rFonts w:hint="eastAsia"/>
          <w:sz w:val="28"/>
          <w:szCs w:val="28"/>
        </w:rPr>
        <w:t>：学校位于青羊区</w:t>
      </w:r>
      <w:r>
        <w:rPr>
          <w:sz w:val="28"/>
          <w:szCs w:val="28"/>
        </w:rPr>
        <w:t>文家场</w:t>
      </w:r>
      <w:r>
        <w:rPr>
          <w:rFonts w:hint="eastAsia"/>
          <w:sz w:val="28"/>
          <w:szCs w:val="28"/>
        </w:rPr>
        <w:t>正街184号</w:t>
      </w:r>
      <w:r>
        <w:rPr>
          <w:sz w:val="28"/>
          <w:szCs w:val="28"/>
        </w:rPr>
        <w:t>附</w:t>
      </w:r>
      <w:r>
        <w:rPr>
          <w:rFonts w:hint="eastAsia"/>
          <w:sz w:val="28"/>
          <w:szCs w:val="28"/>
        </w:rPr>
        <w:t>3号，占地面积约3162</w:t>
      </w:r>
      <w:r>
        <w:rPr>
          <w:sz w:val="28"/>
          <w:szCs w:val="28"/>
        </w:rPr>
        <w:t xml:space="preserve"> </w:t>
      </w:r>
      <w:r>
        <w:rPr>
          <w:rFonts w:hint="eastAsia"/>
          <w:sz w:val="28"/>
          <w:szCs w:val="28"/>
        </w:rPr>
        <w:t>平方米，建筑面积约</w:t>
      </w:r>
      <w:r>
        <w:rPr>
          <w:sz w:val="28"/>
          <w:szCs w:val="28"/>
        </w:rPr>
        <w:t>2035</w:t>
      </w:r>
      <w:r>
        <w:rPr>
          <w:rFonts w:hint="eastAsia"/>
          <w:sz w:val="28"/>
          <w:szCs w:val="28"/>
        </w:rPr>
        <w:t>平方米，主体建筑</w:t>
      </w:r>
      <w:r>
        <w:rPr>
          <w:sz w:val="28"/>
          <w:szCs w:val="28"/>
        </w:rPr>
        <w:t xml:space="preserve"> 1</w:t>
      </w:r>
      <w:r>
        <w:rPr>
          <w:rFonts w:hint="eastAsia"/>
          <w:sz w:val="28"/>
          <w:szCs w:val="28"/>
        </w:rPr>
        <w:t>栋，2个主大门，无停车场；</w:t>
      </w:r>
      <w:r>
        <w:rPr>
          <w:sz w:val="28"/>
          <w:szCs w:val="28"/>
        </w:rPr>
        <w:t>2021</w:t>
      </w:r>
      <w:r>
        <w:rPr>
          <w:rFonts w:hint="eastAsia"/>
          <w:sz w:val="28"/>
          <w:szCs w:val="28"/>
        </w:rPr>
        <w:t>年</w:t>
      </w:r>
      <w:r>
        <w:rPr>
          <w:sz w:val="28"/>
          <w:szCs w:val="28"/>
        </w:rPr>
        <w:t>9</w:t>
      </w:r>
      <w:r>
        <w:rPr>
          <w:rFonts w:hint="eastAsia"/>
          <w:sz w:val="28"/>
          <w:szCs w:val="28"/>
        </w:rPr>
        <w:t>月师生人数</w:t>
      </w:r>
      <w:r>
        <w:rPr>
          <w:sz w:val="28"/>
          <w:szCs w:val="28"/>
        </w:rPr>
        <w:t xml:space="preserve">281  </w:t>
      </w:r>
      <w:r>
        <w:rPr>
          <w:rFonts w:hint="eastAsia"/>
          <w:sz w:val="28"/>
          <w:szCs w:val="28"/>
        </w:rPr>
        <w:t>人。</w:t>
      </w:r>
    </w:p>
    <w:p>
      <w:pPr>
        <w:pStyle w:val="152"/>
        <w:ind w:firstLine="700" w:firstLineChars="250"/>
        <w:rPr>
          <w:sz w:val="28"/>
          <w:szCs w:val="28"/>
        </w:rPr>
      </w:pPr>
      <w:r>
        <w:rPr>
          <w:rFonts w:hint="eastAsia"/>
          <w:sz w:val="28"/>
          <w:szCs w:val="28"/>
        </w:rPr>
        <w:t>成都市实验小学附属幼儿园高坎</w:t>
      </w:r>
      <w:r>
        <w:rPr>
          <w:sz w:val="28"/>
          <w:szCs w:val="28"/>
        </w:rPr>
        <w:t>分园</w:t>
      </w:r>
      <w:r>
        <w:rPr>
          <w:rFonts w:hint="eastAsia"/>
          <w:sz w:val="28"/>
          <w:szCs w:val="28"/>
        </w:rPr>
        <w:t>:学校位于青羊区高坎村7组309号，占地面积约</w:t>
      </w:r>
      <w:r>
        <w:rPr>
          <w:sz w:val="28"/>
          <w:szCs w:val="28"/>
        </w:rPr>
        <w:t>5023</w:t>
      </w:r>
      <w:r>
        <w:rPr>
          <w:rFonts w:hint="eastAsia"/>
          <w:sz w:val="28"/>
          <w:szCs w:val="28"/>
        </w:rPr>
        <w:t>平方米，建筑面积约7724.46平方米，主体建筑</w:t>
      </w:r>
      <w:r>
        <w:rPr>
          <w:sz w:val="28"/>
          <w:szCs w:val="28"/>
        </w:rPr>
        <w:t xml:space="preserve"> 1</w:t>
      </w:r>
      <w:r>
        <w:rPr>
          <w:rFonts w:hint="eastAsia"/>
          <w:sz w:val="28"/>
          <w:szCs w:val="28"/>
        </w:rPr>
        <w:t xml:space="preserve">栋，2个主大门，有停车场，车位 </w:t>
      </w:r>
      <w:r>
        <w:rPr>
          <w:sz w:val="28"/>
          <w:szCs w:val="28"/>
        </w:rPr>
        <w:t>30</w:t>
      </w:r>
      <w:r>
        <w:rPr>
          <w:rFonts w:hint="eastAsia"/>
          <w:sz w:val="28"/>
          <w:szCs w:val="28"/>
        </w:rPr>
        <w:t>个；</w:t>
      </w:r>
      <w:r>
        <w:rPr>
          <w:sz w:val="28"/>
          <w:szCs w:val="28"/>
        </w:rPr>
        <w:t>2021</w:t>
      </w:r>
      <w:r>
        <w:rPr>
          <w:rFonts w:hint="eastAsia"/>
          <w:sz w:val="28"/>
          <w:szCs w:val="28"/>
        </w:rPr>
        <w:t>年</w:t>
      </w:r>
      <w:r>
        <w:rPr>
          <w:sz w:val="28"/>
          <w:szCs w:val="28"/>
        </w:rPr>
        <w:t>9</w:t>
      </w:r>
      <w:r>
        <w:rPr>
          <w:rFonts w:hint="eastAsia"/>
          <w:sz w:val="28"/>
          <w:szCs w:val="28"/>
        </w:rPr>
        <w:t>月师生人数</w:t>
      </w:r>
      <w:r>
        <w:rPr>
          <w:sz w:val="28"/>
          <w:szCs w:val="28"/>
        </w:rPr>
        <w:t xml:space="preserve">191  </w:t>
      </w:r>
      <w:r>
        <w:rPr>
          <w:rFonts w:hint="eastAsia"/>
          <w:sz w:val="28"/>
          <w:szCs w:val="28"/>
        </w:rPr>
        <w:t>人。</w:t>
      </w:r>
    </w:p>
    <w:p>
      <w:pPr>
        <w:pStyle w:val="152"/>
        <w:ind w:firstLine="700" w:firstLineChars="250"/>
        <w:rPr>
          <w:sz w:val="28"/>
          <w:szCs w:val="28"/>
        </w:rPr>
      </w:pPr>
      <w:r>
        <w:rPr>
          <w:rFonts w:hint="eastAsia"/>
          <w:sz w:val="28"/>
          <w:szCs w:val="28"/>
        </w:rPr>
        <w:t>成都市实验小学附属幼儿园马厂坝</w:t>
      </w:r>
      <w:r>
        <w:rPr>
          <w:sz w:val="28"/>
          <w:szCs w:val="28"/>
        </w:rPr>
        <w:t>分园</w:t>
      </w:r>
      <w:r>
        <w:rPr>
          <w:rFonts w:hint="eastAsia"/>
          <w:sz w:val="28"/>
          <w:szCs w:val="28"/>
        </w:rPr>
        <w:t>：</w:t>
      </w:r>
      <w:r>
        <w:rPr>
          <w:sz w:val="28"/>
          <w:szCs w:val="28"/>
        </w:rPr>
        <w:t xml:space="preserve"> </w:t>
      </w:r>
      <w:r>
        <w:rPr>
          <w:rFonts w:hint="eastAsia"/>
          <w:sz w:val="28"/>
          <w:szCs w:val="28"/>
        </w:rPr>
        <w:t>学校位于青羊区乐平5路262号，占地面积约</w:t>
      </w:r>
      <w:r>
        <w:rPr>
          <w:sz w:val="28"/>
          <w:szCs w:val="28"/>
        </w:rPr>
        <w:t>4507.04</w:t>
      </w:r>
      <w:r>
        <w:rPr>
          <w:rFonts w:hint="eastAsia"/>
          <w:sz w:val="28"/>
          <w:szCs w:val="28"/>
        </w:rPr>
        <w:t>平方米，建筑面积约</w:t>
      </w:r>
      <w:r>
        <w:rPr>
          <w:sz w:val="28"/>
          <w:szCs w:val="28"/>
        </w:rPr>
        <w:t>7002.89</w:t>
      </w:r>
      <w:r>
        <w:rPr>
          <w:rFonts w:hint="eastAsia"/>
          <w:sz w:val="28"/>
          <w:szCs w:val="28"/>
        </w:rPr>
        <w:t>平方米，主体建筑</w:t>
      </w:r>
      <w:r>
        <w:rPr>
          <w:sz w:val="28"/>
          <w:szCs w:val="28"/>
        </w:rPr>
        <w:t xml:space="preserve"> 1</w:t>
      </w:r>
      <w:r>
        <w:rPr>
          <w:rFonts w:hint="eastAsia"/>
          <w:sz w:val="28"/>
          <w:szCs w:val="28"/>
        </w:rPr>
        <w:t xml:space="preserve">栋，2个主大门，有停车场，车位 </w:t>
      </w:r>
      <w:r>
        <w:rPr>
          <w:sz w:val="28"/>
          <w:szCs w:val="28"/>
        </w:rPr>
        <w:t xml:space="preserve">20 </w:t>
      </w:r>
      <w:r>
        <w:rPr>
          <w:rFonts w:hint="eastAsia"/>
          <w:sz w:val="28"/>
          <w:szCs w:val="28"/>
        </w:rPr>
        <w:t>个；</w:t>
      </w:r>
      <w:r>
        <w:rPr>
          <w:sz w:val="28"/>
          <w:szCs w:val="28"/>
        </w:rPr>
        <w:t>2021</w:t>
      </w:r>
      <w:r>
        <w:rPr>
          <w:rFonts w:hint="eastAsia"/>
          <w:sz w:val="28"/>
          <w:szCs w:val="28"/>
        </w:rPr>
        <w:t>年</w:t>
      </w:r>
      <w:r>
        <w:rPr>
          <w:sz w:val="28"/>
          <w:szCs w:val="28"/>
        </w:rPr>
        <w:t>9</w:t>
      </w:r>
      <w:r>
        <w:rPr>
          <w:rFonts w:hint="eastAsia"/>
          <w:sz w:val="28"/>
          <w:szCs w:val="28"/>
        </w:rPr>
        <w:t>月师生人数</w:t>
      </w:r>
      <w:r>
        <w:rPr>
          <w:sz w:val="28"/>
          <w:szCs w:val="28"/>
        </w:rPr>
        <w:t xml:space="preserve">349 </w:t>
      </w:r>
      <w:r>
        <w:rPr>
          <w:rFonts w:hint="eastAsia"/>
          <w:sz w:val="28"/>
          <w:szCs w:val="28"/>
        </w:rPr>
        <w:t>人。</w:t>
      </w:r>
    </w:p>
    <w:p>
      <w:pPr>
        <w:pStyle w:val="152"/>
        <w:ind w:firstLine="700" w:firstLineChars="250"/>
        <w:rPr>
          <w:sz w:val="28"/>
          <w:szCs w:val="28"/>
        </w:rPr>
      </w:pPr>
      <w:r>
        <w:rPr>
          <w:rFonts w:hint="eastAsia"/>
          <w:sz w:val="28"/>
          <w:szCs w:val="28"/>
        </w:rPr>
        <w:t>★人员配置类别及数量：</w:t>
      </w:r>
    </w:p>
    <w:p>
      <w:pPr>
        <w:pStyle w:val="152"/>
        <w:ind w:firstLine="700" w:firstLineChars="250"/>
        <w:rPr>
          <w:rFonts w:ascii="仿宋_GB2312" w:eastAsia="仿宋_GB2312"/>
          <w:sz w:val="28"/>
          <w:szCs w:val="28"/>
        </w:rPr>
      </w:pPr>
      <w:r>
        <w:rPr>
          <w:rFonts w:hint="eastAsia"/>
          <w:sz w:val="28"/>
          <w:szCs w:val="28"/>
        </w:rPr>
        <w:t>该项目服务人员定编18人。可优化配置，但不低于该配置力量。</w:t>
      </w:r>
    </w:p>
    <w:tbl>
      <w:tblPr>
        <w:tblStyle w:val="43"/>
        <w:tblW w:w="8375"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4"/>
        <w:gridCol w:w="1037"/>
        <w:gridCol w:w="1064"/>
        <w:gridCol w:w="1042"/>
        <w:gridCol w:w="1053"/>
        <w:gridCol w:w="1591"/>
        <w:gridCol w:w="1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414" w:type="dxa"/>
            <w:tcBorders>
              <w:top w:val="single" w:color="auto" w:sz="4" w:space="0"/>
              <w:left w:val="single" w:color="auto" w:sz="4" w:space="0"/>
              <w:bottom w:val="single" w:color="auto" w:sz="4" w:space="0"/>
              <w:right w:val="single" w:color="auto" w:sz="4" w:space="0"/>
            </w:tcBorders>
            <w:vAlign w:val="center"/>
          </w:tcPr>
          <w:p>
            <w:pPr>
              <w:pStyle w:val="152"/>
              <w:spacing w:line="420" w:lineRule="exact"/>
              <w:ind w:firstLine="0" w:firstLineChars="0"/>
              <w:jc w:val="center"/>
              <w:rPr>
                <w:szCs w:val="21"/>
              </w:rPr>
            </w:pPr>
            <w:r>
              <w:rPr>
                <w:rFonts w:hint="eastAsia"/>
                <w:szCs w:val="21"/>
              </w:rPr>
              <w:t>人员类别</w:t>
            </w:r>
          </w:p>
        </w:tc>
        <w:tc>
          <w:tcPr>
            <w:tcW w:w="1037" w:type="dxa"/>
            <w:tcBorders>
              <w:top w:val="single" w:color="auto" w:sz="4" w:space="0"/>
              <w:left w:val="single" w:color="auto" w:sz="4" w:space="0"/>
              <w:bottom w:val="single" w:color="auto" w:sz="4" w:space="0"/>
              <w:right w:val="single" w:color="auto" w:sz="4" w:space="0"/>
            </w:tcBorders>
            <w:vAlign w:val="center"/>
          </w:tcPr>
          <w:p>
            <w:pPr>
              <w:pStyle w:val="152"/>
              <w:spacing w:line="420" w:lineRule="exact"/>
              <w:ind w:firstLine="0" w:firstLineChars="0"/>
              <w:jc w:val="center"/>
              <w:rPr>
                <w:szCs w:val="21"/>
              </w:rPr>
            </w:pPr>
            <w:r>
              <w:rPr>
                <w:rFonts w:hint="eastAsia"/>
                <w:szCs w:val="21"/>
              </w:rPr>
              <w:t>主管</w:t>
            </w:r>
          </w:p>
        </w:tc>
        <w:tc>
          <w:tcPr>
            <w:tcW w:w="1064" w:type="dxa"/>
            <w:tcBorders>
              <w:top w:val="single" w:color="auto" w:sz="4" w:space="0"/>
              <w:left w:val="single" w:color="auto" w:sz="4" w:space="0"/>
              <w:bottom w:val="single" w:color="auto" w:sz="4" w:space="0"/>
              <w:right w:val="single" w:color="auto" w:sz="4" w:space="0"/>
            </w:tcBorders>
            <w:vAlign w:val="center"/>
          </w:tcPr>
          <w:p>
            <w:pPr>
              <w:pStyle w:val="152"/>
              <w:spacing w:line="420" w:lineRule="exact"/>
              <w:ind w:firstLine="0" w:firstLineChars="0"/>
              <w:jc w:val="center"/>
              <w:rPr>
                <w:szCs w:val="21"/>
              </w:rPr>
            </w:pPr>
            <w:r>
              <w:rPr>
                <w:rFonts w:hint="eastAsia"/>
                <w:szCs w:val="21"/>
              </w:rPr>
              <w:t>秩序维护</w:t>
            </w:r>
          </w:p>
        </w:tc>
        <w:tc>
          <w:tcPr>
            <w:tcW w:w="1042" w:type="dxa"/>
            <w:tcBorders>
              <w:top w:val="single" w:color="auto" w:sz="4" w:space="0"/>
              <w:left w:val="single" w:color="auto" w:sz="4" w:space="0"/>
              <w:bottom w:val="single" w:color="auto" w:sz="4" w:space="0"/>
              <w:right w:val="single" w:color="auto" w:sz="4" w:space="0"/>
            </w:tcBorders>
            <w:vAlign w:val="center"/>
          </w:tcPr>
          <w:p>
            <w:pPr>
              <w:pStyle w:val="152"/>
              <w:spacing w:line="420" w:lineRule="exact"/>
              <w:ind w:firstLine="210" w:firstLineChars="100"/>
              <w:jc w:val="center"/>
              <w:rPr>
                <w:szCs w:val="21"/>
              </w:rPr>
            </w:pPr>
            <w:r>
              <w:rPr>
                <w:rFonts w:hint="eastAsia"/>
                <w:szCs w:val="21"/>
              </w:rPr>
              <w:t>保洁</w:t>
            </w:r>
          </w:p>
        </w:tc>
        <w:tc>
          <w:tcPr>
            <w:tcW w:w="1053" w:type="dxa"/>
            <w:tcBorders>
              <w:top w:val="single" w:color="auto" w:sz="4" w:space="0"/>
              <w:left w:val="single" w:color="auto" w:sz="4" w:space="0"/>
              <w:bottom w:val="single" w:color="auto" w:sz="4" w:space="0"/>
              <w:right w:val="single" w:color="auto" w:sz="4" w:space="0"/>
            </w:tcBorders>
            <w:vAlign w:val="center"/>
          </w:tcPr>
          <w:p>
            <w:pPr>
              <w:pStyle w:val="152"/>
              <w:spacing w:line="420" w:lineRule="exact"/>
              <w:ind w:firstLine="0" w:firstLineChars="0"/>
              <w:jc w:val="center"/>
              <w:rPr>
                <w:szCs w:val="21"/>
              </w:rPr>
            </w:pPr>
            <w:r>
              <w:rPr>
                <w:rFonts w:hint="eastAsia"/>
                <w:szCs w:val="21"/>
              </w:rPr>
              <w:t>绿化工</w:t>
            </w:r>
          </w:p>
        </w:tc>
        <w:tc>
          <w:tcPr>
            <w:tcW w:w="1591" w:type="dxa"/>
            <w:tcBorders>
              <w:top w:val="single" w:color="auto" w:sz="4" w:space="0"/>
              <w:left w:val="single" w:color="auto" w:sz="4" w:space="0"/>
              <w:bottom w:val="single" w:color="auto" w:sz="4" w:space="0"/>
              <w:right w:val="single" w:color="auto" w:sz="4" w:space="0"/>
            </w:tcBorders>
            <w:vAlign w:val="center"/>
          </w:tcPr>
          <w:p>
            <w:pPr>
              <w:pStyle w:val="152"/>
              <w:spacing w:line="420" w:lineRule="exact"/>
              <w:ind w:firstLine="0" w:firstLineChars="0"/>
              <w:jc w:val="center"/>
              <w:rPr>
                <w:szCs w:val="21"/>
              </w:rPr>
            </w:pPr>
            <w:r>
              <w:rPr>
                <w:rFonts w:hint="eastAsia"/>
                <w:szCs w:val="21"/>
              </w:rPr>
              <w:t>水电(维修</w:t>
            </w:r>
            <w:r>
              <w:rPr>
                <w:szCs w:val="21"/>
              </w:rPr>
              <w:t>)</w:t>
            </w:r>
            <w:r>
              <w:rPr>
                <w:rFonts w:hint="eastAsia"/>
                <w:szCs w:val="21"/>
              </w:rPr>
              <w:t>工</w:t>
            </w:r>
          </w:p>
        </w:tc>
        <w:tc>
          <w:tcPr>
            <w:tcW w:w="1174" w:type="dxa"/>
            <w:tcBorders>
              <w:top w:val="single" w:color="auto" w:sz="4" w:space="0"/>
              <w:left w:val="single" w:color="auto" w:sz="4" w:space="0"/>
              <w:bottom w:val="single" w:color="auto" w:sz="4" w:space="0"/>
              <w:right w:val="single" w:color="auto" w:sz="4" w:space="0"/>
            </w:tcBorders>
            <w:vAlign w:val="center"/>
          </w:tcPr>
          <w:p>
            <w:pPr>
              <w:pStyle w:val="152"/>
              <w:spacing w:line="420" w:lineRule="exact"/>
              <w:ind w:firstLine="0" w:firstLineChars="0"/>
              <w:jc w:val="center"/>
              <w:rPr>
                <w:szCs w:val="21"/>
              </w:rPr>
            </w:pPr>
            <w:r>
              <w:rPr>
                <w:rFonts w:hint="eastAsia"/>
                <w:szCs w:val="21"/>
              </w:rPr>
              <w:t>汇总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414" w:type="dxa"/>
            <w:tcBorders>
              <w:top w:val="single" w:color="auto" w:sz="4" w:space="0"/>
              <w:left w:val="single" w:color="auto" w:sz="4" w:space="0"/>
              <w:bottom w:val="single" w:color="auto" w:sz="4" w:space="0"/>
              <w:right w:val="single" w:color="auto" w:sz="4" w:space="0"/>
            </w:tcBorders>
            <w:vAlign w:val="center"/>
          </w:tcPr>
          <w:p>
            <w:pPr>
              <w:pStyle w:val="152"/>
              <w:spacing w:line="420" w:lineRule="exact"/>
              <w:ind w:firstLine="0" w:firstLineChars="0"/>
              <w:jc w:val="center"/>
              <w:rPr>
                <w:szCs w:val="21"/>
              </w:rPr>
            </w:pPr>
            <w:r>
              <w:rPr>
                <w:rFonts w:hint="eastAsia"/>
                <w:szCs w:val="21"/>
              </w:rPr>
              <w:t>配置数量</w:t>
            </w:r>
          </w:p>
        </w:tc>
        <w:tc>
          <w:tcPr>
            <w:tcW w:w="1037" w:type="dxa"/>
            <w:tcBorders>
              <w:top w:val="single" w:color="auto" w:sz="4" w:space="0"/>
              <w:left w:val="single" w:color="auto" w:sz="4" w:space="0"/>
              <w:bottom w:val="single" w:color="auto" w:sz="4" w:space="0"/>
              <w:right w:val="single" w:color="auto" w:sz="4" w:space="0"/>
            </w:tcBorders>
            <w:vAlign w:val="center"/>
          </w:tcPr>
          <w:p>
            <w:pPr>
              <w:pStyle w:val="152"/>
              <w:spacing w:line="420" w:lineRule="exact"/>
              <w:ind w:firstLine="0" w:firstLineChars="0"/>
              <w:jc w:val="center"/>
              <w:rPr>
                <w:szCs w:val="21"/>
              </w:rPr>
            </w:pPr>
            <w:r>
              <w:rPr>
                <w:rFonts w:hint="eastAsia"/>
                <w:szCs w:val="21"/>
              </w:rPr>
              <w:t>1</w:t>
            </w:r>
          </w:p>
        </w:tc>
        <w:tc>
          <w:tcPr>
            <w:tcW w:w="1064" w:type="dxa"/>
            <w:tcBorders>
              <w:top w:val="single" w:color="auto" w:sz="4" w:space="0"/>
              <w:left w:val="single" w:color="auto" w:sz="4" w:space="0"/>
              <w:bottom w:val="single" w:color="auto" w:sz="4" w:space="0"/>
              <w:right w:val="single" w:color="auto" w:sz="4" w:space="0"/>
            </w:tcBorders>
            <w:vAlign w:val="center"/>
          </w:tcPr>
          <w:p>
            <w:pPr>
              <w:pStyle w:val="152"/>
              <w:spacing w:line="420" w:lineRule="exact"/>
              <w:ind w:firstLine="0" w:firstLineChars="0"/>
              <w:jc w:val="center"/>
              <w:rPr>
                <w:szCs w:val="21"/>
              </w:rPr>
            </w:pPr>
            <w:r>
              <w:rPr>
                <w:szCs w:val="21"/>
              </w:rPr>
              <w:t>9</w:t>
            </w:r>
          </w:p>
        </w:tc>
        <w:tc>
          <w:tcPr>
            <w:tcW w:w="1042" w:type="dxa"/>
            <w:tcBorders>
              <w:top w:val="single" w:color="auto" w:sz="4" w:space="0"/>
              <w:left w:val="single" w:color="auto" w:sz="4" w:space="0"/>
              <w:bottom w:val="single" w:color="auto" w:sz="4" w:space="0"/>
              <w:right w:val="single" w:color="auto" w:sz="4" w:space="0"/>
            </w:tcBorders>
            <w:vAlign w:val="center"/>
          </w:tcPr>
          <w:p>
            <w:pPr>
              <w:pStyle w:val="152"/>
              <w:spacing w:line="420" w:lineRule="exact"/>
              <w:ind w:firstLine="0" w:firstLineChars="0"/>
              <w:jc w:val="center"/>
              <w:rPr>
                <w:szCs w:val="21"/>
              </w:rPr>
            </w:pPr>
            <w:r>
              <w:rPr>
                <w:rFonts w:hint="eastAsia"/>
                <w:szCs w:val="21"/>
              </w:rPr>
              <w:t>6</w:t>
            </w:r>
          </w:p>
        </w:tc>
        <w:tc>
          <w:tcPr>
            <w:tcW w:w="1053" w:type="dxa"/>
            <w:tcBorders>
              <w:top w:val="single" w:color="auto" w:sz="4" w:space="0"/>
              <w:left w:val="single" w:color="auto" w:sz="4" w:space="0"/>
              <w:bottom w:val="single" w:color="auto" w:sz="4" w:space="0"/>
              <w:right w:val="single" w:color="auto" w:sz="4" w:space="0"/>
            </w:tcBorders>
            <w:vAlign w:val="center"/>
          </w:tcPr>
          <w:p>
            <w:pPr>
              <w:pStyle w:val="152"/>
              <w:spacing w:line="420" w:lineRule="exact"/>
              <w:ind w:firstLine="0" w:firstLineChars="0"/>
              <w:jc w:val="center"/>
              <w:rPr>
                <w:szCs w:val="21"/>
              </w:rPr>
            </w:pPr>
            <w:r>
              <w:rPr>
                <w:rFonts w:hint="eastAsia"/>
                <w:szCs w:val="21"/>
              </w:rPr>
              <w:t>1</w:t>
            </w:r>
          </w:p>
        </w:tc>
        <w:tc>
          <w:tcPr>
            <w:tcW w:w="1591" w:type="dxa"/>
            <w:tcBorders>
              <w:top w:val="single" w:color="auto" w:sz="4" w:space="0"/>
              <w:left w:val="single" w:color="auto" w:sz="4" w:space="0"/>
              <w:bottom w:val="single" w:color="auto" w:sz="4" w:space="0"/>
              <w:right w:val="single" w:color="auto" w:sz="4" w:space="0"/>
            </w:tcBorders>
            <w:vAlign w:val="center"/>
          </w:tcPr>
          <w:p>
            <w:pPr>
              <w:pStyle w:val="152"/>
              <w:spacing w:line="420" w:lineRule="exact"/>
              <w:ind w:firstLine="0" w:firstLineChars="0"/>
              <w:jc w:val="center"/>
              <w:rPr>
                <w:szCs w:val="21"/>
              </w:rPr>
            </w:pPr>
            <w:r>
              <w:rPr>
                <w:rFonts w:hint="eastAsia"/>
                <w:szCs w:val="21"/>
              </w:rPr>
              <w:t>1</w:t>
            </w:r>
          </w:p>
        </w:tc>
        <w:tc>
          <w:tcPr>
            <w:tcW w:w="1174" w:type="dxa"/>
            <w:tcBorders>
              <w:top w:val="single" w:color="auto" w:sz="4" w:space="0"/>
              <w:left w:val="single" w:color="auto" w:sz="4" w:space="0"/>
              <w:bottom w:val="single" w:color="auto" w:sz="4" w:space="0"/>
              <w:right w:val="single" w:color="auto" w:sz="4" w:space="0"/>
            </w:tcBorders>
            <w:vAlign w:val="center"/>
          </w:tcPr>
          <w:p>
            <w:pPr>
              <w:pStyle w:val="152"/>
              <w:spacing w:line="420" w:lineRule="exact"/>
              <w:ind w:firstLine="0" w:firstLineChars="0"/>
              <w:jc w:val="center"/>
              <w:rPr>
                <w:szCs w:val="21"/>
              </w:rPr>
            </w:pPr>
            <w:r>
              <w:rPr>
                <w:rFonts w:hint="eastAsia"/>
                <w:szCs w:val="21"/>
              </w:rPr>
              <w:t>18</w:t>
            </w:r>
          </w:p>
        </w:tc>
      </w:tr>
    </w:tbl>
    <w:p>
      <w:pPr>
        <w:pStyle w:val="152"/>
        <w:ind w:firstLine="560"/>
        <w:rPr>
          <w:sz w:val="28"/>
          <w:szCs w:val="28"/>
        </w:rPr>
      </w:pPr>
    </w:p>
    <w:p>
      <w:pPr>
        <w:pStyle w:val="152"/>
        <w:ind w:firstLine="562"/>
        <w:rPr>
          <w:b/>
          <w:bCs/>
          <w:sz w:val="28"/>
          <w:szCs w:val="28"/>
        </w:rPr>
      </w:pPr>
      <w:r>
        <w:rPr>
          <w:rFonts w:hint="eastAsia"/>
          <w:b/>
          <w:bCs/>
          <w:sz w:val="28"/>
          <w:szCs w:val="28"/>
        </w:rPr>
        <w:t xml:space="preserve">3．成都市同辉(国际)小学 </w:t>
      </w:r>
    </w:p>
    <w:p>
      <w:pPr>
        <w:pStyle w:val="152"/>
        <w:ind w:firstLine="560"/>
        <w:rPr>
          <w:sz w:val="28"/>
          <w:szCs w:val="28"/>
        </w:rPr>
      </w:pPr>
      <w:r>
        <w:rPr>
          <w:rFonts w:hint="eastAsia"/>
          <w:sz w:val="28"/>
          <w:szCs w:val="28"/>
        </w:rPr>
        <w:t>学校位于光华东三路60号，占地面积约21565平方米，建筑面积约14413平方米，主体建筑2栋，1个主大门，2个侧门，有停车场（教学楼后面 消防通道），车位46个；</w:t>
      </w:r>
      <w:r>
        <w:rPr>
          <w:sz w:val="28"/>
          <w:szCs w:val="28"/>
        </w:rPr>
        <w:t>2021</w:t>
      </w:r>
      <w:r>
        <w:rPr>
          <w:rFonts w:hint="eastAsia"/>
          <w:sz w:val="28"/>
          <w:szCs w:val="28"/>
        </w:rPr>
        <w:t>年</w:t>
      </w:r>
      <w:r>
        <w:rPr>
          <w:sz w:val="28"/>
          <w:szCs w:val="28"/>
        </w:rPr>
        <w:t>9</w:t>
      </w:r>
      <w:r>
        <w:rPr>
          <w:rFonts w:hint="eastAsia"/>
          <w:sz w:val="28"/>
          <w:szCs w:val="28"/>
        </w:rPr>
        <w:t>月师生人数约2663人。</w:t>
      </w:r>
    </w:p>
    <w:p>
      <w:pPr>
        <w:pStyle w:val="152"/>
        <w:ind w:firstLine="560"/>
        <w:rPr>
          <w:sz w:val="28"/>
          <w:szCs w:val="28"/>
        </w:rPr>
      </w:pPr>
      <w:r>
        <w:rPr>
          <w:rFonts w:hint="eastAsia"/>
          <w:sz w:val="28"/>
          <w:szCs w:val="28"/>
        </w:rPr>
        <w:t>★人员配置类别及数量：</w:t>
      </w:r>
    </w:p>
    <w:p>
      <w:pPr>
        <w:pStyle w:val="152"/>
        <w:ind w:right="-197" w:rightChars="-94" w:firstLine="560"/>
        <w:jc w:val="left"/>
        <w:rPr>
          <w:rFonts w:ascii="仿宋_GB2312" w:eastAsia="仿宋_GB2312"/>
          <w:sz w:val="28"/>
          <w:szCs w:val="28"/>
        </w:rPr>
      </w:pPr>
      <w:r>
        <w:rPr>
          <w:rFonts w:hint="eastAsia"/>
          <w:sz w:val="28"/>
          <w:szCs w:val="28"/>
        </w:rPr>
        <w:t>该项目服务人员定编</w:t>
      </w:r>
      <w:r>
        <w:rPr>
          <w:sz w:val="28"/>
          <w:szCs w:val="28"/>
        </w:rPr>
        <w:t xml:space="preserve"> </w:t>
      </w:r>
      <w:r>
        <w:rPr>
          <w:rFonts w:hint="eastAsia"/>
          <w:sz w:val="28"/>
          <w:szCs w:val="28"/>
        </w:rPr>
        <w:t>8人。可优化配置，但不低于该配置力量。</w:t>
      </w:r>
    </w:p>
    <w:tbl>
      <w:tblPr>
        <w:tblStyle w:val="43"/>
        <w:tblW w:w="826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1989"/>
        <w:gridCol w:w="1418"/>
        <w:gridCol w:w="1701"/>
        <w:gridCol w:w="16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3" w:hRule="atLeast"/>
        </w:trPr>
        <w:tc>
          <w:tcPr>
            <w:tcW w:w="155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szCs w:val="21"/>
              </w:rPr>
            </w:pPr>
            <w:r>
              <w:rPr>
                <w:rFonts w:hint="eastAsia"/>
                <w:szCs w:val="21"/>
              </w:rPr>
              <w:t>人员类别</w:t>
            </w:r>
          </w:p>
        </w:tc>
        <w:tc>
          <w:tcPr>
            <w:tcW w:w="1989"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szCs w:val="21"/>
              </w:rPr>
            </w:pPr>
            <w:r>
              <w:rPr>
                <w:rFonts w:hint="eastAsia"/>
                <w:szCs w:val="21"/>
              </w:rPr>
              <w:t>主管</w:t>
            </w:r>
          </w:p>
          <w:p>
            <w:pPr>
              <w:spacing w:line="420" w:lineRule="exact"/>
              <w:jc w:val="center"/>
              <w:rPr>
                <w:szCs w:val="21"/>
              </w:rPr>
            </w:pPr>
            <w:r>
              <w:rPr>
                <w:rFonts w:hint="eastAsia"/>
                <w:szCs w:val="21"/>
              </w:rPr>
              <w:t>（兼秩序维护队长、驾驶员）</w:t>
            </w:r>
          </w:p>
        </w:tc>
        <w:tc>
          <w:tcPr>
            <w:tcW w:w="1418"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szCs w:val="21"/>
              </w:rPr>
            </w:pPr>
            <w:r>
              <w:rPr>
                <w:rFonts w:hint="eastAsia"/>
                <w:szCs w:val="21"/>
              </w:rPr>
              <w:t>秩序维护</w:t>
            </w:r>
          </w:p>
        </w:tc>
        <w:tc>
          <w:tcPr>
            <w:tcW w:w="1701" w:type="dxa"/>
            <w:tcBorders>
              <w:top w:val="single" w:color="auto" w:sz="4" w:space="0"/>
              <w:left w:val="single" w:color="auto" w:sz="4" w:space="0"/>
              <w:bottom w:val="single" w:color="auto" w:sz="4" w:space="0"/>
              <w:right w:val="single" w:color="auto" w:sz="4" w:space="0"/>
            </w:tcBorders>
            <w:vAlign w:val="center"/>
          </w:tcPr>
          <w:p>
            <w:pPr>
              <w:spacing w:line="420" w:lineRule="exact"/>
              <w:rPr>
                <w:szCs w:val="21"/>
              </w:rPr>
            </w:pPr>
            <w:r>
              <w:rPr>
                <w:rFonts w:hint="eastAsia"/>
                <w:szCs w:val="21"/>
              </w:rPr>
              <w:t>水电（维修）工</w:t>
            </w:r>
          </w:p>
        </w:tc>
        <w:tc>
          <w:tcPr>
            <w:tcW w:w="1603"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szCs w:val="21"/>
              </w:rPr>
            </w:pPr>
            <w:r>
              <w:rPr>
                <w:rFonts w:hint="eastAsia"/>
                <w:szCs w:val="21"/>
              </w:rPr>
              <w:t>汇总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55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szCs w:val="21"/>
              </w:rPr>
            </w:pPr>
            <w:r>
              <w:rPr>
                <w:rFonts w:hint="eastAsia"/>
                <w:szCs w:val="21"/>
              </w:rPr>
              <w:t>配置数量</w:t>
            </w:r>
          </w:p>
        </w:tc>
        <w:tc>
          <w:tcPr>
            <w:tcW w:w="1989"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szCs w:val="21"/>
              </w:rPr>
            </w:pPr>
            <w:r>
              <w:rPr>
                <w:rFonts w:hint="eastAsia"/>
                <w:szCs w:val="21"/>
              </w:rPr>
              <w:t>1</w:t>
            </w:r>
          </w:p>
        </w:tc>
        <w:tc>
          <w:tcPr>
            <w:tcW w:w="1418"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szCs w:val="21"/>
              </w:rPr>
            </w:pPr>
            <w:r>
              <w:rPr>
                <w:rFonts w:hint="eastAsia"/>
                <w:szCs w:val="21"/>
              </w:rPr>
              <w:t>6</w:t>
            </w:r>
          </w:p>
        </w:tc>
        <w:tc>
          <w:tcPr>
            <w:tcW w:w="1701"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szCs w:val="21"/>
              </w:rPr>
            </w:pPr>
            <w:r>
              <w:rPr>
                <w:rFonts w:hint="eastAsia"/>
                <w:szCs w:val="21"/>
              </w:rPr>
              <w:t>1</w:t>
            </w:r>
          </w:p>
        </w:tc>
        <w:tc>
          <w:tcPr>
            <w:tcW w:w="1603"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szCs w:val="21"/>
              </w:rPr>
            </w:pPr>
            <w:r>
              <w:rPr>
                <w:rFonts w:hint="eastAsia"/>
                <w:szCs w:val="21"/>
              </w:rPr>
              <w:t>8</w:t>
            </w:r>
          </w:p>
        </w:tc>
      </w:tr>
    </w:tbl>
    <w:p>
      <w:pPr>
        <w:pStyle w:val="152"/>
        <w:ind w:firstLine="0" w:firstLineChars="0"/>
        <w:rPr>
          <w:sz w:val="28"/>
          <w:szCs w:val="28"/>
        </w:rPr>
      </w:pPr>
    </w:p>
    <w:p>
      <w:pPr>
        <w:pStyle w:val="152"/>
        <w:ind w:firstLine="0" w:firstLineChars="0"/>
        <w:rPr>
          <w:b/>
          <w:bCs/>
          <w:sz w:val="28"/>
          <w:szCs w:val="28"/>
        </w:rPr>
      </w:pPr>
      <w:r>
        <w:rPr>
          <w:rFonts w:hint="eastAsia"/>
          <w:b/>
          <w:bCs/>
          <w:sz w:val="28"/>
          <w:szCs w:val="28"/>
        </w:rPr>
        <w:t>4．成都市实验小学明道分校</w:t>
      </w:r>
    </w:p>
    <w:p>
      <w:pPr>
        <w:pStyle w:val="152"/>
        <w:ind w:firstLine="560"/>
        <w:rPr>
          <w:sz w:val="28"/>
          <w:szCs w:val="28"/>
        </w:rPr>
      </w:pPr>
      <w:r>
        <w:rPr>
          <w:rFonts w:hint="eastAsia"/>
          <w:sz w:val="28"/>
          <w:szCs w:val="28"/>
        </w:rPr>
        <w:t>学校位于成都市青羊区黄田坝街道办事处黄土社区，占地面积约2</w:t>
      </w:r>
      <w:r>
        <w:rPr>
          <w:sz w:val="28"/>
          <w:szCs w:val="28"/>
        </w:rPr>
        <w:t>1204</w:t>
      </w:r>
      <w:r>
        <w:rPr>
          <w:rFonts w:hint="eastAsia"/>
          <w:sz w:val="28"/>
          <w:szCs w:val="28"/>
        </w:rPr>
        <w:t>平方米，建筑面积约1</w:t>
      </w:r>
      <w:r>
        <w:rPr>
          <w:sz w:val="28"/>
          <w:szCs w:val="28"/>
        </w:rPr>
        <w:t xml:space="preserve">3890 </w:t>
      </w:r>
      <w:r>
        <w:rPr>
          <w:rFonts w:hint="eastAsia"/>
          <w:sz w:val="28"/>
          <w:szCs w:val="28"/>
        </w:rPr>
        <w:t>平方米，主体建筑</w:t>
      </w:r>
      <w:r>
        <w:rPr>
          <w:sz w:val="28"/>
          <w:szCs w:val="28"/>
        </w:rPr>
        <w:t xml:space="preserve"> 3 </w:t>
      </w:r>
      <w:r>
        <w:rPr>
          <w:rFonts w:hint="eastAsia"/>
          <w:sz w:val="28"/>
          <w:szCs w:val="28"/>
        </w:rPr>
        <w:t>栋，</w:t>
      </w:r>
      <w:r>
        <w:rPr>
          <w:sz w:val="28"/>
          <w:szCs w:val="28"/>
        </w:rPr>
        <w:t xml:space="preserve"> 2 </w:t>
      </w:r>
      <w:r>
        <w:rPr>
          <w:rFonts w:hint="eastAsia"/>
          <w:sz w:val="28"/>
          <w:szCs w:val="28"/>
        </w:rPr>
        <w:t xml:space="preserve">个主大门，有停车场，车位 </w:t>
      </w:r>
      <w:r>
        <w:rPr>
          <w:sz w:val="28"/>
          <w:szCs w:val="28"/>
        </w:rPr>
        <w:t xml:space="preserve">40 </w:t>
      </w:r>
      <w:r>
        <w:rPr>
          <w:rFonts w:hint="eastAsia"/>
          <w:sz w:val="28"/>
          <w:szCs w:val="28"/>
        </w:rPr>
        <w:t>个；</w:t>
      </w:r>
      <w:r>
        <w:rPr>
          <w:sz w:val="28"/>
          <w:szCs w:val="28"/>
        </w:rPr>
        <w:t>2021</w:t>
      </w:r>
      <w:r>
        <w:rPr>
          <w:rFonts w:hint="eastAsia"/>
          <w:sz w:val="28"/>
          <w:szCs w:val="28"/>
        </w:rPr>
        <w:t>年</w:t>
      </w:r>
      <w:r>
        <w:rPr>
          <w:sz w:val="28"/>
          <w:szCs w:val="28"/>
        </w:rPr>
        <w:t>9</w:t>
      </w:r>
      <w:r>
        <w:rPr>
          <w:rFonts w:hint="eastAsia"/>
          <w:sz w:val="28"/>
          <w:szCs w:val="28"/>
        </w:rPr>
        <w:t xml:space="preserve">月师生人数约 </w:t>
      </w:r>
      <w:r>
        <w:rPr>
          <w:sz w:val="28"/>
          <w:szCs w:val="28"/>
        </w:rPr>
        <w:t xml:space="preserve">1657 </w:t>
      </w:r>
      <w:r>
        <w:rPr>
          <w:rFonts w:hint="eastAsia"/>
          <w:sz w:val="28"/>
          <w:szCs w:val="28"/>
        </w:rPr>
        <w:t>人。</w:t>
      </w:r>
    </w:p>
    <w:p>
      <w:pPr>
        <w:pStyle w:val="152"/>
        <w:ind w:firstLine="560"/>
        <w:rPr>
          <w:sz w:val="28"/>
          <w:szCs w:val="28"/>
        </w:rPr>
      </w:pPr>
      <w:r>
        <w:rPr>
          <w:rFonts w:hint="eastAsia"/>
          <w:sz w:val="28"/>
          <w:szCs w:val="28"/>
        </w:rPr>
        <w:t>★人员配置类别及数量：</w:t>
      </w:r>
    </w:p>
    <w:p>
      <w:pPr>
        <w:pStyle w:val="152"/>
        <w:ind w:firstLine="560"/>
        <w:rPr>
          <w:rFonts w:ascii="仿宋_GB2312" w:eastAsia="仿宋_GB2312"/>
          <w:sz w:val="28"/>
          <w:szCs w:val="28"/>
        </w:rPr>
      </w:pPr>
      <w:r>
        <w:rPr>
          <w:rFonts w:hint="eastAsia"/>
          <w:sz w:val="28"/>
          <w:szCs w:val="28"/>
        </w:rPr>
        <w:t>该项目服务人员定编</w:t>
      </w:r>
      <w:r>
        <w:rPr>
          <w:sz w:val="28"/>
          <w:szCs w:val="28"/>
        </w:rPr>
        <w:t>10</w:t>
      </w:r>
      <w:r>
        <w:rPr>
          <w:rFonts w:hint="eastAsia"/>
          <w:sz w:val="28"/>
          <w:szCs w:val="28"/>
        </w:rPr>
        <w:t>人。可优化配置，但不低于该配置力量。</w:t>
      </w:r>
    </w:p>
    <w:tbl>
      <w:tblPr>
        <w:tblStyle w:val="43"/>
        <w:tblW w:w="828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754"/>
        <w:gridCol w:w="1755"/>
        <w:gridCol w:w="1755"/>
        <w:gridCol w:w="16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3" w:hRule="atLeast"/>
        </w:trPr>
        <w:tc>
          <w:tcPr>
            <w:tcW w:w="1413"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szCs w:val="21"/>
              </w:rPr>
            </w:pPr>
            <w:r>
              <w:rPr>
                <w:rFonts w:hint="eastAsia"/>
                <w:szCs w:val="21"/>
              </w:rPr>
              <w:t>人员类别</w:t>
            </w:r>
          </w:p>
        </w:tc>
        <w:tc>
          <w:tcPr>
            <w:tcW w:w="1754"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szCs w:val="21"/>
              </w:rPr>
            </w:pPr>
            <w:r>
              <w:rPr>
                <w:rFonts w:hint="eastAsia"/>
                <w:szCs w:val="21"/>
              </w:rPr>
              <w:t>主管</w:t>
            </w:r>
          </w:p>
          <w:p>
            <w:pPr>
              <w:spacing w:line="420" w:lineRule="exact"/>
              <w:jc w:val="center"/>
              <w:rPr>
                <w:szCs w:val="21"/>
              </w:rPr>
            </w:pPr>
            <w:r>
              <w:rPr>
                <w:rFonts w:hint="eastAsia"/>
                <w:szCs w:val="21"/>
              </w:rPr>
              <w:t>（兼保洁队长）</w:t>
            </w:r>
          </w:p>
        </w:tc>
        <w:tc>
          <w:tcPr>
            <w:tcW w:w="175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szCs w:val="21"/>
              </w:rPr>
            </w:pPr>
            <w:r>
              <w:rPr>
                <w:rFonts w:hint="eastAsia"/>
                <w:szCs w:val="21"/>
              </w:rPr>
              <w:t>秩序维护</w:t>
            </w:r>
          </w:p>
        </w:tc>
        <w:tc>
          <w:tcPr>
            <w:tcW w:w="175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szCs w:val="21"/>
              </w:rPr>
            </w:pPr>
            <w:r>
              <w:rPr>
                <w:rFonts w:hint="eastAsia"/>
                <w:szCs w:val="21"/>
              </w:rPr>
              <w:t>保洁</w:t>
            </w:r>
          </w:p>
        </w:tc>
        <w:tc>
          <w:tcPr>
            <w:tcW w:w="1607"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szCs w:val="21"/>
              </w:rPr>
            </w:pPr>
            <w:r>
              <w:rPr>
                <w:rFonts w:hint="eastAsia"/>
                <w:szCs w:val="21"/>
              </w:rPr>
              <w:t>汇总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413"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szCs w:val="21"/>
              </w:rPr>
            </w:pPr>
            <w:r>
              <w:rPr>
                <w:rFonts w:hint="eastAsia"/>
                <w:szCs w:val="21"/>
              </w:rPr>
              <w:t>配置数量</w:t>
            </w:r>
          </w:p>
        </w:tc>
        <w:tc>
          <w:tcPr>
            <w:tcW w:w="1754"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szCs w:val="21"/>
              </w:rPr>
            </w:pPr>
            <w:r>
              <w:rPr>
                <w:rFonts w:hint="eastAsia"/>
                <w:szCs w:val="21"/>
              </w:rPr>
              <w:t>1</w:t>
            </w:r>
          </w:p>
        </w:tc>
        <w:tc>
          <w:tcPr>
            <w:tcW w:w="175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szCs w:val="21"/>
              </w:rPr>
            </w:pPr>
            <w:r>
              <w:rPr>
                <w:rFonts w:hint="eastAsia"/>
                <w:szCs w:val="21"/>
              </w:rPr>
              <w:t>5</w:t>
            </w:r>
          </w:p>
        </w:tc>
        <w:tc>
          <w:tcPr>
            <w:tcW w:w="175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szCs w:val="21"/>
              </w:rPr>
            </w:pPr>
            <w:r>
              <w:rPr>
                <w:szCs w:val="21"/>
              </w:rPr>
              <w:t>4</w:t>
            </w:r>
          </w:p>
        </w:tc>
        <w:tc>
          <w:tcPr>
            <w:tcW w:w="1607"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szCs w:val="21"/>
              </w:rPr>
            </w:pPr>
            <w:r>
              <w:rPr>
                <w:rFonts w:hint="eastAsia"/>
                <w:szCs w:val="21"/>
              </w:rPr>
              <w:t>1</w:t>
            </w:r>
            <w:r>
              <w:rPr>
                <w:szCs w:val="21"/>
              </w:rPr>
              <w:t>0</w:t>
            </w:r>
          </w:p>
        </w:tc>
      </w:tr>
    </w:tbl>
    <w:p>
      <w:pPr>
        <w:pStyle w:val="152"/>
        <w:ind w:firstLine="0" w:firstLineChars="0"/>
        <w:rPr>
          <w:b/>
          <w:bCs/>
          <w:color w:val="000000"/>
          <w:sz w:val="28"/>
          <w:szCs w:val="28"/>
        </w:rPr>
      </w:pPr>
      <w:r>
        <w:rPr>
          <w:rFonts w:hint="eastAsia"/>
          <w:b/>
          <w:bCs/>
          <w:color w:val="000000"/>
          <w:sz w:val="28"/>
          <w:szCs w:val="28"/>
        </w:rPr>
        <w:t>二、服务要求</w:t>
      </w:r>
    </w:p>
    <w:p>
      <w:pPr>
        <w:pStyle w:val="152"/>
        <w:ind w:firstLine="700" w:firstLineChars="250"/>
        <w:rPr>
          <w:sz w:val="28"/>
          <w:szCs w:val="28"/>
        </w:rPr>
      </w:pPr>
      <w:r>
        <w:rPr>
          <w:rFonts w:hint="eastAsia"/>
          <w:sz w:val="28"/>
          <w:szCs w:val="28"/>
        </w:rPr>
        <w:t>以下为该项目人员、服务及质量、考核等基本要求，供应商应在此基础上根据学校实际情况(学校性质、校园面积、学生年龄特征、师生人数等</w:t>
      </w:r>
      <w:r>
        <w:rPr>
          <w:sz w:val="28"/>
          <w:szCs w:val="28"/>
        </w:rPr>
        <w:t>)</w:t>
      </w:r>
      <w:r>
        <w:rPr>
          <w:rFonts w:hint="eastAsia"/>
          <w:sz w:val="28"/>
          <w:szCs w:val="28"/>
        </w:rPr>
        <w:t>合理配置人员、完善各项管理制度、岗位职责、服务标准、服务流程、考核办法等。</w:t>
      </w:r>
    </w:p>
    <w:p>
      <w:pPr>
        <w:pStyle w:val="152"/>
        <w:ind w:firstLine="560"/>
        <w:rPr>
          <w:sz w:val="28"/>
          <w:szCs w:val="28"/>
        </w:rPr>
      </w:pPr>
      <w:r>
        <w:rPr>
          <w:rFonts w:hint="eastAsia"/>
          <w:sz w:val="28"/>
          <w:szCs w:val="28"/>
        </w:rPr>
        <w:t>1、人员基本要求</w:t>
      </w:r>
    </w:p>
    <w:p>
      <w:pPr>
        <w:pStyle w:val="152"/>
        <w:ind w:firstLine="560"/>
        <w:rPr>
          <w:color w:val="000000"/>
          <w:sz w:val="28"/>
          <w:szCs w:val="28"/>
        </w:rPr>
      </w:pPr>
      <w:r>
        <w:rPr>
          <w:rFonts w:hint="eastAsia"/>
          <w:sz w:val="28"/>
          <w:szCs w:val="28"/>
        </w:rPr>
        <w:t>★</w:t>
      </w:r>
      <w:r>
        <w:rPr>
          <w:rFonts w:hint="eastAsia" w:ascii="宋体" w:hAnsi="宋体"/>
          <w:color w:val="000000"/>
          <w:sz w:val="28"/>
          <w:szCs w:val="28"/>
        </w:rPr>
        <w:t>（1）热爱党、热爱祖国，拥护党的基本路线，遵纪守法。 有爱心、责任心和耐心，工作认真、细致，具有较强的服务意识和良好的组织协调能力、沟通能力。(提供承</w:t>
      </w:r>
      <w:r>
        <w:rPr>
          <w:rFonts w:hint="eastAsia"/>
          <w:sz w:val="28"/>
          <w:szCs w:val="28"/>
        </w:rPr>
        <w:t>诺函，入驻校点时提供相应无吸毒史</w:t>
      </w:r>
      <w:r>
        <w:rPr>
          <w:rFonts w:hint="eastAsia"/>
          <w:color w:val="000000"/>
          <w:sz w:val="28"/>
          <w:szCs w:val="28"/>
        </w:rPr>
        <w:t>、无犯罪史的证明材料)；</w:t>
      </w:r>
    </w:p>
    <w:p>
      <w:pPr>
        <w:pStyle w:val="152"/>
        <w:ind w:firstLine="560"/>
        <w:rPr>
          <w:color w:val="000000"/>
          <w:sz w:val="28"/>
          <w:szCs w:val="28"/>
        </w:rPr>
      </w:pPr>
      <w:r>
        <w:rPr>
          <w:rFonts w:hint="eastAsia"/>
          <w:sz w:val="28"/>
          <w:szCs w:val="28"/>
        </w:rPr>
        <w:t>★</w:t>
      </w:r>
      <w:r>
        <w:rPr>
          <w:rFonts w:hint="eastAsia" w:ascii="宋体" w:hAnsi="宋体"/>
          <w:color w:val="000000"/>
          <w:sz w:val="28"/>
          <w:szCs w:val="28"/>
        </w:rPr>
        <w:t>（2）</w:t>
      </w:r>
      <w:r>
        <w:rPr>
          <w:rFonts w:hint="eastAsia"/>
          <w:color w:val="000000"/>
          <w:sz w:val="28"/>
          <w:szCs w:val="28"/>
        </w:rPr>
        <w:t>身体健康，并持健康证，无精神病史(提供承诺函，入驻校点时提供健康证)；</w:t>
      </w:r>
    </w:p>
    <w:p>
      <w:pPr>
        <w:pStyle w:val="152"/>
        <w:ind w:firstLine="560"/>
        <w:rPr>
          <w:color w:val="000000"/>
          <w:sz w:val="28"/>
          <w:szCs w:val="28"/>
        </w:rPr>
      </w:pPr>
      <w:r>
        <w:rPr>
          <w:rFonts w:hint="eastAsia"/>
          <w:sz w:val="28"/>
          <w:szCs w:val="28"/>
        </w:rPr>
        <w:t>★</w:t>
      </w:r>
      <w:r>
        <w:rPr>
          <w:rFonts w:hint="eastAsia" w:ascii="宋体" w:hAnsi="宋体"/>
          <w:color w:val="000000"/>
          <w:sz w:val="28"/>
          <w:szCs w:val="28"/>
        </w:rPr>
        <w:t>（</w:t>
      </w:r>
      <w:r>
        <w:rPr>
          <w:rFonts w:ascii="宋体" w:hAnsi="宋体"/>
          <w:color w:val="000000"/>
          <w:sz w:val="28"/>
          <w:szCs w:val="28"/>
        </w:rPr>
        <w:t>3</w:t>
      </w:r>
      <w:r>
        <w:rPr>
          <w:rFonts w:hint="eastAsia" w:ascii="宋体" w:hAnsi="宋体"/>
          <w:color w:val="000000"/>
          <w:sz w:val="28"/>
          <w:szCs w:val="28"/>
        </w:rPr>
        <w:t>）</w:t>
      </w:r>
      <w:r>
        <w:rPr>
          <w:color w:val="000000"/>
          <w:sz w:val="28"/>
          <w:szCs w:val="28"/>
        </w:rPr>
        <w:t>年龄</w:t>
      </w:r>
      <w:r>
        <w:rPr>
          <w:rFonts w:hint="eastAsia"/>
          <w:color w:val="000000"/>
          <w:sz w:val="28"/>
          <w:szCs w:val="28"/>
        </w:rPr>
        <w:t>范围</w:t>
      </w:r>
      <w:r>
        <w:rPr>
          <w:color w:val="000000"/>
          <w:sz w:val="28"/>
          <w:szCs w:val="28"/>
        </w:rPr>
        <w:t>：</w:t>
      </w:r>
      <w:r>
        <w:rPr>
          <w:rFonts w:hint="eastAsia"/>
          <w:color w:val="000000"/>
          <w:sz w:val="28"/>
          <w:szCs w:val="28"/>
        </w:rPr>
        <w:t>男性:18—55岁之间， 女性: 18—50岁；(提供承诺函)；</w:t>
      </w:r>
    </w:p>
    <w:p>
      <w:pPr>
        <w:pStyle w:val="152"/>
        <w:ind w:firstLine="560"/>
        <w:rPr>
          <w:color w:val="000000"/>
          <w:sz w:val="28"/>
          <w:szCs w:val="28"/>
        </w:rPr>
      </w:pPr>
      <w:r>
        <w:rPr>
          <w:rFonts w:hint="eastAsia"/>
          <w:sz w:val="28"/>
          <w:szCs w:val="28"/>
        </w:rPr>
        <w:t>★</w:t>
      </w:r>
      <w:r>
        <w:rPr>
          <w:rFonts w:hint="eastAsia"/>
          <w:color w:val="000000"/>
          <w:sz w:val="28"/>
          <w:szCs w:val="28"/>
        </w:rPr>
        <w:t>（4）秩序维护要求:男性身高不低于170cm，女性身高不低于160cm，具有保安证。(同辉（国际）小学特别要求,男性:18—50岁之间,形象气质佳，高中及以上文化程度占50%，退役军人占50%；)</w:t>
      </w:r>
    </w:p>
    <w:p>
      <w:pPr>
        <w:pStyle w:val="152"/>
        <w:ind w:firstLine="560"/>
        <w:rPr>
          <w:sz w:val="28"/>
          <w:szCs w:val="28"/>
        </w:rPr>
      </w:pPr>
      <w:r>
        <w:rPr>
          <w:rFonts w:hint="eastAsia"/>
          <w:sz w:val="28"/>
          <w:szCs w:val="28"/>
        </w:rPr>
        <w:t>2.服务内容:</w:t>
      </w:r>
    </w:p>
    <w:tbl>
      <w:tblPr>
        <w:tblStyle w:val="43"/>
        <w:tblW w:w="84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6"/>
        <w:gridCol w:w="891"/>
        <w:gridCol w:w="6218"/>
        <w:gridCol w:w="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pStyle w:val="152"/>
              <w:spacing w:line="420" w:lineRule="exact"/>
              <w:ind w:firstLine="0" w:firstLineChars="0"/>
              <w:rPr>
                <w:kern w:val="0"/>
                <w:sz w:val="24"/>
              </w:rPr>
            </w:pPr>
            <w:r>
              <w:rPr>
                <w:rFonts w:hint="eastAsia"/>
                <w:kern w:val="0"/>
                <w:sz w:val="24"/>
              </w:rPr>
              <w:t>序</w:t>
            </w:r>
          </w:p>
        </w:tc>
        <w:tc>
          <w:tcPr>
            <w:tcW w:w="891" w:type="dxa"/>
            <w:vAlign w:val="center"/>
          </w:tcPr>
          <w:p>
            <w:pPr>
              <w:pStyle w:val="152"/>
              <w:spacing w:line="420" w:lineRule="exact"/>
              <w:ind w:firstLine="0" w:firstLineChars="0"/>
              <w:rPr>
                <w:kern w:val="0"/>
                <w:sz w:val="24"/>
              </w:rPr>
            </w:pPr>
            <w:r>
              <w:rPr>
                <w:rFonts w:hint="eastAsia"/>
                <w:kern w:val="0"/>
                <w:sz w:val="24"/>
              </w:rPr>
              <w:t>服务</w:t>
            </w:r>
          </w:p>
          <w:p>
            <w:pPr>
              <w:pStyle w:val="152"/>
              <w:spacing w:line="420" w:lineRule="exact"/>
              <w:ind w:firstLine="0" w:firstLineChars="0"/>
              <w:rPr>
                <w:kern w:val="0"/>
                <w:sz w:val="24"/>
              </w:rPr>
            </w:pPr>
            <w:r>
              <w:rPr>
                <w:rFonts w:hint="eastAsia"/>
                <w:kern w:val="0"/>
                <w:sz w:val="24"/>
              </w:rPr>
              <w:t>项目</w:t>
            </w:r>
          </w:p>
        </w:tc>
        <w:tc>
          <w:tcPr>
            <w:tcW w:w="6218" w:type="dxa"/>
            <w:vAlign w:val="center"/>
          </w:tcPr>
          <w:p>
            <w:pPr>
              <w:pStyle w:val="152"/>
              <w:spacing w:line="420" w:lineRule="exact"/>
              <w:ind w:firstLine="2400" w:firstLineChars="1000"/>
              <w:rPr>
                <w:kern w:val="0"/>
                <w:sz w:val="24"/>
              </w:rPr>
            </w:pPr>
            <w:r>
              <w:rPr>
                <w:rFonts w:hint="eastAsia"/>
                <w:kern w:val="0"/>
                <w:sz w:val="24"/>
              </w:rPr>
              <w:t>服务内容和标准</w:t>
            </w:r>
          </w:p>
        </w:tc>
        <w:tc>
          <w:tcPr>
            <w:tcW w:w="800" w:type="dxa"/>
            <w:vAlign w:val="center"/>
          </w:tcPr>
          <w:p>
            <w:pPr>
              <w:pStyle w:val="152"/>
              <w:spacing w:line="420" w:lineRule="exact"/>
              <w:ind w:firstLine="0" w:firstLineChars="0"/>
              <w:rPr>
                <w:kern w:val="0"/>
                <w:sz w:val="24"/>
              </w:rPr>
            </w:pPr>
            <w:r>
              <w:rPr>
                <w:rFonts w:hint="eastAsia"/>
                <w:kern w:val="0"/>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tcPr>
          <w:p>
            <w:pPr>
              <w:pStyle w:val="152"/>
              <w:spacing w:line="420" w:lineRule="exact"/>
              <w:ind w:firstLine="0" w:firstLineChars="0"/>
              <w:rPr>
                <w:kern w:val="0"/>
                <w:sz w:val="24"/>
              </w:rPr>
            </w:pPr>
            <w:r>
              <w:rPr>
                <w:rFonts w:hint="eastAsia"/>
                <w:kern w:val="0"/>
                <w:sz w:val="24"/>
              </w:rPr>
              <w:t>1</w:t>
            </w:r>
          </w:p>
        </w:tc>
        <w:tc>
          <w:tcPr>
            <w:tcW w:w="891" w:type="dxa"/>
            <w:vAlign w:val="center"/>
          </w:tcPr>
          <w:p>
            <w:pPr>
              <w:pStyle w:val="152"/>
              <w:spacing w:line="420" w:lineRule="exact"/>
              <w:ind w:firstLine="0" w:firstLineChars="0"/>
              <w:rPr>
                <w:kern w:val="0"/>
                <w:sz w:val="24"/>
              </w:rPr>
            </w:pPr>
            <w:r>
              <w:rPr>
                <w:rFonts w:hint="eastAsia"/>
                <w:kern w:val="0"/>
                <w:sz w:val="24"/>
              </w:rPr>
              <w:t>秩序维护</w:t>
            </w:r>
          </w:p>
        </w:tc>
        <w:tc>
          <w:tcPr>
            <w:tcW w:w="6218" w:type="dxa"/>
          </w:tcPr>
          <w:p>
            <w:pPr>
              <w:pStyle w:val="152"/>
              <w:spacing w:line="420" w:lineRule="exact"/>
              <w:ind w:firstLine="0" w:firstLineChars="0"/>
              <w:rPr>
                <w:kern w:val="0"/>
                <w:sz w:val="20"/>
                <w:szCs w:val="21"/>
              </w:rPr>
            </w:pPr>
            <w:r>
              <w:rPr>
                <w:rFonts w:hint="eastAsia"/>
                <w:kern w:val="0"/>
                <w:sz w:val="20"/>
                <w:szCs w:val="21"/>
              </w:rPr>
              <w:t>（1）提供学校整个管理区域的秩序维护服务(含门岗服务、巡逻服务、校</w:t>
            </w:r>
            <w:r>
              <w:rPr>
                <w:kern w:val="0"/>
                <w:sz w:val="20"/>
                <w:szCs w:val="21"/>
              </w:rPr>
              <w:t>内</w:t>
            </w:r>
            <w:r>
              <w:rPr>
                <w:rFonts w:hint="eastAsia"/>
                <w:kern w:val="0"/>
                <w:sz w:val="20"/>
                <w:szCs w:val="21"/>
              </w:rPr>
              <w:t>交通安全</w:t>
            </w:r>
            <w:r>
              <w:rPr>
                <w:kern w:val="0"/>
                <w:sz w:val="20"/>
                <w:szCs w:val="21"/>
              </w:rPr>
              <w:t>管理</w:t>
            </w:r>
            <w:r>
              <w:rPr>
                <w:rFonts w:hint="eastAsia"/>
                <w:kern w:val="0"/>
                <w:sz w:val="20"/>
                <w:szCs w:val="21"/>
              </w:rPr>
              <w:t>、消防设施检查、安全维稳等)。</w:t>
            </w:r>
          </w:p>
          <w:p>
            <w:pPr>
              <w:pStyle w:val="152"/>
              <w:spacing w:line="420" w:lineRule="exact"/>
              <w:ind w:firstLine="0" w:firstLineChars="0"/>
              <w:rPr>
                <w:kern w:val="0"/>
                <w:sz w:val="20"/>
                <w:szCs w:val="21"/>
              </w:rPr>
            </w:pPr>
            <w:r>
              <w:rPr>
                <w:rFonts w:hint="eastAsia"/>
                <w:kern w:val="0"/>
                <w:sz w:val="20"/>
                <w:szCs w:val="21"/>
              </w:rPr>
              <w:t>（2）上学放学高峰时期保证有足够数量的秩序维护人员在校门口值班，维护上学放学时校门秩序；教学期间实行封闭式的管理，保证有秩序维护人员在校门口值班，有秩序维护人员在校内配合工作；下班时间和节假日保证有足够秩序维护人员值班，定时巡查校园。物品出门实行凭条核实登记制度，外来人员进出实行核实登记制度（询问、盘查、核实、登记）。</w:t>
            </w:r>
          </w:p>
          <w:p>
            <w:pPr>
              <w:pStyle w:val="152"/>
              <w:spacing w:line="420" w:lineRule="exact"/>
              <w:ind w:firstLine="0" w:firstLineChars="0"/>
              <w:rPr>
                <w:kern w:val="0"/>
                <w:sz w:val="20"/>
                <w:szCs w:val="21"/>
              </w:rPr>
            </w:pPr>
            <w:r>
              <w:rPr>
                <w:rFonts w:hint="eastAsia"/>
                <w:kern w:val="0"/>
                <w:sz w:val="20"/>
                <w:szCs w:val="21"/>
              </w:rPr>
              <w:t>（3）负责报刊、杂志、信件的收发登记工作，校园内（校门口）车辆停放管理工作、门前三包工作。</w:t>
            </w:r>
          </w:p>
          <w:p>
            <w:pPr>
              <w:pStyle w:val="152"/>
              <w:spacing w:line="420" w:lineRule="exact"/>
              <w:ind w:firstLine="0" w:firstLineChars="0"/>
              <w:rPr>
                <w:kern w:val="0"/>
                <w:sz w:val="20"/>
                <w:szCs w:val="21"/>
              </w:rPr>
            </w:pPr>
            <w:r>
              <w:rPr>
                <w:rFonts w:hint="eastAsia"/>
                <w:kern w:val="0"/>
                <w:sz w:val="20"/>
                <w:szCs w:val="21"/>
              </w:rPr>
              <w:t>（4）秩序维护人员24小时值班，编排24小时值班表，所有人员的联系方式交校方一份，以备紧急事件能够联系到。24小时值班不因双休与节假日而中断。</w:t>
            </w:r>
          </w:p>
          <w:p>
            <w:pPr>
              <w:pStyle w:val="152"/>
              <w:spacing w:line="420" w:lineRule="exact"/>
              <w:ind w:firstLine="0" w:firstLineChars="0"/>
              <w:rPr>
                <w:kern w:val="0"/>
                <w:sz w:val="20"/>
                <w:szCs w:val="21"/>
              </w:rPr>
            </w:pPr>
            <w:r>
              <w:rPr>
                <w:rFonts w:hint="eastAsia"/>
                <w:kern w:val="0"/>
                <w:sz w:val="20"/>
                <w:szCs w:val="21"/>
              </w:rPr>
              <w:t>（5）抓好</w:t>
            </w:r>
            <w:r>
              <w:fldChar w:fldCharType="begin"/>
            </w:r>
            <w:r>
              <w:instrText xml:space="preserve"> HYPERLINK "http://www.fdcew.com/wgwd/baxf/Index.html" \t "_blank" </w:instrText>
            </w:r>
            <w:r>
              <w:fldChar w:fldCharType="separate"/>
            </w:r>
            <w:r>
              <w:rPr>
                <w:rFonts w:hint="eastAsia"/>
                <w:kern w:val="0"/>
                <w:sz w:val="20"/>
                <w:szCs w:val="21"/>
              </w:rPr>
              <w:t>消防</w:t>
            </w:r>
            <w:r>
              <w:rPr>
                <w:rFonts w:hint="eastAsia"/>
                <w:kern w:val="0"/>
                <w:sz w:val="20"/>
                <w:szCs w:val="21"/>
              </w:rPr>
              <w:fldChar w:fldCharType="end"/>
            </w:r>
            <w:r>
              <w:rPr>
                <w:rFonts w:hint="eastAsia"/>
                <w:kern w:val="0"/>
                <w:sz w:val="20"/>
                <w:szCs w:val="21"/>
              </w:rPr>
              <w:t>工作，能熟练使-用消防器材，把消防隐患消除在萌芽状态。成立义务消防队，做好师生的防火监督、培训工作，做好消防器材的保养工作，消防器材每天检查记录台帐，消防器材如有故障应及时向学校提出更换或维修。</w:t>
            </w:r>
          </w:p>
          <w:p>
            <w:pPr>
              <w:pStyle w:val="152"/>
              <w:spacing w:line="420" w:lineRule="exact"/>
              <w:ind w:firstLine="0" w:firstLineChars="0"/>
              <w:rPr>
                <w:kern w:val="0"/>
                <w:sz w:val="20"/>
                <w:szCs w:val="21"/>
              </w:rPr>
            </w:pPr>
            <w:r>
              <w:rPr>
                <w:rFonts w:hint="eastAsia"/>
                <w:kern w:val="0"/>
                <w:sz w:val="20"/>
                <w:szCs w:val="21"/>
              </w:rPr>
              <w:t>（6）负责24小时安全巡逻工作，保障学生人身与物品安全，保障校园内公共设施完好，营造良好的治安环境。</w:t>
            </w:r>
          </w:p>
          <w:p>
            <w:pPr>
              <w:pStyle w:val="152"/>
              <w:spacing w:line="420" w:lineRule="exact"/>
              <w:ind w:firstLine="0" w:firstLineChars="0"/>
              <w:rPr>
                <w:kern w:val="0"/>
                <w:sz w:val="20"/>
                <w:szCs w:val="21"/>
              </w:rPr>
            </w:pPr>
            <w:r>
              <w:rPr>
                <w:rFonts w:hint="eastAsia"/>
                <w:kern w:val="0"/>
                <w:sz w:val="20"/>
                <w:szCs w:val="21"/>
              </w:rPr>
              <w:t>（7）开展意见调查，定期（每季度或半年）发放意见调查表，征求学校、职工与学生(家长)的意见，了解对秩序管理的需求，确保能够提供及时、周到、方便的管理服务。</w:t>
            </w:r>
          </w:p>
          <w:p>
            <w:pPr>
              <w:pStyle w:val="152"/>
              <w:spacing w:line="420" w:lineRule="exact"/>
              <w:ind w:firstLine="0" w:firstLineChars="0"/>
              <w:rPr>
                <w:kern w:val="0"/>
                <w:sz w:val="20"/>
                <w:szCs w:val="21"/>
              </w:rPr>
            </w:pPr>
            <w:r>
              <w:rPr>
                <w:rFonts w:hint="eastAsia"/>
                <w:kern w:val="0"/>
                <w:sz w:val="20"/>
                <w:szCs w:val="21"/>
              </w:rPr>
              <w:t>（8）定期开展体能训练、警用器械使用技能培训，增强处理突发事件、治安应急处理能力。</w:t>
            </w:r>
          </w:p>
          <w:p>
            <w:pPr>
              <w:pStyle w:val="152"/>
              <w:spacing w:line="420" w:lineRule="exact"/>
              <w:ind w:firstLine="0" w:firstLineChars="0"/>
              <w:rPr>
                <w:kern w:val="0"/>
                <w:sz w:val="20"/>
                <w:szCs w:val="21"/>
              </w:rPr>
            </w:pPr>
            <w:r>
              <w:rPr>
                <w:rFonts w:hint="eastAsia"/>
                <w:kern w:val="0"/>
                <w:sz w:val="20"/>
                <w:szCs w:val="21"/>
              </w:rPr>
              <w:t>（9）在完成本职工作的前提下，参与校内安全岗监护，协助校方处理临时事务。协助社区、街道做好综合治理工作。</w:t>
            </w:r>
          </w:p>
          <w:p>
            <w:pPr>
              <w:pStyle w:val="152"/>
              <w:spacing w:line="420" w:lineRule="exact"/>
              <w:ind w:firstLine="0" w:firstLineChars="0"/>
              <w:rPr>
                <w:kern w:val="0"/>
                <w:sz w:val="20"/>
                <w:szCs w:val="21"/>
              </w:rPr>
            </w:pPr>
            <w:r>
              <w:rPr>
                <w:rFonts w:hint="eastAsia"/>
                <w:kern w:val="0"/>
                <w:sz w:val="20"/>
                <w:szCs w:val="21"/>
              </w:rPr>
              <w:t>（</w:t>
            </w:r>
            <w:r>
              <w:rPr>
                <w:kern w:val="0"/>
                <w:sz w:val="20"/>
                <w:szCs w:val="21"/>
              </w:rPr>
              <w:t>10</w:t>
            </w:r>
            <w:r>
              <w:rPr>
                <w:rFonts w:hint="eastAsia"/>
                <w:kern w:val="0"/>
                <w:sz w:val="20"/>
                <w:szCs w:val="21"/>
              </w:rPr>
              <w:t>）疫情期间，对进入校内人员按要求进行研究测温、扫码、登记等。</w:t>
            </w:r>
          </w:p>
          <w:p>
            <w:pPr>
              <w:pStyle w:val="152"/>
              <w:spacing w:line="420" w:lineRule="exact"/>
              <w:ind w:firstLine="0" w:firstLineChars="0"/>
              <w:rPr>
                <w:color w:val="FF0000"/>
                <w:kern w:val="0"/>
                <w:sz w:val="20"/>
                <w:szCs w:val="21"/>
              </w:rPr>
            </w:pPr>
            <w:r>
              <w:rPr>
                <w:kern w:val="0"/>
                <w:sz w:val="20"/>
                <w:szCs w:val="21"/>
              </w:rPr>
              <w:t>（</w:t>
            </w:r>
            <w:r>
              <w:rPr>
                <w:rFonts w:hint="eastAsia"/>
                <w:kern w:val="0"/>
                <w:sz w:val="20"/>
                <w:szCs w:val="21"/>
              </w:rPr>
              <w:t>1</w:t>
            </w:r>
            <w:r>
              <w:rPr>
                <w:kern w:val="0"/>
                <w:sz w:val="20"/>
                <w:szCs w:val="21"/>
              </w:rPr>
              <w:t>1）接受学校对临时工作的安排，如大型活动保障，大型考试保障，会场布置、桌椅调配位置等临时工作</w:t>
            </w:r>
            <w:r>
              <w:rPr>
                <w:rFonts w:hint="eastAsia"/>
                <w:kern w:val="0"/>
                <w:sz w:val="20"/>
                <w:szCs w:val="21"/>
              </w:rPr>
              <w:t>。</w:t>
            </w:r>
          </w:p>
        </w:tc>
        <w:tc>
          <w:tcPr>
            <w:tcW w:w="800" w:type="dxa"/>
          </w:tcPr>
          <w:p>
            <w:pPr>
              <w:pStyle w:val="152"/>
              <w:spacing w:line="420" w:lineRule="exact"/>
              <w:ind w:firstLine="400"/>
              <w:rPr>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tcPr>
          <w:p>
            <w:pPr>
              <w:pStyle w:val="152"/>
              <w:spacing w:line="420" w:lineRule="exact"/>
              <w:ind w:firstLine="0" w:firstLineChars="0"/>
              <w:rPr>
                <w:kern w:val="0"/>
                <w:sz w:val="24"/>
              </w:rPr>
            </w:pPr>
            <w:r>
              <w:rPr>
                <w:rFonts w:hint="eastAsia"/>
                <w:kern w:val="0"/>
                <w:sz w:val="24"/>
              </w:rPr>
              <w:t>2</w:t>
            </w:r>
          </w:p>
        </w:tc>
        <w:tc>
          <w:tcPr>
            <w:tcW w:w="891" w:type="dxa"/>
            <w:vAlign w:val="center"/>
          </w:tcPr>
          <w:p>
            <w:pPr>
              <w:pStyle w:val="152"/>
              <w:spacing w:line="420" w:lineRule="exact"/>
              <w:ind w:firstLine="0" w:firstLineChars="0"/>
              <w:rPr>
                <w:kern w:val="0"/>
                <w:sz w:val="24"/>
              </w:rPr>
            </w:pPr>
            <w:r>
              <w:rPr>
                <w:rFonts w:hint="eastAsia"/>
                <w:kern w:val="0"/>
                <w:sz w:val="24"/>
              </w:rPr>
              <w:t>环境</w:t>
            </w:r>
          </w:p>
          <w:p>
            <w:pPr>
              <w:pStyle w:val="152"/>
              <w:spacing w:line="420" w:lineRule="exact"/>
              <w:ind w:firstLine="0" w:firstLineChars="0"/>
              <w:rPr>
                <w:kern w:val="0"/>
                <w:sz w:val="24"/>
              </w:rPr>
            </w:pPr>
            <w:r>
              <w:rPr>
                <w:rFonts w:hint="eastAsia"/>
                <w:kern w:val="0"/>
                <w:sz w:val="24"/>
              </w:rPr>
              <w:t>保洁</w:t>
            </w:r>
          </w:p>
        </w:tc>
        <w:tc>
          <w:tcPr>
            <w:tcW w:w="6218" w:type="dxa"/>
          </w:tcPr>
          <w:p>
            <w:pPr>
              <w:pStyle w:val="152"/>
              <w:spacing w:line="420" w:lineRule="exact"/>
              <w:ind w:firstLine="0" w:firstLineChars="0"/>
              <w:rPr>
                <w:kern w:val="0"/>
                <w:sz w:val="20"/>
                <w:szCs w:val="21"/>
              </w:rPr>
            </w:pPr>
            <w:r>
              <w:rPr>
                <w:rFonts w:hint="eastAsia"/>
                <w:kern w:val="0"/>
                <w:sz w:val="20"/>
                <w:szCs w:val="21"/>
              </w:rPr>
              <w:t>（</w:t>
            </w:r>
            <w:r>
              <w:rPr>
                <w:kern w:val="0"/>
                <w:sz w:val="20"/>
                <w:szCs w:val="21"/>
              </w:rPr>
              <w:t>1</w:t>
            </w:r>
            <w:r>
              <w:rPr>
                <w:rFonts w:hint="eastAsia"/>
                <w:kern w:val="0"/>
                <w:sz w:val="20"/>
                <w:szCs w:val="21"/>
              </w:rPr>
              <w:t>）实行零干扰清洁卫生服务，上课后再进行清扫，做好每天清扫台帐。</w:t>
            </w:r>
          </w:p>
          <w:p>
            <w:pPr>
              <w:pStyle w:val="152"/>
              <w:spacing w:line="420" w:lineRule="exact"/>
              <w:ind w:firstLine="0" w:firstLineChars="0"/>
              <w:rPr>
                <w:kern w:val="0"/>
                <w:sz w:val="20"/>
                <w:szCs w:val="21"/>
              </w:rPr>
            </w:pPr>
            <w:r>
              <w:rPr>
                <w:rFonts w:hint="eastAsia"/>
                <w:kern w:val="0"/>
                <w:sz w:val="20"/>
                <w:szCs w:val="21"/>
              </w:rPr>
              <w:t>（</w:t>
            </w:r>
            <w:r>
              <w:rPr>
                <w:kern w:val="0"/>
                <w:sz w:val="20"/>
                <w:szCs w:val="21"/>
              </w:rPr>
              <w:t>2</w:t>
            </w:r>
            <w:r>
              <w:rPr>
                <w:rFonts w:hint="eastAsia"/>
                <w:kern w:val="0"/>
                <w:sz w:val="20"/>
                <w:szCs w:val="21"/>
              </w:rPr>
              <w:t>）校(园)区内总</w:t>
            </w:r>
            <w:r>
              <w:rPr>
                <w:kern w:val="0"/>
                <w:sz w:val="20"/>
                <w:szCs w:val="21"/>
              </w:rPr>
              <w:t>坪、</w:t>
            </w:r>
            <w:r>
              <w:rPr>
                <w:rFonts w:hint="eastAsia"/>
                <w:kern w:val="0"/>
                <w:sz w:val="20"/>
                <w:szCs w:val="21"/>
              </w:rPr>
              <w:t>地面道路、非机动车场：每天全面清扫两遍，早上按学校规定时间上课以前完成全面清扫一次，重点清洗花台栏杆、路灯灯柱、外围窗台，下午按学校要求时间进行全面清扫一次，其他时段巡回保洁和清运垃圾。</w:t>
            </w:r>
          </w:p>
          <w:p>
            <w:pPr>
              <w:pStyle w:val="152"/>
              <w:spacing w:line="420" w:lineRule="exact"/>
              <w:ind w:firstLine="0" w:firstLineChars="0"/>
              <w:rPr>
                <w:kern w:val="0"/>
                <w:sz w:val="20"/>
                <w:szCs w:val="21"/>
              </w:rPr>
            </w:pPr>
            <w:r>
              <w:rPr>
                <w:rFonts w:hint="eastAsia"/>
                <w:kern w:val="0"/>
                <w:sz w:val="20"/>
                <w:szCs w:val="21"/>
              </w:rPr>
              <w:t>（</w:t>
            </w:r>
            <w:r>
              <w:rPr>
                <w:kern w:val="0"/>
                <w:sz w:val="20"/>
                <w:szCs w:val="21"/>
              </w:rPr>
              <w:t>3</w:t>
            </w:r>
            <w:r>
              <w:rPr>
                <w:rFonts w:hint="eastAsia"/>
                <w:kern w:val="0"/>
                <w:sz w:val="20"/>
                <w:szCs w:val="21"/>
              </w:rPr>
              <w:t>）楼道、梯步及公共场所（包含学生饮水机消杀）：早上按学校规定时间完成公共区域全面清扫一次，重点清扫楼道、擦抹楼梯扶手等，做好巡回保洁，下午按学校要求时间完成全面清扫一次，其他时段做好巡回保洁、清运垃圾，做好每天清扫消杀记录台帐。</w:t>
            </w:r>
          </w:p>
          <w:p>
            <w:pPr>
              <w:pStyle w:val="152"/>
              <w:spacing w:line="420" w:lineRule="exact"/>
              <w:ind w:firstLine="0" w:firstLineChars="0"/>
              <w:rPr>
                <w:kern w:val="0"/>
                <w:sz w:val="20"/>
                <w:szCs w:val="21"/>
              </w:rPr>
            </w:pPr>
            <w:r>
              <w:rPr>
                <w:rFonts w:hint="eastAsia"/>
                <w:kern w:val="0"/>
                <w:sz w:val="20"/>
                <w:szCs w:val="21"/>
              </w:rPr>
              <w:t>（4）卫生间：每天定时保洁不少于3次；按学校规定时间早上上课以前完成清洁一次，中午完成一次，下午按学校要求清洁一次、清运垃圾，其余时间不定时巡回保洁。卫生间要定期施放空气清新剂（清洁球），保持卫生间无异味，做好每天厕所清扫消杀台帐。</w:t>
            </w:r>
          </w:p>
          <w:p>
            <w:pPr>
              <w:pStyle w:val="152"/>
              <w:spacing w:line="420" w:lineRule="exact"/>
              <w:ind w:firstLine="0" w:firstLineChars="0"/>
              <w:rPr>
                <w:kern w:val="0"/>
                <w:sz w:val="20"/>
                <w:szCs w:val="21"/>
              </w:rPr>
            </w:pPr>
            <w:r>
              <w:rPr>
                <w:rFonts w:hint="eastAsia"/>
                <w:kern w:val="0"/>
                <w:sz w:val="20"/>
                <w:szCs w:val="21"/>
              </w:rPr>
              <w:t>（</w:t>
            </w:r>
            <w:r>
              <w:rPr>
                <w:kern w:val="0"/>
                <w:sz w:val="20"/>
                <w:szCs w:val="21"/>
              </w:rPr>
              <w:t>5</w:t>
            </w:r>
            <w:r>
              <w:rPr>
                <w:rFonts w:hint="eastAsia"/>
                <w:kern w:val="0"/>
                <w:sz w:val="20"/>
                <w:szCs w:val="21"/>
              </w:rPr>
              <w:t>）操场：早上按学校规定时间完成操场全面清扫一次，下按学校要求完成全面清扫一次，其他时段做好巡回保洁。</w:t>
            </w:r>
          </w:p>
          <w:p>
            <w:pPr>
              <w:pStyle w:val="152"/>
              <w:spacing w:line="420" w:lineRule="exact"/>
              <w:ind w:firstLine="0" w:firstLineChars="0"/>
              <w:rPr>
                <w:kern w:val="0"/>
                <w:sz w:val="20"/>
                <w:szCs w:val="21"/>
              </w:rPr>
            </w:pPr>
            <w:r>
              <w:rPr>
                <w:rFonts w:hint="eastAsia"/>
                <w:kern w:val="0"/>
                <w:sz w:val="20"/>
                <w:szCs w:val="21"/>
              </w:rPr>
              <w:t>（</w:t>
            </w:r>
            <w:r>
              <w:rPr>
                <w:kern w:val="0"/>
                <w:sz w:val="20"/>
                <w:szCs w:val="21"/>
              </w:rPr>
              <w:t>6</w:t>
            </w:r>
            <w:r>
              <w:rPr>
                <w:rFonts w:hint="eastAsia"/>
                <w:kern w:val="0"/>
                <w:sz w:val="20"/>
                <w:szCs w:val="21"/>
              </w:rPr>
              <w:t>）学校领导办公室：负责上班前的整体办公室清洁，下班后的整体清洁，平时特殊情况的临时清洁，做到零干扰服务。</w:t>
            </w:r>
          </w:p>
          <w:p>
            <w:pPr>
              <w:pStyle w:val="152"/>
              <w:spacing w:line="420" w:lineRule="exact"/>
              <w:ind w:firstLine="0" w:firstLineChars="0"/>
              <w:rPr>
                <w:kern w:val="0"/>
                <w:sz w:val="20"/>
                <w:szCs w:val="21"/>
              </w:rPr>
            </w:pPr>
            <w:r>
              <w:rPr>
                <w:rFonts w:hint="eastAsia"/>
                <w:kern w:val="0"/>
                <w:sz w:val="20"/>
                <w:szCs w:val="21"/>
              </w:rPr>
              <w:t>（</w:t>
            </w:r>
            <w:r>
              <w:rPr>
                <w:kern w:val="0"/>
                <w:sz w:val="20"/>
                <w:szCs w:val="21"/>
              </w:rPr>
              <w:t>7</w:t>
            </w:r>
            <w:r>
              <w:rPr>
                <w:rFonts w:hint="eastAsia"/>
                <w:kern w:val="0"/>
                <w:sz w:val="20"/>
                <w:szCs w:val="21"/>
              </w:rPr>
              <w:t>）其他公共区域（包括公用教室、</w:t>
            </w:r>
            <w:r>
              <w:rPr>
                <w:kern w:val="0"/>
                <w:sz w:val="20"/>
                <w:szCs w:val="21"/>
              </w:rPr>
              <w:t>会议室</w:t>
            </w:r>
            <w:r>
              <w:rPr>
                <w:rFonts w:hint="eastAsia"/>
                <w:kern w:val="0"/>
                <w:sz w:val="20"/>
                <w:szCs w:val="21"/>
              </w:rPr>
              <w:t>）：每天计划卫生完成后对门框、窗台、消防栓、指示牌、通风井格栏、垃圾桶的清洁工作不少于</w:t>
            </w:r>
            <w:r>
              <w:rPr>
                <w:kern w:val="0"/>
                <w:sz w:val="20"/>
                <w:szCs w:val="21"/>
              </w:rPr>
              <w:t>1</w:t>
            </w:r>
            <w:r>
              <w:rPr>
                <w:rFonts w:hint="eastAsia"/>
                <w:kern w:val="0"/>
                <w:sz w:val="20"/>
                <w:szCs w:val="21"/>
              </w:rPr>
              <w:t>次。</w:t>
            </w:r>
          </w:p>
          <w:p>
            <w:pPr>
              <w:pStyle w:val="152"/>
              <w:spacing w:line="420" w:lineRule="exact"/>
              <w:ind w:firstLine="0" w:firstLineChars="0"/>
              <w:rPr>
                <w:kern w:val="0"/>
                <w:sz w:val="20"/>
                <w:szCs w:val="21"/>
              </w:rPr>
            </w:pPr>
            <w:r>
              <w:rPr>
                <w:rFonts w:hint="eastAsia"/>
                <w:kern w:val="0"/>
                <w:sz w:val="20"/>
                <w:szCs w:val="21"/>
              </w:rPr>
              <w:t>（</w:t>
            </w:r>
            <w:r>
              <w:rPr>
                <w:kern w:val="0"/>
                <w:sz w:val="20"/>
                <w:szCs w:val="21"/>
              </w:rPr>
              <w:t>8</w:t>
            </w:r>
            <w:r>
              <w:rPr>
                <w:rFonts w:hint="eastAsia"/>
                <w:kern w:val="0"/>
                <w:sz w:val="20"/>
                <w:szCs w:val="21"/>
              </w:rPr>
              <w:t>）垃圾的清倒：垃圾清运应做到日产日清，交垃圾放置在校内指定区域。</w:t>
            </w:r>
          </w:p>
          <w:p>
            <w:pPr>
              <w:pStyle w:val="152"/>
              <w:spacing w:line="420" w:lineRule="exact"/>
              <w:ind w:firstLine="0" w:firstLineChars="0"/>
              <w:rPr>
                <w:kern w:val="0"/>
                <w:sz w:val="20"/>
                <w:szCs w:val="21"/>
              </w:rPr>
            </w:pPr>
            <w:r>
              <w:rPr>
                <w:rFonts w:hint="eastAsia"/>
                <w:kern w:val="0"/>
                <w:sz w:val="20"/>
                <w:szCs w:val="21"/>
              </w:rPr>
              <w:t>（</w:t>
            </w:r>
            <w:r>
              <w:rPr>
                <w:kern w:val="0"/>
                <w:sz w:val="20"/>
                <w:szCs w:val="21"/>
              </w:rPr>
              <w:t>9</w:t>
            </w:r>
            <w:r>
              <w:rPr>
                <w:rFonts w:hint="eastAsia"/>
                <w:kern w:val="0"/>
                <w:sz w:val="20"/>
                <w:szCs w:val="21"/>
              </w:rPr>
              <w:t>）每年在雨季前对化粪池、雨污排水管进行一次疏淘。根据实际情况定期进行消毒和灭虫除害。</w:t>
            </w:r>
          </w:p>
          <w:p>
            <w:pPr>
              <w:spacing w:line="400" w:lineRule="atLeast"/>
              <w:rPr>
                <w:kern w:val="0"/>
                <w:sz w:val="20"/>
                <w:szCs w:val="21"/>
              </w:rPr>
            </w:pPr>
            <w:r>
              <w:rPr>
                <w:rFonts w:hint="eastAsia"/>
                <w:kern w:val="0"/>
                <w:sz w:val="20"/>
                <w:szCs w:val="21"/>
              </w:rPr>
              <w:t>（</w:t>
            </w:r>
            <w:r>
              <w:rPr>
                <w:kern w:val="0"/>
                <w:sz w:val="20"/>
                <w:szCs w:val="21"/>
              </w:rPr>
              <w:t>10</w:t>
            </w:r>
            <w:r>
              <w:rPr>
                <w:rFonts w:hint="eastAsia"/>
                <w:kern w:val="0"/>
                <w:sz w:val="20"/>
                <w:szCs w:val="21"/>
              </w:rPr>
              <w:t>）按学校要求定期对校园路面进行冲刷清洗，寒暑假期间所有窗帘各清洗一次，寒暑假期间对教室、功能室、办公室等室内所有灯、电风扇、门窗玻璃各擦拭一次。</w:t>
            </w:r>
          </w:p>
          <w:p>
            <w:pPr>
              <w:pStyle w:val="152"/>
              <w:spacing w:line="420" w:lineRule="exact"/>
              <w:ind w:firstLine="0" w:firstLineChars="0"/>
              <w:rPr>
                <w:kern w:val="0"/>
                <w:sz w:val="20"/>
                <w:szCs w:val="21"/>
              </w:rPr>
            </w:pPr>
            <w:r>
              <w:rPr>
                <w:rFonts w:hint="eastAsia"/>
                <w:kern w:val="0"/>
                <w:sz w:val="20"/>
                <w:szCs w:val="21"/>
              </w:rPr>
              <w:t>（</w:t>
            </w:r>
            <w:r>
              <w:rPr>
                <w:kern w:val="0"/>
                <w:sz w:val="20"/>
                <w:szCs w:val="21"/>
              </w:rPr>
              <w:t>11</w:t>
            </w:r>
            <w:r>
              <w:rPr>
                <w:rFonts w:hint="eastAsia"/>
                <w:kern w:val="0"/>
                <w:sz w:val="20"/>
                <w:szCs w:val="21"/>
              </w:rPr>
              <w:t>）疫情期间，按照学校要求进行重点部位或场所的消毒清洗。</w:t>
            </w:r>
          </w:p>
          <w:p>
            <w:pPr>
              <w:pStyle w:val="152"/>
              <w:spacing w:line="420" w:lineRule="exact"/>
              <w:ind w:firstLine="0" w:firstLineChars="0"/>
              <w:rPr>
                <w:kern w:val="0"/>
                <w:sz w:val="20"/>
                <w:szCs w:val="21"/>
              </w:rPr>
            </w:pPr>
            <w:r>
              <w:rPr>
                <w:rFonts w:hint="eastAsia"/>
                <w:kern w:val="0"/>
                <w:sz w:val="20"/>
                <w:szCs w:val="21"/>
              </w:rPr>
              <w:t>（</w:t>
            </w:r>
            <w:r>
              <w:rPr>
                <w:kern w:val="0"/>
                <w:sz w:val="20"/>
                <w:szCs w:val="21"/>
              </w:rPr>
              <w:t>12</w:t>
            </w:r>
            <w:r>
              <w:rPr>
                <w:rFonts w:hint="eastAsia"/>
                <w:kern w:val="0"/>
                <w:sz w:val="20"/>
                <w:szCs w:val="21"/>
              </w:rPr>
              <w:t>）</w:t>
            </w:r>
            <w:r>
              <w:rPr>
                <w:kern w:val="0"/>
                <w:sz w:val="20"/>
                <w:szCs w:val="21"/>
              </w:rPr>
              <w:t>接受学校对临时工作的安排，如大型活动保障，大型考试保障，会场布置、桌椅调配位置等临时工作</w:t>
            </w:r>
            <w:r>
              <w:rPr>
                <w:rFonts w:hint="eastAsia"/>
                <w:kern w:val="0"/>
                <w:sz w:val="20"/>
                <w:szCs w:val="21"/>
              </w:rPr>
              <w:t>。</w:t>
            </w:r>
          </w:p>
        </w:tc>
        <w:tc>
          <w:tcPr>
            <w:tcW w:w="800" w:type="dxa"/>
          </w:tcPr>
          <w:p>
            <w:pPr>
              <w:pStyle w:val="152"/>
              <w:spacing w:line="420" w:lineRule="exact"/>
              <w:ind w:firstLine="480"/>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tcPr>
          <w:p>
            <w:pPr>
              <w:pStyle w:val="152"/>
              <w:spacing w:line="420" w:lineRule="exact"/>
              <w:ind w:firstLine="0" w:firstLineChars="0"/>
              <w:rPr>
                <w:kern w:val="0"/>
                <w:sz w:val="24"/>
              </w:rPr>
            </w:pPr>
          </w:p>
          <w:p>
            <w:pPr>
              <w:pStyle w:val="152"/>
              <w:spacing w:line="420" w:lineRule="exact"/>
              <w:ind w:firstLine="0" w:firstLineChars="0"/>
              <w:rPr>
                <w:kern w:val="0"/>
                <w:sz w:val="24"/>
              </w:rPr>
            </w:pPr>
          </w:p>
          <w:p>
            <w:pPr>
              <w:pStyle w:val="152"/>
              <w:spacing w:line="420" w:lineRule="exact"/>
              <w:ind w:firstLine="0" w:firstLineChars="0"/>
              <w:rPr>
                <w:kern w:val="0"/>
                <w:sz w:val="24"/>
              </w:rPr>
            </w:pPr>
          </w:p>
          <w:p>
            <w:pPr>
              <w:pStyle w:val="152"/>
              <w:spacing w:line="420" w:lineRule="exact"/>
              <w:ind w:firstLine="0" w:firstLineChars="0"/>
              <w:rPr>
                <w:kern w:val="0"/>
                <w:sz w:val="24"/>
              </w:rPr>
            </w:pPr>
          </w:p>
          <w:p>
            <w:pPr>
              <w:pStyle w:val="152"/>
              <w:spacing w:line="420" w:lineRule="exact"/>
              <w:ind w:firstLine="0" w:firstLineChars="0"/>
              <w:rPr>
                <w:kern w:val="0"/>
                <w:sz w:val="24"/>
              </w:rPr>
            </w:pPr>
          </w:p>
          <w:p>
            <w:pPr>
              <w:pStyle w:val="152"/>
              <w:spacing w:line="420" w:lineRule="exact"/>
              <w:ind w:firstLine="0" w:firstLineChars="0"/>
              <w:rPr>
                <w:kern w:val="0"/>
                <w:sz w:val="24"/>
              </w:rPr>
            </w:pPr>
          </w:p>
          <w:p>
            <w:pPr>
              <w:pStyle w:val="152"/>
              <w:spacing w:line="420" w:lineRule="exact"/>
              <w:ind w:firstLine="0" w:firstLineChars="0"/>
              <w:rPr>
                <w:kern w:val="0"/>
                <w:sz w:val="24"/>
              </w:rPr>
            </w:pPr>
            <w:r>
              <w:rPr>
                <w:rFonts w:hint="eastAsia"/>
                <w:kern w:val="0"/>
                <w:sz w:val="24"/>
              </w:rPr>
              <w:t>3</w:t>
            </w:r>
          </w:p>
        </w:tc>
        <w:tc>
          <w:tcPr>
            <w:tcW w:w="891" w:type="dxa"/>
            <w:vAlign w:val="center"/>
          </w:tcPr>
          <w:p>
            <w:pPr>
              <w:pStyle w:val="152"/>
              <w:spacing w:line="420" w:lineRule="exact"/>
              <w:ind w:firstLine="0" w:firstLineChars="0"/>
              <w:rPr>
                <w:kern w:val="0"/>
                <w:sz w:val="24"/>
              </w:rPr>
            </w:pPr>
          </w:p>
          <w:p>
            <w:pPr>
              <w:pStyle w:val="152"/>
              <w:spacing w:line="420" w:lineRule="exact"/>
              <w:ind w:firstLine="0" w:firstLineChars="0"/>
              <w:rPr>
                <w:kern w:val="0"/>
                <w:sz w:val="24"/>
              </w:rPr>
            </w:pPr>
          </w:p>
          <w:p>
            <w:pPr>
              <w:pStyle w:val="152"/>
              <w:spacing w:line="420" w:lineRule="exact"/>
              <w:ind w:firstLine="0" w:firstLineChars="0"/>
              <w:rPr>
                <w:kern w:val="0"/>
                <w:sz w:val="24"/>
              </w:rPr>
            </w:pPr>
          </w:p>
          <w:p>
            <w:pPr>
              <w:pStyle w:val="152"/>
              <w:spacing w:line="420" w:lineRule="exact"/>
              <w:ind w:firstLine="0" w:firstLineChars="0"/>
              <w:rPr>
                <w:kern w:val="0"/>
                <w:sz w:val="24"/>
              </w:rPr>
            </w:pPr>
          </w:p>
          <w:p>
            <w:pPr>
              <w:pStyle w:val="152"/>
              <w:spacing w:line="420" w:lineRule="exact"/>
              <w:ind w:firstLine="0" w:firstLineChars="0"/>
              <w:rPr>
                <w:kern w:val="0"/>
                <w:sz w:val="24"/>
              </w:rPr>
            </w:pPr>
          </w:p>
          <w:p>
            <w:pPr>
              <w:pStyle w:val="152"/>
              <w:spacing w:line="420" w:lineRule="exact"/>
              <w:ind w:firstLine="0" w:firstLineChars="0"/>
              <w:rPr>
                <w:kern w:val="0"/>
                <w:sz w:val="24"/>
              </w:rPr>
            </w:pPr>
            <w:r>
              <w:rPr>
                <w:rFonts w:hint="eastAsia"/>
                <w:kern w:val="0"/>
                <w:sz w:val="24"/>
              </w:rPr>
              <w:t>水电（维修）服务</w:t>
            </w:r>
          </w:p>
        </w:tc>
        <w:tc>
          <w:tcPr>
            <w:tcW w:w="6218" w:type="dxa"/>
          </w:tcPr>
          <w:p>
            <w:pPr>
              <w:pStyle w:val="152"/>
              <w:spacing w:line="420" w:lineRule="exact"/>
              <w:ind w:firstLine="0" w:firstLineChars="0"/>
              <w:rPr>
                <w:kern w:val="0"/>
                <w:sz w:val="20"/>
                <w:szCs w:val="21"/>
              </w:rPr>
            </w:pPr>
            <w:r>
              <w:rPr>
                <w:rFonts w:hint="eastAsia"/>
                <w:kern w:val="0"/>
                <w:sz w:val="20"/>
                <w:szCs w:val="21"/>
              </w:rPr>
              <w:t>（1）负责学校内的高低压配电系统、发电系统、中央空调、消防系统、给排水系统、照明系统运行管理及门窗、桌椅的日常零修、小修，保障设施设备正常运行；对专业设备的维保单位的工作进行监督管理，对维护工作不到位、不达标的及时向后勤服务部报告。</w:t>
            </w:r>
          </w:p>
          <w:p>
            <w:pPr>
              <w:pStyle w:val="152"/>
              <w:spacing w:line="420" w:lineRule="exact"/>
              <w:ind w:firstLine="0" w:firstLineChars="0"/>
              <w:rPr>
                <w:kern w:val="0"/>
                <w:sz w:val="20"/>
                <w:szCs w:val="21"/>
              </w:rPr>
            </w:pPr>
            <w:r>
              <w:rPr>
                <w:rFonts w:hint="eastAsia"/>
                <w:kern w:val="0"/>
                <w:sz w:val="20"/>
                <w:szCs w:val="21"/>
              </w:rPr>
              <w:t>（2）建立水、电、消防设施设备档案（台帐），设施设备的运行、检查、维修、保养等记录档案。</w:t>
            </w:r>
          </w:p>
          <w:p>
            <w:pPr>
              <w:pStyle w:val="152"/>
              <w:spacing w:line="420" w:lineRule="exact"/>
              <w:ind w:firstLine="0" w:firstLineChars="0"/>
              <w:rPr>
                <w:kern w:val="0"/>
                <w:sz w:val="20"/>
                <w:szCs w:val="21"/>
              </w:rPr>
            </w:pPr>
            <w:r>
              <w:rPr>
                <w:rFonts w:hint="eastAsia"/>
                <w:kern w:val="0"/>
                <w:sz w:val="20"/>
                <w:szCs w:val="21"/>
              </w:rPr>
              <w:t>（3）设施设备标志齐全、规范，责任明确；操作维护人员严格按照设施设备操作规程及保养规范进行操作，保证设施设备正常运行。</w:t>
            </w:r>
          </w:p>
          <w:p>
            <w:pPr>
              <w:pStyle w:val="152"/>
              <w:spacing w:line="420" w:lineRule="exact"/>
              <w:ind w:firstLine="0" w:firstLineChars="0"/>
              <w:rPr>
                <w:kern w:val="0"/>
                <w:sz w:val="20"/>
                <w:szCs w:val="21"/>
              </w:rPr>
            </w:pPr>
            <w:r>
              <w:rPr>
                <w:rFonts w:hint="eastAsia"/>
                <w:kern w:val="0"/>
                <w:sz w:val="20"/>
                <w:szCs w:val="21"/>
              </w:rPr>
              <w:t>（</w:t>
            </w:r>
            <w:r>
              <w:rPr>
                <w:kern w:val="0"/>
                <w:sz w:val="20"/>
                <w:szCs w:val="21"/>
              </w:rPr>
              <w:t>4</w:t>
            </w:r>
            <w:r>
              <w:rPr>
                <w:rFonts w:hint="eastAsia"/>
                <w:kern w:val="0"/>
                <w:sz w:val="20"/>
                <w:szCs w:val="21"/>
              </w:rPr>
              <w:t>）具体工作</w:t>
            </w:r>
          </w:p>
          <w:p>
            <w:pPr>
              <w:pStyle w:val="152"/>
              <w:spacing w:line="420" w:lineRule="exact"/>
              <w:ind w:firstLine="0" w:firstLineChars="0"/>
              <w:rPr>
                <w:kern w:val="0"/>
                <w:sz w:val="20"/>
                <w:szCs w:val="21"/>
              </w:rPr>
            </w:pPr>
            <w:r>
              <w:rPr>
                <w:rFonts w:hint="eastAsia"/>
                <w:kern w:val="0"/>
                <w:sz w:val="20"/>
                <w:szCs w:val="21"/>
              </w:rPr>
              <w:t>一清：对设备、设施管理规章制度要清楚；</w:t>
            </w:r>
          </w:p>
          <w:p>
            <w:pPr>
              <w:pStyle w:val="152"/>
              <w:spacing w:line="420" w:lineRule="exact"/>
              <w:ind w:firstLine="0" w:firstLineChars="0"/>
              <w:rPr>
                <w:kern w:val="0"/>
                <w:sz w:val="20"/>
                <w:szCs w:val="21"/>
              </w:rPr>
            </w:pPr>
            <w:r>
              <w:rPr>
                <w:rFonts w:hint="eastAsia"/>
                <w:kern w:val="0"/>
                <w:sz w:val="20"/>
                <w:szCs w:val="21"/>
              </w:rPr>
              <w:t>二能：对各种设备的性能、功能要明白；</w:t>
            </w:r>
          </w:p>
          <w:p>
            <w:pPr>
              <w:pStyle w:val="152"/>
              <w:spacing w:line="420" w:lineRule="exact"/>
              <w:ind w:firstLine="0" w:firstLineChars="0"/>
              <w:rPr>
                <w:kern w:val="0"/>
                <w:sz w:val="20"/>
                <w:szCs w:val="21"/>
              </w:rPr>
            </w:pPr>
            <w:r>
              <w:rPr>
                <w:rFonts w:hint="eastAsia"/>
                <w:kern w:val="0"/>
                <w:sz w:val="20"/>
                <w:szCs w:val="21"/>
              </w:rPr>
              <w:t>三好：对各种设备要做到管好、用好、修好；</w:t>
            </w:r>
          </w:p>
          <w:p>
            <w:pPr>
              <w:pStyle w:val="152"/>
              <w:spacing w:line="420" w:lineRule="exact"/>
              <w:ind w:firstLine="0" w:firstLineChars="0"/>
              <w:rPr>
                <w:kern w:val="0"/>
                <w:sz w:val="20"/>
                <w:szCs w:val="21"/>
              </w:rPr>
            </w:pPr>
            <w:r>
              <w:rPr>
                <w:rFonts w:hint="eastAsia"/>
                <w:kern w:val="0"/>
                <w:sz w:val="20"/>
                <w:szCs w:val="21"/>
              </w:rPr>
              <w:t>四会：对各种设备会使用、会保养、会检查、会排除故障；</w:t>
            </w:r>
          </w:p>
          <w:p>
            <w:pPr>
              <w:pStyle w:val="152"/>
              <w:spacing w:line="420" w:lineRule="exact"/>
              <w:ind w:firstLine="0" w:firstLineChars="0"/>
              <w:rPr>
                <w:kern w:val="0"/>
                <w:sz w:val="20"/>
                <w:szCs w:val="21"/>
              </w:rPr>
            </w:pPr>
            <w:r>
              <w:rPr>
                <w:rFonts w:hint="eastAsia"/>
                <w:kern w:val="0"/>
                <w:sz w:val="20"/>
                <w:szCs w:val="21"/>
              </w:rPr>
              <w:t>五化：设备图纸档案化、业主档案分类化、维修保养智能化、施工管理规范化；</w:t>
            </w:r>
          </w:p>
          <w:p>
            <w:pPr>
              <w:pStyle w:val="152"/>
              <w:spacing w:line="420" w:lineRule="exact"/>
              <w:ind w:firstLine="0" w:firstLineChars="0"/>
              <w:rPr>
                <w:kern w:val="0"/>
                <w:sz w:val="20"/>
                <w:szCs w:val="21"/>
              </w:rPr>
            </w:pPr>
            <w:r>
              <w:rPr>
                <w:rFonts w:hint="eastAsia"/>
                <w:kern w:val="0"/>
                <w:sz w:val="20"/>
                <w:szCs w:val="21"/>
              </w:rPr>
              <w:t>六查：对设备、设施及施工管理做到日查、巡查、检查、督查、核查、复查；</w:t>
            </w:r>
          </w:p>
          <w:p>
            <w:pPr>
              <w:pStyle w:val="152"/>
              <w:spacing w:line="420" w:lineRule="exact"/>
              <w:ind w:firstLine="0" w:firstLineChars="0"/>
              <w:rPr>
                <w:kern w:val="0"/>
                <w:sz w:val="20"/>
                <w:szCs w:val="21"/>
              </w:rPr>
            </w:pPr>
            <w:r>
              <w:rPr>
                <w:rFonts w:hint="eastAsia"/>
                <w:kern w:val="0"/>
                <w:sz w:val="20"/>
                <w:szCs w:val="21"/>
              </w:rPr>
              <w:t>七无：值班室内无脏乱、设备运行无故障、安全运行无隐患、设施结构无损坏、办公环境无障碍。</w:t>
            </w:r>
          </w:p>
          <w:p>
            <w:pPr>
              <w:pStyle w:val="152"/>
              <w:spacing w:line="420" w:lineRule="exact"/>
              <w:ind w:firstLine="0" w:firstLineChars="0"/>
              <w:rPr>
                <w:kern w:val="0"/>
                <w:sz w:val="20"/>
                <w:szCs w:val="21"/>
              </w:rPr>
            </w:pPr>
            <w:r>
              <w:rPr>
                <w:kern w:val="0"/>
                <w:sz w:val="20"/>
                <w:szCs w:val="21"/>
              </w:rPr>
              <w:t>（</w:t>
            </w:r>
            <w:r>
              <w:rPr>
                <w:rFonts w:hint="eastAsia"/>
                <w:kern w:val="0"/>
                <w:sz w:val="20"/>
                <w:szCs w:val="21"/>
              </w:rPr>
              <w:t>5</w:t>
            </w:r>
            <w:r>
              <w:rPr>
                <w:kern w:val="0"/>
                <w:sz w:val="20"/>
                <w:szCs w:val="21"/>
              </w:rPr>
              <w:t>）接受学校对临时工作的安排，如大型活动保障，大型考试保障，会场布置、桌椅调配位置等临时工作</w:t>
            </w:r>
            <w:r>
              <w:rPr>
                <w:rFonts w:hint="eastAsia"/>
                <w:kern w:val="0"/>
                <w:sz w:val="20"/>
                <w:szCs w:val="21"/>
              </w:rPr>
              <w:t>。</w:t>
            </w:r>
          </w:p>
        </w:tc>
        <w:tc>
          <w:tcPr>
            <w:tcW w:w="800" w:type="dxa"/>
          </w:tcPr>
          <w:p>
            <w:pPr>
              <w:pStyle w:val="152"/>
              <w:spacing w:line="420" w:lineRule="exact"/>
              <w:ind w:firstLine="480"/>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tcPr>
          <w:p>
            <w:pPr>
              <w:pStyle w:val="152"/>
              <w:spacing w:line="420" w:lineRule="exact"/>
              <w:ind w:firstLine="0" w:firstLineChars="0"/>
              <w:rPr>
                <w:kern w:val="0"/>
                <w:sz w:val="24"/>
              </w:rPr>
            </w:pPr>
          </w:p>
          <w:p>
            <w:pPr>
              <w:pStyle w:val="152"/>
              <w:spacing w:line="420" w:lineRule="exact"/>
              <w:ind w:firstLine="0" w:firstLineChars="0"/>
              <w:rPr>
                <w:kern w:val="0"/>
                <w:sz w:val="24"/>
              </w:rPr>
            </w:pPr>
          </w:p>
          <w:p>
            <w:pPr>
              <w:pStyle w:val="152"/>
              <w:spacing w:line="420" w:lineRule="exact"/>
              <w:ind w:firstLine="0" w:firstLineChars="0"/>
              <w:rPr>
                <w:kern w:val="0"/>
                <w:sz w:val="24"/>
              </w:rPr>
            </w:pPr>
          </w:p>
          <w:p>
            <w:pPr>
              <w:pStyle w:val="152"/>
              <w:spacing w:line="420" w:lineRule="exact"/>
              <w:ind w:firstLine="0" w:firstLineChars="0"/>
              <w:rPr>
                <w:kern w:val="0"/>
                <w:sz w:val="24"/>
              </w:rPr>
            </w:pPr>
            <w:r>
              <w:rPr>
                <w:rFonts w:hint="eastAsia"/>
                <w:kern w:val="0"/>
                <w:sz w:val="24"/>
              </w:rPr>
              <w:t>4</w:t>
            </w:r>
          </w:p>
        </w:tc>
        <w:tc>
          <w:tcPr>
            <w:tcW w:w="891" w:type="dxa"/>
            <w:vAlign w:val="center"/>
          </w:tcPr>
          <w:p>
            <w:pPr>
              <w:pStyle w:val="152"/>
              <w:spacing w:line="420" w:lineRule="exact"/>
              <w:ind w:firstLine="0" w:firstLineChars="0"/>
              <w:rPr>
                <w:kern w:val="0"/>
                <w:sz w:val="24"/>
              </w:rPr>
            </w:pPr>
            <w:r>
              <w:rPr>
                <w:rFonts w:hint="eastAsia"/>
                <w:kern w:val="0"/>
                <w:sz w:val="24"/>
              </w:rPr>
              <w:t>绿化</w:t>
            </w:r>
          </w:p>
          <w:p>
            <w:pPr>
              <w:pStyle w:val="152"/>
              <w:spacing w:line="420" w:lineRule="exact"/>
              <w:ind w:firstLine="0" w:firstLineChars="0"/>
              <w:rPr>
                <w:kern w:val="0"/>
                <w:sz w:val="24"/>
              </w:rPr>
            </w:pPr>
            <w:r>
              <w:rPr>
                <w:rFonts w:hint="eastAsia"/>
                <w:kern w:val="0"/>
                <w:sz w:val="24"/>
              </w:rPr>
              <w:t>服务</w:t>
            </w:r>
          </w:p>
        </w:tc>
        <w:tc>
          <w:tcPr>
            <w:tcW w:w="6218" w:type="dxa"/>
          </w:tcPr>
          <w:p>
            <w:pPr>
              <w:pStyle w:val="152"/>
              <w:spacing w:line="420" w:lineRule="exact"/>
              <w:ind w:firstLine="0" w:firstLineChars="0"/>
              <w:rPr>
                <w:kern w:val="0"/>
                <w:sz w:val="20"/>
                <w:szCs w:val="21"/>
              </w:rPr>
            </w:pPr>
            <w:r>
              <w:rPr>
                <w:rFonts w:hint="eastAsia"/>
                <w:kern w:val="0"/>
                <w:sz w:val="20"/>
                <w:szCs w:val="21"/>
              </w:rPr>
              <w:t>（</w:t>
            </w:r>
            <w:r>
              <w:rPr>
                <w:kern w:val="0"/>
                <w:sz w:val="20"/>
                <w:szCs w:val="21"/>
              </w:rPr>
              <w:t>1</w:t>
            </w:r>
            <w:r>
              <w:rPr>
                <w:rFonts w:hint="eastAsia"/>
                <w:kern w:val="0"/>
                <w:sz w:val="20"/>
                <w:szCs w:val="21"/>
              </w:rPr>
              <w:t>）校区内所有绿化植物（含盆栽植物）的日常修剪、造型、施肥、浇水、除杂草</w:t>
            </w:r>
          </w:p>
          <w:p>
            <w:pPr>
              <w:pStyle w:val="152"/>
              <w:spacing w:line="420" w:lineRule="exact"/>
              <w:ind w:firstLine="0" w:firstLineChars="0"/>
              <w:rPr>
                <w:kern w:val="0"/>
                <w:sz w:val="20"/>
                <w:szCs w:val="21"/>
              </w:rPr>
            </w:pPr>
            <w:r>
              <w:rPr>
                <w:rFonts w:hint="eastAsia"/>
                <w:kern w:val="0"/>
                <w:sz w:val="20"/>
                <w:szCs w:val="21"/>
              </w:rPr>
              <w:t>（</w:t>
            </w:r>
            <w:r>
              <w:rPr>
                <w:kern w:val="0"/>
                <w:sz w:val="20"/>
                <w:szCs w:val="21"/>
              </w:rPr>
              <w:t>2</w:t>
            </w:r>
            <w:r>
              <w:rPr>
                <w:rFonts w:hint="eastAsia"/>
                <w:kern w:val="0"/>
                <w:sz w:val="20"/>
                <w:szCs w:val="21"/>
              </w:rPr>
              <w:t>）校区内所有绿化植物的病虫害防治。</w:t>
            </w:r>
          </w:p>
          <w:p>
            <w:pPr>
              <w:pStyle w:val="152"/>
              <w:spacing w:line="420" w:lineRule="exact"/>
              <w:ind w:firstLine="0" w:firstLineChars="0"/>
              <w:rPr>
                <w:kern w:val="0"/>
                <w:sz w:val="20"/>
                <w:szCs w:val="21"/>
              </w:rPr>
            </w:pPr>
            <w:r>
              <w:rPr>
                <w:rFonts w:hint="eastAsia"/>
                <w:kern w:val="0"/>
                <w:sz w:val="20"/>
                <w:szCs w:val="21"/>
              </w:rPr>
              <w:t>（</w:t>
            </w:r>
            <w:r>
              <w:rPr>
                <w:kern w:val="0"/>
                <w:sz w:val="20"/>
                <w:szCs w:val="21"/>
              </w:rPr>
              <w:t>3</w:t>
            </w:r>
            <w:r>
              <w:rPr>
                <w:rFonts w:hint="eastAsia"/>
                <w:kern w:val="0"/>
                <w:sz w:val="20"/>
                <w:szCs w:val="21"/>
              </w:rPr>
              <w:t>）校区绿化带内的卫生和垃圾清理。</w:t>
            </w:r>
          </w:p>
          <w:p>
            <w:pPr>
              <w:pStyle w:val="152"/>
              <w:spacing w:line="420" w:lineRule="exact"/>
              <w:ind w:firstLine="0" w:firstLineChars="0"/>
              <w:rPr>
                <w:kern w:val="0"/>
                <w:sz w:val="20"/>
                <w:szCs w:val="21"/>
              </w:rPr>
            </w:pPr>
            <w:r>
              <w:rPr>
                <w:rFonts w:hint="eastAsia"/>
                <w:kern w:val="0"/>
                <w:sz w:val="20"/>
                <w:szCs w:val="21"/>
              </w:rPr>
              <w:t>（</w:t>
            </w:r>
            <w:r>
              <w:rPr>
                <w:kern w:val="0"/>
                <w:sz w:val="20"/>
                <w:szCs w:val="21"/>
              </w:rPr>
              <w:t>4</w:t>
            </w:r>
            <w:r>
              <w:rPr>
                <w:rFonts w:hint="eastAsia"/>
                <w:kern w:val="0"/>
                <w:sz w:val="20"/>
                <w:szCs w:val="21"/>
              </w:rPr>
              <w:t>）绿化机具的维修、保养和使用。</w:t>
            </w:r>
          </w:p>
          <w:p>
            <w:pPr>
              <w:pStyle w:val="152"/>
              <w:spacing w:line="420" w:lineRule="exact"/>
              <w:ind w:firstLine="0" w:firstLineChars="0"/>
              <w:rPr>
                <w:kern w:val="0"/>
                <w:sz w:val="20"/>
                <w:szCs w:val="21"/>
              </w:rPr>
            </w:pPr>
            <w:r>
              <w:rPr>
                <w:rFonts w:hint="eastAsia"/>
                <w:kern w:val="0"/>
                <w:sz w:val="20"/>
                <w:szCs w:val="21"/>
              </w:rPr>
              <w:t>（</w:t>
            </w:r>
            <w:r>
              <w:rPr>
                <w:kern w:val="0"/>
                <w:sz w:val="20"/>
                <w:szCs w:val="21"/>
              </w:rPr>
              <w:t>5</w:t>
            </w:r>
            <w:r>
              <w:rPr>
                <w:rFonts w:hint="eastAsia"/>
                <w:kern w:val="0"/>
                <w:sz w:val="20"/>
                <w:szCs w:val="21"/>
              </w:rPr>
              <w:t>）学校大型活动、接待活动的花草摆放。</w:t>
            </w:r>
          </w:p>
          <w:p>
            <w:pPr>
              <w:pStyle w:val="152"/>
              <w:spacing w:line="420" w:lineRule="exact"/>
              <w:ind w:firstLine="0" w:firstLineChars="0"/>
              <w:rPr>
                <w:kern w:val="0"/>
                <w:sz w:val="20"/>
                <w:szCs w:val="21"/>
              </w:rPr>
            </w:pPr>
            <w:r>
              <w:rPr>
                <w:kern w:val="0"/>
                <w:sz w:val="20"/>
                <w:szCs w:val="21"/>
              </w:rPr>
              <w:t>（</w:t>
            </w:r>
            <w:r>
              <w:rPr>
                <w:rFonts w:hint="eastAsia"/>
                <w:kern w:val="0"/>
                <w:sz w:val="20"/>
                <w:szCs w:val="21"/>
              </w:rPr>
              <w:t>6）</w:t>
            </w:r>
            <w:r>
              <w:rPr>
                <w:kern w:val="0"/>
                <w:sz w:val="20"/>
                <w:szCs w:val="21"/>
              </w:rPr>
              <w:t>接受学校对临时工作的安排，如大型活动保障，大型考试保障，会场布置、桌椅调配位置等临时工作</w:t>
            </w:r>
            <w:r>
              <w:rPr>
                <w:rFonts w:hint="eastAsia"/>
                <w:kern w:val="0"/>
                <w:sz w:val="20"/>
                <w:szCs w:val="21"/>
              </w:rPr>
              <w:t>。</w:t>
            </w:r>
          </w:p>
        </w:tc>
        <w:tc>
          <w:tcPr>
            <w:tcW w:w="800" w:type="dxa"/>
          </w:tcPr>
          <w:p>
            <w:pPr>
              <w:pStyle w:val="152"/>
              <w:spacing w:line="420" w:lineRule="exact"/>
              <w:ind w:firstLine="480"/>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tcPr>
          <w:p>
            <w:pPr>
              <w:pStyle w:val="152"/>
              <w:spacing w:line="420" w:lineRule="exact"/>
              <w:ind w:firstLine="0" w:firstLineChars="0"/>
              <w:rPr>
                <w:kern w:val="0"/>
                <w:sz w:val="24"/>
              </w:rPr>
            </w:pPr>
          </w:p>
          <w:p>
            <w:pPr>
              <w:pStyle w:val="152"/>
              <w:spacing w:line="420" w:lineRule="exact"/>
              <w:ind w:firstLine="0" w:firstLineChars="0"/>
              <w:rPr>
                <w:kern w:val="0"/>
                <w:sz w:val="24"/>
              </w:rPr>
            </w:pPr>
          </w:p>
          <w:p>
            <w:pPr>
              <w:pStyle w:val="152"/>
              <w:spacing w:line="420" w:lineRule="exact"/>
              <w:ind w:firstLine="0" w:firstLineChars="0"/>
              <w:rPr>
                <w:kern w:val="0"/>
                <w:sz w:val="24"/>
              </w:rPr>
            </w:pPr>
            <w:r>
              <w:rPr>
                <w:rFonts w:hint="eastAsia"/>
                <w:kern w:val="0"/>
                <w:sz w:val="24"/>
              </w:rPr>
              <w:t>5</w:t>
            </w:r>
          </w:p>
        </w:tc>
        <w:tc>
          <w:tcPr>
            <w:tcW w:w="891" w:type="dxa"/>
            <w:vAlign w:val="center"/>
          </w:tcPr>
          <w:p>
            <w:pPr>
              <w:pStyle w:val="152"/>
              <w:spacing w:line="420" w:lineRule="exact"/>
              <w:ind w:firstLine="0" w:firstLineChars="0"/>
              <w:rPr>
                <w:kern w:val="0"/>
                <w:sz w:val="24"/>
              </w:rPr>
            </w:pPr>
            <w:r>
              <w:rPr>
                <w:rFonts w:hint="eastAsia"/>
                <w:kern w:val="0"/>
                <w:sz w:val="24"/>
              </w:rPr>
              <w:t>司机</w:t>
            </w:r>
          </w:p>
        </w:tc>
        <w:tc>
          <w:tcPr>
            <w:tcW w:w="6218" w:type="dxa"/>
          </w:tcPr>
          <w:p>
            <w:pPr>
              <w:pStyle w:val="152"/>
              <w:numPr>
                <w:ilvl w:val="0"/>
                <w:numId w:val="36"/>
              </w:numPr>
              <w:spacing w:line="420" w:lineRule="exact"/>
              <w:ind w:firstLine="0" w:firstLineChars="0"/>
              <w:rPr>
                <w:kern w:val="0"/>
                <w:sz w:val="20"/>
                <w:szCs w:val="21"/>
              </w:rPr>
            </w:pPr>
            <w:r>
              <w:rPr>
                <w:rFonts w:hint="eastAsia"/>
                <w:kern w:val="0"/>
                <w:sz w:val="20"/>
                <w:szCs w:val="21"/>
              </w:rPr>
              <w:t>按照安排驾驶公车送领取文件资料，接送相关人员参会；</w:t>
            </w:r>
          </w:p>
          <w:p>
            <w:pPr>
              <w:pStyle w:val="152"/>
              <w:numPr>
                <w:ilvl w:val="0"/>
                <w:numId w:val="36"/>
              </w:numPr>
              <w:spacing w:line="420" w:lineRule="exact"/>
              <w:ind w:firstLine="0" w:firstLineChars="0"/>
              <w:rPr>
                <w:kern w:val="0"/>
                <w:sz w:val="20"/>
                <w:szCs w:val="21"/>
              </w:rPr>
            </w:pPr>
            <w:r>
              <w:rPr>
                <w:rFonts w:hint="eastAsia"/>
                <w:kern w:val="0"/>
                <w:sz w:val="20"/>
                <w:szCs w:val="21"/>
              </w:rPr>
              <w:t>清洗、保养车辆，加油，随时保证车辆能正常出行；</w:t>
            </w:r>
          </w:p>
          <w:p>
            <w:pPr>
              <w:pStyle w:val="152"/>
              <w:spacing w:line="420" w:lineRule="exact"/>
              <w:ind w:firstLine="0" w:firstLineChars="0"/>
              <w:rPr>
                <w:kern w:val="0"/>
                <w:sz w:val="20"/>
                <w:szCs w:val="21"/>
              </w:rPr>
            </w:pPr>
            <w:r>
              <w:rPr>
                <w:rFonts w:hint="eastAsia"/>
                <w:kern w:val="0"/>
                <w:sz w:val="20"/>
                <w:szCs w:val="21"/>
              </w:rPr>
              <w:t>（3）</w:t>
            </w:r>
            <w:r>
              <w:rPr>
                <w:kern w:val="0"/>
                <w:sz w:val="20"/>
                <w:szCs w:val="21"/>
              </w:rPr>
              <w:t>接受学校对临时工作的安排，如大型活动保障，大型考试保障，会场布置、桌椅调配位置等临时工作</w:t>
            </w:r>
            <w:r>
              <w:rPr>
                <w:rFonts w:hint="eastAsia"/>
                <w:kern w:val="0"/>
                <w:sz w:val="20"/>
                <w:szCs w:val="21"/>
              </w:rPr>
              <w:t>。</w:t>
            </w:r>
          </w:p>
        </w:tc>
        <w:tc>
          <w:tcPr>
            <w:tcW w:w="800" w:type="dxa"/>
          </w:tcPr>
          <w:p>
            <w:pPr>
              <w:pStyle w:val="152"/>
              <w:spacing w:line="420" w:lineRule="exact"/>
              <w:ind w:firstLine="480"/>
              <w:rPr>
                <w:kern w:val="0"/>
                <w:sz w:val="24"/>
              </w:rPr>
            </w:pPr>
          </w:p>
        </w:tc>
      </w:tr>
    </w:tbl>
    <w:p>
      <w:pPr>
        <w:rPr>
          <w:color w:val="000000" w:themeColor="text1"/>
          <w14:textFill>
            <w14:solidFill>
              <w14:schemeClr w14:val="tx1"/>
            </w14:solidFill>
          </w14:textFill>
        </w:rPr>
      </w:pPr>
    </w:p>
    <w:p>
      <w:pPr>
        <w:spacing w:line="360" w:lineRule="auto"/>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包件2：</w:t>
      </w:r>
    </w:p>
    <w:p>
      <w:pPr>
        <w:widowControl/>
        <w:spacing w:line="360" w:lineRule="auto"/>
        <w:jc w:val="left"/>
        <w:rPr>
          <w:rFonts w:ascii="黑体" w:hAnsi="黑体" w:eastAsia="黑体" w:cs="宋体"/>
          <w:sz w:val="28"/>
          <w:szCs w:val="28"/>
        </w:rPr>
      </w:pPr>
      <w:r>
        <w:rPr>
          <w:rFonts w:hint="eastAsia"/>
          <w:b/>
          <w:bCs/>
          <w:sz w:val="28"/>
          <w:szCs w:val="28"/>
        </w:rPr>
        <w:t>一、学校概况及人员需求</w:t>
      </w:r>
    </w:p>
    <w:p>
      <w:pPr>
        <w:pStyle w:val="152"/>
        <w:ind w:firstLine="0" w:firstLineChars="0"/>
        <w:rPr>
          <w:b/>
          <w:bCs/>
          <w:sz w:val="28"/>
          <w:szCs w:val="28"/>
        </w:rPr>
      </w:pPr>
      <w:r>
        <w:rPr>
          <w:rFonts w:hint="eastAsia"/>
          <w:b/>
          <w:bCs/>
          <w:sz w:val="28"/>
          <w:szCs w:val="28"/>
        </w:rPr>
        <w:t>1．成都市石室联中蜀华分校</w:t>
      </w:r>
    </w:p>
    <w:p>
      <w:pPr>
        <w:pStyle w:val="152"/>
        <w:ind w:firstLine="560"/>
        <w:rPr>
          <w:sz w:val="28"/>
          <w:szCs w:val="28"/>
        </w:rPr>
      </w:pPr>
      <w:r>
        <w:rPr>
          <w:rFonts w:hint="eastAsia"/>
          <w:sz w:val="28"/>
          <w:szCs w:val="28"/>
        </w:rPr>
        <w:t>学校位于成都市青羊区蜀华街43号，占地面积约16170平方米，建筑面积约10790</w:t>
      </w:r>
      <w:r>
        <w:rPr>
          <w:sz w:val="28"/>
          <w:szCs w:val="28"/>
        </w:rPr>
        <w:t xml:space="preserve"> </w:t>
      </w:r>
      <w:r>
        <w:rPr>
          <w:rFonts w:hint="eastAsia"/>
          <w:sz w:val="28"/>
          <w:szCs w:val="28"/>
        </w:rPr>
        <w:t>平方米，主体建筑3栋，</w:t>
      </w:r>
      <w:r>
        <w:rPr>
          <w:sz w:val="28"/>
          <w:szCs w:val="28"/>
        </w:rPr>
        <w:t>1</w:t>
      </w:r>
      <w:r>
        <w:rPr>
          <w:rFonts w:hint="eastAsia"/>
          <w:sz w:val="28"/>
          <w:szCs w:val="28"/>
        </w:rPr>
        <w:t>个主大门，有停车场，车位25个；</w:t>
      </w:r>
      <w:r>
        <w:rPr>
          <w:sz w:val="28"/>
          <w:szCs w:val="28"/>
        </w:rPr>
        <w:t>2021</w:t>
      </w:r>
      <w:r>
        <w:rPr>
          <w:rFonts w:hint="eastAsia"/>
          <w:sz w:val="28"/>
          <w:szCs w:val="28"/>
        </w:rPr>
        <w:t>年</w:t>
      </w:r>
      <w:r>
        <w:rPr>
          <w:sz w:val="28"/>
          <w:szCs w:val="28"/>
        </w:rPr>
        <w:t>9</w:t>
      </w:r>
      <w:r>
        <w:rPr>
          <w:rFonts w:hint="eastAsia"/>
          <w:sz w:val="28"/>
          <w:szCs w:val="28"/>
        </w:rPr>
        <w:t>月师生人数约2100人。</w:t>
      </w:r>
    </w:p>
    <w:p>
      <w:pPr>
        <w:pStyle w:val="152"/>
        <w:ind w:firstLine="560"/>
        <w:rPr>
          <w:sz w:val="28"/>
          <w:szCs w:val="28"/>
        </w:rPr>
      </w:pPr>
      <w:r>
        <w:rPr>
          <w:rFonts w:hint="eastAsia"/>
          <w:sz w:val="28"/>
          <w:szCs w:val="28"/>
        </w:rPr>
        <w:t>★人员配置要求及数量</w:t>
      </w:r>
    </w:p>
    <w:p>
      <w:pPr>
        <w:pStyle w:val="152"/>
        <w:ind w:firstLine="560"/>
        <w:rPr>
          <w:rFonts w:ascii="仿宋_GB2312" w:eastAsia="仿宋_GB2312"/>
          <w:sz w:val="28"/>
          <w:szCs w:val="28"/>
        </w:rPr>
      </w:pPr>
      <w:r>
        <w:rPr>
          <w:rFonts w:hint="eastAsia"/>
          <w:sz w:val="28"/>
          <w:szCs w:val="28"/>
        </w:rPr>
        <w:t>该项目服务人员定编</w:t>
      </w:r>
      <w:r>
        <w:rPr>
          <w:sz w:val="28"/>
          <w:szCs w:val="28"/>
        </w:rPr>
        <w:t xml:space="preserve"> </w:t>
      </w:r>
      <w:r>
        <w:rPr>
          <w:rFonts w:hint="eastAsia"/>
          <w:sz w:val="28"/>
          <w:szCs w:val="28"/>
        </w:rPr>
        <w:t>15</w:t>
      </w:r>
      <w:r>
        <w:rPr>
          <w:sz w:val="28"/>
          <w:szCs w:val="28"/>
        </w:rPr>
        <w:t xml:space="preserve"> </w:t>
      </w:r>
      <w:r>
        <w:rPr>
          <w:rFonts w:hint="eastAsia"/>
          <w:sz w:val="28"/>
          <w:szCs w:val="28"/>
        </w:rPr>
        <w:t>人。可优化配置，但不低于该配置力量。</w:t>
      </w:r>
    </w:p>
    <w:tbl>
      <w:tblPr>
        <w:tblStyle w:val="43"/>
        <w:tblW w:w="829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2244"/>
        <w:gridCol w:w="1305"/>
        <w:gridCol w:w="1417"/>
        <w:gridCol w:w="2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3" w:hRule="atLeast"/>
        </w:trPr>
        <w:tc>
          <w:tcPr>
            <w:tcW w:w="1271"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szCs w:val="21"/>
              </w:rPr>
            </w:pPr>
            <w:r>
              <w:rPr>
                <w:rFonts w:hint="eastAsia"/>
                <w:szCs w:val="21"/>
              </w:rPr>
              <w:t>人员类别</w:t>
            </w:r>
          </w:p>
        </w:tc>
        <w:tc>
          <w:tcPr>
            <w:tcW w:w="2244"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szCs w:val="21"/>
              </w:rPr>
            </w:pPr>
            <w:r>
              <w:rPr>
                <w:rFonts w:hint="eastAsia"/>
                <w:szCs w:val="21"/>
              </w:rPr>
              <w:t>主管(兼秩序维护队长)</w:t>
            </w:r>
          </w:p>
        </w:tc>
        <w:tc>
          <w:tcPr>
            <w:tcW w:w="130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szCs w:val="21"/>
              </w:rPr>
            </w:pPr>
            <w:r>
              <w:rPr>
                <w:rFonts w:hint="eastAsia"/>
                <w:szCs w:val="21"/>
              </w:rPr>
              <w:t>秩序维护</w:t>
            </w:r>
          </w:p>
        </w:tc>
        <w:tc>
          <w:tcPr>
            <w:tcW w:w="1417"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szCs w:val="21"/>
              </w:rPr>
            </w:pPr>
            <w:r>
              <w:rPr>
                <w:rFonts w:hint="eastAsia"/>
                <w:szCs w:val="21"/>
              </w:rPr>
              <w:t>保洁人员</w:t>
            </w:r>
          </w:p>
        </w:tc>
        <w:tc>
          <w:tcPr>
            <w:tcW w:w="2056"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szCs w:val="21"/>
              </w:rPr>
            </w:pPr>
            <w:r>
              <w:rPr>
                <w:rFonts w:hint="eastAsia"/>
                <w:szCs w:val="21"/>
              </w:rPr>
              <w:t>汇总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271"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szCs w:val="21"/>
              </w:rPr>
            </w:pPr>
            <w:r>
              <w:rPr>
                <w:rFonts w:hint="eastAsia"/>
                <w:szCs w:val="21"/>
              </w:rPr>
              <w:t>配置数量</w:t>
            </w:r>
          </w:p>
        </w:tc>
        <w:tc>
          <w:tcPr>
            <w:tcW w:w="2244"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szCs w:val="21"/>
              </w:rPr>
            </w:pPr>
            <w:r>
              <w:rPr>
                <w:rFonts w:hint="eastAsia"/>
                <w:szCs w:val="21"/>
              </w:rPr>
              <w:t>1</w:t>
            </w:r>
          </w:p>
        </w:tc>
        <w:tc>
          <w:tcPr>
            <w:tcW w:w="130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szCs w:val="21"/>
              </w:rPr>
            </w:pPr>
            <w:r>
              <w:rPr>
                <w:rFonts w:hint="eastAsia"/>
                <w:szCs w:val="21"/>
              </w:rPr>
              <w:t>7</w:t>
            </w:r>
          </w:p>
        </w:tc>
        <w:tc>
          <w:tcPr>
            <w:tcW w:w="1417"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szCs w:val="21"/>
              </w:rPr>
            </w:pPr>
            <w:r>
              <w:rPr>
                <w:rFonts w:hint="eastAsia"/>
                <w:szCs w:val="21"/>
              </w:rPr>
              <w:t>7</w:t>
            </w:r>
          </w:p>
        </w:tc>
        <w:tc>
          <w:tcPr>
            <w:tcW w:w="2056"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szCs w:val="21"/>
              </w:rPr>
            </w:pPr>
            <w:r>
              <w:rPr>
                <w:rFonts w:hint="eastAsia"/>
                <w:szCs w:val="21"/>
              </w:rPr>
              <w:t>15</w:t>
            </w:r>
          </w:p>
        </w:tc>
      </w:tr>
    </w:tbl>
    <w:p>
      <w:pPr>
        <w:pStyle w:val="152"/>
        <w:ind w:firstLine="0" w:firstLineChars="0"/>
        <w:rPr>
          <w:b/>
          <w:bCs/>
          <w:sz w:val="28"/>
          <w:szCs w:val="28"/>
        </w:rPr>
      </w:pPr>
      <w:r>
        <w:rPr>
          <w:rFonts w:hint="eastAsia"/>
          <w:b/>
          <w:bCs/>
          <w:sz w:val="28"/>
          <w:szCs w:val="28"/>
        </w:rPr>
        <w:t>2．成都市泡桐树中学</w:t>
      </w:r>
    </w:p>
    <w:p>
      <w:pPr>
        <w:pStyle w:val="152"/>
        <w:ind w:firstLine="560"/>
        <w:rPr>
          <w:sz w:val="28"/>
          <w:szCs w:val="28"/>
        </w:rPr>
      </w:pPr>
      <w:r>
        <w:rPr>
          <w:rFonts w:hint="eastAsia"/>
          <w:sz w:val="28"/>
          <w:szCs w:val="28"/>
        </w:rPr>
        <w:t>学校位于同怡横街2</w:t>
      </w:r>
      <w:r>
        <w:rPr>
          <w:sz w:val="28"/>
          <w:szCs w:val="28"/>
        </w:rPr>
        <w:t>98号</w:t>
      </w:r>
      <w:r>
        <w:rPr>
          <w:rFonts w:hint="eastAsia"/>
          <w:sz w:val="28"/>
          <w:szCs w:val="28"/>
        </w:rPr>
        <w:t>，占地面积约3</w:t>
      </w:r>
      <w:r>
        <w:rPr>
          <w:sz w:val="28"/>
          <w:szCs w:val="28"/>
        </w:rPr>
        <w:t>0445</w:t>
      </w:r>
      <w:r>
        <w:rPr>
          <w:rFonts w:hint="eastAsia"/>
          <w:sz w:val="28"/>
          <w:szCs w:val="28"/>
        </w:rPr>
        <w:t>.</w:t>
      </w:r>
      <w:r>
        <w:rPr>
          <w:sz w:val="28"/>
          <w:szCs w:val="28"/>
        </w:rPr>
        <w:t>62</w:t>
      </w:r>
      <w:r>
        <w:rPr>
          <w:rFonts w:hint="eastAsia"/>
          <w:sz w:val="28"/>
          <w:szCs w:val="28"/>
        </w:rPr>
        <w:t>平方米，建筑面积约3</w:t>
      </w:r>
      <w:r>
        <w:rPr>
          <w:sz w:val="28"/>
          <w:szCs w:val="28"/>
        </w:rPr>
        <w:t>8005</w:t>
      </w:r>
      <w:r>
        <w:rPr>
          <w:rFonts w:hint="eastAsia"/>
          <w:sz w:val="28"/>
          <w:szCs w:val="28"/>
        </w:rPr>
        <w:t>.</w:t>
      </w:r>
      <w:r>
        <w:rPr>
          <w:sz w:val="28"/>
          <w:szCs w:val="28"/>
        </w:rPr>
        <w:t>38</w:t>
      </w:r>
      <w:r>
        <w:rPr>
          <w:rFonts w:hint="eastAsia"/>
          <w:sz w:val="28"/>
          <w:szCs w:val="28"/>
        </w:rPr>
        <w:t>平方米，主体建筑</w:t>
      </w:r>
      <w:r>
        <w:rPr>
          <w:sz w:val="28"/>
          <w:szCs w:val="28"/>
        </w:rPr>
        <w:t>1</w:t>
      </w:r>
      <w:r>
        <w:rPr>
          <w:rFonts w:hint="eastAsia"/>
          <w:sz w:val="28"/>
          <w:szCs w:val="28"/>
        </w:rPr>
        <w:t>栋，</w:t>
      </w:r>
      <w:r>
        <w:rPr>
          <w:sz w:val="28"/>
          <w:szCs w:val="28"/>
        </w:rPr>
        <w:t>1</w:t>
      </w:r>
      <w:r>
        <w:rPr>
          <w:rFonts w:hint="eastAsia"/>
          <w:sz w:val="28"/>
          <w:szCs w:val="28"/>
        </w:rPr>
        <w:t>个主大门，有停车场，车位</w:t>
      </w:r>
      <w:r>
        <w:rPr>
          <w:sz w:val="28"/>
          <w:szCs w:val="28"/>
        </w:rPr>
        <w:t>67</w:t>
      </w:r>
      <w:r>
        <w:rPr>
          <w:rFonts w:hint="eastAsia"/>
          <w:sz w:val="28"/>
          <w:szCs w:val="28"/>
        </w:rPr>
        <w:t>个；</w:t>
      </w:r>
      <w:r>
        <w:rPr>
          <w:sz w:val="28"/>
          <w:szCs w:val="28"/>
        </w:rPr>
        <w:t>2021</w:t>
      </w:r>
      <w:r>
        <w:rPr>
          <w:rFonts w:hint="eastAsia"/>
          <w:sz w:val="28"/>
          <w:szCs w:val="28"/>
        </w:rPr>
        <w:t>年</w:t>
      </w:r>
      <w:r>
        <w:rPr>
          <w:sz w:val="28"/>
          <w:szCs w:val="28"/>
        </w:rPr>
        <w:t>9</w:t>
      </w:r>
      <w:r>
        <w:rPr>
          <w:rFonts w:hint="eastAsia"/>
          <w:sz w:val="28"/>
          <w:szCs w:val="28"/>
        </w:rPr>
        <w:t>月师生人数约1</w:t>
      </w:r>
      <w:r>
        <w:rPr>
          <w:sz w:val="28"/>
          <w:szCs w:val="28"/>
        </w:rPr>
        <w:t>390</w:t>
      </w:r>
      <w:r>
        <w:rPr>
          <w:rFonts w:hint="eastAsia"/>
          <w:sz w:val="28"/>
          <w:szCs w:val="28"/>
        </w:rPr>
        <w:t>人。</w:t>
      </w:r>
    </w:p>
    <w:p>
      <w:pPr>
        <w:pStyle w:val="152"/>
        <w:ind w:firstLine="560"/>
        <w:rPr>
          <w:sz w:val="28"/>
          <w:szCs w:val="28"/>
        </w:rPr>
      </w:pPr>
      <w:r>
        <w:rPr>
          <w:rFonts w:hint="eastAsia"/>
          <w:sz w:val="28"/>
          <w:szCs w:val="28"/>
        </w:rPr>
        <w:t>★人员配置类别及数量</w:t>
      </w:r>
    </w:p>
    <w:p>
      <w:pPr>
        <w:pStyle w:val="152"/>
        <w:ind w:firstLine="560"/>
        <w:rPr>
          <w:rFonts w:ascii="仿宋_GB2312" w:eastAsia="仿宋_GB2312"/>
          <w:sz w:val="32"/>
          <w:szCs w:val="32"/>
        </w:rPr>
      </w:pPr>
      <w:r>
        <w:rPr>
          <w:rFonts w:hint="eastAsia"/>
          <w:sz w:val="28"/>
          <w:szCs w:val="28"/>
        </w:rPr>
        <w:t>该项目服务人员定编</w:t>
      </w:r>
      <w:r>
        <w:rPr>
          <w:sz w:val="28"/>
          <w:szCs w:val="28"/>
        </w:rPr>
        <w:t>33</w:t>
      </w:r>
      <w:r>
        <w:rPr>
          <w:rFonts w:hint="eastAsia"/>
          <w:sz w:val="28"/>
          <w:szCs w:val="28"/>
        </w:rPr>
        <w:t>人。可优化配置，但不低于该配置力量。</w:t>
      </w:r>
    </w:p>
    <w:tbl>
      <w:tblPr>
        <w:tblStyle w:val="43"/>
        <w:tblW w:w="804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8"/>
        <w:gridCol w:w="695"/>
        <w:gridCol w:w="755"/>
        <w:gridCol w:w="754"/>
        <w:gridCol w:w="910"/>
        <w:gridCol w:w="1672"/>
        <w:gridCol w:w="782"/>
        <w:gridCol w:w="1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3" w:hRule="atLeast"/>
        </w:trPr>
        <w:tc>
          <w:tcPr>
            <w:tcW w:w="1398"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bCs/>
                <w:szCs w:val="21"/>
              </w:rPr>
            </w:pPr>
            <w:r>
              <w:rPr>
                <w:rFonts w:hint="eastAsia" w:ascii="宋体" w:hAnsi="宋体"/>
                <w:bCs/>
                <w:szCs w:val="21"/>
              </w:rPr>
              <w:t>人员类别</w:t>
            </w:r>
          </w:p>
        </w:tc>
        <w:tc>
          <w:tcPr>
            <w:tcW w:w="695"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bCs/>
                <w:szCs w:val="21"/>
              </w:rPr>
            </w:pPr>
            <w:r>
              <w:rPr>
                <w:rFonts w:hint="eastAsia" w:ascii="宋体" w:hAnsi="宋体"/>
                <w:bCs/>
                <w:szCs w:val="21"/>
              </w:rPr>
              <w:t>主管</w:t>
            </w:r>
          </w:p>
        </w:tc>
        <w:tc>
          <w:tcPr>
            <w:tcW w:w="755"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bCs/>
                <w:szCs w:val="21"/>
              </w:rPr>
            </w:pPr>
            <w:r>
              <w:rPr>
                <w:rFonts w:hint="eastAsia" w:ascii="宋体" w:hAnsi="宋体"/>
                <w:bCs/>
                <w:szCs w:val="21"/>
              </w:rPr>
              <w:t>秩序维护</w:t>
            </w:r>
          </w:p>
        </w:tc>
        <w:tc>
          <w:tcPr>
            <w:tcW w:w="75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bCs/>
                <w:szCs w:val="21"/>
              </w:rPr>
            </w:pPr>
            <w:r>
              <w:rPr>
                <w:rFonts w:hint="eastAsia" w:ascii="宋体" w:hAnsi="宋体"/>
                <w:bCs/>
                <w:szCs w:val="21"/>
              </w:rPr>
              <w:t>保洁</w:t>
            </w:r>
          </w:p>
        </w:tc>
        <w:tc>
          <w:tcPr>
            <w:tcW w:w="910"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bCs/>
                <w:szCs w:val="21"/>
              </w:rPr>
            </w:pPr>
            <w:r>
              <w:rPr>
                <w:rFonts w:hint="eastAsia" w:ascii="宋体" w:hAnsi="宋体"/>
                <w:bCs/>
                <w:szCs w:val="21"/>
              </w:rPr>
              <w:t>绿化工</w:t>
            </w:r>
          </w:p>
        </w:tc>
        <w:tc>
          <w:tcPr>
            <w:tcW w:w="1672"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bCs/>
                <w:szCs w:val="21"/>
              </w:rPr>
            </w:pPr>
            <w:r>
              <w:rPr>
                <w:rFonts w:hint="eastAsia" w:ascii="宋体" w:hAnsi="宋体"/>
                <w:bCs/>
                <w:szCs w:val="21"/>
              </w:rPr>
              <w:t>水电（维修）工</w:t>
            </w:r>
          </w:p>
        </w:tc>
        <w:tc>
          <w:tcPr>
            <w:tcW w:w="782"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bCs/>
                <w:szCs w:val="21"/>
              </w:rPr>
            </w:pPr>
            <w:r>
              <w:rPr>
                <w:rFonts w:hint="eastAsia" w:ascii="宋体" w:hAnsi="宋体"/>
                <w:bCs/>
                <w:szCs w:val="21"/>
              </w:rPr>
              <w:t>宿管</w:t>
            </w:r>
          </w:p>
        </w:tc>
        <w:tc>
          <w:tcPr>
            <w:tcW w:w="1082"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bCs/>
                <w:szCs w:val="21"/>
              </w:rPr>
            </w:pPr>
            <w:r>
              <w:rPr>
                <w:rFonts w:hint="eastAsia" w:ascii="宋体" w:hAnsi="宋体"/>
                <w:bCs/>
                <w:szCs w:val="21"/>
              </w:rPr>
              <w:t>汇总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398"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bCs/>
                <w:szCs w:val="21"/>
              </w:rPr>
            </w:pPr>
            <w:r>
              <w:rPr>
                <w:rFonts w:hint="eastAsia" w:ascii="宋体" w:hAnsi="宋体"/>
                <w:bCs/>
                <w:szCs w:val="21"/>
              </w:rPr>
              <w:t>配置数量</w:t>
            </w:r>
          </w:p>
        </w:tc>
        <w:tc>
          <w:tcPr>
            <w:tcW w:w="695"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bCs/>
                <w:szCs w:val="21"/>
              </w:rPr>
            </w:pPr>
            <w:r>
              <w:rPr>
                <w:rFonts w:hint="eastAsia" w:ascii="宋体" w:hAnsi="宋体"/>
                <w:bCs/>
                <w:szCs w:val="21"/>
              </w:rPr>
              <w:t>1</w:t>
            </w:r>
          </w:p>
        </w:tc>
        <w:tc>
          <w:tcPr>
            <w:tcW w:w="755"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bCs/>
                <w:szCs w:val="21"/>
              </w:rPr>
            </w:pPr>
            <w:r>
              <w:rPr>
                <w:rFonts w:hint="eastAsia" w:ascii="宋体" w:hAnsi="宋体"/>
                <w:bCs/>
                <w:szCs w:val="21"/>
              </w:rPr>
              <w:t>1</w:t>
            </w:r>
            <w:r>
              <w:rPr>
                <w:rFonts w:ascii="宋体" w:hAnsi="宋体"/>
                <w:bCs/>
                <w:szCs w:val="21"/>
              </w:rPr>
              <w:t>6</w:t>
            </w:r>
          </w:p>
        </w:tc>
        <w:tc>
          <w:tcPr>
            <w:tcW w:w="75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bCs/>
                <w:szCs w:val="21"/>
              </w:rPr>
            </w:pPr>
            <w:r>
              <w:rPr>
                <w:rFonts w:hint="eastAsia" w:ascii="宋体" w:hAnsi="宋体"/>
                <w:bCs/>
                <w:szCs w:val="21"/>
              </w:rPr>
              <w:t>1</w:t>
            </w:r>
            <w:r>
              <w:rPr>
                <w:rFonts w:ascii="宋体" w:hAnsi="宋体"/>
                <w:bCs/>
                <w:szCs w:val="21"/>
              </w:rPr>
              <w:t>0</w:t>
            </w:r>
          </w:p>
        </w:tc>
        <w:tc>
          <w:tcPr>
            <w:tcW w:w="910"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bCs/>
                <w:szCs w:val="21"/>
              </w:rPr>
            </w:pPr>
            <w:r>
              <w:rPr>
                <w:rFonts w:hint="eastAsia" w:ascii="宋体" w:hAnsi="宋体"/>
                <w:bCs/>
                <w:szCs w:val="21"/>
              </w:rPr>
              <w:t>1</w:t>
            </w:r>
          </w:p>
        </w:tc>
        <w:tc>
          <w:tcPr>
            <w:tcW w:w="1672"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bCs/>
                <w:szCs w:val="21"/>
              </w:rPr>
            </w:pPr>
            <w:r>
              <w:rPr>
                <w:rFonts w:hint="eastAsia" w:ascii="宋体" w:hAnsi="宋体"/>
                <w:bCs/>
                <w:szCs w:val="21"/>
              </w:rPr>
              <w:t>1</w:t>
            </w:r>
          </w:p>
        </w:tc>
        <w:tc>
          <w:tcPr>
            <w:tcW w:w="782" w:type="dxa"/>
            <w:tcBorders>
              <w:top w:val="single" w:color="auto" w:sz="4" w:space="0"/>
              <w:left w:val="single" w:color="auto" w:sz="4" w:space="0"/>
              <w:right w:val="single" w:color="auto" w:sz="4" w:space="0"/>
            </w:tcBorders>
            <w:vAlign w:val="center"/>
          </w:tcPr>
          <w:p>
            <w:pPr>
              <w:spacing w:line="276" w:lineRule="auto"/>
              <w:jc w:val="center"/>
              <w:rPr>
                <w:rFonts w:ascii="宋体" w:hAnsi="宋体"/>
                <w:bCs/>
                <w:szCs w:val="21"/>
              </w:rPr>
            </w:pPr>
            <w:r>
              <w:rPr>
                <w:rFonts w:hint="eastAsia" w:ascii="宋体" w:hAnsi="宋体"/>
                <w:bCs/>
                <w:szCs w:val="21"/>
              </w:rPr>
              <w:t>4</w:t>
            </w:r>
          </w:p>
        </w:tc>
        <w:tc>
          <w:tcPr>
            <w:tcW w:w="1082" w:type="dxa"/>
            <w:tcBorders>
              <w:top w:val="single" w:color="auto" w:sz="4" w:space="0"/>
              <w:left w:val="single" w:color="auto" w:sz="4" w:space="0"/>
              <w:right w:val="single" w:color="auto" w:sz="4" w:space="0"/>
            </w:tcBorders>
            <w:vAlign w:val="center"/>
          </w:tcPr>
          <w:p>
            <w:pPr>
              <w:spacing w:line="276" w:lineRule="auto"/>
              <w:jc w:val="center"/>
              <w:rPr>
                <w:rFonts w:ascii="宋体" w:hAnsi="宋体"/>
                <w:bCs/>
                <w:color w:val="C00000"/>
                <w:szCs w:val="21"/>
              </w:rPr>
            </w:pPr>
            <w:r>
              <w:rPr>
                <w:rFonts w:hint="eastAsia" w:ascii="宋体" w:hAnsi="宋体"/>
                <w:bCs/>
                <w:szCs w:val="21"/>
              </w:rPr>
              <w:t>3</w:t>
            </w:r>
            <w:r>
              <w:rPr>
                <w:rFonts w:ascii="宋体" w:hAnsi="宋体"/>
                <w:bCs/>
                <w:szCs w:val="21"/>
              </w:rPr>
              <w:t>3</w:t>
            </w:r>
          </w:p>
        </w:tc>
      </w:tr>
    </w:tbl>
    <w:p>
      <w:pPr>
        <w:pStyle w:val="152"/>
        <w:ind w:firstLine="0" w:firstLineChars="0"/>
        <w:rPr>
          <w:b/>
          <w:bCs/>
          <w:sz w:val="28"/>
          <w:szCs w:val="28"/>
        </w:rPr>
      </w:pPr>
      <w:r>
        <w:rPr>
          <w:rFonts w:hint="eastAsia"/>
          <w:b/>
          <w:bCs/>
          <w:sz w:val="28"/>
          <w:szCs w:val="28"/>
        </w:rPr>
        <w:t>3．成都市石室联中西区分校</w:t>
      </w:r>
    </w:p>
    <w:p>
      <w:pPr>
        <w:pStyle w:val="152"/>
        <w:ind w:firstLine="0" w:firstLineChars="0"/>
        <w:rPr>
          <w:sz w:val="28"/>
          <w:szCs w:val="28"/>
        </w:rPr>
      </w:pPr>
      <w:r>
        <w:rPr>
          <w:sz w:val="28"/>
          <w:szCs w:val="28"/>
        </w:rPr>
        <w:t xml:space="preserve">   </w:t>
      </w:r>
      <w:r>
        <w:rPr>
          <w:rFonts w:hint="eastAsia"/>
          <w:sz w:val="28"/>
          <w:szCs w:val="28"/>
        </w:rPr>
        <w:t>学校位于成都市青羊区文苑路1号，占地面积约</w:t>
      </w:r>
      <w:r>
        <w:rPr>
          <w:sz w:val="28"/>
          <w:szCs w:val="28"/>
        </w:rPr>
        <w:t>9669</w:t>
      </w:r>
      <w:r>
        <w:rPr>
          <w:rFonts w:hint="eastAsia"/>
          <w:sz w:val="28"/>
          <w:szCs w:val="28"/>
        </w:rPr>
        <w:t>平方米，建筑面积约</w:t>
      </w:r>
      <w:r>
        <w:rPr>
          <w:sz w:val="28"/>
          <w:szCs w:val="28"/>
        </w:rPr>
        <w:t xml:space="preserve">7091 </w:t>
      </w:r>
      <w:r>
        <w:rPr>
          <w:rFonts w:hint="eastAsia"/>
          <w:sz w:val="28"/>
          <w:szCs w:val="28"/>
        </w:rPr>
        <w:t>平方米，主体建筑</w:t>
      </w:r>
      <w:r>
        <w:rPr>
          <w:sz w:val="28"/>
          <w:szCs w:val="28"/>
        </w:rPr>
        <w:t>1</w:t>
      </w:r>
      <w:r>
        <w:rPr>
          <w:rFonts w:hint="eastAsia"/>
          <w:sz w:val="28"/>
          <w:szCs w:val="28"/>
        </w:rPr>
        <w:t>栋，</w:t>
      </w:r>
      <w:r>
        <w:rPr>
          <w:sz w:val="28"/>
          <w:szCs w:val="28"/>
        </w:rPr>
        <w:t>1</w:t>
      </w:r>
      <w:r>
        <w:rPr>
          <w:rFonts w:hint="eastAsia"/>
          <w:sz w:val="28"/>
          <w:szCs w:val="28"/>
        </w:rPr>
        <w:t>个主大门，有停车场，车位</w:t>
      </w:r>
      <w:r>
        <w:rPr>
          <w:sz w:val="28"/>
          <w:szCs w:val="28"/>
        </w:rPr>
        <w:t>19</w:t>
      </w:r>
      <w:r>
        <w:rPr>
          <w:rFonts w:hint="eastAsia"/>
          <w:sz w:val="28"/>
          <w:szCs w:val="28"/>
        </w:rPr>
        <w:t>个；</w:t>
      </w:r>
      <w:r>
        <w:rPr>
          <w:sz w:val="28"/>
          <w:szCs w:val="28"/>
        </w:rPr>
        <w:t>2021</w:t>
      </w:r>
      <w:r>
        <w:rPr>
          <w:rFonts w:hint="eastAsia"/>
          <w:sz w:val="28"/>
          <w:szCs w:val="28"/>
        </w:rPr>
        <w:t>年</w:t>
      </w:r>
      <w:r>
        <w:rPr>
          <w:sz w:val="28"/>
          <w:szCs w:val="28"/>
        </w:rPr>
        <w:t>9</w:t>
      </w:r>
      <w:r>
        <w:rPr>
          <w:rFonts w:hint="eastAsia"/>
          <w:sz w:val="28"/>
          <w:szCs w:val="28"/>
        </w:rPr>
        <w:t>月师生人数</w:t>
      </w:r>
      <w:r>
        <w:rPr>
          <w:sz w:val="28"/>
          <w:szCs w:val="28"/>
        </w:rPr>
        <w:t>936</w:t>
      </w:r>
      <w:r>
        <w:rPr>
          <w:rFonts w:hint="eastAsia"/>
          <w:sz w:val="28"/>
          <w:szCs w:val="28"/>
        </w:rPr>
        <w:t>人。</w:t>
      </w:r>
    </w:p>
    <w:p>
      <w:pPr>
        <w:pStyle w:val="152"/>
        <w:ind w:firstLine="560"/>
        <w:rPr>
          <w:sz w:val="28"/>
          <w:szCs w:val="28"/>
        </w:rPr>
      </w:pPr>
      <w:bookmarkStart w:id="252" w:name="_Hlk87426349"/>
      <w:r>
        <w:rPr>
          <w:rFonts w:hint="eastAsia"/>
          <w:sz w:val="28"/>
          <w:szCs w:val="28"/>
        </w:rPr>
        <w:t>★人员配置类别及数量：</w:t>
      </w:r>
    </w:p>
    <w:bookmarkEnd w:id="252"/>
    <w:p>
      <w:pPr>
        <w:pStyle w:val="152"/>
        <w:ind w:firstLine="560"/>
        <w:rPr>
          <w:sz w:val="24"/>
        </w:rPr>
      </w:pPr>
      <w:r>
        <w:rPr>
          <w:rFonts w:hint="eastAsia"/>
          <w:sz w:val="28"/>
          <w:szCs w:val="28"/>
        </w:rPr>
        <w:t>该项目服务人员定编</w:t>
      </w:r>
      <w:r>
        <w:rPr>
          <w:sz w:val="28"/>
          <w:szCs w:val="28"/>
        </w:rPr>
        <w:t xml:space="preserve"> 8 </w:t>
      </w:r>
      <w:r>
        <w:rPr>
          <w:rFonts w:hint="eastAsia"/>
          <w:sz w:val="28"/>
          <w:szCs w:val="28"/>
        </w:rPr>
        <w:t>人。可优化配置，但不低于该配置力量。</w:t>
      </w:r>
    </w:p>
    <w:tbl>
      <w:tblPr>
        <w:tblStyle w:val="43"/>
        <w:tblW w:w="813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2268"/>
        <w:gridCol w:w="1167"/>
        <w:gridCol w:w="1236"/>
        <w:gridCol w:w="2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3" w:hRule="atLeast"/>
        </w:trPr>
        <w:tc>
          <w:tcPr>
            <w:tcW w:w="1413" w:type="dxa"/>
            <w:tcBorders>
              <w:top w:val="single" w:color="auto" w:sz="4" w:space="0"/>
              <w:left w:val="single" w:color="auto" w:sz="4" w:space="0"/>
              <w:bottom w:val="single" w:color="auto" w:sz="4" w:space="0"/>
              <w:right w:val="single" w:color="auto" w:sz="4" w:space="0"/>
            </w:tcBorders>
            <w:vAlign w:val="center"/>
          </w:tcPr>
          <w:p>
            <w:pPr>
              <w:spacing w:line="420" w:lineRule="exact"/>
              <w:rPr>
                <w:szCs w:val="21"/>
              </w:rPr>
            </w:pPr>
            <w:r>
              <w:rPr>
                <w:rFonts w:hint="eastAsia"/>
                <w:szCs w:val="21"/>
              </w:rPr>
              <w:t>人员类别</w:t>
            </w:r>
          </w:p>
        </w:tc>
        <w:tc>
          <w:tcPr>
            <w:tcW w:w="2268"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szCs w:val="21"/>
              </w:rPr>
            </w:pPr>
            <w:r>
              <w:rPr>
                <w:rFonts w:hint="eastAsia"/>
                <w:szCs w:val="21"/>
              </w:rPr>
              <w:t>主管(兼秩序维护队长)</w:t>
            </w:r>
          </w:p>
        </w:tc>
        <w:tc>
          <w:tcPr>
            <w:tcW w:w="1167"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szCs w:val="21"/>
              </w:rPr>
            </w:pPr>
            <w:r>
              <w:rPr>
                <w:rFonts w:hint="eastAsia"/>
                <w:szCs w:val="21"/>
              </w:rPr>
              <w:t>秩序维护</w:t>
            </w:r>
          </w:p>
        </w:tc>
        <w:tc>
          <w:tcPr>
            <w:tcW w:w="1236"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szCs w:val="21"/>
              </w:rPr>
            </w:pPr>
            <w:r>
              <w:rPr>
                <w:rFonts w:hint="eastAsia"/>
                <w:szCs w:val="21"/>
              </w:rPr>
              <w:t>保洁</w:t>
            </w:r>
          </w:p>
        </w:tc>
        <w:tc>
          <w:tcPr>
            <w:tcW w:w="205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szCs w:val="21"/>
              </w:rPr>
            </w:pPr>
            <w:r>
              <w:rPr>
                <w:rFonts w:hint="eastAsia"/>
                <w:szCs w:val="21"/>
              </w:rPr>
              <w:t>汇总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413" w:type="dxa"/>
            <w:tcBorders>
              <w:top w:val="single" w:color="auto" w:sz="4" w:space="0"/>
              <w:left w:val="single" w:color="auto" w:sz="4" w:space="0"/>
              <w:bottom w:val="single" w:color="auto" w:sz="4" w:space="0"/>
              <w:right w:val="single" w:color="auto" w:sz="4" w:space="0"/>
            </w:tcBorders>
            <w:vAlign w:val="center"/>
          </w:tcPr>
          <w:p>
            <w:pPr>
              <w:spacing w:line="420" w:lineRule="exact"/>
              <w:rPr>
                <w:szCs w:val="21"/>
              </w:rPr>
            </w:pPr>
            <w:r>
              <w:rPr>
                <w:rFonts w:hint="eastAsia"/>
                <w:szCs w:val="21"/>
              </w:rPr>
              <w:t>配置数量</w:t>
            </w:r>
          </w:p>
        </w:tc>
        <w:tc>
          <w:tcPr>
            <w:tcW w:w="2268"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szCs w:val="21"/>
              </w:rPr>
            </w:pPr>
            <w:r>
              <w:rPr>
                <w:rFonts w:hint="eastAsia"/>
                <w:szCs w:val="21"/>
              </w:rPr>
              <w:t>1</w:t>
            </w:r>
          </w:p>
        </w:tc>
        <w:tc>
          <w:tcPr>
            <w:tcW w:w="1167"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szCs w:val="21"/>
              </w:rPr>
            </w:pPr>
            <w:r>
              <w:rPr>
                <w:rFonts w:hint="eastAsia"/>
                <w:szCs w:val="21"/>
              </w:rPr>
              <w:t>4</w:t>
            </w:r>
          </w:p>
        </w:tc>
        <w:tc>
          <w:tcPr>
            <w:tcW w:w="1236"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szCs w:val="21"/>
              </w:rPr>
            </w:pPr>
            <w:r>
              <w:rPr>
                <w:rFonts w:hint="eastAsia"/>
                <w:szCs w:val="21"/>
              </w:rPr>
              <w:t>3</w:t>
            </w:r>
          </w:p>
        </w:tc>
        <w:tc>
          <w:tcPr>
            <w:tcW w:w="205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szCs w:val="21"/>
              </w:rPr>
            </w:pPr>
            <w:r>
              <w:rPr>
                <w:rFonts w:hint="eastAsia"/>
                <w:szCs w:val="21"/>
              </w:rPr>
              <w:t>8</w:t>
            </w:r>
          </w:p>
        </w:tc>
      </w:tr>
    </w:tbl>
    <w:p>
      <w:pPr>
        <w:pStyle w:val="152"/>
        <w:ind w:firstLine="0" w:firstLineChars="0"/>
        <w:rPr>
          <w:b/>
          <w:bCs/>
          <w:sz w:val="28"/>
          <w:szCs w:val="28"/>
        </w:rPr>
      </w:pPr>
      <w:r>
        <w:rPr>
          <w:rFonts w:hint="eastAsia"/>
          <w:b/>
          <w:bCs/>
          <w:sz w:val="28"/>
          <w:szCs w:val="28"/>
        </w:rPr>
        <w:t>4.成都市青羊区教育科学研究院</w:t>
      </w:r>
    </w:p>
    <w:p>
      <w:pPr>
        <w:pStyle w:val="152"/>
        <w:ind w:firstLine="700" w:firstLineChars="250"/>
        <w:rPr>
          <w:sz w:val="28"/>
          <w:szCs w:val="28"/>
        </w:rPr>
      </w:pPr>
      <w:r>
        <w:rPr>
          <w:rFonts w:hint="eastAsia"/>
          <w:sz w:val="28"/>
          <w:szCs w:val="28"/>
        </w:rPr>
        <w:t>成都市青羊区教育科学研究院(位于苏坡桥西街2</w:t>
      </w:r>
      <w:r>
        <w:rPr>
          <w:sz w:val="28"/>
          <w:szCs w:val="28"/>
        </w:rPr>
        <w:t>7</w:t>
      </w:r>
      <w:r>
        <w:rPr>
          <w:rFonts w:hint="eastAsia"/>
          <w:sz w:val="28"/>
          <w:szCs w:val="28"/>
        </w:rPr>
        <w:t>号)，占地面积 17342平方米，建筑面积 10764  平方米，其中绿地面积  1325 平方米； 1 个主大门</w:t>
      </w:r>
      <w:r>
        <w:rPr>
          <w:sz w:val="28"/>
          <w:szCs w:val="28"/>
        </w:rPr>
        <w:t>;</w:t>
      </w:r>
      <w:r>
        <w:rPr>
          <w:rFonts w:hint="eastAsia"/>
          <w:sz w:val="28"/>
          <w:szCs w:val="28"/>
        </w:rPr>
        <w:t>培训教室、会议室、办公室共9</w:t>
      </w:r>
      <w:r>
        <w:rPr>
          <w:sz w:val="28"/>
          <w:szCs w:val="28"/>
        </w:rPr>
        <w:t>000</w:t>
      </w:r>
      <w:r>
        <w:rPr>
          <w:rFonts w:hint="eastAsia"/>
          <w:sz w:val="28"/>
          <w:szCs w:val="28"/>
        </w:rPr>
        <w:t>平方米，共</w:t>
      </w:r>
      <w:r>
        <w:rPr>
          <w:sz w:val="28"/>
          <w:szCs w:val="28"/>
        </w:rPr>
        <w:t>2</w:t>
      </w:r>
      <w:r>
        <w:rPr>
          <w:rFonts w:hint="eastAsia"/>
          <w:sz w:val="28"/>
          <w:szCs w:val="28"/>
        </w:rPr>
        <w:t>栋</w:t>
      </w:r>
      <w:r>
        <w:rPr>
          <w:sz w:val="28"/>
          <w:szCs w:val="28"/>
        </w:rPr>
        <w:t>,</w:t>
      </w:r>
      <w:r>
        <w:rPr>
          <w:rFonts w:hint="eastAsia"/>
          <w:sz w:val="28"/>
          <w:szCs w:val="28"/>
        </w:rPr>
        <w:t>楼层数</w:t>
      </w:r>
      <w:r>
        <w:rPr>
          <w:sz w:val="28"/>
          <w:szCs w:val="28"/>
        </w:rPr>
        <w:t>5</w:t>
      </w:r>
      <w:r>
        <w:rPr>
          <w:rFonts w:hint="eastAsia"/>
          <w:sz w:val="28"/>
          <w:szCs w:val="28"/>
        </w:rPr>
        <w:t>层；</w:t>
      </w:r>
      <w:r>
        <w:rPr>
          <w:sz w:val="28"/>
          <w:szCs w:val="28"/>
        </w:rPr>
        <w:t xml:space="preserve"> </w:t>
      </w:r>
      <w:r>
        <w:rPr>
          <w:rFonts w:hint="eastAsia"/>
          <w:sz w:val="28"/>
          <w:szCs w:val="28"/>
        </w:rPr>
        <w:t>操场</w:t>
      </w:r>
      <w:r>
        <w:rPr>
          <w:sz w:val="28"/>
          <w:szCs w:val="28"/>
        </w:rPr>
        <w:t>1000</w:t>
      </w:r>
      <w:r>
        <w:rPr>
          <w:rFonts w:hint="eastAsia"/>
          <w:sz w:val="28"/>
          <w:szCs w:val="28"/>
        </w:rPr>
        <w:t>平方米；厕所</w:t>
      </w:r>
      <w:r>
        <w:rPr>
          <w:sz w:val="28"/>
          <w:szCs w:val="28"/>
        </w:rPr>
        <w:t>9</w:t>
      </w:r>
      <w:r>
        <w:rPr>
          <w:rFonts w:hint="eastAsia"/>
          <w:sz w:val="28"/>
          <w:szCs w:val="28"/>
        </w:rPr>
        <w:t>间，</w:t>
      </w:r>
      <w:r>
        <w:rPr>
          <w:sz w:val="28"/>
          <w:szCs w:val="28"/>
        </w:rPr>
        <w:t>300</w:t>
      </w:r>
      <w:r>
        <w:rPr>
          <w:rFonts w:hint="eastAsia"/>
          <w:sz w:val="28"/>
          <w:szCs w:val="28"/>
        </w:rPr>
        <w:t xml:space="preserve">平方米。 </w:t>
      </w:r>
    </w:p>
    <w:p>
      <w:pPr>
        <w:pStyle w:val="152"/>
        <w:ind w:firstLine="700" w:firstLineChars="250"/>
        <w:rPr>
          <w:sz w:val="28"/>
          <w:szCs w:val="28"/>
        </w:rPr>
      </w:pPr>
      <w:r>
        <w:rPr>
          <w:rFonts w:hint="eastAsia"/>
          <w:sz w:val="28"/>
          <w:szCs w:val="28"/>
        </w:rPr>
        <w:t>停车场基本情况：机动车停车场 1</w:t>
      </w:r>
      <w:r>
        <w:rPr>
          <w:sz w:val="28"/>
          <w:szCs w:val="28"/>
        </w:rPr>
        <w:t xml:space="preserve"> </w:t>
      </w:r>
      <w:r>
        <w:rPr>
          <w:rFonts w:hint="eastAsia"/>
          <w:sz w:val="28"/>
          <w:szCs w:val="28"/>
        </w:rPr>
        <w:t xml:space="preserve">个，面积共 </w:t>
      </w:r>
      <w:r>
        <w:rPr>
          <w:sz w:val="28"/>
          <w:szCs w:val="28"/>
        </w:rPr>
        <w:t>100</w:t>
      </w:r>
      <w:r>
        <w:rPr>
          <w:rFonts w:hint="eastAsia"/>
          <w:sz w:val="28"/>
          <w:szCs w:val="28"/>
        </w:rPr>
        <w:t>00 平方米，停车位</w:t>
      </w:r>
      <w:r>
        <w:rPr>
          <w:sz w:val="28"/>
          <w:szCs w:val="28"/>
        </w:rPr>
        <w:t xml:space="preserve">80 </w:t>
      </w:r>
      <w:r>
        <w:rPr>
          <w:rFonts w:hint="eastAsia"/>
          <w:sz w:val="28"/>
          <w:szCs w:val="28"/>
        </w:rPr>
        <w:t>个；</w:t>
      </w:r>
      <w:r>
        <w:rPr>
          <w:sz w:val="28"/>
          <w:szCs w:val="28"/>
        </w:rPr>
        <w:t xml:space="preserve"> </w:t>
      </w:r>
      <w:r>
        <w:rPr>
          <w:rFonts w:hint="eastAsia"/>
          <w:sz w:val="28"/>
          <w:szCs w:val="28"/>
        </w:rPr>
        <w:t>自行车停车场 1 个，占地面积共120平方米，停车位</w:t>
      </w:r>
      <w:r>
        <w:rPr>
          <w:sz w:val="28"/>
          <w:szCs w:val="28"/>
        </w:rPr>
        <w:t>3</w:t>
      </w:r>
      <w:r>
        <w:rPr>
          <w:rFonts w:hint="eastAsia"/>
          <w:sz w:val="28"/>
          <w:szCs w:val="28"/>
        </w:rPr>
        <w:t>0位。</w:t>
      </w:r>
      <w:r>
        <w:rPr>
          <w:sz w:val="28"/>
          <w:szCs w:val="28"/>
        </w:rPr>
        <w:t>(</w:t>
      </w:r>
      <w:r>
        <w:rPr>
          <w:rFonts w:hint="eastAsia"/>
          <w:sz w:val="28"/>
          <w:szCs w:val="28"/>
        </w:rPr>
        <w:t>本项目停车场不涉及对外停车，不收取停车费用</w:t>
      </w:r>
      <w:r>
        <w:rPr>
          <w:sz w:val="28"/>
          <w:szCs w:val="28"/>
        </w:rPr>
        <w:t>)</w:t>
      </w:r>
      <w:r>
        <w:rPr>
          <w:rFonts w:hint="eastAsia"/>
          <w:sz w:val="28"/>
          <w:szCs w:val="28"/>
        </w:rPr>
        <w:t>；</w:t>
      </w:r>
    </w:p>
    <w:p>
      <w:pPr>
        <w:pStyle w:val="152"/>
        <w:ind w:firstLine="700" w:firstLineChars="250"/>
        <w:rPr>
          <w:sz w:val="28"/>
          <w:szCs w:val="28"/>
        </w:rPr>
      </w:pPr>
      <w:r>
        <w:rPr>
          <w:rFonts w:hint="eastAsia"/>
          <w:sz w:val="28"/>
          <w:szCs w:val="28"/>
        </w:rPr>
        <w:t>职工人员情况：约1</w:t>
      </w:r>
      <w:r>
        <w:rPr>
          <w:sz w:val="28"/>
          <w:szCs w:val="28"/>
        </w:rPr>
        <w:t>2</w:t>
      </w:r>
      <w:r>
        <w:rPr>
          <w:rFonts w:hint="eastAsia"/>
          <w:sz w:val="28"/>
          <w:szCs w:val="28"/>
        </w:rPr>
        <w:t>0人。</w:t>
      </w:r>
    </w:p>
    <w:p>
      <w:pPr>
        <w:pStyle w:val="152"/>
        <w:ind w:firstLine="700" w:firstLineChars="250"/>
        <w:rPr>
          <w:sz w:val="28"/>
          <w:szCs w:val="28"/>
        </w:rPr>
      </w:pPr>
      <w:r>
        <w:rPr>
          <w:rFonts w:hint="eastAsia"/>
          <w:sz w:val="28"/>
          <w:szCs w:val="28"/>
        </w:rPr>
        <w:t>★人员配置类别及数量</w:t>
      </w:r>
    </w:p>
    <w:p>
      <w:pPr>
        <w:spacing w:line="360" w:lineRule="auto"/>
        <w:rPr>
          <w:rFonts w:ascii="仿宋_GB2312" w:eastAsia="仿宋_GB2312"/>
          <w:sz w:val="32"/>
          <w:szCs w:val="32"/>
        </w:rPr>
      </w:pPr>
      <w:r>
        <w:rPr>
          <w:rFonts w:hint="eastAsia"/>
          <w:sz w:val="28"/>
          <w:szCs w:val="28"/>
        </w:rPr>
        <w:t>该项目服务人员定编13人。可优化配置，但不低于该配置力量。</w:t>
      </w:r>
    </w:p>
    <w:tbl>
      <w:tblPr>
        <w:tblStyle w:val="43"/>
        <w:tblW w:w="83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3"/>
        <w:gridCol w:w="1211"/>
        <w:gridCol w:w="1211"/>
        <w:gridCol w:w="1697"/>
        <w:gridCol w:w="1415"/>
        <w:gridCol w:w="15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9" w:hRule="atLeast"/>
        </w:trPr>
        <w:tc>
          <w:tcPr>
            <w:tcW w:w="1263" w:type="dxa"/>
            <w:vAlign w:val="center"/>
          </w:tcPr>
          <w:p>
            <w:pPr>
              <w:pStyle w:val="152"/>
              <w:spacing w:line="420" w:lineRule="exact"/>
              <w:ind w:firstLine="0" w:firstLineChars="0"/>
              <w:rPr>
                <w:szCs w:val="21"/>
              </w:rPr>
            </w:pPr>
            <w:r>
              <w:rPr>
                <w:rFonts w:hint="eastAsia"/>
                <w:szCs w:val="21"/>
              </w:rPr>
              <w:t>人员类别</w:t>
            </w:r>
          </w:p>
        </w:tc>
        <w:tc>
          <w:tcPr>
            <w:tcW w:w="1211" w:type="dxa"/>
            <w:vAlign w:val="center"/>
          </w:tcPr>
          <w:p>
            <w:pPr>
              <w:pStyle w:val="152"/>
              <w:spacing w:line="420" w:lineRule="exact"/>
              <w:ind w:firstLine="0" w:firstLineChars="0"/>
              <w:jc w:val="center"/>
              <w:rPr>
                <w:szCs w:val="21"/>
              </w:rPr>
            </w:pPr>
            <w:r>
              <w:rPr>
                <w:rFonts w:hint="eastAsia"/>
                <w:szCs w:val="21"/>
              </w:rPr>
              <w:t>主管</w:t>
            </w:r>
          </w:p>
        </w:tc>
        <w:tc>
          <w:tcPr>
            <w:tcW w:w="1211" w:type="dxa"/>
            <w:vAlign w:val="center"/>
          </w:tcPr>
          <w:p>
            <w:pPr>
              <w:pStyle w:val="152"/>
              <w:spacing w:line="420" w:lineRule="exact"/>
              <w:ind w:firstLine="0" w:firstLineChars="0"/>
              <w:jc w:val="center"/>
              <w:rPr>
                <w:szCs w:val="21"/>
              </w:rPr>
            </w:pPr>
            <w:r>
              <w:rPr>
                <w:rFonts w:hint="eastAsia"/>
                <w:szCs w:val="21"/>
              </w:rPr>
              <w:t>秩序维护</w:t>
            </w:r>
          </w:p>
        </w:tc>
        <w:tc>
          <w:tcPr>
            <w:tcW w:w="1697" w:type="dxa"/>
            <w:vAlign w:val="center"/>
          </w:tcPr>
          <w:p>
            <w:pPr>
              <w:pStyle w:val="152"/>
              <w:spacing w:line="420" w:lineRule="exact"/>
              <w:ind w:firstLine="0" w:firstLineChars="0"/>
              <w:jc w:val="center"/>
              <w:rPr>
                <w:szCs w:val="21"/>
              </w:rPr>
            </w:pPr>
            <w:r>
              <w:rPr>
                <w:rFonts w:hint="eastAsia"/>
                <w:szCs w:val="21"/>
              </w:rPr>
              <w:t>保洁</w:t>
            </w:r>
          </w:p>
        </w:tc>
        <w:tc>
          <w:tcPr>
            <w:tcW w:w="1415" w:type="dxa"/>
            <w:vAlign w:val="center"/>
          </w:tcPr>
          <w:p>
            <w:pPr>
              <w:pStyle w:val="152"/>
              <w:spacing w:line="420" w:lineRule="exact"/>
              <w:ind w:firstLine="0" w:firstLineChars="0"/>
              <w:jc w:val="center"/>
              <w:rPr>
                <w:szCs w:val="21"/>
              </w:rPr>
            </w:pPr>
            <w:r>
              <w:rPr>
                <w:rFonts w:hint="eastAsia"/>
                <w:szCs w:val="21"/>
              </w:rPr>
              <w:t>会务</w:t>
            </w:r>
          </w:p>
        </w:tc>
        <w:tc>
          <w:tcPr>
            <w:tcW w:w="1555" w:type="dxa"/>
            <w:vAlign w:val="center"/>
          </w:tcPr>
          <w:p>
            <w:pPr>
              <w:pStyle w:val="152"/>
              <w:spacing w:line="420" w:lineRule="exact"/>
              <w:ind w:firstLine="0" w:firstLineChars="0"/>
              <w:jc w:val="center"/>
              <w:rPr>
                <w:szCs w:val="21"/>
              </w:rPr>
            </w:pPr>
            <w:r>
              <w:rPr>
                <w:rFonts w:hint="eastAsia"/>
                <w:szCs w:val="21"/>
              </w:rPr>
              <w:t>汇总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263" w:type="dxa"/>
            <w:vAlign w:val="center"/>
          </w:tcPr>
          <w:p>
            <w:pPr>
              <w:pStyle w:val="152"/>
              <w:spacing w:line="420" w:lineRule="exact"/>
              <w:ind w:firstLine="0" w:firstLineChars="0"/>
              <w:rPr>
                <w:szCs w:val="21"/>
              </w:rPr>
            </w:pPr>
            <w:r>
              <w:rPr>
                <w:rFonts w:hint="eastAsia"/>
                <w:szCs w:val="21"/>
              </w:rPr>
              <w:t>配置数量</w:t>
            </w:r>
          </w:p>
        </w:tc>
        <w:tc>
          <w:tcPr>
            <w:tcW w:w="1211" w:type="dxa"/>
            <w:vAlign w:val="center"/>
          </w:tcPr>
          <w:p>
            <w:pPr>
              <w:pStyle w:val="152"/>
              <w:spacing w:line="420" w:lineRule="exact"/>
              <w:ind w:firstLine="33" w:firstLineChars="16"/>
              <w:jc w:val="center"/>
              <w:rPr>
                <w:szCs w:val="21"/>
              </w:rPr>
            </w:pPr>
            <w:r>
              <w:rPr>
                <w:rFonts w:hint="eastAsia"/>
                <w:szCs w:val="21"/>
              </w:rPr>
              <w:t>1</w:t>
            </w:r>
          </w:p>
        </w:tc>
        <w:tc>
          <w:tcPr>
            <w:tcW w:w="1211" w:type="dxa"/>
            <w:vAlign w:val="center"/>
          </w:tcPr>
          <w:p>
            <w:pPr>
              <w:pStyle w:val="152"/>
              <w:spacing w:line="420" w:lineRule="exact"/>
              <w:ind w:firstLine="33" w:firstLineChars="16"/>
              <w:jc w:val="center"/>
              <w:rPr>
                <w:szCs w:val="21"/>
              </w:rPr>
            </w:pPr>
            <w:r>
              <w:rPr>
                <w:szCs w:val="21"/>
              </w:rPr>
              <w:t>5</w:t>
            </w:r>
          </w:p>
        </w:tc>
        <w:tc>
          <w:tcPr>
            <w:tcW w:w="1697" w:type="dxa"/>
            <w:vAlign w:val="center"/>
          </w:tcPr>
          <w:p>
            <w:pPr>
              <w:pStyle w:val="152"/>
              <w:spacing w:line="420" w:lineRule="exact"/>
              <w:ind w:firstLine="33" w:firstLineChars="16"/>
              <w:jc w:val="center"/>
              <w:rPr>
                <w:szCs w:val="21"/>
              </w:rPr>
            </w:pPr>
            <w:r>
              <w:rPr>
                <w:szCs w:val="21"/>
              </w:rPr>
              <w:t>5</w:t>
            </w:r>
          </w:p>
        </w:tc>
        <w:tc>
          <w:tcPr>
            <w:tcW w:w="1415" w:type="dxa"/>
            <w:vAlign w:val="center"/>
          </w:tcPr>
          <w:p>
            <w:pPr>
              <w:pStyle w:val="152"/>
              <w:spacing w:line="420" w:lineRule="exact"/>
              <w:ind w:firstLine="33" w:firstLineChars="16"/>
              <w:jc w:val="center"/>
              <w:rPr>
                <w:szCs w:val="21"/>
              </w:rPr>
            </w:pPr>
            <w:r>
              <w:rPr>
                <w:rFonts w:hint="eastAsia"/>
                <w:szCs w:val="21"/>
              </w:rPr>
              <w:t>2</w:t>
            </w:r>
          </w:p>
        </w:tc>
        <w:tc>
          <w:tcPr>
            <w:tcW w:w="1555" w:type="dxa"/>
            <w:vAlign w:val="center"/>
          </w:tcPr>
          <w:p>
            <w:pPr>
              <w:pStyle w:val="152"/>
              <w:spacing w:line="420" w:lineRule="exact"/>
              <w:ind w:firstLine="33" w:firstLineChars="16"/>
              <w:jc w:val="center"/>
              <w:rPr>
                <w:szCs w:val="21"/>
              </w:rPr>
            </w:pPr>
            <w:r>
              <w:rPr>
                <w:szCs w:val="21"/>
              </w:rPr>
              <w:t>13</w:t>
            </w:r>
          </w:p>
        </w:tc>
      </w:tr>
    </w:tbl>
    <w:p>
      <w:pPr>
        <w:pStyle w:val="152"/>
        <w:ind w:firstLine="700" w:firstLineChars="250"/>
        <w:rPr>
          <w:sz w:val="28"/>
          <w:szCs w:val="28"/>
        </w:rPr>
      </w:pPr>
      <w:r>
        <w:rPr>
          <w:rFonts w:hint="eastAsia"/>
          <w:sz w:val="28"/>
          <w:szCs w:val="28"/>
        </w:rPr>
        <w:t>注:成都市青羊区教育科学院与成都市青羊区招生办公室、成都市青羊区教育技术装备与信息管理中心共三家单位在一个大院办公，同时与青羊区特殊教育学校共用体育场,该服务点包含对三个单位的服务(包含体育场)。</w:t>
      </w:r>
    </w:p>
    <w:p>
      <w:pPr>
        <w:pStyle w:val="152"/>
        <w:ind w:firstLine="0" w:firstLineChars="0"/>
        <w:rPr>
          <w:b/>
          <w:bCs/>
          <w:color w:val="000000"/>
          <w:sz w:val="28"/>
          <w:szCs w:val="28"/>
        </w:rPr>
      </w:pPr>
      <w:r>
        <w:rPr>
          <w:rFonts w:hint="eastAsia"/>
          <w:b/>
          <w:bCs/>
          <w:color w:val="000000"/>
          <w:sz w:val="28"/>
          <w:szCs w:val="28"/>
        </w:rPr>
        <w:t>二、服务要求</w:t>
      </w:r>
    </w:p>
    <w:p>
      <w:pPr>
        <w:pStyle w:val="152"/>
        <w:ind w:firstLine="700" w:firstLineChars="250"/>
        <w:rPr>
          <w:sz w:val="28"/>
          <w:szCs w:val="28"/>
        </w:rPr>
      </w:pPr>
      <w:r>
        <w:rPr>
          <w:rFonts w:hint="eastAsia"/>
          <w:sz w:val="28"/>
          <w:szCs w:val="28"/>
        </w:rPr>
        <w:t>以下为该项目人员、服务及质量、考核等基本要求，供应商应在此基础上根据学校实际情况(学校性质、校园面积、学生年龄特征、师生人数等</w:t>
      </w:r>
      <w:r>
        <w:rPr>
          <w:sz w:val="28"/>
          <w:szCs w:val="28"/>
        </w:rPr>
        <w:t>)</w:t>
      </w:r>
      <w:r>
        <w:rPr>
          <w:rFonts w:hint="eastAsia"/>
          <w:sz w:val="28"/>
          <w:szCs w:val="28"/>
        </w:rPr>
        <w:t>合理配置人员、完善各项管理制度、岗位职责、服务标准、服务流程、考核办法等。</w:t>
      </w:r>
    </w:p>
    <w:p>
      <w:pPr>
        <w:pStyle w:val="152"/>
        <w:ind w:firstLine="560"/>
        <w:rPr>
          <w:sz w:val="28"/>
          <w:szCs w:val="28"/>
        </w:rPr>
      </w:pPr>
      <w:r>
        <w:rPr>
          <w:rFonts w:hint="eastAsia"/>
          <w:sz w:val="28"/>
          <w:szCs w:val="28"/>
        </w:rPr>
        <w:t>1、人员基本要求</w:t>
      </w:r>
    </w:p>
    <w:p>
      <w:pPr>
        <w:pStyle w:val="152"/>
        <w:ind w:firstLine="560"/>
        <w:rPr>
          <w:color w:val="000000"/>
          <w:sz w:val="28"/>
          <w:szCs w:val="28"/>
        </w:rPr>
      </w:pPr>
      <w:r>
        <w:rPr>
          <w:rFonts w:hint="eastAsia"/>
          <w:sz w:val="28"/>
          <w:szCs w:val="28"/>
        </w:rPr>
        <w:t>★</w:t>
      </w:r>
      <w:r>
        <w:rPr>
          <w:rFonts w:hint="eastAsia" w:ascii="宋体" w:hAnsi="宋体"/>
          <w:color w:val="000000"/>
          <w:sz w:val="28"/>
          <w:szCs w:val="28"/>
        </w:rPr>
        <w:t>（1）热爱党、热爱祖国，拥护党的基本路线，遵纪守法。 有爱心、责任心和耐心，工作认真、细致，具有较强的服务意识和良好的组织协调能力、沟通能力。(提供承</w:t>
      </w:r>
      <w:r>
        <w:rPr>
          <w:rFonts w:hint="eastAsia"/>
          <w:sz w:val="28"/>
          <w:szCs w:val="28"/>
        </w:rPr>
        <w:t>诺函，入驻校点时提供相应无吸毒史</w:t>
      </w:r>
      <w:r>
        <w:rPr>
          <w:rFonts w:hint="eastAsia"/>
          <w:color w:val="000000"/>
          <w:sz w:val="28"/>
          <w:szCs w:val="28"/>
        </w:rPr>
        <w:t>、无犯罪史的证明材料)；</w:t>
      </w:r>
    </w:p>
    <w:p>
      <w:pPr>
        <w:pStyle w:val="152"/>
        <w:ind w:firstLine="560"/>
        <w:rPr>
          <w:color w:val="000000"/>
          <w:sz w:val="28"/>
          <w:szCs w:val="28"/>
        </w:rPr>
      </w:pPr>
      <w:r>
        <w:rPr>
          <w:rFonts w:hint="eastAsia"/>
          <w:sz w:val="28"/>
          <w:szCs w:val="28"/>
        </w:rPr>
        <w:t>★</w:t>
      </w:r>
      <w:r>
        <w:rPr>
          <w:rFonts w:hint="eastAsia" w:ascii="宋体" w:hAnsi="宋体"/>
          <w:color w:val="000000"/>
          <w:sz w:val="28"/>
          <w:szCs w:val="28"/>
        </w:rPr>
        <w:t>（2）</w:t>
      </w:r>
      <w:r>
        <w:rPr>
          <w:rFonts w:hint="eastAsia"/>
          <w:color w:val="000000"/>
          <w:sz w:val="28"/>
          <w:szCs w:val="28"/>
        </w:rPr>
        <w:t>身体健康，并持健康证，无精神病史(提供承诺函，入驻校点时提供健康证)；</w:t>
      </w:r>
    </w:p>
    <w:p>
      <w:pPr>
        <w:pStyle w:val="152"/>
        <w:ind w:firstLine="560"/>
        <w:rPr>
          <w:color w:val="000000"/>
          <w:sz w:val="28"/>
          <w:szCs w:val="28"/>
        </w:rPr>
      </w:pPr>
      <w:r>
        <w:rPr>
          <w:rFonts w:hint="eastAsia"/>
          <w:sz w:val="28"/>
          <w:szCs w:val="28"/>
        </w:rPr>
        <w:t>★</w:t>
      </w:r>
      <w:r>
        <w:rPr>
          <w:rFonts w:hint="eastAsia" w:ascii="宋体" w:hAnsi="宋体"/>
          <w:color w:val="000000"/>
          <w:sz w:val="28"/>
          <w:szCs w:val="28"/>
        </w:rPr>
        <w:t>（</w:t>
      </w:r>
      <w:r>
        <w:rPr>
          <w:rFonts w:ascii="宋体" w:hAnsi="宋体"/>
          <w:color w:val="000000"/>
          <w:sz w:val="28"/>
          <w:szCs w:val="28"/>
        </w:rPr>
        <w:t>3</w:t>
      </w:r>
      <w:r>
        <w:rPr>
          <w:rFonts w:hint="eastAsia" w:ascii="宋体" w:hAnsi="宋体"/>
          <w:color w:val="000000"/>
          <w:sz w:val="28"/>
          <w:szCs w:val="28"/>
        </w:rPr>
        <w:t>）</w:t>
      </w:r>
      <w:r>
        <w:rPr>
          <w:color w:val="000000"/>
          <w:sz w:val="28"/>
          <w:szCs w:val="28"/>
        </w:rPr>
        <w:t>年龄</w:t>
      </w:r>
      <w:r>
        <w:rPr>
          <w:rFonts w:hint="eastAsia"/>
          <w:color w:val="000000"/>
          <w:sz w:val="28"/>
          <w:szCs w:val="28"/>
        </w:rPr>
        <w:t>范围: 男性:18—55岁之间， 女性: 18—50岁；</w:t>
      </w:r>
      <w:r>
        <w:rPr>
          <w:rFonts w:hint="eastAsia" w:ascii="宋体" w:hAnsi="宋体"/>
          <w:color w:val="000000"/>
          <w:sz w:val="28"/>
          <w:szCs w:val="28"/>
        </w:rPr>
        <w:t>(提供承</w:t>
      </w:r>
      <w:r>
        <w:rPr>
          <w:rFonts w:hint="eastAsia"/>
          <w:sz w:val="28"/>
          <w:szCs w:val="28"/>
        </w:rPr>
        <w:t>诺函</w:t>
      </w:r>
      <w:r>
        <w:rPr>
          <w:rFonts w:hint="eastAsia"/>
          <w:color w:val="000000"/>
          <w:sz w:val="28"/>
          <w:szCs w:val="28"/>
        </w:rPr>
        <w:t>)</w:t>
      </w:r>
    </w:p>
    <w:p>
      <w:pPr>
        <w:pStyle w:val="152"/>
        <w:ind w:firstLine="560"/>
        <w:rPr>
          <w:color w:val="000000"/>
          <w:sz w:val="28"/>
          <w:szCs w:val="28"/>
        </w:rPr>
      </w:pPr>
      <w:r>
        <w:rPr>
          <w:rFonts w:hint="eastAsia"/>
          <w:sz w:val="28"/>
          <w:szCs w:val="28"/>
        </w:rPr>
        <w:t>★</w:t>
      </w:r>
      <w:r>
        <w:rPr>
          <w:rFonts w:hint="eastAsia"/>
          <w:color w:val="000000"/>
          <w:sz w:val="28"/>
          <w:szCs w:val="28"/>
        </w:rPr>
        <w:t>（4）秩序维护要求:男性身高不低于170cm，女性身高不低于160cm，具有保安证。</w:t>
      </w:r>
    </w:p>
    <w:p>
      <w:pPr>
        <w:pStyle w:val="152"/>
        <w:ind w:firstLine="560"/>
        <w:rPr>
          <w:rFonts w:ascii="宋体" w:hAnsi="宋体"/>
          <w:color w:val="FF0000"/>
          <w:sz w:val="28"/>
          <w:szCs w:val="28"/>
        </w:rPr>
      </w:pPr>
      <w:r>
        <w:rPr>
          <w:rFonts w:hint="eastAsia" w:ascii="宋体" w:hAnsi="宋体"/>
          <w:color w:val="000000"/>
          <w:sz w:val="28"/>
          <w:szCs w:val="28"/>
        </w:rPr>
        <w:t>（</w:t>
      </w:r>
      <w:r>
        <w:rPr>
          <w:rFonts w:ascii="宋体" w:hAnsi="宋体"/>
          <w:color w:val="000000"/>
          <w:sz w:val="28"/>
          <w:szCs w:val="28"/>
        </w:rPr>
        <w:t>5</w:t>
      </w:r>
      <w:r>
        <w:rPr>
          <w:rFonts w:hint="eastAsia" w:ascii="宋体" w:hAnsi="宋体"/>
          <w:color w:val="000000"/>
          <w:sz w:val="28"/>
          <w:szCs w:val="28"/>
        </w:rPr>
        <w:t>）特殊要</w:t>
      </w:r>
      <w:r>
        <w:rPr>
          <w:rFonts w:hint="eastAsia" w:ascii="宋体" w:hAnsi="宋体"/>
          <w:sz w:val="28"/>
          <w:szCs w:val="28"/>
        </w:rPr>
        <w:t>求:</w:t>
      </w:r>
      <w:r>
        <w:rPr>
          <w:rFonts w:hint="eastAsia"/>
          <w:sz w:val="28"/>
          <w:szCs w:val="28"/>
        </w:rPr>
        <w:t>会务服务人员需满足</w:t>
      </w:r>
      <w:r>
        <w:rPr>
          <w:rFonts w:hint="eastAsia" w:ascii="宋体" w:hAnsi="宋体"/>
          <w:sz w:val="28"/>
          <w:szCs w:val="28"/>
        </w:rPr>
        <w:t>身高1.63米</w:t>
      </w:r>
      <w:r>
        <w:rPr>
          <w:rFonts w:ascii="宋体" w:hAnsi="宋体"/>
          <w:sz w:val="28"/>
          <w:szCs w:val="28"/>
        </w:rPr>
        <w:t>（</w:t>
      </w:r>
      <w:r>
        <w:rPr>
          <w:rFonts w:hint="eastAsia" w:ascii="宋体" w:hAnsi="宋体"/>
          <w:sz w:val="28"/>
          <w:szCs w:val="28"/>
        </w:rPr>
        <w:t>含</w:t>
      </w:r>
      <w:r>
        <w:rPr>
          <w:rFonts w:ascii="宋体" w:hAnsi="宋体"/>
          <w:sz w:val="28"/>
          <w:szCs w:val="28"/>
        </w:rPr>
        <w:t>）</w:t>
      </w:r>
      <w:r>
        <w:rPr>
          <w:rFonts w:hint="eastAsia" w:ascii="宋体" w:hAnsi="宋体"/>
          <w:sz w:val="28"/>
          <w:szCs w:val="28"/>
        </w:rPr>
        <w:t>以上</w:t>
      </w:r>
      <w:r>
        <w:rPr>
          <w:rFonts w:ascii="宋体" w:hAnsi="宋体"/>
          <w:sz w:val="28"/>
          <w:szCs w:val="28"/>
        </w:rPr>
        <w:t>，年龄</w:t>
      </w:r>
      <w:r>
        <w:rPr>
          <w:rFonts w:hint="eastAsia" w:ascii="宋体" w:hAnsi="宋体"/>
          <w:sz w:val="28"/>
          <w:szCs w:val="28"/>
        </w:rPr>
        <w:t>18</w:t>
      </w:r>
      <w:r>
        <w:rPr>
          <w:rFonts w:ascii="宋体" w:hAnsi="宋体"/>
          <w:sz w:val="28"/>
          <w:szCs w:val="28"/>
        </w:rPr>
        <w:t>-35</w:t>
      </w:r>
      <w:r>
        <w:rPr>
          <w:rFonts w:hint="eastAsia" w:ascii="宋体" w:hAnsi="宋体"/>
          <w:sz w:val="28"/>
          <w:szCs w:val="28"/>
        </w:rPr>
        <w:t>周岁</w:t>
      </w:r>
      <w:r>
        <w:rPr>
          <w:rFonts w:ascii="宋体" w:hAnsi="宋体"/>
          <w:sz w:val="28"/>
          <w:szCs w:val="28"/>
        </w:rPr>
        <w:t>的女性，高中（</w:t>
      </w:r>
      <w:r>
        <w:rPr>
          <w:rFonts w:hint="eastAsia" w:ascii="宋体" w:hAnsi="宋体"/>
          <w:sz w:val="28"/>
          <w:szCs w:val="28"/>
        </w:rPr>
        <w:t>含职高</w:t>
      </w:r>
      <w:r>
        <w:rPr>
          <w:rFonts w:ascii="宋体" w:hAnsi="宋体"/>
          <w:sz w:val="28"/>
          <w:szCs w:val="28"/>
        </w:rPr>
        <w:t>）</w:t>
      </w:r>
      <w:r>
        <w:rPr>
          <w:rFonts w:hint="eastAsia" w:ascii="宋体" w:hAnsi="宋体"/>
          <w:sz w:val="28"/>
          <w:szCs w:val="28"/>
        </w:rPr>
        <w:t>及</w:t>
      </w:r>
      <w:r>
        <w:rPr>
          <w:rFonts w:ascii="宋体" w:hAnsi="宋体"/>
          <w:sz w:val="28"/>
          <w:szCs w:val="28"/>
        </w:rPr>
        <w:t>以上文化程度，会普通话，语言表达流畅，形象好，气质佳</w:t>
      </w:r>
      <w:r>
        <w:rPr>
          <w:rFonts w:hint="eastAsia" w:ascii="宋体" w:hAnsi="宋体"/>
          <w:sz w:val="28"/>
          <w:szCs w:val="28"/>
        </w:rPr>
        <w:t>。宿管要求高中以上文化，如有教师资格证或心理咨询师证书，年龄可放宽至6</w:t>
      </w:r>
      <w:r>
        <w:rPr>
          <w:rFonts w:ascii="宋体" w:hAnsi="宋体"/>
          <w:sz w:val="28"/>
          <w:szCs w:val="28"/>
        </w:rPr>
        <w:t>0</w:t>
      </w:r>
      <w:r>
        <w:rPr>
          <w:rFonts w:hint="eastAsia" w:ascii="宋体" w:hAnsi="宋体"/>
          <w:sz w:val="28"/>
          <w:szCs w:val="28"/>
        </w:rPr>
        <w:t>岁。</w:t>
      </w:r>
    </w:p>
    <w:p>
      <w:pPr>
        <w:pStyle w:val="152"/>
        <w:ind w:firstLine="0" w:firstLineChars="0"/>
        <w:rPr>
          <w:b/>
          <w:bCs/>
          <w:sz w:val="28"/>
          <w:szCs w:val="28"/>
        </w:rPr>
      </w:pPr>
      <w:r>
        <w:rPr>
          <w:rFonts w:hint="eastAsia"/>
          <w:b/>
          <w:bCs/>
          <w:sz w:val="28"/>
          <w:szCs w:val="28"/>
        </w:rPr>
        <w:t>2.服务内容:</w:t>
      </w:r>
    </w:p>
    <w:tbl>
      <w:tblPr>
        <w:tblStyle w:val="43"/>
        <w:tblW w:w="84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6"/>
        <w:gridCol w:w="891"/>
        <w:gridCol w:w="6218"/>
        <w:gridCol w:w="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pStyle w:val="152"/>
              <w:spacing w:line="420" w:lineRule="exact"/>
              <w:ind w:firstLine="0" w:firstLineChars="0"/>
              <w:rPr>
                <w:kern w:val="0"/>
                <w:sz w:val="24"/>
              </w:rPr>
            </w:pPr>
            <w:r>
              <w:rPr>
                <w:rFonts w:hint="eastAsia"/>
                <w:kern w:val="0"/>
                <w:sz w:val="24"/>
              </w:rPr>
              <w:t>序</w:t>
            </w:r>
          </w:p>
        </w:tc>
        <w:tc>
          <w:tcPr>
            <w:tcW w:w="891" w:type="dxa"/>
            <w:vAlign w:val="center"/>
          </w:tcPr>
          <w:p>
            <w:pPr>
              <w:pStyle w:val="152"/>
              <w:spacing w:line="420" w:lineRule="exact"/>
              <w:ind w:firstLine="0" w:firstLineChars="0"/>
              <w:rPr>
                <w:kern w:val="0"/>
                <w:sz w:val="24"/>
              </w:rPr>
            </w:pPr>
            <w:r>
              <w:rPr>
                <w:rFonts w:hint="eastAsia"/>
                <w:kern w:val="0"/>
                <w:sz w:val="24"/>
              </w:rPr>
              <w:t>服务</w:t>
            </w:r>
          </w:p>
          <w:p>
            <w:pPr>
              <w:pStyle w:val="152"/>
              <w:spacing w:line="420" w:lineRule="exact"/>
              <w:ind w:firstLine="0" w:firstLineChars="0"/>
              <w:rPr>
                <w:kern w:val="0"/>
                <w:sz w:val="24"/>
              </w:rPr>
            </w:pPr>
            <w:r>
              <w:rPr>
                <w:rFonts w:hint="eastAsia"/>
                <w:kern w:val="0"/>
                <w:sz w:val="24"/>
              </w:rPr>
              <w:t>项目</w:t>
            </w:r>
          </w:p>
        </w:tc>
        <w:tc>
          <w:tcPr>
            <w:tcW w:w="6218" w:type="dxa"/>
            <w:vAlign w:val="center"/>
          </w:tcPr>
          <w:p>
            <w:pPr>
              <w:pStyle w:val="152"/>
              <w:spacing w:line="420" w:lineRule="exact"/>
              <w:ind w:firstLine="2400" w:firstLineChars="1000"/>
              <w:rPr>
                <w:kern w:val="0"/>
                <w:sz w:val="24"/>
              </w:rPr>
            </w:pPr>
            <w:r>
              <w:rPr>
                <w:rFonts w:hint="eastAsia"/>
                <w:kern w:val="0"/>
                <w:sz w:val="24"/>
              </w:rPr>
              <w:t>服务内容和标准</w:t>
            </w:r>
          </w:p>
        </w:tc>
        <w:tc>
          <w:tcPr>
            <w:tcW w:w="800" w:type="dxa"/>
            <w:vAlign w:val="center"/>
          </w:tcPr>
          <w:p>
            <w:pPr>
              <w:pStyle w:val="152"/>
              <w:spacing w:line="420" w:lineRule="exact"/>
              <w:ind w:firstLine="0" w:firstLineChars="0"/>
              <w:rPr>
                <w:kern w:val="0"/>
                <w:sz w:val="24"/>
              </w:rPr>
            </w:pPr>
            <w:r>
              <w:rPr>
                <w:rFonts w:hint="eastAsia"/>
                <w:kern w:val="0"/>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tcPr>
          <w:p>
            <w:pPr>
              <w:pStyle w:val="152"/>
              <w:spacing w:line="420" w:lineRule="exact"/>
              <w:ind w:firstLine="0" w:firstLineChars="0"/>
              <w:rPr>
                <w:kern w:val="0"/>
                <w:sz w:val="24"/>
              </w:rPr>
            </w:pPr>
            <w:r>
              <w:rPr>
                <w:rFonts w:hint="eastAsia"/>
                <w:kern w:val="0"/>
                <w:sz w:val="24"/>
              </w:rPr>
              <w:t>1</w:t>
            </w:r>
          </w:p>
        </w:tc>
        <w:tc>
          <w:tcPr>
            <w:tcW w:w="891" w:type="dxa"/>
            <w:vAlign w:val="center"/>
          </w:tcPr>
          <w:p>
            <w:pPr>
              <w:pStyle w:val="152"/>
              <w:spacing w:line="420" w:lineRule="exact"/>
              <w:ind w:firstLine="0" w:firstLineChars="0"/>
              <w:rPr>
                <w:kern w:val="0"/>
                <w:sz w:val="24"/>
              </w:rPr>
            </w:pPr>
            <w:r>
              <w:rPr>
                <w:rFonts w:hint="eastAsia"/>
                <w:kern w:val="0"/>
                <w:sz w:val="24"/>
              </w:rPr>
              <w:t>秩序维护</w:t>
            </w:r>
          </w:p>
        </w:tc>
        <w:tc>
          <w:tcPr>
            <w:tcW w:w="6218" w:type="dxa"/>
          </w:tcPr>
          <w:p>
            <w:pPr>
              <w:pStyle w:val="152"/>
              <w:spacing w:line="420" w:lineRule="exact"/>
              <w:ind w:firstLine="0" w:firstLineChars="0"/>
              <w:rPr>
                <w:kern w:val="0"/>
                <w:sz w:val="20"/>
                <w:szCs w:val="21"/>
              </w:rPr>
            </w:pPr>
            <w:r>
              <w:rPr>
                <w:rFonts w:hint="eastAsia"/>
                <w:kern w:val="0"/>
                <w:sz w:val="20"/>
                <w:szCs w:val="21"/>
              </w:rPr>
              <w:t>（1）提供学校整个管理区域的秩序维护服务(含门岗服务、巡逻服务、校</w:t>
            </w:r>
            <w:r>
              <w:rPr>
                <w:kern w:val="0"/>
                <w:sz w:val="20"/>
                <w:szCs w:val="21"/>
              </w:rPr>
              <w:t>内</w:t>
            </w:r>
            <w:r>
              <w:rPr>
                <w:rFonts w:hint="eastAsia"/>
                <w:kern w:val="0"/>
                <w:sz w:val="20"/>
                <w:szCs w:val="21"/>
              </w:rPr>
              <w:t>交通安全</w:t>
            </w:r>
            <w:r>
              <w:rPr>
                <w:kern w:val="0"/>
                <w:sz w:val="20"/>
                <w:szCs w:val="21"/>
              </w:rPr>
              <w:t>管理</w:t>
            </w:r>
            <w:r>
              <w:rPr>
                <w:rFonts w:hint="eastAsia"/>
                <w:kern w:val="0"/>
                <w:sz w:val="20"/>
                <w:szCs w:val="21"/>
              </w:rPr>
              <w:t>、消防设施检查、安全维稳等)。</w:t>
            </w:r>
          </w:p>
          <w:p>
            <w:pPr>
              <w:pStyle w:val="152"/>
              <w:spacing w:line="420" w:lineRule="exact"/>
              <w:ind w:firstLine="0" w:firstLineChars="0"/>
              <w:rPr>
                <w:kern w:val="0"/>
                <w:sz w:val="20"/>
                <w:szCs w:val="21"/>
              </w:rPr>
            </w:pPr>
            <w:r>
              <w:rPr>
                <w:rFonts w:hint="eastAsia"/>
                <w:kern w:val="0"/>
                <w:sz w:val="20"/>
                <w:szCs w:val="21"/>
              </w:rPr>
              <w:t>（2）上学放学高峰时期保证有足够数量的秩序维护人员在校门口值班，维护上学放学时校门秩序；教学期间实行封闭式的管理，保证有秩序维护人员在校门口值班，有秩序维护人员在校内配合工作；下班时间和节假日保证有足够秩序维护人员值班，定时巡查校园。物品出门实行凭条核实登记制度，外来人员进出实行核实登记制度（询问、盘查、核实、登记）。</w:t>
            </w:r>
          </w:p>
          <w:p>
            <w:pPr>
              <w:pStyle w:val="152"/>
              <w:spacing w:line="420" w:lineRule="exact"/>
              <w:ind w:firstLine="0" w:firstLineChars="0"/>
              <w:rPr>
                <w:kern w:val="0"/>
                <w:sz w:val="20"/>
                <w:szCs w:val="21"/>
              </w:rPr>
            </w:pPr>
            <w:r>
              <w:rPr>
                <w:rFonts w:hint="eastAsia"/>
                <w:kern w:val="0"/>
                <w:sz w:val="20"/>
                <w:szCs w:val="21"/>
              </w:rPr>
              <w:t>（3）负责报刊、杂志、信件的收发登记工作，校园内（校门口）车辆停放管理工作、门前三包工作。</w:t>
            </w:r>
          </w:p>
          <w:p>
            <w:pPr>
              <w:pStyle w:val="152"/>
              <w:spacing w:line="420" w:lineRule="exact"/>
              <w:ind w:firstLine="0" w:firstLineChars="0"/>
              <w:rPr>
                <w:kern w:val="0"/>
                <w:sz w:val="20"/>
                <w:szCs w:val="21"/>
              </w:rPr>
            </w:pPr>
            <w:r>
              <w:rPr>
                <w:rFonts w:hint="eastAsia"/>
                <w:kern w:val="0"/>
                <w:sz w:val="20"/>
                <w:szCs w:val="21"/>
              </w:rPr>
              <w:t>（4）秩序维护人员24小时值班，编排24小时值班表，所有人员的联系方式交校方一份，以备紧急事件能够联系到。24小时值班不因双休与节假日而中断。</w:t>
            </w:r>
          </w:p>
          <w:p>
            <w:pPr>
              <w:pStyle w:val="152"/>
              <w:spacing w:line="420" w:lineRule="exact"/>
              <w:ind w:firstLine="0" w:firstLineChars="0"/>
              <w:rPr>
                <w:kern w:val="0"/>
                <w:sz w:val="20"/>
                <w:szCs w:val="21"/>
              </w:rPr>
            </w:pPr>
            <w:r>
              <w:rPr>
                <w:rFonts w:hint="eastAsia"/>
                <w:kern w:val="0"/>
                <w:sz w:val="20"/>
                <w:szCs w:val="21"/>
              </w:rPr>
              <w:t>（5）抓好</w:t>
            </w:r>
            <w:r>
              <w:fldChar w:fldCharType="begin"/>
            </w:r>
            <w:r>
              <w:instrText xml:space="preserve"> HYPERLINK "http://www.fdcew.com/wgwd/baxf/Index.html" \t "_blank" </w:instrText>
            </w:r>
            <w:r>
              <w:fldChar w:fldCharType="separate"/>
            </w:r>
            <w:r>
              <w:rPr>
                <w:rFonts w:hint="eastAsia"/>
                <w:kern w:val="0"/>
                <w:sz w:val="20"/>
                <w:szCs w:val="21"/>
              </w:rPr>
              <w:t>消防</w:t>
            </w:r>
            <w:r>
              <w:rPr>
                <w:rFonts w:hint="eastAsia"/>
                <w:kern w:val="0"/>
                <w:sz w:val="20"/>
                <w:szCs w:val="21"/>
              </w:rPr>
              <w:fldChar w:fldCharType="end"/>
            </w:r>
            <w:r>
              <w:rPr>
                <w:rFonts w:hint="eastAsia"/>
                <w:kern w:val="0"/>
                <w:sz w:val="20"/>
                <w:szCs w:val="21"/>
              </w:rPr>
              <w:t>工作，能熟练使-用消防器材，把消防隐患消除在萌芽状态。成立义务消防队，做好师生的防火监督、培训工作，做好消防器材的保养工作，消防器材每天检查记录台帐，消防器材如有故障应及时向学校提出更换或维修。</w:t>
            </w:r>
          </w:p>
          <w:p>
            <w:pPr>
              <w:pStyle w:val="152"/>
              <w:spacing w:line="420" w:lineRule="exact"/>
              <w:ind w:firstLine="0" w:firstLineChars="0"/>
              <w:rPr>
                <w:kern w:val="0"/>
                <w:sz w:val="20"/>
                <w:szCs w:val="21"/>
              </w:rPr>
            </w:pPr>
            <w:r>
              <w:rPr>
                <w:rFonts w:hint="eastAsia"/>
                <w:kern w:val="0"/>
                <w:sz w:val="20"/>
                <w:szCs w:val="21"/>
              </w:rPr>
              <w:t>（6）负责24小时安全巡逻工作，保障学生人身与物品安全，保障校园内公共设施完好，营造良好的治安环境。</w:t>
            </w:r>
          </w:p>
          <w:p>
            <w:pPr>
              <w:pStyle w:val="152"/>
              <w:spacing w:line="420" w:lineRule="exact"/>
              <w:ind w:firstLine="0" w:firstLineChars="0"/>
              <w:rPr>
                <w:kern w:val="0"/>
                <w:sz w:val="20"/>
                <w:szCs w:val="21"/>
              </w:rPr>
            </w:pPr>
            <w:r>
              <w:rPr>
                <w:rFonts w:hint="eastAsia"/>
                <w:kern w:val="0"/>
                <w:sz w:val="20"/>
                <w:szCs w:val="21"/>
              </w:rPr>
              <w:t>（7）开展意见调查，定期（每季度或半年）发放意见调查表，征求学校、职工与学生(家长)的意见，了解对秩序管理的需求，确保能够提供及时、周到、方便的管理服务。</w:t>
            </w:r>
          </w:p>
          <w:p>
            <w:pPr>
              <w:pStyle w:val="152"/>
              <w:spacing w:line="420" w:lineRule="exact"/>
              <w:ind w:firstLine="0" w:firstLineChars="0"/>
              <w:rPr>
                <w:kern w:val="0"/>
                <w:sz w:val="20"/>
                <w:szCs w:val="21"/>
              </w:rPr>
            </w:pPr>
            <w:r>
              <w:rPr>
                <w:rFonts w:hint="eastAsia"/>
                <w:kern w:val="0"/>
                <w:sz w:val="20"/>
                <w:szCs w:val="21"/>
              </w:rPr>
              <w:t>（8）定期开展体能训练、警用器械使用技能培训，增强处理突发事件、治安应急处理能力。</w:t>
            </w:r>
          </w:p>
          <w:p>
            <w:pPr>
              <w:pStyle w:val="152"/>
              <w:spacing w:line="420" w:lineRule="exact"/>
              <w:ind w:firstLine="0" w:firstLineChars="0"/>
              <w:rPr>
                <w:kern w:val="0"/>
                <w:sz w:val="20"/>
                <w:szCs w:val="21"/>
              </w:rPr>
            </w:pPr>
            <w:r>
              <w:rPr>
                <w:rFonts w:hint="eastAsia"/>
                <w:kern w:val="0"/>
                <w:sz w:val="20"/>
                <w:szCs w:val="21"/>
              </w:rPr>
              <w:t>（9）在完成本职工作的前提下，参与校内安全岗监护，协助校方处理临时事务。协助社区、街道做好综合治理工作。</w:t>
            </w:r>
          </w:p>
          <w:p>
            <w:pPr>
              <w:pStyle w:val="152"/>
              <w:spacing w:line="420" w:lineRule="exact"/>
              <w:ind w:firstLine="0" w:firstLineChars="0"/>
              <w:rPr>
                <w:kern w:val="0"/>
                <w:sz w:val="20"/>
                <w:szCs w:val="21"/>
              </w:rPr>
            </w:pPr>
            <w:r>
              <w:rPr>
                <w:rFonts w:hint="eastAsia"/>
                <w:kern w:val="0"/>
                <w:sz w:val="20"/>
                <w:szCs w:val="21"/>
              </w:rPr>
              <w:t>（</w:t>
            </w:r>
            <w:r>
              <w:rPr>
                <w:kern w:val="0"/>
                <w:sz w:val="20"/>
                <w:szCs w:val="21"/>
              </w:rPr>
              <w:t>10</w:t>
            </w:r>
            <w:r>
              <w:rPr>
                <w:rFonts w:hint="eastAsia"/>
                <w:kern w:val="0"/>
                <w:sz w:val="20"/>
                <w:szCs w:val="21"/>
              </w:rPr>
              <w:t>）疫情期间，对进入校内人员按要求进行研究测温、扫码、登记等。</w:t>
            </w:r>
          </w:p>
          <w:p>
            <w:pPr>
              <w:pStyle w:val="152"/>
              <w:spacing w:line="420" w:lineRule="exact"/>
              <w:ind w:firstLine="0" w:firstLineChars="0"/>
              <w:rPr>
                <w:color w:val="FF0000"/>
                <w:kern w:val="0"/>
                <w:sz w:val="20"/>
                <w:szCs w:val="21"/>
              </w:rPr>
            </w:pPr>
            <w:r>
              <w:rPr>
                <w:kern w:val="0"/>
                <w:sz w:val="20"/>
                <w:szCs w:val="21"/>
              </w:rPr>
              <w:t>（</w:t>
            </w:r>
            <w:r>
              <w:rPr>
                <w:rFonts w:hint="eastAsia"/>
                <w:kern w:val="0"/>
                <w:sz w:val="20"/>
                <w:szCs w:val="21"/>
              </w:rPr>
              <w:t>1</w:t>
            </w:r>
            <w:r>
              <w:rPr>
                <w:kern w:val="0"/>
                <w:sz w:val="20"/>
                <w:szCs w:val="21"/>
              </w:rPr>
              <w:t>1）接受学校对临时工作的安排，如大型活动保障，大型考试保障，会场布置、桌椅调配位置等临时工作</w:t>
            </w:r>
            <w:r>
              <w:rPr>
                <w:rFonts w:hint="eastAsia"/>
                <w:kern w:val="0"/>
                <w:sz w:val="20"/>
                <w:szCs w:val="21"/>
              </w:rPr>
              <w:t>。</w:t>
            </w:r>
          </w:p>
        </w:tc>
        <w:tc>
          <w:tcPr>
            <w:tcW w:w="800" w:type="dxa"/>
          </w:tcPr>
          <w:p>
            <w:pPr>
              <w:pStyle w:val="152"/>
              <w:spacing w:line="420" w:lineRule="exact"/>
              <w:ind w:firstLine="400"/>
              <w:rPr>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tcPr>
          <w:p>
            <w:pPr>
              <w:pStyle w:val="152"/>
              <w:spacing w:line="420" w:lineRule="exact"/>
              <w:ind w:firstLine="0" w:firstLineChars="0"/>
              <w:rPr>
                <w:kern w:val="0"/>
                <w:sz w:val="24"/>
              </w:rPr>
            </w:pPr>
            <w:r>
              <w:rPr>
                <w:rFonts w:hint="eastAsia"/>
                <w:kern w:val="0"/>
                <w:sz w:val="24"/>
              </w:rPr>
              <w:t>2</w:t>
            </w:r>
          </w:p>
        </w:tc>
        <w:tc>
          <w:tcPr>
            <w:tcW w:w="891" w:type="dxa"/>
            <w:vAlign w:val="center"/>
          </w:tcPr>
          <w:p>
            <w:pPr>
              <w:pStyle w:val="152"/>
              <w:spacing w:line="420" w:lineRule="exact"/>
              <w:ind w:firstLine="0" w:firstLineChars="0"/>
              <w:rPr>
                <w:kern w:val="0"/>
                <w:sz w:val="24"/>
              </w:rPr>
            </w:pPr>
          </w:p>
          <w:p>
            <w:pPr>
              <w:pStyle w:val="152"/>
              <w:spacing w:line="420" w:lineRule="exact"/>
              <w:ind w:firstLine="0" w:firstLineChars="0"/>
              <w:rPr>
                <w:kern w:val="0"/>
                <w:sz w:val="24"/>
              </w:rPr>
            </w:pPr>
          </w:p>
          <w:p>
            <w:pPr>
              <w:pStyle w:val="152"/>
              <w:spacing w:line="420" w:lineRule="exact"/>
              <w:ind w:firstLine="0" w:firstLineChars="0"/>
              <w:rPr>
                <w:kern w:val="0"/>
                <w:sz w:val="24"/>
              </w:rPr>
            </w:pPr>
          </w:p>
          <w:p>
            <w:pPr>
              <w:pStyle w:val="152"/>
              <w:spacing w:line="420" w:lineRule="exact"/>
              <w:ind w:firstLine="0" w:firstLineChars="0"/>
              <w:rPr>
                <w:kern w:val="0"/>
                <w:sz w:val="24"/>
              </w:rPr>
            </w:pPr>
          </w:p>
          <w:p>
            <w:pPr>
              <w:pStyle w:val="152"/>
              <w:spacing w:line="420" w:lineRule="exact"/>
              <w:ind w:firstLine="0" w:firstLineChars="0"/>
              <w:rPr>
                <w:kern w:val="0"/>
                <w:sz w:val="24"/>
              </w:rPr>
            </w:pPr>
          </w:p>
          <w:p>
            <w:pPr>
              <w:pStyle w:val="152"/>
              <w:spacing w:line="420" w:lineRule="exact"/>
              <w:ind w:firstLine="0" w:firstLineChars="0"/>
              <w:rPr>
                <w:kern w:val="0"/>
                <w:sz w:val="24"/>
              </w:rPr>
            </w:pPr>
          </w:p>
          <w:p>
            <w:pPr>
              <w:pStyle w:val="152"/>
              <w:spacing w:line="420" w:lineRule="exact"/>
              <w:ind w:firstLine="0" w:firstLineChars="0"/>
              <w:rPr>
                <w:kern w:val="0"/>
                <w:sz w:val="24"/>
              </w:rPr>
            </w:pPr>
          </w:p>
          <w:p>
            <w:pPr>
              <w:pStyle w:val="152"/>
              <w:spacing w:line="420" w:lineRule="exact"/>
              <w:ind w:firstLine="0" w:firstLineChars="0"/>
              <w:rPr>
                <w:kern w:val="0"/>
                <w:sz w:val="24"/>
              </w:rPr>
            </w:pPr>
          </w:p>
          <w:p>
            <w:pPr>
              <w:pStyle w:val="152"/>
              <w:spacing w:line="420" w:lineRule="exact"/>
              <w:ind w:firstLine="0" w:firstLineChars="0"/>
              <w:rPr>
                <w:kern w:val="0"/>
                <w:sz w:val="24"/>
              </w:rPr>
            </w:pPr>
            <w:r>
              <w:rPr>
                <w:rFonts w:hint="eastAsia"/>
                <w:kern w:val="0"/>
                <w:sz w:val="24"/>
              </w:rPr>
              <w:t>环境</w:t>
            </w:r>
          </w:p>
          <w:p>
            <w:pPr>
              <w:pStyle w:val="152"/>
              <w:spacing w:line="420" w:lineRule="exact"/>
              <w:ind w:firstLine="0" w:firstLineChars="0"/>
              <w:rPr>
                <w:kern w:val="0"/>
                <w:sz w:val="24"/>
              </w:rPr>
            </w:pPr>
            <w:r>
              <w:rPr>
                <w:rFonts w:hint="eastAsia"/>
                <w:kern w:val="0"/>
                <w:sz w:val="24"/>
              </w:rPr>
              <w:t>保洁</w:t>
            </w:r>
          </w:p>
        </w:tc>
        <w:tc>
          <w:tcPr>
            <w:tcW w:w="6218" w:type="dxa"/>
          </w:tcPr>
          <w:p>
            <w:pPr>
              <w:pStyle w:val="152"/>
              <w:spacing w:line="420" w:lineRule="exact"/>
              <w:ind w:firstLine="0" w:firstLineChars="0"/>
              <w:rPr>
                <w:kern w:val="0"/>
                <w:sz w:val="20"/>
                <w:szCs w:val="21"/>
              </w:rPr>
            </w:pPr>
            <w:r>
              <w:rPr>
                <w:rFonts w:hint="eastAsia"/>
                <w:kern w:val="0"/>
                <w:sz w:val="20"/>
                <w:szCs w:val="21"/>
              </w:rPr>
              <w:t>（</w:t>
            </w:r>
            <w:r>
              <w:rPr>
                <w:kern w:val="0"/>
                <w:sz w:val="20"/>
                <w:szCs w:val="21"/>
              </w:rPr>
              <w:t>1</w:t>
            </w:r>
            <w:r>
              <w:rPr>
                <w:rFonts w:hint="eastAsia"/>
                <w:kern w:val="0"/>
                <w:sz w:val="20"/>
                <w:szCs w:val="21"/>
              </w:rPr>
              <w:t>）实行零干扰清洁卫生服务，上课后再进行清扫，做好每天清扫台帐。</w:t>
            </w:r>
          </w:p>
          <w:p>
            <w:pPr>
              <w:pStyle w:val="152"/>
              <w:spacing w:line="420" w:lineRule="exact"/>
              <w:ind w:firstLine="0" w:firstLineChars="0"/>
              <w:rPr>
                <w:kern w:val="0"/>
                <w:sz w:val="20"/>
                <w:szCs w:val="21"/>
              </w:rPr>
            </w:pPr>
            <w:r>
              <w:rPr>
                <w:rFonts w:hint="eastAsia"/>
                <w:kern w:val="0"/>
                <w:sz w:val="20"/>
                <w:szCs w:val="21"/>
              </w:rPr>
              <w:t>（</w:t>
            </w:r>
            <w:r>
              <w:rPr>
                <w:kern w:val="0"/>
                <w:sz w:val="20"/>
                <w:szCs w:val="21"/>
              </w:rPr>
              <w:t>2</w:t>
            </w:r>
            <w:r>
              <w:rPr>
                <w:rFonts w:hint="eastAsia"/>
                <w:kern w:val="0"/>
                <w:sz w:val="20"/>
                <w:szCs w:val="21"/>
              </w:rPr>
              <w:t>）校(园)区内总</w:t>
            </w:r>
            <w:r>
              <w:rPr>
                <w:kern w:val="0"/>
                <w:sz w:val="20"/>
                <w:szCs w:val="21"/>
              </w:rPr>
              <w:t>坪、</w:t>
            </w:r>
            <w:r>
              <w:rPr>
                <w:rFonts w:hint="eastAsia"/>
                <w:kern w:val="0"/>
                <w:sz w:val="20"/>
                <w:szCs w:val="21"/>
              </w:rPr>
              <w:t>地面道路、非机动车场：每天全面清扫两遍，早上按学校规定时间上课以前完成全面清扫一次，重点清洗花台栏杆、路灯灯柱、外围窗台，下午按学校要求时间进行全面清扫一次，其他时段巡回保洁和清运垃圾。</w:t>
            </w:r>
          </w:p>
          <w:p>
            <w:pPr>
              <w:pStyle w:val="152"/>
              <w:spacing w:line="420" w:lineRule="exact"/>
              <w:ind w:firstLine="0" w:firstLineChars="0"/>
              <w:rPr>
                <w:kern w:val="0"/>
                <w:sz w:val="20"/>
                <w:szCs w:val="21"/>
              </w:rPr>
            </w:pPr>
            <w:r>
              <w:rPr>
                <w:rFonts w:hint="eastAsia"/>
                <w:kern w:val="0"/>
                <w:sz w:val="20"/>
                <w:szCs w:val="21"/>
              </w:rPr>
              <w:t>（</w:t>
            </w:r>
            <w:r>
              <w:rPr>
                <w:kern w:val="0"/>
                <w:sz w:val="20"/>
                <w:szCs w:val="21"/>
              </w:rPr>
              <w:t>3</w:t>
            </w:r>
            <w:r>
              <w:rPr>
                <w:rFonts w:hint="eastAsia"/>
                <w:kern w:val="0"/>
                <w:sz w:val="20"/>
                <w:szCs w:val="21"/>
              </w:rPr>
              <w:t>）楼道、梯步及公共场所（包含学生饮水机消杀）：早上按学校规定时间完成公共区域全面清扫一次，重点清扫楼道、擦抹楼梯扶手等，做好巡回保洁，下午按学校要求时间完成全面清扫一次，其他时段做好巡回保洁、清运垃圾，做好每天清扫消杀记录台帐。</w:t>
            </w:r>
          </w:p>
          <w:p>
            <w:pPr>
              <w:pStyle w:val="152"/>
              <w:spacing w:line="420" w:lineRule="exact"/>
              <w:ind w:firstLine="0" w:firstLineChars="0"/>
              <w:rPr>
                <w:kern w:val="0"/>
                <w:sz w:val="20"/>
                <w:szCs w:val="21"/>
              </w:rPr>
            </w:pPr>
            <w:r>
              <w:rPr>
                <w:rFonts w:hint="eastAsia"/>
                <w:kern w:val="0"/>
                <w:sz w:val="20"/>
                <w:szCs w:val="21"/>
              </w:rPr>
              <w:t>（4）卫生间：每天定时保洁不少于3次；按学校规定时间早上上课以前完成清洁一次，中午完成一次，下午按学校要求清洁一次、清运垃圾，其余时间不定时巡回保洁。卫生间要定期施放空气清新剂（清洁球），保持卫生间无异味，做好每天厕所清扫消杀台帐。</w:t>
            </w:r>
          </w:p>
          <w:p>
            <w:pPr>
              <w:pStyle w:val="152"/>
              <w:spacing w:line="420" w:lineRule="exact"/>
              <w:ind w:firstLine="0" w:firstLineChars="0"/>
              <w:rPr>
                <w:kern w:val="0"/>
                <w:sz w:val="20"/>
                <w:szCs w:val="21"/>
              </w:rPr>
            </w:pPr>
            <w:r>
              <w:rPr>
                <w:rFonts w:hint="eastAsia"/>
                <w:kern w:val="0"/>
                <w:sz w:val="20"/>
                <w:szCs w:val="21"/>
              </w:rPr>
              <w:t>（</w:t>
            </w:r>
            <w:r>
              <w:rPr>
                <w:kern w:val="0"/>
                <w:sz w:val="20"/>
                <w:szCs w:val="21"/>
              </w:rPr>
              <w:t>5</w:t>
            </w:r>
            <w:r>
              <w:rPr>
                <w:rFonts w:hint="eastAsia"/>
                <w:kern w:val="0"/>
                <w:sz w:val="20"/>
                <w:szCs w:val="21"/>
              </w:rPr>
              <w:t>）操场：早上按学校规定时间完成操场全面清扫一次，下按学校要求完成全面清扫一次，其他时段做好巡回保洁。</w:t>
            </w:r>
          </w:p>
          <w:p>
            <w:pPr>
              <w:pStyle w:val="152"/>
              <w:spacing w:line="420" w:lineRule="exact"/>
              <w:ind w:firstLine="0" w:firstLineChars="0"/>
              <w:rPr>
                <w:kern w:val="0"/>
                <w:sz w:val="20"/>
                <w:szCs w:val="21"/>
              </w:rPr>
            </w:pPr>
            <w:r>
              <w:rPr>
                <w:rFonts w:hint="eastAsia"/>
                <w:kern w:val="0"/>
                <w:sz w:val="20"/>
                <w:szCs w:val="21"/>
              </w:rPr>
              <w:t>（</w:t>
            </w:r>
            <w:r>
              <w:rPr>
                <w:kern w:val="0"/>
                <w:sz w:val="20"/>
                <w:szCs w:val="21"/>
              </w:rPr>
              <w:t>6</w:t>
            </w:r>
            <w:r>
              <w:rPr>
                <w:rFonts w:hint="eastAsia"/>
                <w:kern w:val="0"/>
                <w:sz w:val="20"/>
                <w:szCs w:val="21"/>
              </w:rPr>
              <w:t>）学校领导办公室：负责上班前的整体办公室清洁，下班后的整体清洁，平时特殊情况的临时清洁，做到零干扰服务。</w:t>
            </w:r>
          </w:p>
          <w:p>
            <w:pPr>
              <w:pStyle w:val="152"/>
              <w:spacing w:line="420" w:lineRule="exact"/>
              <w:ind w:firstLine="0" w:firstLineChars="0"/>
              <w:rPr>
                <w:kern w:val="0"/>
                <w:sz w:val="20"/>
                <w:szCs w:val="21"/>
              </w:rPr>
            </w:pPr>
            <w:r>
              <w:rPr>
                <w:rFonts w:hint="eastAsia"/>
                <w:kern w:val="0"/>
                <w:sz w:val="20"/>
                <w:szCs w:val="21"/>
              </w:rPr>
              <w:t>（</w:t>
            </w:r>
            <w:r>
              <w:rPr>
                <w:kern w:val="0"/>
                <w:sz w:val="20"/>
                <w:szCs w:val="21"/>
              </w:rPr>
              <w:t>7</w:t>
            </w:r>
            <w:r>
              <w:rPr>
                <w:rFonts w:hint="eastAsia"/>
                <w:kern w:val="0"/>
                <w:sz w:val="20"/>
                <w:szCs w:val="21"/>
              </w:rPr>
              <w:t>）其他公共区域（包括公用教室、</w:t>
            </w:r>
            <w:r>
              <w:rPr>
                <w:kern w:val="0"/>
                <w:sz w:val="20"/>
                <w:szCs w:val="21"/>
              </w:rPr>
              <w:t>会议室</w:t>
            </w:r>
            <w:r>
              <w:rPr>
                <w:rFonts w:hint="eastAsia"/>
                <w:kern w:val="0"/>
                <w:sz w:val="20"/>
                <w:szCs w:val="21"/>
              </w:rPr>
              <w:t>）：每天计划卫生完成后对门框、窗台、消防栓、指示牌、通风井格栏、垃圾桶的清洁工作不少于</w:t>
            </w:r>
            <w:r>
              <w:rPr>
                <w:kern w:val="0"/>
                <w:sz w:val="20"/>
                <w:szCs w:val="21"/>
              </w:rPr>
              <w:t>1</w:t>
            </w:r>
            <w:r>
              <w:rPr>
                <w:rFonts w:hint="eastAsia"/>
                <w:kern w:val="0"/>
                <w:sz w:val="20"/>
                <w:szCs w:val="21"/>
              </w:rPr>
              <w:t>次。</w:t>
            </w:r>
          </w:p>
          <w:p>
            <w:pPr>
              <w:pStyle w:val="152"/>
              <w:spacing w:line="420" w:lineRule="exact"/>
              <w:ind w:firstLine="0" w:firstLineChars="0"/>
              <w:rPr>
                <w:kern w:val="0"/>
                <w:sz w:val="20"/>
                <w:szCs w:val="21"/>
              </w:rPr>
            </w:pPr>
            <w:r>
              <w:rPr>
                <w:rFonts w:hint="eastAsia"/>
                <w:kern w:val="0"/>
                <w:sz w:val="20"/>
                <w:szCs w:val="21"/>
              </w:rPr>
              <w:t>（</w:t>
            </w:r>
            <w:r>
              <w:rPr>
                <w:kern w:val="0"/>
                <w:sz w:val="20"/>
                <w:szCs w:val="21"/>
              </w:rPr>
              <w:t>8</w:t>
            </w:r>
            <w:r>
              <w:rPr>
                <w:rFonts w:hint="eastAsia"/>
                <w:kern w:val="0"/>
                <w:sz w:val="20"/>
                <w:szCs w:val="21"/>
              </w:rPr>
              <w:t>）垃圾的清倒：垃圾清运应做到日产日清，交垃圾放置在校内指定区域。</w:t>
            </w:r>
          </w:p>
          <w:p>
            <w:pPr>
              <w:pStyle w:val="152"/>
              <w:spacing w:line="420" w:lineRule="exact"/>
              <w:ind w:firstLine="0" w:firstLineChars="0"/>
              <w:rPr>
                <w:kern w:val="0"/>
                <w:sz w:val="20"/>
                <w:szCs w:val="21"/>
              </w:rPr>
            </w:pPr>
            <w:r>
              <w:rPr>
                <w:rFonts w:hint="eastAsia"/>
                <w:kern w:val="0"/>
                <w:sz w:val="20"/>
                <w:szCs w:val="21"/>
              </w:rPr>
              <w:t>（</w:t>
            </w:r>
            <w:r>
              <w:rPr>
                <w:kern w:val="0"/>
                <w:sz w:val="20"/>
                <w:szCs w:val="21"/>
              </w:rPr>
              <w:t>9</w:t>
            </w:r>
            <w:r>
              <w:rPr>
                <w:rFonts w:hint="eastAsia"/>
                <w:kern w:val="0"/>
                <w:sz w:val="20"/>
                <w:szCs w:val="21"/>
              </w:rPr>
              <w:t>）每年在雨季前对化粪池、雨污排水管进行一次疏淘。根据实际情况定期进行消毒和灭虫除害。</w:t>
            </w:r>
          </w:p>
          <w:p>
            <w:pPr>
              <w:spacing w:line="400" w:lineRule="atLeast"/>
              <w:rPr>
                <w:kern w:val="0"/>
                <w:sz w:val="20"/>
                <w:szCs w:val="21"/>
              </w:rPr>
            </w:pPr>
            <w:r>
              <w:rPr>
                <w:rFonts w:hint="eastAsia"/>
                <w:kern w:val="0"/>
                <w:sz w:val="20"/>
                <w:szCs w:val="21"/>
              </w:rPr>
              <w:t>（</w:t>
            </w:r>
            <w:r>
              <w:rPr>
                <w:kern w:val="0"/>
                <w:sz w:val="20"/>
                <w:szCs w:val="21"/>
              </w:rPr>
              <w:t>10</w:t>
            </w:r>
            <w:r>
              <w:rPr>
                <w:rFonts w:hint="eastAsia"/>
                <w:kern w:val="0"/>
                <w:sz w:val="20"/>
                <w:szCs w:val="21"/>
              </w:rPr>
              <w:t>）按学校要求定期对校园路面进行冲刷清洗，寒暑假期间所有窗帘各清洗一次，寒暑假期间对教室、功能室、办公室等室内所有灯、电风扇、门窗玻璃各擦拭一次。</w:t>
            </w:r>
          </w:p>
          <w:p>
            <w:pPr>
              <w:pStyle w:val="152"/>
              <w:spacing w:line="420" w:lineRule="exact"/>
              <w:ind w:firstLine="0" w:firstLineChars="0"/>
              <w:rPr>
                <w:kern w:val="0"/>
                <w:sz w:val="20"/>
                <w:szCs w:val="21"/>
              </w:rPr>
            </w:pPr>
            <w:r>
              <w:rPr>
                <w:rFonts w:hint="eastAsia"/>
                <w:kern w:val="0"/>
                <w:sz w:val="20"/>
                <w:szCs w:val="21"/>
              </w:rPr>
              <w:t>（</w:t>
            </w:r>
            <w:r>
              <w:rPr>
                <w:kern w:val="0"/>
                <w:sz w:val="20"/>
                <w:szCs w:val="21"/>
              </w:rPr>
              <w:t>11</w:t>
            </w:r>
            <w:r>
              <w:rPr>
                <w:rFonts w:hint="eastAsia"/>
                <w:kern w:val="0"/>
                <w:sz w:val="20"/>
                <w:szCs w:val="21"/>
              </w:rPr>
              <w:t>）疫情期间，按照学校要求进行重点部位或场所的消毒清洗。</w:t>
            </w:r>
          </w:p>
          <w:p>
            <w:pPr>
              <w:pStyle w:val="152"/>
              <w:spacing w:line="420" w:lineRule="exact"/>
              <w:ind w:firstLine="0" w:firstLineChars="0"/>
              <w:rPr>
                <w:kern w:val="0"/>
                <w:sz w:val="20"/>
                <w:szCs w:val="21"/>
              </w:rPr>
            </w:pPr>
            <w:r>
              <w:rPr>
                <w:rFonts w:hint="eastAsia"/>
                <w:kern w:val="0"/>
                <w:sz w:val="20"/>
                <w:szCs w:val="21"/>
              </w:rPr>
              <w:t>（</w:t>
            </w:r>
            <w:r>
              <w:rPr>
                <w:kern w:val="0"/>
                <w:sz w:val="20"/>
                <w:szCs w:val="21"/>
              </w:rPr>
              <w:t>12</w:t>
            </w:r>
            <w:r>
              <w:rPr>
                <w:rFonts w:hint="eastAsia"/>
                <w:kern w:val="0"/>
                <w:sz w:val="20"/>
                <w:szCs w:val="21"/>
              </w:rPr>
              <w:t>）</w:t>
            </w:r>
            <w:r>
              <w:rPr>
                <w:kern w:val="0"/>
                <w:sz w:val="20"/>
                <w:szCs w:val="21"/>
              </w:rPr>
              <w:t>接受学校对临时工作的安排，如大型活动保障，大型考试保障，会场布置、桌椅调配位置等临时工作</w:t>
            </w:r>
            <w:r>
              <w:rPr>
                <w:rFonts w:hint="eastAsia"/>
                <w:kern w:val="0"/>
                <w:sz w:val="20"/>
                <w:szCs w:val="21"/>
              </w:rPr>
              <w:t>。</w:t>
            </w:r>
          </w:p>
        </w:tc>
        <w:tc>
          <w:tcPr>
            <w:tcW w:w="800" w:type="dxa"/>
          </w:tcPr>
          <w:p>
            <w:pPr>
              <w:pStyle w:val="152"/>
              <w:spacing w:line="420" w:lineRule="exact"/>
              <w:ind w:firstLine="480"/>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tcPr>
          <w:p>
            <w:pPr>
              <w:pStyle w:val="152"/>
              <w:spacing w:line="420" w:lineRule="exact"/>
              <w:ind w:firstLine="0" w:firstLineChars="0"/>
              <w:rPr>
                <w:kern w:val="0"/>
                <w:sz w:val="24"/>
              </w:rPr>
            </w:pPr>
            <w:r>
              <w:rPr>
                <w:rFonts w:hint="eastAsia"/>
                <w:kern w:val="0"/>
                <w:sz w:val="24"/>
              </w:rPr>
              <w:t>3</w:t>
            </w:r>
          </w:p>
        </w:tc>
        <w:tc>
          <w:tcPr>
            <w:tcW w:w="891" w:type="dxa"/>
            <w:vAlign w:val="center"/>
          </w:tcPr>
          <w:p>
            <w:pPr>
              <w:pStyle w:val="152"/>
              <w:spacing w:line="420" w:lineRule="exact"/>
              <w:ind w:firstLine="0" w:firstLineChars="0"/>
              <w:rPr>
                <w:kern w:val="0"/>
                <w:sz w:val="24"/>
              </w:rPr>
            </w:pPr>
            <w:r>
              <w:rPr>
                <w:rFonts w:hint="eastAsia"/>
                <w:kern w:val="0"/>
                <w:sz w:val="24"/>
              </w:rPr>
              <w:t>会务</w:t>
            </w:r>
          </w:p>
          <w:p>
            <w:pPr>
              <w:pStyle w:val="152"/>
              <w:spacing w:line="420" w:lineRule="exact"/>
              <w:ind w:firstLine="0" w:firstLineChars="0"/>
              <w:rPr>
                <w:kern w:val="0"/>
                <w:sz w:val="24"/>
              </w:rPr>
            </w:pPr>
            <w:r>
              <w:rPr>
                <w:rFonts w:hint="eastAsia"/>
                <w:kern w:val="0"/>
                <w:sz w:val="24"/>
              </w:rPr>
              <w:t>服务</w:t>
            </w:r>
          </w:p>
        </w:tc>
        <w:tc>
          <w:tcPr>
            <w:tcW w:w="6218" w:type="dxa"/>
          </w:tcPr>
          <w:p>
            <w:pPr>
              <w:pStyle w:val="152"/>
              <w:spacing w:line="420" w:lineRule="exact"/>
              <w:ind w:firstLine="0" w:firstLineChars="0"/>
              <w:rPr>
                <w:kern w:val="0"/>
                <w:sz w:val="20"/>
                <w:szCs w:val="21"/>
              </w:rPr>
            </w:pPr>
            <w:r>
              <w:rPr>
                <w:rFonts w:hint="eastAsia"/>
                <w:kern w:val="0"/>
                <w:sz w:val="20"/>
                <w:szCs w:val="21"/>
              </w:rPr>
              <w:t>（</w:t>
            </w:r>
            <w:r>
              <w:rPr>
                <w:kern w:val="0"/>
                <w:sz w:val="20"/>
                <w:szCs w:val="21"/>
              </w:rPr>
              <w:t>1</w:t>
            </w:r>
            <w:r>
              <w:rPr>
                <w:rFonts w:hint="eastAsia"/>
                <w:kern w:val="0"/>
                <w:sz w:val="20"/>
                <w:szCs w:val="21"/>
              </w:rPr>
              <w:t>）</w:t>
            </w:r>
            <w:r>
              <w:rPr>
                <w:kern w:val="0"/>
                <w:sz w:val="20"/>
                <w:szCs w:val="21"/>
              </w:rPr>
              <w:t>负责做好会议的安排准备工作</w:t>
            </w:r>
            <w:r>
              <w:rPr>
                <w:rFonts w:hint="eastAsia"/>
                <w:kern w:val="0"/>
                <w:sz w:val="20"/>
                <w:szCs w:val="21"/>
              </w:rPr>
              <w:t>，包括会场布置、资料和茶水准备</w:t>
            </w:r>
            <w:r>
              <w:rPr>
                <w:kern w:val="0"/>
                <w:sz w:val="20"/>
                <w:szCs w:val="21"/>
              </w:rPr>
              <w:t>；</w:t>
            </w:r>
          </w:p>
          <w:p>
            <w:pPr>
              <w:pStyle w:val="152"/>
              <w:spacing w:line="420" w:lineRule="exact"/>
              <w:ind w:firstLine="0" w:firstLineChars="0"/>
              <w:rPr>
                <w:kern w:val="0"/>
                <w:sz w:val="20"/>
                <w:szCs w:val="21"/>
              </w:rPr>
            </w:pPr>
            <w:r>
              <w:rPr>
                <w:rFonts w:hint="eastAsia"/>
                <w:kern w:val="0"/>
                <w:sz w:val="20"/>
                <w:szCs w:val="21"/>
              </w:rPr>
              <w:t>（</w:t>
            </w:r>
            <w:r>
              <w:rPr>
                <w:kern w:val="0"/>
                <w:sz w:val="20"/>
                <w:szCs w:val="21"/>
              </w:rPr>
              <w:t>2</w:t>
            </w:r>
            <w:r>
              <w:rPr>
                <w:rFonts w:hint="eastAsia"/>
                <w:kern w:val="0"/>
                <w:sz w:val="20"/>
                <w:szCs w:val="21"/>
              </w:rPr>
              <w:t>）</w:t>
            </w:r>
            <w:r>
              <w:rPr>
                <w:kern w:val="0"/>
                <w:sz w:val="20"/>
                <w:szCs w:val="21"/>
              </w:rPr>
              <w:t>负责各项会议接待任务</w:t>
            </w:r>
            <w:r>
              <w:rPr>
                <w:rFonts w:hint="eastAsia"/>
                <w:kern w:val="0"/>
                <w:sz w:val="20"/>
                <w:szCs w:val="21"/>
              </w:rPr>
              <w:t>，</w:t>
            </w:r>
            <w:r>
              <w:rPr>
                <w:kern w:val="0"/>
                <w:sz w:val="20"/>
                <w:szCs w:val="21"/>
              </w:rPr>
              <w:t>会议</w:t>
            </w:r>
            <w:r>
              <w:rPr>
                <w:rFonts w:hint="eastAsia"/>
                <w:kern w:val="0"/>
                <w:sz w:val="20"/>
                <w:szCs w:val="21"/>
              </w:rPr>
              <w:t>期间</w:t>
            </w:r>
            <w:r>
              <w:rPr>
                <w:kern w:val="0"/>
                <w:sz w:val="20"/>
                <w:szCs w:val="21"/>
              </w:rPr>
              <w:t>服务工作；</w:t>
            </w:r>
          </w:p>
          <w:p>
            <w:pPr>
              <w:pStyle w:val="152"/>
              <w:spacing w:line="420" w:lineRule="exact"/>
              <w:ind w:firstLine="0" w:firstLineChars="0"/>
              <w:rPr>
                <w:kern w:val="0"/>
                <w:sz w:val="20"/>
                <w:szCs w:val="21"/>
              </w:rPr>
            </w:pPr>
            <w:r>
              <w:rPr>
                <w:rFonts w:hint="eastAsia"/>
                <w:kern w:val="0"/>
                <w:sz w:val="20"/>
                <w:szCs w:val="21"/>
              </w:rPr>
              <w:t>（</w:t>
            </w:r>
            <w:r>
              <w:rPr>
                <w:kern w:val="0"/>
                <w:sz w:val="20"/>
                <w:szCs w:val="21"/>
              </w:rPr>
              <w:t>3</w:t>
            </w:r>
            <w:r>
              <w:rPr>
                <w:rFonts w:hint="eastAsia"/>
                <w:kern w:val="0"/>
                <w:sz w:val="20"/>
                <w:szCs w:val="21"/>
              </w:rPr>
              <w:t>）</w:t>
            </w:r>
            <w:r>
              <w:rPr>
                <w:kern w:val="0"/>
                <w:sz w:val="20"/>
                <w:szCs w:val="21"/>
              </w:rPr>
              <w:t>负责单位来客的接待工作；</w:t>
            </w:r>
          </w:p>
          <w:p>
            <w:pPr>
              <w:pStyle w:val="152"/>
              <w:spacing w:line="420" w:lineRule="exact"/>
              <w:ind w:firstLine="0" w:firstLineChars="0"/>
              <w:rPr>
                <w:kern w:val="0"/>
                <w:sz w:val="20"/>
                <w:szCs w:val="21"/>
              </w:rPr>
            </w:pPr>
            <w:r>
              <w:rPr>
                <w:rFonts w:hint="eastAsia"/>
                <w:kern w:val="0"/>
                <w:sz w:val="20"/>
                <w:szCs w:val="21"/>
              </w:rPr>
              <w:t>（</w:t>
            </w:r>
            <w:r>
              <w:rPr>
                <w:kern w:val="0"/>
                <w:sz w:val="20"/>
                <w:szCs w:val="21"/>
              </w:rPr>
              <w:t>4</w:t>
            </w:r>
            <w:r>
              <w:rPr>
                <w:rFonts w:hint="eastAsia"/>
                <w:kern w:val="0"/>
                <w:sz w:val="20"/>
                <w:szCs w:val="21"/>
              </w:rPr>
              <w:t>）</w:t>
            </w:r>
            <w:r>
              <w:rPr>
                <w:kern w:val="0"/>
                <w:sz w:val="20"/>
                <w:szCs w:val="21"/>
              </w:rPr>
              <w:t>负责会议室设施设备及服务用品的检查及报修</w:t>
            </w:r>
            <w:r>
              <w:rPr>
                <w:rFonts w:hint="eastAsia"/>
                <w:kern w:val="0"/>
                <w:sz w:val="20"/>
                <w:szCs w:val="21"/>
              </w:rPr>
              <w:t>；</w:t>
            </w:r>
          </w:p>
          <w:p>
            <w:pPr>
              <w:pStyle w:val="152"/>
              <w:spacing w:line="420" w:lineRule="exact"/>
              <w:ind w:firstLine="0" w:firstLineChars="0"/>
              <w:rPr>
                <w:kern w:val="0"/>
                <w:sz w:val="20"/>
                <w:szCs w:val="21"/>
              </w:rPr>
            </w:pPr>
            <w:r>
              <w:rPr>
                <w:rFonts w:hint="eastAsia"/>
                <w:kern w:val="0"/>
                <w:sz w:val="20"/>
                <w:szCs w:val="21"/>
              </w:rPr>
              <w:t>（</w:t>
            </w:r>
            <w:r>
              <w:rPr>
                <w:kern w:val="0"/>
                <w:sz w:val="20"/>
                <w:szCs w:val="21"/>
              </w:rPr>
              <w:t>5</w:t>
            </w:r>
            <w:r>
              <w:rPr>
                <w:rFonts w:hint="eastAsia"/>
                <w:kern w:val="0"/>
                <w:sz w:val="20"/>
                <w:szCs w:val="21"/>
              </w:rPr>
              <w:t>）协助做好单位的文秘工作。</w:t>
            </w:r>
          </w:p>
        </w:tc>
        <w:tc>
          <w:tcPr>
            <w:tcW w:w="800" w:type="dxa"/>
          </w:tcPr>
          <w:p>
            <w:pPr>
              <w:pStyle w:val="152"/>
              <w:spacing w:line="420" w:lineRule="exact"/>
              <w:ind w:firstLine="480"/>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tcPr>
          <w:p>
            <w:pPr>
              <w:pStyle w:val="152"/>
              <w:spacing w:line="420" w:lineRule="exact"/>
              <w:ind w:firstLine="0" w:firstLineChars="0"/>
              <w:rPr>
                <w:kern w:val="0"/>
                <w:sz w:val="24"/>
              </w:rPr>
            </w:pPr>
            <w:r>
              <w:rPr>
                <w:rFonts w:hint="eastAsia"/>
                <w:kern w:val="0"/>
                <w:sz w:val="24"/>
              </w:rPr>
              <w:t>4</w:t>
            </w:r>
          </w:p>
        </w:tc>
        <w:tc>
          <w:tcPr>
            <w:tcW w:w="891" w:type="dxa"/>
            <w:vAlign w:val="center"/>
          </w:tcPr>
          <w:p>
            <w:pPr>
              <w:pStyle w:val="152"/>
              <w:spacing w:line="420" w:lineRule="exact"/>
              <w:ind w:firstLine="0" w:firstLineChars="0"/>
              <w:rPr>
                <w:kern w:val="0"/>
                <w:sz w:val="24"/>
              </w:rPr>
            </w:pPr>
            <w:r>
              <w:rPr>
                <w:rFonts w:hint="eastAsia"/>
                <w:kern w:val="0"/>
                <w:sz w:val="24"/>
              </w:rPr>
              <w:t>水电（维修）服务</w:t>
            </w:r>
          </w:p>
        </w:tc>
        <w:tc>
          <w:tcPr>
            <w:tcW w:w="6218" w:type="dxa"/>
          </w:tcPr>
          <w:p>
            <w:pPr>
              <w:pStyle w:val="152"/>
              <w:spacing w:line="420" w:lineRule="exact"/>
              <w:ind w:firstLine="0" w:firstLineChars="0"/>
              <w:rPr>
                <w:kern w:val="0"/>
                <w:sz w:val="20"/>
                <w:szCs w:val="21"/>
              </w:rPr>
            </w:pPr>
            <w:r>
              <w:rPr>
                <w:rFonts w:hint="eastAsia"/>
                <w:kern w:val="0"/>
                <w:sz w:val="20"/>
                <w:szCs w:val="21"/>
              </w:rPr>
              <w:t>（1）负责学校内的高低压配电系统、发电系统、中央空调、消防系统、给排水系统、照明系统运行管理及门窗、桌椅的日常零修、小修，保障设施设备正常运行；对专业设备的维保单位的工作进行监督管理，对维护工作不到位、不达标的及时向后勤服务部报告。</w:t>
            </w:r>
          </w:p>
          <w:p>
            <w:pPr>
              <w:pStyle w:val="152"/>
              <w:spacing w:line="420" w:lineRule="exact"/>
              <w:ind w:firstLine="0" w:firstLineChars="0"/>
              <w:rPr>
                <w:kern w:val="0"/>
                <w:sz w:val="20"/>
                <w:szCs w:val="21"/>
              </w:rPr>
            </w:pPr>
            <w:r>
              <w:rPr>
                <w:rFonts w:hint="eastAsia"/>
                <w:kern w:val="0"/>
                <w:sz w:val="20"/>
                <w:szCs w:val="21"/>
              </w:rPr>
              <w:t>（2）建立水、电、消防设施设备档案（台帐），设施设备的运行、检查、维修、保养等记录档案。</w:t>
            </w:r>
          </w:p>
          <w:p>
            <w:pPr>
              <w:pStyle w:val="152"/>
              <w:spacing w:line="420" w:lineRule="exact"/>
              <w:ind w:firstLine="0" w:firstLineChars="0"/>
              <w:rPr>
                <w:kern w:val="0"/>
                <w:sz w:val="20"/>
                <w:szCs w:val="21"/>
              </w:rPr>
            </w:pPr>
            <w:r>
              <w:rPr>
                <w:rFonts w:hint="eastAsia"/>
                <w:kern w:val="0"/>
                <w:sz w:val="20"/>
                <w:szCs w:val="21"/>
              </w:rPr>
              <w:t>（3）设施设备标志齐全、规范，责任明确；操作维护人员严格按照设施设备操作规程及保养规范进行操作，保证设施设备正常运行。</w:t>
            </w:r>
          </w:p>
          <w:p>
            <w:pPr>
              <w:pStyle w:val="152"/>
              <w:spacing w:line="420" w:lineRule="exact"/>
              <w:ind w:firstLine="0" w:firstLineChars="0"/>
              <w:rPr>
                <w:kern w:val="0"/>
                <w:sz w:val="20"/>
                <w:szCs w:val="21"/>
              </w:rPr>
            </w:pPr>
            <w:r>
              <w:rPr>
                <w:rFonts w:hint="eastAsia"/>
                <w:kern w:val="0"/>
                <w:sz w:val="20"/>
                <w:szCs w:val="21"/>
              </w:rPr>
              <w:t>（</w:t>
            </w:r>
            <w:r>
              <w:rPr>
                <w:kern w:val="0"/>
                <w:sz w:val="20"/>
                <w:szCs w:val="21"/>
              </w:rPr>
              <w:t>4</w:t>
            </w:r>
            <w:r>
              <w:rPr>
                <w:rFonts w:hint="eastAsia"/>
                <w:kern w:val="0"/>
                <w:sz w:val="20"/>
                <w:szCs w:val="21"/>
              </w:rPr>
              <w:t>）具体工作</w:t>
            </w:r>
          </w:p>
          <w:p>
            <w:pPr>
              <w:pStyle w:val="152"/>
              <w:spacing w:line="420" w:lineRule="exact"/>
              <w:ind w:firstLine="0" w:firstLineChars="0"/>
              <w:rPr>
                <w:kern w:val="0"/>
                <w:sz w:val="20"/>
                <w:szCs w:val="21"/>
              </w:rPr>
            </w:pPr>
            <w:r>
              <w:rPr>
                <w:rFonts w:hint="eastAsia"/>
                <w:kern w:val="0"/>
                <w:sz w:val="20"/>
                <w:szCs w:val="21"/>
              </w:rPr>
              <w:t>一清：对设备、设施管理规章制度要清楚；</w:t>
            </w:r>
          </w:p>
          <w:p>
            <w:pPr>
              <w:pStyle w:val="152"/>
              <w:spacing w:line="420" w:lineRule="exact"/>
              <w:ind w:firstLine="0" w:firstLineChars="0"/>
              <w:rPr>
                <w:kern w:val="0"/>
                <w:sz w:val="20"/>
                <w:szCs w:val="21"/>
              </w:rPr>
            </w:pPr>
            <w:r>
              <w:rPr>
                <w:rFonts w:hint="eastAsia"/>
                <w:kern w:val="0"/>
                <w:sz w:val="20"/>
                <w:szCs w:val="21"/>
              </w:rPr>
              <w:t>二能：对各种设备的性能、功能要明白；</w:t>
            </w:r>
          </w:p>
          <w:p>
            <w:pPr>
              <w:pStyle w:val="152"/>
              <w:spacing w:line="420" w:lineRule="exact"/>
              <w:ind w:firstLine="0" w:firstLineChars="0"/>
              <w:rPr>
                <w:kern w:val="0"/>
                <w:sz w:val="20"/>
                <w:szCs w:val="21"/>
              </w:rPr>
            </w:pPr>
            <w:r>
              <w:rPr>
                <w:rFonts w:hint="eastAsia"/>
                <w:kern w:val="0"/>
                <w:sz w:val="20"/>
                <w:szCs w:val="21"/>
              </w:rPr>
              <w:t>三好：对各种设备要做到管好、用好、修好；</w:t>
            </w:r>
          </w:p>
          <w:p>
            <w:pPr>
              <w:pStyle w:val="152"/>
              <w:spacing w:line="420" w:lineRule="exact"/>
              <w:ind w:firstLine="0" w:firstLineChars="0"/>
              <w:rPr>
                <w:kern w:val="0"/>
                <w:sz w:val="20"/>
                <w:szCs w:val="21"/>
              </w:rPr>
            </w:pPr>
            <w:r>
              <w:rPr>
                <w:rFonts w:hint="eastAsia"/>
                <w:kern w:val="0"/>
                <w:sz w:val="20"/>
                <w:szCs w:val="21"/>
              </w:rPr>
              <w:t>四会：对各种设备会使用、会保养、会检查、会排除故障；</w:t>
            </w:r>
          </w:p>
          <w:p>
            <w:pPr>
              <w:pStyle w:val="152"/>
              <w:spacing w:line="420" w:lineRule="exact"/>
              <w:ind w:firstLine="0" w:firstLineChars="0"/>
              <w:rPr>
                <w:kern w:val="0"/>
                <w:sz w:val="20"/>
                <w:szCs w:val="21"/>
              </w:rPr>
            </w:pPr>
            <w:r>
              <w:rPr>
                <w:rFonts w:hint="eastAsia"/>
                <w:kern w:val="0"/>
                <w:sz w:val="20"/>
                <w:szCs w:val="21"/>
              </w:rPr>
              <w:t>五化：设备图纸档案化、业主档案分类化、维修保养智能化、施工管理规范化；</w:t>
            </w:r>
          </w:p>
          <w:p>
            <w:pPr>
              <w:pStyle w:val="152"/>
              <w:spacing w:line="420" w:lineRule="exact"/>
              <w:ind w:firstLine="0" w:firstLineChars="0"/>
              <w:rPr>
                <w:kern w:val="0"/>
                <w:sz w:val="20"/>
                <w:szCs w:val="21"/>
              </w:rPr>
            </w:pPr>
            <w:r>
              <w:rPr>
                <w:rFonts w:hint="eastAsia"/>
                <w:kern w:val="0"/>
                <w:sz w:val="20"/>
                <w:szCs w:val="21"/>
              </w:rPr>
              <w:t>六查：对设备、设施及施工管理做到日查、巡查、检查、督查、核查、复查；</w:t>
            </w:r>
          </w:p>
          <w:p>
            <w:pPr>
              <w:pStyle w:val="152"/>
              <w:spacing w:line="420" w:lineRule="exact"/>
              <w:ind w:firstLine="0" w:firstLineChars="0"/>
              <w:rPr>
                <w:kern w:val="0"/>
                <w:sz w:val="20"/>
                <w:szCs w:val="21"/>
              </w:rPr>
            </w:pPr>
            <w:r>
              <w:rPr>
                <w:rFonts w:hint="eastAsia"/>
                <w:kern w:val="0"/>
                <w:sz w:val="20"/>
                <w:szCs w:val="21"/>
              </w:rPr>
              <w:t>七无：值班室内无脏乱、设备运行无故障、安全运行无隐患、设施结构无损坏、办公环境无障碍。</w:t>
            </w:r>
          </w:p>
          <w:p>
            <w:pPr>
              <w:pStyle w:val="152"/>
              <w:spacing w:line="420" w:lineRule="exact"/>
              <w:ind w:firstLine="0" w:firstLineChars="0"/>
              <w:rPr>
                <w:kern w:val="0"/>
                <w:sz w:val="20"/>
                <w:szCs w:val="21"/>
              </w:rPr>
            </w:pPr>
            <w:r>
              <w:rPr>
                <w:kern w:val="0"/>
                <w:sz w:val="20"/>
                <w:szCs w:val="21"/>
              </w:rPr>
              <w:t>（</w:t>
            </w:r>
            <w:r>
              <w:rPr>
                <w:rFonts w:hint="eastAsia"/>
                <w:kern w:val="0"/>
                <w:sz w:val="20"/>
                <w:szCs w:val="21"/>
              </w:rPr>
              <w:t>5</w:t>
            </w:r>
            <w:r>
              <w:rPr>
                <w:kern w:val="0"/>
                <w:sz w:val="20"/>
                <w:szCs w:val="21"/>
              </w:rPr>
              <w:t>）接受学校对临时工作的安排，如大型活动保障，大型考试保障，会场布置、桌椅调配位置等临时工作</w:t>
            </w:r>
            <w:r>
              <w:rPr>
                <w:rFonts w:hint="eastAsia"/>
                <w:kern w:val="0"/>
                <w:sz w:val="20"/>
                <w:szCs w:val="21"/>
              </w:rPr>
              <w:t>。</w:t>
            </w:r>
          </w:p>
        </w:tc>
        <w:tc>
          <w:tcPr>
            <w:tcW w:w="800" w:type="dxa"/>
          </w:tcPr>
          <w:p>
            <w:pPr>
              <w:pStyle w:val="152"/>
              <w:spacing w:line="420" w:lineRule="exact"/>
              <w:ind w:firstLine="480"/>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tcPr>
          <w:p>
            <w:pPr>
              <w:pStyle w:val="152"/>
              <w:spacing w:line="420" w:lineRule="exact"/>
              <w:ind w:firstLine="0" w:firstLineChars="0"/>
              <w:rPr>
                <w:kern w:val="0"/>
                <w:sz w:val="24"/>
              </w:rPr>
            </w:pPr>
            <w:r>
              <w:rPr>
                <w:rFonts w:hint="eastAsia"/>
                <w:kern w:val="0"/>
                <w:sz w:val="24"/>
              </w:rPr>
              <w:t>5</w:t>
            </w:r>
          </w:p>
        </w:tc>
        <w:tc>
          <w:tcPr>
            <w:tcW w:w="891" w:type="dxa"/>
            <w:vAlign w:val="center"/>
          </w:tcPr>
          <w:p>
            <w:pPr>
              <w:pStyle w:val="152"/>
              <w:spacing w:line="420" w:lineRule="exact"/>
              <w:ind w:firstLine="0" w:firstLineChars="0"/>
              <w:rPr>
                <w:kern w:val="0"/>
                <w:sz w:val="24"/>
              </w:rPr>
            </w:pPr>
            <w:r>
              <w:rPr>
                <w:rFonts w:hint="eastAsia"/>
                <w:kern w:val="0"/>
                <w:sz w:val="24"/>
              </w:rPr>
              <w:t>绿化</w:t>
            </w:r>
          </w:p>
          <w:p>
            <w:pPr>
              <w:pStyle w:val="152"/>
              <w:spacing w:line="420" w:lineRule="exact"/>
              <w:ind w:firstLine="0" w:firstLineChars="0"/>
              <w:rPr>
                <w:kern w:val="0"/>
                <w:sz w:val="24"/>
              </w:rPr>
            </w:pPr>
            <w:r>
              <w:rPr>
                <w:rFonts w:hint="eastAsia"/>
                <w:kern w:val="0"/>
                <w:sz w:val="24"/>
              </w:rPr>
              <w:t>服务</w:t>
            </w:r>
          </w:p>
        </w:tc>
        <w:tc>
          <w:tcPr>
            <w:tcW w:w="6218" w:type="dxa"/>
          </w:tcPr>
          <w:p>
            <w:pPr>
              <w:pStyle w:val="152"/>
              <w:spacing w:line="420" w:lineRule="exact"/>
              <w:ind w:firstLine="0" w:firstLineChars="0"/>
              <w:rPr>
                <w:kern w:val="0"/>
                <w:sz w:val="20"/>
                <w:szCs w:val="21"/>
              </w:rPr>
            </w:pPr>
            <w:r>
              <w:rPr>
                <w:rFonts w:hint="eastAsia"/>
                <w:kern w:val="0"/>
                <w:sz w:val="20"/>
                <w:szCs w:val="21"/>
              </w:rPr>
              <w:t>（</w:t>
            </w:r>
            <w:r>
              <w:rPr>
                <w:kern w:val="0"/>
                <w:sz w:val="20"/>
                <w:szCs w:val="21"/>
              </w:rPr>
              <w:t>1</w:t>
            </w:r>
            <w:r>
              <w:rPr>
                <w:rFonts w:hint="eastAsia"/>
                <w:kern w:val="0"/>
                <w:sz w:val="20"/>
                <w:szCs w:val="21"/>
              </w:rPr>
              <w:t>）校区内所有绿化植物（含盆栽植物）的日常修剪、造型、施肥、浇水、除杂草</w:t>
            </w:r>
          </w:p>
          <w:p>
            <w:pPr>
              <w:pStyle w:val="152"/>
              <w:spacing w:line="420" w:lineRule="exact"/>
              <w:ind w:firstLine="0" w:firstLineChars="0"/>
              <w:rPr>
                <w:kern w:val="0"/>
                <w:sz w:val="20"/>
                <w:szCs w:val="21"/>
              </w:rPr>
            </w:pPr>
            <w:r>
              <w:rPr>
                <w:rFonts w:hint="eastAsia"/>
                <w:kern w:val="0"/>
                <w:sz w:val="20"/>
                <w:szCs w:val="21"/>
              </w:rPr>
              <w:t>（</w:t>
            </w:r>
            <w:r>
              <w:rPr>
                <w:kern w:val="0"/>
                <w:sz w:val="20"/>
                <w:szCs w:val="21"/>
              </w:rPr>
              <w:t>2</w:t>
            </w:r>
            <w:r>
              <w:rPr>
                <w:rFonts w:hint="eastAsia"/>
                <w:kern w:val="0"/>
                <w:sz w:val="20"/>
                <w:szCs w:val="21"/>
              </w:rPr>
              <w:t>）校区内所有绿化植物的病虫害防治。</w:t>
            </w:r>
          </w:p>
          <w:p>
            <w:pPr>
              <w:pStyle w:val="152"/>
              <w:spacing w:line="420" w:lineRule="exact"/>
              <w:ind w:firstLine="0" w:firstLineChars="0"/>
              <w:rPr>
                <w:kern w:val="0"/>
                <w:sz w:val="20"/>
                <w:szCs w:val="21"/>
              </w:rPr>
            </w:pPr>
            <w:r>
              <w:rPr>
                <w:rFonts w:hint="eastAsia"/>
                <w:kern w:val="0"/>
                <w:sz w:val="20"/>
                <w:szCs w:val="21"/>
              </w:rPr>
              <w:t>（</w:t>
            </w:r>
            <w:r>
              <w:rPr>
                <w:kern w:val="0"/>
                <w:sz w:val="20"/>
                <w:szCs w:val="21"/>
              </w:rPr>
              <w:t>3</w:t>
            </w:r>
            <w:r>
              <w:rPr>
                <w:rFonts w:hint="eastAsia"/>
                <w:kern w:val="0"/>
                <w:sz w:val="20"/>
                <w:szCs w:val="21"/>
              </w:rPr>
              <w:t>）校区绿化带内的卫生和垃圾清理。</w:t>
            </w:r>
          </w:p>
          <w:p>
            <w:pPr>
              <w:pStyle w:val="152"/>
              <w:spacing w:line="420" w:lineRule="exact"/>
              <w:ind w:firstLine="0" w:firstLineChars="0"/>
              <w:rPr>
                <w:kern w:val="0"/>
                <w:sz w:val="20"/>
                <w:szCs w:val="21"/>
              </w:rPr>
            </w:pPr>
            <w:r>
              <w:rPr>
                <w:rFonts w:hint="eastAsia"/>
                <w:kern w:val="0"/>
                <w:sz w:val="20"/>
                <w:szCs w:val="21"/>
              </w:rPr>
              <w:t>（</w:t>
            </w:r>
            <w:r>
              <w:rPr>
                <w:kern w:val="0"/>
                <w:sz w:val="20"/>
                <w:szCs w:val="21"/>
              </w:rPr>
              <w:t>4</w:t>
            </w:r>
            <w:r>
              <w:rPr>
                <w:rFonts w:hint="eastAsia"/>
                <w:kern w:val="0"/>
                <w:sz w:val="20"/>
                <w:szCs w:val="21"/>
              </w:rPr>
              <w:t>）绿化机具的维修、保养和使用。</w:t>
            </w:r>
          </w:p>
          <w:p>
            <w:pPr>
              <w:pStyle w:val="152"/>
              <w:spacing w:line="420" w:lineRule="exact"/>
              <w:ind w:firstLine="0" w:firstLineChars="0"/>
              <w:rPr>
                <w:kern w:val="0"/>
                <w:sz w:val="20"/>
                <w:szCs w:val="21"/>
              </w:rPr>
            </w:pPr>
            <w:r>
              <w:rPr>
                <w:rFonts w:hint="eastAsia"/>
                <w:kern w:val="0"/>
                <w:sz w:val="20"/>
                <w:szCs w:val="21"/>
              </w:rPr>
              <w:t>（</w:t>
            </w:r>
            <w:r>
              <w:rPr>
                <w:kern w:val="0"/>
                <w:sz w:val="20"/>
                <w:szCs w:val="21"/>
              </w:rPr>
              <w:t>5</w:t>
            </w:r>
            <w:r>
              <w:rPr>
                <w:rFonts w:hint="eastAsia"/>
                <w:kern w:val="0"/>
                <w:sz w:val="20"/>
                <w:szCs w:val="21"/>
              </w:rPr>
              <w:t>）学校大型活动、接待活动的花草摆放。</w:t>
            </w:r>
          </w:p>
          <w:p>
            <w:pPr>
              <w:pStyle w:val="152"/>
              <w:spacing w:line="420" w:lineRule="exact"/>
              <w:ind w:firstLine="0" w:firstLineChars="0"/>
              <w:rPr>
                <w:kern w:val="0"/>
                <w:sz w:val="20"/>
                <w:szCs w:val="21"/>
              </w:rPr>
            </w:pPr>
            <w:r>
              <w:rPr>
                <w:kern w:val="0"/>
                <w:sz w:val="20"/>
                <w:szCs w:val="21"/>
              </w:rPr>
              <w:t>（</w:t>
            </w:r>
            <w:r>
              <w:rPr>
                <w:rFonts w:hint="eastAsia"/>
                <w:kern w:val="0"/>
                <w:sz w:val="20"/>
                <w:szCs w:val="21"/>
              </w:rPr>
              <w:t>6）</w:t>
            </w:r>
            <w:r>
              <w:rPr>
                <w:kern w:val="0"/>
                <w:sz w:val="20"/>
                <w:szCs w:val="21"/>
              </w:rPr>
              <w:t>接受学校对临时工作的安排，如大型活动保障，大型考试保障，会场布置、桌椅调配位置等临时工作</w:t>
            </w:r>
            <w:r>
              <w:rPr>
                <w:rFonts w:hint="eastAsia"/>
                <w:kern w:val="0"/>
                <w:sz w:val="20"/>
                <w:szCs w:val="21"/>
              </w:rPr>
              <w:t>。</w:t>
            </w:r>
          </w:p>
        </w:tc>
        <w:tc>
          <w:tcPr>
            <w:tcW w:w="800" w:type="dxa"/>
          </w:tcPr>
          <w:p>
            <w:pPr>
              <w:pStyle w:val="152"/>
              <w:spacing w:line="420" w:lineRule="exact"/>
              <w:ind w:firstLine="480"/>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tcPr>
          <w:p>
            <w:pPr>
              <w:pStyle w:val="152"/>
              <w:spacing w:line="420" w:lineRule="exact"/>
              <w:ind w:firstLine="0" w:firstLineChars="0"/>
              <w:rPr>
                <w:kern w:val="0"/>
                <w:sz w:val="24"/>
              </w:rPr>
            </w:pPr>
            <w:r>
              <w:rPr>
                <w:rFonts w:hint="eastAsia"/>
                <w:kern w:val="0"/>
                <w:sz w:val="24"/>
              </w:rPr>
              <w:t>6</w:t>
            </w:r>
          </w:p>
        </w:tc>
        <w:tc>
          <w:tcPr>
            <w:tcW w:w="891" w:type="dxa"/>
            <w:vAlign w:val="center"/>
          </w:tcPr>
          <w:p>
            <w:pPr>
              <w:pStyle w:val="152"/>
              <w:spacing w:line="420" w:lineRule="exact"/>
              <w:ind w:firstLine="0" w:firstLineChars="0"/>
              <w:rPr>
                <w:kern w:val="0"/>
                <w:sz w:val="24"/>
              </w:rPr>
            </w:pPr>
            <w:r>
              <w:rPr>
                <w:rFonts w:hint="eastAsia"/>
                <w:kern w:val="0"/>
                <w:sz w:val="20"/>
                <w:szCs w:val="21"/>
              </w:rPr>
              <w:t>宿管（生活教师）</w:t>
            </w:r>
          </w:p>
        </w:tc>
        <w:tc>
          <w:tcPr>
            <w:tcW w:w="6218" w:type="dxa"/>
          </w:tcPr>
          <w:p>
            <w:pPr>
              <w:pStyle w:val="152"/>
              <w:spacing w:line="420" w:lineRule="exact"/>
              <w:ind w:firstLine="0" w:firstLineChars="0"/>
              <w:rPr>
                <w:kern w:val="0"/>
                <w:sz w:val="20"/>
                <w:szCs w:val="21"/>
              </w:rPr>
            </w:pPr>
            <w:r>
              <w:rPr>
                <w:rFonts w:hint="eastAsia"/>
                <w:kern w:val="0"/>
                <w:sz w:val="20"/>
                <w:szCs w:val="21"/>
              </w:rPr>
              <w:t>（1）每日巡视学生宿舍，督促学生整理寝室内务，打扫清洁卫生，维护良好的宿舍环境。</w:t>
            </w:r>
          </w:p>
          <w:p>
            <w:pPr>
              <w:pStyle w:val="152"/>
              <w:spacing w:line="420" w:lineRule="exact"/>
              <w:ind w:firstLine="0" w:firstLineChars="0"/>
              <w:rPr>
                <w:kern w:val="0"/>
                <w:sz w:val="20"/>
                <w:szCs w:val="21"/>
              </w:rPr>
            </w:pPr>
            <w:r>
              <w:rPr>
                <w:rFonts w:hint="eastAsia"/>
                <w:kern w:val="0"/>
                <w:sz w:val="20"/>
                <w:szCs w:val="21"/>
              </w:rPr>
              <w:t>（2）检查宿舍门窗、学生用水用电及公共设施的情况，对学生进行安全教育，增强防盗、防火、防病、防灾意识，发现安全隐患及时向主管部门汇报。</w:t>
            </w:r>
          </w:p>
          <w:p>
            <w:pPr>
              <w:pStyle w:val="152"/>
              <w:spacing w:line="420" w:lineRule="exact"/>
              <w:ind w:firstLine="0" w:firstLineChars="0"/>
              <w:rPr>
                <w:kern w:val="0"/>
                <w:sz w:val="20"/>
                <w:szCs w:val="21"/>
              </w:rPr>
            </w:pPr>
            <w:r>
              <w:rPr>
                <w:rFonts w:hint="eastAsia"/>
                <w:kern w:val="0"/>
                <w:sz w:val="20"/>
                <w:szCs w:val="21"/>
              </w:rPr>
              <w:t>（3）每日按时检查学生回寝室、离教室情况，确保学生安全，离开宿舍时负责检查门窗水电是否关闭。</w:t>
            </w:r>
          </w:p>
          <w:p>
            <w:pPr>
              <w:pStyle w:val="152"/>
              <w:spacing w:line="420" w:lineRule="exact"/>
              <w:ind w:firstLine="0" w:firstLineChars="0"/>
              <w:rPr>
                <w:kern w:val="0"/>
                <w:sz w:val="20"/>
                <w:szCs w:val="21"/>
              </w:rPr>
            </w:pPr>
            <w:r>
              <w:rPr>
                <w:rFonts w:hint="eastAsia"/>
                <w:kern w:val="0"/>
                <w:sz w:val="20"/>
                <w:szCs w:val="21"/>
              </w:rPr>
              <w:t>（4）返回寝室后监管学生禁止擅自外出，检查有无外来人员留宿，保障宿舍安全。</w:t>
            </w:r>
          </w:p>
          <w:p>
            <w:pPr>
              <w:pStyle w:val="152"/>
              <w:spacing w:line="420" w:lineRule="exact"/>
              <w:ind w:firstLine="0" w:firstLineChars="0"/>
              <w:rPr>
                <w:kern w:val="0"/>
                <w:sz w:val="20"/>
                <w:szCs w:val="21"/>
              </w:rPr>
            </w:pPr>
            <w:r>
              <w:rPr>
                <w:rFonts w:hint="eastAsia"/>
                <w:kern w:val="0"/>
                <w:sz w:val="20"/>
                <w:szCs w:val="21"/>
              </w:rPr>
              <w:t>（5）督促学生按时就寝和起床，晚上熄灯后，对所辖区域进行全面巡查。</w:t>
            </w:r>
          </w:p>
          <w:p>
            <w:pPr>
              <w:pStyle w:val="152"/>
              <w:spacing w:line="420" w:lineRule="exact"/>
              <w:ind w:firstLine="0" w:firstLineChars="0"/>
              <w:rPr>
                <w:kern w:val="0"/>
                <w:sz w:val="20"/>
                <w:szCs w:val="21"/>
              </w:rPr>
            </w:pPr>
            <w:r>
              <w:rPr>
                <w:rFonts w:hint="eastAsia"/>
                <w:kern w:val="0"/>
                <w:sz w:val="20"/>
                <w:szCs w:val="21"/>
              </w:rPr>
              <w:t>（6）协同班主任处理好学生突发情况，如学生宿舍矛盾、健康状况、自然灾害等，及时与主管部门或值班行政汇报。</w:t>
            </w:r>
          </w:p>
          <w:p>
            <w:pPr>
              <w:pStyle w:val="152"/>
              <w:spacing w:line="420" w:lineRule="exact"/>
              <w:ind w:firstLine="0" w:firstLineChars="0"/>
              <w:rPr>
                <w:kern w:val="0"/>
                <w:sz w:val="20"/>
                <w:szCs w:val="21"/>
              </w:rPr>
            </w:pPr>
            <w:r>
              <w:rPr>
                <w:rFonts w:hint="eastAsia"/>
                <w:kern w:val="0"/>
                <w:sz w:val="20"/>
                <w:szCs w:val="21"/>
              </w:rPr>
              <w:t>（7）维护宿舍硬件设施，教育学生爱护公物。及时申报维修，如为学生人为损坏，负责落实到人，按学校赔偿制度督促学生赔偿。</w:t>
            </w:r>
          </w:p>
          <w:p>
            <w:pPr>
              <w:pStyle w:val="152"/>
              <w:spacing w:line="420" w:lineRule="exact"/>
              <w:ind w:firstLine="0" w:firstLineChars="0"/>
              <w:rPr>
                <w:kern w:val="0"/>
                <w:sz w:val="20"/>
                <w:szCs w:val="21"/>
              </w:rPr>
            </w:pPr>
            <w:r>
              <w:rPr>
                <w:rFonts w:hint="eastAsia"/>
                <w:kern w:val="0"/>
                <w:sz w:val="20"/>
                <w:szCs w:val="21"/>
              </w:rPr>
              <w:t>（8）每天按“学生寝室评分细则”进行评分，每周总评，并评出一周流动红旗寝室。每周给班主任提供一份学生宿舍表现的情况材料。加强与班主任及学校主管部门沟通交流，通报学生在宿舍区域的表现。</w:t>
            </w:r>
          </w:p>
          <w:p>
            <w:pPr>
              <w:pStyle w:val="152"/>
              <w:spacing w:line="420" w:lineRule="exact"/>
              <w:ind w:firstLine="0" w:firstLineChars="0"/>
              <w:rPr>
                <w:kern w:val="0"/>
                <w:sz w:val="20"/>
                <w:szCs w:val="21"/>
              </w:rPr>
            </w:pPr>
            <w:r>
              <w:rPr>
                <w:rFonts w:hint="eastAsia"/>
                <w:kern w:val="0"/>
                <w:sz w:val="20"/>
                <w:szCs w:val="21"/>
              </w:rPr>
              <w:t>学生防疫工作</w:t>
            </w:r>
          </w:p>
          <w:p>
            <w:pPr>
              <w:pStyle w:val="152"/>
              <w:spacing w:line="420" w:lineRule="exact"/>
              <w:ind w:firstLine="0" w:firstLineChars="0"/>
              <w:rPr>
                <w:kern w:val="0"/>
                <w:sz w:val="20"/>
                <w:szCs w:val="21"/>
              </w:rPr>
            </w:pPr>
            <w:r>
              <w:rPr>
                <w:rFonts w:hint="eastAsia"/>
                <w:kern w:val="0"/>
                <w:sz w:val="20"/>
                <w:szCs w:val="21"/>
              </w:rPr>
              <w:t>（9）</w:t>
            </w:r>
            <w:r>
              <w:rPr>
                <w:kern w:val="0"/>
                <w:sz w:val="20"/>
                <w:szCs w:val="21"/>
              </w:rPr>
              <w:t>接受学校对临时工作的安排，如大型活动保障，大型考试保障，会场布置、桌椅调配位置等临时工作</w:t>
            </w:r>
            <w:r>
              <w:rPr>
                <w:rFonts w:hint="eastAsia"/>
                <w:kern w:val="0"/>
                <w:sz w:val="20"/>
                <w:szCs w:val="21"/>
              </w:rPr>
              <w:t>。</w:t>
            </w:r>
          </w:p>
        </w:tc>
        <w:tc>
          <w:tcPr>
            <w:tcW w:w="800" w:type="dxa"/>
          </w:tcPr>
          <w:p>
            <w:pPr>
              <w:pStyle w:val="152"/>
              <w:spacing w:line="420" w:lineRule="exact"/>
              <w:ind w:firstLine="480"/>
              <w:rPr>
                <w:kern w:val="0"/>
                <w:sz w:val="24"/>
              </w:rPr>
            </w:pPr>
          </w:p>
        </w:tc>
      </w:tr>
    </w:tbl>
    <w:p>
      <w:pPr>
        <w:spacing w:line="360" w:lineRule="auto"/>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包件3：</w:t>
      </w:r>
    </w:p>
    <w:p>
      <w:pPr>
        <w:pStyle w:val="152"/>
        <w:ind w:firstLine="0" w:firstLineChars="0"/>
        <w:rPr>
          <w:rFonts w:ascii="黑体" w:hAnsi="黑体" w:eastAsia="黑体" w:cs="宋体"/>
          <w:sz w:val="28"/>
          <w:szCs w:val="28"/>
        </w:rPr>
      </w:pPr>
      <w:r>
        <w:rPr>
          <w:rFonts w:hint="eastAsia"/>
          <w:b/>
          <w:bCs/>
          <w:sz w:val="28"/>
          <w:szCs w:val="28"/>
        </w:rPr>
        <w:t>一、学校概况及人员需求</w:t>
      </w:r>
    </w:p>
    <w:p>
      <w:pPr>
        <w:pStyle w:val="152"/>
        <w:ind w:firstLine="0" w:firstLineChars="0"/>
        <w:rPr>
          <w:b/>
          <w:bCs/>
          <w:sz w:val="28"/>
          <w:szCs w:val="28"/>
        </w:rPr>
      </w:pPr>
      <w:r>
        <w:rPr>
          <w:rFonts w:hint="eastAsia"/>
          <w:b/>
          <w:bCs/>
          <w:sz w:val="28"/>
          <w:szCs w:val="28"/>
        </w:rPr>
        <w:t>1．成都市第11中学</w:t>
      </w:r>
    </w:p>
    <w:p>
      <w:pPr>
        <w:pStyle w:val="152"/>
        <w:ind w:firstLine="560"/>
        <w:rPr>
          <w:sz w:val="28"/>
          <w:szCs w:val="28"/>
        </w:rPr>
      </w:pPr>
      <w:r>
        <w:rPr>
          <w:rFonts w:hint="eastAsia"/>
          <w:sz w:val="28"/>
          <w:szCs w:val="28"/>
        </w:rPr>
        <w:t>学校位于育婴堂街33号，占地面积约13584平方米，建筑面积约15185平方米，主体建筑3栋，2个主大门，有停车场，车位约28个；</w:t>
      </w:r>
      <w:r>
        <w:rPr>
          <w:sz w:val="28"/>
          <w:szCs w:val="28"/>
        </w:rPr>
        <w:t>2021</w:t>
      </w:r>
      <w:r>
        <w:rPr>
          <w:rFonts w:hint="eastAsia"/>
          <w:sz w:val="28"/>
          <w:szCs w:val="28"/>
        </w:rPr>
        <w:t>年</w:t>
      </w:r>
      <w:r>
        <w:rPr>
          <w:sz w:val="28"/>
          <w:szCs w:val="28"/>
        </w:rPr>
        <w:t>9</w:t>
      </w:r>
      <w:r>
        <w:rPr>
          <w:rFonts w:hint="eastAsia"/>
          <w:sz w:val="28"/>
          <w:szCs w:val="28"/>
        </w:rPr>
        <w:t>月师生人数约1400人。</w:t>
      </w:r>
    </w:p>
    <w:p>
      <w:pPr>
        <w:pStyle w:val="152"/>
        <w:ind w:firstLine="560"/>
        <w:rPr>
          <w:sz w:val="28"/>
          <w:szCs w:val="28"/>
        </w:rPr>
      </w:pPr>
      <w:r>
        <w:rPr>
          <w:rFonts w:hint="eastAsia"/>
          <w:sz w:val="28"/>
          <w:szCs w:val="28"/>
        </w:rPr>
        <w:t>★人员配置类别及数量</w:t>
      </w:r>
    </w:p>
    <w:p>
      <w:pPr>
        <w:spacing w:line="360" w:lineRule="auto"/>
        <w:rPr>
          <w:rFonts w:ascii="仿宋_GB2312" w:eastAsia="仿宋_GB2312"/>
          <w:sz w:val="28"/>
          <w:szCs w:val="28"/>
        </w:rPr>
      </w:pPr>
      <w:r>
        <w:rPr>
          <w:rFonts w:hint="eastAsia"/>
          <w:sz w:val="28"/>
          <w:szCs w:val="28"/>
        </w:rPr>
        <w:t>该项目服务人员定编</w:t>
      </w:r>
      <w:r>
        <w:rPr>
          <w:sz w:val="28"/>
          <w:szCs w:val="28"/>
        </w:rPr>
        <w:t xml:space="preserve"> </w:t>
      </w:r>
      <w:r>
        <w:rPr>
          <w:rFonts w:hint="eastAsia"/>
          <w:sz w:val="28"/>
          <w:szCs w:val="28"/>
        </w:rPr>
        <w:t>16</w:t>
      </w:r>
      <w:r>
        <w:rPr>
          <w:sz w:val="28"/>
          <w:szCs w:val="28"/>
        </w:rPr>
        <w:t xml:space="preserve"> </w:t>
      </w:r>
      <w:r>
        <w:rPr>
          <w:rFonts w:hint="eastAsia"/>
          <w:sz w:val="28"/>
          <w:szCs w:val="28"/>
        </w:rPr>
        <w:t>人。可优化配置，但不低于该配置力量。</w:t>
      </w:r>
    </w:p>
    <w:tbl>
      <w:tblPr>
        <w:tblStyle w:val="43"/>
        <w:tblW w:w="8321"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8"/>
        <w:gridCol w:w="700"/>
        <w:gridCol w:w="1134"/>
        <w:gridCol w:w="1158"/>
        <w:gridCol w:w="767"/>
        <w:gridCol w:w="1477"/>
        <w:gridCol w:w="641"/>
        <w:gridCol w:w="1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3" w:hRule="atLeast"/>
        </w:trPr>
        <w:tc>
          <w:tcPr>
            <w:tcW w:w="139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Cs/>
                <w:szCs w:val="21"/>
              </w:rPr>
            </w:pPr>
            <w:r>
              <w:rPr>
                <w:rFonts w:hint="eastAsia" w:ascii="宋体" w:hAnsi="宋体"/>
                <w:bCs/>
                <w:szCs w:val="21"/>
              </w:rPr>
              <w:t>人员类别</w:t>
            </w:r>
          </w:p>
        </w:tc>
        <w:tc>
          <w:tcPr>
            <w:tcW w:w="7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Cs/>
                <w:szCs w:val="21"/>
              </w:rPr>
            </w:pPr>
            <w:r>
              <w:rPr>
                <w:rFonts w:hint="eastAsia" w:ascii="宋体" w:hAnsi="宋体"/>
                <w:bCs/>
                <w:szCs w:val="21"/>
              </w:rPr>
              <w:t>主管</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Cs/>
                <w:szCs w:val="21"/>
              </w:rPr>
            </w:pPr>
            <w:r>
              <w:rPr>
                <w:rFonts w:hint="eastAsia" w:ascii="宋体" w:hAnsi="宋体"/>
                <w:bCs/>
                <w:szCs w:val="21"/>
              </w:rPr>
              <w:t>秩序维护</w:t>
            </w:r>
          </w:p>
        </w:tc>
        <w:tc>
          <w:tcPr>
            <w:tcW w:w="115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Cs/>
                <w:szCs w:val="21"/>
              </w:rPr>
            </w:pPr>
            <w:r>
              <w:rPr>
                <w:rFonts w:hint="eastAsia" w:ascii="宋体" w:hAnsi="宋体"/>
                <w:bCs/>
                <w:szCs w:val="21"/>
              </w:rPr>
              <w:t>保洁人员</w:t>
            </w:r>
          </w:p>
        </w:tc>
        <w:tc>
          <w:tcPr>
            <w:tcW w:w="76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bCs/>
                <w:szCs w:val="21"/>
              </w:rPr>
            </w:pPr>
            <w:r>
              <w:rPr>
                <w:rFonts w:hint="eastAsia" w:ascii="宋体" w:hAnsi="宋体"/>
                <w:bCs/>
                <w:szCs w:val="21"/>
              </w:rPr>
              <w:t>司机</w:t>
            </w:r>
          </w:p>
        </w:tc>
        <w:tc>
          <w:tcPr>
            <w:tcW w:w="147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Cs/>
                <w:szCs w:val="21"/>
              </w:rPr>
            </w:pPr>
            <w:r>
              <w:rPr>
                <w:rFonts w:hint="eastAsia" w:ascii="宋体" w:hAnsi="宋体"/>
                <w:bCs/>
                <w:szCs w:val="21"/>
              </w:rPr>
              <w:t>水电(维修)工</w:t>
            </w:r>
          </w:p>
        </w:tc>
        <w:tc>
          <w:tcPr>
            <w:tcW w:w="64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Cs/>
                <w:szCs w:val="21"/>
              </w:rPr>
            </w:pPr>
            <w:r>
              <w:rPr>
                <w:rFonts w:hint="eastAsia" w:ascii="宋体" w:hAnsi="宋体"/>
                <w:bCs/>
                <w:szCs w:val="21"/>
              </w:rPr>
              <w:t>宿管</w:t>
            </w:r>
          </w:p>
        </w:tc>
        <w:tc>
          <w:tcPr>
            <w:tcW w:w="10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Cs/>
                <w:szCs w:val="21"/>
              </w:rPr>
            </w:pPr>
            <w:r>
              <w:rPr>
                <w:rFonts w:hint="eastAsia" w:ascii="宋体" w:hAnsi="宋体"/>
                <w:bCs/>
                <w:szCs w:val="21"/>
              </w:rPr>
              <w:t>汇总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39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Cs/>
                <w:szCs w:val="21"/>
              </w:rPr>
            </w:pPr>
            <w:r>
              <w:rPr>
                <w:rFonts w:hint="eastAsia" w:ascii="宋体" w:hAnsi="宋体"/>
                <w:bCs/>
                <w:szCs w:val="21"/>
              </w:rPr>
              <w:t>配置数量</w:t>
            </w:r>
          </w:p>
        </w:tc>
        <w:tc>
          <w:tcPr>
            <w:tcW w:w="7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Cs/>
                <w:szCs w:val="21"/>
              </w:rPr>
            </w:pPr>
            <w:r>
              <w:rPr>
                <w:rFonts w:hint="eastAsia" w:ascii="宋体" w:hAnsi="宋体"/>
                <w:bCs/>
                <w:szCs w:val="21"/>
              </w:rPr>
              <w:t>1</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Cs/>
                <w:szCs w:val="21"/>
              </w:rPr>
            </w:pPr>
            <w:r>
              <w:rPr>
                <w:rFonts w:hint="eastAsia" w:ascii="宋体" w:hAnsi="宋体"/>
                <w:bCs/>
                <w:szCs w:val="21"/>
              </w:rPr>
              <w:t>5</w:t>
            </w:r>
          </w:p>
        </w:tc>
        <w:tc>
          <w:tcPr>
            <w:tcW w:w="115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Cs/>
                <w:szCs w:val="21"/>
              </w:rPr>
            </w:pPr>
            <w:r>
              <w:rPr>
                <w:rFonts w:hint="eastAsia" w:ascii="宋体" w:hAnsi="宋体"/>
                <w:bCs/>
                <w:szCs w:val="21"/>
              </w:rPr>
              <w:t>5</w:t>
            </w:r>
          </w:p>
        </w:tc>
        <w:tc>
          <w:tcPr>
            <w:tcW w:w="76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Cs/>
                <w:szCs w:val="21"/>
              </w:rPr>
            </w:pPr>
            <w:r>
              <w:rPr>
                <w:rFonts w:hint="eastAsia" w:ascii="宋体" w:hAnsi="宋体"/>
                <w:bCs/>
                <w:szCs w:val="21"/>
              </w:rPr>
              <w:t>1</w:t>
            </w:r>
          </w:p>
        </w:tc>
        <w:tc>
          <w:tcPr>
            <w:tcW w:w="147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Cs/>
                <w:szCs w:val="21"/>
              </w:rPr>
            </w:pPr>
            <w:r>
              <w:rPr>
                <w:rFonts w:hint="eastAsia" w:ascii="宋体" w:hAnsi="宋体"/>
                <w:bCs/>
                <w:szCs w:val="21"/>
              </w:rPr>
              <w:t>1</w:t>
            </w:r>
          </w:p>
        </w:tc>
        <w:tc>
          <w:tcPr>
            <w:tcW w:w="64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Cs/>
                <w:szCs w:val="21"/>
              </w:rPr>
            </w:pPr>
            <w:r>
              <w:rPr>
                <w:rFonts w:ascii="宋体" w:hAnsi="宋体"/>
                <w:bCs/>
                <w:szCs w:val="21"/>
              </w:rPr>
              <w:t>3</w:t>
            </w:r>
          </w:p>
        </w:tc>
        <w:tc>
          <w:tcPr>
            <w:tcW w:w="10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Cs/>
                <w:szCs w:val="21"/>
              </w:rPr>
            </w:pPr>
            <w:r>
              <w:rPr>
                <w:rFonts w:hint="eastAsia" w:ascii="宋体" w:hAnsi="宋体"/>
                <w:bCs/>
                <w:szCs w:val="21"/>
              </w:rPr>
              <w:t>16</w:t>
            </w:r>
          </w:p>
        </w:tc>
      </w:tr>
    </w:tbl>
    <w:p>
      <w:pPr>
        <w:pStyle w:val="152"/>
        <w:ind w:firstLine="0" w:firstLineChars="0"/>
        <w:rPr>
          <w:b/>
          <w:bCs/>
          <w:sz w:val="28"/>
          <w:szCs w:val="28"/>
        </w:rPr>
      </w:pPr>
      <w:r>
        <w:rPr>
          <w:rFonts w:hint="eastAsia"/>
          <w:b/>
          <w:bCs/>
          <w:sz w:val="28"/>
          <w:szCs w:val="28"/>
        </w:rPr>
        <w:t>2．成都市成飞中学</w:t>
      </w:r>
    </w:p>
    <w:p>
      <w:pPr>
        <w:pStyle w:val="152"/>
        <w:ind w:firstLine="560"/>
        <w:rPr>
          <w:sz w:val="28"/>
          <w:szCs w:val="28"/>
        </w:rPr>
      </w:pPr>
      <w:r>
        <w:rPr>
          <w:rFonts w:hint="eastAsia"/>
          <w:sz w:val="28"/>
          <w:szCs w:val="28"/>
        </w:rPr>
        <w:t>学校位于成都市青羊区黄田坝经一路121号，占地面积约31261.75平方米，建筑面积约27055.17平方米，主体建筑8栋，1个主大门，有停车场，车位60个；</w:t>
      </w:r>
      <w:r>
        <w:rPr>
          <w:sz w:val="28"/>
          <w:szCs w:val="28"/>
        </w:rPr>
        <w:t>2021</w:t>
      </w:r>
      <w:r>
        <w:rPr>
          <w:rFonts w:hint="eastAsia"/>
          <w:sz w:val="28"/>
          <w:szCs w:val="28"/>
        </w:rPr>
        <w:t>年</w:t>
      </w:r>
      <w:r>
        <w:rPr>
          <w:sz w:val="28"/>
          <w:szCs w:val="28"/>
        </w:rPr>
        <w:t>9</w:t>
      </w:r>
      <w:r>
        <w:rPr>
          <w:rFonts w:hint="eastAsia"/>
          <w:sz w:val="28"/>
          <w:szCs w:val="28"/>
        </w:rPr>
        <w:t>月师生人数约 2500人。</w:t>
      </w:r>
    </w:p>
    <w:p>
      <w:pPr>
        <w:pStyle w:val="152"/>
        <w:ind w:firstLine="560"/>
        <w:rPr>
          <w:sz w:val="28"/>
          <w:szCs w:val="28"/>
        </w:rPr>
      </w:pPr>
      <w:r>
        <w:rPr>
          <w:rFonts w:hint="eastAsia"/>
          <w:sz w:val="28"/>
          <w:szCs w:val="28"/>
        </w:rPr>
        <w:t>★人员配置类别及数量</w:t>
      </w:r>
    </w:p>
    <w:p>
      <w:pPr>
        <w:spacing w:line="360" w:lineRule="auto"/>
        <w:rPr>
          <w:rFonts w:ascii="宋体" w:hAnsi="宋体" w:cs="宋体"/>
          <w:sz w:val="32"/>
          <w:szCs w:val="32"/>
        </w:rPr>
      </w:pPr>
      <w:r>
        <w:rPr>
          <w:rFonts w:hint="eastAsia" w:ascii="宋体" w:hAnsi="宋体"/>
          <w:sz w:val="28"/>
          <w:szCs w:val="28"/>
        </w:rPr>
        <w:t>该项目服务人员定编25人。</w:t>
      </w:r>
      <w:r>
        <w:rPr>
          <w:rFonts w:hint="eastAsia"/>
          <w:sz w:val="28"/>
          <w:szCs w:val="28"/>
        </w:rPr>
        <w:t>可优化配置，但不低于该配置力量。</w:t>
      </w:r>
    </w:p>
    <w:tbl>
      <w:tblPr>
        <w:tblStyle w:val="43"/>
        <w:tblW w:w="828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681"/>
        <w:gridCol w:w="708"/>
        <w:gridCol w:w="709"/>
        <w:gridCol w:w="851"/>
        <w:gridCol w:w="1580"/>
        <w:gridCol w:w="818"/>
        <w:gridCol w:w="1209"/>
        <w:gridCol w:w="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3" w:hRule="atLeast"/>
        </w:trPr>
        <w:tc>
          <w:tcPr>
            <w:tcW w:w="992" w:type="dxa"/>
            <w:tcBorders>
              <w:top w:val="single" w:color="auto" w:sz="4" w:space="0"/>
              <w:left w:val="single" w:color="auto" w:sz="4" w:space="0"/>
              <w:bottom w:val="single" w:color="auto" w:sz="4" w:space="0"/>
              <w:right w:val="single" w:color="auto" w:sz="4" w:space="0"/>
            </w:tcBorders>
            <w:vAlign w:val="center"/>
          </w:tcPr>
          <w:p>
            <w:pPr>
              <w:spacing w:line="276" w:lineRule="auto"/>
              <w:rPr>
                <w:rFonts w:ascii="宋体" w:hAnsi="宋体"/>
                <w:bCs/>
                <w:szCs w:val="21"/>
              </w:rPr>
            </w:pPr>
            <w:r>
              <w:rPr>
                <w:rFonts w:hint="eastAsia" w:ascii="宋体" w:hAnsi="宋体"/>
                <w:bCs/>
                <w:szCs w:val="21"/>
              </w:rPr>
              <w:t>人员类别</w:t>
            </w:r>
          </w:p>
        </w:tc>
        <w:tc>
          <w:tcPr>
            <w:tcW w:w="681"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bCs/>
                <w:szCs w:val="21"/>
              </w:rPr>
            </w:pPr>
            <w:r>
              <w:rPr>
                <w:rFonts w:hint="eastAsia" w:ascii="宋体" w:hAnsi="宋体"/>
                <w:bCs/>
                <w:szCs w:val="21"/>
              </w:rPr>
              <w:t>主管</w:t>
            </w:r>
          </w:p>
        </w:tc>
        <w:tc>
          <w:tcPr>
            <w:tcW w:w="708"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bCs/>
                <w:szCs w:val="21"/>
              </w:rPr>
            </w:pPr>
            <w:r>
              <w:rPr>
                <w:rFonts w:hint="eastAsia" w:ascii="宋体" w:hAnsi="宋体"/>
                <w:bCs/>
                <w:szCs w:val="21"/>
              </w:rPr>
              <w:t>秩序维护</w:t>
            </w:r>
          </w:p>
        </w:tc>
        <w:tc>
          <w:tcPr>
            <w:tcW w:w="709"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bCs/>
                <w:szCs w:val="21"/>
              </w:rPr>
            </w:pPr>
            <w:r>
              <w:rPr>
                <w:rFonts w:hint="eastAsia" w:ascii="宋体" w:hAnsi="宋体"/>
                <w:bCs/>
                <w:szCs w:val="21"/>
              </w:rPr>
              <w:t>保洁</w:t>
            </w:r>
          </w:p>
        </w:tc>
        <w:tc>
          <w:tcPr>
            <w:tcW w:w="851"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bCs/>
                <w:szCs w:val="21"/>
              </w:rPr>
            </w:pPr>
            <w:r>
              <w:rPr>
                <w:rFonts w:hint="eastAsia" w:ascii="宋体" w:hAnsi="宋体"/>
                <w:bCs/>
                <w:szCs w:val="21"/>
              </w:rPr>
              <w:t>绿化工</w:t>
            </w:r>
          </w:p>
        </w:tc>
        <w:tc>
          <w:tcPr>
            <w:tcW w:w="1580"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bCs/>
                <w:szCs w:val="21"/>
              </w:rPr>
            </w:pPr>
            <w:r>
              <w:rPr>
                <w:rFonts w:hint="eastAsia" w:ascii="宋体" w:hAnsi="宋体"/>
                <w:bCs/>
                <w:szCs w:val="21"/>
              </w:rPr>
              <w:t>水电(维修)工</w:t>
            </w:r>
          </w:p>
        </w:tc>
        <w:tc>
          <w:tcPr>
            <w:tcW w:w="818"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bCs/>
                <w:szCs w:val="21"/>
              </w:rPr>
            </w:pPr>
            <w:r>
              <w:rPr>
                <w:rFonts w:hint="eastAsia" w:ascii="宋体" w:hAnsi="宋体"/>
                <w:bCs/>
                <w:szCs w:val="21"/>
              </w:rPr>
              <w:t>宿管</w:t>
            </w:r>
          </w:p>
        </w:tc>
        <w:tc>
          <w:tcPr>
            <w:tcW w:w="1209"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bCs/>
                <w:szCs w:val="21"/>
              </w:rPr>
            </w:pPr>
            <w:r>
              <w:rPr>
                <w:rFonts w:hint="eastAsia" w:ascii="宋体" w:hAnsi="宋体"/>
                <w:bCs/>
                <w:szCs w:val="21"/>
              </w:rPr>
              <w:t>锅炉工</w:t>
            </w:r>
          </w:p>
        </w:tc>
        <w:tc>
          <w:tcPr>
            <w:tcW w:w="736"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bCs/>
                <w:szCs w:val="21"/>
              </w:rPr>
            </w:pPr>
            <w:r>
              <w:rPr>
                <w:rFonts w:hint="eastAsia" w:ascii="宋体" w:hAnsi="宋体"/>
                <w:bCs/>
                <w:szCs w:val="21"/>
              </w:rPr>
              <w:t>汇总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992"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bCs/>
                <w:szCs w:val="21"/>
              </w:rPr>
            </w:pPr>
            <w:r>
              <w:rPr>
                <w:rFonts w:hint="eastAsia" w:ascii="宋体" w:hAnsi="宋体"/>
                <w:bCs/>
                <w:szCs w:val="21"/>
              </w:rPr>
              <w:t>配置数量</w:t>
            </w:r>
          </w:p>
        </w:tc>
        <w:tc>
          <w:tcPr>
            <w:tcW w:w="681"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bCs/>
                <w:szCs w:val="21"/>
              </w:rPr>
            </w:pPr>
            <w:r>
              <w:rPr>
                <w:rFonts w:hint="eastAsia" w:ascii="宋体" w:hAnsi="宋体"/>
                <w:bCs/>
                <w:szCs w:val="21"/>
              </w:rPr>
              <w:t>1</w:t>
            </w:r>
          </w:p>
        </w:tc>
        <w:tc>
          <w:tcPr>
            <w:tcW w:w="708"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bCs/>
                <w:szCs w:val="21"/>
              </w:rPr>
            </w:pPr>
            <w:r>
              <w:rPr>
                <w:rFonts w:hint="eastAsia" w:ascii="宋体" w:hAnsi="宋体"/>
                <w:bCs/>
                <w:szCs w:val="21"/>
              </w:rPr>
              <w:t>8</w:t>
            </w:r>
          </w:p>
        </w:tc>
        <w:tc>
          <w:tcPr>
            <w:tcW w:w="709"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bCs/>
                <w:szCs w:val="21"/>
              </w:rPr>
            </w:pPr>
            <w:r>
              <w:rPr>
                <w:rFonts w:hint="eastAsia" w:ascii="宋体" w:hAnsi="宋体"/>
                <w:bCs/>
                <w:szCs w:val="21"/>
              </w:rPr>
              <w:t>5</w:t>
            </w:r>
          </w:p>
        </w:tc>
        <w:tc>
          <w:tcPr>
            <w:tcW w:w="851"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bCs/>
                <w:szCs w:val="21"/>
              </w:rPr>
            </w:pPr>
            <w:r>
              <w:rPr>
                <w:rFonts w:hint="eastAsia" w:ascii="宋体" w:hAnsi="宋体"/>
                <w:bCs/>
                <w:szCs w:val="21"/>
              </w:rPr>
              <w:t>1</w:t>
            </w:r>
          </w:p>
        </w:tc>
        <w:tc>
          <w:tcPr>
            <w:tcW w:w="1580"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bCs/>
                <w:szCs w:val="21"/>
              </w:rPr>
            </w:pPr>
            <w:r>
              <w:rPr>
                <w:rFonts w:hint="eastAsia" w:ascii="宋体" w:hAnsi="宋体"/>
                <w:bCs/>
                <w:szCs w:val="21"/>
              </w:rPr>
              <w:t>1</w:t>
            </w:r>
          </w:p>
        </w:tc>
        <w:tc>
          <w:tcPr>
            <w:tcW w:w="818"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bCs/>
                <w:szCs w:val="21"/>
              </w:rPr>
            </w:pPr>
            <w:r>
              <w:rPr>
                <w:rFonts w:hint="eastAsia" w:ascii="宋体" w:hAnsi="宋体"/>
                <w:bCs/>
                <w:szCs w:val="21"/>
              </w:rPr>
              <w:t>8</w:t>
            </w:r>
          </w:p>
        </w:tc>
        <w:tc>
          <w:tcPr>
            <w:tcW w:w="1209"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bCs/>
                <w:szCs w:val="21"/>
              </w:rPr>
            </w:pPr>
            <w:r>
              <w:rPr>
                <w:rFonts w:hint="eastAsia" w:ascii="宋体" w:hAnsi="宋体"/>
                <w:bCs/>
                <w:szCs w:val="21"/>
              </w:rPr>
              <w:t>1</w:t>
            </w:r>
          </w:p>
        </w:tc>
        <w:tc>
          <w:tcPr>
            <w:tcW w:w="736"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bCs/>
                <w:szCs w:val="21"/>
              </w:rPr>
            </w:pPr>
            <w:r>
              <w:rPr>
                <w:rFonts w:hint="eastAsia" w:ascii="宋体" w:hAnsi="宋体"/>
                <w:bCs/>
                <w:szCs w:val="21"/>
              </w:rPr>
              <w:t>25</w:t>
            </w:r>
          </w:p>
        </w:tc>
      </w:tr>
    </w:tbl>
    <w:p>
      <w:pPr>
        <w:pStyle w:val="152"/>
        <w:ind w:firstLine="0" w:firstLineChars="0"/>
        <w:rPr>
          <w:b/>
          <w:bCs/>
          <w:sz w:val="28"/>
          <w:szCs w:val="28"/>
        </w:rPr>
      </w:pPr>
      <w:r>
        <w:rPr>
          <w:b/>
          <w:bCs/>
          <w:sz w:val="28"/>
          <w:szCs w:val="28"/>
        </w:rPr>
        <w:t>3</w:t>
      </w:r>
      <w:r>
        <w:rPr>
          <w:rFonts w:hint="eastAsia"/>
          <w:b/>
          <w:bCs/>
          <w:sz w:val="28"/>
          <w:szCs w:val="28"/>
        </w:rPr>
        <w:t>．成都市第37中学</w:t>
      </w:r>
    </w:p>
    <w:p>
      <w:pPr>
        <w:pStyle w:val="152"/>
        <w:ind w:firstLine="420" w:firstLineChars="150"/>
        <w:rPr>
          <w:sz w:val="28"/>
          <w:szCs w:val="28"/>
        </w:rPr>
      </w:pPr>
      <w:r>
        <w:rPr>
          <w:rFonts w:hint="eastAsia"/>
          <w:sz w:val="28"/>
          <w:szCs w:val="28"/>
        </w:rPr>
        <w:t>学校位于青羊区培风东街388号，占地面积约47952平方米，建筑面积约19105.95平方米，主体建筑7栋，2个主大门，有停车场，车位  个；2021年9月师生人数约2200人。</w:t>
      </w:r>
    </w:p>
    <w:p>
      <w:pPr>
        <w:pStyle w:val="152"/>
        <w:ind w:firstLine="560"/>
        <w:rPr>
          <w:sz w:val="28"/>
          <w:szCs w:val="28"/>
        </w:rPr>
      </w:pPr>
      <w:r>
        <w:rPr>
          <w:rFonts w:hint="eastAsia"/>
          <w:sz w:val="28"/>
          <w:szCs w:val="28"/>
        </w:rPr>
        <w:t>★人员配置类别及数量</w:t>
      </w:r>
    </w:p>
    <w:p>
      <w:pPr>
        <w:pStyle w:val="152"/>
        <w:ind w:firstLine="560"/>
        <w:rPr>
          <w:rFonts w:ascii="仿宋_GB2312" w:eastAsia="仿宋_GB2312"/>
          <w:sz w:val="32"/>
          <w:szCs w:val="32"/>
        </w:rPr>
      </w:pPr>
      <w:r>
        <w:rPr>
          <w:rFonts w:hint="eastAsia"/>
          <w:sz w:val="28"/>
          <w:szCs w:val="28"/>
        </w:rPr>
        <w:t>该项目服务人员定编 29 人。可优化配置，但不低于该配置力量。</w:t>
      </w:r>
    </w:p>
    <w:tbl>
      <w:tblPr>
        <w:tblStyle w:val="43"/>
        <w:tblW w:w="838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6"/>
        <w:gridCol w:w="850"/>
        <w:gridCol w:w="709"/>
        <w:gridCol w:w="992"/>
        <w:gridCol w:w="1134"/>
        <w:gridCol w:w="1493"/>
        <w:gridCol w:w="964"/>
        <w:gridCol w:w="11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3" w:hRule="atLeast"/>
        </w:trPr>
        <w:tc>
          <w:tcPr>
            <w:tcW w:w="1106"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bCs/>
                <w:szCs w:val="21"/>
              </w:rPr>
            </w:pPr>
            <w:r>
              <w:rPr>
                <w:rFonts w:hint="eastAsia" w:ascii="宋体" w:hAnsi="宋体"/>
                <w:bCs/>
                <w:szCs w:val="21"/>
              </w:rPr>
              <w:t>人员类别</w:t>
            </w:r>
          </w:p>
        </w:tc>
        <w:tc>
          <w:tcPr>
            <w:tcW w:w="850"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bCs/>
                <w:szCs w:val="21"/>
              </w:rPr>
            </w:pPr>
            <w:r>
              <w:rPr>
                <w:rFonts w:hint="eastAsia" w:ascii="宋体" w:hAnsi="宋体"/>
                <w:bCs/>
                <w:szCs w:val="21"/>
              </w:rPr>
              <w:t>主管</w:t>
            </w:r>
          </w:p>
        </w:tc>
        <w:tc>
          <w:tcPr>
            <w:tcW w:w="709"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bCs/>
                <w:szCs w:val="21"/>
              </w:rPr>
            </w:pPr>
            <w:r>
              <w:rPr>
                <w:rFonts w:hint="eastAsia" w:ascii="宋体" w:hAnsi="宋体"/>
                <w:bCs/>
                <w:szCs w:val="21"/>
              </w:rPr>
              <w:t>秩序维护</w:t>
            </w:r>
          </w:p>
        </w:tc>
        <w:tc>
          <w:tcPr>
            <w:tcW w:w="992"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bCs/>
                <w:szCs w:val="21"/>
              </w:rPr>
            </w:pPr>
            <w:r>
              <w:rPr>
                <w:rFonts w:hint="eastAsia" w:ascii="宋体" w:hAnsi="宋体"/>
                <w:bCs/>
                <w:szCs w:val="21"/>
              </w:rPr>
              <w:t>保洁</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76" w:lineRule="auto"/>
              <w:rPr>
                <w:rFonts w:ascii="宋体" w:hAnsi="宋体"/>
                <w:bCs/>
                <w:szCs w:val="21"/>
              </w:rPr>
            </w:pPr>
            <w:r>
              <w:rPr>
                <w:rFonts w:hint="eastAsia" w:ascii="宋体" w:hAnsi="宋体"/>
                <w:bCs/>
                <w:szCs w:val="21"/>
              </w:rPr>
              <w:t>绿化工</w:t>
            </w:r>
          </w:p>
        </w:tc>
        <w:tc>
          <w:tcPr>
            <w:tcW w:w="1493" w:type="dxa"/>
            <w:tcBorders>
              <w:top w:val="single" w:color="auto" w:sz="4" w:space="0"/>
              <w:left w:val="single" w:color="auto" w:sz="4" w:space="0"/>
              <w:bottom w:val="single" w:color="auto" w:sz="4" w:space="0"/>
              <w:right w:val="single" w:color="auto" w:sz="4" w:space="0"/>
            </w:tcBorders>
            <w:vAlign w:val="center"/>
          </w:tcPr>
          <w:p>
            <w:pPr>
              <w:spacing w:line="276" w:lineRule="auto"/>
              <w:rPr>
                <w:rFonts w:ascii="宋体" w:hAnsi="宋体"/>
                <w:bCs/>
                <w:szCs w:val="21"/>
              </w:rPr>
            </w:pPr>
            <w:r>
              <w:rPr>
                <w:rFonts w:hint="eastAsia" w:ascii="宋体" w:hAnsi="宋体"/>
                <w:bCs/>
                <w:szCs w:val="21"/>
              </w:rPr>
              <w:t>水电(维修)工</w:t>
            </w:r>
          </w:p>
        </w:tc>
        <w:tc>
          <w:tcPr>
            <w:tcW w:w="96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bCs/>
                <w:szCs w:val="21"/>
              </w:rPr>
            </w:pPr>
            <w:r>
              <w:rPr>
                <w:rFonts w:hint="eastAsia" w:ascii="宋体" w:hAnsi="宋体"/>
                <w:bCs/>
                <w:szCs w:val="21"/>
              </w:rPr>
              <w:t>宿管</w:t>
            </w:r>
          </w:p>
        </w:tc>
        <w:tc>
          <w:tcPr>
            <w:tcW w:w="1136"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bCs/>
                <w:szCs w:val="21"/>
              </w:rPr>
            </w:pPr>
            <w:r>
              <w:rPr>
                <w:rFonts w:hint="eastAsia" w:ascii="宋体" w:hAnsi="宋体"/>
                <w:bCs/>
                <w:szCs w:val="21"/>
              </w:rPr>
              <w:t>汇总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106"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bCs/>
                <w:szCs w:val="21"/>
              </w:rPr>
            </w:pPr>
            <w:r>
              <w:rPr>
                <w:rFonts w:hint="eastAsia" w:ascii="宋体" w:hAnsi="宋体"/>
                <w:bCs/>
                <w:szCs w:val="21"/>
              </w:rPr>
              <w:t>配置数量</w:t>
            </w:r>
          </w:p>
        </w:tc>
        <w:tc>
          <w:tcPr>
            <w:tcW w:w="850"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bCs/>
                <w:szCs w:val="21"/>
              </w:rPr>
            </w:pPr>
            <w:r>
              <w:rPr>
                <w:rFonts w:hint="eastAsia" w:ascii="宋体" w:hAnsi="宋体"/>
                <w:bCs/>
                <w:szCs w:val="21"/>
              </w:rPr>
              <w:t>1</w:t>
            </w:r>
          </w:p>
        </w:tc>
        <w:tc>
          <w:tcPr>
            <w:tcW w:w="709"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bCs/>
                <w:szCs w:val="21"/>
              </w:rPr>
            </w:pPr>
            <w:r>
              <w:rPr>
                <w:rFonts w:hint="eastAsia" w:ascii="宋体" w:hAnsi="宋体"/>
                <w:bCs/>
                <w:szCs w:val="21"/>
              </w:rPr>
              <w:t>7</w:t>
            </w:r>
          </w:p>
        </w:tc>
        <w:tc>
          <w:tcPr>
            <w:tcW w:w="992"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bCs/>
                <w:szCs w:val="21"/>
              </w:rPr>
            </w:pPr>
            <w:r>
              <w:rPr>
                <w:rFonts w:hint="eastAsia" w:ascii="宋体" w:hAnsi="宋体"/>
                <w:bCs/>
                <w:szCs w:val="21"/>
              </w:rPr>
              <w:t>6</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bCs/>
                <w:szCs w:val="21"/>
              </w:rPr>
            </w:pPr>
            <w:r>
              <w:rPr>
                <w:rFonts w:hint="eastAsia" w:ascii="宋体" w:hAnsi="宋体"/>
                <w:bCs/>
                <w:szCs w:val="21"/>
              </w:rPr>
              <w:t>1</w:t>
            </w:r>
          </w:p>
        </w:tc>
        <w:tc>
          <w:tcPr>
            <w:tcW w:w="1493" w:type="dxa"/>
            <w:tcBorders>
              <w:top w:val="single" w:color="auto" w:sz="4" w:space="0"/>
              <w:left w:val="single" w:color="auto" w:sz="4" w:space="0"/>
              <w:bottom w:val="single" w:color="auto" w:sz="4" w:space="0"/>
              <w:right w:val="single" w:color="auto" w:sz="4" w:space="0"/>
            </w:tcBorders>
            <w:vAlign w:val="center"/>
          </w:tcPr>
          <w:p>
            <w:pPr>
              <w:spacing w:line="276" w:lineRule="auto"/>
              <w:rPr>
                <w:rFonts w:ascii="宋体" w:hAnsi="宋体"/>
                <w:bCs/>
                <w:szCs w:val="21"/>
              </w:rPr>
            </w:pPr>
            <w:r>
              <w:rPr>
                <w:rFonts w:hint="eastAsia" w:ascii="宋体" w:hAnsi="宋体"/>
                <w:bCs/>
                <w:szCs w:val="21"/>
              </w:rPr>
              <w:t>2</w:t>
            </w:r>
          </w:p>
        </w:tc>
        <w:tc>
          <w:tcPr>
            <w:tcW w:w="96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bCs/>
                <w:szCs w:val="21"/>
              </w:rPr>
            </w:pPr>
            <w:r>
              <w:rPr>
                <w:rFonts w:hint="eastAsia" w:ascii="宋体" w:hAnsi="宋体"/>
                <w:bCs/>
                <w:szCs w:val="21"/>
              </w:rPr>
              <w:t>12</w:t>
            </w:r>
          </w:p>
        </w:tc>
        <w:tc>
          <w:tcPr>
            <w:tcW w:w="1136"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bCs/>
                <w:szCs w:val="21"/>
              </w:rPr>
            </w:pPr>
            <w:r>
              <w:rPr>
                <w:rFonts w:hint="eastAsia" w:ascii="宋体" w:hAnsi="宋体"/>
                <w:bCs/>
                <w:szCs w:val="21"/>
              </w:rPr>
              <w:t>29</w:t>
            </w:r>
          </w:p>
        </w:tc>
      </w:tr>
    </w:tbl>
    <w:p>
      <w:pPr>
        <w:pStyle w:val="152"/>
        <w:ind w:firstLine="0" w:firstLineChars="0"/>
        <w:rPr>
          <w:b/>
          <w:bCs/>
          <w:sz w:val="28"/>
          <w:szCs w:val="28"/>
        </w:rPr>
      </w:pPr>
      <w:r>
        <w:rPr>
          <w:rFonts w:hint="eastAsia"/>
          <w:b/>
          <w:bCs/>
          <w:sz w:val="28"/>
          <w:szCs w:val="28"/>
        </w:rPr>
        <w:t>4．成都市树德协进中学</w:t>
      </w:r>
    </w:p>
    <w:p>
      <w:pPr>
        <w:pStyle w:val="152"/>
        <w:ind w:firstLine="560"/>
        <w:rPr>
          <w:sz w:val="28"/>
          <w:szCs w:val="28"/>
        </w:rPr>
      </w:pPr>
      <w:r>
        <w:rPr>
          <w:rFonts w:hint="eastAsia"/>
          <w:sz w:val="28"/>
          <w:szCs w:val="28"/>
        </w:rPr>
        <w:t>学校位于成都市青羊区西胜街</w:t>
      </w:r>
      <w:r>
        <w:rPr>
          <w:sz w:val="28"/>
          <w:szCs w:val="28"/>
        </w:rPr>
        <w:t>18</w:t>
      </w:r>
      <w:r>
        <w:rPr>
          <w:rFonts w:hint="eastAsia"/>
          <w:sz w:val="28"/>
          <w:szCs w:val="28"/>
        </w:rPr>
        <w:t>号，占地面积约</w:t>
      </w:r>
      <w:r>
        <w:rPr>
          <w:sz w:val="28"/>
          <w:szCs w:val="28"/>
        </w:rPr>
        <w:t>14432.09</w:t>
      </w:r>
      <w:r>
        <w:rPr>
          <w:rFonts w:hint="eastAsia"/>
          <w:sz w:val="28"/>
          <w:szCs w:val="28"/>
        </w:rPr>
        <w:t>平方米，建筑面积约</w:t>
      </w:r>
      <w:r>
        <w:rPr>
          <w:sz w:val="28"/>
          <w:szCs w:val="28"/>
        </w:rPr>
        <w:t>16044</w:t>
      </w:r>
      <w:r>
        <w:rPr>
          <w:rFonts w:hint="eastAsia"/>
          <w:sz w:val="28"/>
          <w:szCs w:val="28"/>
        </w:rPr>
        <w:t>平方米，主体建筑</w:t>
      </w:r>
      <w:r>
        <w:rPr>
          <w:sz w:val="28"/>
          <w:szCs w:val="28"/>
        </w:rPr>
        <w:t>5</w:t>
      </w:r>
      <w:r>
        <w:rPr>
          <w:rFonts w:hint="eastAsia"/>
          <w:sz w:val="28"/>
          <w:szCs w:val="28"/>
        </w:rPr>
        <w:t>栋，</w:t>
      </w:r>
      <w:r>
        <w:rPr>
          <w:sz w:val="28"/>
          <w:szCs w:val="28"/>
        </w:rPr>
        <w:t>1</w:t>
      </w:r>
      <w:r>
        <w:rPr>
          <w:rFonts w:hint="eastAsia"/>
          <w:sz w:val="28"/>
          <w:szCs w:val="28"/>
        </w:rPr>
        <w:t xml:space="preserve">个主大门，有(无)停车场，车位 </w:t>
      </w:r>
      <w:r>
        <w:rPr>
          <w:sz w:val="28"/>
          <w:szCs w:val="28"/>
        </w:rPr>
        <w:t xml:space="preserve">0 </w:t>
      </w:r>
      <w:r>
        <w:rPr>
          <w:rFonts w:hint="eastAsia"/>
          <w:sz w:val="28"/>
          <w:szCs w:val="28"/>
        </w:rPr>
        <w:t>个；</w:t>
      </w:r>
      <w:r>
        <w:rPr>
          <w:sz w:val="28"/>
          <w:szCs w:val="28"/>
        </w:rPr>
        <w:t>2021</w:t>
      </w:r>
      <w:r>
        <w:rPr>
          <w:rFonts w:hint="eastAsia"/>
          <w:sz w:val="28"/>
          <w:szCs w:val="28"/>
        </w:rPr>
        <w:t>年</w:t>
      </w:r>
      <w:r>
        <w:rPr>
          <w:sz w:val="28"/>
          <w:szCs w:val="28"/>
        </w:rPr>
        <w:t>9</w:t>
      </w:r>
      <w:r>
        <w:rPr>
          <w:rFonts w:hint="eastAsia"/>
          <w:sz w:val="28"/>
          <w:szCs w:val="28"/>
        </w:rPr>
        <w:t>月师生人数约</w:t>
      </w:r>
      <w:r>
        <w:rPr>
          <w:sz w:val="28"/>
          <w:szCs w:val="28"/>
        </w:rPr>
        <w:t>1459</w:t>
      </w:r>
      <w:r>
        <w:rPr>
          <w:rFonts w:hint="eastAsia"/>
          <w:sz w:val="28"/>
          <w:szCs w:val="28"/>
        </w:rPr>
        <w:t>人。</w:t>
      </w:r>
    </w:p>
    <w:p>
      <w:pPr>
        <w:pStyle w:val="152"/>
        <w:ind w:firstLine="560"/>
        <w:rPr>
          <w:sz w:val="28"/>
          <w:szCs w:val="28"/>
        </w:rPr>
      </w:pPr>
      <w:r>
        <w:rPr>
          <w:rFonts w:hint="eastAsia"/>
          <w:sz w:val="28"/>
          <w:szCs w:val="28"/>
        </w:rPr>
        <w:t>★人员配置类别及数量</w:t>
      </w:r>
    </w:p>
    <w:p>
      <w:pPr>
        <w:spacing w:line="360" w:lineRule="auto"/>
        <w:rPr>
          <w:rFonts w:ascii="仿宋_GB2312" w:eastAsia="仿宋_GB2312"/>
          <w:sz w:val="32"/>
          <w:szCs w:val="32"/>
        </w:rPr>
      </w:pPr>
      <w:r>
        <w:rPr>
          <w:rFonts w:hint="eastAsia"/>
          <w:sz w:val="28"/>
          <w:szCs w:val="28"/>
        </w:rPr>
        <w:t>该项目服务人员定编</w:t>
      </w:r>
      <w:r>
        <w:rPr>
          <w:sz w:val="28"/>
          <w:szCs w:val="28"/>
        </w:rPr>
        <w:t xml:space="preserve"> 30</w:t>
      </w:r>
      <w:r>
        <w:rPr>
          <w:rFonts w:hint="eastAsia"/>
          <w:sz w:val="28"/>
          <w:szCs w:val="28"/>
        </w:rPr>
        <w:t>人。可优化配置，但不低于该配置力量。</w:t>
      </w:r>
    </w:p>
    <w:tbl>
      <w:tblPr>
        <w:tblStyle w:val="43"/>
        <w:tblW w:w="848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2"/>
        <w:gridCol w:w="609"/>
        <w:gridCol w:w="677"/>
        <w:gridCol w:w="567"/>
        <w:gridCol w:w="709"/>
        <w:gridCol w:w="992"/>
        <w:gridCol w:w="567"/>
        <w:gridCol w:w="850"/>
        <w:gridCol w:w="993"/>
        <w:gridCol w:w="972"/>
        <w:gridCol w:w="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78" w:hRule="atLeast"/>
        </w:trPr>
        <w:tc>
          <w:tcPr>
            <w:tcW w:w="8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ascii="宋体" w:hAnsi="宋体"/>
                <w:bCs/>
                <w:color w:val="000000"/>
                <w:szCs w:val="21"/>
              </w:rPr>
            </w:pPr>
            <w:r>
              <w:rPr>
                <w:rFonts w:hint="eastAsia" w:ascii="宋体" w:hAnsi="宋体"/>
                <w:bCs/>
                <w:color w:val="000000"/>
                <w:szCs w:val="21"/>
              </w:rPr>
              <w:t xml:space="preserve">人员 </w:t>
            </w:r>
            <w:r>
              <w:rPr>
                <w:rFonts w:ascii="宋体" w:hAnsi="宋体"/>
                <w:bCs/>
                <w:color w:val="000000"/>
                <w:szCs w:val="21"/>
              </w:rPr>
              <w:t xml:space="preserve"> </w:t>
            </w:r>
            <w:r>
              <w:rPr>
                <w:rFonts w:hint="eastAsia" w:ascii="宋体" w:hAnsi="宋体"/>
                <w:bCs/>
                <w:color w:val="000000"/>
                <w:szCs w:val="21"/>
              </w:rPr>
              <w:t>类别</w:t>
            </w:r>
          </w:p>
        </w:tc>
        <w:tc>
          <w:tcPr>
            <w:tcW w:w="60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ascii="宋体" w:hAnsi="宋体"/>
                <w:bCs/>
                <w:color w:val="000000"/>
                <w:szCs w:val="21"/>
              </w:rPr>
            </w:pPr>
            <w:r>
              <w:rPr>
                <w:rFonts w:ascii="宋体" w:hAnsi="宋体"/>
                <w:bCs/>
                <w:color w:val="000000"/>
                <w:szCs w:val="21"/>
              </w:rPr>
              <w:t>主管</w:t>
            </w:r>
          </w:p>
        </w:tc>
        <w:tc>
          <w:tcPr>
            <w:tcW w:w="6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ascii="宋体" w:hAnsi="宋体"/>
                <w:bCs/>
                <w:color w:val="000000"/>
                <w:szCs w:val="21"/>
              </w:rPr>
            </w:pPr>
            <w:r>
              <w:rPr>
                <w:rFonts w:hint="eastAsia" w:ascii="宋体" w:hAnsi="宋体"/>
                <w:bCs/>
                <w:color w:val="000000"/>
                <w:szCs w:val="21"/>
              </w:rPr>
              <w:t xml:space="preserve">秩序维护 </w:t>
            </w:r>
          </w:p>
        </w:tc>
        <w:tc>
          <w:tcPr>
            <w:tcW w:w="5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ascii="宋体" w:hAnsi="宋体"/>
                <w:bCs/>
                <w:color w:val="000000"/>
                <w:szCs w:val="21"/>
              </w:rPr>
            </w:pPr>
            <w:r>
              <w:rPr>
                <w:rFonts w:hint="eastAsia" w:ascii="宋体" w:hAnsi="宋体"/>
                <w:bCs/>
                <w:color w:val="000000"/>
                <w:szCs w:val="21"/>
              </w:rPr>
              <w:t xml:space="preserve">保洁 </w:t>
            </w:r>
          </w:p>
        </w:tc>
        <w:tc>
          <w:tcPr>
            <w:tcW w:w="70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ascii="宋体" w:hAnsi="宋体"/>
                <w:bCs/>
                <w:color w:val="000000"/>
                <w:szCs w:val="21"/>
              </w:rPr>
            </w:pPr>
            <w:r>
              <w:rPr>
                <w:rFonts w:hint="eastAsia" w:ascii="宋体" w:hAnsi="宋体"/>
                <w:bCs/>
                <w:color w:val="000000"/>
                <w:szCs w:val="21"/>
              </w:rPr>
              <w:t>绿化工</w:t>
            </w:r>
          </w:p>
        </w:tc>
        <w:tc>
          <w:tcPr>
            <w:tcW w:w="99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ascii="宋体" w:hAnsi="宋体"/>
                <w:bCs/>
                <w:color w:val="000000"/>
                <w:szCs w:val="21"/>
              </w:rPr>
            </w:pPr>
            <w:r>
              <w:rPr>
                <w:rFonts w:hint="eastAsia" w:ascii="宋体" w:hAnsi="宋体"/>
                <w:bCs/>
                <w:color w:val="000000"/>
                <w:szCs w:val="21"/>
              </w:rPr>
              <w:t>水电(维修)工</w:t>
            </w:r>
          </w:p>
        </w:tc>
        <w:tc>
          <w:tcPr>
            <w:tcW w:w="5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ascii="宋体" w:hAnsi="宋体"/>
                <w:bCs/>
                <w:color w:val="000000"/>
                <w:szCs w:val="21"/>
              </w:rPr>
            </w:pPr>
            <w:r>
              <w:rPr>
                <w:rFonts w:hint="eastAsia" w:ascii="宋体" w:hAnsi="宋体"/>
                <w:bCs/>
                <w:color w:val="000000"/>
                <w:szCs w:val="21"/>
              </w:rPr>
              <w:t>宿管</w:t>
            </w:r>
          </w:p>
        </w:tc>
        <w:tc>
          <w:tcPr>
            <w:tcW w:w="8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ascii="宋体" w:hAnsi="宋体"/>
                <w:bCs/>
                <w:color w:val="000000"/>
                <w:szCs w:val="21"/>
              </w:rPr>
            </w:pPr>
            <w:r>
              <w:rPr>
                <w:rFonts w:hint="eastAsia" w:ascii="宋体" w:hAnsi="宋体"/>
                <w:bCs/>
                <w:color w:val="000000"/>
                <w:szCs w:val="21"/>
              </w:rPr>
              <w:t>事务</w:t>
            </w:r>
            <w:r>
              <w:rPr>
                <w:rFonts w:ascii="宋体" w:hAnsi="宋体"/>
                <w:bCs/>
                <w:color w:val="000000"/>
                <w:szCs w:val="21"/>
              </w:rPr>
              <w:t>兼</w:t>
            </w:r>
            <w:r>
              <w:rPr>
                <w:rFonts w:hint="eastAsia" w:ascii="宋体" w:hAnsi="宋体"/>
                <w:bCs/>
                <w:color w:val="000000"/>
                <w:szCs w:val="21"/>
              </w:rPr>
              <w:t xml:space="preserve"> </w:t>
            </w:r>
            <w:r>
              <w:rPr>
                <w:rFonts w:ascii="宋体" w:hAnsi="宋体"/>
                <w:bCs/>
                <w:color w:val="000000"/>
                <w:szCs w:val="21"/>
              </w:rPr>
              <w:t>司机</w:t>
            </w:r>
          </w:p>
        </w:tc>
        <w:tc>
          <w:tcPr>
            <w:tcW w:w="9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ascii="宋体" w:hAnsi="宋体"/>
                <w:bCs/>
                <w:color w:val="000000"/>
                <w:szCs w:val="21"/>
              </w:rPr>
            </w:pPr>
            <w:r>
              <w:rPr>
                <w:rFonts w:hint="eastAsia" w:ascii="宋体" w:hAnsi="宋体"/>
                <w:bCs/>
                <w:color w:val="000000"/>
                <w:szCs w:val="21"/>
              </w:rPr>
              <w:t>体育</w:t>
            </w:r>
            <w:r>
              <w:rPr>
                <w:rFonts w:ascii="宋体" w:hAnsi="宋体"/>
                <w:bCs/>
                <w:color w:val="000000"/>
                <w:szCs w:val="21"/>
              </w:rPr>
              <w:t>用品保管员</w:t>
            </w:r>
          </w:p>
        </w:tc>
        <w:tc>
          <w:tcPr>
            <w:tcW w:w="97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ascii="宋体" w:hAnsi="宋体"/>
                <w:bCs/>
                <w:color w:val="000000"/>
                <w:szCs w:val="21"/>
              </w:rPr>
            </w:pPr>
            <w:r>
              <w:rPr>
                <w:rFonts w:hint="eastAsia" w:ascii="宋体" w:hAnsi="宋体"/>
                <w:bCs/>
                <w:color w:val="000000"/>
                <w:szCs w:val="21"/>
              </w:rPr>
              <w:t>住校生晚自习</w:t>
            </w:r>
            <w:r>
              <w:rPr>
                <w:rFonts w:ascii="宋体" w:hAnsi="宋体"/>
                <w:bCs/>
                <w:color w:val="000000"/>
                <w:szCs w:val="21"/>
              </w:rPr>
              <w:t>管理员</w:t>
            </w:r>
          </w:p>
        </w:tc>
        <w:tc>
          <w:tcPr>
            <w:tcW w:w="7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ascii="宋体" w:hAnsi="宋体"/>
                <w:bCs/>
                <w:color w:val="000000"/>
                <w:szCs w:val="21"/>
              </w:rPr>
            </w:pPr>
            <w:r>
              <w:rPr>
                <w:rFonts w:hint="eastAsia" w:ascii="宋体" w:hAnsi="宋体"/>
                <w:bCs/>
                <w:color w:val="000000"/>
                <w:szCs w:val="21"/>
              </w:rPr>
              <w:t>汇总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trPr>
        <w:tc>
          <w:tcPr>
            <w:tcW w:w="8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ascii="宋体" w:hAnsi="宋体"/>
                <w:bCs/>
                <w:color w:val="000000"/>
                <w:szCs w:val="21"/>
              </w:rPr>
            </w:pPr>
            <w:r>
              <w:rPr>
                <w:rFonts w:hint="eastAsia" w:ascii="宋体" w:hAnsi="宋体"/>
                <w:bCs/>
                <w:color w:val="000000"/>
                <w:szCs w:val="21"/>
              </w:rPr>
              <w:t xml:space="preserve"> 配置数量</w:t>
            </w:r>
          </w:p>
        </w:tc>
        <w:tc>
          <w:tcPr>
            <w:tcW w:w="60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ascii="宋体" w:hAnsi="宋体"/>
                <w:bCs/>
                <w:color w:val="000000"/>
                <w:szCs w:val="21"/>
              </w:rPr>
            </w:pPr>
            <w:r>
              <w:rPr>
                <w:rFonts w:ascii="宋体" w:hAnsi="宋体"/>
                <w:bCs/>
                <w:color w:val="000000"/>
                <w:szCs w:val="21"/>
              </w:rPr>
              <w:t>1</w:t>
            </w:r>
          </w:p>
        </w:tc>
        <w:tc>
          <w:tcPr>
            <w:tcW w:w="6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210" w:firstLineChars="100"/>
              <w:rPr>
                <w:rFonts w:ascii="宋体" w:hAnsi="宋体"/>
                <w:bCs/>
                <w:color w:val="000000"/>
                <w:szCs w:val="21"/>
              </w:rPr>
            </w:pPr>
            <w:r>
              <w:rPr>
                <w:rFonts w:ascii="宋体" w:hAnsi="宋体"/>
                <w:bCs/>
                <w:color w:val="000000"/>
                <w:szCs w:val="21"/>
              </w:rPr>
              <w:t>7</w:t>
            </w:r>
          </w:p>
        </w:tc>
        <w:tc>
          <w:tcPr>
            <w:tcW w:w="5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ascii="宋体" w:hAnsi="宋体"/>
                <w:bCs/>
                <w:color w:val="000000"/>
                <w:szCs w:val="21"/>
              </w:rPr>
            </w:pPr>
            <w:r>
              <w:rPr>
                <w:rFonts w:hint="eastAsia" w:ascii="宋体" w:hAnsi="宋体"/>
                <w:bCs/>
                <w:color w:val="000000"/>
                <w:szCs w:val="21"/>
              </w:rPr>
              <w:t>6</w:t>
            </w:r>
          </w:p>
        </w:tc>
        <w:tc>
          <w:tcPr>
            <w:tcW w:w="70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210" w:firstLineChars="100"/>
              <w:rPr>
                <w:rFonts w:ascii="宋体" w:hAnsi="宋体"/>
                <w:bCs/>
                <w:color w:val="000000"/>
                <w:szCs w:val="21"/>
              </w:rPr>
            </w:pPr>
            <w:r>
              <w:rPr>
                <w:rFonts w:hint="eastAsia" w:ascii="宋体" w:hAnsi="宋体"/>
                <w:bCs/>
                <w:color w:val="000000"/>
                <w:szCs w:val="21"/>
              </w:rPr>
              <w:t>1</w:t>
            </w:r>
          </w:p>
        </w:tc>
        <w:tc>
          <w:tcPr>
            <w:tcW w:w="99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210" w:firstLineChars="100"/>
              <w:rPr>
                <w:rFonts w:ascii="宋体" w:hAnsi="宋体"/>
                <w:bCs/>
                <w:color w:val="000000"/>
                <w:szCs w:val="21"/>
              </w:rPr>
            </w:pPr>
            <w:r>
              <w:rPr>
                <w:rFonts w:hint="eastAsia" w:ascii="宋体" w:hAnsi="宋体"/>
                <w:bCs/>
                <w:color w:val="000000"/>
                <w:szCs w:val="21"/>
              </w:rPr>
              <w:t>1</w:t>
            </w:r>
          </w:p>
        </w:tc>
        <w:tc>
          <w:tcPr>
            <w:tcW w:w="5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210" w:firstLineChars="100"/>
              <w:rPr>
                <w:rFonts w:ascii="宋体" w:hAnsi="宋体"/>
                <w:bCs/>
                <w:color w:val="000000"/>
                <w:szCs w:val="21"/>
              </w:rPr>
            </w:pPr>
            <w:r>
              <w:rPr>
                <w:rFonts w:ascii="宋体" w:hAnsi="宋体"/>
                <w:bCs/>
                <w:color w:val="000000"/>
                <w:szCs w:val="21"/>
              </w:rPr>
              <w:t>6</w:t>
            </w:r>
          </w:p>
        </w:tc>
        <w:tc>
          <w:tcPr>
            <w:tcW w:w="8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ascii="宋体" w:hAnsi="宋体"/>
                <w:bCs/>
                <w:color w:val="000000"/>
                <w:szCs w:val="21"/>
              </w:rPr>
            </w:pPr>
            <w:r>
              <w:rPr>
                <w:rFonts w:hint="eastAsia" w:ascii="宋体" w:hAnsi="宋体"/>
                <w:bCs/>
                <w:color w:val="000000"/>
                <w:szCs w:val="21"/>
              </w:rPr>
              <w:t>1</w:t>
            </w:r>
          </w:p>
        </w:tc>
        <w:tc>
          <w:tcPr>
            <w:tcW w:w="9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ascii="宋体" w:hAnsi="宋体"/>
                <w:bCs/>
                <w:color w:val="000000"/>
                <w:szCs w:val="21"/>
              </w:rPr>
            </w:pPr>
            <w:r>
              <w:rPr>
                <w:rFonts w:hint="eastAsia" w:ascii="宋体" w:hAnsi="宋体"/>
                <w:bCs/>
                <w:color w:val="000000"/>
                <w:szCs w:val="21"/>
              </w:rPr>
              <w:t>1</w:t>
            </w:r>
          </w:p>
        </w:tc>
        <w:tc>
          <w:tcPr>
            <w:tcW w:w="97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ascii="宋体" w:hAnsi="宋体"/>
                <w:bCs/>
                <w:color w:val="000000"/>
                <w:szCs w:val="21"/>
              </w:rPr>
            </w:pPr>
            <w:r>
              <w:rPr>
                <w:rFonts w:ascii="宋体" w:hAnsi="宋体"/>
                <w:bCs/>
                <w:color w:val="000000"/>
                <w:szCs w:val="21"/>
              </w:rPr>
              <w:t>6</w:t>
            </w:r>
          </w:p>
        </w:tc>
        <w:tc>
          <w:tcPr>
            <w:tcW w:w="7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ascii="宋体" w:hAnsi="宋体"/>
                <w:bCs/>
                <w:color w:val="000000"/>
                <w:szCs w:val="21"/>
              </w:rPr>
            </w:pPr>
            <w:r>
              <w:rPr>
                <w:rFonts w:hint="eastAsia" w:ascii="宋体" w:hAnsi="宋体"/>
                <w:bCs/>
                <w:color w:val="000000"/>
                <w:szCs w:val="21"/>
              </w:rPr>
              <w:t>30</w:t>
            </w:r>
          </w:p>
        </w:tc>
      </w:tr>
    </w:tbl>
    <w:p>
      <w:pPr>
        <w:rPr>
          <w:rFonts w:ascii="宋体" w:hAnsi="宋体" w:cs="宋体"/>
          <w:szCs w:val="21"/>
        </w:rPr>
      </w:pPr>
    </w:p>
    <w:p>
      <w:pPr>
        <w:pStyle w:val="152"/>
        <w:ind w:firstLine="0" w:firstLineChars="0"/>
        <w:rPr>
          <w:b/>
          <w:bCs/>
          <w:color w:val="000000"/>
          <w:sz w:val="28"/>
          <w:szCs w:val="28"/>
        </w:rPr>
      </w:pPr>
      <w:r>
        <w:rPr>
          <w:rFonts w:hint="eastAsia"/>
          <w:b/>
          <w:bCs/>
          <w:color w:val="000000"/>
          <w:sz w:val="28"/>
          <w:szCs w:val="28"/>
        </w:rPr>
        <w:t>二、服务要求</w:t>
      </w:r>
    </w:p>
    <w:p>
      <w:pPr>
        <w:pStyle w:val="152"/>
        <w:ind w:firstLine="700" w:firstLineChars="250"/>
        <w:rPr>
          <w:sz w:val="28"/>
          <w:szCs w:val="28"/>
        </w:rPr>
      </w:pPr>
      <w:r>
        <w:rPr>
          <w:rFonts w:hint="eastAsia"/>
          <w:sz w:val="28"/>
          <w:szCs w:val="28"/>
        </w:rPr>
        <w:t>以下为该项目人员、服务及质量、考核等基本要求，供应商应在此基础上根据学校实际情况(学校性质、校园面积、学生年龄特征、师生人数等</w:t>
      </w:r>
      <w:r>
        <w:rPr>
          <w:sz w:val="28"/>
          <w:szCs w:val="28"/>
        </w:rPr>
        <w:t>)</w:t>
      </w:r>
      <w:r>
        <w:rPr>
          <w:rFonts w:hint="eastAsia"/>
          <w:sz w:val="28"/>
          <w:szCs w:val="28"/>
        </w:rPr>
        <w:t>合理配置人员、完善各项管理制度、岗位职责、服务标准、服务流程、考核办法等。</w:t>
      </w:r>
    </w:p>
    <w:p>
      <w:pPr>
        <w:pStyle w:val="152"/>
        <w:ind w:firstLine="560"/>
        <w:rPr>
          <w:sz w:val="28"/>
          <w:szCs w:val="28"/>
        </w:rPr>
      </w:pPr>
      <w:r>
        <w:rPr>
          <w:rFonts w:hint="eastAsia"/>
          <w:sz w:val="28"/>
          <w:szCs w:val="28"/>
        </w:rPr>
        <w:t>1、人员基本要求</w:t>
      </w:r>
    </w:p>
    <w:p>
      <w:pPr>
        <w:pStyle w:val="152"/>
        <w:ind w:firstLine="560"/>
        <w:rPr>
          <w:color w:val="000000"/>
          <w:sz w:val="28"/>
          <w:szCs w:val="28"/>
        </w:rPr>
      </w:pPr>
      <w:r>
        <w:rPr>
          <w:rFonts w:hint="eastAsia"/>
          <w:sz w:val="28"/>
          <w:szCs w:val="28"/>
        </w:rPr>
        <w:t>★</w:t>
      </w:r>
      <w:r>
        <w:rPr>
          <w:rFonts w:hint="eastAsia" w:ascii="宋体" w:hAnsi="宋体"/>
          <w:color w:val="000000"/>
          <w:sz w:val="28"/>
          <w:szCs w:val="28"/>
        </w:rPr>
        <w:t>（1）热爱党、热爱祖国，拥护党的基本路线，遵纪守法。 有爱心、责任心和耐心，工作认真、细致，具有较强的服务意识和良好的组织协调能力、沟通能力。(提供承</w:t>
      </w:r>
      <w:r>
        <w:rPr>
          <w:rFonts w:hint="eastAsia"/>
          <w:sz w:val="28"/>
          <w:szCs w:val="28"/>
        </w:rPr>
        <w:t>诺函，入驻校点时提供相应无吸毒史</w:t>
      </w:r>
      <w:r>
        <w:rPr>
          <w:rFonts w:hint="eastAsia"/>
          <w:color w:val="000000"/>
          <w:sz w:val="28"/>
          <w:szCs w:val="28"/>
        </w:rPr>
        <w:t>、无犯罪史的证明材料)；</w:t>
      </w:r>
    </w:p>
    <w:p>
      <w:pPr>
        <w:pStyle w:val="152"/>
        <w:ind w:firstLine="560"/>
        <w:rPr>
          <w:color w:val="000000"/>
          <w:sz w:val="28"/>
          <w:szCs w:val="28"/>
        </w:rPr>
      </w:pPr>
      <w:r>
        <w:rPr>
          <w:rFonts w:hint="eastAsia"/>
          <w:sz w:val="28"/>
          <w:szCs w:val="28"/>
        </w:rPr>
        <w:t>★</w:t>
      </w:r>
      <w:r>
        <w:rPr>
          <w:rFonts w:hint="eastAsia" w:ascii="宋体" w:hAnsi="宋体"/>
          <w:color w:val="000000"/>
          <w:sz w:val="28"/>
          <w:szCs w:val="28"/>
        </w:rPr>
        <w:t>（2）</w:t>
      </w:r>
      <w:r>
        <w:rPr>
          <w:rFonts w:hint="eastAsia"/>
          <w:color w:val="000000"/>
          <w:sz w:val="28"/>
          <w:szCs w:val="28"/>
        </w:rPr>
        <w:t>身体健康，并持健康证，无精神病史(提供承诺函，入驻校点时提供健康证)；</w:t>
      </w:r>
    </w:p>
    <w:p>
      <w:pPr>
        <w:pStyle w:val="152"/>
        <w:ind w:firstLine="560"/>
        <w:rPr>
          <w:color w:val="000000"/>
          <w:sz w:val="28"/>
          <w:szCs w:val="28"/>
        </w:rPr>
      </w:pPr>
      <w:bookmarkStart w:id="253" w:name="_Hlk90383678"/>
      <w:r>
        <w:rPr>
          <w:rFonts w:hint="eastAsia"/>
          <w:sz w:val="28"/>
          <w:szCs w:val="28"/>
        </w:rPr>
        <w:t>★</w:t>
      </w:r>
      <w:bookmarkEnd w:id="253"/>
      <w:r>
        <w:rPr>
          <w:rFonts w:hint="eastAsia" w:ascii="宋体" w:hAnsi="宋体"/>
          <w:color w:val="000000"/>
          <w:sz w:val="28"/>
          <w:szCs w:val="28"/>
        </w:rPr>
        <w:t>（</w:t>
      </w:r>
      <w:r>
        <w:rPr>
          <w:rFonts w:ascii="宋体" w:hAnsi="宋体"/>
          <w:color w:val="000000"/>
          <w:sz w:val="28"/>
          <w:szCs w:val="28"/>
        </w:rPr>
        <w:t>3</w:t>
      </w:r>
      <w:r>
        <w:rPr>
          <w:rFonts w:hint="eastAsia" w:ascii="宋体" w:hAnsi="宋体"/>
          <w:color w:val="000000"/>
          <w:sz w:val="28"/>
          <w:szCs w:val="28"/>
        </w:rPr>
        <w:t>）</w:t>
      </w:r>
      <w:r>
        <w:rPr>
          <w:color w:val="000000"/>
          <w:sz w:val="28"/>
          <w:szCs w:val="28"/>
        </w:rPr>
        <w:t>年龄</w:t>
      </w:r>
      <w:r>
        <w:rPr>
          <w:rFonts w:hint="eastAsia"/>
          <w:color w:val="000000"/>
          <w:sz w:val="28"/>
          <w:szCs w:val="28"/>
        </w:rPr>
        <w:t>范围</w:t>
      </w:r>
      <w:r>
        <w:rPr>
          <w:color w:val="000000"/>
          <w:sz w:val="28"/>
          <w:szCs w:val="28"/>
        </w:rPr>
        <w:t>：</w:t>
      </w:r>
      <w:r>
        <w:rPr>
          <w:rFonts w:hint="eastAsia"/>
          <w:color w:val="000000"/>
          <w:sz w:val="28"/>
          <w:szCs w:val="28"/>
        </w:rPr>
        <w:t>男性:</w:t>
      </w:r>
      <w:bookmarkStart w:id="254" w:name="_Hlk88127197"/>
      <w:r>
        <w:rPr>
          <w:rFonts w:hint="eastAsia"/>
          <w:color w:val="000000"/>
          <w:sz w:val="28"/>
          <w:szCs w:val="28"/>
        </w:rPr>
        <w:t>18—55岁</w:t>
      </w:r>
      <w:bookmarkEnd w:id="254"/>
      <w:r>
        <w:rPr>
          <w:rFonts w:hint="eastAsia"/>
          <w:color w:val="000000"/>
          <w:sz w:val="28"/>
          <w:szCs w:val="28"/>
        </w:rPr>
        <w:t>之间，</w:t>
      </w:r>
      <w:bookmarkStart w:id="255" w:name="_Hlk87446805"/>
      <w:r>
        <w:rPr>
          <w:rFonts w:hint="eastAsia"/>
          <w:color w:val="000000"/>
          <w:sz w:val="28"/>
          <w:szCs w:val="28"/>
        </w:rPr>
        <w:t xml:space="preserve"> 女性: 18—50岁</w:t>
      </w:r>
      <w:bookmarkEnd w:id="255"/>
      <w:bookmarkStart w:id="256" w:name="_Hlk88127208"/>
      <w:r>
        <w:rPr>
          <w:rFonts w:hint="eastAsia"/>
          <w:color w:val="000000"/>
          <w:sz w:val="28"/>
          <w:szCs w:val="28"/>
        </w:rPr>
        <w:t>；(提供承诺函)；</w:t>
      </w:r>
    </w:p>
    <w:p>
      <w:pPr>
        <w:pStyle w:val="152"/>
        <w:ind w:firstLine="560"/>
        <w:rPr>
          <w:color w:val="000000"/>
          <w:sz w:val="28"/>
          <w:szCs w:val="28"/>
        </w:rPr>
      </w:pPr>
      <w:r>
        <w:rPr>
          <w:rFonts w:hint="eastAsia"/>
          <w:sz w:val="28"/>
          <w:szCs w:val="28"/>
        </w:rPr>
        <w:t>★</w:t>
      </w:r>
      <w:r>
        <w:rPr>
          <w:rFonts w:hint="eastAsia"/>
          <w:color w:val="000000"/>
          <w:sz w:val="28"/>
          <w:szCs w:val="28"/>
        </w:rPr>
        <w:t>（4）</w:t>
      </w:r>
      <w:bookmarkEnd w:id="256"/>
      <w:r>
        <w:rPr>
          <w:rFonts w:hint="eastAsia"/>
          <w:color w:val="000000"/>
          <w:sz w:val="28"/>
          <w:szCs w:val="28"/>
        </w:rPr>
        <w:t>秩序维护要求:男性身高不低于170cm，女性身高不低于160cm，具有保安证。</w:t>
      </w:r>
    </w:p>
    <w:p>
      <w:pPr>
        <w:pStyle w:val="152"/>
        <w:ind w:firstLine="560"/>
        <w:rPr>
          <w:color w:val="000000"/>
          <w:sz w:val="28"/>
          <w:szCs w:val="28"/>
        </w:rPr>
      </w:pPr>
      <w:r>
        <w:rPr>
          <w:rFonts w:hint="eastAsia" w:ascii="宋体" w:hAnsi="宋体"/>
          <w:color w:val="000000"/>
          <w:sz w:val="28"/>
          <w:szCs w:val="28"/>
        </w:rPr>
        <w:t>（</w:t>
      </w:r>
      <w:r>
        <w:rPr>
          <w:rFonts w:ascii="宋体" w:hAnsi="宋体"/>
          <w:color w:val="000000"/>
          <w:sz w:val="28"/>
          <w:szCs w:val="28"/>
        </w:rPr>
        <w:t>5</w:t>
      </w:r>
      <w:r>
        <w:rPr>
          <w:rFonts w:hint="eastAsia" w:ascii="宋体" w:hAnsi="宋体"/>
          <w:color w:val="000000"/>
          <w:sz w:val="28"/>
          <w:szCs w:val="28"/>
        </w:rPr>
        <w:t>）特殊要求:</w:t>
      </w:r>
      <w:r>
        <w:rPr>
          <w:rFonts w:hint="eastAsia"/>
          <w:color w:val="000000"/>
          <w:sz w:val="28"/>
          <w:szCs w:val="28"/>
        </w:rPr>
        <w:t>宿舍管理人员需要具有高中或中专、职高(含)以上的学历，如果具有教师资格证或心理咨询师资格证，年龄可放宽至60岁；</w:t>
      </w:r>
    </w:p>
    <w:p>
      <w:pPr>
        <w:pStyle w:val="152"/>
        <w:ind w:firstLine="560"/>
        <w:rPr>
          <w:sz w:val="24"/>
        </w:rPr>
      </w:pPr>
      <w:r>
        <w:rPr>
          <w:rFonts w:hint="eastAsia"/>
          <w:sz w:val="28"/>
          <w:szCs w:val="28"/>
        </w:rPr>
        <w:t>2.服务内容:</w:t>
      </w:r>
    </w:p>
    <w:tbl>
      <w:tblPr>
        <w:tblStyle w:val="43"/>
        <w:tblW w:w="84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6"/>
        <w:gridCol w:w="891"/>
        <w:gridCol w:w="6218"/>
        <w:gridCol w:w="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pPr>
              <w:pStyle w:val="152"/>
              <w:spacing w:line="420" w:lineRule="exact"/>
              <w:ind w:firstLine="0" w:firstLineChars="0"/>
              <w:rPr>
                <w:kern w:val="0"/>
                <w:sz w:val="24"/>
              </w:rPr>
            </w:pPr>
            <w:r>
              <w:rPr>
                <w:rFonts w:hint="eastAsia"/>
                <w:kern w:val="0"/>
                <w:sz w:val="24"/>
              </w:rPr>
              <w:t>序</w:t>
            </w:r>
          </w:p>
        </w:tc>
        <w:tc>
          <w:tcPr>
            <w:tcW w:w="891" w:type="dxa"/>
            <w:vAlign w:val="center"/>
          </w:tcPr>
          <w:p>
            <w:pPr>
              <w:pStyle w:val="152"/>
              <w:spacing w:line="420" w:lineRule="exact"/>
              <w:ind w:firstLine="0" w:firstLineChars="0"/>
              <w:rPr>
                <w:kern w:val="0"/>
                <w:sz w:val="24"/>
              </w:rPr>
            </w:pPr>
            <w:r>
              <w:rPr>
                <w:rFonts w:hint="eastAsia"/>
                <w:kern w:val="0"/>
                <w:sz w:val="24"/>
              </w:rPr>
              <w:t>服务</w:t>
            </w:r>
          </w:p>
          <w:p>
            <w:pPr>
              <w:pStyle w:val="152"/>
              <w:spacing w:line="420" w:lineRule="exact"/>
              <w:ind w:firstLine="0" w:firstLineChars="0"/>
              <w:rPr>
                <w:kern w:val="0"/>
                <w:sz w:val="24"/>
              </w:rPr>
            </w:pPr>
            <w:r>
              <w:rPr>
                <w:rFonts w:hint="eastAsia"/>
                <w:kern w:val="0"/>
                <w:sz w:val="24"/>
              </w:rPr>
              <w:t>项目</w:t>
            </w:r>
          </w:p>
        </w:tc>
        <w:tc>
          <w:tcPr>
            <w:tcW w:w="6218" w:type="dxa"/>
            <w:vAlign w:val="center"/>
          </w:tcPr>
          <w:p>
            <w:pPr>
              <w:pStyle w:val="152"/>
              <w:spacing w:line="420" w:lineRule="exact"/>
              <w:ind w:firstLine="2400" w:firstLineChars="1000"/>
              <w:rPr>
                <w:kern w:val="0"/>
                <w:sz w:val="24"/>
              </w:rPr>
            </w:pPr>
            <w:r>
              <w:rPr>
                <w:rFonts w:hint="eastAsia"/>
                <w:kern w:val="0"/>
                <w:sz w:val="24"/>
              </w:rPr>
              <w:t>服务内容和标准</w:t>
            </w:r>
          </w:p>
        </w:tc>
        <w:tc>
          <w:tcPr>
            <w:tcW w:w="800" w:type="dxa"/>
            <w:vAlign w:val="center"/>
          </w:tcPr>
          <w:p>
            <w:pPr>
              <w:pStyle w:val="152"/>
              <w:spacing w:line="420" w:lineRule="exact"/>
              <w:ind w:firstLine="0" w:firstLineChars="0"/>
              <w:rPr>
                <w:kern w:val="0"/>
                <w:sz w:val="24"/>
              </w:rPr>
            </w:pPr>
            <w:r>
              <w:rPr>
                <w:rFonts w:hint="eastAsia"/>
                <w:kern w:val="0"/>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tcPr>
          <w:p>
            <w:pPr>
              <w:pStyle w:val="152"/>
              <w:spacing w:line="420" w:lineRule="exact"/>
              <w:ind w:firstLine="0" w:firstLineChars="0"/>
              <w:rPr>
                <w:kern w:val="0"/>
                <w:sz w:val="24"/>
              </w:rPr>
            </w:pPr>
          </w:p>
          <w:p>
            <w:pPr>
              <w:pStyle w:val="152"/>
              <w:spacing w:line="420" w:lineRule="exact"/>
              <w:ind w:firstLine="0" w:firstLineChars="0"/>
              <w:rPr>
                <w:kern w:val="0"/>
                <w:sz w:val="24"/>
              </w:rPr>
            </w:pPr>
          </w:p>
          <w:p>
            <w:pPr>
              <w:pStyle w:val="152"/>
              <w:spacing w:line="420" w:lineRule="exact"/>
              <w:ind w:firstLine="0" w:firstLineChars="0"/>
              <w:rPr>
                <w:kern w:val="0"/>
                <w:sz w:val="24"/>
              </w:rPr>
            </w:pPr>
          </w:p>
          <w:p>
            <w:pPr>
              <w:pStyle w:val="152"/>
              <w:spacing w:line="420" w:lineRule="exact"/>
              <w:ind w:firstLine="0" w:firstLineChars="0"/>
              <w:rPr>
                <w:kern w:val="0"/>
                <w:sz w:val="24"/>
              </w:rPr>
            </w:pPr>
          </w:p>
          <w:p>
            <w:pPr>
              <w:pStyle w:val="152"/>
              <w:spacing w:line="420" w:lineRule="exact"/>
              <w:ind w:firstLine="0" w:firstLineChars="0"/>
              <w:rPr>
                <w:kern w:val="0"/>
                <w:sz w:val="24"/>
              </w:rPr>
            </w:pPr>
          </w:p>
          <w:p>
            <w:pPr>
              <w:pStyle w:val="152"/>
              <w:spacing w:line="420" w:lineRule="exact"/>
              <w:ind w:firstLine="0" w:firstLineChars="0"/>
              <w:rPr>
                <w:kern w:val="0"/>
                <w:sz w:val="24"/>
              </w:rPr>
            </w:pPr>
          </w:p>
          <w:p>
            <w:pPr>
              <w:pStyle w:val="152"/>
              <w:spacing w:line="420" w:lineRule="exact"/>
              <w:ind w:firstLine="0" w:firstLineChars="0"/>
              <w:rPr>
                <w:kern w:val="0"/>
                <w:sz w:val="24"/>
              </w:rPr>
            </w:pPr>
          </w:p>
          <w:p>
            <w:pPr>
              <w:pStyle w:val="152"/>
              <w:spacing w:line="420" w:lineRule="exact"/>
              <w:ind w:firstLine="0" w:firstLineChars="0"/>
              <w:rPr>
                <w:kern w:val="0"/>
                <w:sz w:val="24"/>
              </w:rPr>
            </w:pPr>
          </w:p>
          <w:p>
            <w:pPr>
              <w:pStyle w:val="152"/>
              <w:spacing w:line="420" w:lineRule="exact"/>
              <w:ind w:firstLine="0" w:firstLineChars="0"/>
              <w:rPr>
                <w:kern w:val="0"/>
                <w:sz w:val="24"/>
              </w:rPr>
            </w:pPr>
          </w:p>
          <w:p>
            <w:pPr>
              <w:pStyle w:val="152"/>
              <w:spacing w:line="420" w:lineRule="exact"/>
              <w:ind w:firstLine="0" w:firstLineChars="0"/>
              <w:rPr>
                <w:kern w:val="0"/>
                <w:sz w:val="24"/>
              </w:rPr>
            </w:pPr>
          </w:p>
          <w:p>
            <w:pPr>
              <w:pStyle w:val="152"/>
              <w:spacing w:line="420" w:lineRule="exact"/>
              <w:ind w:firstLine="0" w:firstLineChars="0"/>
              <w:rPr>
                <w:kern w:val="0"/>
                <w:sz w:val="24"/>
              </w:rPr>
            </w:pPr>
          </w:p>
          <w:p>
            <w:pPr>
              <w:pStyle w:val="152"/>
              <w:spacing w:line="420" w:lineRule="exact"/>
              <w:ind w:firstLine="0" w:firstLineChars="0"/>
              <w:rPr>
                <w:kern w:val="0"/>
                <w:sz w:val="24"/>
              </w:rPr>
            </w:pPr>
          </w:p>
          <w:p>
            <w:pPr>
              <w:pStyle w:val="152"/>
              <w:spacing w:line="420" w:lineRule="exact"/>
              <w:ind w:firstLine="0" w:firstLineChars="0"/>
              <w:rPr>
                <w:kern w:val="0"/>
                <w:sz w:val="24"/>
              </w:rPr>
            </w:pPr>
          </w:p>
          <w:p>
            <w:pPr>
              <w:pStyle w:val="152"/>
              <w:spacing w:line="420" w:lineRule="exact"/>
              <w:ind w:firstLine="0" w:firstLineChars="0"/>
              <w:rPr>
                <w:kern w:val="0"/>
                <w:sz w:val="24"/>
              </w:rPr>
            </w:pPr>
          </w:p>
          <w:p>
            <w:pPr>
              <w:pStyle w:val="152"/>
              <w:spacing w:line="420" w:lineRule="exact"/>
              <w:ind w:firstLine="0" w:firstLineChars="0"/>
              <w:rPr>
                <w:kern w:val="0"/>
                <w:sz w:val="24"/>
              </w:rPr>
            </w:pPr>
            <w:r>
              <w:rPr>
                <w:rFonts w:hint="eastAsia"/>
                <w:kern w:val="0"/>
                <w:sz w:val="24"/>
              </w:rPr>
              <w:t>1</w:t>
            </w:r>
          </w:p>
        </w:tc>
        <w:tc>
          <w:tcPr>
            <w:tcW w:w="891" w:type="dxa"/>
            <w:vAlign w:val="center"/>
          </w:tcPr>
          <w:p>
            <w:pPr>
              <w:pStyle w:val="152"/>
              <w:spacing w:line="420" w:lineRule="exact"/>
              <w:ind w:firstLine="0" w:firstLineChars="0"/>
              <w:rPr>
                <w:kern w:val="0"/>
                <w:sz w:val="24"/>
              </w:rPr>
            </w:pPr>
            <w:r>
              <w:rPr>
                <w:rFonts w:hint="eastAsia"/>
                <w:kern w:val="0"/>
                <w:sz w:val="24"/>
              </w:rPr>
              <w:t>秩序维护</w:t>
            </w:r>
          </w:p>
        </w:tc>
        <w:tc>
          <w:tcPr>
            <w:tcW w:w="6218" w:type="dxa"/>
          </w:tcPr>
          <w:p>
            <w:pPr>
              <w:pStyle w:val="152"/>
              <w:spacing w:line="420" w:lineRule="exact"/>
              <w:ind w:firstLine="0" w:firstLineChars="0"/>
              <w:rPr>
                <w:kern w:val="0"/>
                <w:sz w:val="20"/>
                <w:szCs w:val="21"/>
              </w:rPr>
            </w:pPr>
            <w:r>
              <w:rPr>
                <w:rFonts w:hint="eastAsia"/>
                <w:kern w:val="0"/>
                <w:sz w:val="20"/>
                <w:szCs w:val="21"/>
              </w:rPr>
              <w:t>（1）提供学校整个管理区域的秩序维护服务(含门岗服务、巡逻服务、校</w:t>
            </w:r>
            <w:r>
              <w:rPr>
                <w:kern w:val="0"/>
                <w:sz w:val="20"/>
                <w:szCs w:val="21"/>
              </w:rPr>
              <w:t>内</w:t>
            </w:r>
            <w:r>
              <w:rPr>
                <w:rFonts w:hint="eastAsia"/>
                <w:kern w:val="0"/>
                <w:sz w:val="20"/>
                <w:szCs w:val="21"/>
              </w:rPr>
              <w:t>交通安全</w:t>
            </w:r>
            <w:r>
              <w:rPr>
                <w:kern w:val="0"/>
                <w:sz w:val="20"/>
                <w:szCs w:val="21"/>
              </w:rPr>
              <w:t>管理</w:t>
            </w:r>
            <w:r>
              <w:rPr>
                <w:rFonts w:hint="eastAsia"/>
                <w:kern w:val="0"/>
                <w:sz w:val="20"/>
                <w:szCs w:val="21"/>
              </w:rPr>
              <w:t>、消防设施检查、安全维稳等)。</w:t>
            </w:r>
          </w:p>
          <w:p>
            <w:pPr>
              <w:pStyle w:val="152"/>
              <w:spacing w:line="420" w:lineRule="exact"/>
              <w:ind w:firstLine="0" w:firstLineChars="0"/>
              <w:rPr>
                <w:kern w:val="0"/>
                <w:sz w:val="20"/>
                <w:szCs w:val="21"/>
              </w:rPr>
            </w:pPr>
            <w:r>
              <w:rPr>
                <w:rFonts w:hint="eastAsia"/>
                <w:kern w:val="0"/>
                <w:sz w:val="20"/>
                <w:szCs w:val="21"/>
              </w:rPr>
              <w:t>（2）上学放学高峰时期保证有足够数量的秩序维护人员在校门口值班，维护上学放学时校门秩序；教学期间实行封闭式的管理，保证有秩序维护人员在校门口值班，有秩序维护人员在校内配合工作；下班时间和节假日保证有足够秩序维护人员值班，定时巡查校园。物品出门实行凭条核实登记制度，外来人员进出实行核实登记制度（询问、盘查、核实、登记）。</w:t>
            </w:r>
          </w:p>
          <w:p>
            <w:pPr>
              <w:pStyle w:val="152"/>
              <w:spacing w:line="420" w:lineRule="exact"/>
              <w:ind w:firstLine="0" w:firstLineChars="0"/>
              <w:rPr>
                <w:kern w:val="0"/>
                <w:sz w:val="20"/>
                <w:szCs w:val="21"/>
              </w:rPr>
            </w:pPr>
            <w:r>
              <w:rPr>
                <w:rFonts w:hint="eastAsia"/>
                <w:kern w:val="0"/>
                <w:sz w:val="20"/>
                <w:szCs w:val="21"/>
              </w:rPr>
              <w:t>（3）负责报刊、杂志、信件的收发登记工作，校园内（校门口）车辆停放管理工作、门前三包工作。</w:t>
            </w:r>
          </w:p>
          <w:p>
            <w:pPr>
              <w:pStyle w:val="152"/>
              <w:spacing w:line="420" w:lineRule="exact"/>
              <w:ind w:firstLine="0" w:firstLineChars="0"/>
              <w:rPr>
                <w:kern w:val="0"/>
                <w:sz w:val="20"/>
                <w:szCs w:val="21"/>
              </w:rPr>
            </w:pPr>
            <w:r>
              <w:rPr>
                <w:rFonts w:hint="eastAsia"/>
                <w:kern w:val="0"/>
                <w:sz w:val="20"/>
                <w:szCs w:val="21"/>
              </w:rPr>
              <w:t>（4）秩序维护人员24小时值班，编排24小时值班表，所有人员的联系方式交校方一份，以备紧急事件能够联系到。24小时值班不因双休与节假日而中断。</w:t>
            </w:r>
          </w:p>
          <w:p>
            <w:pPr>
              <w:pStyle w:val="152"/>
              <w:spacing w:line="420" w:lineRule="exact"/>
              <w:ind w:firstLine="0" w:firstLineChars="0"/>
              <w:rPr>
                <w:kern w:val="0"/>
                <w:sz w:val="20"/>
                <w:szCs w:val="21"/>
              </w:rPr>
            </w:pPr>
            <w:r>
              <w:rPr>
                <w:rFonts w:hint="eastAsia"/>
                <w:kern w:val="0"/>
                <w:sz w:val="20"/>
                <w:szCs w:val="21"/>
              </w:rPr>
              <w:t>（5）抓好</w:t>
            </w:r>
            <w:r>
              <w:fldChar w:fldCharType="begin"/>
            </w:r>
            <w:r>
              <w:instrText xml:space="preserve"> HYPERLINK "http://www.fdcew.com/wgwd/baxf/Index.html" \t "_blank" </w:instrText>
            </w:r>
            <w:r>
              <w:fldChar w:fldCharType="separate"/>
            </w:r>
            <w:r>
              <w:rPr>
                <w:rFonts w:hint="eastAsia"/>
                <w:kern w:val="0"/>
                <w:sz w:val="20"/>
                <w:szCs w:val="21"/>
              </w:rPr>
              <w:t>消防</w:t>
            </w:r>
            <w:r>
              <w:rPr>
                <w:rFonts w:hint="eastAsia"/>
                <w:kern w:val="0"/>
                <w:sz w:val="20"/>
                <w:szCs w:val="21"/>
              </w:rPr>
              <w:fldChar w:fldCharType="end"/>
            </w:r>
            <w:r>
              <w:rPr>
                <w:rFonts w:hint="eastAsia"/>
                <w:kern w:val="0"/>
                <w:sz w:val="20"/>
                <w:szCs w:val="21"/>
              </w:rPr>
              <w:t>工作，能熟练使-用消防器材，把消防隐患消除在萌芽状态。成立义务消防队，做好师生的防火监督、培训工作，做好消防器材的保养工作，消防器材每天检查记录台帐，消防器材如有故障应及时向学校提出更换或维修。</w:t>
            </w:r>
          </w:p>
          <w:p>
            <w:pPr>
              <w:pStyle w:val="152"/>
              <w:spacing w:line="420" w:lineRule="exact"/>
              <w:ind w:firstLine="0" w:firstLineChars="0"/>
              <w:rPr>
                <w:kern w:val="0"/>
                <w:sz w:val="20"/>
                <w:szCs w:val="21"/>
              </w:rPr>
            </w:pPr>
            <w:r>
              <w:rPr>
                <w:rFonts w:hint="eastAsia"/>
                <w:kern w:val="0"/>
                <w:sz w:val="20"/>
                <w:szCs w:val="21"/>
              </w:rPr>
              <w:t>（6）负责24小时安全巡逻工作，保障学生人身与物品安全，保障校园内公共设施完好，营造良好的治安环境。</w:t>
            </w:r>
          </w:p>
          <w:p>
            <w:pPr>
              <w:pStyle w:val="152"/>
              <w:spacing w:line="420" w:lineRule="exact"/>
              <w:ind w:firstLine="0" w:firstLineChars="0"/>
              <w:rPr>
                <w:kern w:val="0"/>
                <w:sz w:val="20"/>
                <w:szCs w:val="21"/>
              </w:rPr>
            </w:pPr>
            <w:r>
              <w:rPr>
                <w:rFonts w:hint="eastAsia"/>
                <w:kern w:val="0"/>
                <w:sz w:val="20"/>
                <w:szCs w:val="21"/>
              </w:rPr>
              <w:t>（7）开展意见调查，定期（每季度或半年）发放意见调查表，征求学校、职工与学生(家长)的意见，了解对秩序管理的需求，确保能够提供及时、周到、方便的管理服务。</w:t>
            </w:r>
          </w:p>
          <w:p>
            <w:pPr>
              <w:pStyle w:val="152"/>
              <w:spacing w:line="420" w:lineRule="exact"/>
              <w:ind w:firstLine="0" w:firstLineChars="0"/>
              <w:rPr>
                <w:kern w:val="0"/>
                <w:sz w:val="20"/>
                <w:szCs w:val="21"/>
              </w:rPr>
            </w:pPr>
            <w:r>
              <w:rPr>
                <w:rFonts w:hint="eastAsia"/>
                <w:kern w:val="0"/>
                <w:sz w:val="20"/>
                <w:szCs w:val="21"/>
              </w:rPr>
              <w:t>（8）定期开展体能训练、警用器械使用技能培训，增强处理突发事件、治安应急处理能力。</w:t>
            </w:r>
          </w:p>
          <w:p>
            <w:pPr>
              <w:pStyle w:val="152"/>
              <w:spacing w:line="420" w:lineRule="exact"/>
              <w:ind w:firstLine="0" w:firstLineChars="0"/>
              <w:rPr>
                <w:kern w:val="0"/>
                <w:sz w:val="20"/>
                <w:szCs w:val="21"/>
              </w:rPr>
            </w:pPr>
            <w:r>
              <w:rPr>
                <w:rFonts w:hint="eastAsia"/>
                <w:kern w:val="0"/>
                <w:sz w:val="20"/>
                <w:szCs w:val="21"/>
              </w:rPr>
              <w:t>（9）在完成本职工作的前提下，参与校内安全岗监护，协助校方处理临时事务。协助社区、街道做好综合治理工作。</w:t>
            </w:r>
          </w:p>
          <w:p>
            <w:pPr>
              <w:pStyle w:val="152"/>
              <w:spacing w:line="420" w:lineRule="exact"/>
              <w:ind w:firstLine="0" w:firstLineChars="0"/>
              <w:rPr>
                <w:kern w:val="0"/>
                <w:sz w:val="20"/>
                <w:szCs w:val="21"/>
              </w:rPr>
            </w:pPr>
            <w:r>
              <w:rPr>
                <w:rFonts w:hint="eastAsia"/>
                <w:kern w:val="0"/>
                <w:sz w:val="20"/>
                <w:szCs w:val="21"/>
              </w:rPr>
              <w:t>（</w:t>
            </w:r>
            <w:r>
              <w:rPr>
                <w:kern w:val="0"/>
                <w:sz w:val="20"/>
                <w:szCs w:val="21"/>
              </w:rPr>
              <w:t>10</w:t>
            </w:r>
            <w:r>
              <w:rPr>
                <w:rFonts w:hint="eastAsia"/>
                <w:kern w:val="0"/>
                <w:sz w:val="20"/>
                <w:szCs w:val="21"/>
              </w:rPr>
              <w:t>）疫情期间，对进入校内人员按要求进行研究测温、扫码、登记等。</w:t>
            </w:r>
          </w:p>
          <w:p>
            <w:pPr>
              <w:pStyle w:val="152"/>
              <w:spacing w:line="420" w:lineRule="exact"/>
              <w:ind w:firstLine="0" w:firstLineChars="0"/>
              <w:rPr>
                <w:color w:val="FF0000"/>
                <w:kern w:val="0"/>
                <w:sz w:val="20"/>
                <w:szCs w:val="21"/>
              </w:rPr>
            </w:pPr>
            <w:r>
              <w:rPr>
                <w:kern w:val="0"/>
                <w:sz w:val="20"/>
                <w:szCs w:val="21"/>
              </w:rPr>
              <w:t>（</w:t>
            </w:r>
            <w:r>
              <w:rPr>
                <w:rFonts w:hint="eastAsia"/>
                <w:kern w:val="0"/>
                <w:sz w:val="20"/>
                <w:szCs w:val="21"/>
              </w:rPr>
              <w:t>1</w:t>
            </w:r>
            <w:r>
              <w:rPr>
                <w:kern w:val="0"/>
                <w:sz w:val="20"/>
                <w:szCs w:val="21"/>
              </w:rPr>
              <w:t>1）接受学校对临时工作的安排，如大型活动保障，大型考试保障，会场布置、桌椅调配位置等临时工作</w:t>
            </w:r>
            <w:r>
              <w:rPr>
                <w:rFonts w:hint="eastAsia"/>
                <w:kern w:val="0"/>
                <w:sz w:val="20"/>
                <w:szCs w:val="21"/>
              </w:rPr>
              <w:t>。</w:t>
            </w:r>
          </w:p>
        </w:tc>
        <w:tc>
          <w:tcPr>
            <w:tcW w:w="800" w:type="dxa"/>
          </w:tcPr>
          <w:p>
            <w:pPr>
              <w:pStyle w:val="152"/>
              <w:spacing w:line="420" w:lineRule="exact"/>
              <w:ind w:firstLine="400"/>
              <w:rPr>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tcPr>
          <w:p>
            <w:pPr>
              <w:pStyle w:val="152"/>
              <w:spacing w:line="420" w:lineRule="exact"/>
              <w:ind w:firstLine="0" w:firstLineChars="0"/>
              <w:rPr>
                <w:kern w:val="0"/>
                <w:sz w:val="24"/>
              </w:rPr>
            </w:pPr>
          </w:p>
          <w:p>
            <w:pPr>
              <w:pStyle w:val="152"/>
              <w:spacing w:line="420" w:lineRule="exact"/>
              <w:ind w:firstLine="0" w:firstLineChars="0"/>
              <w:rPr>
                <w:kern w:val="0"/>
                <w:sz w:val="24"/>
              </w:rPr>
            </w:pPr>
          </w:p>
          <w:p>
            <w:pPr>
              <w:pStyle w:val="152"/>
              <w:spacing w:line="420" w:lineRule="exact"/>
              <w:ind w:firstLine="0" w:firstLineChars="0"/>
              <w:rPr>
                <w:kern w:val="0"/>
                <w:sz w:val="24"/>
              </w:rPr>
            </w:pPr>
          </w:p>
          <w:p>
            <w:pPr>
              <w:pStyle w:val="152"/>
              <w:spacing w:line="420" w:lineRule="exact"/>
              <w:ind w:firstLine="0" w:firstLineChars="0"/>
              <w:rPr>
                <w:kern w:val="0"/>
                <w:sz w:val="24"/>
              </w:rPr>
            </w:pPr>
          </w:p>
          <w:p>
            <w:pPr>
              <w:pStyle w:val="152"/>
              <w:spacing w:line="420" w:lineRule="exact"/>
              <w:ind w:firstLine="0" w:firstLineChars="0"/>
              <w:rPr>
                <w:kern w:val="0"/>
                <w:sz w:val="24"/>
              </w:rPr>
            </w:pPr>
          </w:p>
          <w:p>
            <w:pPr>
              <w:pStyle w:val="152"/>
              <w:spacing w:line="420" w:lineRule="exact"/>
              <w:ind w:firstLine="0" w:firstLineChars="0"/>
              <w:rPr>
                <w:kern w:val="0"/>
                <w:sz w:val="24"/>
              </w:rPr>
            </w:pPr>
          </w:p>
          <w:p>
            <w:pPr>
              <w:pStyle w:val="152"/>
              <w:spacing w:line="420" w:lineRule="exact"/>
              <w:ind w:firstLine="0" w:firstLineChars="0"/>
              <w:rPr>
                <w:kern w:val="0"/>
                <w:sz w:val="24"/>
              </w:rPr>
            </w:pPr>
          </w:p>
          <w:p>
            <w:pPr>
              <w:pStyle w:val="152"/>
              <w:spacing w:line="420" w:lineRule="exact"/>
              <w:ind w:firstLine="0" w:firstLineChars="0"/>
              <w:rPr>
                <w:kern w:val="0"/>
                <w:sz w:val="24"/>
              </w:rPr>
            </w:pPr>
          </w:p>
          <w:p>
            <w:pPr>
              <w:pStyle w:val="152"/>
              <w:spacing w:line="420" w:lineRule="exact"/>
              <w:ind w:firstLine="0" w:firstLineChars="0"/>
              <w:rPr>
                <w:kern w:val="0"/>
                <w:sz w:val="24"/>
              </w:rPr>
            </w:pPr>
          </w:p>
          <w:p>
            <w:pPr>
              <w:pStyle w:val="152"/>
              <w:spacing w:line="420" w:lineRule="exact"/>
              <w:ind w:firstLine="0" w:firstLineChars="0"/>
              <w:rPr>
                <w:kern w:val="0"/>
                <w:sz w:val="24"/>
              </w:rPr>
            </w:pPr>
          </w:p>
          <w:p>
            <w:pPr>
              <w:pStyle w:val="152"/>
              <w:spacing w:line="420" w:lineRule="exact"/>
              <w:ind w:firstLine="0" w:firstLineChars="0"/>
              <w:rPr>
                <w:kern w:val="0"/>
                <w:sz w:val="24"/>
              </w:rPr>
            </w:pPr>
          </w:p>
          <w:p>
            <w:pPr>
              <w:pStyle w:val="152"/>
              <w:spacing w:line="420" w:lineRule="exact"/>
              <w:ind w:firstLine="0" w:firstLineChars="0"/>
              <w:rPr>
                <w:kern w:val="0"/>
                <w:sz w:val="24"/>
              </w:rPr>
            </w:pPr>
          </w:p>
          <w:p>
            <w:pPr>
              <w:pStyle w:val="152"/>
              <w:spacing w:line="420" w:lineRule="exact"/>
              <w:ind w:firstLine="0" w:firstLineChars="0"/>
              <w:rPr>
                <w:kern w:val="0"/>
                <w:sz w:val="24"/>
              </w:rPr>
            </w:pPr>
          </w:p>
          <w:p>
            <w:pPr>
              <w:pStyle w:val="152"/>
              <w:spacing w:line="420" w:lineRule="exact"/>
              <w:ind w:firstLine="0" w:firstLineChars="0"/>
              <w:rPr>
                <w:kern w:val="0"/>
                <w:sz w:val="24"/>
              </w:rPr>
            </w:pPr>
          </w:p>
          <w:p>
            <w:pPr>
              <w:pStyle w:val="152"/>
              <w:spacing w:line="420" w:lineRule="exact"/>
              <w:ind w:firstLine="0" w:firstLineChars="0"/>
              <w:rPr>
                <w:kern w:val="0"/>
                <w:sz w:val="24"/>
              </w:rPr>
            </w:pPr>
          </w:p>
          <w:p>
            <w:pPr>
              <w:pStyle w:val="152"/>
              <w:spacing w:line="420" w:lineRule="exact"/>
              <w:ind w:firstLine="0" w:firstLineChars="0"/>
              <w:rPr>
                <w:kern w:val="0"/>
                <w:sz w:val="24"/>
              </w:rPr>
            </w:pPr>
            <w:r>
              <w:rPr>
                <w:rFonts w:hint="eastAsia"/>
                <w:kern w:val="0"/>
                <w:sz w:val="24"/>
              </w:rPr>
              <w:t>2</w:t>
            </w:r>
          </w:p>
        </w:tc>
        <w:tc>
          <w:tcPr>
            <w:tcW w:w="891" w:type="dxa"/>
            <w:vAlign w:val="center"/>
          </w:tcPr>
          <w:p>
            <w:pPr>
              <w:pStyle w:val="152"/>
              <w:spacing w:line="420" w:lineRule="exact"/>
              <w:ind w:firstLine="0" w:firstLineChars="0"/>
              <w:rPr>
                <w:kern w:val="0"/>
                <w:sz w:val="24"/>
              </w:rPr>
            </w:pPr>
            <w:r>
              <w:rPr>
                <w:rFonts w:hint="eastAsia"/>
                <w:kern w:val="0"/>
                <w:sz w:val="24"/>
              </w:rPr>
              <w:t>环境</w:t>
            </w:r>
          </w:p>
          <w:p>
            <w:pPr>
              <w:pStyle w:val="152"/>
              <w:spacing w:line="420" w:lineRule="exact"/>
              <w:ind w:firstLine="0" w:firstLineChars="0"/>
              <w:rPr>
                <w:kern w:val="0"/>
                <w:sz w:val="24"/>
              </w:rPr>
            </w:pPr>
            <w:r>
              <w:rPr>
                <w:rFonts w:hint="eastAsia"/>
                <w:kern w:val="0"/>
                <w:sz w:val="24"/>
              </w:rPr>
              <w:t>保洁</w:t>
            </w:r>
          </w:p>
        </w:tc>
        <w:tc>
          <w:tcPr>
            <w:tcW w:w="6218" w:type="dxa"/>
          </w:tcPr>
          <w:p>
            <w:pPr>
              <w:pStyle w:val="152"/>
              <w:spacing w:line="420" w:lineRule="exact"/>
              <w:ind w:firstLine="0" w:firstLineChars="0"/>
              <w:rPr>
                <w:kern w:val="0"/>
                <w:sz w:val="20"/>
                <w:szCs w:val="21"/>
              </w:rPr>
            </w:pPr>
            <w:r>
              <w:rPr>
                <w:rFonts w:hint="eastAsia"/>
                <w:kern w:val="0"/>
                <w:sz w:val="20"/>
                <w:szCs w:val="21"/>
              </w:rPr>
              <w:t>（</w:t>
            </w:r>
            <w:r>
              <w:rPr>
                <w:kern w:val="0"/>
                <w:sz w:val="20"/>
                <w:szCs w:val="21"/>
              </w:rPr>
              <w:t>1</w:t>
            </w:r>
            <w:r>
              <w:rPr>
                <w:rFonts w:hint="eastAsia"/>
                <w:kern w:val="0"/>
                <w:sz w:val="20"/>
                <w:szCs w:val="21"/>
              </w:rPr>
              <w:t>）实行零干扰清洁卫生服务，上课后再进行清扫，做好每天清扫台帐。</w:t>
            </w:r>
          </w:p>
          <w:p>
            <w:pPr>
              <w:pStyle w:val="152"/>
              <w:spacing w:line="420" w:lineRule="exact"/>
              <w:ind w:firstLine="0" w:firstLineChars="0"/>
              <w:rPr>
                <w:kern w:val="0"/>
                <w:sz w:val="20"/>
                <w:szCs w:val="21"/>
              </w:rPr>
            </w:pPr>
            <w:r>
              <w:rPr>
                <w:rFonts w:hint="eastAsia"/>
                <w:kern w:val="0"/>
                <w:sz w:val="20"/>
                <w:szCs w:val="21"/>
              </w:rPr>
              <w:t>（</w:t>
            </w:r>
            <w:r>
              <w:rPr>
                <w:kern w:val="0"/>
                <w:sz w:val="20"/>
                <w:szCs w:val="21"/>
              </w:rPr>
              <w:t>2</w:t>
            </w:r>
            <w:r>
              <w:rPr>
                <w:rFonts w:hint="eastAsia"/>
                <w:kern w:val="0"/>
                <w:sz w:val="20"/>
                <w:szCs w:val="21"/>
              </w:rPr>
              <w:t>）校(园)区内总</w:t>
            </w:r>
            <w:r>
              <w:rPr>
                <w:kern w:val="0"/>
                <w:sz w:val="20"/>
                <w:szCs w:val="21"/>
              </w:rPr>
              <w:t>坪、</w:t>
            </w:r>
            <w:r>
              <w:rPr>
                <w:rFonts w:hint="eastAsia"/>
                <w:kern w:val="0"/>
                <w:sz w:val="20"/>
                <w:szCs w:val="21"/>
              </w:rPr>
              <w:t>地面道路、非机动车场：每天全面清扫两遍，早上按学校规定时间上课以前完成全面清扫一次，重点清洗花台栏杆、路灯灯柱、外围窗台，下午按学校要求时间进行全面清扫一次，其他时段巡回保洁和清运垃圾。</w:t>
            </w:r>
          </w:p>
          <w:p>
            <w:pPr>
              <w:pStyle w:val="152"/>
              <w:spacing w:line="420" w:lineRule="exact"/>
              <w:ind w:firstLine="0" w:firstLineChars="0"/>
              <w:rPr>
                <w:kern w:val="0"/>
                <w:sz w:val="20"/>
                <w:szCs w:val="21"/>
              </w:rPr>
            </w:pPr>
            <w:r>
              <w:rPr>
                <w:rFonts w:hint="eastAsia"/>
                <w:kern w:val="0"/>
                <w:sz w:val="20"/>
                <w:szCs w:val="21"/>
              </w:rPr>
              <w:t>（</w:t>
            </w:r>
            <w:r>
              <w:rPr>
                <w:kern w:val="0"/>
                <w:sz w:val="20"/>
                <w:szCs w:val="21"/>
              </w:rPr>
              <w:t>3</w:t>
            </w:r>
            <w:r>
              <w:rPr>
                <w:rFonts w:hint="eastAsia"/>
                <w:kern w:val="0"/>
                <w:sz w:val="20"/>
                <w:szCs w:val="21"/>
              </w:rPr>
              <w:t>）楼道、梯步及公共场所（包含学生饮水机消杀）：早上按学校规定时间完成公共区域全面清扫一次，重点清扫楼道、擦抹楼梯扶手等，做好巡回保洁，下午按学校要求时间完成全面清扫一次，其他时段做好巡回保洁、清运垃圾，做好每天清扫消杀记录台帐。</w:t>
            </w:r>
          </w:p>
          <w:p>
            <w:pPr>
              <w:pStyle w:val="152"/>
              <w:spacing w:line="420" w:lineRule="exact"/>
              <w:ind w:firstLine="0" w:firstLineChars="0"/>
              <w:rPr>
                <w:kern w:val="0"/>
                <w:sz w:val="20"/>
                <w:szCs w:val="21"/>
              </w:rPr>
            </w:pPr>
            <w:r>
              <w:rPr>
                <w:rFonts w:hint="eastAsia"/>
                <w:kern w:val="0"/>
                <w:sz w:val="20"/>
                <w:szCs w:val="21"/>
              </w:rPr>
              <w:t>（4）卫生间：每天定时保洁不少于3次；按学校规定时间早上上课以前完成清洁一次，中午完成一次，下午按学校要求清洁一次、清运垃圾，其余时间不定时巡回保洁。卫生间要定期施放空气清新剂（清洁球），保持卫生间无异味，做好每天厕所清扫消杀台帐。</w:t>
            </w:r>
          </w:p>
          <w:p>
            <w:pPr>
              <w:pStyle w:val="152"/>
              <w:spacing w:line="420" w:lineRule="exact"/>
              <w:ind w:firstLine="0" w:firstLineChars="0"/>
              <w:rPr>
                <w:kern w:val="0"/>
                <w:sz w:val="20"/>
                <w:szCs w:val="21"/>
              </w:rPr>
            </w:pPr>
            <w:r>
              <w:rPr>
                <w:rFonts w:hint="eastAsia"/>
                <w:kern w:val="0"/>
                <w:sz w:val="20"/>
                <w:szCs w:val="21"/>
              </w:rPr>
              <w:t>（</w:t>
            </w:r>
            <w:r>
              <w:rPr>
                <w:kern w:val="0"/>
                <w:sz w:val="20"/>
                <w:szCs w:val="21"/>
              </w:rPr>
              <w:t>5</w:t>
            </w:r>
            <w:r>
              <w:rPr>
                <w:rFonts w:hint="eastAsia"/>
                <w:kern w:val="0"/>
                <w:sz w:val="20"/>
                <w:szCs w:val="21"/>
              </w:rPr>
              <w:t>）操场：早上按学校规定时间完成操场全面清扫一次，下按学校要求完成全面清扫一次，其他时段做好巡回保洁。</w:t>
            </w:r>
          </w:p>
          <w:p>
            <w:pPr>
              <w:pStyle w:val="152"/>
              <w:spacing w:line="420" w:lineRule="exact"/>
              <w:ind w:firstLine="0" w:firstLineChars="0"/>
              <w:rPr>
                <w:kern w:val="0"/>
                <w:sz w:val="20"/>
                <w:szCs w:val="21"/>
              </w:rPr>
            </w:pPr>
            <w:r>
              <w:rPr>
                <w:rFonts w:hint="eastAsia"/>
                <w:kern w:val="0"/>
                <w:sz w:val="20"/>
                <w:szCs w:val="21"/>
              </w:rPr>
              <w:t>（</w:t>
            </w:r>
            <w:r>
              <w:rPr>
                <w:kern w:val="0"/>
                <w:sz w:val="20"/>
                <w:szCs w:val="21"/>
              </w:rPr>
              <w:t>6</w:t>
            </w:r>
            <w:r>
              <w:rPr>
                <w:rFonts w:hint="eastAsia"/>
                <w:kern w:val="0"/>
                <w:sz w:val="20"/>
                <w:szCs w:val="21"/>
              </w:rPr>
              <w:t>）学校领导办公室：负责上班前的整体办公室清洁，下班后的整体清洁，平时特殊情况的临时清洁，做到零干扰服务。</w:t>
            </w:r>
          </w:p>
          <w:p>
            <w:pPr>
              <w:pStyle w:val="152"/>
              <w:spacing w:line="420" w:lineRule="exact"/>
              <w:ind w:firstLine="0" w:firstLineChars="0"/>
              <w:rPr>
                <w:kern w:val="0"/>
                <w:sz w:val="20"/>
                <w:szCs w:val="21"/>
              </w:rPr>
            </w:pPr>
            <w:r>
              <w:rPr>
                <w:rFonts w:hint="eastAsia"/>
                <w:kern w:val="0"/>
                <w:sz w:val="20"/>
                <w:szCs w:val="21"/>
              </w:rPr>
              <w:t>（</w:t>
            </w:r>
            <w:r>
              <w:rPr>
                <w:kern w:val="0"/>
                <w:sz w:val="20"/>
                <w:szCs w:val="21"/>
              </w:rPr>
              <w:t>7</w:t>
            </w:r>
            <w:r>
              <w:rPr>
                <w:rFonts w:hint="eastAsia"/>
                <w:kern w:val="0"/>
                <w:sz w:val="20"/>
                <w:szCs w:val="21"/>
              </w:rPr>
              <w:t>）其他公共区域（包括公用教室、</w:t>
            </w:r>
            <w:r>
              <w:rPr>
                <w:kern w:val="0"/>
                <w:sz w:val="20"/>
                <w:szCs w:val="21"/>
              </w:rPr>
              <w:t>会议室</w:t>
            </w:r>
            <w:r>
              <w:rPr>
                <w:rFonts w:hint="eastAsia"/>
                <w:kern w:val="0"/>
                <w:sz w:val="20"/>
                <w:szCs w:val="21"/>
              </w:rPr>
              <w:t>）：每天计划卫生完成后对门框、窗台、消防栓、指示牌、通风井格栏、垃圾桶的清洁工作不少于</w:t>
            </w:r>
            <w:r>
              <w:rPr>
                <w:kern w:val="0"/>
                <w:sz w:val="20"/>
                <w:szCs w:val="21"/>
              </w:rPr>
              <w:t>1</w:t>
            </w:r>
            <w:r>
              <w:rPr>
                <w:rFonts w:hint="eastAsia"/>
                <w:kern w:val="0"/>
                <w:sz w:val="20"/>
                <w:szCs w:val="21"/>
              </w:rPr>
              <w:t>次。</w:t>
            </w:r>
          </w:p>
          <w:p>
            <w:pPr>
              <w:pStyle w:val="152"/>
              <w:spacing w:line="420" w:lineRule="exact"/>
              <w:ind w:firstLine="0" w:firstLineChars="0"/>
              <w:rPr>
                <w:kern w:val="0"/>
                <w:sz w:val="20"/>
                <w:szCs w:val="21"/>
              </w:rPr>
            </w:pPr>
            <w:r>
              <w:rPr>
                <w:rFonts w:hint="eastAsia"/>
                <w:kern w:val="0"/>
                <w:sz w:val="20"/>
                <w:szCs w:val="21"/>
              </w:rPr>
              <w:t>（</w:t>
            </w:r>
            <w:r>
              <w:rPr>
                <w:kern w:val="0"/>
                <w:sz w:val="20"/>
                <w:szCs w:val="21"/>
              </w:rPr>
              <w:t>8</w:t>
            </w:r>
            <w:r>
              <w:rPr>
                <w:rFonts w:hint="eastAsia"/>
                <w:kern w:val="0"/>
                <w:sz w:val="20"/>
                <w:szCs w:val="21"/>
              </w:rPr>
              <w:t>）垃圾的清倒：垃圾清运应做到日产日清，交垃圾放置在校内指定区域。</w:t>
            </w:r>
          </w:p>
          <w:p>
            <w:pPr>
              <w:pStyle w:val="152"/>
              <w:spacing w:line="420" w:lineRule="exact"/>
              <w:ind w:firstLine="0" w:firstLineChars="0"/>
              <w:rPr>
                <w:kern w:val="0"/>
                <w:sz w:val="20"/>
                <w:szCs w:val="21"/>
              </w:rPr>
            </w:pPr>
            <w:r>
              <w:rPr>
                <w:rFonts w:hint="eastAsia"/>
                <w:kern w:val="0"/>
                <w:sz w:val="20"/>
                <w:szCs w:val="21"/>
              </w:rPr>
              <w:t>（</w:t>
            </w:r>
            <w:r>
              <w:rPr>
                <w:kern w:val="0"/>
                <w:sz w:val="20"/>
                <w:szCs w:val="21"/>
              </w:rPr>
              <w:t>9</w:t>
            </w:r>
            <w:r>
              <w:rPr>
                <w:rFonts w:hint="eastAsia"/>
                <w:kern w:val="0"/>
                <w:sz w:val="20"/>
                <w:szCs w:val="21"/>
              </w:rPr>
              <w:t>）每年在雨季前对化粪池、雨污排水管进行一次疏淘。根据实际情况定期进行消毒和灭虫除害。</w:t>
            </w:r>
          </w:p>
          <w:p>
            <w:pPr>
              <w:spacing w:line="400" w:lineRule="atLeast"/>
              <w:rPr>
                <w:kern w:val="0"/>
                <w:sz w:val="20"/>
                <w:szCs w:val="21"/>
              </w:rPr>
            </w:pPr>
            <w:r>
              <w:rPr>
                <w:rFonts w:hint="eastAsia"/>
                <w:kern w:val="0"/>
                <w:sz w:val="20"/>
                <w:szCs w:val="21"/>
              </w:rPr>
              <w:t>（</w:t>
            </w:r>
            <w:r>
              <w:rPr>
                <w:kern w:val="0"/>
                <w:sz w:val="20"/>
                <w:szCs w:val="21"/>
              </w:rPr>
              <w:t>10</w:t>
            </w:r>
            <w:r>
              <w:rPr>
                <w:rFonts w:hint="eastAsia"/>
                <w:kern w:val="0"/>
                <w:sz w:val="20"/>
                <w:szCs w:val="21"/>
              </w:rPr>
              <w:t>）按学校要求定期对校园路面进行冲刷清洗，寒暑假期间所有窗帘各清洗一次，寒暑假期间对教室、功能室、办公室等室内所有灯、电风扇、门窗玻璃各擦拭一次。</w:t>
            </w:r>
          </w:p>
          <w:p>
            <w:pPr>
              <w:pStyle w:val="152"/>
              <w:spacing w:line="420" w:lineRule="exact"/>
              <w:ind w:firstLine="0" w:firstLineChars="0"/>
              <w:rPr>
                <w:kern w:val="0"/>
                <w:sz w:val="20"/>
                <w:szCs w:val="21"/>
              </w:rPr>
            </w:pPr>
            <w:r>
              <w:rPr>
                <w:rFonts w:hint="eastAsia"/>
                <w:kern w:val="0"/>
                <w:sz w:val="20"/>
                <w:szCs w:val="21"/>
              </w:rPr>
              <w:t>（</w:t>
            </w:r>
            <w:r>
              <w:rPr>
                <w:kern w:val="0"/>
                <w:sz w:val="20"/>
                <w:szCs w:val="21"/>
              </w:rPr>
              <w:t>11</w:t>
            </w:r>
            <w:r>
              <w:rPr>
                <w:rFonts w:hint="eastAsia"/>
                <w:kern w:val="0"/>
                <w:sz w:val="20"/>
                <w:szCs w:val="21"/>
              </w:rPr>
              <w:t>）疫情期间，按照学校要求进行重点部位或场所的消毒清洗。</w:t>
            </w:r>
          </w:p>
          <w:p>
            <w:pPr>
              <w:pStyle w:val="152"/>
              <w:spacing w:line="420" w:lineRule="exact"/>
              <w:ind w:firstLine="0" w:firstLineChars="0"/>
              <w:rPr>
                <w:kern w:val="0"/>
                <w:sz w:val="20"/>
                <w:szCs w:val="21"/>
              </w:rPr>
            </w:pPr>
            <w:r>
              <w:rPr>
                <w:rFonts w:hint="eastAsia"/>
                <w:kern w:val="0"/>
                <w:sz w:val="20"/>
                <w:szCs w:val="21"/>
              </w:rPr>
              <w:t>（</w:t>
            </w:r>
            <w:r>
              <w:rPr>
                <w:kern w:val="0"/>
                <w:sz w:val="20"/>
                <w:szCs w:val="21"/>
              </w:rPr>
              <w:t>12</w:t>
            </w:r>
            <w:r>
              <w:rPr>
                <w:rFonts w:hint="eastAsia"/>
                <w:kern w:val="0"/>
                <w:sz w:val="20"/>
                <w:szCs w:val="21"/>
              </w:rPr>
              <w:t>）</w:t>
            </w:r>
            <w:r>
              <w:rPr>
                <w:kern w:val="0"/>
                <w:sz w:val="20"/>
                <w:szCs w:val="21"/>
              </w:rPr>
              <w:t>接受学校对临时工作的安排，如大型活动保障，大型考试保障，会场布置、桌椅调配位置等临时工作</w:t>
            </w:r>
            <w:r>
              <w:rPr>
                <w:rFonts w:hint="eastAsia"/>
                <w:kern w:val="0"/>
                <w:sz w:val="20"/>
                <w:szCs w:val="21"/>
              </w:rPr>
              <w:t>。</w:t>
            </w:r>
          </w:p>
        </w:tc>
        <w:tc>
          <w:tcPr>
            <w:tcW w:w="800" w:type="dxa"/>
          </w:tcPr>
          <w:p>
            <w:pPr>
              <w:pStyle w:val="152"/>
              <w:spacing w:line="420" w:lineRule="exact"/>
              <w:ind w:firstLine="480"/>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tcPr>
          <w:p>
            <w:pPr>
              <w:pStyle w:val="152"/>
              <w:spacing w:line="420" w:lineRule="exact"/>
              <w:ind w:firstLine="0" w:firstLineChars="0"/>
              <w:rPr>
                <w:kern w:val="0"/>
                <w:sz w:val="24"/>
              </w:rPr>
            </w:pPr>
          </w:p>
          <w:p>
            <w:pPr>
              <w:pStyle w:val="152"/>
              <w:spacing w:line="420" w:lineRule="exact"/>
              <w:ind w:firstLine="0" w:firstLineChars="0"/>
              <w:rPr>
                <w:kern w:val="0"/>
                <w:sz w:val="24"/>
              </w:rPr>
            </w:pPr>
          </w:p>
          <w:p>
            <w:pPr>
              <w:pStyle w:val="152"/>
              <w:spacing w:line="420" w:lineRule="exact"/>
              <w:ind w:firstLine="0" w:firstLineChars="0"/>
              <w:rPr>
                <w:kern w:val="0"/>
                <w:sz w:val="24"/>
              </w:rPr>
            </w:pPr>
          </w:p>
          <w:p>
            <w:pPr>
              <w:pStyle w:val="152"/>
              <w:spacing w:line="420" w:lineRule="exact"/>
              <w:ind w:firstLine="0" w:firstLineChars="0"/>
              <w:rPr>
                <w:kern w:val="0"/>
                <w:sz w:val="24"/>
              </w:rPr>
            </w:pPr>
          </w:p>
          <w:p>
            <w:pPr>
              <w:pStyle w:val="152"/>
              <w:spacing w:line="420" w:lineRule="exact"/>
              <w:ind w:firstLine="0" w:firstLineChars="0"/>
              <w:rPr>
                <w:kern w:val="0"/>
                <w:sz w:val="24"/>
              </w:rPr>
            </w:pPr>
            <w:r>
              <w:rPr>
                <w:rFonts w:hint="eastAsia"/>
                <w:kern w:val="0"/>
                <w:sz w:val="24"/>
              </w:rPr>
              <w:t>3</w:t>
            </w:r>
          </w:p>
        </w:tc>
        <w:tc>
          <w:tcPr>
            <w:tcW w:w="891" w:type="dxa"/>
            <w:vAlign w:val="center"/>
          </w:tcPr>
          <w:p>
            <w:pPr>
              <w:pStyle w:val="152"/>
              <w:spacing w:line="420" w:lineRule="exact"/>
              <w:ind w:firstLine="0" w:firstLineChars="0"/>
              <w:rPr>
                <w:kern w:val="0"/>
                <w:sz w:val="24"/>
              </w:rPr>
            </w:pPr>
          </w:p>
          <w:p>
            <w:pPr>
              <w:pStyle w:val="152"/>
              <w:spacing w:line="420" w:lineRule="exact"/>
              <w:ind w:firstLine="0" w:firstLineChars="0"/>
              <w:rPr>
                <w:kern w:val="0"/>
                <w:sz w:val="24"/>
              </w:rPr>
            </w:pPr>
          </w:p>
          <w:p>
            <w:pPr>
              <w:pStyle w:val="152"/>
              <w:spacing w:line="420" w:lineRule="exact"/>
              <w:ind w:firstLine="0" w:firstLineChars="0"/>
              <w:rPr>
                <w:kern w:val="0"/>
                <w:sz w:val="24"/>
              </w:rPr>
            </w:pPr>
          </w:p>
          <w:p>
            <w:pPr>
              <w:pStyle w:val="152"/>
              <w:spacing w:line="420" w:lineRule="exact"/>
              <w:ind w:firstLine="0" w:firstLineChars="0"/>
              <w:rPr>
                <w:kern w:val="0"/>
                <w:sz w:val="24"/>
              </w:rPr>
            </w:pPr>
          </w:p>
          <w:p>
            <w:pPr>
              <w:pStyle w:val="152"/>
              <w:spacing w:line="420" w:lineRule="exact"/>
              <w:ind w:firstLine="0" w:firstLineChars="0"/>
              <w:rPr>
                <w:kern w:val="0"/>
                <w:sz w:val="24"/>
              </w:rPr>
            </w:pPr>
            <w:r>
              <w:rPr>
                <w:rFonts w:hint="eastAsia"/>
                <w:kern w:val="0"/>
                <w:sz w:val="24"/>
              </w:rPr>
              <w:t>水电（维修）服务</w:t>
            </w:r>
          </w:p>
        </w:tc>
        <w:tc>
          <w:tcPr>
            <w:tcW w:w="6218" w:type="dxa"/>
          </w:tcPr>
          <w:p>
            <w:pPr>
              <w:pStyle w:val="152"/>
              <w:spacing w:line="420" w:lineRule="exact"/>
              <w:ind w:firstLine="0" w:firstLineChars="0"/>
              <w:rPr>
                <w:kern w:val="0"/>
                <w:sz w:val="20"/>
                <w:szCs w:val="21"/>
              </w:rPr>
            </w:pPr>
            <w:r>
              <w:rPr>
                <w:rFonts w:hint="eastAsia"/>
                <w:kern w:val="0"/>
                <w:sz w:val="20"/>
                <w:szCs w:val="21"/>
              </w:rPr>
              <w:t>（1）负责学校内的高低压配电系统、发电系统、中央空调、消防系统、给排水系统、照明系统运行管理及门窗、桌椅的日常零修、小修，保障设施设备正常运行；对专业设备的维保单位的工作进行监督管理，对维护工作不到位、不达标的及时向后勤服务部报告。</w:t>
            </w:r>
          </w:p>
          <w:p>
            <w:pPr>
              <w:pStyle w:val="152"/>
              <w:spacing w:line="420" w:lineRule="exact"/>
              <w:ind w:firstLine="0" w:firstLineChars="0"/>
              <w:rPr>
                <w:kern w:val="0"/>
                <w:sz w:val="20"/>
                <w:szCs w:val="21"/>
              </w:rPr>
            </w:pPr>
            <w:r>
              <w:rPr>
                <w:rFonts w:hint="eastAsia"/>
                <w:kern w:val="0"/>
                <w:sz w:val="20"/>
                <w:szCs w:val="21"/>
              </w:rPr>
              <w:t>（2）建立水、电、消防设施设备档案（台帐），设施设备的运行、检查、维修、保养等记录档案。</w:t>
            </w:r>
          </w:p>
          <w:p>
            <w:pPr>
              <w:pStyle w:val="152"/>
              <w:spacing w:line="420" w:lineRule="exact"/>
              <w:ind w:firstLine="0" w:firstLineChars="0"/>
              <w:rPr>
                <w:kern w:val="0"/>
                <w:sz w:val="20"/>
                <w:szCs w:val="21"/>
              </w:rPr>
            </w:pPr>
            <w:r>
              <w:rPr>
                <w:rFonts w:hint="eastAsia"/>
                <w:kern w:val="0"/>
                <w:sz w:val="20"/>
                <w:szCs w:val="21"/>
              </w:rPr>
              <w:t>（3）设施设备标志齐全、规范，责任明确；操作维护人员严格按照设施设备操作规程及保养规范进行操作，保证设施设备正常运行。</w:t>
            </w:r>
          </w:p>
          <w:p>
            <w:pPr>
              <w:pStyle w:val="152"/>
              <w:spacing w:line="420" w:lineRule="exact"/>
              <w:ind w:firstLine="0" w:firstLineChars="0"/>
              <w:rPr>
                <w:kern w:val="0"/>
                <w:sz w:val="20"/>
                <w:szCs w:val="21"/>
              </w:rPr>
            </w:pPr>
            <w:r>
              <w:rPr>
                <w:rFonts w:hint="eastAsia"/>
                <w:kern w:val="0"/>
                <w:sz w:val="20"/>
                <w:szCs w:val="21"/>
              </w:rPr>
              <w:t>（</w:t>
            </w:r>
            <w:r>
              <w:rPr>
                <w:kern w:val="0"/>
                <w:sz w:val="20"/>
                <w:szCs w:val="21"/>
              </w:rPr>
              <w:t>4</w:t>
            </w:r>
            <w:r>
              <w:rPr>
                <w:rFonts w:hint="eastAsia"/>
                <w:kern w:val="0"/>
                <w:sz w:val="20"/>
                <w:szCs w:val="21"/>
              </w:rPr>
              <w:t>）具体工作</w:t>
            </w:r>
          </w:p>
          <w:p>
            <w:pPr>
              <w:pStyle w:val="152"/>
              <w:spacing w:line="420" w:lineRule="exact"/>
              <w:ind w:firstLine="0" w:firstLineChars="0"/>
              <w:rPr>
                <w:kern w:val="0"/>
                <w:sz w:val="20"/>
                <w:szCs w:val="21"/>
              </w:rPr>
            </w:pPr>
            <w:r>
              <w:rPr>
                <w:rFonts w:hint="eastAsia"/>
                <w:kern w:val="0"/>
                <w:sz w:val="20"/>
                <w:szCs w:val="21"/>
              </w:rPr>
              <w:t>一清：对设备、设施管理规章制度要清楚；</w:t>
            </w:r>
          </w:p>
          <w:p>
            <w:pPr>
              <w:pStyle w:val="152"/>
              <w:spacing w:line="420" w:lineRule="exact"/>
              <w:ind w:firstLine="0" w:firstLineChars="0"/>
              <w:rPr>
                <w:kern w:val="0"/>
                <w:sz w:val="20"/>
                <w:szCs w:val="21"/>
              </w:rPr>
            </w:pPr>
            <w:r>
              <w:rPr>
                <w:rFonts w:hint="eastAsia"/>
                <w:kern w:val="0"/>
                <w:sz w:val="20"/>
                <w:szCs w:val="21"/>
              </w:rPr>
              <w:t>二能：对各种设备的性能、功能要明白；</w:t>
            </w:r>
          </w:p>
          <w:p>
            <w:pPr>
              <w:pStyle w:val="152"/>
              <w:spacing w:line="420" w:lineRule="exact"/>
              <w:ind w:firstLine="0" w:firstLineChars="0"/>
              <w:rPr>
                <w:kern w:val="0"/>
                <w:sz w:val="20"/>
                <w:szCs w:val="21"/>
              </w:rPr>
            </w:pPr>
            <w:r>
              <w:rPr>
                <w:rFonts w:hint="eastAsia"/>
                <w:kern w:val="0"/>
                <w:sz w:val="20"/>
                <w:szCs w:val="21"/>
              </w:rPr>
              <w:t>三好：对各种设备要做到管好、用好、修好；</w:t>
            </w:r>
          </w:p>
          <w:p>
            <w:pPr>
              <w:pStyle w:val="152"/>
              <w:spacing w:line="420" w:lineRule="exact"/>
              <w:ind w:firstLine="0" w:firstLineChars="0"/>
              <w:rPr>
                <w:kern w:val="0"/>
                <w:sz w:val="20"/>
                <w:szCs w:val="21"/>
              </w:rPr>
            </w:pPr>
            <w:r>
              <w:rPr>
                <w:rFonts w:hint="eastAsia"/>
                <w:kern w:val="0"/>
                <w:sz w:val="20"/>
                <w:szCs w:val="21"/>
              </w:rPr>
              <w:t>四会：对各种设备会使用、会保养、会检查、会排除故障；</w:t>
            </w:r>
          </w:p>
          <w:p>
            <w:pPr>
              <w:pStyle w:val="152"/>
              <w:spacing w:line="420" w:lineRule="exact"/>
              <w:ind w:firstLine="0" w:firstLineChars="0"/>
              <w:rPr>
                <w:kern w:val="0"/>
                <w:sz w:val="20"/>
                <w:szCs w:val="21"/>
              </w:rPr>
            </w:pPr>
            <w:r>
              <w:rPr>
                <w:rFonts w:hint="eastAsia"/>
                <w:kern w:val="0"/>
                <w:sz w:val="20"/>
                <w:szCs w:val="21"/>
              </w:rPr>
              <w:t>五化：设备图纸档案化、业主档案分类化、维修保养智能化、施工管理规范化；</w:t>
            </w:r>
          </w:p>
          <w:p>
            <w:pPr>
              <w:pStyle w:val="152"/>
              <w:spacing w:line="420" w:lineRule="exact"/>
              <w:ind w:firstLine="0" w:firstLineChars="0"/>
              <w:rPr>
                <w:kern w:val="0"/>
                <w:sz w:val="20"/>
                <w:szCs w:val="21"/>
              </w:rPr>
            </w:pPr>
            <w:r>
              <w:rPr>
                <w:rFonts w:hint="eastAsia"/>
                <w:kern w:val="0"/>
                <w:sz w:val="20"/>
                <w:szCs w:val="21"/>
              </w:rPr>
              <w:t>六查：对设备、设施及施工管理做到日查、巡查、检查、督查、核查、复查；</w:t>
            </w:r>
          </w:p>
          <w:p>
            <w:pPr>
              <w:pStyle w:val="152"/>
              <w:spacing w:line="420" w:lineRule="exact"/>
              <w:ind w:firstLine="0" w:firstLineChars="0"/>
              <w:rPr>
                <w:kern w:val="0"/>
                <w:sz w:val="20"/>
                <w:szCs w:val="21"/>
              </w:rPr>
            </w:pPr>
            <w:r>
              <w:rPr>
                <w:rFonts w:hint="eastAsia"/>
                <w:kern w:val="0"/>
                <w:sz w:val="20"/>
                <w:szCs w:val="21"/>
              </w:rPr>
              <w:t>七无：值班室内无脏乱、设备运行无故障、安全运行无隐患、设施结构无损坏、办公环境无障碍。</w:t>
            </w:r>
          </w:p>
          <w:p>
            <w:pPr>
              <w:pStyle w:val="152"/>
              <w:spacing w:line="420" w:lineRule="exact"/>
              <w:ind w:firstLine="0" w:firstLineChars="0"/>
              <w:rPr>
                <w:kern w:val="0"/>
                <w:sz w:val="20"/>
                <w:szCs w:val="21"/>
              </w:rPr>
            </w:pPr>
            <w:r>
              <w:rPr>
                <w:kern w:val="0"/>
                <w:sz w:val="20"/>
                <w:szCs w:val="21"/>
              </w:rPr>
              <w:t>（</w:t>
            </w:r>
            <w:r>
              <w:rPr>
                <w:rFonts w:hint="eastAsia"/>
                <w:kern w:val="0"/>
                <w:sz w:val="20"/>
                <w:szCs w:val="21"/>
              </w:rPr>
              <w:t>5</w:t>
            </w:r>
            <w:r>
              <w:rPr>
                <w:kern w:val="0"/>
                <w:sz w:val="20"/>
                <w:szCs w:val="21"/>
              </w:rPr>
              <w:t>）接受学校对临时工作的安排，如大型活动保障，大型考试保障，会场布置、桌椅调配位置等临时工作</w:t>
            </w:r>
            <w:r>
              <w:rPr>
                <w:rFonts w:hint="eastAsia"/>
                <w:kern w:val="0"/>
                <w:sz w:val="20"/>
                <w:szCs w:val="21"/>
              </w:rPr>
              <w:t>。</w:t>
            </w:r>
          </w:p>
        </w:tc>
        <w:tc>
          <w:tcPr>
            <w:tcW w:w="800" w:type="dxa"/>
          </w:tcPr>
          <w:p>
            <w:pPr>
              <w:pStyle w:val="152"/>
              <w:spacing w:line="420" w:lineRule="exact"/>
              <w:ind w:firstLine="480"/>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tcPr>
          <w:p>
            <w:pPr>
              <w:pStyle w:val="152"/>
              <w:spacing w:line="420" w:lineRule="exact"/>
              <w:ind w:firstLine="0" w:firstLineChars="0"/>
              <w:rPr>
                <w:kern w:val="0"/>
                <w:sz w:val="24"/>
              </w:rPr>
            </w:pPr>
          </w:p>
          <w:p>
            <w:pPr>
              <w:pStyle w:val="152"/>
              <w:spacing w:line="420" w:lineRule="exact"/>
              <w:ind w:firstLine="0" w:firstLineChars="0"/>
              <w:rPr>
                <w:kern w:val="0"/>
                <w:sz w:val="24"/>
              </w:rPr>
            </w:pPr>
          </w:p>
          <w:p>
            <w:pPr>
              <w:pStyle w:val="152"/>
              <w:spacing w:line="420" w:lineRule="exact"/>
              <w:ind w:firstLine="0" w:firstLineChars="0"/>
              <w:rPr>
                <w:kern w:val="0"/>
                <w:sz w:val="24"/>
              </w:rPr>
            </w:pPr>
          </w:p>
          <w:p>
            <w:pPr>
              <w:pStyle w:val="152"/>
              <w:spacing w:line="420" w:lineRule="exact"/>
              <w:ind w:firstLine="0" w:firstLineChars="0"/>
              <w:rPr>
                <w:kern w:val="0"/>
                <w:sz w:val="24"/>
              </w:rPr>
            </w:pPr>
          </w:p>
          <w:p>
            <w:pPr>
              <w:pStyle w:val="152"/>
              <w:spacing w:line="420" w:lineRule="exact"/>
              <w:ind w:firstLine="0" w:firstLineChars="0"/>
              <w:rPr>
                <w:kern w:val="0"/>
                <w:sz w:val="24"/>
              </w:rPr>
            </w:pPr>
            <w:r>
              <w:rPr>
                <w:rFonts w:hint="eastAsia"/>
                <w:kern w:val="0"/>
                <w:sz w:val="24"/>
              </w:rPr>
              <w:t>4</w:t>
            </w:r>
          </w:p>
        </w:tc>
        <w:tc>
          <w:tcPr>
            <w:tcW w:w="891" w:type="dxa"/>
            <w:vAlign w:val="center"/>
          </w:tcPr>
          <w:p>
            <w:pPr>
              <w:pStyle w:val="152"/>
              <w:spacing w:line="420" w:lineRule="exact"/>
              <w:ind w:firstLine="0" w:firstLineChars="0"/>
              <w:rPr>
                <w:kern w:val="0"/>
                <w:sz w:val="24"/>
              </w:rPr>
            </w:pPr>
            <w:r>
              <w:rPr>
                <w:rFonts w:hint="eastAsia"/>
                <w:kern w:val="0"/>
                <w:sz w:val="24"/>
              </w:rPr>
              <w:t>绿化</w:t>
            </w:r>
          </w:p>
          <w:p>
            <w:pPr>
              <w:pStyle w:val="152"/>
              <w:spacing w:line="420" w:lineRule="exact"/>
              <w:ind w:firstLine="0" w:firstLineChars="0"/>
              <w:rPr>
                <w:kern w:val="0"/>
                <w:sz w:val="24"/>
              </w:rPr>
            </w:pPr>
            <w:r>
              <w:rPr>
                <w:rFonts w:hint="eastAsia"/>
                <w:kern w:val="0"/>
                <w:sz w:val="24"/>
              </w:rPr>
              <w:t>服务</w:t>
            </w:r>
          </w:p>
        </w:tc>
        <w:tc>
          <w:tcPr>
            <w:tcW w:w="6218" w:type="dxa"/>
          </w:tcPr>
          <w:p>
            <w:pPr>
              <w:pStyle w:val="152"/>
              <w:spacing w:line="420" w:lineRule="exact"/>
              <w:ind w:firstLine="0" w:firstLineChars="0"/>
              <w:rPr>
                <w:kern w:val="0"/>
                <w:sz w:val="20"/>
                <w:szCs w:val="21"/>
              </w:rPr>
            </w:pPr>
            <w:r>
              <w:rPr>
                <w:rFonts w:hint="eastAsia"/>
                <w:kern w:val="0"/>
                <w:sz w:val="20"/>
                <w:szCs w:val="21"/>
              </w:rPr>
              <w:t>（</w:t>
            </w:r>
            <w:r>
              <w:rPr>
                <w:kern w:val="0"/>
                <w:sz w:val="20"/>
                <w:szCs w:val="21"/>
              </w:rPr>
              <w:t>1</w:t>
            </w:r>
            <w:r>
              <w:rPr>
                <w:rFonts w:hint="eastAsia"/>
                <w:kern w:val="0"/>
                <w:sz w:val="20"/>
                <w:szCs w:val="21"/>
              </w:rPr>
              <w:t>）校区内所有绿化植物（含盆栽植物）的日常修剪、造型、施肥、浇水、除杂草</w:t>
            </w:r>
          </w:p>
          <w:p>
            <w:pPr>
              <w:pStyle w:val="152"/>
              <w:spacing w:line="420" w:lineRule="exact"/>
              <w:ind w:firstLine="0" w:firstLineChars="0"/>
              <w:rPr>
                <w:kern w:val="0"/>
                <w:sz w:val="20"/>
                <w:szCs w:val="21"/>
              </w:rPr>
            </w:pPr>
            <w:r>
              <w:rPr>
                <w:rFonts w:hint="eastAsia"/>
                <w:kern w:val="0"/>
                <w:sz w:val="20"/>
                <w:szCs w:val="21"/>
              </w:rPr>
              <w:t>（</w:t>
            </w:r>
            <w:r>
              <w:rPr>
                <w:kern w:val="0"/>
                <w:sz w:val="20"/>
                <w:szCs w:val="21"/>
              </w:rPr>
              <w:t>2</w:t>
            </w:r>
            <w:r>
              <w:rPr>
                <w:rFonts w:hint="eastAsia"/>
                <w:kern w:val="0"/>
                <w:sz w:val="20"/>
                <w:szCs w:val="21"/>
              </w:rPr>
              <w:t>）校区内所有绿化植物的病虫害防治。</w:t>
            </w:r>
          </w:p>
          <w:p>
            <w:pPr>
              <w:pStyle w:val="152"/>
              <w:spacing w:line="420" w:lineRule="exact"/>
              <w:ind w:firstLine="0" w:firstLineChars="0"/>
              <w:rPr>
                <w:kern w:val="0"/>
                <w:sz w:val="20"/>
                <w:szCs w:val="21"/>
              </w:rPr>
            </w:pPr>
            <w:r>
              <w:rPr>
                <w:rFonts w:hint="eastAsia"/>
                <w:kern w:val="0"/>
                <w:sz w:val="20"/>
                <w:szCs w:val="21"/>
              </w:rPr>
              <w:t>（</w:t>
            </w:r>
            <w:r>
              <w:rPr>
                <w:kern w:val="0"/>
                <w:sz w:val="20"/>
                <w:szCs w:val="21"/>
              </w:rPr>
              <w:t>3</w:t>
            </w:r>
            <w:r>
              <w:rPr>
                <w:rFonts w:hint="eastAsia"/>
                <w:kern w:val="0"/>
                <w:sz w:val="20"/>
                <w:szCs w:val="21"/>
              </w:rPr>
              <w:t>）校区绿化带内的卫生和垃圾清理。</w:t>
            </w:r>
          </w:p>
          <w:p>
            <w:pPr>
              <w:pStyle w:val="152"/>
              <w:spacing w:line="420" w:lineRule="exact"/>
              <w:ind w:firstLine="0" w:firstLineChars="0"/>
              <w:rPr>
                <w:kern w:val="0"/>
                <w:sz w:val="20"/>
                <w:szCs w:val="21"/>
              </w:rPr>
            </w:pPr>
            <w:r>
              <w:rPr>
                <w:rFonts w:hint="eastAsia"/>
                <w:kern w:val="0"/>
                <w:sz w:val="20"/>
                <w:szCs w:val="21"/>
              </w:rPr>
              <w:t>（</w:t>
            </w:r>
            <w:r>
              <w:rPr>
                <w:kern w:val="0"/>
                <w:sz w:val="20"/>
                <w:szCs w:val="21"/>
              </w:rPr>
              <w:t>4</w:t>
            </w:r>
            <w:r>
              <w:rPr>
                <w:rFonts w:hint="eastAsia"/>
                <w:kern w:val="0"/>
                <w:sz w:val="20"/>
                <w:szCs w:val="21"/>
              </w:rPr>
              <w:t>）绿化机具的维修、保养和使用。</w:t>
            </w:r>
          </w:p>
          <w:p>
            <w:pPr>
              <w:pStyle w:val="152"/>
              <w:spacing w:line="420" w:lineRule="exact"/>
              <w:ind w:firstLine="0" w:firstLineChars="0"/>
              <w:rPr>
                <w:kern w:val="0"/>
                <w:sz w:val="20"/>
                <w:szCs w:val="21"/>
              </w:rPr>
            </w:pPr>
            <w:r>
              <w:rPr>
                <w:rFonts w:hint="eastAsia"/>
                <w:kern w:val="0"/>
                <w:sz w:val="20"/>
                <w:szCs w:val="21"/>
              </w:rPr>
              <w:t>（</w:t>
            </w:r>
            <w:r>
              <w:rPr>
                <w:kern w:val="0"/>
                <w:sz w:val="20"/>
                <w:szCs w:val="21"/>
              </w:rPr>
              <w:t>5</w:t>
            </w:r>
            <w:r>
              <w:rPr>
                <w:rFonts w:hint="eastAsia"/>
                <w:kern w:val="0"/>
                <w:sz w:val="20"/>
                <w:szCs w:val="21"/>
              </w:rPr>
              <w:t>）学校大型活动、接待活动的花草摆放。</w:t>
            </w:r>
          </w:p>
          <w:p>
            <w:pPr>
              <w:pStyle w:val="152"/>
              <w:spacing w:line="420" w:lineRule="exact"/>
              <w:ind w:firstLine="0" w:firstLineChars="0"/>
              <w:rPr>
                <w:kern w:val="0"/>
                <w:sz w:val="20"/>
                <w:szCs w:val="21"/>
              </w:rPr>
            </w:pPr>
            <w:r>
              <w:rPr>
                <w:kern w:val="0"/>
                <w:sz w:val="20"/>
                <w:szCs w:val="21"/>
              </w:rPr>
              <w:t>（</w:t>
            </w:r>
            <w:r>
              <w:rPr>
                <w:rFonts w:hint="eastAsia"/>
                <w:kern w:val="0"/>
                <w:sz w:val="20"/>
                <w:szCs w:val="21"/>
              </w:rPr>
              <w:t>6）</w:t>
            </w:r>
            <w:r>
              <w:rPr>
                <w:kern w:val="0"/>
                <w:sz w:val="20"/>
                <w:szCs w:val="21"/>
              </w:rPr>
              <w:t>接受学校对临时工作的安排，如大型活动保障，大型考试保障，会场布置、桌椅调配位置等临时工作</w:t>
            </w:r>
            <w:r>
              <w:rPr>
                <w:rFonts w:hint="eastAsia"/>
                <w:kern w:val="0"/>
                <w:sz w:val="20"/>
                <w:szCs w:val="21"/>
              </w:rPr>
              <w:t>。</w:t>
            </w:r>
          </w:p>
        </w:tc>
        <w:tc>
          <w:tcPr>
            <w:tcW w:w="800" w:type="dxa"/>
          </w:tcPr>
          <w:p>
            <w:pPr>
              <w:pStyle w:val="152"/>
              <w:spacing w:line="420" w:lineRule="exact"/>
              <w:ind w:firstLine="480"/>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tcPr>
          <w:p>
            <w:pPr>
              <w:pStyle w:val="152"/>
              <w:spacing w:line="420" w:lineRule="exact"/>
              <w:ind w:firstLine="0" w:firstLineChars="0"/>
              <w:rPr>
                <w:kern w:val="0"/>
                <w:sz w:val="24"/>
              </w:rPr>
            </w:pPr>
          </w:p>
          <w:p>
            <w:pPr>
              <w:pStyle w:val="152"/>
              <w:spacing w:line="420" w:lineRule="exact"/>
              <w:ind w:firstLine="0" w:firstLineChars="0"/>
              <w:rPr>
                <w:kern w:val="0"/>
                <w:sz w:val="24"/>
              </w:rPr>
            </w:pPr>
          </w:p>
          <w:p>
            <w:pPr>
              <w:pStyle w:val="152"/>
              <w:spacing w:line="420" w:lineRule="exact"/>
              <w:ind w:firstLine="0" w:firstLineChars="0"/>
              <w:rPr>
                <w:kern w:val="0"/>
                <w:sz w:val="24"/>
              </w:rPr>
            </w:pPr>
          </w:p>
          <w:p>
            <w:pPr>
              <w:pStyle w:val="152"/>
              <w:spacing w:line="420" w:lineRule="exact"/>
              <w:ind w:firstLine="0" w:firstLineChars="0"/>
              <w:rPr>
                <w:kern w:val="0"/>
                <w:sz w:val="24"/>
              </w:rPr>
            </w:pPr>
          </w:p>
          <w:p>
            <w:pPr>
              <w:pStyle w:val="152"/>
              <w:spacing w:line="420" w:lineRule="exact"/>
              <w:ind w:firstLine="0" w:firstLineChars="0"/>
              <w:rPr>
                <w:kern w:val="0"/>
                <w:sz w:val="24"/>
              </w:rPr>
            </w:pPr>
          </w:p>
          <w:p>
            <w:pPr>
              <w:pStyle w:val="152"/>
              <w:spacing w:line="420" w:lineRule="exact"/>
              <w:ind w:firstLine="0" w:firstLineChars="0"/>
              <w:rPr>
                <w:kern w:val="0"/>
                <w:sz w:val="24"/>
              </w:rPr>
            </w:pPr>
          </w:p>
          <w:p>
            <w:pPr>
              <w:pStyle w:val="152"/>
              <w:spacing w:line="420" w:lineRule="exact"/>
              <w:ind w:firstLine="0" w:firstLineChars="0"/>
              <w:rPr>
                <w:kern w:val="0"/>
                <w:sz w:val="24"/>
              </w:rPr>
            </w:pPr>
            <w:r>
              <w:rPr>
                <w:rFonts w:hint="eastAsia"/>
                <w:kern w:val="0"/>
                <w:sz w:val="24"/>
              </w:rPr>
              <w:t>5</w:t>
            </w:r>
          </w:p>
        </w:tc>
        <w:tc>
          <w:tcPr>
            <w:tcW w:w="891" w:type="dxa"/>
            <w:vAlign w:val="center"/>
          </w:tcPr>
          <w:p>
            <w:pPr>
              <w:pStyle w:val="152"/>
              <w:spacing w:line="420" w:lineRule="exact"/>
              <w:ind w:firstLine="0" w:firstLineChars="0"/>
              <w:rPr>
                <w:kern w:val="0"/>
                <w:sz w:val="20"/>
                <w:szCs w:val="21"/>
              </w:rPr>
            </w:pPr>
          </w:p>
          <w:p>
            <w:pPr>
              <w:pStyle w:val="152"/>
              <w:spacing w:line="420" w:lineRule="exact"/>
              <w:ind w:firstLine="0" w:firstLineChars="0"/>
              <w:rPr>
                <w:kern w:val="0"/>
                <w:sz w:val="20"/>
                <w:szCs w:val="21"/>
              </w:rPr>
            </w:pPr>
          </w:p>
          <w:p>
            <w:pPr>
              <w:pStyle w:val="152"/>
              <w:spacing w:line="420" w:lineRule="exact"/>
              <w:ind w:firstLine="0" w:firstLineChars="0"/>
              <w:rPr>
                <w:kern w:val="0"/>
                <w:sz w:val="20"/>
                <w:szCs w:val="21"/>
              </w:rPr>
            </w:pPr>
          </w:p>
          <w:p>
            <w:pPr>
              <w:pStyle w:val="152"/>
              <w:spacing w:line="420" w:lineRule="exact"/>
              <w:ind w:firstLine="0" w:firstLineChars="0"/>
              <w:rPr>
                <w:kern w:val="0"/>
                <w:sz w:val="20"/>
                <w:szCs w:val="21"/>
              </w:rPr>
            </w:pPr>
          </w:p>
          <w:p>
            <w:pPr>
              <w:pStyle w:val="152"/>
              <w:spacing w:line="420" w:lineRule="exact"/>
              <w:ind w:firstLine="0" w:firstLineChars="0"/>
              <w:rPr>
                <w:kern w:val="0"/>
                <w:sz w:val="20"/>
                <w:szCs w:val="21"/>
              </w:rPr>
            </w:pPr>
          </w:p>
          <w:p>
            <w:pPr>
              <w:pStyle w:val="152"/>
              <w:spacing w:line="420" w:lineRule="exact"/>
              <w:ind w:firstLine="0" w:firstLineChars="0"/>
              <w:rPr>
                <w:kern w:val="0"/>
                <w:sz w:val="20"/>
                <w:szCs w:val="21"/>
              </w:rPr>
            </w:pPr>
          </w:p>
          <w:p>
            <w:pPr>
              <w:pStyle w:val="152"/>
              <w:spacing w:line="420" w:lineRule="exact"/>
              <w:ind w:firstLine="0" w:firstLineChars="0"/>
              <w:rPr>
                <w:kern w:val="0"/>
                <w:sz w:val="24"/>
              </w:rPr>
            </w:pPr>
            <w:r>
              <w:rPr>
                <w:rFonts w:hint="eastAsia"/>
                <w:kern w:val="0"/>
                <w:sz w:val="20"/>
                <w:szCs w:val="21"/>
              </w:rPr>
              <w:t>宿管（生活教师）</w:t>
            </w:r>
          </w:p>
        </w:tc>
        <w:tc>
          <w:tcPr>
            <w:tcW w:w="6218" w:type="dxa"/>
          </w:tcPr>
          <w:p>
            <w:pPr>
              <w:pStyle w:val="152"/>
              <w:spacing w:line="420" w:lineRule="exact"/>
              <w:ind w:firstLine="0" w:firstLineChars="0"/>
              <w:rPr>
                <w:kern w:val="0"/>
                <w:sz w:val="20"/>
                <w:szCs w:val="21"/>
              </w:rPr>
            </w:pPr>
            <w:r>
              <w:rPr>
                <w:rFonts w:hint="eastAsia"/>
                <w:kern w:val="0"/>
                <w:sz w:val="20"/>
                <w:szCs w:val="21"/>
              </w:rPr>
              <w:t>（1）每日巡视学生宿舍，督促学生整理寝室内务，打扫清洁卫生，维护良好的宿舍环境。</w:t>
            </w:r>
          </w:p>
          <w:p>
            <w:pPr>
              <w:pStyle w:val="152"/>
              <w:spacing w:line="420" w:lineRule="exact"/>
              <w:ind w:firstLine="0" w:firstLineChars="0"/>
              <w:rPr>
                <w:kern w:val="0"/>
                <w:sz w:val="20"/>
                <w:szCs w:val="21"/>
              </w:rPr>
            </w:pPr>
            <w:r>
              <w:rPr>
                <w:rFonts w:hint="eastAsia"/>
                <w:kern w:val="0"/>
                <w:sz w:val="20"/>
                <w:szCs w:val="21"/>
              </w:rPr>
              <w:t>（2）检查宿舍门窗、学生用水用电及公共设施的情况，对学生进行安全教育，增强防盗、防火、防病、防灾意识，发现安全隐患及时向主管部门汇报。</w:t>
            </w:r>
          </w:p>
          <w:p>
            <w:pPr>
              <w:pStyle w:val="152"/>
              <w:spacing w:line="420" w:lineRule="exact"/>
              <w:ind w:firstLine="0" w:firstLineChars="0"/>
              <w:rPr>
                <w:kern w:val="0"/>
                <w:sz w:val="20"/>
                <w:szCs w:val="21"/>
              </w:rPr>
            </w:pPr>
            <w:r>
              <w:rPr>
                <w:rFonts w:hint="eastAsia"/>
                <w:kern w:val="0"/>
                <w:sz w:val="20"/>
                <w:szCs w:val="21"/>
              </w:rPr>
              <w:t>（3）每日按时检查学生回寝室、离教室情况，确保学生安全，离开宿舍时负责检查门窗水电是否关闭。</w:t>
            </w:r>
          </w:p>
          <w:p>
            <w:pPr>
              <w:pStyle w:val="152"/>
              <w:spacing w:line="420" w:lineRule="exact"/>
              <w:ind w:firstLine="0" w:firstLineChars="0"/>
              <w:rPr>
                <w:kern w:val="0"/>
                <w:sz w:val="20"/>
                <w:szCs w:val="21"/>
              </w:rPr>
            </w:pPr>
            <w:r>
              <w:rPr>
                <w:rFonts w:hint="eastAsia"/>
                <w:kern w:val="0"/>
                <w:sz w:val="20"/>
                <w:szCs w:val="21"/>
              </w:rPr>
              <w:t>（4）返回寝室后监管学生禁止擅自外出，检查有无外来人员留宿，保障宿舍安全。</w:t>
            </w:r>
          </w:p>
          <w:p>
            <w:pPr>
              <w:pStyle w:val="152"/>
              <w:spacing w:line="420" w:lineRule="exact"/>
              <w:ind w:firstLine="0" w:firstLineChars="0"/>
              <w:rPr>
                <w:kern w:val="0"/>
                <w:sz w:val="20"/>
                <w:szCs w:val="21"/>
              </w:rPr>
            </w:pPr>
            <w:r>
              <w:rPr>
                <w:rFonts w:hint="eastAsia"/>
                <w:kern w:val="0"/>
                <w:sz w:val="20"/>
                <w:szCs w:val="21"/>
              </w:rPr>
              <w:t>（5）督促学生按时就寝和起床，晚上熄灯后，对所辖区域进行全面巡查。</w:t>
            </w:r>
          </w:p>
          <w:p>
            <w:pPr>
              <w:pStyle w:val="152"/>
              <w:spacing w:line="420" w:lineRule="exact"/>
              <w:ind w:firstLine="0" w:firstLineChars="0"/>
              <w:rPr>
                <w:kern w:val="0"/>
                <w:sz w:val="20"/>
                <w:szCs w:val="21"/>
              </w:rPr>
            </w:pPr>
            <w:r>
              <w:rPr>
                <w:rFonts w:hint="eastAsia"/>
                <w:kern w:val="0"/>
                <w:sz w:val="20"/>
                <w:szCs w:val="21"/>
              </w:rPr>
              <w:t>（6）协同班主任处理好学生突发情况，如学生宿舍矛盾、健康状况、自然灾害等，及时与主管部门或值班行政汇报。</w:t>
            </w:r>
          </w:p>
          <w:p>
            <w:pPr>
              <w:pStyle w:val="152"/>
              <w:spacing w:line="420" w:lineRule="exact"/>
              <w:ind w:firstLine="0" w:firstLineChars="0"/>
              <w:rPr>
                <w:kern w:val="0"/>
                <w:sz w:val="20"/>
                <w:szCs w:val="21"/>
              </w:rPr>
            </w:pPr>
            <w:r>
              <w:rPr>
                <w:rFonts w:hint="eastAsia"/>
                <w:kern w:val="0"/>
                <w:sz w:val="20"/>
                <w:szCs w:val="21"/>
              </w:rPr>
              <w:t>（7）维护宿舍硬件设施，教育学生爱护公物。及时申报维修，如为学生人为损坏，负责落实到人，按学校赔偿制度督促学生赔偿。</w:t>
            </w:r>
          </w:p>
          <w:p>
            <w:pPr>
              <w:pStyle w:val="152"/>
              <w:spacing w:line="420" w:lineRule="exact"/>
              <w:ind w:firstLine="0" w:firstLineChars="0"/>
              <w:rPr>
                <w:kern w:val="0"/>
                <w:sz w:val="20"/>
                <w:szCs w:val="21"/>
              </w:rPr>
            </w:pPr>
            <w:r>
              <w:rPr>
                <w:rFonts w:hint="eastAsia"/>
                <w:kern w:val="0"/>
                <w:sz w:val="20"/>
                <w:szCs w:val="21"/>
              </w:rPr>
              <w:t>（8）每天按“学生寝室评分细则”进行评分，每周总评，并评出一周流动红旗寝室。每周给班主任提供一份学生宿舍表现的情况材料。加强与班主任及学校主管部门沟通交流，通报学生在宿舍区域的表现。</w:t>
            </w:r>
          </w:p>
          <w:p>
            <w:pPr>
              <w:pStyle w:val="152"/>
              <w:spacing w:line="420" w:lineRule="exact"/>
              <w:ind w:firstLine="0" w:firstLineChars="0"/>
              <w:rPr>
                <w:kern w:val="0"/>
                <w:sz w:val="20"/>
                <w:szCs w:val="21"/>
              </w:rPr>
            </w:pPr>
            <w:r>
              <w:rPr>
                <w:rFonts w:hint="eastAsia"/>
                <w:kern w:val="0"/>
                <w:sz w:val="20"/>
                <w:szCs w:val="21"/>
              </w:rPr>
              <w:t>学生防疫工作</w:t>
            </w:r>
          </w:p>
          <w:p>
            <w:pPr>
              <w:pStyle w:val="152"/>
              <w:spacing w:line="420" w:lineRule="exact"/>
              <w:ind w:firstLine="0" w:firstLineChars="0"/>
              <w:rPr>
                <w:kern w:val="0"/>
                <w:sz w:val="20"/>
                <w:szCs w:val="21"/>
              </w:rPr>
            </w:pPr>
            <w:r>
              <w:rPr>
                <w:rFonts w:hint="eastAsia"/>
                <w:kern w:val="0"/>
                <w:sz w:val="20"/>
                <w:szCs w:val="21"/>
              </w:rPr>
              <w:t>（9）</w:t>
            </w:r>
            <w:r>
              <w:rPr>
                <w:kern w:val="0"/>
                <w:sz w:val="20"/>
                <w:szCs w:val="21"/>
              </w:rPr>
              <w:t>接受学校对临时工作的安排，如大型活动保障，大型考试保障，会场布置、桌椅调配位置等临时工作</w:t>
            </w:r>
            <w:r>
              <w:rPr>
                <w:rFonts w:hint="eastAsia"/>
                <w:kern w:val="0"/>
                <w:sz w:val="20"/>
                <w:szCs w:val="21"/>
              </w:rPr>
              <w:t>。</w:t>
            </w:r>
          </w:p>
        </w:tc>
        <w:tc>
          <w:tcPr>
            <w:tcW w:w="800" w:type="dxa"/>
          </w:tcPr>
          <w:p>
            <w:pPr>
              <w:pStyle w:val="152"/>
              <w:spacing w:line="420" w:lineRule="exact"/>
              <w:ind w:firstLine="480"/>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tcPr>
          <w:p>
            <w:pPr>
              <w:pStyle w:val="152"/>
              <w:spacing w:line="420" w:lineRule="exact"/>
              <w:ind w:firstLine="0" w:firstLineChars="0"/>
              <w:rPr>
                <w:kern w:val="0"/>
                <w:sz w:val="24"/>
              </w:rPr>
            </w:pPr>
          </w:p>
          <w:p>
            <w:pPr>
              <w:pStyle w:val="152"/>
              <w:spacing w:line="420" w:lineRule="exact"/>
              <w:ind w:firstLine="0" w:firstLineChars="0"/>
              <w:rPr>
                <w:kern w:val="0"/>
                <w:sz w:val="24"/>
              </w:rPr>
            </w:pPr>
          </w:p>
          <w:p>
            <w:pPr>
              <w:pStyle w:val="152"/>
              <w:spacing w:line="420" w:lineRule="exact"/>
              <w:ind w:firstLine="0" w:firstLineChars="0"/>
              <w:rPr>
                <w:kern w:val="0"/>
                <w:sz w:val="24"/>
              </w:rPr>
            </w:pPr>
          </w:p>
          <w:p>
            <w:pPr>
              <w:pStyle w:val="152"/>
              <w:spacing w:line="420" w:lineRule="exact"/>
              <w:ind w:firstLine="0" w:firstLineChars="0"/>
              <w:rPr>
                <w:kern w:val="0"/>
                <w:sz w:val="24"/>
              </w:rPr>
            </w:pPr>
            <w:r>
              <w:rPr>
                <w:rFonts w:hint="eastAsia"/>
                <w:kern w:val="0"/>
                <w:sz w:val="24"/>
              </w:rPr>
              <w:t>6</w:t>
            </w:r>
          </w:p>
        </w:tc>
        <w:tc>
          <w:tcPr>
            <w:tcW w:w="891" w:type="dxa"/>
            <w:vAlign w:val="center"/>
          </w:tcPr>
          <w:p>
            <w:pPr>
              <w:pStyle w:val="152"/>
              <w:spacing w:line="420" w:lineRule="exact"/>
              <w:ind w:firstLine="0" w:firstLineChars="0"/>
              <w:rPr>
                <w:kern w:val="0"/>
                <w:sz w:val="24"/>
              </w:rPr>
            </w:pPr>
            <w:r>
              <w:rPr>
                <w:rFonts w:hint="eastAsia"/>
                <w:kern w:val="0"/>
                <w:sz w:val="24"/>
              </w:rPr>
              <w:t>晚自习管理</w:t>
            </w:r>
          </w:p>
        </w:tc>
        <w:tc>
          <w:tcPr>
            <w:tcW w:w="6218" w:type="dxa"/>
          </w:tcPr>
          <w:p>
            <w:pPr>
              <w:pStyle w:val="152"/>
              <w:spacing w:line="420" w:lineRule="exact"/>
              <w:ind w:firstLine="0" w:firstLineChars="0"/>
              <w:rPr>
                <w:kern w:val="0"/>
                <w:sz w:val="20"/>
                <w:szCs w:val="21"/>
              </w:rPr>
            </w:pPr>
            <w:r>
              <w:rPr>
                <w:rFonts w:hint="eastAsia"/>
                <w:kern w:val="0"/>
                <w:sz w:val="20"/>
                <w:szCs w:val="21"/>
              </w:rPr>
              <w:t>（1）负责学生考勤，及时清查班级晚自习人数，做好相关记录，及时将情况反馈给年级班主任。</w:t>
            </w:r>
          </w:p>
          <w:p>
            <w:pPr>
              <w:pStyle w:val="152"/>
              <w:spacing w:line="420" w:lineRule="exact"/>
              <w:ind w:firstLine="0" w:firstLineChars="0"/>
              <w:rPr>
                <w:kern w:val="0"/>
                <w:sz w:val="20"/>
                <w:szCs w:val="21"/>
              </w:rPr>
            </w:pPr>
            <w:r>
              <w:rPr>
                <w:rFonts w:hint="eastAsia"/>
                <w:kern w:val="0"/>
                <w:sz w:val="20"/>
                <w:szCs w:val="21"/>
              </w:rPr>
              <w:t>（2）负责学风建设，督促学生主动学习，学生不得进行与学习无关的活动，保证班级自习课的安静。</w:t>
            </w:r>
          </w:p>
          <w:p>
            <w:pPr>
              <w:pStyle w:val="152"/>
              <w:spacing w:line="420" w:lineRule="exact"/>
              <w:ind w:firstLine="0" w:firstLineChars="0"/>
              <w:rPr>
                <w:kern w:val="0"/>
                <w:sz w:val="20"/>
                <w:szCs w:val="21"/>
              </w:rPr>
            </w:pPr>
            <w:r>
              <w:rPr>
                <w:rFonts w:hint="eastAsia"/>
                <w:kern w:val="0"/>
                <w:sz w:val="20"/>
                <w:szCs w:val="21"/>
              </w:rPr>
              <w:t>（3）负责学生安全，值守人员应不断巡视，发现问题及时整改，确保学生校内安全。</w:t>
            </w:r>
          </w:p>
          <w:p>
            <w:pPr>
              <w:pStyle w:val="152"/>
              <w:spacing w:line="420" w:lineRule="exact"/>
              <w:ind w:firstLine="0" w:firstLineChars="0"/>
              <w:rPr>
                <w:kern w:val="0"/>
                <w:sz w:val="20"/>
                <w:szCs w:val="21"/>
              </w:rPr>
            </w:pPr>
            <w:r>
              <w:rPr>
                <w:rFonts w:hint="eastAsia"/>
                <w:kern w:val="0"/>
                <w:sz w:val="20"/>
                <w:szCs w:val="21"/>
              </w:rPr>
              <w:t>（4）</w:t>
            </w:r>
            <w:r>
              <w:rPr>
                <w:kern w:val="0"/>
                <w:sz w:val="20"/>
                <w:szCs w:val="21"/>
              </w:rPr>
              <w:t>接受学校对临时工作的安排，如大型活动保障，大型考试保障，会场布置、桌椅调配位置等临时工作</w:t>
            </w:r>
            <w:r>
              <w:rPr>
                <w:rFonts w:hint="eastAsia"/>
                <w:kern w:val="0"/>
                <w:sz w:val="20"/>
                <w:szCs w:val="21"/>
              </w:rPr>
              <w:t>。</w:t>
            </w:r>
          </w:p>
        </w:tc>
        <w:tc>
          <w:tcPr>
            <w:tcW w:w="800" w:type="dxa"/>
          </w:tcPr>
          <w:p>
            <w:pPr>
              <w:pStyle w:val="152"/>
              <w:spacing w:line="420" w:lineRule="exact"/>
              <w:ind w:firstLine="480"/>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tcPr>
          <w:p>
            <w:pPr>
              <w:pStyle w:val="152"/>
              <w:spacing w:line="420" w:lineRule="exact"/>
              <w:ind w:firstLine="0" w:firstLineChars="0"/>
              <w:rPr>
                <w:kern w:val="0"/>
                <w:sz w:val="24"/>
              </w:rPr>
            </w:pPr>
          </w:p>
          <w:p>
            <w:pPr>
              <w:pStyle w:val="152"/>
              <w:spacing w:line="420" w:lineRule="exact"/>
              <w:ind w:firstLine="0" w:firstLineChars="0"/>
              <w:rPr>
                <w:kern w:val="0"/>
                <w:sz w:val="24"/>
              </w:rPr>
            </w:pPr>
            <w:r>
              <w:rPr>
                <w:rFonts w:hint="eastAsia"/>
                <w:kern w:val="0"/>
                <w:sz w:val="24"/>
              </w:rPr>
              <w:t>7</w:t>
            </w:r>
          </w:p>
        </w:tc>
        <w:tc>
          <w:tcPr>
            <w:tcW w:w="891" w:type="dxa"/>
            <w:vAlign w:val="center"/>
          </w:tcPr>
          <w:p>
            <w:pPr>
              <w:pStyle w:val="152"/>
              <w:spacing w:line="420" w:lineRule="exact"/>
              <w:ind w:firstLine="0" w:firstLineChars="0"/>
              <w:rPr>
                <w:kern w:val="0"/>
                <w:sz w:val="24"/>
              </w:rPr>
            </w:pPr>
            <w:r>
              <w:rPr>
                <w:rFonts w:hint="eastAsia"/>
                <w:kern w:val="0"/>
                <w:sz w:val="24"/>
              </w:rPr>
              <w:t>司机</w:t>
            </w:r>
          </w:p>
        </w:tc>
        <w:tc>
          <w:tcPr>
            <w:tcW w:w="6218" w:type="dxa"/>
          </w:tcPr>
          <w:p>
            <w:pPr>
              <w:pStyle w:val="152"/>
              <w:numPr>
                <w:ilvl w:val="0"/>
                <w:numId w:val="36"/>
              </w:numPr>
              <w:spacing w:line="420" w:lineRule="exact"/>
              <w:ind w:firstLine="0" w:firstLineChars="0"/>
              <w:rPr>
                <w:kern w:val="0"/>
                <w:sz w:val="20"/>
                <w:szCs w:val="21"/>
              </w:rPr>
            </w:pPr>
            <w:r>
              <w:rPr>
                <w:rFonts w:hint="eastAsia"/>
                <w:kern w:val="0"/>
                <w:sz w:val="20"/>
                <w:szCs w:val="21"/>
              </w:rPr>
              <w:t>按照安排驾驶公车送领取文件资料，接送相关人员参会；</w:t>
            </w:r>
          </w:p>
          <w:p>
            <w:pPr>
              <w:pStyle w:val="152"/>
              <w:numPr>
                <w:ilvl w:val="0"/>
                <w:numId w:val="36"/>
              </w:numPr>
              <w:spacing w:line="420" w:lineRule="exact"/>
              <w:ind w:firstLine="0" w:firstLineChars="0"/>
              <w:rPr>
                <w:kern w:val="0"/>
                <w:sz w:val="20"/>
                <w:szCs w:val="21"/>
              </w:rPr>
            </w:pPr>
            <w:r>
              <w:rPr>
                <w:rFonts w:hint="eastAsia"/>
                <w:kern w:val="0"/>
                <w:sz w:val="20"/>
                <w:szCs w:val="21"/>
              </w:rPr>
              <w:t>清洗、保养车辆，加油，随时保证车辆能正常出行；</w:t>
            </w:r>
          </w:p>
          <w:p>
            <w:pPr>
              <w:pStyle w:val="152"/>
              <w:spacing w:line="420" w:lineRule="exact"/>
              <w:ind w:firstLine="0" w:firstLineChars="0"/>
              <w:rPr>
                <w:kern w:val="0"/>
                <w:sz w:val="20"/>
                <w:szCs w:val="21"/>
              </w:rPr>
            </w:pPr>
            <w:r>
              <w:rPr>
                <w:rFonts w:hint="eastAsia"/>
                <w:kern w:val="0"/>
                <w:sz w:val="20"/>
                <w:szCs w:val="21"/>
              </w:rPr>
              <w:t>（3）</w:t>
            </w:r>
            <w:r>
              <w:rPr>
                <w:kern w:val="0"/>
                <w:sz w:val="20"/>
                <w:szCs w:val="21"/>
              </w:rPr>
              <w:t>接受学校对临时工作的安排，如大型活动保障，大型考试保障，会场布置、桌椅调配位置等临时工作</w:t>
            </w:r>
            <w:r>
              <w:rPr>
                <w:rFonts w:hint="eastAsia"/>
                <w:kern w:val="0"/>
                <w:sz w:val="20"/>
                <w:szCs w:val="21"/>
              </w:rPr>
              <w:t>。</w:t>
            </w:r>
          </w:p>
        </w:tc>
        <w:tc>
          <w:tcPr>
            <w:tcW w:w="800" w:type="dxa"/>
          </w:tcPr>
          <w:p>
            <w:pPr>
              <w:pStyle w:val="152"/>
              <w:spacing w:line="420" w:lineRule="exact"/>
              <w:ind w:firstLine="480"/>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tcPr>
          <w:p>
            <w:pPr>
              <w:pStyle w:val="152"/>
              <w:spacing w:line="420" w:lineRule="exact"/>
              <w:ind w:firstLine="0" w:firstLineChars="0"/>
              <w:rPr>
                <w:kern w:val="0"/>
                <w:sz w:val="24"/>
              </w:rPr>
            </w:pPr>
          </w:p>
          <w:p>
            <w:pPr>
              <w:pStyle w:val="152"/>
              <w:spacing w:line="420" w:lineRule="exact"/>
              <w:ind w:firstLine="0" w:firstLineChars="0"/>
              <w:rPr>
                <w:kern w:val="0"/>
                <w:sz w:val="24"/>
              </w:rPr>
            </w:pPr>
          </w:p>
          <w:p>
            <w:pPr>
              <w:pStyle w:val="152"/>
              <w:spacing w:line="420" w:lineRule="exact"/>
              <w:ind w:firstLine="0" w:firstLineChars="0"/>
              <w:rPr>
                <w:kern w:val="0"/>
                <w:sz w:val="24"/>
              </w:rPr>
            </w:pPr>
            <w:r>
              <w:rPr>
                <w:rFonts w:hint="eastAsia"/>
                <w:kern w:val="0"/>
                <w:sz w:val="24"/>
              </w:rPr>
              <w:t>8</w:t>
            </w:r>
          </w:p>
        </w:tc>
        <w:tc>
          <w:tcPr>
            <w:tcW w:w="891" w:type="dxa"/>
            <w:vAlign w:val="center"/>
          </w:tcPr>
          <w:p>
            <w:pPr>
              <w:pStyle w:val="152"/>
              <w:spacing w:line="420" w:lineRule="exact"/>
              <w:ind w:firstLine="0" w:firstLineChars="0"/>
              <w:rPr>
                <w:kern w:val="0"/>
                <w:sz w:val="24"/>
              </w:rPr>
            </w:pPr>
            <w:r>
              <w:rPr>
                <w:rFonts w:hint="eastAsia"/>
                <w:kern w:val="0"/>
                <w:sz w:val="24"/>
              </w:rPr>
              <w:t>锅炉服务</w:t>
            </w:r>
          </w:p>
        </w:tc>
        <w:tc>
          <w:tcPr>
            <w:tcW w:w="6218" w:type="dxa"/>
          </w:tcPr>
          <w:p>
            <w:pPr>
              <w:pStyle w:val="152"/>
              <w:numPr>
                <w:ilvl w:val="0"/>
                <w:numId w:val="37"/>
              </w:numPr>
              <w:spacing w:line="420" w:lineRule="exact"/>
              <w:ind w:firstLine="0" w:firstLineChars="0"/>
              <w:rPr>
                <w:kern w:val="0"/>
                <w:sz w:val="20"/>
                <w:szCs w:val="21"/>
              </w:rPr>
            </w:pPr>
            <w:r>
              <w:rPr>
                <w:rFonts w:hint="eastAsia"/>
                <w:kern w:val="0"/>
                <w:sz w:val="20"/>
                <w:szCs w:val="21"/>
              </w:rPr>
              <w:t>定期检查、保养相关设备设施；</w:t>
            </w:r>
          </w:p>
          <w:p>
            <w:pPr>
              <w:pStyle w:val="152"/>
              <w:numPr>
                <w:ilvl w:val="0"/>
                <w:numId w:val="37"/>
              </w:numPr>
              <w:spacing w:line="420" w:lineRule="exact"/>
              <w:ind w:firstLine="0" w:firstLineChars="0"/>
              <w:rPr>
                <w:kern w:val="0"/>
                <w:sz w:val="20"/>
                <w:szCs w:val="21"/>
              </w:rPr>
            </w:pPr>
            <w:r>
              <w:rPr>
                <w:rFonts w:hint="eastAsia"/>
                <w:kern w:val="0"/>
                <w:sz w:val="20"/>
                <w:szCs w:val="21"/>
              </w:rPr>
              <w:t>联系维修公司维护、维修；</w:t>
            </w:r>
          </w:p>
          <w:p>
            <w:pPr>
              <w:pStyle w:val="152"/>
              <w:spacing w:line="420" w:lineRule="exact"/>
              <w:ind w:firstLine="0" w:firstLineChars="0"/>
              <w:rPr>
                <w:kern w:val="0"/>
                <w:sz w:val="20"/>
                <w:szCs w:val="21"/>
              </w:rPr>
            </w:pPr>
            <w:r>
              <w:rPr>
                <w:rFonts w:hint="eastAsia"/>
                <w:kern w:val="0"/>
                <w:sz w:val="20"/>
                <w:szCs w:val="21"/>
              </w:rPr>
              <w:t>（3）根据学校安排，每天定时（三次）供应热水和开水；</w:t>
            </w:r>
          </w:p>
          <w:p>
            <w:pPr>
              <w:pStyle w:val="152"/>
              <w:spacing w:line="420" w:lineRule="exact"/>
              <w:ind w:firstLine="0" w:firstLineChars="0"/>
              <w:rPr>
                <w:kern w:val="0"/>
                <w:sz w:val="20"/>
                <w:szCs w:val="21"/>
              </w:rPr>
            </w:pPr>
            <w:r>
              <w:rPr>
                <w:kern w:val="0"/>
                <w:sz w:val="20"/>
                <w:szCs w:val="21"/>
              </w:rPr>
              <w:t>（</w:t>
            </w:r>
            <w:r>
              <w:rPr>
                <w:rFonts w:hint="eastAsia"/>
                <w:kern w:val="0"/>
                <w:sz w:val="20"/>
                <w:szCs w:val="21"/>
              </w:rPr>
              <w:t>4</w:t>
            </w:r>
            <w:r>
              <w:rPr>
                <w:kern w:val="0"/>
                <w:sz w:val="20"/>
                <w:szCs w:val="21"/>
              </w:rPr>
              <w:t>）接受学校对临时工作的安排，如大型活动保障，大型考试保障，会场布置、桌椅调配位置等临时工作</w:t>
            </w:r>
            <w:r>
              <w:rPr>
                <w:rFonts w:hint="eastAsia"/>
                <w:kern w:val="0"/>
                <w:sz w:val="20"/>
                <w:szCs w:val="21"/>
              </w:rPr>
              <w:t>.</w:t>
            </w:r>
          </w:p>
        </w:tc>
        <w:tc>
          <w:tcPr>
            <w:tcW w:w="800" w:type="dxa"/>
          </w:tcPr>
          <w:p>
            <w:pPr>
              <w:pStyle w:val="152"/>
              <w:spacing w:line="420" w:lineRule="exact"/>
              <w:ind w:firstLine="480"/>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tcPr>
          <w:p>
            <w:pPr>
              <w:pStyle w:val="152"/>
              <w:spacing w:line="420" w:lineRule="exact"/>
              <w:ind w:firstLine="0" w:firstLineChars="0"/>
              <w:rPr>
                <w:kern w:val="0"/>
                <w:sz w:val="24"/>
              </w:rPr>
            </w:pPr>
            <w:r>
              <w:rPr>
                <w:rFonts w:hint="eastAsia"/>
                <w:kern w:val="0"/>
                <w:sz w:val="24"/>
              </w:rPr>
              <w:t>9</w:t>
            </w:r>
          </w:p>
        </w:tc>
        <w:tc>
          <w:tcPr>
            <w:tcW w:w="891" w:type="dxa"/>
            <w:vAlign w:val="center"/>
          </w:tcPr>
          <w:p>
            <w:pPr>
              <w:pStyle w:val="152"/>
              <w:spacing w:line="420" w:lineRule="exact"/>
              <w:ind w:firstLine="0" w:firstLineChars="0"/>
              <w:rPr>
                <w:kern w:val="0"/>
                <w:sz w:val="24"/>
              </w:rPr>
            </w:pPr>
            <w:r>
              <w:rPr>
                <w:rFonts w:hint="eastAsia"/>
                <w:kern w:val="0"/>
                <w:sz w:val="24"/>
              </w:rPr>
              <w:t>体育器材保管服务</w:t>
            </w:r>
          </w:p>
        </w:tc>
        <w:tc>
          <w:tcPr>
            <w:tcW w:w="6218" w:type="dxa"/>
          </w:tcPr>
          <w:p>
            <w:pPr>
              <w:pStyle w:val="152"/>
              <w:spacing w:line="420" w:lineRule="exact"/>
              <w:ind w:firstLine="0" w:firstLineChars="0"/>
              <w:rPr>
                <w:kern w:val="0"/>
                <w:sz w:val="20"/>
                <w:szCs w:val="21"/>
              </w:rPr>
            </w:pPr>
            <w:r>
              <w:rPr>
                <w:rFonts w:hint="eastAsia"/>
                <w:kern w:val="0"/>
                <w:sz w:val="20"/>
                <w:szCs w:val="21"/>
              </w:rPr>
              <w:t>（1）体育器材账目分类管理;</w:t>
            </w:r>
          </w:p>
          <w:p>
            <w:pPr>
              <w:pStyle w:val="152"/>
              <w:spacing w:line="420" w:lineRule="exact"/>
              <w:ind w:firstLine="0" w:firstLineChars="0"/>
              <w:rPr>
                <w:kern w:val="0"/>
                <w:sz w:val="20"/>
                <w:szCs w:val="21"/>
              </w:rPr>
            </w:pPr>
            <w:r>
              <w:rPr>
                <w:rFonts w:hint="eastAsia"/>
                <w:kern w:val="0"/>
                <w:sz w:val="20"/>
                <w:szCs w:val="21"/>
              </w:rPr>
              <w:t>（2）器材的借还、保养维护；</w:t>
            </w:r>
          </w:p>
          <w:p>
            <w:pPr>
              <w:pStyle w:val="152"/>
              <w:spacing w:line="420" w:lineRule="exact"/>
              <w:ind w:firstLine="0" w:firstLineChars="0"/>
              <w:rPr>
                <w:kern w:val="0"/>
                <w:sz w:val="20"/>
                <w:szCs w:val="21"/>
              </w:rPr>
            </w:pPr>
            <w:r>
              <w:rPr>
                <w:rFonts w:hint="eastAsia"/>
                <w:kern w:val="0"/>
                <w:sz w:val="20"/>
                <w:szCs w:val="21"/>
              </w:rPr>
              <w:t>（3）篮球架等大型体育器材的安全巡查；</w:t>
            </w:r>
          </w:p>
          <w:p>
            <w:pPr>
              <w:pStyle w:val="152"/>
              <w:spacing w:line="420" w:lineRule="exact"/>
              <w:ind w:firstLine="0" w:firstLineChars="0"/>
              <w:rPr>
                <w:kern w:val="0"/>
                <w:sz w:val="20"/>
                <w:szCs w:val="21"/>
              </w:rPr>
            </w:pPr>
            <w:r>
              <w:rPr>
                <w:rFonts w:hint="eastAsia"/>
                <w:kern w:val="0"/>
                <w:sz w:val="20"/>
                <w:szCs w:val="21"/>
              </w:rPr>
              <w:t>（</w:t>
            </w:r>
            <w:r>
              <w:rPr>
                <w:kern w:val="0"/>
                <w:sz w:val="20"/>
                <w:szCs w:val="21"/>
              </w:rPr>
              <w:t>4</w:t>
            </w:r>
            <w:r>
              <w:rPr>
                <w:rFonts w:hint="eastAsia"/>
                <w:kern w:val="0"/>
                <w:sz w:val="20"/>
                <w:szCs w:val="21"/>
              </w:rPr>
              <w:t>）器材室清洁布置；</w:t>
            </w:r>
          </w:p>
          <w:p>
            <w:pPr>
              <w:pStyle w:val="152"/>
              <w:spacing w:line="420" w:lineRule="exact"/>
              <w:ind w:firstLine="0" w:firstLineChars="0"/>
              <w:rPr>
                <w:kern w:val="0"/>
                <w:sz w:val="20"/>
                <w:szCs w:val="21"/>
              </w:rPr>
            </w:pPr>
            <w:r>
              <w:rPr>
                <w:rFonts w:hint="eastAsia"/>
                <w:kern w:val="0"/>
                <w:sz w:val="20"/>
                <w:szCs w:val="21"/>
              </w:rPr>
              <w:t>（</w:t>
            </w:r>
            <w:r>
              <w:rPr>
                <w:kern w:val="0"/>
                <w:sz w:val="20"/>
                <w:szCs w:val="21"/>
              </w:rPr>
              <w:t>5</w:t>
            </w:r>
            <w:r>
              <w:rPr>
                <w:rFonts w:hint="eastAsia"/>
                <w:kern w:val="0"/>
                <w:sz w:val="20"/>
                <w:szCs w:val="21"/>
              </w:rPr>
              <w:t>）</w:t>
            </w:r>
            <w:r>
              <w:rPr>
                <w:kern w:val="0"/>
                <w:sz w:val="20"/>
                <w:szCs w:val="21"/>
              </w:rPr>
              <w:t>接受学校对临时工作的安排，如大型活动保障，大型考试保障，会场布置、桌椅调配位置等临时工作</w:t>
            </w:r>
            <w:r>
              <w:rPr>
                <w:rFonts w:hint="eastAsia"/>
                <w:kern w:val="0"/>
                <w:sz w:val="20"/>
                <w:szCs w:val="21"/>
              </w:rPr>
              <w:t>。</w:t>
            </w:r>
          </w:p>
        </w:tc>
        <w:tc>
          <w:tcPr>
            <w:tcW w:w="800" w:type="dxa"/>
          </w:tcPr>
          <w:p>
            <w:pPr>
              <w:pStyle w:val="152"/>
              <w:spacing w:line="420" w:lineRule="exact"/>
              <w:ind w:firstLine="480"/>
              <w:rPr>
                <w:kern w:val="0"/>
                <w:sz w:val="24"/>
              </w:rPr>
            </w:pPr>
          </w:p>
        </w:tc>
      </w:tr>
    </w:tbl>
    <w:p>
      <w:pPr>
        <w:rPr>
          <w:color w:val="000000" w:themeColor="text1"/>
          <w14:textFill>
            <w14:solidFill>
              <w14:schemeClr w14:val="tx1"/>
            </w14:solidFill>
          </w14:textFill>
        </w:rPr>
      </w:pPr>
    </w:p>
    <w:p>
      <w:pPr>
        <w:pStyle w:val="3"/>
        <w:numPr>
          <w:ilvl w:val="1"/>
          <w:numId w:val="3"/>
        </w:numPr>
        <w:tabs>
          <w:tab w:val="left" w:pos="0"/>
          <w:tab w:val="left" w:pos="426"/>
          <w:tab w:val="left" w:pos="576"/>
          <w:tab w:val="left" w:pos="786"/>
        </w:tabs>
        <w:spacing w:before="0" w:after="0" w:line="560" w:lineRule="exact"/>
        <w:ind w:left="0" w:firstLine="0"/>
        <w:jc w:val="both"/>
        <w:rPr>
          <w:color w:val="000000" w:themeColor="text1"/>
          <w14:textFill>
            <w14:solidFill>
              <w14:schemeClr w14:val="tx1"/>
            </w14:solidFill>
          </w14:textFill>
        </w:rPr>
      </w:pPr>
      <w:bookmarkStart w:id="257" w:name="_Toc9486"/>
      <w:bookmarkStart w:id="258" w:name="_Toc77584657"/>
      <w:bookmarkStart w:id="259" w:name="_Toc54857463"/>
      <w:bookmarkStart w:id="260" w:name="_Toc12170"/>
      <w:bookmarkStart w:id="261" w:name="_Toc4509120"/>
      <w:bookmarkStart w:id="262" w:name="_Toc24972"/>
      <w:bookmarkStart w:id="263" w:name="_Toc19248"/>
      <w:bookmarkStart w:id="264" w:name="_Toc27442"/>
      <w:bookmarkStart w:id="265" w:name="_Toc24356563"/>
      <w:r>
        <w:rPr>
          <w:rFonts w:hint="eastAsia"/>
          <w:color w:val="000000" w:themeColor="text1"/>
          <w14:textFill>
            <w14:solidFill>
              <w14:schemeClr w14:val="tx1"/>
            </w14:solidFill>
          </w14:textFill>
        </w:rPr>
        <w:t>商务要求</w:t>
      </w:r>
      <w:bookmarkEnd w:id="251"/>
      <w:bookmarkEnd w:id="257"/>
      <w:bookmarkEnd w:id="258"/>
      <w:bookmarkEnd w:id="259"/>
      <w:bookmarkEnd w:id="260"/>
      <w:bookmarkEnd w:id="261"/>
      <w:bookmarkEnd w:id="262"/>
      <w:bookmarkEnd w:id="263"/>
      <w:bookmarkEnd w:id="264"/>
      <w:bookmarkEnd w:id="265"/>
    </w:p>
    <w:p>
      <w:pPr>
        <w:pStyle w:val="4"/>
        <w:numPr>
          <w:ilvl w:val="2"/>
          <w:numId w:val="3"/>
        </w:numPr>
        <w:spacing w:after="200" w:line="56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服务地点</w:t>
      </w:r>
    </w:p>
    <w:p>
      <w:pPr>
        <w:ind w:firstLine="560" w:firstLineChars="200"/>
        <w:rPr>
          <w:rFonts w:ascii="宋体" w:hAnsi="宋体" w:cs="宋体" w:eastAsiaTheme="minorEastAsia"/>
          <w:sz w:val="28"/>
          <w:szCs w:val="28"/>
          <w:lang w:val="zh-CN"/>
        </w:rPr>
      </w:pPr>
      <w:r>
        <w:rPr>
          <w:rFonts w:hint="eastAsia" w:ascii="宋体" w:hAnsi="宋体" w:cs="宋体" w:eastAsiaTheme="minorEastAsia"/>
          <w:sz w:val="28"/>
          <w:szCs w:val="28"/>
          <w:lang w:val="zh-CN"/>
        </w:rPr>
        <w:t>各点位。</w:t>
      </w:r>
    </w:p>
    <w:p>
      <w:pPr>
        <w:pStyle w:val="4"/>
        <w:numPr>
          <w:ilvl w:val="2"/>
          <w:numId w:val="3"/>
        </w:numPr>
        <w:spacing w:after="200" w:line="560" w:lineRule="exact"/>
        <w:rPr>
          <w:rFonts w:cstheme="minorBidi"/>
          <w:bCs w:val="0"/>
          <w:color w:val="auto"/>
          <w:kern w:val="2"/>
          <w:lang w:val="zh-CN"/>
        </w:rPr>
      </w:pPr>
      <w:r>
        <w:rPr>
          <w:rFonts w:hint="eastAsia"/>
          <w:color w:val="auto"/>
        </w:rPr>
        <w:t>服务期限</w:t>
      </w:r>
    </w:p>
    <w:p>
      <w:pPr>
        <w:pStyle w:val="12"/>
        <w:ind w:firstLine="560" w:firstLineChars="200"/>
      </w:pPr>
      <w:r>
        <w:rPr>
          <w:rFonts w:hint="eastAsia" w:ascii="宋体" w:hAnsi="宋体" w:cs="宋体"/>
          <w:sz w:val="28"/>
          <w:szCs w:val="28"/>
          <w:lang w:val="zh-CN"/>
        </w:rPr>
        <w:t>实施时间：实验小学附属幼儿园服务期为一年；其余学校服务期为三年。合同一年一签。</w:t>
      </w:r>
    </w:p>
    <w:p>
      <w:pPr>
        <w:pStyle w:val="4"/>
        <w:numPr>
          <w:ilvl w:val="2"/>
          <w:numId w:val="3"/>
        </w:numPr>
        <w:spacing w:after="200" w:line="56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考核标准及办法</w:t>
      </w:r>
    </w:p>
    <w:p>
      <w:pPr>
        <w:pStyle w:val="152"/>
        <w:ind w:firstLine="562"/>
        <w:rPr>
          <w:rFonts w:ascii="宋体" w:hAnsi="宋体" w:cs="宋体" w:eastAsiaTheme="minorEastAsia"/>
          <w:b/>
          <w:bCs/>
          <w:sz w:val="28"/>
          <w:szCs w:val="28"/>
        </w:rPr>
      </w:pPr>
      <w:r>
        <w:rPr>
          <w:rFonts w:hint="eastAsia" w:ascii="宋体" w:hAnsi="宋体" w:cs="宋体" w:eastAsiaTheme="minorEastAsia"/>
          <w:b/>
          <w:bCs/>
          <w:sz w:val="28"/>
          <w:szCs w:val="28"/>
          <w:lang w:val="zh-CN"/>
        </w:rPr>
        <w:t>包件</w:t>
      </w:r>
      <w:r>
        <w:rPr>
          <w:rFonts w:hint="eastAsia" w:ascii="宋体" w:hAnsi="宋体" w:cs="宋体" w:eastAsiaTheme="minorEastAsia"/>
          <w:b/>
          <w:bCs/>
          <w:sz w:val="28"/>
          <w:szCs w:val="28"/>
        </w:rPr>
        <w:t>1：</w:t>
      </w:r>
    </w:p>
    <w:p>
      <w:pPr>
        <w:tabs>
          <w:tab w:val="left" w:pos="867"/>
        </w:tabs>
        <w:spacing w:line="276" w:lineRule="auto"/>
        <w:ind w:firstLine="480"/>
        <w:rPr>
          <w:rFonts w:ascii="宋体" w:hAnsi="宋体" w:eastAsia="PMingLiU" w:cs="宋体"/>
          <w:sz w:val="24"/>
          <w:szCs w:val="24"/>
          <w:lang w:val="zh-TW" w:eastAsia="zh-TW" w:bidi="zh-TW"/>
        </w:rPr>
      </w:pPr>
      <w:bookmarkStart w:id="266" w:name="_Toc414266428"/>
      <w:bookmarkStart w:id="267" w:name="_Toc414266274"/>
      <w:bookmarkStart w:id="268" w:name="_Toc421277690"/>
      <w:bookmarkStart w:id="269" w:name="_Toc427148984"/>
      <w:bookmarkStart w:id="270" w:name="_Toc414614594"/>
    </w:p>
    <w:bookmarkEnd w:id="266"/>
    <w:bookmarkEnd w:id="267"/>
    <w:bookmarkEnd w:id="268"/>
    <w:bookmarkEnd w:id="269"/>
    <w:bookmarkEnd w:id="270"/>
    <w:p>
      <w:pPr>
        <w:pStyle w:val="152"/>
        <w:spacing w:line="240" w:lineRule="auto"/>
        <w:ind w:firstLine="480"/>
        <w:rPr>
          <w:sz w:val="24"/>
        </w:rPr>
      </w:pPr>
      <w:r>
        <w:rPr>
          <w:rFonts w:hint="eastAsia"/>
          <w:sz w:val="24"/>
        </w:rPr>
        <w:t>1.实小明道分校</w:t>
      </w:r>
    </w:p>
    <w:p>
      <w:pPr>
        <w:pStyle w:val="152"/>
        <w:spacing w:line="420" w:lineRule="exact"/>
        <w:ind w:firstLine="0" w:firstLineChars="0"/>
        <w:rPr>
          <w:sz w:val="24"/>
        </w:rPr>
      </w:pPr>
    </w:p>
    <w:tbl>
      <w:tblPr>
        <w:tblStyle w:val="43"/>
        <w:tblW w:w="83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5"/>
        <w:gridCol w:w="3456"/>
        <w:gridCol w:w="791"/>
        <w:gridCol w:w="3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Align w:val="center"/>
          </w:tcPr>
          <w:p>
            <w:pPr>
              <w:pStyle w:val="152"/>
              <w:spacing w:line="240" w:lineRule="auto"/>
              <w:ind w:firstLine="0" w:firstLineChars="0"/>
              <w:rPr>
                <w:kern w:val="0"/>
                <w:szCs w:val="21"/>
              </w:rPr>
            </w:pPr>
            <w:r>
              <w:rPr>
                <w:rFonts w:hint="eastAsia"/>
                <w:kern w:val="0"/>
                <w:szCs w:val="21"/>
              </w:rPr>
              <w:t>项目</w:t>
            </w:r>
          </w:p>
        </w:tc>
        <w:tc>
          <w:tcPr>
            <w:tcW w:w="3456" w:type="dxa"/>
            <w:vAlign w:val="center"/>
          </w:tcPr>
          <w:p>
            <w:pPr>
              <w:pStyle w:val="152"/>
              <w:spacing w:line="240" w:lineRule="auto"/>
              <w:ind w:firstLine="0" w:firstLineChars="0"/>
              <w:rPr>
                <w:kern w:val="0"/>
                <w:szCs w:val="21"/>
              </w:rPr>
            </w:pPr>
            <w:r>
              <w:rPr>
                <w:rFonts w:hint="eastAsia"/>
                <w:kern w:val="0"/>
                <w:szCs w:val="21"/>
              </w:rPr>
              <w:t>服务质量标准</w:t>
            </w:r>
          </w:p>
        </w:tc>
        <w:tc>
          <w:tcPr>
            <w:tcW w:w="791" w:type="dxa"/>
            <w:vAlign w:val="center"/>
          </w:tcPr>
          <w:p>
            <w:pPr>
              <w:pStyle w:val="152"/>
              <w:spacing w:line="240" w:lineRule="auto"/>
              <w:ind w:firstLine="0" w:firstLineChars="0"/>
              <w:rPr>
                <w:kern w:val="0"/>
                <w:szCs w:val="21"/>
              </w:rPr>
            </w:pPr>
            <w:r>
              <w:rPr>
                <w:rFonts w:hint="eastAsia"/>
                <w:kern w:val="0"/>
                <w:szCs w:val="21"/>
              </w:rPr>
              <w:t>单项</w:t>
            </w:r>
          </w:p>
          <w:p>
            <w:pPr>
              <w:pStyle w:val="152"/>
              <w:spacing w:line="240" w:lineRule="auto"/>
              <w:ind w:firstLine="0" w:firstLineChars="0"/>
              <w:rPr>
                <w:kern w:val="0"/>
                <w:szCs w:val="21"/>
              </w:rPr>
            </w:pPr>
            <w:r>
              <w:rPr>
                <w:rFonts w:hint="eastAsia"/>
                <w:kern w:val="0"/>
                <w:szCs w:val="21"/>
              </w:rPr>
              <w:t>分值</w:t>
            </w:r>
          </w:p>
        </w:tc>
        <w:tc>
          <w:tcPr>
            <w:tcW w:w="3473" w:type="dxa"/>
            <w:vAlign w:val="center"/>
          </w:tcPr>
          <w:p>
            <w:pPr>
              <w:pStyle w:val="152"/>
              <w:spacing w:line="240" w:lineRule="auto"/>
              <w:ind w:firstLine="0" w:firstLineChars="0"/>
              <w:rPr>
                <w:kern w:val="0"/>
                <w:szCs w:val="21"/>
              </w:rPr>
            </w:pPr>
            <w:r>
              <w:rPr>
                <w:rFonts w:hint="eastAsia"/>
                <w:kern w:val="0"/>
                <w:szCs w:val="21"/>
              </w:rPr>
              <w:t>监督考评扣分标准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restart"/>
            <w:vAlign w:val="center"/>
          </w:tcPr>
          <w:p>
            <w:pPr>
              <w:pStyle w:val="152"/>
              <w:spacing w:line="240" w:lineRule="auto"/>
              <w:ind w:firstLine="0" w:firstLineChars="0"/>
              <w:rPr>
                <w:kern w:val="0"/>
                <w:szCs w:val="21"/>
              </w:rPr>
            </w:pPr>
            <w:r>
              <w:rPr>
                <w:rFonts w:hint="eastAsia"/>
                <w:kern w:val="0"/>
                <w:szCs w:val="21"/>
              </w:rPr>
              <w:t>主管</w:t>
            </w:r>
          </w:p>
          <w:p>
            <w:pPr>
              <w:pStyle w:val="152"/>
              <w:spacing w:line="240" w:lineRule="auto"/>
              <w:ind w:firstLine="0" w:firstLineChars="0"/>
              <w:rPr>
                <w:kern w:val="0"/>
                <w:szCs w:val="21"/>
              </w:rPr>
            </w:pPr>
            <w:r>
              <w:rPr>
                <w:rFonts w:hint="eastAsia"/>
                <w:kern w:val="0"/>
                <w:szCs w:val="21"/>
              </w:rPr>
              <w:t>(</w:t>
            </w:r>
            <w:r>
              <w:rPr>
                <w:kern w:val="0"/>
                <w:szCs w:val="21"/>
              </w:rPr>
              <w:t>10</w:t>
            </w:r>
            <w:r>
              <w:rPr>
                <w:rFonts w:hint="eastAsia"/>
                <w:kern w:val="0"/>
                <w:szCs w:val="21"/>
              </w:rPr>
              <w:t>分）</w:t>
            </w:r>
          </w:p>
        </w:tc>
        <w:tc>
          <w:tcPr>
            <w:tcW w:w="3456" w:type="dxa"/>
            <w:vAlign w:val="center"/>
          </w:tcPr>
          <w:p>
            <w:pPr>
              <w:pStyle w:val="152"/>
              <w:spacing w:line="240" w:lineRule="auto"/>
              <w:ind w:firstLine="0" w:firstLineChars="0"/>
              <w:rPr>
                <w:kern w:val="0"/>
                <w:szCs w:val="21"/>
              </w:rPr>
            </w:pPr>
            <w:r>
              <w:rPr>
                <w:rFonts w:hint="eastAsia"/>
                <w:kern w:val="0"/>
                <w:szCs w:val="21"/>
              </w:rPr>
              <w:t>工作日在岗情况</w:t>
            </w:r>
          </w:p>
        </w:tc>
        <w:tc>
          <w:tcPr>
            <w:tcW w:w="791" w:type="dxa"/>
            <w:vAlign w:val="center"/>
          </w:tcPr>
          <w:p>
            <w:pPr>
              <w:pStyle w:val="152"/>
              <w:spacing w:line="240" w:lineRule="auto"/>
              <w:ind w:firstLine="0" w:firstLineChars="0"/>
              <w:rPr>
                <w:kern w:val="0"/>
                <w:szCs w:val="21"/>
              </w:rPr>
            </w:pPr>
            <w:r>
              <w:rPr>
                <w:kern w:val="0"/>
                <w:szCs w:val="21"/>
              </w:rPr>
              <w:t>2</w:t>
            </w:r>
            <w:r>
              <w:rPr>
                <w:rFonts w:hint="eastAsia"/>
                <w:kern w:val="0"/>
                <w:szCs w:val="21"/>
              </w:rPr>
              <w:t>分</w:t>
            </w:r>
          </w:p>
        </w:tc>
        <w:tc>
          <w:tcPr>
            <w:tcW w:w="3473" w:type="dxa"/>
            <w:vAlign w:val="center"/>
          </w:tcPr>
          <w:p>
            <w:pPr>
              <w:pStyle w:val="152"/>
              <w:spacing w:line="240" w:lineRule="auto"/>
              <w:ind w:firstLine="0" w:firstLineChars="0"/>
              <w:rPr>
                <w:kern w:val="0"/>
                <w:szCs w:val="21"/>
              </w:rPr>
            </w:pPr>
            <w:r>
              <w:rPr>
                <w:rFonts w:hint="eastAsia"/>
                <w:kern w:val="0"/>
                <w:szCs w:val="21"/>
              </w:rPr>
              <w:t>缺岗一次扣</w:t>
            </w:r>
            <w:r>
              <w:rPr>
                <w:kern w:val="0"/>
                <w:szCs w:val="21"/>
              </w:rPr>
              <w:t>0.2</w:t>
            </w:r>
            <w:r>
              <w:rPr>
                <w:rFonts w:hint="eastAsia"/>
                <w:kern w:val="0"/>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vAlign w:val="center"/>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对位点员工的日常工作督促和检查情况</w:t>
            </w:r>
          </w:p>
        </w:tc>
        <w:tc>
          <w:tcPr>
            <w:tcW w:w="791" w:type="dxa"/>
            <w:vAlign w:val="center"/>
          </w:tcPr>
          <w:p>
            <w:pPr>
              <w:pStyle w:val="152"/>
              <w:spacing w:line="240" w:lineRule="auto"/>
              <w:ind w:firstLine="0" w:firstLineChars="0"/>
              <w:rPr>
                <w:kern w:val="0"/>
                <w:szCs w:val="21"/>
              </w:rPr>
            </w:pPr>
            <w:r>
              <w:rPr>
                <w:kern w:val="0"/>
                <w:szCs w:val="21"/>
              </w:rPr>
              <w:t>4</w:t>
            </w:r>
            <w:r>
              <w:rPr>
                <w:rFonts w:hint="eastAsia"/>
                <w:kern w:val="0"/>
                <w:szCs w:val="21"/>
              </w:rPr>
              <w:t>分</w:t>
            </w:r>
          </w:p>
        </w:tc>
        <w:tc>
          <w:tcPr>
            <w:tcW w:w="3473" w:type="dxa"/>
            <w:vAlign w:val="center"/>
          </w:tcPr>
          <w:p>
            <w:pPr>
              <w:pStyle w:val="152"/>
              <w:spacing w:line="240" w:lineRule="auto"/>
              <w:ind w:firstLine="0" w:firstLineChars="0"/>
              <w:rPr>
                <w:kern w:val="0"/>
                <w:szCs w:val="21"/>
              </w:rPr>
            </w:pPr>
            <w:r>
              <w:rPr>
                <w:rFonts w:hint="eastAsia"/>
                <w:kern w:val="0"/>
                <w:szCs w:val="21"/>
              </w:rPr>
              <w:t xml:space="preserve">对员工疏于管理\检查不到位,一次扣 </w:t>
            </w:r>
            <w:r>
              <w:rPr>
                <w:kern w:val="0"/>
                <w:szCs w:val="21"/>
              </w:rPr>
              <w:t xml:space="preserve"> 1</w:t>
            </w:r>
            <w:r>
              <w:rPr>
                <w:rFonts w:hint="eastAsia"/>
                <w:kern w:val="0"/>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vAlign w:val="center"/>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对员工的培训</w:t>
            </w:r>
          </w:p>
        </w:tc>
        <w:tc>
          <w:tcPr>
            <w:tcW w:w="791" w:type="dxa"/>
            <w:vAlign w:val="center"/>
          </w:tcPr>
          <w:p>
            <w:pPr>
              <w:pStyle w:val="152"/>
              <w:spacing w:line="240" w:lineRule="auto"/>
              <w:ind w:firstLine="0" w:firstLineChars="0"/>
              <w:rPr>
                <w:kern w:val="0"/>
                <w:szCs w:val="21"/>
              </w:rPr>
            </w:pPr>
            <w:r>
              <w:rPr>
                <w:kern w:val="0"/>
                <w:szCs w:val="21"/>
              </w:rPr>
              <w:t>4</w:t>
            </w:r>
            <w:r>
              <w:rPr>
                <w:rFonts w:hint="eastAsia"/>
                <w:kern w:val="0"/>
                <w:szCs w:val="21"/>
              </w:rPr>
              <w:t>分</w:t>
            </w:r>
          </w:p>
        </w:tc>
        <w:tc>
          <w:tcPr>
            <w:tcW w:w="3473" w:type="dxa"/>
            <w:vAlign w:val="center"/>
          </w:tcPr>
          <w:p>
            <w:pPr>
              <w:pStyle w:val="152"/>
              <w:spacing w:line="240" w:lineRule="auto"/>
              <w:ind w:firstLine="0" w:firstLineChars="0"/>
              <w:rPr>
                <w:kern w:val="0"/>
                <w:szCs w:val="21"/>
              </w:rPr>
            </w:pPr>
            <w:r>
              <w:rPr>
                <w:rFonts w:hint="eastAsia"/>
                <w:kern w:val="0"/>
                <w:szCs w:val="21"/>
              </w:rPr>
              <w:t xml:space="preserve">对员工的相关技能和礼仪培训不到位,一次扣 </w:t>
            </w:r>
            <w:r>
              <w:rPr>
                <w:kern w:val="0"/>
                <w:szCs w:val="21"/>
              </w:rPr>
              <w:t>1</w:t>
            </w:r>
            <w:r>
              <w:rPr>
                <w:rFonts w:hint="eastAsia"/>
                <w:kern w:val="0"/>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restart"/>
            <w:vAlign w:val="center"/>
          </w:tcPr>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r>
              <w:rPr>
                <w:rFonts w:hint="eastAsia"/>
                <w:kern w:val="0"/>
                <w:szCs w:val="21"/>
              </w:rPr>
              <w:t>安全保卫管理</w:t>
            </w:r>
            <w:r>
              <w:rPr>
                <w:kern w:val="0"/>
                <w:szCs w:val="21"/>
              </w:rPr>
              <w:t>40</w:t>
            </w:r>
            <w:r>
              <w:rPr>
                <w:rFonts w:hint="eastAsia"/>
                <w:kern w:val="0"/>
                <w:szCs w:val="21"/>
              </w:rPr>
              <w:t>分</w:t>
            </w:r>
          </w:p>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所聘用的秩序维护人员必须训练有素，有秩序维护队全管理制度和职责，安全防患措施，确秩序维护全稳定。</w:t>
            </w:r>
          </w:p>
        </w:tc>
        <w:tc>
          <w:tcPr>
            <w:tcW w:w="791" w:type="dxa"/>
            <w:vAlign w:val="center"/>
          </w:tcPr>
          <w:p>
            <w:pPr>
              <w:pStyle w:val="152"/>
              <w:spacing w:line="240" w:lineRule="auto"/>
              <w:ind w:firstLine="0" w:firstLineChars="0"/>
              <w:rPr>
                <w:kern w:val="0"/>
                <w:szCs w:val="21"/>
              </w:rPr>
            </w:pPr>
            <w:r>
              <w:rPr>
                <w:kern w:val="0"/>
                <w:szCs w:val="21"/>
              </w:rPr>
              <w:t>4</w:t>
            </w:r>
          </w:p>
        </w:tc>
        <w:tc>
          <w:tcPr>
            <w:tcW w:w="3473" w:type="dxa"/>
            <w:vAlign w:val="center"/>
          </w:tcPr>
          <w:p>
            <w:pPr>
              <w:pStyle w:val="152"/>
              <w:spacing w:line="240" w:lineRule="auto"/>
              <w:ind w:firstLine="0" w:firstLineChars="0"/>
              <w:rPr>
                <w:kern w:val="0"/>
                <w:szCs w:val="21"/>
              </w:rPr>
            </w:pPr>
            <w:r>
              <w:rPr>
                <w:rFonts w:hint="eastAsia"/>
                <w:kern w:val="0"/>
                <w:szCs w:val="21"/>
              </w:rPr>
              <w:t xml:space="preserve">管理制度、职责、措施不健全每项扣 </w:t>
            </w:r>
            <w:r>
              <w:rPr>
                <w:kern w:val="0"/>
                <w:szCs w:val="21"/>
              </w:rPr>
              <w:t>1</w:t>
            </w:r>
            <w:r>
              <w:rPr>
                <w:rFonts w:hint="eastAsia"/>
                <w:kern w:val="0"/>
                <w:szCs w:val="21"/>
              </w:rPr>
              <w:t>分，发生安全事故一次扣</w:t>
            </w:r>
            <w:r>
              <w:rPr>
                <w:kern w:val="0"/>
                <w:szCs w:val="21"/>
              </w:rPr>
              <w:t xml:space="preserve">1 </w:t>
            </w:r>
            <w:r>
              <w:rPr>
                <w:rFonts w:hint="eastAsia"/>
                <w:kern w:val="0"/>
                <w:szCs w:val="21"/>
              </w:rPr>
              <w:t>分，发生重大安全事故扣</w:t>
            </w:r>
            <w:r>
              <w:rPr>
                <w:kern w:val="0"/>
                <w:szCs w:val="21"/>
              </w:rPr>
              <w:t>2</w:t>
            </w:r>
            <w:r>
              <w:rPr>
                <w:rFonts w:hint="eastAsia"/>
                <w:kern w:val="0"/>
                <w:szCs w:val="21"/>
              </w:rPr>
              <w:t xml:space="preserve"> 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秩序维护队员必须熟悉物业环境，上班时按规定着装和佩戴装备，文明值勤，不与职工、到访人员发生矛盾和冲突。</w:t>
            </w:r>
          </w:p>
        </w:tc>
        <w:tc>
          <w:tcPr>
            <w:tcW w:w="791" w:type="dxa"/>
            <w:vAlign w:val="center"/>
          </w:tcPr>
          <w:p>
            <w:pPr>
              <w:pStyle w:val="152"/>
              <w:spacing w:line="240" w:lineRule="auto"/>
              <w:ind w:firstLine="0" w:firstLineChars="0"/>
              <w:rPr>
                <w:kern w:val="0"/>
                <w:szCs w:val="21"/>
              </w:rPr>
            </w:pPr>
            <w:r>
              <w:rPr>
                <w:kern w:val="0"/>
                <w:szCs w:val="21"/>
              </w:rPr>
              <w:t>4</w:t>
            </w:r>
          </w:p>
          <w:p>
            <w:pPr>
              <w:pStyle w:val="152"/>
              <w:spacing w:line="240" w:lineRule="auto"/>
              <w:ind w:firstLine="0" w:firstLineChars="0"/>
              <w:rPr>
                <w:kern w:val="0"/>
                <w:szCs w:val="21"/>
              </w:rPr>
            </w:pPr>
          </w:p>
        </w:tc>
        <w:tc>
          <w:tcPr>
            <w:tcW w:w="3473" w:type="dxa"/>
            <w:vAlign w:val="center"/>
          </w:tcPr>
          <w:p>
            <w:pPr>
              <w:pStyle w:val="152"/>
              <w:spacing w:line="240" w:lineRule="auto"/>
              <w:ind w:firstLine="0" w:firstLineChars="0"/>
              <w:rPr>
                <w:kern w:val="0"/>
                <w:szCs w:val="21"/>
              </w:rPr>
            </w:pPr>
            <w:r>
              <w:rPr>
                <w:rFonts w:hint="eastAsia"/>
                <w:kern w:val="0"/>
                <w:szCs w:val="21"/>
              </w:rPr>
              <w:t>发现一名队员着装不整齐扣分，不礼貌扣分，无理与他人发生冲突一次扣分，发生两次建议辞退。直至该项分值扣完为止。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秩序维护必须实行24小时值班巡逻，认真履行职责，机动灵活，加强重点区域和人少到的部位巡逻。</w:t>
            </w:r>
          </w:p>
        </w:tc>
        <w:tc>
          <w:tcPr>
            <w:tcW w:w="791" w:type="dxa"/>
            <w:vAlign w:val="center"/>
          </w:tcPr>
          <w:p>
            <w:pPr>
              <w:pStyle w:val="152"/>
              <w:spacing w:line="240" w:lineRule="auto"/>
              <w:ind w:firstLine="0" w:firstLineChars="0"/>
              <w:rPr>
                <w:kern w:val="0"/>
                <w:szCs w:val="21"/>
              </w:rPr>
            </w:pPr>
            <w:r>
              <w:rPr>
                <w:rFonts w:hint="eastAsia"/>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查值班巡逻日志，当值发生事件无记录扣0</w:t>
            </w:r>
            <w:r>
              <w:rPr>
                <w:kern w:val="0"/>
                <w:szCs w:val="21"/>
              </w:rPr>
              <w:t>.1</w:t>
            </w:r>
            <w:r>
              <w:rPr>
                <w:rFonts w:hint="eastAsia"/>
                <w:kern w:val="0"/>
                <w:szCs w:val="21"/>
              </w:rPr>
              <w:t>分，记录不规范扣0</w:t>
            </w:r>
            <w:r>
              <w:rPr>
                <w:kern w:val="0"/>
                <w:szCs w:val="21"/>
              </w:rPr>
              <w:t>.1</w:t>
            </w:r>
            <w:r>
              <w:rPr>
                <w:rFonts w:hint="eastAsia"/>
                <w:kern w:val="0"/>
                <w:szCs w:val="21"/>
              </w:rPr>
              <w:t>分，如反映巡逻不到位一次扣0</w:t>
            </w:r>
            <w:r>
              <w:rPr>
                <w:kern w:val="0"/>
                <w:szCs w:val="21"/>
              </w:rPr>
              <w:t>.1</w:t>
            </w:r>
            <w:r>
              <w:rPr>
                <w:rFonts w:hint="eastAsia"/>
                <w:kern w:val="0"/>
                <w:szCs w:val="21"/>
              </w:rPr>
              <w:t>分，巡逻乘座电梯一次扣0</w:t>
            </w:r>
            <w:r>
              <w:rPr>
                <w:kern w:val="0"/>
                <w:szCs w:val="21"/>
              </w:rPr>
              <w:t>.1</w:t>
            </w:r>
            <w:r>
              <w:rPr>
                <w:rFonts w:hint="eastAsia"/>
                <w:kern w:val="0"/>
                <w:szCs w:val="21"/>
              </w:rPr>
              <w:t>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做好重大活动会议的安全保卫工作，圆满完成交办的任务。</w:t>
            </w:r>
          </w:p>
        </w:tc>
        <w:tc>
          <w:tcPr>
            <w:tcW w:w="791" w:type="dxa"/>
            <w:vAlign w:val="center"/>
          </w:tcPr>
          <w:p>
            <w:pPr>
              <w:pStyle w:val="152"/>
              <w:spacing w:line="240" w:lineRule="auto"/>
              <w:ind w:firstLine="0" w:firstLineChars="0"/>
              <w:rPr>
                <w:kern w:val="0"/>
                <w:szCs w:val="21"/>
              </w:rPr>
            </w:pPr>
            <w:r>
              <w:rPr>
                <w:rFonts w:hint="eastAsia"/>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因安全保卫工作失误，造成不良影响扣0</w:t>
            </w:r>
            <w:r>
              <w:rPr>
                <w:kern w:val="0"/>
                <w:szCs w:val="21"/>
              </w:rPr>
              <w:t>.5</w:t>
            </w:r>
            <w:r>
              <w:rPr>
                <w:rFonts w:hint="eastAsia"/>
                <w:kern w:val="0"/>
                <w:szCs w:val="21"/>
              </w:rPr>
              <w:t>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严格执行登记制度，凡进入机关办公楼的外来人员应询问来访目的，查验有关证件，并进行登记。</w:t>
            </w:r>
          </w:p>
        </w:tc>
        <w:tc>
          <w:tcPr>
            <w:tcW w:w="791" w:type="dxa"/>
            <w:vAlign w:val="center"/>
          </w:tcPr>
          <w:p>
            <w:pPr>
              <w:pStyle w:val="152"/>
              <w:spacing w:line="240" w:lineRule="auto"/>
              <w:ind w:firstLine="0" w:firstLineChars="0"/>
              <w:rPr>
                <w:kern w:val="0"/>
                <w:szCs w:val="21"/>
              </w:rPr>
            </w:pPr>
            <w:r>
              <w:rPr>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未登记每人扣0</w:t>
            </w:r>
            <w:r>
              <w:rPr>
                <w:kern w:val="0"/>
                <w:szCs w:val="21"/>
              </w:rPr>
              <w:t>.5</w:t>
            </w:r>
            <w:r>
              <w:rPr>
                <w:rFonts w:hint="eastAsia"/>
                <w:kern w:val="0"/>
                <w:szCs w:val="21"/>
              </w:rPr>
              <w:t>分，扣完为止。直至该项分值扣完为止。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定期组织安全教育；积时发现各类安全隐患，确保不发生物品被盗和各类案件及安全事故。</w:t>
            </w:r>
          </w:p>
        </w:tc>
        <w:tc>
          <w:tcPr>
            <w:tcW w:w="791" w:type="dxa"/>
            <w:vAlign w:val="center"/>
          </w:tcPr>
          <w:p>
            <w:pPr>
              <w:pStyle w:val="152"/>
              <w:spacing w:line="240" w:lineRule="auto"/>
              <w:ind w:firstLine="0" w:firstLineChars="0"/>
              <w:rPr>
                <w:kern w:val="0"/>
                <w:szCs w:val="21"/>
              </w:rPr>
            </w:pPr>
            <w:r>
              <w:rPr>
                <w:rFonts w:hint="eastAsia"/>
                <w:kern w:val="0"/>
                <w:szCs w:val="21"/>
              </w:rPr>
              <w:t>4</w:t>
            </w:r>
          </w:p>
        </w:tc>
        <w:tc>
          <w:tcPr>
            <w:tcW w:w="3473" w:type="dxa"/>
            <w:vAlign w:val="center"/>
          </w:tcPr>
          <w:p>
            <w:pPr>
              <w:pStyle w:val="152"/>
              <w:spacing w:line="240" w:lineRule="auto"/>
              <w:ind w:firstLine="0" w:firstLineChars="0"/>
              <w:rPr>
                <w:kern w:val="0"/>
                <w:szCs w:val="21"/>
              </w:rPr>
            </w:pPr>
            <w:r>
              <w:rPr>
                <w:rFonts w:hint="eastAsia"/>
                <w:kern w:val="0"/>
                <w:szCs w:val="21"/>
              </w:rPr>
              <w:t>无安全教育（查记录）扣0</w:t>
            </w:r>
            <w:r>
              <w:rPr>
                <w:kern w:val="0"/>
                <w:szCs w:val="21"/>
              </w:rPr>
              <w:t>.1</w:t>
            </w:r>
            <w:r>
              <w:rPr>
                <w:rFonts w:hint="eastAsia"/>
                <w:kern w:val="0"/>
                <w:szCs w:val="21"/>
              </w:rPr>
              <w:t>分，发生手机钱包被盗事件一次扣0</w:t>
            </w:r>
            <w:r>
              <w:rPr>
                <w:kern w:val="0"/>
                <w:szCs w:val="21"/>
              </w:rPr>
              <w:t>.2</w:t>
            </w:r>
            <w:r>
              <w:rPr>
                <w:rFonts w:hint="eastAsia"/>
                <w:kern w:val="0"/>
                <w:szCs w:val="21"/>
              </w:rPr>
              <w:t>分。发生财产被盗案或秩序维护员内部自盗一次扣0</w:t>
            </w:r>
            <w:r>
              <w:rPr>
                <w:kern w:val="0"/>
                <w:szCs w:val="21"/>
              </w:rPr>
              <w:t>.2</w:t>
            </w:r>
            <w:r>
              <w:rPr>
                <w:rFonts w:hint="eastAsia"/>
                <w:kern w:val="0"/>
                <w:szCs w:val="21"/>
              </w:rPr>
              <w:t>分，并追究管理管理人员的责任。直至该项分值扣完为止。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协助搬运家具时，必须轻移轻放，无损坏家具和地板。</w:t>
            </w:r>
          </w:p>
        </w:tc>
        <w:tc>
          <w:tcPr>
            <w:tcW w:w="791" w:type="dxa"/>
            <w:vAlign w:val="center"/>
          </w:tcPr>
          <w:p>
            <w:pPr>
              <w:pStyle w:val="152"/>
              <w:spacing w:line="240" w:lineRule="auto"/>
              <w:ind w:firstLine="0" w:firstLineChars="0"/>
              <w:rPr>
                <w:kern w:val="0"/>
                <w:szCs w:val="21"/>
              </w:rPr>
            </w:pPr>
            <w:r>
              <w:rPr>
                <w:rFonts w:hint="eastAsia"/>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造成家具或地板损坏扣0</w:t>
            </w:r>
            <w:r>
              <w:rPr>
                <w:kern w:val="0"/>
                <w:szCs w:val="21"/>
              </w:rPr>
              <w:t>.1</w:t>
            </w:r>
            <w:r>
              <w:rPr>
                <w:rFonts w:hint="eastAsia"/>
                <w:kern w:val="0"/>
                <w:szCs w:val="21"/>
              </w:rPr>
              <w:t>分，并承担10%维修费用。直至该项分值扣完为止。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做好停车场的管理，正确疏导机动车辆进出、泊车，提醒车主关好车辆门窗，上锁，防止车辆碰撞、损坏等问题发生。</w:t>
            </w:r>
          </w:p>
        </w:tc>
        <w:tc>
          <w:tcPr>
            <w:tcW w:w="791" w:type="dxa"/>
            <w:vAlign w:val="center"/>
          </w:tcPr>
          <w:p>
            <w:pPr>
              <w:pStyle w:val="152"/>
              <w:spacing w:line="240" w:lineRule="auto"/>
              <w:ind w:firstLine="0" w:firstLineChars="0"/>
              <w:rPr>
                <w:kern w:val="0"/>
                <w:szCs w:val="21"/>
              </w:rPr>
            </w:pPr>
            <w:r>
              <w:rPr>
                <w:rFonts w:hint="eastAsia"/>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发现乱停放车辆，一辆扣0</w:t>
            </w:r>
            <w:r>
              <w:rPr>
                <w:kern w:val="0"/>
                <w:szCs w:val="21"/>
              </w:rPr>
              <w:t>.1</w:t>
            </w:r>
            <w:r>
              <w:rPr>
                <w:rFonts w:hint="eastAsia"/>
                <w:kern w:val="0"/>
                <w:szCs w:val="21"/>
              </w:rPr>
              <w:t>分；发生车辆碰撞，碰撞、损坏一次扣0</w:t>
            </w:r>
            <w:r>
              <w:rPr>
                <w:kern w:val="0"/>
                <w:szCs w:val="21"/>
              </w:rPr>
              <w:t>.1</w:t>
            </w:r>
            <w:r>
              <w:rPr>
                <w:rFonts w:hint="eastAsia"/>
                <w:kern w:val="0"/>
                <w:szCs w:val="21"/>
              </w:rPr>
              <w:t>分，并由管理公司承担相应责任。直至该项分值扣完为止。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引导非机动车辆集中停放，停放整齐，场地洁净，落实管理制度，确秩序维护全，严防损坏与丢失。</w:t>
            </w:r>
          </w:p>
        </w:tc>
        <w:tc>
          <w:tcPr>
            <w:tcW w:w="791" w:type="dxa"/>
            <w:vAlign w:val="center"/>
          </w:tcPr>
          <w:p>
            <w:pPr>
              <w:pStyle w:val="152"/>
              <w:spacing w:line="240" w:lineRule="auto"/>
              <w:ind w:firstLine="0" w:firstLineChars="0"/>
              <w:rPr>
                <w:kern w:val="0"/>
                <w:szCs w:val="21"/>
              </w:rPr>
            </w:pPr>
            <w:r>
              <w:rPr>
                <w:rFonts w:hint="eastAsia"/>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一项不符合扣0</w:t>
            </w:r>
            <w:r>
              <w:rPr>
                <w:kern w:val="0"/>
                <w:szCs w:val="21"/>
              </w:rPr>
              <w:t>.1</w:t>
            </w:r>
            <w:r>
              <w:rPr>
                <w:rFonts w:hint="eastAsia"/>
                <w:kern w:val="0"/>
                <w:szCs w:val="21"/>
              </w:rPr>
              <w:t>分；发生损坏或丢失一次扣0</w:t>
            </w:r>
            <w:r>
              <w:rPr>
                <w:kern w:val="0"/>
                <w:szCs w:val="21"/>
              </w:rPr>
              <w:t>.2</w:t>
            </w:r>
            <w:r>
              <w:rPr>
                <w:rFonts w:hint="eastAsia"/>
                <w:kern w:val="0"/>
                <w:szCs w:val="21"/>
              </w:rPr>
              <w:t>分，并由管理公司承担相应责任。直至该项分值扣完为止。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门卫岗位，严格执勤，维护进出车辆秩序，不与车主发生冲突。</w:t>
            </w:r>
          </w:p>
        </w:tc>
        <w:tc>
          <w:tcPr>
            <w:tcW w:w="791" w:type="dxa"/>
            <w:vAlign w:val="center"/>
          </w:tcPr>
          <w:p>
            <w:pPr>
              <w:pStyle w:val="152"/>
              <w:spacing w:line="240" w:lineRule="auto"/>
              <w:ind w:firstLine="0" w:firstLineChars="0"/>
              <w:rPr>
                <w:kern w:val="0"/>
                <w:szCs w:val="21"/>
              </w:rPr>
            </w:pPr>
            <w:r>
              <w:rPr>
                <w:rFonts w:hint="eastAsia"/>
                <w:kern w:val="0"/>
                <w:szCs w:val="21"/>
              </w:rPr>
              <w:t>4</w:t>
            </w:r>
          </w:p>
        </w:tc>
        <w:tc>
          <w:tcPr>
            <w:tcW w:w="3473" w:type="dxa"/>
            <w:vAlign w:val="center"/>
          </w:tcPr>
          <w:p>
            <w:pPr>
              <w:pStyle w:val="152"/>
              <w:spacing w:line="240" w:lineRule="auto"/>
              <w:ind w:firstLine="0" w:firstLineChars="0"/>
              <w:rPr>
                <w:kern w:val="0"/>
                <w:szCs w:val="21"/>
              </w:rPr>
            </w:pPr>
            <w:r>
              <w:rPr>
                <w:rFonts w:hint="eastAsia"/>
                <w:kern w:val="0"/>
                <w:szCs w:val="21"/>
              </w:rPr>
              <w:t>发生一起扣0</w:t>
            </w:r>
            <w:r>
              <w:rPr>
                <w:kern w:val="0"/>
                <w:szCs w:val="21"/>
              </w:rPr>
              <w:t>.5</w:t>
            </w:r>
            <w:r>
              <w:rPr>
                <w:rFonts w:hint="eastAsia"/>
                <w:kern w:val="0"/>
                <w:szCs w:val="21"/>
              </w:rPr>
              <w:t>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能熟练掌握消防设施设备的使用方法。</w:t>
            </w:r>
          </w:p>
        </w:tc>
        <w:tc>
          <w:tcPr>
            <w:tcW w:w="791" w:type="dxa"/>
            <w:vAlign w:val="center"/>
          </w:tcPr>
          <w:p>
            <w:pPr>
              <w:pStyle w:val="152"/>
              <w:spacing w:line="240" w:lineRule="auto"/>
              <w:ind w:firstLine="0" w:firstLineChars="0"/>
              <w:rPr>
                <w:kern w:val="0"/>
                <w:szCs w:val="21"/>
              </w:rPr>
            </w:pPr>
            <w:r>
              <w:rPr>
                <w:rFonts w:hint="eastAsia"/>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不会使用操作扣0</w:t>
            </w:r>
            <w:r>
              <w:rPr>
                <w:kern w:val="0"/>
                <w:szCs w:val="21"/>
              </w:rPr>
              <w:t>.1</w:t>
            </w:r>
            <w:r>
              <w:rPr>
                <w:rFonts w:hint="eastAsia"/>
                <w:kern w:val="0"/>
                <w:szCs w:val="21"/>
              </w:rPr>
              <w:t>分，不熟练扣0</w:t>
            </w:r>
            <w:r>
              <w:rPr>
                <w:kern w:val="0"/>
                <w:szCs w:val="21"/>
              </w:rPr>
              <w:t>.1</w:t>
            </w:r>
            <w:r>
              <w:rPr>
                <w:rFonts w:hint="eastAsia"/>
                <w:kern w:val="0"/>
                <w:szCs w:val="21"/>
              </w:rPr>
              <w:t>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能正确果断处理各种火险、火灾以及救护程序。</w:t>
            </w:r>
          </w:p>
        </w:tc>
        <w:tc>
          <w:tcPr>
            <w:tcW w:w="791" w:type="dxa"/>
            <w:vAlign w:val="center"/>
          </w:tcPr>
          <w:p>
            <w:pPr>
              <w:pStyle w:val="152"/>
              <w:spacing w:line="240" w:lineRule="auto"/>
              <w:ind w:firstLine="0" w:firstLineChars="0"/>
              <w:rPr>
                <w:kern w:val="0"/>
                <w:szCs w:val="21"/>
              </w:rPr>
            </w:pPr>
            <w:r>
              <w:rPr>
                <w:rFonts w:hint="eastAsia"/>
                <w:kern w:val="0"/>
                <w:szCs w:val="21"/>
              </w:rPr>
              <w:t>4</w:t>
            </w:r>
          </w:p>
        </w:tc>
        <w:tc>
          <w:tcPr>
            <w:tcW w:w="3473" w:type="dxa"/>
            <w:vAlign w:val="center"/>
          </w:tcPr>
          <w:p>
            <w:pPr>
              <w:pStyle w:val="152"/>
              <w:spacing w:line="240" w:lineRule="auto"/>
              <w:ind w:firstLine="0" w:firstLineChars="0"/>
              <w:rPr>
                <w:kern w:val="0"/>
                <w:szCs w:val="21"/>
              </w:rPr>
            </w:pPr>
            <w:r>
              <w:rPr>
                <w:rFonts w:hint="eastAsia"/>
                <w:kern w:val="0"/>
                <w:szCs w:val="21"/>
              </w:rPr>
              <w:t>不会扣0</w:t>
            </w:r>
            <w:r>
              <w:rPr>
                <w:kern w:val="0"/>
                <w:szCs w:val="21"/>
              </w:rPr>
              <w:t>.5</w:t>
            </w:r>
            <w:r>
              <w:rPr>
                <w:rFonts w:hint="eastAsia"/>
                <w:kern w:val="0"/>
                <w:szCs w:val="21"/>
              </w:rPr>
              <w:t>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严格消防管理制度，认真巡查火险隐患，确保无火灾事故发生。</w:t>
            </w:r>
          </w:p>
        </w:tc>
        <w:tc>
          <w:tcPr>
            <w:tcW w:w="791" w:type="dxa"/>
            <w:vAlign w:val="center"/>
          </w:tcPr>
          <w:p>
            <w:pPr>
              <w:pStyle w:val="152"/>
              <w:spacing w:line="240" w:lineRule="auto"/>
              <w:ind w:firstLine="0" w:firstLineChars="0"/>
              <w:rPr>
                <w:kern w:val="0"/>
                <w:szCs w:val="21"/>
              </w:rPr>
            </w:pPr>
            <w:r>
              <w:rPr>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检查一处有隐患扣0</w:t>
            </w:r>
            <w:r>
              <w:rPr>
                <w:kern w:val="0"/>
                <w:szCs w:val="21"/>
              </w:rPr>
              <w:t>.1</w:t>
            </w:r>
            <w:r>
              <w:rPr>
                <w:rFonts w:hint="eastAsia"/>
                <w:kern w:val="0"/>
                <w:szCs w:val="21"/>
              </w:rPr>
              <w:t>分，发生火灾事故分，并追究责任。直至该项分值扣完为止。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各种消防设施定期检查保养、维护，确保无缺损，保障正常运行。</w:t>
            </w:r>
          </w:p>
        </w:tc>
        <w:tc>
          <w:tcPr>
            <w:tcW w:w="791" w:type="dxa"/>
            <w:vAlign w:val="center"/>
          </w:tcPr>
          <w:p>
            <w:pPr>
              <w:pStyle w:val="152"/>
              <w:spacing w:line="240" w:lineRule="auto"/>
              <w:ind w:firstLine="0" w:firstLineChars="0"/>
              <w:rPr>
                <w:kern w:val="0"/>
                <w:szCs w:val="21"/>
              </w:rPr>
            </w:pPr>
            <w:r>
              <w:rPr>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无保养扣0</w:t>
            </w:r>
            <w:r>
              <w:rPr>
                <w:kern w:val="0"/>
                <w:szCs w:val="21"/>
              </w:rPr>
              <w:t>.1</w:t>
            </w:r>
            <w:r>
              <w:rPr>
                <w:rFonts w:hint="eastAsia"/>
                <w:kern w:val="0"/>
                <w:szCs w:val="21"/>
              </w:rPr>
              <w:t>分，一处运行障碍扣0</w:t>
            </w:r>
            <w:r>
              <w:rPr>
                <w:kern w:val="0"/>
                <w:szCs w:val="21"/>
              </w:rPr>
              <w:t>.1</w:t>
            </w:r>
            <w:r>
              <w:rPr>
                <w:rFonts w:hint="eastAsia"/>
                <w:kern w:val="0"/>
                <w:szCs w:val="21"/>
              </w:rPr>
              <w:t>分，一处缺或损坏扣0</w:t>
            </w:r>
            <w:r>
              <w:rPr>
                <w:kern w:val="0"/>
                <w:szCs w:val="21"/>
              </w:rPr>
              <w:t>.1</w:t>
            </w:r>
            <w:r>
              <w:rPr>
                <w:rFonts w:hint="eastAsia"/>
                <w:kern w:val="0"/>
                <w:szCs w:val="21"/>
              </w:rPr>
              <w:t>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严格消防管理制度，认真巡查火险隐患，确保无火灾事故发生。</w:t>
            </w:r>
          </w:p>
        </w:tc>
        <w:tc>
          <w:tcPr>
            <w:tcW w:w="791" w:type="dxa"/>
            <w:vAlign w:val="center"/>
          </w:tcPr>
          <w:p>
            <w:pPr>
              <w:pStyle w:val="152"/>
              <w:spacing w:line="240" w:lineRule="auto"/>
              <w:ind w:firstLine="0" w:firstLineChars="0"/>
              <w:rPr>
                <w:kern w:val="0"/>
                <w:szCs w:val="21"/>
              </w:rPr>
            </w:pPr>
            <w:r>
              <w:rPr>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检查一处有隐患扣分，发生火灾事故</w:t>
            </w:r>
            <w:r>
              <w:rPr>
                <w:kern w:val="0"/>
                <w:szCs w:val="21"/>
              </w:rPr>
              <w:t>0.5</w:t>
            </w:r>
            <w:r>
              <w:rPr>
                <w:rFonts w:hint="eastAsia"/>
                <w:kern w:val="0"/>
                <w:szCs w:val="21"/>
              </w:rPr>
              <w:t>分，并追究责任。直至该项分值扣完为止。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jc w:val="center"/>
        </w:trPr>
        <w:tc>
          <w:tcPr>
            <w:tcW w:w="635" w:type="dxa"/>
            <w:vMerge w:val="restart"/>
            <w:vAlign w:val="center"/>
          </w:tcPr>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r>
              <w:rPr>
                <w:rFonts w:hint="eastAsia"/>
                <w:kern w:val="0"/>
                <w:szCs w:val="21"/>
              </w:rPr>
              <w:t>清洁卫生管理</w:t>
            </w:r>
          </w:p>
          <w:p>
            <w:pPr>
              <w:pStyle w:val="152"/>
              <w:spacing w:line="240" w:lineRule="auto"/>
              <w:ind w:firstLine="0" w:firstLineChars="0"/>
              <w:rPr>
                <w:kern w:val="0"/>
                <w:szCs w:val="21"/>
              </w:rPr>
            </w:pPr>
            <w:r>
              <w:rPr>
                <w:kern w:val="0"/>
                <w:szCs w:val="21"/>
              </w:rPr>
              <w:t>40</w:t>
            </w:r>
            <w:r>
              <w:rPr>
                <w:rFonts w:hint="eastAsia"/>
                <w:kern w:val="0"/>
                <w:szCs w:val="21"/>
              </w:rPr>
              <w:t>分</w:t>
            </w:r>
          </w:p>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清洁保洁责任划分到人，责任范围清洁达到标准化。清洁员着装统一，工作细致，形象良好。</w:t>
            </w:r>
          </w:p>
        </w:tc>
        <w:tc>
          <w:tcPr>
            <w:tcW w:w="791" w:type="dxa"/>
            <w:vAlign w:val="center"/>
          </w:tcPr>
          <w:p>
            <w:pPr>
              <w:pStyle w:val="152"/>
              <w:spacing w:line="240" w:lineRule="auto"/>
              <w:ind w:firstLine="0" w:firstLineChars="0"/>
              <w:rPr>
                <w:kern w:val="0"/>
                <w:szCs w:val="21"/>
              </w:rPr>
            </w:pPr>
            <w:r>
              <w:rPr>
                <w:kern w:val="0"/>
                <w:szCs w:val="21"/>
              </w:rPr>
              <w:t>5</w:t>
            </w:r>
          </w:p>
        </w:tc>
        <w:tc>
          <w:tcPr>
            <w:tcW w:w="3473" w:type="dxa"/>
            <w:vAlign w:val="center"/>
          </w:tcPr>
          <w:p>
            <w:pPr>
              <w:pStyle w:val="152"/>
              <w:spacing w:line="240" w:lineRule="auto"/>
              <w:ind w:firstLine="0" w:firstLineChars="0"/>
              <w:rPr>
                <w:kern w:val="0"/>
                <w:szCs w:val="21"/>
              </w:rPr>
            </w:pPr>
            <w:r>
              <w:rPr>
                <w:rFonts w:hint="eastAsia"/>
                <w:kern w:val="0"/>
                <w:szCs w:val="21"/>
              </w:rPr>
              <w:t>未明确责任到人，一处扣1分。一处未达到标准保洁扣1分。直至该项分值扣完为止。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各责任区域门窗干净明亮、清爽；地面无纸屑、果皮、灰尘、杂物和污渍；垃圾筒纸篓内的垃圾不能超过三分之二。</w:t>
            </w:r>
          </w:p>
        </w:tc>
        <w:tc>
          <w:tcPr>
            <w:tcW w:w="791" w:type="dxa"/>
            <w:vAlign w:val="center"/>
          </w:tcPr>
          <w:p>
            <w:pPr>
              <w:pStyle w:val="152"/>
              <w:spacing w:line="240" w:lineRule="auto"/>
              <w:ind w:firstLine="0" w:firstLineChars="0"/>
              <w:rPr>
                <w:kern w:val="0"/>
                <w:szCs w:val="21"/>
              </w:rPr>
            </w:pPr>
            <w:r>
              <w:rPr>
                <w:rFonts w:hint="eastAsia"/>
                <w:kern w:val="0"/>
                <w:szCs w:val="21"/>
              </w:rPr>
              <w:t>4</w:t>
            </w:r>
          </w:p>
        </w:tc>
        <w:tc>
          <w:tcPr>
            <w:tcW w:w="3473" w:type="dxa"/>
            <w:vAlign w:val="center"/>
          </w:tcPr>
          <w:p>
            <w:pPr>
              <w:pStyle w:val="152"/>
              <w:spacing w:line="240" w:lineRule="auto"/>
              <w:ind w:firstLine="0" w:firstLineChars="0"/>
              <w:rPr>
                <w:kern w:val="0"/>
                <w:szCs w:val="21"/>
              </w:rPr>
            </w:pPr>
            <w:r>
              <w:rPr>
                <w:rFonts w:hint="eastAsia"/>
                <w:kern w:val="0"/>
                <w:szCs w:val="21"/>
              </w:rPr>
              <w:t>一个责任区域一项未做到扣0</w:t>
            </w:r>
            <w:r>
              <w:rPr>
                <w:kern w:val="0"/>
                <w:szCs w:val="21"/>
              </w:rPr>
              <w:t>.5</w:t>
            </w:r>
            <w:r>
              <w:rPr>
                <w:rFonts w:hint="eastAsia"/>
                <w:kern w:val="0"/>
                <w:szCs w:val="21"/>
              </w:rPr>
              <w:t>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各洗手间清洁明亮，无积水，无污渍，无异味。</w:t>
            </w:r>
          </w:p>
        </w:tc>
        <w:tc>
          <w:tcPr>
            <w:tcW w:w="791" w:type="dxa"/>
            <w:vAlign w:val="center"/>
          </w:tcPr>
          <w:p>
            <w:pPr>
              <w:pStyle w:val="152"/>
              <w:spacing w:line="240" w:lineRule="auto"/>
              <w:ind w:firstLine="0" w:firstLineChars="0"/>
              <w:rPr>
                <w:kern w:val="0"/>
                <w:szCs w:val="21"/>
              </w:rPr>
            </w:pPr>
            <w:r>
              <w:rPr>
                <w:rFonts w:hint="eastAsia"/>
                <w:kern w:val="0"/>
                <w:szCs w:val="21"/>
              </w:rPr>
              <w:t>4</w:t>
            </w:r>
          </w:p>
        </w:tc>
        <w:tc>
          <w:tcPr>
            <w:tcW w:w="3473" w:type="dxa"/>
            <w:vAlign w:val="center"/>
          </w:tcPr>
          <w:p>
            <w:pPr>
              <w:pStyle w:val="152"/>
              <w:spacing w:line="240" w:lineRule="auto"/>
              <w:ind w:firstLine="0" w:firstLineChars="0"/>
              <w:rPr>
                <w:kern w:val="0"/>
                <w:szCs w:val="21"/>
              </w:rPr>
            </w:pPr>
            <w:r>
              <w:rPr>
                <w:rFonts w:hint="eastAsia"/>
                <w:kern w:val="0"/>
                <w:szCs w:val="21"/>
              </w:rPr>
              <w:t>一个洗手间一项不符合扣0</w:t>
            </w:r>
            <w:r>
              <w:rPr>
                <w:kern w:val="0"/>
                <w:szCs w:val="21"/>
              </w:rPr>
              <w:t>.5</w:t>
            </w:r>
            <w:r>
              <w:rPr>
                <w:rFonts w:hint="eastAsia"/>
                <w:kern w:val="0"/>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用专用清洁布擦拭饮水设备，无污渍。</w:t>
            </w:r>
          </w:p>
        </w:tc>
        <w:tc>
          <w:tcPr>
            <w:tcW w:w="791" w:type="dxa"/>
            <w:vAlign w:val="center"/>
          </w:tcPr>
          <w:p>
            <w:pPr>
              <w:pStyle w:val="152"/>
              <w:spacing w:line="240" w:lineRule="auto"/>
              <w:ind w:firstLine="0" w:firstLineChars="0"/>
              <w:rPr>
                <w:kern w:val="0"/>
                <w:szCs w:val="21"/>
              </w:rPr>
            </w:pPr>
            <w:r>
              <w:rPr>
                <w:rFonts w:hint="eastAsia"/>
                <w:kern w:val="0"/>
                <w:szCs w:val="21"/>
              </w:rPr>
              <w:t>4</w:t>
            </w:r>
          </w:p>
        </w:tc>
        <w:tc>
          <w:tcPr>
            <w:tcW w:w="3473" w:type="dxa"/>
            <w:vAlign w:val="center"/>
          </w:tcPr>
          <w:p>
            <w:pPr>
              <w:pStyle w:val="152"/>
              <w:spacing w:line="240" w:lineRule="auto"/>
              <w:ind w:firstLine="0" w:firstLineChars="0"/>
              <w:rPr>
                <w:kern w:val="0"/>
                <w:szCs w:val="21"/>
              </w:rPr>
            </w:pPr>
            <w:r>
              <w:rPr>
                <w:rFonts w:hint="eastAsia"/>
                <w:kern w:val="0"/>
                <w:szCs w:val="21"/>
              </w:rPr>
              <w:t>一处饮水设备不符合扣0</w:t>
            </w:r>
            <w:r>
              <w:rPr>
                <w:kern w:val="0"/>
                <w:szCs w:val="21"/>
              </w:rPr>
              <w:t>.5</w:t>
            </w:r>
            <w:r>
              <w:rPr>
                <w:rFonts w:hint="eastAsia"/>
                <w:kern w:val="0"/>
                <w:szCs w:val="21"/>
              </w:rPr>
              <w:t>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地面保持干燥，尤其下雨天要加强管理，入口处放置地滑警示牌，防止行人摔伤，确秩序维护全。</w:t>
            </w:r>
          </w:p>
        </w:tc>
        <w:tc>
          <w:tcPr>
            <w:tcW w:w="791" w:type="dxa"/>
            <w:vAlign w:val="center"/>
          </w:tcPr>
          <w:p>
            <w:pPr>
              <w:pStyle w:val="152"/>
              <w:spacing w:line="240" w:lineRule="auto"/>
              <w:ind w:firstLine="0" w:firstLineChars="0"/>
              <w:rPr>
                <w:kern w:val="0"/>
                <w:szCs w:val="21"/>
              </w:rPr>
            </w:pPr>
            <w:r>
              <w:rPr>
                <w:rFonts w:hint="eastAsia"/>
                <w:kern w:val="0"/>
                <w:szCs w:val="21"/>
              </w:rPr>
              <w:t>4</w:t>
            </w:r>
          </w:p>
        </w:tc>
        <w:tc>
          <w:tcPr>
            <w:tcW w:w="3473" w:type="dxa"/>
            <w:vAlign w:val="center"/>
          </w:tcPr>
          <w:p>
            <w:pPr>
              <w:pStyle w:val="152"/>
              <w:spacing w:line="240" w:lineRule="auto"/>
              <w:ind w:firstLine="0" w:firstLineChars="0"/>
              <w:rPr>
                <w:kern w:val="0"/>
                <w:szCs w:val="21"/>
              </w:rPr>
            </w:pPr>
            <w:r>
              <w:rPr>
                <w:rFonts w:hint="eastAsia"/>
                <w:kern w:val="0"/>
                <w:szCs w:val="21"/>
              </w:rPr>
              <w:t>未设置警示牌，每次扣0</w:t>
            </w:r>
            <w:r>
              <w:rPr>
                <w:kern w:val="0"/>
                <w:szCs w:val="21"/>
              </w:rPr>
              <w:t>.5</w:t>
            </w:r>
            <w:r>
              <w:rPr>
                <w:rFonts w:hint="eastAsia"/>
                <w:kern w:val="0"/>
                <w:szCs w:val="21"/>
              </w:rPr>
              <w:t>分。因地面有水或其他果皮等致使人摔伤全扣0</w:t>
            </w:r>
            <w:r>
              <w:rPr>
                <w:kern w:val="0"/>
                <w:szCs w:val="21"/>
              </w:rPr>
              <w:t>.5</w:t>
            </w:r>
            <w:r>
              <w:rPr>
                <w:rFonts w:hint="eastAsia"/>
                <w:kern w:val="0"/>
                <w:szCs w:val="21"/>
              </w:rPr>
              <w:t>分，并且承担由此引发的责任。直至该项分值扣完为止。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垃圾做到日产日清，垃圾桶每三天至少清洗一次，外露面无垃圾附着。</w:t>
            </w:r>
          </w:p>
        </w:tc>
        <w:tc>
          <w:tcPr>
            <w:tcW w:w="791" w:type="dxa"/>
            <w:vAlign w:val="center"/>
          </w:tcPr>
          <w:p>
            <w:pPr>
              <w:pStyle w:val="152"/>
              <w:spacing w:line="240" w:lineRule="auto"/>
              <w:ind w:firstLine="0" w:firstLineChars="0"/>
              <w:rPr>
                <w:kern w:val="0"/>
                <w:szCs w:val="21"/>
              </w:rPr>
            </w:pPr>
            <w:r>
              <w:rPr>
                <w:rFonts w:hint="eastAsia"/>
                <w:kern w:val="0"/>
                <w:szCs w:val="21"/>
              </w:rPr>
              <w:t>4</w:t>
            </w:r>
          </w:p>
        </w:tc>
        <w:tc>
          <w:tcPr>
            <w:tcW w:w="3473" w:type="dxa"/>
            <w:vAlign w:val="center"/>
          </w:tcPr>
          <w:p>
            <w:pPr>
              <w:pStyle w:val="152"/>
              <w:spacing w:line="240" w:lineRule="auto"/>
              <w:ind w:firstLine="0" w:firstLineChars="0"/>
              <w:rPr>
                <w:kern w:val="0"/>
                <w:szCs w:val="21"/>
              </w:rPr>
            </w:pPr>
            <w:r>
              <w:rPr>
                <w:rFonts w:hint="eastAsia"/>
                <w:kern w:val="0"/>
                <w:szCs w:val="21"/>
              </w:rPr>
              <w:t>一项未做到扣0</w:t>
            </w:r>
            <w:r>
              <w:rPr>
                <w:kern w:val="0"/>
                <w:szCs w:val="21"/>
              </w:rPr>
              <w:t>.5</w:t>
            </w:r>
            <w:r>
              <w:rPr>
                <w:rFonts w:hint="eastAsia"/>
                <w:kern w:val="0"/>
                <w:szCs w:val="21"/>
              </w:rPr>
              <w:t>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路面无明显泥沙、污垢，无1cm以上的石子，每100平方米烟头纸屑不超过3处。</w:t>
            </w:r>
          </w:p>
        </w:tc>
        <w:tc>
          <w:tcPr>
            <w:tcW w:w="791" w:type="dxa"/>
            <w:vAlign w:val="center"/>
          </w:tcPr>
          <w:p>
            <w:pPr>
              <w:pStyle w:val="152"/>
              <w:spacing w:line="240" w:lineRule="auto"/>
              <w:ind w:firstLine="0" w:firstLineChars="0"/>
              <w:rPr>
                <w:kern w:val="0"/>
                <w:szCs w:val="21"/>
              </w:rPr>
            </w:pPr>
            <w:r>
              <w:rPr>
                <w:rFonts w:hint="eastAsia"/>
                <w:kern w:val="0"/>
                <w:szCs w:val="21"/>
              </w:rPr>
              <w:t>3</w:t>
            </w:r>
          </w:p>
        </w:tc>
        <w:tc>
          <w:tcPr>
            <w:tcW w:w="3473" w:type="dxa"/>
            <w:vAlign w:val="center"/>
          </w:tcPr>
          <w:p>
            <w:pPr>
              <w:pStyle w:val="152"/>
              <w:spacing w:line="240" w:lineRule="auto"/>
              <w:ind w:firstLine="0" w:firstLineChars="0"/>
              <w:rPr>
                <w:kern w:val="0"/>
                <w:szCs w:val="21"/>
              </w:rPr>
            </w:pPr>
            <w:r>
              <w:rPr>
                <w:rFonts w:hint="eastAsia"/>
                <w:kern w:val="0"/>
                <w:szCs w:val="21"/>
              </w:rPr>
              <w:t>不符合扣0</w:t>
            </w:r>
            <w:r>
              <w:rPr>
                <w:kern w:val="0"/>
                <w:szCs w:val="21"/>
              </w:rPr>
              <w:t>.5</w:t>
            </w:r>
            <w:r>
              <w:rPr>
                <w:rFonts w:hint="eastAsia"/>
                <w:kern w:val="0"/>
                <w:szCs w:val="21"/>
              </w:rPr>
              <w:t>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绿化丛中无烟盒、饮料瓶盒、塑料袋等垃圾。</w:t>
            </w:r>
          </w:p>
        </w:tc>
        <w:tc>
          <w:tcPr>
            <w:tcW w:w="791" w:type="dxa"/>
            <w:vAlign w:val="center"/>
          </w:tcPr>
          <w:p>
            <w:pPr>
              <w:pStyle w:val="152"/>
              <w:spacing w:line="240" w:lineRule="auto"/>
              <w:ind w:firstLine="0" w:firstLineChars="0"/>
              <w:rPr>
                <w:kern w:val="0"/>
                <w:szCs w:val="21"/>
              </w:rPr>
            </w:pPr>
            <w:r>
              <w:rPr>
                <w:rFonts w:hint="eastAsia"/>
                <w:kern w:val="0"/>
                <w:szCs w:val="21"/>
              </w:rPr>
              <w:t>3</w:t>
            </w:r>
          </w:p>
        </w:tc>
        <w:tc>
          <w:tcPr>
            <w:tcW w:w="3473" w:type="dxa"/>
            <w:vAlign w:val="center"/>
          </w:tcPr>
          <w:p>
            <w:pPr>
              <w:pStyle w:val="152"/>
              <w:spacing w:line="240" w:lineRule="auto"/>
              <w:ind w:firstLine="0" w:firstLineChars="0"/>
              <w:rPr>
                <w:kern w:val="0"/>
                <w:szCs w:val="21"/>
              </w:rPr>
            </w:pPr>
            <w:r>
              <w:rPr>
                <w:rFonts w:hint="eastAsia"/>
                <w:kern w:val="0"/>
                <w:szCs w:val="21"/>
              </w:rPr>
              <w:t>发现一处扣0</w:t>
            </w:r>
            <w:r>
              <w:rPr>
                <w:kern w:val="0"/>
                <w:szCs w:val="21"/>
              </w:rPr>
              <w:t>.5</w:t>
            </w:r>
            <w:r>
              <w:rPr>
                <w:rFonts w:hint="eastAsia"/>
                <w:kern w:val="0"/>
                <w:szCs w:val="21"/>
              </w:rPr>
              <w:t>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滴水檐无乱堆放杂物，无垃圾、无污渍、无青苔、无积水。</w:t>
            </w:r>
          </w:p>
        </w:tc>
        <w:tc>
          <w:tcPr>
            <w:tcW w:w="791" w:type="dxa"/>
            <w:vAlign w:val="center"/>
          </w:tcPr>
          <w:p>
            <w:pPr>
              <w:pStyle w:val="152"/>
              <w:spacing w:line="240" w:lineRule="auto"/>
              <w:ind w:firstLine="0" w:firstLineChars="0"/>
              <w:rPr>
                <w:kern w:val="0"/>
                <w:szCs w:val="21"/>
              </w:rPr>
            </w:pPr>
            <w:r>
              <w:rPr>
                <w:rFonts w:hint="eastAsia"/>
                <w:kern w:val="0"/>
                <w:szCs w:val="21"/>
              </w:rPr>
              <w:t>3</w:t>
            </w:r>
          </w:p>
        </w:tc>
        <w:tc>
          <w:tcPr>
            <w:tcW w:w="3473" w:type="dxa"/>
            <w:vAlign w:val="center"/>
          </w:tcPr>
          <w:p>
            <w:pPr>
              <w:pStyle w:val="152"/>
              <w:spacing w:line="240" w:lineRule="auto"/>
              <w:ind w:firstLine="0" w:firstLineChars="0"/>
              <w:rPr>
                <w:kern w:val="0"/>
                <w:szCs w:val="21"/>
              </w:rPr>
            </w:pPr>
            <w:r>
              <w:rPr>
                <w:rFonts w:hint="eastAsia"/>
                <w:kern w:val="0"/>
                <w:szCs w:val="21"/>
              </w:rPr>
              <w:t>发现一处扣0</w:t>
            </w:r>
            <w:r>
              <w:rPr>
                <w:kern w:val="0"/>
                <w:szCs w:val="21"/>
              </w:rPr>
              <w:t>.5</w:t>
            </w:r>
            <w:r>
              <w:rPr>
                <w:rFonts w:hint="eastAsia"/>
                <w:kern w:val="0"/>
                <w:szCs w:val="21"/>
              </w:rPr>
              <w:t>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各明沟无垃圾、无青苔，畅通。</w:t>
            </w:r>
          </w:p>
        </w:tc>
        <w:tc>
          <w:tcPr>
            <w:tcW w:w="791" w:type="dxa"/>
            <w:vAlign w:val="center"/>
          </w:tcPr>
          <w:p>
            <w:pPr>
              <w:pStyle w:val="152"/>
              <w:spacing w:line="240" w:lineRule="auto"/>
              <w:ind w:firstLine="0" w:firstLineChars="0"/>
              <w:rPr>
                <w:kern w:val="0"/>
                <w:szCs w:val="21"/>
              </w:rPr>
            </w:pPr>
            <w:r>
              <w:rPr>
                <w:rFonts w:hint="eastAsia"/>
                <w:kern w:val="0"/>
                <w:szCs w:val="21"/>
              </w:rPr>
              <w:t>3</w:t>
            </w:r>
          </w:p>
        </w:tc>
        <w:tc>
          <w:tcPr>
            <w:tcW w:w="3473" w:type="dxa"/>
            <w:vAlign w:val="center"/>
          </w:tcPr>
          <w:p>
            <w:pPr>
              <w:pStyle w:val="152"/>
              <w:spacing w:line="240" w:lineRule="auto"/>
              <w:ind w:firstLine="0" w:firstLineChars="0"/>
              <w:rPr>
                <w:kern w:val="0"/>
                <w:szCs w:val="21"/>
              </w:rPr>
            </w:pPr>
            <w:r>
              <w:rPr>
                <w:rFonts w:hint="eastAsia"/>
                <w:kern w:val="0"/>
                <w:szCs w:val="21"/>
              </w:rPr>
              <w:t>一条沟不符合扣0</w:t>
            </w:r>
            <w:r>
              <w:rPr>
                <w:kern w:val="0"/>
                <w:szCs w:val="21"/>
              </w:rPr>
              <w:t>.5</w:t>
            </w:r>
            <w:r>
              <w:rPr>
                <w:rFonts w:hint="eastAsia"/>
                <w:kern w:val="0"/>
                <w:szCs w:val="21"/>
              </w:rPr>
              <w:t>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确保无卫生死角。</w:t>
            </w:r>
          </w:p>
        </w:tc>
        <w:tc>
          <w:tcPr>
            <w:tcW w:w="791" w:type="dxa"/>
            <w:vAlign w:val="center"/>
          </w:tcPr>
          <w:p>
            <w:pPr>
              <w:pStyle w:val="152"/>
              <w:spacing w:line="240" w:lineRule="auto"/>
              <w:ind w:firstLine="0" w:firstLineChars="0"/>
              <w:rPr>
                <w:kern w:val="0"/>
                <w:szCs w:val="21"/>
              </w:rPr>
            </w:pPr>
            <w:r>
              <w:rPr>
                <w:rFonts w:hint="eastAsia"/>
                <w:kern w:val="0"/>
                <w:szCs w:val="21"/>
              </w:rPr>
              <w:t>3</w:t>
            </w:r>
          </w:p>
        </w:tc>
        <w:tc>
          <w:tcPr>
            <w:tcW w:w="3473" w:type="dxa"/>
            <w:vAlign w:val="center"/>
          </w:tcPr>
          <w:p>
            <w:pPr>
              <w:pStyle w:val="152"/>
              <w:spacing w:line="240" w:lineRule="auto"/>
              <w:ind w:firstLine="0" w:firstLineChars="0"/>
              <w:rPr>
                <w:kern w:val="0"/>
                <w:szCs w:val="21"/>
              </w:rPr>
            </w:pPr>
            <w:r>
              <w:rPr>
                <w:rFonts w:hint="eastAsia"/>
                <w:kern w:val="0"/>
                <w:szCs w:val="21"/>
              </w:rPr>
              <w:t>一处扣0</w:t>
            </w:r>
            <w:r>
              <w:rPr>
                <w:kern w:val="0"/>
                <w:szCs w:val="21"/>
              </w:rPr>
              <w:t>.5</w:t>
            </w:r>
            <w:r>
              <w:rPr>
                <w:rFonts w:hint="eastAsia"/>
                <w:kern w:val="0"/>
                <w:szCs w:val="21"/>
              </w:rPr>
              <w:t>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restart"/>
          </w:tcPr>
          <w:p>
            <w:pPr>
              <w:pStyle w:val="152"/>
              <w:spacing w:line="240" w:lineRule="auto"/>
              <w:ind w:firstLine="0" w:firstLineChars="0"/>
              <w:rPr>
                <w:kern w:val="0"/>
                <w:szCs w:val="21"/>
              </w:rPr>
            </w:pPr>
            <w:r>
              <w:rPr>
                <w:rFonts w:hint="eastAsia"/>
                <w:kern w:val="0"/>
                <w:szCs w:val="21"/>
              </w:rPr>
              <w:t>其它1</w:t>
            </w:r>
            <w:r>
              <w:rPr>
                <w:kern w:val="0"/>
                <w:szCs w:val="21"/>
              </w:rPr>
              <w:t>0</w:t>
            </w:r>
            <w:r>
              <w:rPr>
                <w:rFonts w:hint="eastAsia"/>
                <w:kern w:val="0"/>
                <w:szCs w:val="21"/>
              </w:rPr>
              <w:t>分</w:t>
            </w:r>
          </w:p>
        </w:tc>
        <w:tc>
          <w:tcPr>
            <w:tcW w:w="3456" w:type="dxa"/>
            <w:vAlign w:val="center"/>
          </w:tcPr>
          <w:p>
            <w:pPr>
              <w:pStyle w:val="152"/>
              <w:spacing w:line="240" w:lineRule="auto"/>
              <w:ind w:firstLine="0" w:firstLineChars="0"/>
              <w:rPr>
                <w:kern w:val="0"/>
                <w:szCs w:val="21"/>
              </w:rPr>
            </w:pPr>
            <w:r>
              <w:rPr>
                <w:rFonts w:hint="eastAsia"/>
                <w:kern w:val="0"/>
                <w:szCs w:val="21"/>
              </w:rPr>
              <w:t>临时工作</w:t>
            </w:r>
          </w:p>
        </w:tc>
        <w:tc>
          <w:tcPr>
            <w:tcW w:w="791" w:type="dxa"/>
            <w:vAlign w:val="center"/>
          </w:tcPr>
          <w:p>
            <w:pPr>
              <w:pStyle w:val="152"/>
              <w:spacing w:line="240" w:lineRule="auto"/>
              <w:ind w:firstLine="0" w:firstLineChars="0"/>
              <w:rPr>
                <w:kern w:val="0"/>
                <w:szCs w:val="21"/>
              </w:rPr>
            </w:pPr>
            <w:r>
              <w:rPr>
                <w:rFonts w:hint="eastAsia"/>
                <w:kern w:val="0"/>
                <w:szCs w:val="21"/>
              </w:rPr>
              <w:t>5</w:t>
            </w:r>
          </w:p>
        </w:tc>
        <w:tc>
          <w:tcPr>
            <w:tcW w:w="3473" w:type="dxa"/>
            <w:vAlign w:val="center"/>
          </w:tcPr>
          <w:p>
            <w:pPr>
              <w:pStyle w:val="152"/>
              <w:spacing w:line="240" w:lineRule="auto"/>
              <w:ind w:firstLine="0" w:firstLineChars="0"/>
              <w:rPr>
                <w:kern w:val="0"/>
                <w:szCs w:val="21"/>
              </w:rPr>
            </w:pPr>
            <w:r>
              <w:rPr>
                <w:rFonts w:hint="eastAsia"/>
                <w:kern w:val="0"/>
                <w:szCs w:val="21"/>
              </w:rPr>
              <w:t>不服从学校安排，无端推诿、拖延，敷衍等，一次扣1分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服务团队的稳定性</w:t>
            </w:r>
          </w:p>
        </w:tc>
        <w:tc>
          <w:tcPr>
            <w:tcW w:w="791" w:type="dxa"/>
            <w:vAlign w:val="center"/>
          </w:tcPr>
          <w:p>
            <w:pPr>
              <w:pStyle w:val="152"/>
              <w:spacing w:line="240" w:lineRule="auto"/>
              <w:ind w:firstLine="0" w:firstLineChars="0"/>
              <w:rPr>
                <w:kern w:val="0"/>
                <w:szCs w:val="21"/>
              </w:rPr>
            </w:pPr>
            <w:r>
              <w:rPr>
                <w:rFonts w:hint="eastAsia"/>
                <w:kern w:val="0"/>
                <w:szCs w:val="21"/>
              </w:rPr>
              <w:t>5</w:t>
            </w:r>
          </w:p>
        </w:tc>
        <w:tc>
          <w:tcPr>
            <w:tcW w:w="3473" w:type="dxa"/>
            <w:vAlign w:val="center"/>
          </w:tcPr>
          <w:p>
            <w:pPr>
              <w:pStyle w:val="152"/>
              <w:spacing w:line="240" w:lineRule="auto"/>
              <w:ind w:firstLine="0" w:firstLineChars="0"/>
              <w:rPr>
                <w:kern w:val="0"/>
                <w:szCs w:val="21"/>
              </w:rPr>
            </w:pPr>
            <w:r>
              <w:rPr>
                <w:rFonts w:hint="eastAsia"/>
                <w:kern w:val="0"/>
                <w:szCs w:val="21"/>
              </w:rPr>
              <w:t>服务期每月调离或更换服务人员不得超过</w:t>
            </w:r>
            <w:r>
              <w:rPr>
                <w:kern w:val="0"/>
                <w:szCs w:val="21"/>
              </w:rPr>
              <w:t>20</w:t>
            </w:r>
            <w:r>
              <w:rPr>
                <w:rFonts w:hint="eastAsia"/>
                <w:kern w:val="0"/>
                <w:szCs w:val="21"/>
              </w:rPr>
              <w:t>%，超出</w:t>
            </w:r>
            <w:r>
              <w:rPr>
                <w:kern w:val="0"/>
                <w:szCs w:val="21"/>
              </w:rPr>
              <w:t>5%</w:t>
            </w:r>
            <w:r>
              <w:rPr>
                <w:rFonts w:hint="eastAsia"/>
                <w:kern w:val="0"/>
                <w:szCs w:val="21"/>
              </w:rPr>
              <w:t>次扣0</w:t>
            </w:r>
            <w:r>
              <w:rPr>
                <w:kern w:val="0"/>
                <w:szCs w:val="21"/>
              </w:rPr>
              <w:t>.5</w:t>
            </w:r>
            <w:r>
              <w:rPr>
                <w:rFonts w:hint="eastAsia"/>
                <w:kern w:val="0"/>
                <w:szCs w:val="21"/>
              </w:rPr>
              <w:t>分</w:t>
            </w:r>
          </w:p>
        </w:tc>
      </w:tr>
    </w:tbl>
    <w:p/>
    <w:p>
      <w:pPr>
        <w:tabs>
          <w:tab w:val="left" w:pos="867"/>
        </w:tabs>
        <w:ind w:firstLine="482"/>
        <w:rPr>
          <w:sz w:val="24"/>
        </w:rPr>
      </w:pPr>
      <w:r>
        <w:rPr>
          <w:rFonts w:hint="eastAsia" w:ascii="宋体" w:hAnsi="宋体" w:cs="宋体" w:eastAsiaTheme="minorEastAsia"/>
          <w:b/>
          <w:bCs/>
          <w:sz w:val="28"/>
          <w:szCs w:val="28"/>
        </w:rPr>
        <w:t>2.</w:t>
      </w:r>
      <w:r>
        <w:rPr>
          <w:rFonts w:hint="eastAsia"/>
          <w:sz w:val="24"/>
        </w:rPr>
        <w:t>实小附幼</w:t>
      </w:r>
    </w:p>
    <w:p>
      <w:pPr>
        <w:pStyle w:val="152"/>
        <w:spacing w:line="240" w:lineRule="auto"/>
        <w:ind w:firstLine="0" w:firstLineChars="0"/>
        <w:rPr>
          <w:sz w:val="24"/>
        </w:rPr>
      </w:pPr>
    </w:p>
    <w:tbl>
      <w:tblPr>
        <w:tblStyle w:val="43"/>
        <w:tblW w:w="83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5"/>
        <w:gridCol w:w="3456"/>
        <w:gridCol w:w="791"/>
        <w:gridCol w:w="3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Align w:val="center"/>
          </w:tcPr>
          <w:p>
            <w:pPr>
              <w:pStyle w:val="152"/>
              <w:spacing w:line="240" w:lineRule="auto"/>
              <w:ind w:firstLine="0" w:firstLineChars="0"/>
              <w:rPr>
                <w:kern w:val="0"/>
                <w:szCs w:val="21"/>
              </w:rPr>
            </w:pPr>
            <w:r>
              <w:rPr>
                <w:rFonts w:hint="eastAsia"/>
                <w:kern w:val="0"/>
                <w:szCs w:val="21"/>
              </w:rPr>
              <w:t>项目</w:t>
            </w:r>
          </w:p>
        </w:tc>
        <w:tc>
          <w:tcPr>
            <w:tcW w:w="3456" w:type="dxa"/>
            <w:vAlign w:val="center"/>
          </w:tcPr>
          <w:p>
            <w:pPr>
              <w:pStyle w:val="152"/>
              <w:spacing w:line="240" w:lineRule="auto"/>
              <w:ind w:firstLine="0" w:firstLineChars="0"/>
              <w:rPr>
                <w:kern w:val="0"/>
                <w:szCs w:val="21"/>
              </w:rPr>
            </w:pPr>
            <w:r>
              <w:rPr>
                <w:rFonts w:hint="eastAsia"/>
                <w:kern w:val="0"/>
                <w:szCs w:val="21"/>
              </w:rPr>
              <w:t>服务质量标准</w:t>
            </w:r>
          </w:p>
        </w:tc>
        <w:tc>
          <w:tcPr>
            <w:tcW w:w="791" w:type="dxa"/>
            <w:vAlign w:val="center"/>
          </w:tcPr>
          <w:p>
            <w:pPr>
              <w:pStyle w:val="152"/>
              <w:spacing w:line="240" w:lineRule="auto"/>
              <w:ind w:firstLine="0" w:firstLineChars="0"/>
              <w:rPr>
                <w:kern w:val="0"/>
                <w:szCs w:val="21"/>
              </w:rPr>
            </w:pPr>
            <w:r>
              <w:rPr>
                <w:rFonts w:hint="eastAsia"/>
                <w:kern w:val="0"/>
                <w:szCs w:val="21"/>
              </w:rPr>
              <w:t>单项</w:t>
            </w:r>
          </w:p>
          <w:p>
            <w:pPr>
              <w:pStyle w:val="152"/>
              <w:spacing w:line="240" w:lineRule="auto"/>
              <w:ind w:firstLine="0" w:firstLineChars="0"/>
              <w:rPr>
                <w:kern w:val="0"/>
                <w:szCs w:val="21"/>
              </w:rPr>
            </w:pPr>
            <w:r>
              <w:rPr>
                <w:rFonts w:hint="eastAsia"/>
                <w:kern w:val="0"/>
                <w:szCs w:val="21"/>
              </w:rPr>
              <w:t>分值</w:t>
            </w:r>
          </w:p>
        </w:tc>
        <w:tc>
          <w:tcPr>
            <w:tcW w:w="3473" w:type="dxa"/>
            <w:vAlign w:val="center"/>
          </w:tcPr>
          <w:p>
            <w:pPr>
              <w:pStyle w:val="152"/>
              <w:spacing w:line="240" w:lineRule="auto"/>
              <w:ind w:firstLine="0" w:firstLineChars="0"/>
              <w:rPr>
                <w:kern w:val="0"/>
                <w:szCs w:val="21"/>
              </w:rPr>
            </w:pPr>
            <w:r>
              <w:rPr>
                <w:rFonts w:hint="eastAsia"/>
                <w:kern w:val="0"/>
                <w:szCs w:val="21"/>
              </w:rPr>
              <w:t>监督考评扣分标准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restart"/>
            <w:vAlign w:val="center"/>
          </w:tcPr>
          <w:p>
            <w:pPr>
              <w:pStyle w:val="152"/>
              <w:spacing w:line="240" w:lineRule="auto"/>
              <w:ind w:firstLine="0" w:firstLineChars="0"/>
              <w:rPr>
                <w:kern w:val="0"/>
                <w:szCs w:val="21"/>
              </w:rPr>
            </w:pPr>
            <w:r>
              <w:rPr>
                <w:rFonts w:hint="eastAsia"/>
                <w:kern w:val="0"/>
                <w:szCs w:val="21"/>
              </w:rPr>
              <w:t>主管</w:t>
            </w:r>
          </w:p>
          <w:p>
            <w:pPr>
              <w:pStyle w:val="152"/>
              <w:spacing w:line="240" w:lineRule="auto"/>
              <w:ind w:firstLine="0" w:firstLineChars="0"/>
              <w:rPr>
                <w:color w:val="000000"/>
                <w:kern w:val="0"/>
                <w:szCs w:val="21"/>
              </w:rPr>
            </w:pPr>
            <w:r>
              <w:rPr>
                <w:rFonts w:hint="eastAsia"/>
                <w:color w:val="000000"/>
                <w:kern w:val="0"/>
                <w:szCs w:val="21"/>
              </w:rPr>
              <w:t>(</w:t>
            </w:r>
            <w:r>
              <w:rPr>
                <w:color w:val="000000"/>
                <w:kern w:val="0"/>
                <w:szCs w:val="21"/>
              </w:rPr>
              <w:t>10</w:t>
            </w:r>
            <w:r>
              <w:rPr>
                <w:rFonts w:hint="eastAsia"/>
                <w:color w:val="000000"/>
                <w:kern w:val="0"/>
                <w:szCs w:val="21"/>
              </w:rPr>
              <w:t>分）</w:t>
            </w:r>
          </w:p>
        </w:tc>
        <w:tc>
          <w:tcPr>
            <w:tcW w:w="3456" w:type="dxa"/>
            <w:vAlign w:val="center"/>
          </w:tcPr>
          <w:p>
            <w:pPr>
              <w:pStyle w:val="152"/>
              <w:spacing w:line="240" w:lineRule="auto"/>
              <w:ind w:firstLine="0" w:firstLineChars="0"/>
              <w:rPr>
                <w:kern w:val="0"/>
                <w:szCs w:val="21"/>
              </w:rPr>
            </w:pPr>
            <w:r>
              <w:rPr>
                <w:rFonts w:hint="eastAsia"/>
                <w:kern w:val="0"/>
                <w:szCs w:val="21"/>
              </w:rPr>
              <w:t>工作日在岗情况</w:t>
            </w:r>
          </w:p>
        </w:tc>
        <w:tc>
          <w:tcPr>
            <w:tcW w:w="791" w:type="dxa"/>
            <w:vAlign w:val="center"/>
          </w:tcPr>
          <w:p>
            <w:pPr>
              <w:pStyle w:val="152"/>
              <w:spacing w:line="240" w:lineRule="auto"/>
              <w:ind w:firstLine="0" w:firstLineChars="0"/>
              <w:rPr>
                <w:color w:val="000000"/>
                <w:kern w:val="0"/>
                <w:szCs w:val="21"/>
              </w:rPr>
            </w:pPr>
            <w:r>
              <w:rPr>
                <w:rFonts w:hint="eastAsia"/>
                <w:color w:val="000000"/>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缺岗一次扣</w:t>
            </w:r>
            <w:r>
              <w:rPr>
                <w:rFonts w:hint="eastAsia"/>
                <w:color w:val="000000"/>
                <w:kern w:val="0"/>
                <w:szCs w:val="21"/>
              </w:rPr>
              <w:t>0.5分</w:t>
            </w:r>
            <w:r>
              <w:rPr>
                <w:rFonts w:hint="eastAsia"/>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vAlign w:val="center"/>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对位点员工的日常工作督促和检查情况</w:t>
            </w:r>
          </w:p>
        </w:tc>
        <w:tc>
          <w:tcPr>
            <w:tcW w:w="791" w:type="dxa"/>
            <w:vAlign w:val="center"/>
          </w:tcPr>
          <w:p>
            <w:pPr>
              <w:pStyle w:val="152"/>
              <w:spacing w:line="240" w:lineRule="auto"/>
              <w:ind w:firstLine="0" w:firstLineChars="0"/>
              <w:rPr>
                <w:kern w:val="0"/>
                <w:szCs w:val="21"/>
              </w:rPr>
            </w:pPr>
            <w:r>
              <w:rPr>
                <w:rFonts w:hint="eastAsia"/>
                <w:kern w:val="0"/>
                <w:szCs w:val="21"/>
              </w:rPr>
              <w:t>5</w:t>
            </w:r>
          </w:p>
        </w:tc>
        <w:tc>
          <w:tcPr>
            <w:tcW w:w="3473" w:type="dxa"/>
            <w:vAlign w:val="center"/>
          </w:tcPr>
          <w:p>
            <w:pPr>
              <w:pStyle w:val="152"/>
              <w:spacing w:line="240" w:lineRule="auto"/>
              <w:ind w:firstLine="0" w:firstLineChars="0"/>
              <w:rPr>
                <w:kern w:val="0"/>
                <w:szCs w:val="21"/>
              </w:rPr>
            </w:pPr>
            <w:r>
              <w:rPr>
                <w:rFonts w:hint="eastAsia"/>
                <w:kern w:val="0"/>
                <w:szCs w:val="21"/>
              </w:rPr>
              <w:t xml:space="preserve">对员工疏于管理\检查不到位,一次扣 </w:t>
            </w:r>
            <w:r>
              <w:rPr>
                <w:kern w:val="0"/>
                <w:szCs w:val="21"/>
              </w:rPr>
              <w:t xml:space="preserve"> </w:t>
            </w:r>
            <w:r>
              <w:rPr>
                <w:rFonts w:hint="eastAsia"/>
                <w:kern w:val="0"/>
                <w:szCs w:val="21"/>
              </w:rPr>
              <w:t>分0.5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vAlign w:val="center"/>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对员工的培训</w:t>
            </w:r>
          </w:p>
        </w:tc>
        <w:tc>
          <w:tcPr>
            <w:tcW w:w="791" w:type="dxa"/>
            <w:vAlign w:val="center"/>
          </w:tcPr>
          <w:p>
            <w:pPr>
              <w:pStyle w:val="152"/>
              <w:spacing w:line="240" w:lineRule="auto"/>
              <w:ind w:firstLine="0" w:firstLineChars="0"/>
              <w:rPr>
                <w:kern w:val="0"/>
                <w:szCs w:val="21"/>
              </w:rPr>
            </w:pPr>
            <w:r>
              <w:rPr>
                <w:rFonts w:hint="eastAsia"/>
                <w:kern w:val="0"/>
                <w:szCs w:val="21"/>
              </w:rPr>
              <w:t>3</w:t>
            </w:r>
          </w:p>
        </w:tc>
        <w:tc>
          <w:tcPr>
            <w:tcW w:w="3473" w:type="dxa"/>
            <w:vAlign w:val="center"/>
          </w:tcPr>
          <w:p>
            <w:pPr>
              <w:pStyle w:val="152"/>
              <w:spacing w:line="240" w:lineRule="auto"/>
              <w:ind w:firstLine="0" w:firstLineChars="0"/>
              <w:rPr>
                <w:kern w:val="0"/>
                <w:szCs w:val="21"/>
              </w:rPr>
            </w:pPr>
            <w:r>
              <w:rPr>
                <w:rFonts w:hint="eastAsia"/>
                <w:kern w:val="0"/>
                <w:szCs w:val="21"/>
              </w:rPr>
              <w:t>对员工的相关技能和礼仪培训不到位,一次扣1分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restart"/>
            <w:vAlign w:val="center"/>
          </w:tcPr>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r>
              <w:rPr>
                <w:rFonts w:hint="eastAsia"/>
                <w:kern w:val="0"/>
                <w:szCs w:val="21"/>
              </w:rPr>
              <w:t>安全保卫管理</w:t>
            </w:r>
          </w:p>
          <w:p>
            <w:pPr>
              <w:pStyle w:val="152"/>
              <w:spacing w:line="240" w:lineRule="auto"/>
              <w:ind w:firstLine="0" w:firstLineChars="0"/>
              <w:rPr>
                <w:kern w:val="0"/>
                <w:szCs w:val="21"/>
              </w:rPr>
            </w:pPr>
            <w:r>
              <w:rPr>
                <w:kern w:val="0"/>
                <w:szCs w:val="21"/>
              </w:rPr>
              <w:t>45</w:t>
            </w:r>
            <w:r>
              <w:rPr>
                <w:rFonts w:hint="eastAsia"/>
                <w:kern w:val="0"/>
                <w:szCs w:val="21"/>
              </w:rPr>
              <w:t>分</w:t>
            </w:r>
          </w:p>
        </w:tc>
        <w:tc>
          <w:tcPr>
            <w:tcW w:w="3456" w:type="dxa"/>
            <w:vAlign w:val="center"/>
          </w:tcPr>
          <w:p>
            <w:pPr>
              <w:pStyle w:val="152"/>
              <w:spacing w:line="240" w:lineRule="auto"/>
              <w:ind w:firstLine="0" w:firstLineChars="0"/>
              <w:rPr>
                <w:kern w:val="0"/>
                <w:szCs w:val="21"/>
              </w:rPr>
            </w:pPr>
            <w:r>
              <w:rPr>
                <w:rFonts w:hint="eastAsia"/>
                <w:kern w:val="0"/>
                <w:szCs w:val="21"/>
              </w:rPr>
              <w:t>所聘用的秩序维护人员必须训练有素，有秩序维护队全管理制度和职责，安全防患措施，确秩序维护全稳定。</w:t>
            </w:r>
          </w:p>
        </w:tc>
        <w:tc>
          <w:tcPr>
            <w:tcW w:w="791" w:type="dxa"/>
            <w:vAlign w:val="center"/>
          </w:tcPr>
          <w:p>
            <w:pPr>
              <w:pStyle w:val="152"/>
              <w:spacing w:line="240" w:lineRule="auto"/>
              <w:ind w:firstLine="0" w:firstLineChars="0"/>
              <w:rPr>
                <w:kern w:val="0"/>
                <w:szCs w:val="21"/>
              </w:rPr>
            </w:pPr>
            <w:r>
              <w:rPr>
                <w:rFonts w:hint="eastAsia"/>
                <w:kern w:val="0"/>
                <w:szCs w:val="21"/>
              </w:rPr>
              <w:t>5</w:t>
            </w:r>
          </w:p>
        </w:tc>
        <w:tc>
          <w:tcPr>
            <w:tcW w:w="3473" w:type="dxa"/>
            <w:vAlign w:val="center"/>
          </w:tcPr>
          <w:p>
            <w:pPr>
              <w:pStyle w:val="152"/>
              <w:spacing w:line="240" w:lineRule="auto"/>
              <w:ind w:firstLine="0" w:firstLineChars="0"/>
              <w:rPr>
                <w:kern w:val="0"/>
                <w:szCs w:val="21"/>
              </w:rPr>
            </w:pPr>
            <w:r>
              <w:rPr>
                <w:rFonts w:hint="eastAsia"/>
                <w:kern w:val="0"/>
                <w:szCs w:val="21"/>
              </w:rPr>
              <w:t>管理制度、职责、措施不健全每项扣 分，发生安全事故一次扣0.5</w:t>
            </w:r>
            <w:r>
              <w:rPr>
                <w:kern w:val="0"/>
                <w:szCs w:val="21"/>
              </w:rPr>
              <w:t xml:space="preserve"> </w:t>
            </w:r>
            <w:r>
              <w:rPr>
                <w:rFonts w:hint="eastAsia"/>
                <w:kern w:val="0"/>
                <w:szCs w:val="21"/>
              </w:rPr>
              <w:t>分，发生重大安全事故扣5 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秩序维护队员必须熟悉物业环境，上班时按规定着装和佩戴装备，文明值勤，不与职工、到访人员发生矛盾和冲突。</w:t>
            </w:r>
          </w:p>
        </w:tc>
        <w:tc>
          <w:tcPr>
            <w:tcW w:w="791" w:type="dxa"/>
            <w:vAlign w:val="center"/>
          </w:tcPr>
          <w:p>
            <w:pPr>
              <w:pStyle w:val="152"/>
              <w:spacing w:line="240" w:lineRule="auto"/>
              <w:ind w:firstLine="0" w:firstLineChars="0"/>
              <w:rPr>
                <w:kern w:val="0"/>
                <w:szCs w:val="21"/>
              </w:rPr>
            </w:pPr>
            <w:r>
              <w:rPr>
                <w:rFonts w:hint="eastAsia"/>
                <w:kern w:val="0"/>
                <w:szCs w:val="21"/>
              </w:rPr>
              <w:t>4</w:t>
            </w:r>
          </w:p>
        </w:tc>
        <w:tc>
          <w:tcPr>
            <w:tcW w:w="3473" w:type="dxa"/>
            <w:vAlign w:val="center"/>
          </w:tcPr>
          <w:p>
            <w:pPr>
              <w:pStyle w:val="152"/>
              <w:spacing w:line="240" w:lineRule="auto"/>
              <w:ind w:firstLine="0" w:firstLineChars="0"/>
              <w:rPr>
                <w:kern w:val="0"/>
                <w:szCs w:val="21"/>
              </w:rPr>
            </w:pPr>
            <w:r>
              <w:rPr>
                <w:rFonts w:hint="eastAsia"/>
                <w:kern w:val="0"/>
                <w:szCs w:val="21"/>
              </w:rPr>
              <w:t>发现一名队员着装不整齐扣分，不礼貌扣分，无理与他人发生冲突一次扣1分，发生两次建议辞退。直至该项分值扣完为止。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秩序维护必须实行24小时值班巡逻，认真履行职责，机动灵活，加强重点区域和人少到的部位巡逻。</w:t>
            </w:r>
          </w:p>
        </w:tc>
        <w:tc>
          <w:tcPr>
            <w:tcW w:w="791" w:type="dxa"/>
            <w:vAlign w:val="center"/>
          </w:tcPr>
          <w:p>
            <w:pPr>
              <w:pStyle w:val="152"/>
              <w:spacing w:line="240" w:lineRule="auto"/>
              <w:ind w:firstLine="0" w:firstLineChars="0"/>
              <w:rPr>
                <w:kern w:val="0"/>
                <w:szCs w:val="21"/>
              </w:rPr>
            </w:pPr>
            <w:r>
              <w:rPr>
                <w:rFonts w:hint="eastAsia"/>
                <w:kern w:val="0"/>
                <w:szCs w:val="21"/>
              </w:rPr>
              <w:t>4</w:t>
            </w:r>
          </w:p>
        </w:tc>
        <w:tc>
          <w:tcPr>
            <w:tcW w:w="3473" w:type="dxa"/>
            <w:vAlign w:val="center"/>
          </w:tcPr>
          <w:p>
            <w:pPr>
              <w:pStyle w:val="152"/>
              <w:spacing w:line="240" w:lineRule="auto"/>
              <w:ind w:firstLine="0" w:firstLineChars="0"/>
              <w:rPr>
                <w:kern w:val="0"/>
                <w:szCs w:val="21"/>
              </w:rPr>
            </w:pPr>
            <w:r>
              <w:rPr>
                <w:rFonts w:hint="eastAsia"/>
                <w:kern w:val="0"/>
                <w:szCs w:val="21"/>
              </w:rPr>
              <w:t>查值班巡逻日志，当值发生事件无记录扣分，记录不规范扣0.5分，如反映巡逻不到位一次扣0.5分，巡逻乘座电梯一次扣0.5分。直至该项分值扣完为止。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做好重大活动会议的安全保卫工作，圆满完成交办的任务。</w:t>
            </w:r>
          </w:p>
        </w:tc>
        <w:tc>
          <w:tcPr>
            <w:tcW w:w="791" w:type="dxa"/>
            <w:vAlign w:val="center"/>
          </w:tcPr>
          <w:p>
            <w:pPr>
              <w:pStyle w:val="152"/>
              <w:spacing w:line="240" w:lineRule="auto"/>
              <w:ind w:firstLine="0" w:firstLineChars="0"/>
              <w:rPr>
                <w:kern w:val="0"/>
                <w:szCs w:val="21"/>
              </w:rPr>
            </w:pPr>
            <w:r>
              <w:rPr>
                <w:rFonts w:hint="eastAsia"/>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因安全保卫工作失误，造成不良影响扣1分。直至该项分值扣完为止。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严格执行登记制度，凡进入机关办公楼的外来人员应询问来访目的，查验有关证件，并进行登记。</w:t>
            </w:r>
          </w:p>
        </w:tc>
        <w:tc>
          <w:tcPr>
            <w:tcW w:w="791" w:type="dxa"/>
            <w:vAlign w:val="center"/>
          </w:tcPr>
          <w:p>
            <w:pPr>
              <w:pStyle w:val="152"/>
              <w:spacing w:line="240" w:lineRule="auto"/>
              <w:ind w:firstLine="0" w:firstLineChars="0"/>
              <w:rPr>
                <w:kern w:val="0"/>
                <w:szCs w:val="21"/>
              </w:rPr>
            </w:pPr>
            <w:r>
              <w:rPr>
                <w:rFonts w:hint="eastAsia"/>
                <w:kern w:val="0"/>
                <w:szCs w:val="21"/>
              </w:rPr>
              <w:t>5</w:t>
            </w:r>
          </w:p>
        </w:tc>
        <w:tc>
          <w:tcPr>
            <w:tcW w:w="3473" w:type="dxa"/>
            <w:vAlign w:val="center"/>
          </w:tcPr>
          <w:p>
            <w:pPr>
              <w:pStyle w:val="152"/>
              <w:spacing w:line="240" w:lineRule="auto"/>
              <w:ind w:firstLine="0" w:firstLineChars="0"/>
              <w:rPr>
                <w:kern w:val="0"/>
                <w:szCs w:val="21"/>
              </w:rPr>
            </w:pPr>
            <w:r>
              <w:rPr>
                <w:rFonts w:hint="eastAsia"/>
                <w:kern w:val="0"/>
                <w:szCs w:val="21"/>
              </w:rPr>
              <w:t>未登记每人扣0.5分，扣完为止。直至该项分值扣完为止。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定期组织安全教育；积时发现各类安全隐患，确保不发生物品被盗和各类案件及安全事故。</w:t>
            </w:r>
          </w:p>
        </w:tc>
        <w:tc>
          <w:tcPr>
            <w:tcW w:w="791" w:type="dxa"/>
            <w:vAlign w:val="center"/>
          </w:tcPr>
          <w:p>
            <w:pPr>
              <w:pStyle w:val="152"/>
              <w:spacing w:line="240" w:lineRule="auto"/>
              <w:ind w:firstLine="0" w:firstLineChars="0"/>
              <w:rPr>
                <w:kern w:val="0"/>
                <w:szCs w:val="21"/>
              </w:rPr>
            </w:pPr>
            <w:r>
              <w:rPr>
                <w:rFonts w:hint="eastAsia"/>
                <w:kern w:val="0"/>
                <w:szCs w:val="21"/>
              </w:rPr>
              <w:t>5</w:t>
            </w:r>
          </w:p>
        </w:tc>
        <w:tc>
          <w:tcPr>
            <w:tcW w:w="3473" w:type="dxa"/>
            <w:vAlign w:val="center"/>
          </w:tcPr>
          <w:p>
            <w:pPr>
              <w:pStyle w:val="152"/>
              <w:spacing w:line="240" w:lineRule="auto"/>
              <w:ind w:firstLine="0" w:firstLineChars="0"/>
              <w:rPr>
                <w:kern w:val="0"/>
                <w:szCs w:val="21"/>
              </w:rPr>
            </w:pPr>
            <w:r>
              <w:rPr>
                <w:rFonts w:hint="eastAsia"/>
                <w:kern w:val="0"/>
                <w:szCs w:val="21"/>
              </w:rPr>
              <w:t>无安全教育（查记录）扣0.5分，发生手机钱包被盗事件一次扣1分。发生财产被盗案或秩序维护员内部自盗一次扣5分，并追究管理管理人员的责任。直至该项分值扣完为止。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协助搬运家具时，必须轻移轻放，无损坏家具和地板。</w:t>
            </w:r>
          </w:p>
        </w:tc>
        <w:tc>
          <w:tcPr>
            <w:tcW w:w="791" w:type="dxa"/>
            <w:vAlign w:val="center"/>
          </w:tcPr>
          <w:p>
            <w:pPr>
              <w:pStyle w:val="152"/>
              <w:spacing w:line="240" w:lineRule="auto"/>
              <w:ind w:firstLine="0" w:firstLineChars="0"/>
              <w:rPr>
                <w:kern w:val="0"/>
                <w:szCs w:val="21"/>
              </w:rPr>
            </w:pPr>
            <w:r>
              <w:rPr>
                <w:rFonts w:hint="eastAsia"/>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造成家具或地板损坏扣0.5分，并承担10%维修费用。直至该项分值扣完为止。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能熟练掌握消防设施设备的使用方法。</w:t>
            </w:r>
          </w:p>
        </w:tc>
        <w:tc>
          <w:tcPr>
            <w:tcW w:w="791" w:type="dxa"/>
            <w:vAlign w:val="center"/>
          </w:tcPr>
          <w:p>
            <w:pPr>
              <w:pStyle w:val="152"/>
              <w:spacing w:line="240" w:lineRule="auto"/>
              <w:ind w:firstLine="0" w:firstLineChars="0"/>
              <w:rPr>
                <w:kern w:val="0"/>
                <w:szCs w:val="21"/>
              </w:rPr>
            </w:pPr>
            <w:r>
              <w:rPr>
                <w:rFonts w:hint="eastAsia"/>
                <w:kern w:val="0"/>
                <w:szCs w:val="21"/>
              </w:rPr>
              <w:t>3</w:t>
            </w:r>
          </w:p>
        </w:tc>
        <w:tc>
          <w:tcPr>
            <w:tcW w:w="3473" w:type="dxa"/>
            <w:vAlign w:val="center"/>
          </w:tcPr>
          <w:p>
            <w:pPr>
              <w:pStyle w:val="152"/>
              <w:spacing w:line="240" w:lineRule="auto"/>
              <w:ind w:firstLine="0" w:firstLineChars="0"/>
              <w:rPr>
                <w:kern w:val="0"/>
                <w:szCs w:val="21"/>
              </w:rPr>
            </w:pPr>
            <w:r>
              <w:rPr>
                <w:rFonts w:hint="eastAsia"/>
                <w:kern w:val="0"/>
                <w:szCs w:val="21"/>
              </w:rPr>
              <w:t>不会使用操作扣1分，不熟练扣0.5分，直至该项分值扣完为止。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能正确果断处理各种火险、火灾以及救护程序。</w:t>
            </w:r>
          </w:p>
        </w:tc>
        <w:tc>
          <w:tcPr>
            <w:tcW w:w="791" w:type="dxa"/>
            <w:vAlign w:val="center"/>
          </w:tcPr>
          <w:p>
            <w:pPr>
              <w:pStyle w:val="152"/>
              <w:spacing w:line="240" w:lineRule="auto"/>
              <w:ind w:firstLine="0" w:firstLineChars="0"/>
              <w:rPr>
                <w:kern w:val="0"/>
                <w:szCs w:val="21"/>
              </w:rPr>
            </w:pPr>
            <w:r>
              <w:rPr>
                <w:rFonts w:hint="eastAsia"/>
                <w:kern w:val="0"/>
                <w:szCs w:val="21"/>
              </w:rPr>
              <w:t>3</w:t>
            </w:r>
          </w:p>
        </w:tc>
        <w:tc>
          <w:tcPr>
            <w:tcW w:w="3473" w:type="dxa"/>
            <w:vAlign w:val="center"/>
          </w:tcPr>
          <w:p>
            <w:pPr>
              <w:pStyle w:val="152"/>
              <w:spacing w:line="240" w:lineRule="auto"/>
              <w:ind w:firstLine="0" w:firstLineChars="0"/>
              <w:rPr>
                <w:kern w:val="0"/>
                <w:szCs w:val="21"/>
              </w:rPr>
            </w:pPr>
            <w:r>
              <w:rPr>
                <w:rFonts w:hint="eastAsia"/>
                <w:kern w:val="0"/>
                <w:szCs w:val="21"/>
              </w:rPr>
              <w:t>不会扣2分，直至该项分值扣完为止。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严格消防管理制度，认真巡查火险隐患，确保无火灾事故发生。</w:t>
            </w:r>
          </w:p>
        </w:tc>
        <w:tc>
          <w:tcPr>
            <w:tcW w:w="791" w:type="dxa"/>
            <w:vAlign w:val="center"/>
          </w:tcPr>
          <w:p>
            <w:pPr>
              <w:pStyle w:val="152"/>
              <w:spacing w:line="240" w:lineRule="auto"/>
              <w:ind w:firstLine="0" w:firstLineChars="0"/>
              <w:rPr>
                <w:kern w:val="0"/>
                <w:szCs w:val="21"/>
              </w:rPr>
            </w:pPr>
            <w:r>
              <w:rPr>
                <w:rFonts w:hint="eastAsia"/>
                <w:kern w:val="0"/>
                <w:szCs w:val="21"/>
              </w:rPr>
              <w:t>5</w:t>
            </w:r>
          </w:p>
        </w:tc>
        <w:tc>
          <w:tcPr>
            <w:tcW w:w="3473" w:type="dxa"/>
            <w:vAlign w:val="center"/>
          </w:tcPr>
          <w:p>
            <w:pPr>
              <w:pStyle w:val="152"/>
              <w:spacing w:line="240" w:lineRule="auto"/>
              <w:ind w:firstLine="0" w:firstLineChars="0"/>
              <w:rPr>
                <w:kern w:val="0"/>
                <w:szCs w:val="21"/>
              </w:rPr>
            </w:pPr>
            <w:r>
              <w:rPr>
                <w:rFonts w:hint="eastAsia"/>
                <w:kern w:val="0"/>
                <w:szCs w:val="21"/>
              </w:rPr>
              <w:t>检查一处有隐患扣0.5分，发生火灾事故5分，并追究责任。直至该项分值扣完为止。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各种消防设施定期检查保养、维护，确保无缺损，保障正常运行。</w:t>
            </w:r>
          </w:p>
        </w:tc>
        <w:tc>
          <w:tcPr>
            <w:tcW w:w="791" w:type="dxa"/>
            <w:vAlign w:val="center"/>
          </w:tcPr>
          <w:p>
            <w:pPr>
              <w:pStyle w:val="152"/>
              <w:spacing w:line="240" w:lineRule="auto"/>
              <w:ind w:firstLine="0" w:firstLineChars="0"/>
              <w:rPr>
                <w:kern w:val="0"/>
                <w:szCs w:val="21"/>
              </w:rPr>
            </w:pPr>
            <w:r>
              <w:rPr>
                <w:rFonts w:hint="eastAsia"/>
                <w:kern w:val="0"/>
                <w:szCs w:val="21"/>
              </w:rPr>
              <w:t>3</w:t>
            </w:r>
          </w:p>
        </w:tc>
        <w:tc>
          <w:tcPr>
            <w:tcW w:w="3473" w:type="dxa"/>
            <w:vAlign w:val="center"/>
          </w:tcPr>
          <w:p>
            <w:pPr>
              <w:pStyle w:val="152"/>
              <w:spacing w:line="240" w:lineRule="auto"/>
              <w:ind w:firstLine="0" w:firstLineChars="0"/>
              <w:rPr>
                <w:kern w:val="0"/>
                <w:szCs w:val="21"/>
              </w:rPr>
            </w:pPr>
            <w:r>
              <w:rPr>
                <w:rFonts w:hint="eastAsia"/>
                <w:kern w:val="0"/>
                <w:szCs w:val="21"/>
              </w:rPr>
              <w:t>无保养扣1分，一处运行障碍扣0.5分，一处缺或损坏扣0.5分。直至该项分值扣完为止。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严格消防管理制度，认真巡查火险隐患，确保无火灾事故发生。</w:t>
            </w:r>
          </w:p>
        </w:tc>
        <w:tc>
          <w:tcPr>
            <w:tcW w:w="791" w:type="dxa"/>
            <w:vAlign w:val="center"/>
          </w:tcPr>
          <w:p>
            <w:pPr>
              <w:pStyle w:val="152"/>
              <w:spacing w:line="240" w:lineRule="auto"/>
              <w:ind w:firstLine="0" w:firstLineChars="0"/>
              <w:rPr>
                <w:kern w:val="0"/>
                <w:szCs w:val="21"/>
              </w:rPr>
            </w:pPr>
            <w:r>
              <w:rPr>
                <w:rFonts w:hint="eastAsia"/>
                <w:kern w:val="0"/>
                <w:szCs w:val="21"/>
              </w:rPr>
              <w:t>5</w:t>
            </w:r>
          </w:p>
        </w:tc>
        <w:tc>
          <w:tcPr>
            <w:tcW w:w="3473" w:type="dxa"/>
            <w:vAlign w:val="center"/>
          </w:tcPr>
          <w:p>
            <w:pPr>
              <w:pStyle w:val="152"/>
              <w:spacing w:line="240" w:lineRule="auto"/>
              <w:ind w:firstLine="0" w:firstLineChars="0"/>
              <w:rPr>
                <w:kern w:val="0"/>
                <w:szCs w:val="21"/>
              </w:rPr>
            </w:pPr>
            <w:r>
              <w:rPr>
                <w:rFonts w:hint="eastAsia"/>
                <w:kern w:val="0"/>
                <w:szCs w:val="21"/>
              </w:rPr>
              <w:t>检查一处有隐患扣0.5分，发生火灾事故5分，并追究责任。直至该项分值扣完为止。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jc w:val="center"/>
        </w:trPr>
        <w:tc>
          <w:tcPr>
            <w:tcW w:w="635" w:type="dxa"/>
            <w:vMerge w:val="restart"/>
            <w:vAlign w:val="center"/>
          </w:tcPr>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r>
              <w:rPr>
                <w:rFonts w:hint="eastAsia"/>
                <w:kern w:val="0"/>
                <w:szCs w:val="21"/>
              </w:rPr>
              <w:t>清洁卫生管理</w:t>
            </w:r>
          </w:p>
          <w:p>
            <w:pPr>
              <w:pStyle w:val="152"/>
              <w:spacing w:line="240" w:lineRule="auto"/>
              <w:ind w:firstLine="0" w:firstLineChars="0"/>
              <w:rPr>
                <w:kern w:val="0"/>
                <w:szCs w:val="21"/>
              </w:rPr>
            </w:pPr>
            <w:r>
              <w:rPr>
                <w:kern w:val="0"/>
                <w:szCs w:val="21"/>
              </w:rPr>
              <w:t>30</w:t>
            </w:r>
            <w:r>
              <w:rPr>
                <w:rFonts w:hint="eastAsia"/>
                <w:kern w:val="0"/>
                <w:szCs w:val="21"/>
              </w:rPr>
              <w:t>分</w:t>
            </w:r>
          </w:p>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清洁保洁责任划分到人，责任范围清洁达到标准化。清洁员着装统一，工作细致，形象良好。</w:t>
            </w:r>
          </w:p>
        </w:tc>
        <w:tc>
          <w:tcPr>
            <w:tcW w:w="791" w:type="dxa"/>
            <w:vAlign w:val="center"/>
          </w:tcPr>
          <w:p>
            <w:pPr>
              <w:pStyle w:val="152"/>
              <w:spacing w:line="240" w:lineRule="auto"/>
              <w:ind w:firstLine="0" w:firstLineChars="0"/>
              <w:rPr>
                <w:kern w:val="0"/>
                <w:szCs w:val="21"/>
              </w:rPr>
            </w:pPr>
            <w:r>
              <w:rPr>
                <w:rFonts w:hint="eastAsia"/>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未明确责任到人，一处扣0.5分。一处未达到标准保洁扣0.5分。直至该项分值扣完为止。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各责任区域门窗干净明亮、清爽；地面无纸屑、果皮、灰尘、杂物和污渍；垃圾筒纸篓内的垃圾不能超过三分之二。</w:t>
            </w:r>
          </w:p>
        </w:tc>
        <w:tc>
          <w:tcPr>
            <w:tcW w:w="791" w:type="dxa"/>
            <w:vAlign w:val="center"/>
          </w:tcPr>
          <w:p>
            <w:pPr>
              <w:pStyle w:val="152"/>
              <w:spacing w:line="240" w:lineRule="auto"/>
              <w:ind w:firstLine="0" w:firstLineChars="0"/>
              <w:rPr>
                <w:kern w:val="0"/>
                <w:szCs w:val="21"/>
              </w:rPr>
            </w:pPr>
            <w:r>
              <w:rPr>
                <w:rFonts w:hint="eastAsia"/>
                <w:kern w:val="0"/>
                <w:szCs w:val="21"/>
              </w:rPr>
              <w:t>8</w:t>
            </w:r>
          </w:p>
        </w:tc>
        <w:tc>
          <w:tcPr>
            <w:tcW w:w="3473" w:type="dxa"/>
            <w:vAlign w:val="center"/>
          </w:tcPr>
          <w:p>
            <w:pPr>
              <w:pStyle w:val="152"/>
              <w:spacing w:line="240" w:lineRule="auto"/>
              <w:ind w:firstLine="0" w:firstLineChars="0"/>
              <w:rPr>
                <w:kern w:val="0"/>
                <w:szCs w:val="21"/>
              </w:rPr>
            </w:pPr>
            <w:r>
              <w:rPr>
                <w:rFonts w:hint="eastAsia"/>
                <w:kern w:val="0"/>
                <w:szCs w:val="21"/>
              </w:rPr>
              <w:t>一个责任区域一项未做到扣0.5分，直至该项分值扣完为止。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各洗手间清洁明亮，无积水，无污渍，无异味。</w:t>
            </w:r>
          </w:p>
        </w:tc>
        <w:tc>
          <w:tcPr>
            <w:tcW w:w="791" w:type="dxa"/>
            <w:vAlign w:val="center"/>
          </w:tcPr>
          <w:p>
            <w:pPr>
              <w:pStyle w:val="152"/>
              <w:spacing w:line="240" w:lineRule="auto"/>
              <w:ind w:firstLine="0" w:firstLineChars="0"/>
              <w:rPr>
                <w:kern w:val="0"/>
                <w:szCs w:val="21"/>
              </w:rPr>
            </w:pPr>
            <w:r>
              <w:rPr>
                <w:rFonts w:hint="eastAsia"/>
                <w:kern w:val="0"/>
                <w:szCs w:val="21"/>
              </w:rPr>
              <w:t>3</w:t>
            </w:r>
          </w:p>
        </w:tc>
        <w:tc>
          <w:tcPr>
            <w:tcW w:w="3473" w:type="dxa"/>
            <w:vAlign w:val="center"/>
          </w:tcPr>
          <w:p>
            <w:pPr>
              <w:pStyle w:val="152"/>
              <w:spacing w:line="240" w:lineRule="auto"/>
              <w:ind w:firstLine="0" w:firstLineChars="0"/>
              <w:rPr>
                <w:kern w:val="0"/>
                <w:szCs w:val="21"/>
              </w:rPr>
            </w:pPr>
            <w:r>
              <w:rPr>
                <w:rFonts w:hint="eastAsia"/>
                <w:kern w:val="0"/>
                <w:szCs w:val="21"/>
              </w:rPr>
              <w:t>一个洗手间一项不符合扣0.5分。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用专用清洁布擦拭饮水设备，无污渍。</w:t>
            </w:r>
          </w:p>
        </w:tc>
        <w:tc>
          <w:tcPr>
            <w:tcW w:w="791" w:type="dxa"/>
            <w:vAlign w:val="center"/>
          </w:tcPr>
          <w:p>
            <w:pPr>
              <w:pStyle w:val="152"/>
              <w:spacing w:line="240" w:lineRule="auto"/>
              <w:ind w:firstLine="0" w:firstLineChars="0"/>
              <w:rPr>
                <w:kern w:val="0"/>
                <w:szCs w:val="21"/>
              </w:rPr>
            </w:pPr>
            <w:r>
              <w:rPr>
                <w:rFonts w:hint="eastAsia"/>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一处饮水设备不符合扣0.5分。直至该项分值扣完为止。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地面保持干燥，尤其下雨天要加强管理，入口处放置地滑警示牌，防止行人摔伤，确秩序维护全。</w:t>
            </w:r>
          </w:p>
        </w:tc>
        <w:tc>
          <w:tcPr>
            <w:tcW w:w="791" w:type="dxa"/>
            <w:vAlign w:val="center"/>
          </w:tcPr>
          <w:p>
            <w:pPr>
              <w:pStyle w:val="152"/>
              <w:spacing w:line="240" w:lineRule="auto"/>
              <w:ind w:firstLine="0" w:firstLineChars="0"/>
              <w:rPr>
                <w:kern w:val="0"/>
                <w:szCs w:val="21"/>
              </w:rPr>
            </w:pPr>
            <w:r>
              <w:rPr>
                <w:rFonts w:hint="eastAsia"/>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未设置警示牌，每次扣0.5分。因地面有水或其他果皮等致使人摔伤全扣，并且承担由此引发的责任。直至该项分值扣完为止。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垃圾做到日产日清，垃圾桶每三天至少清洗一次，外露面无垃圾附着。</w:t>
            </w:r>
          </w:p>
        </w:tc>
        <w:tc>
          <w:tcPr>
            <w:tcW w:w="791" w:type="dxa"/>
            <w:vAlign w:val="center"/>
          </w:tcPr>
          <w:p>
            <w:pPr>
              <w:pStyle w:val="152"/>
              <w:spacing w:line="240" w:lineRule="auto"/>
              <w:ind w:firstLine="0" w:firstLineChars="0"/>
              <w:rPr>
                <w:kern w:val="0"/>
                <w:szCs w:val="21"/>
              </w:rPr>
            </w:pPr>
            <w:r>
              <w:rPr>
                <w:rFonts w:hint="eastAsia"/>
                <w:kern w:val="0"/>
                <w:szCs w:val="21"/>
              </w:rPr>
              <w:t>3</w:t>
            </w:r>
          </w:p>
        </w:tc>
        <w:tc>
          <w:tcPr>
            <w:tcW w:w="3473" w:type="dxa"/>
            <w:vAlign w:val="center"/>
          </w:tcPr>
          <w:p>
            <w:pPr>
              <w:pStyle w:val="152"/>
              <w:spacing w:line="240" w:lineRule="auto"/>
              <w:ind w:firstLine="0" w:firstLineChars="0"/>
              <w:rPr>
                <w:kern w:val="0"/>
                <w:szCs w:val="21"/>
              </w:rPr>
            </w:pPr>
            <w:r>
              <w:rPr>
                <w:rFonts w:hint="eastAsia"/>
                <w:kern w:val="0"/>
                <w:szCs w:val="21"/>
              </w:rPr>
              <w:t>一项未做到扣0.5分。直至该项分值扣完为止。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路面无明显泥沙、污垢，无1cm以上的石子，每100平方米烟头纸屑不超过3处。</w:t>
            </w:r>
          </w:p>
        </w:tc>
        <w:tc>
          <w:tcPr>
            <w:tcW w:w="791" w:type="dxa"/>
            <w:vAlign w:val="center"/>
          </w:tcPr>
          <w:p>
            <w:pPr>
              <w:pStyle w:val="152"/>
              <w:spacing w:line="240" w:lineRule="auto"/>
              <w:ind w:firstLine="0" w:firstLineChars="0"/>
              <w:rPr>
                <w:kern w:val="0"/>
                <w:szCs w:val="21"/>
              </w:rPr>
            </w:pPr>
            <w:r>
              <w:rPr>
                <w:rFonts w:hint="eastAsia"/>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不符合扣0.5分。直至该项分值扣完为止。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绿化丛中无烟盒、饮料瓶盒、塑料袋等垃圾。</w:t>
            </w:r>
          </w:p>
        </w:tc>
        <w:tc>
          <w:tcPr>
            <w:tcW w:w="791" w:type="dxa"/>
            <w:vAlign w:val="center"/>
          </w:tcPr>
          <w:p>
            <w:pPr>
              <w:pStyle w:val="152"/>
              <w:spacing w:line="240" w:lineRule="auto"/>
              <w:ind w:firstLine="0" w:firstLineChars="0"/>
              <w:rPr>
                <w:kern w:val="0"/>
                <w:szCs w:val="21"/>
              </w:rPr>
            </w:pPr>
            <w:r>
              <w:rPr>
                <w:rFonts w:hint="eastAsia"/>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发现一处扣0.5分。直至该项分值扣完为止。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滴水檐无乱堆放杂物，无垃圾、无污渍、无青苔、无积水。</w:t>
            </w:r>
          </w:p>
        </w:tc>
        <w:tc>
          <w:tcPr>
            <w:tcW w:w="791" w:type="dxa"/>
            <w:vAlign w:val="center"/>
          </w:tcPr>
          <w:p>
            <w:pPr>
              <w:pStyle w:val="152"/>
              <w:spacing w:line="240" w:lineRule="auto"/>
              <w:ind w:firstLine="0" w:firstLineChars="0"/>
              <w:rPr>
                <w:kern w:val="0"/>
                <w:szCs w:val="21"/>
              </w:rPr>
            </w:pPr>
            <w:r>
              <w:rPr>
                <w:rFonts w:hint="eastAsia"/>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发现一处扣0.5分。直至该项分值扣完为止。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各明沟无垃圾、无青苔，畅通。</w:t>
            </w:r>
          </w:p>
        </w:tc>
        <w:tc>
          <w:tcPr>
            <w:tcW w:w="791" w:type="dxa"/>
            <w:vAlign w:val="center"/>
          </w:tcPr>
          <w:p>
            <w:pPr>
              <w:pStyle w:val="152"/>
              <w:spacing w:line="240" w:lineRule="auto"/>
              <w:ind w:firstLine="0" w:firstLineChars="0"/>
              <w:rPr>
                <w:kern w:val="0"/>
                <w:szCs w:val="21"/>
              </w:rPr>
            </w:pPr>
            <w:r>
              <w:rPr>
                <w:rFonts w:hint="eastAsia"/>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一条沟不符合扣0.5分，直至该项分值扣完为止。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确保无卫生死角。</w:t>
            </w:r>
          </w:p>
        </w:tc>
        <w:tc>
          <w:tcPr>
            <w:tcW w:w="791" w:type="dxa"/>
            <w:vAlign w:val="center"/>
          </w:tcPr>
          <w:p>
            <w:pPr>
              <w:pStyle w:val="152"/>
              <w:spacing w:line="240" w:lineRule="auto"/>
              <w:ind w:firstLine="0" w:firstLineChars="0"/>
              <w:rPr>
                <w:kern w:val="0"/>
                <w:szCs w:val="21"/>
              </w:rPr>
            </w:pPr>
            <w:r>
              <w:rPr>
                <w:rFonts w:hint="eastAsia"/>
                <w:kern w:val="0"/>
                <w:szCs w:val="21"/>
              </w:rPr>
              <w:t>3</w:t>
            </w:r>
          </w:p>
        </w:tc>
        <w:tc>
          <w:tcPr>
            <w:tcW w:w="3473" w:type="dxa"/>
            <w:vAlign w:val="center"/>
          </w:tcPr>
          <w:p>
            <w:pPr>
              <w:pStyle w:val="152"/>
              <w:spacing w:line="240" w:lineRule="auto"/>
              <w:ind w:firstLine="0" w:firstLineChars="0"/>
              <w:rPr>
                <w:kern w:val="0"/>
                <w:szCs w:val="21"/>
              </w:rPr>
            </w:pPr>
            <w:r>
              <w:rPr>
                <w:rFonts w:hint="eastAsia"/>
                <w:kern w:val="0"/>
                <w:szCs w:val="21"/>
              </w:rPr>
              <w:t>一处扣0.5分，直至该项分值扣完为止。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w:t>
            </w:r>
          </w:p>
        </w:tc>
        <w:tc>
          <w:tcPr>
            <w:tcW w:w="791" w:type="dxa"/>
            <w:vAlign w:val="center"/>
          </w:tcPr>
          <w:p>
            <w:pPr>
              <w:pStyle w:val="152"/>
              <w:spacing w:line="240" w:lineRule="auto"/>
              <w:ind w:firstLine="0" w:firstLineChars="0"/>
              <w:rPr>
                <w:kern w:val="0"/>
                <w:szCs w:val="21"/>
              </w:rPr>
            </w:pPr>
          </w:p>
        </w:tc>
        <w:tc>
          <w:tcPr>
            <w:tcW w:w="3473" w:type="dxa"/>
            <w:vAlign w:val="center"/>
          </w:tcPr>
          <w:p>
            <w:pPr>
              <w:pStyle w:val="152"/>
              <w:spacing w:line="240" w:lineRule="auto"/>
              <w:ind w:firstLine="0" w:firstLineChars="0"/>
              <w:rPr>
                <w:kern w:val="0"/>
                <w:szCs w:val="21"/>
              </w:rPr>
            </w:pPr>
            <w:r>
              <w:rPr>
                <w:rFonts w:hint="eastAsia"/>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restart"/>
          </w:tcPr>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r>
              <w:rPr>
                <w:rFonts w:hint="eastAsia"/>
                <w:kern w:val="0"/>
                <w:szCs w:val="21"/>
              </w:rPr>
              <w:t>绿化养护工作10分</w:t>
            </w:r>
          </w:p>
        </w:tc>
        <w:tc>
          <w:tcPr>
            <w:tcW w:w="3456" w:type="dxa"/>
            <w:vAlign w:val="center"/>
          </w:tcPr>
          <w:p>
            <w:pPr>
              <w:pStyle w:val="152"/>
              <w:spacing w:line="240" w:lineRule="auto"/>
              <w:ind w:firstLine="0" w:firstLineChars="0"/>
              <w:rPr>
                <w:kern w:val="0"/>
                <w:szCs w:val="21"/>
              </w:rPr>
            </w:pPr>
            <w:r>
              <w:rPr>
                <w:rFonts w:hint="eastAsia"/>
                <w:kern w:val="0"/>
                <w:szCs w:val="21"/>
              </w:rPr>
              <w:t>按生长习性定期完成灌溉、施肥、修剪，及时处理枯枝。</w:t>
            </w:r>
          </w:p>
        </w:tc>
        <w:tc>
          <w:tcPr>
            <w:tcW w:w="791" w:type="dxa"/>
            <w:vAlign w:val="center"/>
          </w:tcPr>
          <w:p>
            <w:pPr>
              <w:pStyle w:val="152"/>
              <w:spacing w:line="240" w:lineRule="auto"/>
              <w:ind w:firstLine="0" w:firstLineChars="0"/>
              <w:rPr>
                <w:kern w:val="0"/>
                <w:szCs w:val="21"/>
              </w:rPr>
            </w:pPr>
            <w:r>
              <w:rPr>
                <w:rFonts w:hint="eastAsia"/>
                <w:kern w:val="0"/>
                <w:szCs w:val="21"/>
              </w:rPr>
              <w:t>3</w:t>
            </w:r>
          </w:p>
        </w:tc>
        <w:tc>
          <w:tcPr>
            <w:tcW w:w="3473" w:type="dxa"/>
            <w:vAlign w:val="center"/>
          </w:tcPr>
          <w:p>
            <w:pPr>
              <w:pStyle w:val="152"/>
              <w:spacing w:line="240" w:lineRule="auto"/>
              <w:ind w:firstLine="0" w:firstLineChars="0"/>
              <w:rPr>
                <w:kern w:val="0"/>
                <w:szCs w:val="21"/>
              </w:rPr>
            </w:pPr>
            <w:r>
              <w:rPr>
                <w:rFonts w:hint="eastAsia"/>
                <w:kern w:val="0"/>
                <w:szCs w:val="21"/>
              </w:rPr>
              <w:t>灌溉、施肥、修剪不及时，造成植物生长不良，杂乱，扣0.5分/次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爬藤植物及时牵引、上架，无杂草和植物同生现象。</w:t>
            </w:r>
          </w:p>
        </w:tc>
        <w:tc>
          <w:tcPr>
            <w:tcW w:w="791" w:type="dxa"/>
            <w:vAlign w:val="center"/>
          </w:tcPr>
          <w:p>
            <w:pPr>
              <w:pStyle w:val="152"/>
              <w:spacing w:line="240" w:lineRule="auto"/>
              <w:ind w:firstLine="0" w:firstLineChars="0"/>
              <w:rPr>
                <w:kern w:val="0"/>
                <w:szCs w:val="21"/>
              </w:rPr>
            </w:pPr>
            <w:r>
              <w:rPr>
                <w:rFonts w:hint="eastAsia"/>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不及时除杂草，发现一次扣0.5分/次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周边无废纸、无砖头瓦砾，绿化垃圾当天清除。</w:t>
            </w:r>
          </w:p>
        </w:tc>
        <w:tc>
          <w:tcPr>
            <w:tcW w:w="791" w:type="dxa"/>
            <w:vAlign w:val="center"/>
          </w:tcPr>
          <w:p>
            <w:pPr>
              <w:pStyle w:val="152"/>
              <w:spacing w:line="240" w:lineRule="auto"/>
              <w:ind w:firstLine="0" w:firstLineChars="0"/>
              <w:rPr>
                <w:kern w:val="0"/>
                <w:szCs w:val="21"/>
              </w:rPr>
            </w:pPr>
            <w:r>
              <w:rPr>
                <w:rFonts w:hint="eastAsia"/>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有垃圾杂物，未及时清理，发现一次扣0.5分/次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盆花摆放整齐、造型美观、花色不协调；残花及时更换</w:t>
            </w:r>
          </w:p>
        </w:tc>
        <w:tc>
          <w:tcPr>
            <w:tcW w:w="791" w:type="dxa"/>
            <w:vAlign w:val="center"/>
          </w:tcPr>
          <w:p>
            <w:pPr>
              <w:pStyle w:val="152"/>
              <w:spacing w:line="240" w:lineRule="auto"/>
              <w:ind w:firstLine="0" w:firstLineChars="0"/>
              <w:rPr>
                <w:kern w:val="0"/>
                <w:szCs w:val="21"/>
              </w:rPr>
            </w:pPr>
            <w:r>
              <w:rPr>
                <w:rFonts w:hint="eastAsia"/>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摆放杂乱或未及时更换，发现一次扣0.5分/次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爱护维护绿化工具，摆放整齐</w:t>
            </w:r>
          </w:p>
        </w:tc>
        <w:tc>
          <w:tcPr>
            <w:tcW w:w="791" w:type="dxa"/>
            <w:vAlign w:val="center"/>
          </w:tcPr>
          <w:p>
            <w:pPr>
              <w:pStyle w:val="152"/>
              <w:spacing w:line="240" w:lineRule="auto"/>
              <w:ind w:firstLine="0" w:firstLineChars="0"/>
              <w:rPr>
                <w:kern w:val="0"/>
                <w:szCs w:val="21"/>
              </w:rPr>
            </w:pPr>
            <w:r>
              <w:rPr>
                <w:rFonts w:hint="eastAsia"/>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未按要求发现一次扣0.5分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配合学校教育，对花木挂牌</w:t>
            </w:r>
          </w:p>
        </w:tc>
        <w:tc>
          <w:tcPr>
            <w:tcW w:w="791" w:type="dxa"/>
            <w:vAlign w:val="center"/>
          </w:tcPr>
          <w:p>
            <w:pPr>
              <w:pStyle w:val="152"/>
              <w:spacing w:line="240" w:lineRule="auto"/>
              <w:ind w:firstLine="0" w:firstLineChars="0"/>
              <w:rPr>
                <w:kern w:val="0"/>
                <w:szCs w:val="21"/>
              </w:rPr>
            </w:pPr>
            <w:r>
              <w:rPr>
                <w:rFonts w:hint="eastAsia"/>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未按要求及时挂牌，发现一次扣0.5</w:t>
            </w:r>
          </w:p>
          <w:p>
            <w:pPr>
              <w:pStyle w:val="152"/>
              <w:spacing w:line="240" w:lineRule="auto"/>
              <w:ind w:firstLine="0" w:firstLineChars="0"/>
              <w:rPr>
                <w:kern w:val="0"/>
                <w:szCs w:val="21"/>
              </w:rPr>
            </w:pPr>
            <w:r>
              <w:rPr>
                <w:rFonts w:hint="eastAsia"/>
                <w:kern w:val="0"/>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restart"/>
          </w:tcPr>
          <w:p>
            <w:pPr>
              <w:pStyle w:val="152"/>
              <w:spacing w:line="240" w:lineRule="auto"/>
              <w:ind w:firstLine="0" w:firstLineChars="0"/>
              <w:rPr>
                <w:kern w:val="0"/>
                <w:szCs w:val="21"/>
              </w:rPr>
            </w:pPr>
            <w:r>
              <w:rPr>
                <w:rFonts w:hint="eastAsia"/>
                <w:kern w:val="0"/>
                <w:szCs w:val="21"/>
              </w:rPr>
              <w:t>其它5分</w:t>
            </w:r>
          </w:p>
        </w:tc>
        <w:tc>
          <w:tcPr>
            <w:tcW w:w="3456" w:type="dxa"/>
            <w:vAlign w:val="center"/>
          </w:tcPr>
          <w:p>
            <w:pPr>
              <w:pStyle w:val="152"/>
              <w:spacing w:line="240" w:lineRule="auto"/>
              <w:ind w:firstLine="0" w:firstLineChars="0"/>
              <w:rPr>
                <w:kern w:val="0"/>
                <w:szCs w:val="21"/>
              </w:rPr>
            </w:pPr>
            <w:r>
              <w:rPr>
                <w:rFonts w:hint="eastAsia"/>
                <w:kern w:val="0"/>
                <w:szCs w:val="21"/>
              </w:rPr>
              <w:t>临时工作</w:t>
            </w:r>
          </w:p>
        </w:tc>
        <w:tc>
          <w:tcPr>
            <w:tcW w:w="791" w:type="dxa"/>
            <w:vAlign w:val="center"/>
          </w:tcPr>
          <w:p>
            <w:pPr>
              <w:pStyle w:val="152"/>
              <w:spacing w:line="240" w:lineRule="auto"/>
              <w:ind w:firstLine="0" w:firstLineChars="0"/>
              <w:rPr>
                <w:kern w:val="0"/>
                <w:szCs w:val="21"/>
              </w:rPr>
            </w:pPr>
            <w:r>
              <w:rPr>
                <w:rFonts w:hint="eastAsia"/>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不服从学校安排，无端推诿、拖延，敷衍等，一次扣0.5分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服务团队的稳定性</w:t>
            </w:r>
          </w:p>
        </w:tc>
        <w:tc>
          <w:tcPr>
            <w:tcW w:w="791" w:type="dxa"/>
            <w:vAlign w:val="center"/>
          </w:tcPr>
          <w:p>
            <w:pPr>
              <w:pStyle w:val="152"/>
              <w:spacing w:line="240" w:lineRule="auto"/>
              <w:ind w:firstLine="0" w:firstLineChars="0"/>
              <w:rPr>
                <w:kern w:val="0"/>
                <w:szCs w:val="21"/>
              </w:rPr>
            </w:pPr>
            <w:r>
              <w:rPr>
                <w:rFonts w:hint="eastAsia"/>
                <w:kern w:val="0"/>
                <w:szCs w:val="21"/>
              </w:rPr>
              <w:t>3</w:t>
            </w:r>
          </w:p>
        </w:tc>
        <w:tc>
          <w:tcPr>
            <w:tcW w:w="3473" w:type="dxa"/>
            <w:vAlign w:val="center"/>
          </w:tcPr>
          <w:p>
            <w:pPr>
              <w:pStyle w:val="152"/>
              <w:spacing w:line="240" w:lineRule="auto"/>
              <w:ind w:firstLine="0" w:firstLineChars="0"/>
              <w:rPr>
                <w:kern w:val="0"/>
                <w:szCs w:val="21"/>
              </w:rPr>
            </w:pPr>
            <w:r>
              <w:rPr>
                <w:rFonts w:hint="eastAsia"/>
                <w:kern w:val="0"/>
                <w:szCs w:val="21"/>
              </w:rPr>
              <w:t>服务期每月调离或更换服务人员不得超过</w:t>
            </w:r>
            <w:r>
              <w:rPr>
                <w:kern w:val="0"/>
                <w:szCs w:val="21"/>
              </w:rPr>
              <w:t>20</w:t>
            </w:r>
            <w:r>
              <w:rPr>
                <w:rFonts w:hint="eastAsia"/>
                <w:kern w:val="0"/>
                <w:szCs w:val="21"/>
              </w:rPr>
              <w:t>%，超出</w:t>
            </w:r>
            <w:r>
              <w:rPr>
                <w:kern w:val="0"/>
                <w:szCs w:val="21"/>
              </w:rPr>
              <w:t>5%</w:t>
            </w:r>
            <w:r>
              <w:rPr>
                <w:rFonts w:hint="eastAsia"/>
                <w:kern w:val="0"/>
                <w:szCs w:val="21"/>
              </w:rPr>
              <w:t>次扣0.5分</w:t>
            </w:r>
          </w:p>
        </w:tc>
      </w:tr>
    </w:tbl>
    <w:p/>
    <w:p>
      <w:pPr>
        <w:pStyle w:val="152"/>
        <w:spacing w:line="420" w:lineRule="exact"/>
        <w:ind w:firstLine="0" w:firstLineChars="0"/>
        <w:rPr>
          <w:szCs w:val="21"/>
        </w:rPr>
      </w:pPr>
      <w:bookmarkStart w:id="271" w:name="_Hlk89761586"/>
      <w:r>
        <w:rPr>
          <w:rFonts w:hint="eastAsia"/>
          <w:szCs w:val="21"/>
        </w:rPr>
        <w:t>3.同辉（国际）小学</w:t>
      </w:r>
    </w:p>
    <w:bookmarkEnd w:id="271"/>
    <w:tbl>
      <w:tblPr>
        <w:tblStyle w:val="43"/>
        <w:tblW w:w="83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5"/>
        <w:gridCol w:w="3456"/>
        <w:gridCol w:w="791"/>
        <w:gridCol w:w="3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Align w:val="center"/>
          </w:tcPr>
          <w:p>
            <w:pPr>
              <w:pStyle w:val="152"/>
              <w:spacing w:line="420" w:lineRule="exact"/>
              <w:ind w:firstLine="0" w:firstLineChars="0"/>
              <w:rPr>
                <w:kern w:val="0"/>
                <w:szCs w:val="21"/>
              </w:rPr>
            </w:pPr>
            <w:r>
              <w:rPr>
                <w:rFonts w:hint="eastAsia"/>
                <w:kern w:val="0"/>
                <w:szCs w:val="21"/>
              </w:rPr>
              <w:t>项目</w:t>
            </w:r>
          </w:p>
        </w:tc>
        <w:tc>
          <w:tcPr>
            <w:tcW w:w="3456" w:type="dxa"/>
            <w:vAlign w:val="center"/>
          </w:tcPr>
          <w:p>
            <w:pPr>
              <w:pStyle w:val="152"/>
              <w:spacing w:line="420" w:lineRule="exact"/>
              <w:ind w:firstLine="0" w:firstLineChars="0"/>
              <w:rPr>
                <w:kern w:val="0"/>
                <w:szCs w:val="21"/>
              </w:rPr>
            </w:pPr>
            <w:r>
              <w:rPr>
                <w:rFonts w:hint="eastAsia"/>
                <w:kern w:val="0"/>
                <w:szCs w:val="21"/>
              </w:rPr>
              <w:t>服务质量标准</w:t>
            </w:r>
          </w:p>
        </w:tc>
        <w:tc>
          <w:tcPr>
            <w:tcW w:w="791" w:type="dxa"/>
            <w:vAlign w:val="center"/>
          </w:tcPr>
          <w:p>
            <w:pPr>
              <w:pStyle w:val="152"/>
              <w:spacing w:line="420" w:lineRule="exact"/>
              <w:ind w:firstLine="0" w:firstLineChars="0"/>
              <w:rPr>
                <w:kern w:val="0"/>
                <w:szCs w:val="21"/>
              </w:rPr>
            </w:pPr>
            <w:r>
              <w:rPr>
                <w:rFonts w:hint="eastAsia"/>
                <w:kern w:val="0"/>
                <w:szCs w:val="21"/>
              </w:rPr>
              <w:t>单项</w:t>
            </w:r>
          </w:p>
          <w:p>
            <w:pPr>
              <w:pStyle w:val="152"/>
              <w:spacing w:line="420" w:lineRule="exact"/>
              <w:ind w:firstLine="0" w:firstLineChars="0"/>
              <w:rPr>
                <w:kern w:val="0"/>
                <w:szCs w:val="21"/>
              </w:rPr>
            </w:pPr>
            <w:r>
              <w:rPr>
                <w:rFonts w:hint="eastAsia"/>
                <w:kern w:val="0"/>
                <w:szCs w:val="21"/>
              </w:rPr>
              <w:t>分值</w:t>
            </w:r>
          </w:p>
        </w:tc>
        <w:tc>
          <w:tcPr>
            <w:tcW w:w="3473" w:type="dxa"/>
            <w:vAlign w:val="center"/>
          </w:tcPr>
          <w:p>
            <w:pPr>
              <w:pStyle w:val="152"/>
              <w:spacing w:line="420" w:lineRule="exact"/>
              <w:ind w:firstLine="0" w:firstLineChars="0"/>
              <w:rPr>
                <w:kern w:val="0"/>
                <w:szCs w:val="21"/>
              </w:rPr>
            </w:pPr>
            <w:r>
              <w:rPr>
                <w:rFonts w:hint="eastAsia"/>
                <w:kern w:val="0"/>
                <w:szCs w:val="21"/>
              </w:rPr>
              <w:t>监督考评扣分标准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restart"/>
            <w:vAlign w:val="center"/>
          </w:tcPr>
          <w:p>
            <w:pPr>
              <w:pStyle w:val="152"/>
              <w:spacing w:line="420" w:lineRule="exact"/>
              <w:ind w:firstLine="0" w:firstLineChars="0"/>
              <w:rPr>
                <w:kern w:val="0"/>
                <w:szCs w:val="21"/>
              </w:rPr>
            </w:pPr>
            <w:r>
              <w:rPr>
                <w:rFonts w:hint="eastAsia"/>
                <w:kern w:val="0"/>
                <w:szCs w:val="21"/>
              </w:rPr>
              <w:t>主管</w:t>
            </w:r>
          </w:p>
          <w:p>
            <w:pPr>
              <w:pStyle w:val="152"/>
              <w:spacing w:line="420" w:lineRule="exact"/>
              <w:ind w:firstLine="0" w:firstLineChars="0"/>
              <w:rPr>
                <w:kern w:val="0"/>
                <w:szCs w:val="21"/>
              </w:rPr>
            </w:pPr>
            <w:r>
              <w:rPr>
                <w:rFonts w:hint="eastAsia"/>
                <w:kern w:val="0"/>
                <w:szCs w:val="21"/>
              </w:rPr>
              <w:t>(20分）</w:t>
            </w:r>
          </w:p>
        </w:tc>
        <w:tc>
          <w:tcPr>
            <w:tcW w:w="3456" w:type="dxa"/>
            <w:vAlign w:val="center"/>
          </w:tcPr>
          <w:p>
            <w:pPr>
              <w:pStyle w:val="152"/>
              <w:spacing w:line="420" w:lineRule="exact"/>
              <w:ind w:firstLine="0" w:firstLineChars="0"/>
              <w:rPr>
                <w:kern w:val="0"/>
                <w:szCs w:val="21"/>
              </w:rPr>
            </w:pPr>
            <w:r>
              <w:rPr>
                <w:rFonts w:hint="eastAsia"/>
                <w:kern w:val="0"/>
                <w:szCs w:val="21"/>
              </w:rPr>
              <w:t>工作日在岗情况</w:t>
            </w:r>
          </w:p>
        </w:tc>
        <w:tc>
          <w:tcPr>
            <w:tcW w:w="791" w:type="dxa"/>
            <w:vAlign w:val="center"/>
          </w:tcPr>
          <w:p>
            <w:pPr>
              <w:pStyle w:val="152"/>
              <w:spacing w:line="420" w:lineRule="exact"/>
              <w:ind w:firstLine="0" w:firstLineChars="0"/>
              <w:rPr>
                <w:kern w:val="0"/>
                <w:szCs w:val="21"/>
              </w:rPr>
            </w:pPr>
            <w:r>
              <w:rPr>
                <w:rFonts w:hint="eastAsia"/>
                <w:kern w:val="0"/>
                <w:szCs w:val="21"/>
              </w:rPr>
              <w:t>4分</w:t>
            </w:r>
          </w:p>
        </w:tc>
        <w:tc>
          <w:tcPr>
            <w:tcW w:w="3473" w:type="dxa"/>
            <w:vAlign w:val="center"/>
          </w:tcPr>
          <w:p>
            <w:pPr>
              <w:pStyle w:val="152"/>
              <w:spacing w:line="420" w:lineRule="exact"/>
              <w:ind w:firstLine="0" w:firstLineChars="0"/>
              <w:rPr>
                <w:kern w:val="0"/>
                <w:szCs w:val="21"/>
              </w:rPr>
            </w:pPr>
            <w:r>
              <w:rPr>
                <w:rFonts w:hint="eastAsia"/>
                <w:kern w:val="0"/>
                <w:szCs w:val="21"/>
              </w:rPr>
              <w:t>缺岗一次扣1分,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vAlign w:val="center"/>
          </w:tcPr>
          <w:p>
            <w:pPr>
              <w:pStyle w:val="152"/>
              <w:spacing w:line="420" w:lineRule="exact"/>
              <w:ind w:firstLine="0" w:firstLineChars="0"/>
              <w:rPr>
                <w:kern w:val="0"/>
                <w:szCs w:val="21"/>
              </w:rPr>
            </w:pPr>
          </w:p>
        </w:tc>
        <w:tc>
          <w:tcPr>
            <w:tcW w:w="3456" w:type="dxa"/>
            <w:vAlign w:val="center"/>
          </w:tcPr>
          <w:p>
            <w:pPr>
              <w:pStyle w:val="152"/>
              <w:spacing w:line="420" w:lineRule="exact"/>
              <w:ind w:firstLine="0" w:firstLineChars="0"/>
              <w:rPr>
                <w:kern w:val="0"/>
                <w:szCs w:val="21"/>
              </w:rPr>
            </w:pPr>
            <w:r>
              <w:rPr>
                <w:rFonts w:hint="eastAsia"/>
                <w:kern w:val="0"/>
                <w:szCs w:val="21"/>
              </w:rPr>
              <w:t>对位点员工的日常工作督促和检查情况</w:t>
            </w:r>
          </w:p>
        </w:tc>
        <w:tc>
          <w:tcPr>
            <w:tcW w:w="791" w:type="dxa"/>
            <w:vAlign w:val="center"/>
          </w:tcPr>
          <w:p>
            <w:pPr>
              <w:pStyle w:val="152"/>
              <w:spacing w:line="420" w:lineRule="exact"/>
              <w:ind w:firstLine="0" w:firstLineChars="0"/>
              <w:rPr>
                <w:kern w:val="0"/>
                <w:szCs w:val="21"/>
              </w:rPr>
            </w:pPr>
            <w:r>
              <w:rPr>
                <w:rFonts w:hint="eastAsia"/>
                <w:kern w:val="0"/>
                <w:szCs w:val="21"/>
              </w:rPr>
              <w:t>10分</w:t>
            </w:r>
          </w:p>
        </w:tc>
        <w:tc>
          <w:tcPr>
            <w:tcW w:w="3473" w:type="dxa"/>
            <w:vAlign w:val="center"/>
          </w:tcPr>
          <w:p>
            <w:pPr>
              <w:pStyle w:val="152"/>
              <w:spacing w:line="420" w:lineRule="exact"/>
              <w:ind w:firstLine="0" w:firstLineChars="0"/>
              <w:rPr>
                <w:kern w:val="0"/>
                <w:szCs w:val="21"/>
              </w:rPr>
            </w:pPr>
            <w:r>
              <w:rPr>
                <w:rFonts w:hint="eastAsia"/>
                <w:kern w:val="0"/>
                <w:szCs w:val="21"/>
              </w:rPr>
              <w:t xml:space="preserve">对员工疏于管理\检查不到位,一次扣 </w:t>
            </w:r>
            <w:r>
              <w:rPr>
                <w:kern w:val="0"/>
                <w:szCs w:val="21"/>
              </w:rPr>
              <w:t xml:space="preserve"> </w:t>
            </w:r>
            <w:r>
              <w:rPr>
                <w:rFonts w:hint="eastAsia"/>
                <w:kern w:val="0"/>
                <w:szCs w:val="21"/>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vAlign w:val="center"/>
          </w:tcPr>
          <w:p>
            <w:pPr>
              <w:pStyle w:val="152"/>
              <w:spacing w:line="420" w:lineRule="exact"/>
              <w:ind w:firstLine="0" w:firstLineChars="0"/>
              <w:rPr>
                <w:kern w:val="0"/>
                <w:szCs w:val="21"/>
              </w:rPr>
            </w:pPr>
          </w:p>
        </w:tc>
        <w:tc>
          <w:tcPr>
            <w:tcW w:w="3456" w:type="dxa"/>
            <w:vAlign w:val="center"/>
          </w:tcPr>
          <w:p>
            <w:pPr>
              <w:pStyle w:val="152"/>
              <w:spacing w:line="420" w:lineRule="exact"/>
              <w:ind w:firstLine="0" w:firstLineChars="0"/>
              <w:rPr>
                <w:kern w:val="0"/>
                <w:szCs w:val="21"/>
              </w:rPr>
            </w:pPr>
            <w:r>
              <w:rPr>
                <w:rFonts w:hint="eastAsia"/>
                <w:kern w:val="0"/>
                <w:szCs w:val="21"/>
              </w:rPr>
              <w:t>对员工的培训</w:t>
            </w:r>
          </w:p>
        </w:tc>
        <w:tc>
          <w:tcPr>
            <w:tcW w:w="791" w:type="dxa"/>
            <w:vAlign w:val="center"/>
          </w:tcPr>
          <w:p>
            <w:pPr>
              <w:pStyle w:val="152"/>
              <w:spacing w:line="420" w:lineRule="exact"/>
              <w:ind w:firstLine="0" w:firstLineChars="0"/>
              <w:rPr>
                <w:kern w:val="0"/>
                <w:szCs w:val="21"/>
              </w:rPr>
            </w:pPr>
            <w:r>
              <w:rPr>
                <w:rFonts w:hint="eastAsia"/>
                <w:kern w:val="0"/>
                <w:szCs w:val="21"/>
              </w:rPr>
              <w:t>6分</w:t>
            </w:r>
          </w:p>
        </w:tc>
        <w:tc>
          <w:tcPr>
            <w:tcW w:w="3473" w:type="dxa"/>
            <w:vAlign w:val="center"/>
          </w:tcPr>
          <w:p>
            <w:pPr>
              <w:pStyle w:val="152"/>
              <w:spacing w:line="420" w:lineRule="exact"/>
              <w:ind w:firstLine="0" w:firstLineChars="0"/>
              <w:rPr>
                <w:kern w:val="0"/>
                <w:szCs w:val="21"/>
              </w:rPr>
            </w:pPr>
            <w:r>
              <w:rPr>
                <w:rFonts w:hint="eastAsia"/>
                <w:kern w:val="0"/>
                <w:szCs w:val="21"/>
              </w:rPr>
              <w:t>对员工的相关技能和礼仪培训不到位,一次扣2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restart"/>
            <w:vAlign w:val="center"/>
          </w:tcPr>
          <w:p>
            <w:pPr>
              <w:pStyle w:val="152"/>
              <w:spacing w:line="420" w:lineRule="exact"/>
              <w:ind w:firstLine="0" w:firstLineChars="0"/>
              <w:rPr>
                <w:kern w:val="0"/>
                <w:szCs w:val="21"/>
              </w:rPr>
            </w:pPr>
          </w:p>
          <w:p>
            <w:pPr>
              <w:pStyle w:val="152"/>
              <w:spacing w:line="420" w:lineRule="exact"/>
              <w:ind w:firstLine="0" w:firstLineChars="0"/>
              <w:rPr>
                <w:kern w:val="0"/>
                <w:szCs w:val="21"/>
              </w:rPr>
            </w:pPr>
          </w:p>
          <w:p>
            <w:pPr>
              <w:pStyle w:val="152"/>
              <w:spacing w:line="420" w:lineRule="exact"/>
              <w:ind w:firstLine="0" w:firstLineChars="0"/>
              <w:rPr>
                <w:kern w:val="0"/>
                <w:szCs w:val="21"/>
              </w:rPr>
            </w:pPr>
          </w:p>
          <w:p>
            <w:pPr>
              <w:pStyle w:val="152"/>
              <w:spacing w:line="420" w:lineRule="exact"/>
              <w:ind w:firstLine="0" w:firstLineChars="0"/>
              <w:rPr>
                <w:kern w:val="0"/>
                <w:szCs w:val="21"/>
              </w:rPr>
            </w:pPr>
          </w:p>
          <w:p>
            <w:pPr>
              <w:pStyle w:val="152"/>
              <w:spacing w:line="420" w:lineRule="exact"/>
              <w:ind w:firstLine="0" w:firstLineChars="0"/>
              <w:rPr>
                <w:kern w:val="0"/>
                <w:szCs w:val="21"/>
              </w:rPr>
            </w:pPr>
          </w:p>
          <w:p>
            <w:pPr>
              <w:pStyle w:val="152"/>
              <w:spacing w:line="420" w:lineRule="exact"/>
              <w:ind w:firstLine="0" w:firstLineChars="0"/>
              <w:rPr>
                <w:kern w:val="0"/>
                <w:szCs w:val="21"/>
              </w:rPr>
            </w:pPr>
          </w:p>
          <w:p>
            <w:pPr>
              <w:pStyle w:val="152"/>
              <w:spacing w:line="420" w:lineRule="exact"/>
              <w:ind w:firstLine="0" w:firstLineChars="0"/>
              <w:rPr>
                <w:kern w:val="0"/>
                <w:szCs w:val="21"/>
              </w:rPr>
            </w:pPr>
          </w:p>
          <w:p>
            <w:pPr>
              <w:pStyle w:val="152"/>
              <w:spacing w:line="420" w:lineRule="exact"/>
              <w:ind w:firstLine="0" w:firstLineChars="0"/>
              <w:rPr>
                <w:kern w:val="0"/>
                <w:szCs w:val="21"/>
              </w:rPr>
            </w:pPr>
          </w:p>
          <w:p>
            <w:pPr>
              <w:pStyle w:val="152"/>
              <w:spacing w:line="420" w:lineRule="exact"/>
              <w:ind w:firstLine="0" w:firstLineChars="0"/>
              <w:rPr>
                <w:kern w:val="0"/>
                <w:szCs w:val="21"/>
              </w:rPr>
            </w:pPr>
          </w:p>
          <w:p>
            <w:pPr>
              <w:pStyle w:val="152"/>
              <w:spacing w:line="420" w:lineRule="exact"/>
              <w:ind w:firstLine="0" w:firstLineChars="0"/>
              <w:rPr>
                <w:kern w:val="0"/>
                <w:szCs w:val="21"/>
              </w:rPr>
            </w:pPr>
          </w:p>
          <w:p>
            <w:pPr>
              <w:pStyle w:val="152"/>
              <w:spacing w:line="420" w:lineRule="exact"/>
              <w:ind w:firstLine="0" w:firstLineChars="0"/>
              <w:rPr>
                <w:kern w:val="0"/>
                <w:szCs w:val="21"/>
              </w:rPr>
            </w:pPr>
          </w:p>
          <w:p>
            <w:pPr>
              <w:pStyle w:val="152"/>
              <w:spacing w:line="420" w:lineRule="exact"/>
              <w:ind w:firstLine="0" w:firstLineChars="0"/>
              <w:rPr>
                <w:kern w:val="0"/>
                <w:szCs w:val="21"/>
              </w:rPr>
            </w:pPr>
          </w:p>
          <w:p>
            <w:pPr>
              <w:pStyle w:val="152"/>
              <w:spacing w:line="420" w:lineRule="exact"/>
              <w:ind w:firstLine="0" w:firstLineChars="0"/>
              <w:rPr>
                <w:kern w:val="0"/>
                <w:szCs w:val="21"/>
              </w:rPr>
            </w:pPr>
          </w:p>
          <w:p>
            <w:pPr>
              <w:pStyle w:val="152"/>
              <w:spacing w:line="420" w:lineRule="exact"/>
              <w:ind w:firstLine="0" w:firstLineChars="0"/>
              <w:rPr>
                <w:kern w:val="0"/>
                <w:szCs w:val="21"/>
              </w:rPr>
            </w:pPr>
          </w:p>
          <w:p>
            <w:pPr>
              <w:pStyle w:val="152"/>
              <w:spacing w:line="420" w:lineRule="exact"/>
              <w:ind w:firstLine="0" w:firstLineChars="0"/>
              <w:rPr>
                <w:kern w:val="0"/>
                <w:szCs w:val="21"/>
              </w:rPr>
            </w:pPr>
            <w:r>
              <w:rPr>
                <w:rFonts w:hint="eastAsia"/>
                <w:kern w:val="0"/>
                <w:szCs w:val="21"/>
              </w:rPr>
              <w:t>安全保卫管理</w:t>
            </w:r>
          </w:p>
          <w:p>
            <w:pPr>
              <w:pStyle w:val="152"/>
              <w:spacing w:line="420" w:lineRule="exact"/>
              <w:ind w:firstLine="0" w:firstLineChars="0"/>
              <w:rPr>
                <w:kern w:val="0"/>
                <w:szCs w:val="21"/>
              </w:rPr>
            </w:pPr>
            <w:r>
              <w:rPr>
                <w:rFonts w:hint="eastAsia"/>
                <w:kern w:val="0"/>
                <w:szCs w:val="21"/>
              </w:rPr>
              <w:t>（65分）</w:t>
            </w:r>
          </w:p>
        </w:tc>
        <w:tc>
          <w:tcPr>
            <w:tcW w:w="3456" w:type="dxa"/>
            <w:vAlign w:val="center"/>
          </w:tcPr>
          <w:p>
            <w:pPr>
              <w:pStyle w:val="152"/>
              <w:spacing w:line="420" w:lineRule="exact"/>
              <w:ind w:firstLine="0" w:firstLineChars="0"/>
              <w:rPr>
                <w:kern w:val="0"/>
                <w:szCs w:val="21"/>
              </w:rPr>
            </w:pPr>
            <w:r>
              <w:rPr>
                <w:rFonts w:hint="eastAsia"/>
                <w:kern w:val="0"/>
                <w:szCs w:val="21"/>
              </w:rPr>
              <w:t>所聘用的秩序维护人员必须训练有素，有秩序维护队全管理制度和职责，安全防患措施，确秩序维护全稳定。</w:t>
            </w:r>
          </w:p>
        </w:tc>
        <w:tc>
          <w:tcPr>
            <w:tcW w:w="791" w:type="dxa"/>
            <w:vAlign w:val="center"/>
          </w:tcPr>
          <w:p>
            <w:pPr>
              <w:pStyle w:val="152"/>
              <w:spacing w:line="420" w:lineRule="exact"/>
              <w:ind w:firstLine="0" w:firstLineChars="0"/>
              <w:rPr>
                <w:kern w:val="0"/>
                <w:szCs w:val="21"/>
              </w:rPr>
            </w:pPr>
            <w:r>
              <w:rPr>
                <w:rFonts w:hint="eastAsia"/>
                <w:kern w:val="0"/>
                <w:szCs w:val="21"/>
              </w:rPr>
              <w:t>6分</w:t>
            </w:r>
          </w:p>
        </w:tc>
        <w:tc>
          <w:tcPr>
            <w:tcW w:w="3473" w:type="dxa"/>
            <w:vAlign w:val="center"/>
          </w:tcPr>
          <w:p>
            <w:pPr>
              <w:pStyle w:val="152"/>
              <w:spacing w:line="420" w:lineRule="exact"/>
              <w:ind w:firstLine="0" w:firstLineChars="0"/>
              <w:rPr>
                <w:kern w:val="0"/>
                <w:szCs w:val="21"/>
              </w:rPr>
            </w:pPr>
            <w:r>
              <w:rPr>
                <w:rFonts w:hint="eastAsia"/>
                <w:kern w:val="0"/>
                <w:szCs w:val="21"/>
              </w:rPr>
              <w:t>管理制度、职责、措施不健全，每缺1项扣 1分，所聘人员证照不全，每缺1项扣 1分/人，发生安全事故，一次扣3</w:t>
            </w:r>
            <w:r>
              <w:rPr>
                <w:kern w:val="0"/>
                <w:szCs w:val="21"/>
              </w:rPr>
              <w:t xml:space="preserve"> </w:t>
            </w:r>
            <w:r>
              <w:rPr>
                <w:rFonts w:hint="eastAsia"/>
                <w:kern w:val="0"/>
                <w:szCs w:val="21"/>
              </w:rPr>
              <w:t>分，发生重大安全事故，扣6 分；发生重大安全事故且有严重舆情，直接降等，且一票否决。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420" w:lineRule="exact"/>
              <w:ind w:firstLine="0" w:firstLineChars="0"/>
              <w:rPr>
                <w:kern w:val="0"/>
                <w:szCs w:val="21"/>
              </w:rPr>
            </w:pPr>
          </w:p>
        </w:tc>
        <w:tc>
          <w:tcPr>
            <w:tcW w:w="3456" w:type="dxa"/>
            <w:vAlign w:val="center"/>
          </w:tcPr>
          <w:p>
            <w:pPr>
              <w:pStyle w:val="152"/>
              <w:spacing w:line="420" w:lineRule="exact"/>
              <w:ind w:firstLine="0" w:firstLineChars="0"/>
              <w:rPr>
                <w:kern w:val="0"/>
                <w:szCs w:val="21"/>
              </w:rPr>
            </w:pPr>
            <w:r>
              <w:rPr>
                <w:rFonts w:hint="eastAsia"/>
                <w:kern w:val="0"/>
                <w:szCs w:val="21"/>
              </w:rPr>
              <w:t>秩序维护队员必须熟悉物业环境，上班时按规定着装和佩戴装备，文明值勤，不与职工、到访人员发生矛盾和冲突。</w:t>
            </w:r>
          </w:p>
        </w:tc>
        <w:tc>
          <w:tcPr>
            <w:tcW w:w="791" w:type="dxa"/>
            <w:vAlign w:val="center"/>
          </w:tcPr>
          <w:p>
            <w:pPr>
              <w:pStyle w:val="152"/>
              <w:spacing w:line="420" w:lineRule="exact"/>
              <w:ind w:firstLine="0" w:firstLineChars="0"/>
              <w:rPr>
                <w:kern w:val="0"/>
                <w:szCs w:val="21"/>
              </w:rPr>
            </w:pPr>
            <w:r>
              <w:rPr>
                <w:rFonts w:hint="eastAsia"/>
                <w:kern w:val="0"/>
                <w:szCs w:val="21"/>
              </w:rPr>
              <w:t>11分</w:t>
            </w:r>
          </w:p>
        </w:tc>
        <w:tc>
          <w:tcPr>
            <w:tcW w:w="3473" w:type="dxa"/>
            <w:vAlign w:val="center"/>
          </w:tcPr>
          <w:p>
            <w:pPr>
              <w:pStyle w:val="152"/>
              <w:spacing w:line="420" w:lineRule="exact"/>
              <w:ind w:firstLine="0" w:firstLineChars="0"/>
              <w:rPr>
                <w:kern w:val="0"/>
                <w:szCs w:val="21"/>
              </w:rPr>
            </w:pPr>
            <w:r>
              <w:rPr>
                <w:rFonts w:hint="eastAsia"/>
                <w:kern w:val="0"/>
                <w:szCs w:val="21"/>
              </w:rPr>
              <w:t>发现队员着装不整齐，每次扣1分/人，不礼貌行为，每次扣1分/人，无理与他人发生冲突每次扣2分/人，发生两次建议辞退。直至该项分值扣完为止。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420" w:lineRule="exact"/>
              <w:ind w:firstLine="0" w:firstLineChars="0"/>
              <w:rPr>
                <w:kern w:val="0"/>
                <w:szCs w:val="21"/>
              </w:rPr>
            </w:pPr>
          </w:p>
        </w:tc>
        <w:tc>
          <w:tcPr>
            <w:tcW w:w="3456" w:type="dxa"/>
            <w:vAlign w:val="center"/>
          </w:tcPr>
          <w:p>
            <w:pPr>
              <w:pStyle w:val="152"/>
              <w:spacing w:line="420" w:lineRule="exact"/>
              <w:ind w:firstLine="0" w:firstLineChars="0"/>
              <w:rPr>
                <w:kern w:val="0"/>
                <w:szCs w:val="21"/>
              </w:rPr>
            </w:pPr>
            <w:r>
              <w:rPr>
                <w:rFonts w:hint="eastAsia"/>
                <w:kern w:val="0"/>
                <w:szCs w:val="21"/>
              </w:rPr>
              <w:t>秩序维护必须实行24小时值班巡逻，监控抽查，认真履行职责，机动灵活，加强重点区域和人少到的部位巡逻。</w:t>
            </w:r>
          </w:p>
        </w:tc>
        <w:tc>
          <w:tcPr>
            <w:tcW w:w="791" w:type="dxa"/>
            <w:vAlign w:val="center"/>
          </w:tcPr>
          <w:p>
            <w:pPr>
              <w:pStyle w:val="152"/>
              <w:spacing w:line="420" w:lineRule="exact"/>
              <w:ind w:firstLine="0" w:firstLineChars="0"/>
              <w:rPr>
                <w:kern w:val="0"/>
                <w:szCs w:val="21"/>
              </w:rPr>
            </w:pPr>
            <w:r>
              <w:rPr>
                <w:rFonts w:hint="eastAsia"/>
                <w:kern w:val="0"/>
                <w:szCs w:val="21"/>
              </w:rPr>
              <w:t>5分</w:t>
            </w:r>
          </w:p>
        </w:tc>
        <w:tc>
          <w:tcPr>
            <w:tcW w:w="3473" w:type="dxa"/>
            <w:vAlign w:val="center"/>
          </w:tcPr>
          <w:p>
            <w:pPr>
              <w:pStyle w:val="152"/>
              <w:spacing w:line="420" w:lineRule="exact"/>
              <w:ind w:firstLine="0" w:firstLineChars="0"/>
              <w:rPr>
                <w:kern w:val="0"/>
                <w:szCs w:val="21"/>
              </w:rPr>
            </w:pPr>
            <w:r>
              <w:rPr>
                <w:rFonts w:hint="eastAsia"/>
                <w:kern w:val="0"/>
                <w:szCs w:val="21"/>
              </w:rPr>
              <w:t>查值班巡逻日志，当值发生事件，无记录，扣2分/次，记录不规范，扣1分/次，如反映巡逻不到位，扣1分/次，，巡逻乘座电梯，扣1分/次。直至该项分值扣完为止。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420" w:lineRule="exact"/>
              <w:ind w:firstLine="0" w:firstLineChars="0"/>
              <w:rPr>
                <w:kern w:val="0"/>
                <w:szCs w:val="21"/>
              </w:rPr>
            </w:pPr>
          </w:p>
        </w:tc>
        <w:tc>
          <w:tcPr>
            <w:tcW w:w="3456" w:type="dxa"/>
            <w:vAlign w:val="center"/>
          </w:tcPr>
          <w:p>
            <w:pPr>
              <w:pStyle w:val="152"/>
              <w:spacing w:line="420" w:lineRule="exact"/>
              <w:ind w:firstLine="0" w:firstLineChars="0"/>
              <w:rPr>
                <w:kern w:val="0"/>
                <w:szCs w:val="21"/>
              </w:rPr>
            </w:pPr>
            <w:r>
              <w:rPr>
                <w:rFonts w:hint="eastAsia"/>
                <w:kern w:val="0"/>
                <w:szCs w:val="21"/>
              </w:rPr>
              <w:t>做好重大活动会议的安全保卫工作，圆满完成交办的任务。</w:t>
            </w:r>
          </w:p>
        </w:tc>
        <w:tc>
          <w:tcPr>
            <w:tcW w:w="791" w:type="dxa"/>
            <w:vAlign w:val="center"/>
          </w:tcPr>
          <w:p>
            <w:pPr>
              <w:pStyle w:val="152"/>
              <w:spacing w:line="420" w:lineRule="exact"/>
              <w:ind w:firstLine="0" w:firstLineChars="0"/>
              <w:rPr>
                <w:kern w:val="0"/>
                <w:szCs w:val="21"/>
              </w:rPr>
            </w:pPr>
            <w:r>
              <w:rPr>
                <w:rFonts w:hint="eastAsia"/>
                <w:kern w:val="0"/>
                <w:szCs w:val="21"/>
              </w:rPr>
              <w:t>4分</w:t>
            </w:r>
          </w:p>
        </w:tc>
        <w:tc>
          <w:tcPr>
            <w:tcW w:w="3473" w:type="dxa"/>
            <w:vAlign w:val="center"/>
          </w:tcPr>
          <w:p>
            <w:pPr>
              <w:pStyle w:val="152"/>
              <w:spacing w:line="420" w:lineRule="exact"/>
              <w:ind w:firstLine="0" w:firstLineChars="0"/>
              <w:rPr>
                <w:kern w:val="0"/>
                <w:szCs w:val="21"/>
              </w:rPr>
            </w:pPr>
            <w:r>
              <w:rPr>
                <w:rFonts w:hint="eastAsia"/>
                <w:kern w:val="0"/>
                <w:szCs w:val="21"/>
              </w:rPr>
              <w:t>因安全保卫工作失误，造成不良影响，扣2分/次，。直至该项分值扣完为止。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420" w:lineRule="exact"/>
              <w:ind w:firstLine="0" w:firstLineChars="0"/>
              <w:rPr>
                <w:kern w:val="0"/>
                <w:szCs w:val="21"/>
              </w:rPr>
            </w:pPr>
          </w:p>
        </w:tc>
        <w:tc>
          <w:tcPr>
            <w:tcW w:w="3456" w:type="dxa"/>
            <w:vAlign w:val="center"/>
          </w:tcPr>
          <w:p>
            <w:pPr>
              <w:pStyle w:val="152"/>
              <w:spacing w:line="420" w:lineRule="exact"/>
              <w:ind w:firstLine="0" w:firstLineChars="0"/>
              <w:rPr>
                <w:kern w:val="0"/>
                <w:szCs w:val="21"/>
              </w:rPr>
            </w:pPr>
            <w:r>
              <w:rPr>
                <w:rFonts w:hint="eastAsia"/>
                <w:kern w:val="0"/>
                <w:szCs w:val="21"/>
              </w:rPr>
              <w:t>严格执行登记制度，凡进入校内的外来人员应询问来访目的，查验有关证件，做好疫情防控措施，并进行登记、扫码。</w:t>
            </w:r>
          </w:p>
        </w:tc>
        <w:tc>
          <w:tcPr>
            <w:tcW w:w="791" w:type="dxa"/>
            <w:vAlign w:val="center"/>
          </w:tcPr>
          <w:p>
            <w:pPr>
              <w:pStyle w:val="152"/>
              <w:spacing w:line="420" w:lineRule="exact"/>
              <w:ind w:firstLine="0" w:firstLineChars="0"/>
              <w:rPr>
                <w:kern w:val="0"/>
                <w:szCs w:val="21"/>
              </w:rPr>
            </w:pPr>
            <w:r>
              <w:rPr>
                <w:rFonts w:hint="eastAsia"/>
                <w:kern w:val="0"/>
                <w:szCs w:val="21"/>
              </w:rPr>
              <w:t>9分</w:t>
            </w:r>
          </w:p>
        </w:tc>
        <w:tc>
          <w:tcPr>
            <w:tcW w:w="3473" w:type="dxa"/>
            <w:vAlign w:val="center"/>
          </w:tcPr>
          <w:p>
            <w:pPr>
              <w:pStyle w:val="152"/>
              <w:spacing w:line="420" w:lineRule="exact"/>
              <w:ind w:firstLine="0" w:firstLineChars="0"/>
              <w:rPr>
                <w:kern w:val="0"/>
                <w:szCs w:val="21"/>
              </w:rPr>
            </w:pPr>
            <w:r>
              <w:rPr>
                <w:rFonts w:hint="eastAsia"/>
                <w:kern w:val="0"/>
                <w:szCs w:val="21"/>
              </w:rPr>
              <w:t>未登记每人扣2分/次，未按当前疫情防控要求查验，扣2分/次，因工作失误，让无关人员进入校园，扣3分/次，，直至该项分值扣完为止。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420" w:lineRule="exact"/>
              <w:ind w:firstLine="0" w:firstLineChars="0"/>
              <w:rPr>
                <w:kern w:val="0"/>
                <w:szCs w:val="21"/>
              </w:rPr>
            </w:pPr>
          </w:p>
        </w:tc>
        <w:tc>
          <w:tcPr>
            <w:tcW w:w="3456" w:type="dxa"/>
            <w:vAlign w:val="center"/>
          </w:tcPr>
          <w:p>
            <w:pPr>
              <w:pStyle w:val="152"/>
              <w:spacing w:line="420" w:lineRule="exact"/>
              <w:ind w:firstLine="0" w:firstLineChars="0"/>
              <w:rPr>
                <w:kern w:val="0"/>
                <w:szCs w:val="21"/>
              </w:rPr>
            </w:pPr>
            <w:r>
              <w:rPr>
                <w:rFonts w:hint="eastAsia"/>
                <w:kern w:val="0"/>
                <w:szCs w:val="21"/>
              </w:rPr>
              <w:t>定期组织安全教育；及时发现各类安全隐患，确保不发生物品被盗和各类案件及安全事故。</w:t>
            </w:r>
          </w:p>
        </w:tc>
        <w:tc>
          <w:tcPr>
            <w:tcW w:w="791" w:type="dxa"/>
            <w:vAlign w:val="center"/>
          </w:tcPr>
          <w:p>
            <w:pPr>
              <w:pStyle w:val="152"/>
              <w:spacing w:line="420" w:lineRule="exact"/>
              <w:ind w:firstLine="0" w:firstLineChars="0"/>
              <w:rPr>
                <w:kern w:val="0"/>
                <w:szCs w:val="21"/>
              </w:rPr>
            </w:pPr>
            <w:r>
              <w:rPr>
                <w:rFonts w:hint="eastAsia"/>
                <w:kern w:val="0"/>
                <w:szCs w:val="21"/>
              </w:rPr>
              <w:t>3分</w:t>
            </w:r>
          </w:p>
        </w:tc>
        <w:tc>
          <w:tcPr>
            <w:tcW w:w="3473" w:type="dxa"/>
            <w:vAlign w:val="center"/>
          </w:tcPr>
          <w:p>
            <w:pPr>
              <w:pStyle w:val="152"/>
              <w:spacing w:line="420" w:lineRule="exact"/>
              <w:ind w:firstLine="0" w:firstLineChars="0"/>
              <w:rPr>
                <w:kern w:val="0"/>
                <w:szCs w:val="21"/>
              </w:rPr>
            </w:pPr>
            <w:r>
              <w:rPr>
                <w:rFonts w:hint="eastAsia"/>
                <w:kern w:val="0"/>
                <w:szCs w:val="21"/>
              </w:rPr>
              <w:t>无安全教育（查记录），扣1分/次，，发生手机、钱包、电脑等被盗事件，扣2分/次。发生财产被盗案或秩序维护员内部自盗一次，扣3分/次，，并追究管理管理人员的责任。直至该项分值扣完为止。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420" w:lineRule="exact"/>
              <w:ind w:firstLine="0" w:firstLineChars="0"/>
              <w:rPr>
                <w:kern w:val="0"/>
                <w:szCs w:val="21"/>
              </w:rPr>
            </w:pPr>
          </w:p>
        </w:tc>
        <w:tc>
          <w:tcPr>
            <w:tcW w:w="3456" w:type="dxa"/>
            <w:vAlign w:val="center"/>
          </w:tcPr>
          <w:p>
            <w:pPr>
              <w:pStyle w:val="152"/>
              <w:spacing w:line="420" w:lineRule="exact"/>
              <w:ind w:firstLine="0" w:firstLineChars="0"/>
              <w:rPr>
                <w:kern w:val="0"/>
                <w:szCs w:val="21"/>
              </w:rPr>
            </w:pPr>
            <w:r>
              <w:rPr>
                <w:rFonts w:hint="eastAsia"/>
                <w:kern w:val="0"/>
                <w:szCs w:val="21"/>
              </w:rPr>
              <w:t>协助搬运家具时，必须轻移轻放，无损坏家具和地板。</w:t>
            </w:r>
          </w:p>
        </w:tc>
        <w:tc>
          <w:tcPr>
            <w:tcW w:w="791" w:type="dxa"/>
            <w:vAlign w:val="center"/>
          </w:tcPr>
          <w:p>
            <w:pPr>
              <w:pStyle w:val="152"/>
              <w:spacing w:line="420" w:lineRule="exact"/>
              <w:ind w:firstLine="0" w:firstLineChars="0"/>
              <w:rPr>
                <w:kern w:val="0"/>
                <w:szCs w:val="21"/>
              </w:rPr>
            </w:pPr>
            <w:r>
              <w:rPr>
                <w:rFonts w:hint="eastAsia"/>
                <w:kern w:val="0"/>
                <w:szCs w:val="21"/>
              </w:rPr>
              <w:t>2分</w:t>
            </w:r>
          </w:p>
        </w:tc>
        <w:tc>
          <w:tcPr>
            <w:tcW w:w="3473" w:type="dxa"/>
            <w:vAlign w:val="center"/>
          </w:tcPr>
          <w:p>
            <w:pPr>
              <w:pStyle w:val="152"/>
              <w:spacing w:line="420" w:lineRule="exact"/>
              <w:ind w:firstLine="0" w:firstLineChars="0"/>
              <w:rPr>
                <w:kern w:val="0"/>
                <w:szCs w:val="21"/>
              </w:rPr>
            </w:pPr>
            <w:r>
              <w:rPr>
                <w:rFonts w:hint="eastAsia"/>
                <w:kern w:val="0"/>
                <w:szCs w:val="21"/>
              </w:rPr>
              <w:t>造成家具或地板损坏，扣1分/次，并承担10%维修费用。直至该项分值扣完为止。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420" w:lineRule="exact"/>
              <w:ind w:firstLine="0" w:firstLineChars="0"/>
              <w:rPr>
                <w:kern w:val="0"/>
                <w:szCs w:val="21"/>
              </w:rPr>
            </w:pPr>
          </w:p>
        </w:tc>
        <w:tc>
          <w:tcPr>
            <w:tcW w:w="3456" w:type="dxa"/>
            <w:vAlign w:val="center"/>
          </w:tcPr>
          <w:p>
            <w:pPr>
              <w:pStyle w:val="152"/>
              <w:spacing w:line="420" w:lineRule="exact"/>
              <w:ind w:firstLine="0" w:firstLineChars="0"/>
              <w:rPr>
                <w:kern w:val="0"/>
                <w:szCs w:val="21"/>
              </w:rPr>
            </w:pPr>
            <w:r>
              <w:rPr>
                <w:rFonts w:hint="eastAsia"/>
                <w:kern w:val="0"/>
                <w:szCs w:val="21"/>
              </w:rPr>
              <w:t>做好停车场的管理，正确疏导机动车辆进出、泊车，提醒车主关好车辆门窗，上锁，防止车辆碰撞、损坏等问题发生。</w:t>
            </w:r>
          </w:p>
        </w:tc>
        <w:tc>
          <w:tcPr>
            <w:tcW w:w="791" w:type="dxa"/>
            <w:vAlign w:val="center"/>
          </w:tcPr>
          <w:p>
            <w:pPr>
              <w:pStyle w:val="152"/>
              <w:spacing w:line="420" w:lineRule="exact"/>
              <w:ind w:firstLine="0" w:firstLineChars="0"/>
              <w:rPr>
                <w:kern w:val="0"/>
                <w:szCs w:val="21"/>
              </w:rPr>
            </w:pPr>
            <w:r>
              <w:rPr>
                <w:rFonts w:hint="eastAsia"/>
                <w:kern w:val="0"/>
                <w:szCs w:val="21"/>
              </w:rPr>
              <w:t>3分</w:t>
            </w:r>
          </w:p>
        </w:tc>
        <w:tc>
          <w:tcPr>
            <w:tcW w:w="3473" w:type="dxa"/>
            <w:vAlign w:val="center"/>
          </w:tcPr>
          <w:p>
            <w:pPr>
              <w:pStyle w:val="152"/>
              <w:spacing w:line="420" w:lineRule="exact"/>
              <w:ind w:firstLine="0" w:firstLineChars="0"/>
              <w:rPr>
                <w:kern w:val="0"/>
                <w:szCs w:val="21"/>
              </w:rPr>
            </w:pPr>
            <w:r>
              <w:rPr>
                <w:rFonts w:hint="eastAsia"/>
                <w:kern w:val="0"/>
                <w:szCs w:val="21"/>
              </w:rPr>
              <w:t>发现乱停放车辆，每辆扣1分/次；发生车辆碰撞、损坏，扣1分/次，并由管理公司承担相应责任。直至该项分值扣完为止。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420" w:lineRule="exact"/>
              <w:ind w:firstLine="0" w:firstLineChars="0"/>
              <w:rPr>
                <w:kern w:val="0"/>
                <w:szCs w:val="21"/>
              </w:rPr>
            </w:pPr>
          </w:p>
        </w:tc>
        <w:tc>
          <w:tcPr>
            <w:tcW w:w="3456" w:type="dxa"/>
            <w:vAlign w:val="center"/>
          </w:tcPr>
          <w:p>
            <w:pPr>
              <w:pStyle w:val="152"/>
              <w:spacing w:line="420" w:lineRule="exact"/>
              <w:ind w:firstLine="0" w:firstLineChars="0"/>
              <w:rPr>
                <w:kern w:val="0"/>
                <w:szCs w:val="21"/>
              </w:rPr>
            </w:pPr>
            <w:r>
              <w:rPr>
                <w:rFonts w:hint="eastAsia"/>
                <w:kern w:val="0"/>
                <w:szCs w:val="21"/>
              </w:rPr>
              <w:t>引导非机动车辆集中停放，停放整齐，场地洁净，落实管理制度，确秩序维护全，严防损坏与丢失。</w:t>
            </w:r>
          </w:p>
        </w:tc>
        <w:tc>
          <w:tcPr>
            <w:tcW w:w="791" w:type="dxa"/>
            <w:vAlign w:val="center"/>
          </w:tcPr>
          <w:p>
            <w:pPr>
              <w:pStyle w:val="152"/>
              <w:spacing w:line="420" w:lineRule="exact"/>
              <w:ind w:firstLine="0" w:firstLineChars="0"/>
              <w:rPr>
                <w:kern w:val="0"/>
                <w:szCs w:val="21"/>
              </w:rPr>
            </w:pPr>
            <w:r>
              <w:rPr>
                <w:rFonts w:hint="eastAsia"/>
                <w:kern w:val="0"/>
                <w:szCs w:val="21"/>
              </w:rPr>
              <w:t>3分</w:t>
            </w:r>
          </w:p>
        </w:tc>
        <w:tc>
          <w:tcPr>
            <w:tcW w:w="3473" w:type="dxa"/>
            <w:vAlign w:val="center"/>
          </w:tcPr>
          <w:p>
            <w:pPr>
              <w:pStyle w:val="152"/>
              <w:spacing w:line="420" w:lineRule="exact"/>
              <w:ind w:firstLine="0" w:firstLineChars="0"/>
              <w:rPr>
                <w:kern w:val="0"/>
                <w:szCs w:val="21"/>
              </w:rPr>
            </w:pPr>
            <w:r>
              <w:rPr>
                <w:rFonts w:hint="eastAsia"/>
                <w:kern w:val="0"/>
                <w:szCs w:val="21"/>
              </w:rPr>
              <w:t>未按规定停放，扣1分/次；发生损坏或丢失，扣1分/次，并由管理公司承担相应责任。直至该项分值扣完为止。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420" w:lineRule="exact"/>
              <w:ind w:firstLine="0" w:firstLineChars="0"/>
              <w:rPr>
                <w:kern w:val="0"/>
                <w:szCs w:val="21"/>
              </w:rPr>
            </w:pPr>
          </w:p>
        </w:tc>
        <w:tc>
          <w:tcPr>
            <w:tcW w:w="3456" w:type="dxa"/>
            <w:vAlign w:val="center"/>
          </w:tcPr>
          <w:p>
            <w:pPr>
              <w:pStyle w:val="152"/>
              <w:spacing w:line="420" w:lineRule="exact"/>
              <w:ind w:firstLine="0" w:firstLineChars="0"/>
              <w:rPr>
                <w:kern w:val="0"/>
                <w:szCs w:val="21"/>
              </w:rPr>
            </w:pPr>
            <w:r>
              <w:rPr>
                <w:rFonts w:hint="eastAsia"/>
                <w:kern w:val="0"/>
                <w:szCs w:val="21"/>
              </w:rPr>
              <w:t>门卫岗位，严格执勤，维护进出车辆秩序，不与车主发生冲突。</w:t>
            </w:r>
          </w:p>
        </w:tc>
        <w:tc>
          <w:tcPr>
            <w:tcW w:w="791" w:type="dxa"/>
            <w:vAlign w:val="center"/>
          </w:tcPr>
          <w:p>
            <w:pPr>
              <w:pStyle w:val="152"/>
              <w:spacing w:line="420" w:lineRule="exact"/>
              <w:ind w:firstLine="0" w:firstLineChars="0"/>
              <w:rPr>
                <w:kern w:val="0"/>
                <w:szCs w:val="21"/>
              </w:rPr>
            </w:pPr>
            <w:r>
              <w:rPr>
                <w:rFonts w:hint="eastAsia"/>
                <w:kern w:val="0"/>
                <w:szCs w:val="21"/>
              </w:rPr>
              <w:t>2分</w:t>
            </w:r>
          </w:p>
        </w:tc>
        <w:tc>
          <w:tcPr>
            <w:tcW w:w="3473" w:type="dxa"/>
            <w:vAlign w:val="center"/>
          </w:tcPr>
          <w:p>
            <w:pPr>
              <w:pStyle w:val="152"/>
              <w:spacing w:line="420" w:lineRule="exact"/>
              <w:ind w:firstLine="0" w:firstLineChars="0"/>
              <w:rPr>
                <w:kern w:val="0"/>
                <w:szCs w:val="21"/>
              </w:rPr>
            </w:pPr>
            <w:r>
              <w:rPr>
                <w:rFonts w:hint="eastAsia"/>
                <w:kern w:val="0"/>
                <w:szCs w:val="21"/>
              </w:rPr>
              <w:t>发生一起，扣1分/次，直至该项分值扣完为止。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420" w:lineRule="exact"/>
              <w:ind w:firstLine="0" w:firstLineChars="0"/>
              <w:rPr>
                <w:kern w:val="0"/>
                <w:szCs w:val="21"/>
              </w:rPr>
            </w:pPr>
          </w:p>
        </w:tc>
        <w:tc>
          <w:tcPr>
            <w:tcW w:w="3456" w:type="dxa"/>
            <w:vAlign w:val="center"/>
          </w:tcPr>
          <w:p>
            <w:pPr>
              <w:pStyle w:val="152"/>
              <w:spacing w:line="420" w:lineRule="exact"/>
              <w:ind w:firstLine="0" w:firstLineChars="0"/>
              <w:rPr>
                <w:kern w:val="0"/>
                <w:szCs w:val="21"/>
              </w:rPr>
            </w:pPr>
            <w:r>
              <w:rPr>
                <w:rFonts w:hint="eastAsia"/>
                <w:kern w:val="0"/>
                <w:szCs w:val="21"/>
              </w:rPr>
              <w:t>能熟练掌握消防设施设备的使用方法。</w:t>
            </w:r>
          </w:p>
        </w:tc>
        <w:tc>
          <w:tcPr>
            <w:tcW w:w="791" w:type="dxa"/>
            <w:vAlign w:val="center"/>
          </w:tcPr>
          <w:p>
            <w:pPr>
              <w:pStyle w:val="152"/>
              <w:spacing w:line="420" w:lineRule="exact"/>
              <w:ind w:firstLine="0" w:firstLineChars="0"/>
              <w:rPr>
                <w:kern w:val="0"/>
                <w:szCs w:val="21"/>
              </w:rPr>
            </w:pPr>
            <w:r>
              <w:rPr>
                <w:rFonts w:hint="eastAsia"/>
                <w:kern w:val="0"/>
                <w:szCs w:val="21"/>
              </w:rPr>
              <w:t>2分</w:t>
            </w:r>
          </w:p>
        </w:tc>
        <w:tc>
          <w:tcPr>
            <w:tcW w:w="3473" w:type="dxa"/>
            <w:vAlign w:val="center"/>
          </w:tcPr>
          <w:p>
            <w:pPr>
              <w:pStyle w:val="152"/>
              <w:spacing w:line="420" w:lineRule="exact"/>
              <w:ind w:firstLine="0" w:firstLineChars="0"/>
              <w:rPr>
                <w:kern w:val="0"/>
                <w:szCs w:val="21"/>
              </w:rPr>
            </w:pPr>
            <w:r>
              <w:rPr>
                <w:rFonts w:hint="eastAsia"/>
                <w:kern w:val="0"/>
                <w:szCs w:val="21"/>
              </w:rPr>
              <w:t>不会使用操作，扣1分/次，不熟练扣0.5分/次，，直至该项分值扣完为止。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420" w:lineRule="exact"/>
              <w:ind w:firstLine="0" w:firstLineChars="0"/>
              <w:rPr>
                <w:kern w:val="0"/>
                <w:szCs w:val="21"/>
              </w:rPr>
            </w:pPr>
          </w:p>
        </w:tc>
        <w:tc>
          <w:tcPr>
            <w:tcW w:w="3456" w:type="dxa"/>
            <w:vAlign w:val="center"/>
          </w:tcPr>
          <w:p>
            <w:pPr>
              <w:pStyle w:val="152"/>
              <w:spacing w:line="420" w:lineRule="exact"/>
              <w:ind w:firstLine="0" w:firstLineChars="0"/>
              <w:rPr>
                <w:kern w:val="0"/>
                <w:szCs w:val="21"/>
              </w:rPr>
            </w:pPr>
            <w:r>
              <w:rPr>
                <w:rFonts w:hint="eastAsia"/>
                <w:kern w:val="0"/>
                <w:szCs w:val="21"/>
              </w:rPr>
              <w:t>能正确果断处理各种火险、火灾以及救护程序。</w:t>
            </w:r>
          </w:p>
        </w:tc>
        <w:tc>
          <w:tcPr>
            <w:tcW w:w="791" w:type="dxa"/>
            <w:vAlign w:val="center"/>
          </w:tcPr>
          <w:p>
            <w:pPr>
              <w:pStyle w:val="152"/>
              <w:spacing w:line="420" w:lineRule="exact"/>
              <w:ind w:firstLine="0" w:firstLineChars="0"/>
              <w:rPr>
                <w:kern w:val="0"/>
                <w:szCs w:val="21"/>
              </w:rPr>
            </w:pPr>
            <w:r>
              <w:rPr>
                <w:rFonts w:hint="eastAsia"/>
                <w:kern w:val="0"/>
                <w:szCs w:val="21"/>
              </w:rPr>
              <w:t>3分</w:t>
            </w:r>
          </w:p>
        </w:tc>
        <w:tc>
          <w:tcPr>
            <w:tcW w:w="3473" w:type="dxa"/>
            <w:vAlign w:val="center"/>
          </w:tcPr>
          <w:p>
            <w:pPr>
              <w:pStyle w:val="152"/>
              <w:spacing w:line="420" w:lineRule="exact"/>
              <w:ind w:firstLine="0" w:firstLineChars="0"/>
              <w:rPr>
                <w:kern w:val="0"/>
                <w:szCs w:val="21"/>
              </w:rPr>
            </w:pPr>
            <w:r>
              <w:rPr>
                <w:rFonts w:hint="eastAsia"/>
                <w:kern w:val="0"/>
                <w:szCs w:val="21"/>
              </w:rPr>
              <w:t>不会，扣1分/次，，直至该项分值扣完为止。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420" w:lineRule="exact"/>
              <w:ind w:firstLine="0" w:firstLineChars="0"/>
              <w:rPr>
                <w:kern w:val="0"/>
                <w:szCs w:val="21"/>
              </w:rPr>
            </w:pPr>
          </w:p>
        </w:tc>
        <w:tc>
          <w:tcPr>
            <w:tcW w:w="3456" w:type="dxa"/>
            <w:vAlign w:val="center"/>
          </w:tcPr>
          <w:p>
            <w:pPr>
              <w:pStyle w:val="152"/>
              <w:spacing w:line="420" w:lineRule="exact"/>
              <w:ind w:firstLine="0" w:firstLineChars="0"/>
              <w:rPr>
                <w:kern w:val="0"/>
                <w:szCs w:val="21"/>
              </w:rPr>
            </w:pPr>
            <w:r>
              <w:rPr>
                <w:rFonts w:hint="eastAsia"/>
                <w:kern w:val="0"/>
                <w:szCs w:val="21"/>
              </w:rPr>
              <w:t>严格消防管理制度，认真巡查火险隐患，确保无火灾事故发生。</w:t>
            </w:r>
          </w:p>
        </w:tc>
        <w:tc>
          <w:tcPr>
            <w:tcW w:w="791" w:type="dxa"/>
            <w:vAlign w:val="center"/>
          </w:tcPr>
          <w:p>
            <w:pPr>
              <w:pStyle w:val="152"/>
              <w:spacing w:line="420" w:lineRule="exact"/>
              <w:ind w:firstLine="0" w:firstLineChars="0"/>
              <w:rPr>
                <w:kern w:val="0"/>
                <w:szCs w:val="21"/>
              </w:rPr>
            </w:pPr>
            <w:r>
              <w:rPr>
                <w:rFonts w:hint="eastAsia"/>
                <w:kern w:val="0"/>
                <w:szCs w:val="21"/>
              </w:rPr>
              <w:t>4分</w:t>
            </w:r>
          </w:p>
        </w:tc>
        <w:tc>
          <w:tcPr>
            <w:tcW w:w="3473" w:type="dxa"/>
            <w:vAlign w:val="center"/>
          </w:tcPr>
          <w:p>
            <w:pPr>
              <w:pStyle w:val="152"/>
              <w:spacing w:line="420" w:lineRule="exact"/>
              <w:ind w:firstLine="0" w:firstLineChars="0"/>
              <w:rPr>
                <w:kern w:val="0"/>
                <w:szCs w:val="21"/>
              </w:rPr>
            </w:pPr>
            <w:r>
              <w:rPr>
                <w:rFonts w:hint="eastAsia"/>
                <w:kern w:val="0"/>
                <w:szCs w:val="21"/>
              </w:rPr>
              <w:t>检查一处有隐患，扣1分/次，发生火灾事故扣2分/次，并追究责任。直至该项分值扣完为止。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420" w:lineRule="exact"/>
              <w:ind w:firstLine="0" w:firstLineChars="0"/>
              <w:rPr>
                <w:kern w:val="0"/>
                <w:szCs w:val="21"/>
              </w:rPr>
            </w:pPr>
          </w:p>
        </w:tc>
        <w:tc>
          <w:tcPr>
            <w:tcW w:w="3456" w:type="dxa"/>
            <w:vAlign w:val="center"/>
          </w:tcPr>
          <w:p>
            <w:pPr>
              <w:pStyle w:val="152"/>
              <w:spacing w:line="420" w:lineRule="exact"/>
              <w:ind w:firstLine="0" w:firstLineChars="0"/>
              <w:rPr>
                <w:kern w:val="0"/>
                <w:szCs w:val="21"/>
              </w:rPr>
            </w:pPr>
            <w:r>
              <w:rPr>
                <w:rFonts w:hint="eastAsia"/>
                <w:kern w:val="0"/>
                <w:szCs w:val="21"/>
              </w:rPr>
              <w:t>各种消防设施定期检查保养、维护，确保无缺损，保障正常运行。</w:t>
            </w:r>
          </w:p>
        </w:tc>
        <w:tc>
          <w:tcPr>
            <w:tcW w:w="791" w:type="dxa"/>
            <w:vAlign w:val="center"/>
          </w:tcPr>
          <w:p>
            <w:pPr>
              <w:pStyle w:val="152"/>
              <w:spacing w:line="420" w:lineRule="exact"/>
              <w:ind w:firstLine="0" w:firstLineChars="0"/>
              <w:rPr>
                <w:kern w:val="0"/>
                <w:szCs w:val="21"/>
              </w:rPr>
            </w:pPr>
            <w:r>
              <w:rPr>
                <w:rFonts w:hint="eastAsia"/>
                <w:kern w:val="0"/>
                <w:szCs w:val="21"/>
              </w:rPr>
              <w:t>4分</w:t>
            </w:r>
          </w:p>
        </w:tc>
        <w:tc>
          <w:tcPr>
            <w:tcW w:w="3473" w:type="dxa"/>
            <w:vAlign w:val="center"/>
          </w:tcPr>
          <w:p>
            <w:pPr>
              <w:pStyle w:val="152"/>
              <w:spacing w:line="420" w:lineRule="exact"/>
              <w:ind w:firstLine="0" w:firstLineChars="0"/>
              <w:rPr>
                <w:kern w:val="0"/>
                <w:szCs w:val="21"/>
              </w:rPr>
            </w:pPr>
            <w:r>
              <w:rPr>
                <w:rFonts w:hint="eastAsia"/>
                <w:kern w:val="0"/>
                <w:szCs w:val="21"/>
              </w:rPr>
              <w:t>无保养，扣1分/次，，一处运行障碍扣1分/次，一处缺或损坏扣1分/次。直至该项分值扣完为止。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420" w:lineRule="exact"/>
              <w:ind w:firstLine="0" w:firstLineChars="0"/>
              <w:rPr>
                <w:kern w:val="0"/>
                <w:szCs w:val="21"/>
              </w:rPr>
            </w:pPr>
          </w:p>
        </w:tc>
        <w:tc>
          <w:tcPr>
            <w:tcW w:w="3456" w:type="dxa"/>
            <w:vAlign w:val="center"/>
          </w:tcPr>
          <w:p>
            <w:pPr>
              <w:pStyle w:val="152"/>
              <w:spacing w:line="420" w:lineRule="exact"/>
              <w:ind w:firstLine="0" w:firstLineChars="0"/>
              <w:rPr>
                <w:kern w:val="0"/>
                <w:szCs w:val="21"/>
              </w:rPr>
            </w:pPr>
            <w:r>
              <w:rPr>
                <w:rFonts w:hint="eastAsia"/>
                <w:kern w:val="0"/>
                <w:szCs w:val="21"/>
              </w:rPr>
              <w:t>严格消防管理制度，认真巡查火险隐患，确保无火灾事故发生。</w:t>
            </w:r>
          </w:p>
        </w:tc>
        <w:tc>
          <w:tcPr>
            <w:tcW w:w="791" w:type="dxa"/>
            <w:vAlign w:val="center"/>
          </w:tcPr>
          <w:p>
            <w:pPr>
              <w:pStyle w:val="152"/>
              <w:spacing w:line="420" w:lineRule="exact"/>
              <w:ind w:firstLine="0" w:firstLineChars="0"/>
              <w:rPr>
                <w:kern w:val="0"/>
                <w:szCs w:val="21"/>
              </w:rPr>
            </w:pPr>
            <w:r>
              <w:rPr>
                <w:rFonts w:hint="eastAsia"/>
                <w:kern w:val="0"/>
                <w:szCs w:val="21"/>
              </w:rPr>
              <w:t>4分</w:t>
            </w:r>
          </w:p>
        </w:tc>
        <w:tc>
          <w:tcPr>
            <w:tcW w:w="3473" w:type="dxa"/>
            <w:vAlign w:val="center"/>
          </w:tcPr>
          <w:p>
            <w:pPr>
              <w:pStyle w:val="152"/>
              <w:spacing w:line="420" w:lineRule="exact"/>
              <w:ind w:firstLine="0" w:firstLineChars="0"/>
              <w:rPr>
                <w:kern w:val="0"/>
                <w:szCs w:val="21"/>
              </w:rPr>
            </w:pPr>
            <w:r>
              <w:rPr>
                <w:rFonts w:hint="eastAsia"/>
                <w:kern w:val="0"/>
                <w:szCs w:val="21"/>
              </w:rPr>
              <w:t>检查一处有隐患，扣1分/次，发生火灾事故，扣4分/次，并追究责任。直至该项分值扣完为止。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restart"/>
          </w:tcPr>
          <w:p>
            <w:pPr>
              <w:pStyle w:val="152"/>
              <w:spacing w:line="420" w:lineRule="exact"/>
              <w:ind w:firstLine="0" w:firstLineChars="0"/>
              <w:rPr>
                <w:kern w:val="0"/>
                <w:szCs w:val="21"/>
              </w:rPr>
            </w:pPr>
          </w:p>
          <w:p>
            <w:pPr>
              <w:pStyle w:val="152"/>
              <w:spacing w:line="420" w:lineRule="exact"/>
              <w:ind w:firstLine="0" w:firstLineChars="0"/>
              <w:rPr>
                <w:kern w:val="0"/>
                <w:szCs w:val="21"/>
              </w:rPr>
            </w:pPr>
          </w:p>
          <w:p>
            <w:pPr>
              <w:pStyle w:val="152"/>
              <w:spacing w:line="420" w:lineRule="exact"/>
              <w:ind w:firstLine="0" w:firstLineChars="0"/>
              <w:rPr>
                <w:kern w:val="0"/>
                <w:szCs w:val="21"/>
              </w:rPr>
            </w:pPr>
          </w:p>
          <w:p>
            <w:pPr>
              <w:pStyle w:val="152"/>
              <w:spacing w:line="420" w:lineRule="exact"/>
              <w:ind w:firstLine="0" w:firstLineChars="0"/>
              <w:rPr>
                <w:kern w:val="0"/>
                <w:szCs w:val="21"/>
              </w:rPr>
            </w:pPr>
          </w:p>
          <w:p>
            <w:pPr>
              <w:pStyle w:val="152"/>
              <w:spacing w:line="420" w:lineRule="exact"/>
              <w:ind w:firstLine="0" w:firstLineChars="0"/>
              <w:rPr>
                <w:kern w:val="0"/>
                <w:szCs w:val="21"/>
              </w:rPr>
            </w:pPr>
          </w:p>
          <w:p>
            <w:pPr>
              <w:pStyle w:val="152"/>
              <w:spacing w:line="420" w:lineRule="exact"/>
              <w:ind w:firstLine="0" w:firstLineChars="0"/>
              <w:rPr>
                <w:kern w:val="0"/>
                <w:szCs w:val="21"/>
              </w:rPr>
            </w:pPr>
            <w:r>
              <w:rPr>
                <w:rFonts w:hint="eastAsia"/>
                <w:kern w:val="0"/>
                <w:szCs w:val="21"/>
              </w:rPr>
              <w:t>司机（10分）</w:t>
            </w:r>
          </w:p>
        </w:tc>
        <w:tc>
          <w:tcPr>
            <w:tcW w:w="3456" w:type="dxa"/>
            <w:vAlign w:val="center"/>
          </w:tcPr>
          <w:p>
            <w:pPr>
              <w:pStyle w:val="152"/>
              <w:spacing w:line="420" w:lineRule="exact"/>
              <w:ind w:firstLine="0" w:firstLineChars="0"/>
              <w:rPr>
                <w:kern w:val="0"/>
                <w:szCs w:val="21"/>
              </w:rPr>
            </w:pPr>
            <w:r>
              <w:rPr>
                <w:rFonts w:hint="eastAsia"/>
                <w:kern w:val="0"/>
                <w:szCs w:val="21"/>
              </w:rPr>
              <w:t>车辆按时保养维护</w:t>
            </w:r>
          </w:p>
        </w:tc>
        <w:tc>
          <w:tcPr>
            <w:tcW w:w="791" w:type="dxa"/>
            <w:vAlign w:val="center"/>
          </w:tcPr>
          <w:p>
            <w:pPr>
              <w:pStyle w:val="152"/>
              <w:spacing w:line="420" w:lineRule="exact"/>
              <w:ind w:firstLine="0" w:firstLineChars="0"/>
              <w:rPr>
                <w:kern w:val="0"/>
                <w:szCs w:val="21"/>
              </w:rPr>
            </w:pPr>
            <w:r>
              <w:rPr>
                <w:rFonts w:hint="eastAsia"/>
                <w:kern w:val="0"/>
                <w:szCs w:val="21"/>
              </w:rPr>
              <w:t>2分</w:t>
            </w:r>
          </w:p>
        </w:tc>
        <w:tc>
          <w:tcPr>
            <w:tcW w:w="3473" w:type="dxa"/>
            <w:vAlign w:val="center"/>
          </w:tcPr>
          <w:p>
            <w:pPr>
              <w:pStyle w:val="152"/>
              <w:spacing w:line="420" w:lineRule="exact"/>
              <w:ind w:firstLine="0" w:firstLineChars="0"/>
              <w:rPr>
                <w:kern w:val="0"/>
                <w:szCs w:val="21"/>
              </w:rPr>
            </w:pPr>
            <w:r>
              <w:rPr>
                <w:rFonts w:hint="eastAsia"/>
                <w:kern w:val="0"/>
                <w:szCs w:val="21"/>
              </w:rPr>
              <w:t>及时处理车辆的维护、保养及年审。违者扣1分/次，。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420" w:lineRule="exact"/>
              <w:ind w:firstLine="0" w:firstLineChars="0"/>
              <w:rPr>
                <w:kern w:val="0"/>
                <w:szCs w:val="21"/>
              </w:rPr>
            </w:pPr>
          </w:p>
        </w:tc>
        <w:tc>
          <w:tcPr>
            <w:tcW w:w="3456" w:type="dxa"/>
            <w:vAlign w:val="center"/>
          </w:tcPr>
          <w:p>
            <w:pPr>
              <w:pStyle w:val="152"/>
              <w:spacing w:line="420" w:lineRule="exact"/>
              <w:ind w:firstLine="0" w:firstLineChars="0"/>
              <w:rPr>
                <w:kern w:val="0"/>
                <w:szCs w:val="21"/>
              </w:rPr>
            </w:pPr>
            <w:r>
              <w:rPr>
                <w:rFonts w:hint="eastAsia"/>
                <w:kern w:val="0"/>
                <w:szCs w:val="21"/>
              </w:rPr>
              <w:t>遵守交通规则，行车安全</w:t>
            </w:r>
          </w:p>
        </w:tc>
        <w:tc>
          <w:tcPr>
            <w:tcW w:w="791" w:type="dxa"/>
            <w:vAlign w:val="center"/>
          </w:tcPr>
          <w:p>
            <w:pPr>
              <w:pStyle w:val="152"/>
              <w:spacing w:line="420" w:lineRule="exact"/>
              <w:ind w:firstLine="0" w:firstLineChars="0"/>
              <w:rPr>
                <w:kern w:val="0"/>
                <w:szCs w:val="21"/>
              </w:rPr>
            </w:pPr>
            <w:r>
              <w:rPr>
                <w:rFonts w:hint="eastAsia"/>
                <w:kern w:val="0"/>
                <w:szCs w:val="21"/>
              </w:rPr>
              <w:t>4分</w:t>
            </w:r>
          </w:p>
        </w:tc>
        <w:tc>
          <w:tcPr>
            <w:tcW w:w="3473" w:type="dxa"/>
            <w:vAlign w:val="center"/>
          </w:tcPr>
          <w:p>
            <w:pPr>
              <w:pStyle w:val="152"/>
              <w:spacing w:line="420" w:lineRule="exact"/>
              <w:ind w:firstLine="0" w:firstLineChars="0"/>
              <w:rPr>
                <w:kern w:val="0"/>
                <w:szCs w:val="21"/>
              </w:rPr>
            </w:pPr>
            <w:r>
              <w:rPr>
                <w:rFonts w:hint="eastAsia"/>
                <w:kern w:val="0"/>
                <w:szCs w:val="21"/>
              </w:rPr>
              <w:t>因驾驶员个人违法或违纪等原因造成交通事故的，扣2分/次，造成重大交通事故由交管部门处理，扣4分/次，公司需更换司机。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420" w:lineRule="exact"/>
              <w:ind w:firstLine="0" w:firstLineChars="0"/>
              <w:rPr>
                <w:kern w:val="0"/>
                <w:szCs w:val="21"/>
              </w:rPr>
            </w:pPr>
          </w:p>
        </w:tc>
        <w:tc>
          <w:tcPr>
            <w:tcW w:w="3456" w:type="dxa"/>
            <w:vAlign w:val="center"/>
          </w:tcPr>
          <w:p>
            <w:pPr>
              <w:pStyle w:val="152"/>
              <w:spacing w:line="420" w:lineRule="exact"/>
              <w:ind w:firstLine="0" w:firstLineChars="0"/>
              <w:rPr>
                <w:kern w:val="0"/>
                <w:szCs w:val="21"/>
              </w:rPr>
            </w:pPr>
            <w:r>
              <w:rPr>
                <w:rFonts w:hint="eastAsia"/>
                <w:kern w:val="0"/>
                <w:szCs w:val="21"/>
              </w:rPr>
              <w:t>爱惜车辆，及时清洁</w:t>
            </w:r>
          </w:p>
        </w:tc>
        <w:tc>
          <w:tcPr>
            <w:tcW w:w="791" w:type="dxa"/>
            <w:vAlign w:val="center"/>
          </w:tcPr>
          <w:p>
            <w:pPr>
              <w:pStyle w:val="152"/>
              <w:spacing w:line="420" w:lineRule="exact"/>
              <w:ind w:firstLine="0" w:firstLineChars="0"/>
              <w:rPr>
                <w:kern w:val="0"/>
                <w:szCs w:val="21"/>
              </w:rPr>
            </w:pPr>
            <w:r>
              <w:rPr>
                <w:rFonts w:hint="eastAsia"/>
                <w:kern w:val="0"/>
                <w:szCs w:val="21"/>
              </w:rPr>
              <w:t>1分</w:t>
            </w:r>
          </w:p>
        </w:tc>
        <w:tc>
          <w:tcPr>
            <w:tcW w:w="3473" w:type="dxa"/>
            <w:vAlign w:val="center"/>
          </w:tcPr>
          <w:p>
            <w:pPr>
              <w:pStyle w:val="152"/>
              <w:spacing w:line="420" w:lineRule="exact"/>
              <w:ind w:firstLine="0" w:firstLineChars="0"/>
              <w:rPr>
                <w:kern w:val="0"/>
                <w:szCs w:val="21"/>
              </w:rPr>
            </w:pPr>
            <w:r>
              <w:rPr>
                <w:rFonts w:hint="eastAsia"/>
                <w:kern w:val="0"/>
                <w:szCs w:val="21"/>
              </w:rPr>
              <w:t>车辆清洁卫生不到位的，扣0.5分/次，。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420" w:lineRule="exact"/>
              <w:ind w:firstLine="0" w:firstLineChars="0"/>
              <w:rPr>
                <w:kern w:val="0"/>
                <w:szCs w:val="21"/>
              </w:rPr>
            </w:pPr>
          </w:p>
        </w:tc>
        <w:tc>
          <w:tcPr>
            <w:tcW w:w="3456" w:type="dxa"/>
            <w:vAlign w:val="center"/>
          </w:tcPr>
          <w:p>
            <w:pPr>
              <w:pStyle w:val="152"/>
              <w:spacing w:line="420" w:lineRule="exact"/>
              <w:ind w:firstLine="0" w:firstLineChars="0"/>
              <w:rPr>
                <w:kern w:val="0"/>
                <w:szCs w:val="21"/>
              </w:rPr>
            </w:pPr>
            <w:r>
              <w:rPr>
                <w:rFonts w:hint="eastAsia"/>
                <w:kern w:val="0"/>
                <w:szCs w:val="21"/>
              </w:rPr>
              <w:t>服务态度好，待人文明礼貌</w:t>
            </w:r>
          </w:p>
        </w:tc>
        <w:tc>
          <w:tcPr>
            <w:tcW w:w="791" w:type="dxa"/>
            <w:vAlign w:val="center"/>
          </w:tcPr>
          <w:p>
            <w:pPr>
              <w:pStyle w:val="152"/>
              <w:spacing w:line="420" w:lineRule="exact"/>
              <w:ind w:firstLine="0" w:firstLineChars="0"/>
              <w:rPr>
                <w:kern w:val="0"/>
                <w:szCs w:val="21"/>
              </w:rPr>
            </w:pPr>
            <w:r>
              <w:rPr>
                <w:rFonts w:hint="eastAsia"/>
                <w:kern w:val="0"/>
                <w:szCs w:val="21"/>
              </w:rPr>
              <w:t>1分</w:t>
            </w:r>
          </w:p>
        </w:tc>
        <w:tc>
          <w:tcPr>
            <w:tcW w:w="3473" w:type="dxa"/>
            <w:vAlign w:val="center"/>
          </w:tcPr>
          <w:p>
            <w:pPr>
              <w:pStyle w:val="152"/>
              <w:spacing w:line="420" w:lineRule="exact"/>
              <w:ind w:firstLine="0" w:firstLineChars="0"/>
              <w:rPr>
                <w:kern w:val="0"/>
                <w:szCs w:val="21"/>
              </w:rPr>
            </w:pPr>
            <w:r>
              <w:rPr>
                <w:rFonts w:hint="eastAsia"/>
                <w:kern w:val="0"/>
                <w:szCs w:val="21"/>
              </w:rPr>
              <w:t>听从统一调度，服从工作安排。违者扣0.5分/次，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420" w:lineRule="exact"/>
              <w:ind w:firstLine="0" w:firstLineChars="0"/>
              <w:rPr>
                <w:kern w:val="0"/>
                <w:szCs w:val="21"/>
              </w:rPr>
            </w:pPr>
          </w:p>
        </w:tc>
        <w:tc>
          <w:tcPr>
            <w:tcW w:w="3456" w:type="dxa"/>
            <w:vAlign w:val="center"/>
          </w:tcPr>
          <w:p>
            <w:pPr>
              <w:pStyle w:val="152"/>
              <w:spacing w:line="420" w:lineRule="exact"/>
              <w:ind w:firstLine="0" w:firstLineChars="0"/>
              <w:rPr>
                <w:kern w:val="0"/>
                <w:szCs w:val="21"/>
              </w:rPr>
            </w:pPr>
            <w:r>
              <w:rPr>
                <w:rFonts w:hint="eastAsia"/>
                <w:kern w:val="0"/>
                <w:szCs w:val="21"/>
              </w:rPr>
              <w:t>协助学校的安全工作</w:t>
            </w:r>
          </w:p>
        </w:tc>
        <w:tc>
          <w:tcPr>
            <w:tcW w:w="791" w:type="dxa"/>
            <w:vAlign w:val="center"/>
          </w:tcPr>
          <w:p>
            <w:pPr>
              <w:pStyle w:val="152"/>
              <w:spacing w:line="420" w:lineRule="exact"/>
              <w:ind w:firstLine="0" w:firstLineChars="0"/>
              <w:rPr>
                <w:kern w:val="0"/>
                <w:szCs w:val="21"/>
              </w:rPr>
            </w:pPr>
            <w:r>
              <w:rPr>
                <w:rFonts w:hint="eastAsia"/>
                <w:kern w:val="0"/>
                <w:szCs w:val="21"/>
              </w:rPr>
              <w:t>2分</w:t>
            </w:r>
          </w:p>
        </w:tc>
        <w:tc>
          <w:tcPr>
            <w:tcW w:w="3473" w:type="dxa"/>
            <w:vAlign w:val="center"/>
          </w:tcPr>
          <w:p>
            <w:pPr>
              <w:pStyle w:val="152"/>
              <w:spacing w:line="420" w:lineRule="exact"/>
              <w:ind w:firstLine="0" w:firstLineChars="0"/>
              <w:rPr>
                <w:kern w:val="0"/>
                <w:szCs w:val="21"/>
              </w:rPr>
            </w:pPr>
            <w:r>
              <w:rPr>
                <w:rFonts w:hint="eastAsia"/>
                <w:kern w:val="0"/>
                <w:szCs w:val="21"/>
              </w:rPr>
              <w:t>安全工作不到位，扣1分/次，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restart"/>
          </w:tcPr>
          <w:p>
            <w:pPr>
              <w:pStyle w:val="152"/>
              <w:spacing w:line="420" w:lineRule="exact"/>
              <w:ind w:firstLine="0" w:firstLineChars="0"/>
              <w:rPr>
                <w:kern w:val="0"/>
                <w:szCs w:val="21"/>
              </w:rPr>
            </w:pPr>
            <w:r>
              <w:rPr>
                <w:rFonts w:hint="eastAsia"/>
                <w:kern w:val="0"/>
                <w:szCs w:val="21"/>
              </w:rPr>
              <w:t>其它（5分）</w:t>
            </w:r>
          </w:p>
        </w:tc>
        <w:tc>
          <w:tcPr>
            <w:tcW w:w="3456" w:type="dxa"/>
            <w:vAlign w:val="center"/>
          </w:tcPr>
          <w:p>
            <w:pPr>
              <w:pStyle w:val="152"/>
              <w:spacing w:line="420" w:lineRule="exact"/>
              <w:ind w:firstLine="0" w:firstLineChars="0"/>
              <w:rPr>
                <w:kern w:val="0"/>
                <w:szCs w:val="21"/>
              </w:rPr>
            </w:pPr>
            <w:r>
              <w:rPr>
                <w:rFonts w:hint="eastAsia"/>
                <w:kern w:val="0"/>
                <w:szCs w:val="21"/>
              </w:rPr>
              <w:t>临时工作</w:t>
            </w:r>
          </w:p>
        </w:tc>
        <w:tc>
          <w:tcPr>
            <w:tcW w:w="791" w:type="dxa"/>
            <w:vAlign w:val="center"/>
          </w:tcPr>
          <w:p>
            <w:pPr>
              <w:pStyle w:val="152"/>
              <w:spacing w:line="420" w:lineRule="exact"/>
              <w:ind w:firstLine="0" w:firstLineChars="0"/>
              <w:rPr>
                <w:kern w:val="0"/>
                <w:szCs w:val="21"/>
              </w:rPr>
            </w:pPr>
            <w:r>
              <w:rPr>
                <w:rFonts w:hint="eastAsia"/>
                <w:kern w:val="0"/>
                <w:szCs w:val="21"/>
              </w:rPr>
              <w:t>3分</w:t>
            </w:r>
          </w:p>
        </w:tc>
        <w:tc>
          <w:tcPr>
            <w:tcW w:w="3473" w:type="dxa"/>
            <w:vAlign w:val="center"/>
          </w:tcPr>
          <w:p>
            <w:pPr>
              <w:pStyle w:val="152"/>
              <w:spacing w:line="420" w:lineRule="exact"/>
              <w:ind w:firstLine="0" w:firstLineChars="0"/>
              <w:rPr>
                <w:kern w:val="0"/>
                <w:szCs w:val="21"/>
              </w:rPr>
            </w:pPr>
            <w:r>
              <w:rPr>
                <w:rFonts w:hint="eastAsia"/>
                <w:kern w:val="0"/>
                <w:szCs w:val="21"/>
              </w:rPr>
              <w:t>不服从学校安排，无端推诿、拖延，敷衍等，扣1分/次，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420" w:lineRule="exact"/>
              <w:ind w:firstLine="0" w:firstLineChars="0"/>
              <w:rPr>
                <w:kern w:val="0"/>
                <w:szCs w:val="21"/>
              </w:rPr>
            </w:pPr>
          </w:p>
        </w:tc>
        <w:tc>
          <w:tcPr>
            <w:tcW w:w="3456" w:type="dxa"/>
            <w:vAlign w:val="center"/>
          </w:tcPr>
          <w:p>
            <w:pPr>
              <w:pStyle w:val="152"/>
              <w:spacing w:line="420" w:lineRule="exact"/>
              <w:ind w:firstLine="0" w:firstLineChars="0"/>
              <w:rPr>
                <w:kern w:val="0"/>
                <w:szCs w:val="21"/>
              </w:rPr>
            </w:pPr>
            <w:r>
              <w:rPr>
                <w:rFonts w:hint="eastAsia"/>
                <w:kern w:val="0"/>
                <w:szCs w:val="21"/>
              </w:rPr>
              <w:t>服务团队的稳定性</w:t>
            </w:r>
          </w:p>
        </w:tc>
        <w:tc>
          <w:tcPr>
            <w:tcW w:w="791" w:type="dxa"/>
            <w:vAlign w:val="center"/>
          </w:tcPr>
          <w:p>
            <w:pPr>
              <w:pStyle w:val="152"/>
              <w:spacing w:line="420" w:lineRule="exact"/>
              <w:ind w:firstLine="0" w:firstLineChars="0"/>
              <w:rPr>
                <w:kern w:val="0"/>
                <w:szCs w:val="21"/>
              </w:rPr>
            </w:pPr>
            <w:r>
              <w:rPr>
                <w:rFonts w:hint="eastAsia"/>
                <w:kern w:val="0"/>
                <w:szCs w:val="21"/>
              </w:rPr>
              <w:t>2分</w:t>
            </w:r>
          </w:p>
        </w:tc>
        <w:tc>
          <w:tcPr>
            <w:tcW w:w="3473" w:type="dxa"/>
            <w:vAlign w:val="center"/>
          </w:tcPr>
          <w:p>
            <w:pPr>
              <w:pStyle w:val="152"/>
              <w:spacing w:line="420" w:lineRule="exact"/>
              <w:ind w:firstLine="0" w:firstLineChars="0"/>
              <w:rPr>
                <w:kern w:val="0"/>
                <w:szCs w:val="21"/>
              </w:rPr>
            </w:pPr>
            <w:r>
              <w:rPr>
                <w:rFonts w:hint="eastAsia"/>
                <w:kern w:val="0"/>
                <w:szCs w:val="21"/>
              </w:rPr>
              <w:t>服务期每月调离或更换服务人员不得超过</w:t>
            </w:r>
            <w:r>
              <w:rPr>
                <w:kern w:val="0"/>
                <w:szCs w:val="21"/>
              </w:rPr>
              <w:t>20</w:t>
            </w:r>
            <w:r>
              <w:rPr>
                <w:rFonts w:hint="eastAsia"/>
                <w:kern w:val="0"/>
                <w:szCs w:val="21"/>
              </w:rPr>
              <w:t>%，超出</w:t>
            </w:r>
            <w:r>
              <w:rPr>
                <w:kern w:val="0"/>
                <w:szCs w:val="21"/>
              </w:rPr>
              <w:t>5%</w:t>
            </w:r>
            <w:r>
              <w:rPr>
                <w:rFonts w:hint="eastAsia"/>
                <w:kern w:val="0"/>
                <w:szCs w:val="21"/>
              </w:rPr>
              <w:t>次，扣1分/次，</w:t>
            </w:r>
          </w:p>
        </w:tc>
      </w:tr>
    </w:tbl>
    <w:p>
      <w:pPr>
        <w:spacing w:line="360" w:lineRule="auto"/>
        <w:rPr>
          <w:szCs w:val="21"/>
        </w:rPr>
      </w:pPr>
      <w:r>
        <w:rPr>
          <w:rFonts w:hint="eastAsia"/>
          <w:sz w:val="24"/>
        </w:rPr>
        <w:t>★</w:t>
      </w:r>
      <w:r>
        <w:rPr>
          <w:rFonts w:hint="eastAsia"/>
          <w:szCs w:val="21"/>
        </w:rPr>
        <w:t>特殊要求:</w:t>
      </w:r>
    </w:p>
    <w:p>
      <w:pPr>
        <w:pStyle w:val="152"/>
        <w:ind w:firstLine="0" w:firstLineChars="0"/>
        <w:rPr>
          <w:szCs w:val="21"/>
        </w:rPr>
      </w:pPr>
      <w:r>
        <w:rPr>
          <w:rFonts w:hint="eastAsia"/>
          <w:szCs w:val="21"/>
        </w:rPr>
        <w:t>（1）每月考核等级设置：   85-100分    优秀   学校支付100%物管费</w:t>
      </w:r>
    </w:p>
    <w:p>
      <w:pPr>
        <w:pStyle w:val="152"/>
        <w:ind w:firstLine="0" w:firstLineChars="0"/>
        <w:rPr>
          <w:szCs w:val="21"/>
        </w:rPr>
      </w:pPr>
      <w:r>
        <w:rPr>
          <w:rFonts w:hint="eastAsia"/>
          <w:szCs w:val="21"/>
        </w:rPr>
        <w:t xml:space="preserve">                </w:t>
      </w:r>
      <w:r>
        <w:rPr>
          <w:szCs w:val="21"/>
        </w:rPr>
        <w:t xml:space="preserve">     </w:t>
      </w:r>
      <w:r>
        <w:rPr>
          <w:rFonts w:hint="eastAsia"/>
          <w:szCs w:val="21"/>
        </w:rPr>
        <w:t xml:space="preserve">     75-84  分     良    学校支付90%物管费</w:t>
      </w:r>
    </w:p>
    <w:p>
      <w:pPr>
        <w:pStyle w:val="152"/>
        <w:ind w:firstLine="0" w:firstLineChars="0"/>
        <w:rPr>
          <w:szCs w:val="21"/>
        </w:rPr>
      </w:pPr>
      <w:r>
        <w:rPr>
          <w:rFonts w:hint="eastAsia"/>
          <w:szCs w:val="21"/>
        </w:rPr>
        <w:t xml:space="preserve">                  </w:t>
      </w:r>
      <w:r>
        <w:rPr>
          <w:szCs w:val="21"/>
        </w:rPr>
        <w:t xml:space="preserve"> </w:t>
      </w:r>
      <w:r>
        <w:rPr>
          <w:rFonts w:hint="eastAsia"/>
          <w:szCs w:val="21"/>
        </w:rPr>
        <w:t xml:space="preserve">  </w:t>
      </w:r>
      <w:r>
        <w:rPr>
          <w:szCs w:val="21"/>
        </w:rPr>
        <w:t xml:space="preserve">   </w:t>
      </w:r>
      <w:r>
        <w:rPr>
          <w:rFonts w:hint="eastAsia"/>
          <w:szCs w:val="21"/>
        </w:rPr>
        <w:t xml:space="preserve">  60-74  分    合格   学校支付80%物管费</w:t>
      </w:r>
    </w:p>
    <w:p>
      <w:pPr>
        <w:pStyle w:val="152"/>
        <w:ind w:firstLine="0" w:firstLineChars="0"/>
        <w:rPr>
          <w:szCs w:val="21"/>
        </w:rPr>
      </w:pPr>
      <w:r>
        <w:rPr>
          <w:rFonts w:hint="eastAsia"/>
          <w:szCs w:val="21"/>
        </w:rPr>
        <w:t xml:space="preserve">                  </w:t>
      </w:r>
      <w:r>
        <w:rPr>
          <w:szCs w:val="21"/>
        </w:rPr>
        <w:t xml:space="preserve"> </w:t>
      </w:r>
      <w:r>
        <w:rPr>
          <w:rFonts w:hint="eastAsia"/>
          <w:szCs w:val="21"/>
        </w:rPr>
        <w:t xml:space="preserve"> </w:t>
      </w:r>
      <w:r>
        <w:rPr>
          <w:szCs w:val="21"/>
        </w:rPr>
        <w:t xml:space="preserve">    </w:t>
      </w:r>
      <w:r>
        <w:rPr>
          <w:rFonts w:hint="eastAsia"/>
          <w:szCs w:val="21"/>
        </w:rPr>
        <w:t xml:space="preserve">  60分以下    不合格 学校支付60%物管费</w:t>
      </w:r>
    </w:p>
    <w:p>
      <w:pPr>
        <w:pStyle w:val="152"/>
        <w:ind w:firstLine="0" w:firstLineChars="0"/>
        <w:rPr>
          <w:szCs w:val="21"/>
        </w:rPr>
      </w:pPr>
      <w:r>
        <w:rPr>
          <w:rFonts w:hint="eastAsia"/>
          <w:szCs w:val="21"/>
        </w:rPr>
        <w:t xml:space="preserve">                                    </w:t>
      </w:r>
      <w:r>
        <w:rPr>
          <w:szCs w:val="21"/>
        </w:rPr>
        <w:t xml:space="preserve">    </w:t>
      </w:r>
      <w:r>
        <w:rPr>
          <w:rFonts w:hint="eastAsia"/>
          <w:szCs w:val="21"/>
        </w:rPr>
        <w:t xml:space="preserve">     学校无条件终止合同</w:t>
      </w:r>
    </w:p>
    <w:p>
      <w:pPr>
        <w:pStyle w:val="152"/>
        <w:ind w:firstLine="0" w:firstLineChars="0"/>
        <w:rPr>
          <w:szCs w:val="21"/>
        </w:rPr>
      </w:pPr>
      <w:r>
        <w:rPr>
          <w:rFonts w:hint="eastAsia"/>
          <w:szCs w:val="21"/>
        </w:rPr>
        <w:t>（2）个人奖励：1、在学校安保服务中做出重大贡献者，给予个人一定奖励。</w:t>
      </w:r>
    </w:p>
    <w:p>
      <w:pPr>
        <w:pStyle w:val="152"/>
        <w:ind w:left="1260" w:hanging="1260" w:hangingChars="600"/>
        <w:rPr>
          <w:szCs w:val="21"/>
        </w:rPr>
      </w:pPr>
      <w:r>
        <w:rPr>
          <w:rFonts w:hint="eastAsia"/>
          <w:szCs w:val="21"/>
        </w:rPr>
        <w:t xml:space="preserve">    </w:t>
      </w:r>
      <w:r>
        <w:rPr>
          <w:szCs w:val="21"/>
        </w:rPr>
        <w:t xml:space="preserve">     </w:t>
      </w:r>
      <w:r>
        <w:rPr>
          <w:rFonts w:hint="eastAsia"/>
          <w:szCs w:val="21"/>
        </w:rPr>
        <w:t xml:space="preserve">      2、在巡查及监控抽查中，发现重大安全隐患且及时报告，学校给予个人100元/次奖励。</w:t>
      </w:r>
    </w:p>
    <w:p>
      <w:pPr>
        <w:rPr>
          <w:szCs w:val="21"/>
        </w:rPr>
      </w:pPr>
    </w:p>
    <w:p>
      <w:pPr>
        <w:pStyle w:val="152"/>
        <w:spacing w:line="240" w:lineRule="auto"/>
        <w:ind w:firstLine="420"/>
        <w:rPr>
          <w:szCs w:val="21"/>
        </w:rPr>
      </w:pPr>
      <w:r>
        <w:rPr>
          <w:rFonts w:hint="eastAsia"/>
          <w:szCs w:val="21"/>
        </w:rPr>
        <w:t>4.第五幼儿园</w:t>
      </w:r>
    </w:p>
    <w:p>
      <w:pPr>
        <w:pStyle w:val="152"/>
        <w:spacing w:line="240" w:lineRule="auto"/>
        <w:ind w:firstLine="0" w:firstLineChars="0"/>
        <w:rPr>
          <w:szCs w:val="21"/>
        </w:rPr>
      </w:pPr>
    </w:p>
    <w:tbl>
      <w:tblPr>
        <w:tblStyle w:val="43"/>
        <w:tblW w:w="83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5"/>
        <w:gridCol w:w="3456"/>
        <w:gridCol w:w="791"/>
        <w:gridCol w:w="3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Align w:val="center"/>
          </w:tcPr>
          <w:p>
            <w:pPr>
              <w:pStyle w:val="152"/>
              <w:spacing w:line="240" w:lineRule="auto"/>
              <w:ind w:firstLine="0" w:firstLineChars="0"/>
              <w:rPr>
                <w:kern w:val="0"/>
                <w:szCs w:val="21"/>
              </w:rPr>
            </w:pPr>
            <w:r>
              <w:rPr>
                <w:rFonts w:hint="eastAsia"/>
                <w:kern w:val="0"/>
                <w:szCs w:val="21"/>
              </w:rPr>
              <w:t>项目</w:t>
            </w:r>
          </w:p>
        </w:tc>
        <w:tc>
          <w:tcPr>
            <w:tcW w:w="3456" w:type="dxa"/>
            <w:vAlign w:val="center"/>
          </w:tcPr>
          <w:p>
            <w:pPr>
              <w:pStyle w:val="152"/>
              <w:spacing w:line="240" w:lineRule="auto"/>
              <w:ind w:firstLine="0" w:firstLineChars="0"/>
              <w:rPr>
                <w:kern w:val="0"/>
                <w:szCs w:val="21"/>
              </w:rPr>
            </w:pPr>
            <w:r>
              <w:rPr>
                <w:rFonts w:hint="eastAsia"/>
                <w:kern w:val="0"/>
                <w:szCs w:val="21"/>
              </w:rPr>
              <w:t>服务质量标准</w:t>
            </w:r>
          </w:p>
        </w:tc>
        <w:tc>
          <w:tcPr>
            <w:tcW w:w="791" w:type="dxa"/>
            <w:vAlign w:val="center"/>
          </w:tcPr>
          <w:p>
            <w:pPr>
              <w:pStyle w:val="152"/>
              <w:spacing w:line="240" w:lineRule="auto"/>
              <w:ind w:firstLine="0" w:firstLineChars="0"/>
              <w:rPr>
                <w:kern w:val="0"/>
                <w:szCs w:val="21"/>
              </w:rPr>
            </w:pPr>
            <w:r>
              <w:rPr>
                <w:rFonts w:hint="eastAsia"/>
                <w:kern w:val="0"/>
                <w:szCs w:val="21"/>
              </w:rPr>
              <w:t>单项</w:t>
            </w:r>
          </w:p>
          <w:p>
            <w:pPr>
              <w:pStyle w:val="152"/>
              <w:spacing w:line="240" w:lineRule="auto"/>
              <w:ind w:firstLine="0" w:firstLineChars="0"/>
              <w:rPr>
                <w:kern w:val="0"/>
                <w:szCs w:val="21"/>
              </w:rPr>
            </w:pPr>
            <w:r>
              <w:rPr>
                <w:rFonts w:hint="eastAsia"/>
                <w:kern w:val="0"/>
                <w:szCs w:val="21"/>
              </w:rPr>
              <w:t>分值</w:t>
            </w:r>
          </w:p>
        </w:tc>
        <w:tc>
          <w:tcPr>
            <w:tcW w:w="3473" w:type="dxa"/>
            <w:vAlign w:val="center"/>
          </w:tcPr>
          <w:p>
            <w:pPr>
              <w:pStyle w:val="152"/>
              <w:spacing w:line="240" w:lineRule="auto"/>
              <w:ind w:firstLine="0" w:firstLineChars="0"/>
              <w:rPr>
                <w:kern w:val="0"/>
                <w:szCs w:val="21"/>
              </w:rPr>
            </w:pPr>
            <w:r>
              <w:rPr>
                <w:rFonts w:hint="eastAsia"/>
                <w:kern w:val="0"/>
                <w:szCs w:val="21"/>
              </w:rPr>
              <w:t>监督考评扣分标准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restart"/>
            <w:vAlign w:val="center"/>
          </w:tcPr>
          <w:p>
            <w:pPr>
              <w:pStyle w:val="152"/>
              <w:spacing w:line="240" w:lineRule="auto"/>
              <w:ind w:firstLine="0" w:firstLineChars="0"/>
              <w:rPr>
                <w:kern w:val="0"/>
                <w:szCs w:val="21"/>
              </w:rPr>
            </w:pPr>
            <w:r>
              <w:rPr>
                <w:rFonts w:hint="eastAsia"/>
                <w:kern w:val="0"/>
                <w:szCs w:val="21"/>
              </w:rPr>
              <w:t>主管</w:t>
            </w:r>
          </w:p>
          <w:p>
            <w:pPr>
              <w:pStyle w:val="152"/>
              <w:spacing w:line="240" w:lineRule="auto"/>
              <w:ind w:firstLine="0" w:firstLineChars="0"/>
              <w:rPr>
                <w:kern w:val="0"/>
                <w:szCs w:val="21"/>
              </w:rPr>
            </w:pPr>
            <w:r>
              <w:rPr>
                <w:rFonts w:hint="eastAsia"/>
                <w:kern w:val="0"/>
                <w:szCs w:val="21"/>
              </w:rPr>
              <w:t>(6分）</w:t>
            </w:r>
          </w:p>
        </w:tc>
        <w:tc>
          <w:tcPr>
            <w:tcW w:w="3456" w:type="dxa"/>
            <w:vAlign w:val="center"/>
          </w:tcPr>
          <w:p>
            <w:pPr>
              <w:pStyle w:val="152"/>
              <w:spacing w:line="240" w:lineRule="auto"/>
              <w:ind w:firstLine="0" w:firstLineChars="0"/>
              <w:rPr>
                <w:kern w:val="0"/>
                <w:szCs w:val="21"/>
              </w:rPr>
            </w:pPr>
            <w:r>
              <w:rPr>
                <w:rFonts w:hint="eastAsia"/>
                <w:kern w:val="0"/>
                <w:szCs w:val="21"/>
              </w:rPr>
              <w:t>工作日在岗情况</w:t>
            </w:r>
          </w:p>
        </w:tc>
        <w:tc>
          <w:tcPr>
            <w:tcW w:w="791" w:type="dxa"/>
            <w:vAlign w:val="center"/>
          </w:tcPr>
          <w:p>
            <w:pPr>
              <w:pStyle w:val="152"/>
              <w:spacing w:line="240" w:lineRule="auto"/>
              <w:ind w:firstLine="0" w:firstLineChars="0"/>
              <w:rPr>
                <w:kern w:val="0"/>
                <w:szCs w:val="21"/>
              </w:rPr>
            </w:pPr>
            <w:r>
              <w:rPr>
                <w:rFonts w:hint="eastAsia"/>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缺岗一次扣1分,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vAlign w:val="center"/>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对位点员工的日常工作督促和检查情况</w:t>
            </w:r>
          </w:p>
        </w:tc>
        <w:tc>
          <w:tcPr>
            <w:tcW w:w="791" w:type="dxa"/>
            <w:vAlign w:val="center"/>
          </w:tcPr>
          <w:p>
            <w:pPr>
              <w:pStyle w:val="152"/>
              <w:spacing w:line="240" w:lineRule="auto"/>
              <w:ind w:firstLine="0" w:firstLineChars="0"/>
              <w:rPr>
                <w:kern w:val="0"/>
                <w:szCs w:val="21"/>
              </w:rPr>
            </w:pPr>
            <w:r>
              <w:rPr>
                <w:rFonts w:hint="eastAsia"/>
                <w:kern w:val="0"/>
                <w:szCs w:val="21"/>
              </w:rPr>
              <w:t>3</w:t>
            </w:r>
          </w:p>
        </w:tc>
        <w:tc>
          <w:tcPr>
            <w:tcW w:w="3473" w:type="dxa"/>
            <w:vAlign w:val="center"/>
          </w:tcPr>
          <w:p>
            <w:pPr>
              <w:pStyle w:val="152"/>
              <w:spacing w:line="240" w:lineRule="auto"/>
              <w:ind w:firstLine="0" w:firstLineChars="0"/>
              <w:rPr>
                <w:kern w:val="0"/>
                <w:szCs w:val="21"/>
              </w:rPr>
            </w:pPr>
            <w:r>
              <w:rPr>
                <w:rFonts w:hint="eastAsia"/>
                <w:kern w:val="0"/>
                <w:szCs w:val="21"/>
              </w:rPr>
              <w:t xml:space="preserve">对员工疏于管理\检查不到位,一次扣 </w:t>
            </w:r>
            <w:r>
              <w:rPr>
                <w:kern w:val="0"/>
                <w:szCs w:val="21"/>
              </w:rPr>
              <w:t xml:space="preserve"> </w:t>
            </w:r>
            <w:r>
              <w:rPr>
                <w:rFonts w:hint="eastAsia"/>
                <w:kern w:val="0"/>
                <w:szCs w:val="21"/>
              </w:rPr>
              <w:t>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vAlign w:val="center"/>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对员工的培训</w:t>
            </w:r>
          </w:p>
        </w:tc>
        <w:tc>
          <w:tcPr>
            <w:tcW w:w="791" w:type="dxa"/>
            <w:vAlign w:val="center"/>
          </w:tcPr>
          <w:p>
            <w:pPr>
              <w:pStyle w:val="152"/>
              <w:spacing w:line="240" w:lineRule="auto"/>
              <w:ind w:firstLine="0" w:firstLineChars="0"/>
              <w:rPr>
                <w:kern w:val="0"/>
                <w:szCs w:val="21"/>
              </w:rPr>
            </w:pPr>
            <w:r>
              <w:rPr>
                <w:rFonts w:hint="eastAsia"/>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对员工的相关技能和礼仪培训不到位,一次扣0.5分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restart"/>
            <w:vAlign w:val="center"/>
          </w:tcPr>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r>
              <w:rPr>
                <w:rFonts w:hint="eastAsia"/>
                <w:kern w:val="0"/>
                <w:szCs w:val="21"/>
              </w:rPr>
              <w:t>安全保卫管理</w:t>
            </w:r>
          </w:p>
          <w:p>
            <w:pPr>
              <w:pStyle w:val="152"/>
              <w:spacing w:line="240" w:lineRule="auto"/>
              <w:ind w:firstLine="0" w:firstLineChars="0"/>
              <w:rPr>
                <w:kern w:val="0"/>
                <w:szCs w:val="21"/>
              </w:rPr>
            </w:pPr>
            <w:r>
              <w:rPr>
                <w:rFonts w:hint="eastAsia"/>
                <w:kern w:val="0"/>
                <w:szCs w:val="21"/>
              </w:rPr>
              <w:t>（30分）</w:t>
            </w:r>
          </w:p>
        </w:tc>
        <w:tc>
          <w:tcPr>
            <w:tcW w:w="3456" w:type="dxa"/>
            <w:vAlign w:val="center"/>
          </w:tcPr>
          <w:p>
            <w:pPr>
              <w:pStyle w:val="152"/>
              <w:spacing w:line="240" w:lineRule="auto"/>
              <w:ind w:firstLine="0" w:firstLineChars="0"/>
              <w:rPr>
                <w:kern w:val="0"/>
                <w:szCs w:val="21"/>
              </w:rPr>
            </w:pPr>
            <w:r>
              <w:rPr>
                <w:rFonts w:hint="eastAsia"/>
                <w:kern w:val="0"/>
                <w:szCs w:val="21"/>
              </w:rPr>
              <w:t>所聘用的秩序维护人员必须训练有素，有秩序维护队全管理制度和职责，安全防患措施，确保秩序维护全稳定。</w:t>
            </w:r>
          </w:p>
        </w:tc>
        <w:tc>
          <w:tcPr>
            <w:tcW w:w="791" w:type="dxa"/>
            <w:vAlign w:val="center"/>
          </w:tcPr>
          <w:p>
            <w:pPr>
              <w:pStyle w:val="152"/>
              <w:spacing w:line="240" w:lineRule="auto"/>
              <w:ind w:firstLine="0" w:firstLineChars="0"/>
              <w:rPr>
                <w:kern w:val="0"/>
                <w:szCs w:val="21"/>
              </w:rPr>
            </w:pPr>
            <w:r>
              <w:rPr>
                <w:rFonts w:hint="eastAsia"/>
                <w:kern w:val="0"/>
                <w:szCs w:val="21"/>
              </w:rPr>
              <w:t>4</w:t>
            </w:r>
          </w:p>
        </w:tc>
        <w:tc>
          <w:tcPr>
            <w:tcW w:w="3473" w:type="dxa"/>
            <w:vAlign w:val="center"/>
          </w:tcPr>
          <w:p>
            <w:pPr>
              <w:pStyle w:val="152"/>
              <w:spacing w:line="240" w:lineRule="auto"/>
              <w:ind w:firstLine="0" w:firstLineChars="0"/>
              <w:rPr>
                <w:kern w:val="0"/>
                <w:szCs w:val="21"/>
              </w:rPr>
            </w:pPr>
            <w:r>
              <w:rPr>
                <w:rFonts w:hint="eastAsia"/>
                <w:kern w:val="0"/>
                <w:szCs w:val="21"/>
              </w:rPr>
              <w:t>管理制度、职责、措施不健全每项扣2 分，发生安全事故一次扣4分，发生重大安全事故扣4分。直至该项分值扣完为止。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秩序维护队员必须熟悉物业环境，上班时按规定着装和佩戴装备，文明值勤，不与职工、到访人员发生矛盾和冲突。</w:t>
            </w:r>
          </w:p>
        </w:tc>
        <w:tc>
          <w:tcPr>
            <w:tcW w:w="791" w:type="dxa"/>
            <w:vAlign w:val="center"/>
          </w:tcPr>
          <w:p>
            <w:pPr>
              <w:pStyle w:val="152"/>
              <w:spacing w:line="240" w:lineRule="auto"/>
              <w:ind w:firstLine="0" w:firstLineChars="0"/>
              <w:rPr>
                <w:kern w:val="0"/>
                <w:szCs w:val="21"/>
              </w:rPr>
            </w:pPr>
            <w:r>
              <w:rPr>
                <w:rFonts w:hint="eastAsia"/>
                <w:kern w:val="0"/>
                <w:szCs w:val="21"/>
              </w:rPr>
              <w:t>3</w:t>
            </w:r>
          </w:p>
        </w:tc>
        <w:tc>
          <w:tcPr>
            <w:tcW w:w="3473" w:type="dxa"/>
            <w:vAlign w:val="center"/>
          </w:tcPr>
          <w:p>
            <w:pPr>
              <w:pStyle w:val="152"/>
              <w:spacing w:line="240" w:lineRule="auto"/>
              <w:ind w:firstLine="0" w:firstLineChars="0"/>
              <w:rPr>
                <w:kern w:val="0"/>
                <w:szCs w:val="21"/>
              </w:rPr>
            </w:pPr>
            <w:r>
              <w:rPr>
                <w:rFonts w:hint="eastAsia"/>
                <w:kern w:val="0"/>
                <w:szCs w:val="21"/>
              </w:rPr>
              <w:t>发现一名队员着装不整齐扣0.5分，不礼貌扣0.5分，无理与他人发生冲突一次扣0.5分，同一名队员发生两次建议辞退。直至该项分值扣完为止。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秩序维护必须实行24小时值班巡逻，认真履行职责，机动灵活，加强重点区域和人少到的部位巡逻。</w:t>
            </w:r>
          </w:p>
        </w:tc>
        <w:tc>
          <w:tcPr>
            <w:tcW w:w="791" w:type="dxa"/>
            <w:vAlign w:val="center"/>
          </w:tcPr>
          <w:p>
            <w:pPr>
              <w:pStyle w:val="152"/>
              <w:spacing w:line="240" w:lineRule="auto"/>
              <w:ind w:firstLine="0" w:firstLineChars="0"/>
              <w:rPr>
                <w:kern w:val="0"/>
                <w:szCs w:val="21"/>
              </w:rPr>
            </w:pPr>
            <w:r>
              <w:rPr>
                <w:rFonts w:hint="eastAsia"/>
                <w:kern w:val="0"/>
                <w:szCs w:val="21"/>
              </w:rPr>
              <w:t>2．5</w:t>
            </w:r>
          </w:p>
        </w:tc>
        <w:tc>
          <w:tcPr>
            <w:tcW w:w="3473" w:type="dxa"/>
            <w:vAlign w:val="center"/>
          </w:tcPr>
          <w:p>
            <w:pPr>
              <w:pStyle w:val="152"/>
              <w:spacing w:line="240" w:lineRule="auto"/>
              <w:ind w:firstLine="0" w:firstLineChars="0"/>
              <w:rPr>
                <w:kern w:val="0"/>
                <w:szCs w:val="21"/>
              </w:rPr>
            </w:pPr>
            <w:r>
              <w:rPr>
                <w:rFonts w:hint="eastAsia"/>
                <w:kern w:val="0"/>
                <w:szCs w:val="21"/>
              </w:rPr>
              <w:t>查值班巡逻日志，当值发生事件无记录扣0.5分，记录不规范扣0.5分，如反映巡逻不到位一次扣0.5分，巡逻乘座电梯一次扣0.5分。直至该项分值扣完为止。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做好重大活动会议的安全保卫工作，圆满完成交办的任务。</w:t>
            </w:r>
          </w:p>
        </w:tc>
        <w:tc>
          <w:tcPr>
            <w:tcW w:w="791" w:type="dxa"/>
            <w:vAlign w:val="center"/>
          </w:tcPr>
          <w:p>
            <w:pPr>
              <w:pStyle w:val="152"/>
              <w:spacing w:line="240" w:lineRule="auto"/>
              <w:ind w:firstLine="0" w:firstLineChars="0"/>
              <w:rPr>
                <w:kern w:val="0"/>
                <w:szCs w:val="21"/>
              </w:rPr>
            </w:pPr>
            <w:r>
              <w:rPr>
                <w:rFonts w:hint="eastAsia"/>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因安全保卫工作失误，造成不良影响扣1分。直至该项分值扣完为止。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严格执行登记制度，凡进入机关办公楼的外来人员应询问来访目的，查验有关证件，并进行登记。</w:t>
            </w:r>
          </w:p>
        </w:tc>
        <w:tc>
          <w:tcPr>
            <w:tcW w:w="791" w:type="dxa"/>
            <w:vAlign w:val="center"/>
          </w:tcPr>
          <w:p>
            <w:pPr>
              <w:pStyle w:val="152"/>
              <w:spacing w:line="240" w:lineRule="auto"/>
              <w:ind w:firstLine="0" w:firstLineChars="0"/>
              <w:rPr>
                <w:kern w:val="0"/>
                <w:szCs w:val="21"/>
              </w:rPr>
            </w:pPr>
            <w:r>
              <w:rPr>
                <w:rFonts w:hint="eastAsia"/>
                <w:kern w:val="0"/>
                <w:szCs w:val="21"/>
              </w:rPr>
              <w:t>4</w:t>
            </w:r>
          </w:p>
        </w:tc>
        <w:tc>
          <w:tcPr>
            <w:tcW w:w="3473" w:type="dxa"/>
            <w:vAlign w:val="center"/>
          </w:tcPr>
          <w:p>
            <w:pPr>
              <w:pStyle w:val="152"/>
              <w:spacing w:line="240" w:lineRule="auto"/>
              <w:ind w:firstLine="0" w:firstLineChars="0"/>
              <w:rPr>
                <w:kern w:val="0"/>
                <w:szCs w:val="21"/>
              </w:rPr>
            </w:pPr>
            <w:r>
              <w:rPr>
                <w:rFonts w:hint="eastAsia"/>
                <w:kern w:val="0"/>
                <w:szCs w:val="21"/>
              </w:rPr>
              <w:t>未登记每人扣0.5分，扣完为止。直至该项分值扣完为止。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定期组织安全教育；积时发现各类安全隐患，确保不发生物品被盗和各类案件及安全事故。</w:t>
            </w:r>
          </w:p>
        </w:tc>
        <w:tc>
          <w:tcPr>
            <w:tcW w:w="791" w:type="dxa"/>
            <w:vAlign w:val="center"/>
          </w:tcPr>
          <w:p>
            <w:pPr>
              <w:pStyle w:val="152"/>
              <w:spacing w:line="240" w:lineRule="auto"/>
              <w:ind w:firstLine="0" w:firstLineChars="0"/>
              <w:rPr>
                <w:kern w:val="0"/>
                <w:szCs w:val="21"/>
              </w:rPr>
            </w:pPr>
            <w:r>
              <w:rPr>
                <w:rFonts w:hint="eastAsia"/>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无安全教育（查记录）扣0，5分，发生手机钱包被盗事件一次扣0.5分。发生财产被盗案或秩序维护员内部自盗一次扣0.5分，并追究管理人员的责任。直至该项分值扣完为止。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协助搬运家具时，必须轻移轻放，无损坏家具和地板。</w:t>
            </w:r>
          </w:p>
        </w:tc>
        <w:tc>
          <w:tcPr>
            <w:tcW w:w="791" w:type="dxa"/>
            <w:vAlign w:val="center"/>
          </w:tcPr>
          <w:p>
            <w:pPr>
              <w:pStyle w:val="152"/>
              <w:spacing w:line="240" w:lineRule="auto"/>
              <w:ind w:firstLine="0" w:firstLineChars="0"/>
              <w:rPr>
                <w:kern w:val="0"/>
                <w:szCs w:val="21"/>
              </w:rPr>
            </w:pPr>
            <w:r>
              <w:rPr>
                <w:rFonts w:hint="eastAsia"/>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造成家具或地板损坏扣0.5分，并承担10%维修费用。直至该项分值扣完为止。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做好停车场的管理，正确疏导机动车辆进出、泊车，提醒车主关好车辆门窗，上锁，防止车辆碰撞、损坏等问题发生。</w:t>
            </w:r>
          </w:p>
        </w:tc>
        <w:tc>
          <w:tcPr>
            <w:tcW w:w="791" w:type="dxa"/>
            <w:vAlign w:val="center"/>
          </w:tcPr>
          <w:p>
            <w:pPr>
              <w:pStyle w:val="152"/>
              <w:spacing w:line="240" w:lineRule="auto"/>
              <w:ind w:firstLine="0" w:firstLineChars="0"/>
              <w:rPr>
                <w:kern w:val="0"/>
                <w:szCs w:val="21"/>
              </w:rPr>
            </w:pPr>
            <w:r>
              <w:rPr>
                <w:rFonts w:hint="eastAsia"/>
                <w:kern w:val="0"/>
                <w:szCs w:val="21"/>
              </w:rPr>
              <w:t>0.5</w:t>
            </w:r>
          </w:p>
        </w:tc>
        <w:tc>
          <w:tcPr>
            <w:tcW w:w="3473" w:type="dxa"/>
            <w:vAlign w:val="center"/>
          </w:tcPr>
          <w:p>
            <w:pPr>
              <w:pStyle w:val="152"/>
              <w:spacing w:line="240" w:lineRule="auto"/>
              <w:ind w:firstLine="0" w:firstLineChars="0"/>
              <w:rPr>
                <w:kern w:val="0"/>
                <w:szCs w:val="21"/>
              </w:rPr>
            </w:pPr>
            <w:r>
              <w:rPr>
                <w:rFonts w:hint="eastAsia"/>
                <w:kern w:val="0"/>
                <w:szCs w:val="21"/>
              </w:rPr>
              <w:t>发现乱停放车辆，一辆扣0.2分；发生车辆碰撞，碰撞、损坏一次扣0.2分，并由管理公司承担相应责任。直至该项分值扣完为止。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引导非机动车辆集中停放，停放整齐，场地洁净，落实管理制度，确报秩序维护全，严防损坏与丢失。</w:t>
            </w:r>
          </w:p>
        </w:tc>
        <w:tc>
          <w:tcPr>
            <w:tcW w:w="791" w:type="dxa"/>
            <w:vAlign w:val="center"/>
          </w:tcPr>
          <w:p>
            <w:pPr>
              <w:pStyle w:val="152"/>
              <w:spacing w:line="240" w:lineRule="auto"/>
              <w:ind w:firstLine="0" w:firstLineChars="0"/>
              <w:rPr>
                <w:kern w:val="0"/>
                <w:szCs w:val="21"/>
              </w:rPr>
            </w:pPr>
            <w:r>
              <w:rPr>
                <w:rFonts w:hint="eastAsia"/>
                <w:kern w:val="0"/>
                <w:szCs w:val="21"/>
              </w:rPr>
              <w:t>0.5</w:t>
            </w:r>
          </w:p>
        </w:tc>
        <w:tc>
          <w:tcPr>
            <w:tcW w:w="3473" w:type="dxa"/>
            <w:vAlign w:val="center"/>
          </w:tcPr>
          <w:p>
            <w:pPr>
              <w:pStyle w:val="152"/>
              <w:spacing w:line="240" w:lineRule="auto"/>
              <w:ind w:firstLine="0" w:firstLineChars="0"/>
              <w:rPr>
                <w:kern w:val="0"/>
                <w:szCs w:val="21"/>
              </w:rPr>
            </w:pPr>
            <w:r>
              <w:rPr>
                <w:rFonts w:hint="eastAsia"/>
                <w:kern w:val="0"/>
                <w:szCs w:val="21"/>
              </w:rPr>
              <w:t>一项不符合扣0.2分；发生损坏或丢失一次扣0.2分，并由管理公司承担相应责任。直至该项分值扣完为止。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门卫岗位，严格执勤，维护进出车辆秩序，不与车主发生冲突。</w:t>
            </w:r>
          </w:p>
        </w:tc>
        <w:tc>
          <w:tcPr>
            <w:tcW w:w="791" w:type="dxa"/>
            <w:vAlign w:val="center"/>
          </w:tcPr>
          <w:p>
            <w:pPr>
              <w:pStyle w:val="152"/>
              <w:spacing w:line="240" w:lineRule="auto"/>
              <w:ind w:firstLine="0" w:firstLineChars="0"/>
              <w:rPr>
                <w:kern w:val="0"/>
                <w:szCs w:val="21"/>
              </w:rPr>
            </w:pPr>
            <w:r>
              <w:rPr>
                <w:rFonts w:hint="eastAsia"/>
                <w:kern w:val="0"/>
                <w:szCs w:val="21"/>
              </w:rPr>
              <w:t>0.5</w:t>
            </w:r>
          </w:p>
        </w:tc>
        <w:tc>
          <w:tcPr>
            <w:tcW w:w="3473" w:type="dxa"/>
            <w:vAlign w:val="center"/>
          </w:tcPr>
          <w:p>
            <w:pPr>
              <w:pStyle w:val="152"/>
              <w:spacing w:line="240" w:lineRule="auto"/>
              <w:ind w:firstLine="0" w:firstLineChars="0"/>
              <w:rPr>
                <w:kern w:val="0"/>
                <w:szCs w:val="21"/>
              </w:rPr>
            </w:pPr>
            <w:r>
              <w:rPr>
                <w:rFonts w:hint="eastAsia"/>
                <w:kern w:val="0"/>
                <w:szCs w:val="21"/>
              </w:rPr>
              <w:t>发生一起扣0.2分，直至该项分值扣完为止。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能熟练掌握消防设施设备的使用方法。</w:t>
            </w:r>
          </w:p>
        </w:tc>
        <w:tc>
          <w:tcPr>
            <w:tcW w:w="791" w:type="dxa"/>
            <w:vAlign w:val="center"/>
          </w:tcPr>
          <w:p>
            <w:pPr>
              <w:pStyle w:val="152"/>
              <w:spacing w:line="240" w:lineRule="auto"/>
              <w:ind w:firstLine="0" w:firstLineChars="0"/>
              <w:rPr>
                <w:kern w:val="0"/>
                <w:szCs w:val="21"/>
              </w:rPr>
            </w:pPr>
            <w:r>
              <w:rPr>
                <w:rFonts w:hint="eastAsia"/>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不会使用操作扣2分，不熟练扣1分，直至该项分值扣完为止。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能正确果断处理各种火险、火灾以及救护程序。</w:t>
            </w:r>
          </w:p>
        </w:tc>
        <w:tc>
          <w:tcPr>
            <w:tcW w:w="791" w:type="dxa"/>
            <w:vAlign w:val="center"/>
          </w:tcPr>
          <w:p>
            <w:pPr>
              <w:pStyle w:val="152"/>
              <w:spacing w:line="240" w:lineRule="auto"/>
              <w:ind w:firstLine="0" w:firstLineChars="0"/>
              <w:rPr>
                <w:kern w:val="0"/>
                <w:szCs w:val="21"/>
              </w:rPr>
            </w:pPr>
            <w:r>
              <w:rPr>
                <w:rFonts w:hint="eastAsia"/>
                <w:kern w:val="0"/>
                <w:szCs w:val="21"/>
              </w:rPr>
              <w:t>3</w:t>
            </w:r>
          </w:p>
        </w:tc>
        <w:tc>
          <w:tcPr>
            <w:tcW w:w="3473" w:type="dxa"/>
            <w:vAlign w:val="center"/>
          </w:tcPr>
          <w:p>
            <w:pPr>
              <w:pStyle w:val="152"/>
              <w:spacing w:line="240" w:lineRule="auto"/>
              <w:ind w:firstLine="0" w:firstLineChars="0"/>
              <w:rPr>
                <w:kern w:val="0"/>
                <w:szCs w:val="21"/>
              </w:rPr>
            </w:pPr>
            <w:r>
              <w:rPr>
                <w:rFonts w:hint="eastAsia"/>
                <w:kern w:val="0"/>
                <w:szCs w:val="21"/>
              </w:rPr>
              <w:t>不会扣3分，直至该项分值扣完为止。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严格消防管理制度，认真巡查火险隐患，确保无火灾事故发生。</w:t>
            </w:r>
          </w:p>
        </w:tc>
        <w:tc>
          <w:tcPr>
            <w:tcW w:w="791" w:type="dxa"/>
            <w:vAlign w:val="center"/>
          </w:tcPr>
          <w:p>
            <w:pPr>
              <w:pStyle w:val="152"/>
              <w:spacing w:line="240" w:lineRule="auto"/>
              <w:ind w:firstLine="0" w:firstLineChars="0"/>
              <w:rPr>
                <w:kern w:val="0"/>
                <w:szCs w:val="21"/>
              </w:rPr>
            </w:pPr>
            <w:r>
              <w:rPr>
                <w:rFonts w:hint="eastAsia"/>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检查一处有隐患扣2分，发生火灾事故扣2分，并追究责任。直至该项分值扣完为止。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各种消防设施定期检查，确保无缺损，保障正常运行。</w:t>
            </w:r>
          </w:p>
        </w:tc>
        <w:tc>
          <w:tcPr>
            <w:tcW w:w="791" w:type="dxa"/>
            <w:vAlign w:val="center"/>
          </w:tcPr>
          <w:p>
            <w:pPr>
              <w:pStyle w:val="152"/>
              <w:spacing w:line="240" w:lineRule="auto"/>
              <w:ind w:firstLine="0" w:firstLineChars="0"/>
              <w:rPr>
                <w:kern w:val="0"/>
                <w:szCs w:val="21"/>
              </w:rPr>
            </w:pPr>
            <w:r>
              <w:rPr>
                <w:rFonts w:hint="eastAsia"/>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无检查扣1分，一处运行障碍扣1分，一处缺或损坏扣1分。直至该项分值扣完为止。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jc w:val="center"/>
        </w:trPr>
        <w:tc>
          <w:tcPr>
            <w:tcW w:w="635" w:type="dxa"/>
            <w:vMerge w:val="restart"/>
            <w:vAlign w:val="center"/>
          </w:tcPr>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r>
              <w:rPr>
                <w:rFonts w:hint="eastAsia"/>
                <w:kern w:val="0"/>
                <w:szCs w:val="21"/>
              </w:rPr>
              <w:t>清洁卫生管理</w:t>
            </w:r>
          </w:p>
          <w:p>
            <w:pPr>
              <w:pStyle w:val="152"/>
              <w:spacing w:line="240" w:lineRule="auto"/>
              <w:ind w:firstLine="0" w:firstLineChars="0"/>
              <w:rPr>
                <w:kern w:val="0"/>
                <w:szCs w:val="21"/>
              </w:rPr>
            </w:pPr>
            <w:r>
              <w:rPr>
                <w:rFonts w:hint="eastAsia"/>
                <w:kern w:val="0"/>
                <w:szCs w:val="21"/>
              </w:rPr>
              <w:t>（30分）</w:t>
            </w:r>
          </w:p>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清洁保洁责任划分到人，责任范围清洁达到标准化。清洁员着装统一，工作细致，形象良好。</w:t>
            </w:r>
          </w:p>
        </w:tc>
        <w:tc>
          <w:tcPr>
            <w:tcW w:w="791" w:type="dxa"/>
            <w:vAlign w:val="center"/>
          </w:tcPr>
          <w:p>
            <w:pPr>
              <w:pStyle w:val="152"/>
              <w:spacing w:line="240" w:lineRule="auto"/>
              <w:ind w:firstLine="0" w:firstLineChars="0"/>
              <w:rPr>
                <w:kern w:val="0"/>
                <w:szCs w:val="21"/>
              </w:rPr>
            </w:pPr>
            <w:r>
              <w:rPr>
                <w:rFonts w:hint="eastAsia"/>
                <w:kern w:val="0"/>
                <w:szCs w:val="21"/>
              </w:rPr>
              <w:t>4</w:t>
            </w:r>
          </w:p>
        </w:tc>
        <w:tc>
          <w:tcPr>
            <w:tcW w:w="3473" w:type="dxa"/>
            <w:vAlign w:val="center"/>
          </w:tcPr>
          <w:p>
            <w:pPr>
              <w:pStyle w:val="152"/>
              <w:spacing w:line="240" w:lineRule="auto"/>
              <w:ind w:firstLine="0" w:firstLineChars="0"/>
              <w:rPr>
                <w:kern w:val="0"/>
                <w:szCs w:val="21"/>
              </w:rPr>
            </w:pPr>
            <w:r>
              <w:rPr>
                <w:rFonts w:hint="eastAsia"/>
                <w:kern w:val="0"/>
                <w:szCs w:val="21"/>
              </w:rPr>
              <w:t>未明确责任到人，一处扣1分。一处未达到标准保洁扣1分。直至该项分值扣完为止。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各责任区域家具、家电无灰尘，杂物，污渍；门窗及玻璃干净明亮、清爽；地面无纸屑、果皮、灰尘、杂物和污渍；垃圾筒纸篓内的垃圾不能超过三分之二。</w:t>
            </w:r>
          </w:p>
        </w:tc>
        <w:tc>
          <w:tcPr>
            <w:tcW w:w="791" w:type="dxa"/>
            <w:vAlign w:val="center"/>
          </w:tcPr>
          <w:p>
            <w:pPr>
              <w:pStyle w:val="152"/>
              <w:spacing w:line="240" w:lineRule="auto"/>
              <w:ind w:firstLine="0" w:firstLineChars="0"/>
              <w:rPr>
                <w:kern w:val="0"/>
                <w:szCs w:val="21"/>
              </w:rPr>
            </w:pPr>
            <w:r>
              <w:rPr>
                <w:rFonts w:hint="eastAsia"/>
                <w:kern w:val="0"/>
                <w:szCs w:val="21"/>
              </w:rPr>
              <w:t>4</w:t>
            </w:r>
          </w:p>
        </w:tc>
        <w:tc>
          <w:tcPr>
            <w:tcW w:w="3473" w:type="dxa"/>
            <w:vAlign w:val="center"/>
          </w:tcPr>
          <w:p>
            <w:pPr>
              <w:pStyle w:val="152"/>
              <w:spacing w:line="240" w:lineRule="auto"/>
              <w:ind w:firstLine="0" w:firstLineChars="0"/>
              <w:rPr>
                <w:kern w:val="0"/>
                <w:szCs w:val="21"/>
              </w:rPr>
            </w:pPr>
            <w:r>
              <w:rPr>
                <w:rFonts w:hint="eastAsia"/>
                <w:kern w:val="0"/>
                <w:szCs w:val="21"/>
              </w:rPr>
              <w:t>一个责任区域一项未做到扣1分，直至该项分值扣完为止。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各洗手间清洁明亮，无积水，无污渍，无异味。</w:t>
            </w:r>
          </w:p>
        </w:tc>
        <w:tc>
          <w:tcPr>
            <w:tcW w:w="791" w:type="dxa"/>
            <w:vAlign w:val="center"/>
          </w:tcPr>
          <w:p>
            <w:pPr>
              <w:pStyle w:val="152"/>
              <w:spacing w:line="240" w:lineRule="auto"/>
              <w:ind w:firstLine="0" w:firstLineChars="0"/>
              <w:rPr>
                <w:kern w:val="0"/>
                <w:szCs w:val="21"/>
              </w:rPr>
            </w:pPr>
            <w:r>
              <w:rPr>
                <w:rFonts w:hint="eastAsia"/>
                <w:kern w:val="0"/>
                <w:szCs w:val="21"/>
              </w:rPr>
              <w:t>3</w:t>
            </w:r>
          </w:p>
        </w:tc>
        <w:tc>
          <w:tcPr>
            <w:tcW w:w="3473" w:type="dxa"/>
            <w:vAlign w:val="center"/>
          </w:tcPr>
          <w:p>
            <w:pPr>
              <w:pStyle w:val="152"/>
              <w:spacing w:line="240" w:lineRule="auto"/>
              <w:ind w:firstLine="0" w:firstLineChars="0"/>
              <w:rPr>
                <w:kern w:val="0"/>
                <w:szCs w:val="21"/>
              </w:rPr>
            </w:pPr>
            <w:r>
              <w:rPr>
                <w:rFonts w:hint="eastAsia"/>
                <w:kern w:val="0"/>
                <w:szCs w:val="21"/>
              </w:rPr>
              <w:t>一个洗手间一项不符合扣1分。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用专用清洁布擦拭饮水设备，无污渍。</w:t>
            </w:r>
          </w:p>
        </w:tc>
        <w:tc>
          <w:tcPr>
            <w:tcW w:w="791" w:type="dxa"/>
            <w:vAlign w:val="center"/>
          </w:tcPr>
          <w:p>
            <w:pPr>
              <w:pStyle w:val="152"/>
              <w:spacing w:line="240" w:lineRule="auto"/>
              <w:ind w:firstLine="0" w:firstLineChars="0"/>
              <w:rPr>
                <w:kern w:val="0"/>
                <w:szCs w:val="21"/>
              </w:rPr>
            </w:pPr>
            <w:r>
              <w:rPr>
                <w:rFonts w:hint="eastAsia"/>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一处饮水设备不符合扣0.5分。直至该项分值扣完为止。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地面保持干燥，尤其下雨天要加强管理，入口处放置地滑警示牌，防止行人摔伤，确保秩序维护全。</w:t>
            </w:r>
          </w:p>
        </w:tc>
        <w:tc>
          <w:tcPr>
            <w:tcW w:w="791" w:type="dxa"/>
            <w:vAlign w:val="center"/>
          </w:tcPr>
          <w:p>
            <w:pPr>
              <w:pStyle w:val="152"/>
              <w:spacing w:line="240" w:lineRule="auto"/>
              <w:ind w:firstLine="0" w:firstLineChars="0"/>
              <w:rPr>
                <w:kern w:val="0"/>
                <w:szCs w:val="21"/>
              </w:rPr>
            </w:pPr>
            <w:r>
              <w:rPr>
                <w:rFonts w:hint="eastAsia"/>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未设置警示牌，每次扣0.5分。因地面有水或其他果皮等致使人摔伤全扣，并且承担由此引发的责任。直至该项分值扣完为止。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垃圾做到日产日清，垃圾桶每天清洗，外露面无垃圾附着。</w:t>
            </w:r>
          </w:p>
        </w:tc>
        <w:tc>
          <w:tcPr>
            <w:tcW w:w="791" w:type="dxa"/>
            <w:vAlign w:val="center"/>
          </w:tcPr>
          <w:p>
            <w:pPr>
              <w:pStyle w:val="152"/>
              <w:spacing w:line="240" w:lineRule="auto"/>
              <w:ind w:firstLine="0" w:firstLineChars="0"/>
              <w:rPr>
                <w:kern w:val="0"/>
                <w:szCs w:val="21"/>
              </w:rPr>
            </w:pPr>
            <w:r>
              <w:rPr>
                <w:rFonts w:hint="eastAsia"/>
                <w:kern w:val="0"/>
                <w:szCs w:val="21"/>
              </w:rPr>
              <w:t>3</w:t>
            </w:r>
          </w:p>
        </w:tc>
        <w:tc>
          <w:tcPr>
            <w:tcW w:w="3473" w:type="dxa"/>
            <w:vAlign w:val="center"/>
          </w:tcPr>
          <w:p>
            <w:pPr>
              <w:pStyle w:val="152"/>
              <w:spacing w:line="240" w:lineRule="auto"/>
              <w:ind w:firstLine="0" w:firstLineChars="0"/>
              <w:rPr>
                <w:kern w:val="0"/>
                <w:szCs w:val="21"/>
              </w:rPr>
            </w:pPr>
            <w:r>
              <w:rPr>
                <w:rFonts w:hint="eastAsia"/>
                <w:kern w:val="0"/>
                <w:szCs w:val="21"/>
              </w:rPr>
              <w:t>一项未做到扣1分。直至该项分值扣完为止。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路面无明显泥沙、污垢，无石子，无烟头纸屑。</w:t>
            </w:r>
          </w:p>
        </w:tc>
        <w:tc>
          <w:tcPr>
            <w:tcW w:w="791" w:type="dxa"/>
            <w:vAlign w:val="center"/>
          </w:tcPr>
          <w:p>
            <w:pPr>
              <w:pStyle w:val="152"/>
              <w:spacing w:line="240" w:lineRule="auto"/>
              <w:ind w:firstLine="0" w:firstLineChars="0"/>
              <w:rPr>
                <w:kern w:val="0"/>
                <w:szCs w:val="21"/>
              </w:rPr>
            </w:pPr>
            <w:r>
              <w:rPr>
                <w:rFonts w:hint="eastAsia"/>
                <w:kern w:val="0"/>
                <w:szCs w:val="21"/>
              </w:rPr>
              <w:t>4</w:t>
            </w:r>
          </w:p>
        </w:tc>
        <w:tc>
          <w:tcPr>
            <w:tcW w:w="3473" w:type="dxa"/>
            <w:vAlign w:val="center"/>
          </w:tcPr>
          <w:p>
            <w:pPr>
              <w:pStyle w:val="152"/>
              <w:spacing w:line="240" w:lineRule="auto"/>
              <w:ind w:firstLine="0" w:firstLineChars="0"/>
              <w:rPr>
                <w:kern w:val="0"/>
                <w:szCs w:val="21"/>
              </w:rPr>
            </w:pPr>
            <w:r>
              <w:rPr>
                <w:rFonts w:hint="eastAsia"/>
                <w:kern w:val="0"/>
                <w:szCs w:val="21"/>
              </w:rPr>
              <w:t>不符合扣1分。直至该项分值扣完为止。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绿化丛中无烟盒、饮料瓶盒、塑料袋等垃圾。</w:t>
            </w:r>
          </w:p>
        </w:tc>
        <w:tc>
          <w:tcPr>
            <w:tcW w:w="791" w:type="dxa"/>
            <w:vAlign w:val="center"/>
          </w:tcPr>
          <w:p>
            <w:pPr>
              <w:pStyle w:val="152"/>
              <w:spacing w:line="240" w:lineRule="auto"/>
              <w:ind w:firstLine="0" w:firstLineChars="0"/>
              <w:rPr>
                <w:kern w:val="0"/>
                <w:szCs w:val="21"/>
              </w:rPr>
            </w:pPr>
            <w:r>
              <w:rPr>
                <w:rFonts w:hint="eastAsia"/>
                <w:kern w:val="0"/>
                <w:szCs w:val="21"/>
              </w:rPr>
              <w:t>3</w:t>
            </w:r>
          </w:p>
        </w:tc>
        <w:tc>
          <w:tcPr>
            <w:tcW w:w="3473" w:type="dxa"/>
            <w:vAlign w:val="center"/>
          </w:tcPr>
          <w:p>
            <w:pPr>
              <w:pStyle w:val="152"/>
              <w:spacing w:line="240" w:lineRule="auto"/>
              <w:ind w:firstLine="0" w:firstLineChars="0"/>
              <w:rPr>
                <w:kern w:val="0"/>
                <w:szCs w:val="21"/>
              </w:rPr>
            </w:pPr>
            <w:r>
              <w:rPr>
                <w:rFonts w:hint="eastAsia"/>
                <w:kern w:val="0"/>
                <w:szCs w:val="21"/>
              </w:rPr>
              <w:t>发现一处扣1分。直至该项分值扣完为止。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滴水檐无乱堆放杂物，无垃圾、无污渍、无青苔、无积水。</w:t>
            </w:r>
          </w:p>
        </w:tc>
        <w:tc>
          <w:tcPr>
            <w:tcW w:w="791" w:type="dxa"/>
            <w:vAlign w:val="center"/>
          </w:tcPr>
          <w:p>
            <w:pPr>
              <w:pStyle w:val="152"/>
              <w:spacing w:line="240" w:lineRule="auto"/>
              <w:ind w:firstLine="0" w:firstLineChars="0"/>
              <w:rPr>
                <w:kern w:val="0"/>
                <w:szCs w:val="21"/>
              </w:rPr>
            </w:pPr>
            <w:r>
              <w:rPr>
                <w:rFonts w:hint="eastAsia"/>
                <w:kern w:val="0"/>
                <w:szCs w:val="21"/>
              </w:rPr>
              <w:t>3</w:t>
            </w:r>
          </w:p>
        </w:tc>
        <w:tc>
          <w:tcPr>
            <w:tcW w:w="3473" w:type="dxa"/>
            <w:vAlign w:val="center"/>
          </w:tcPr>
          <w:p>
            <w:pPr>
              <w:pStyle w:val="152"/>
              <w:spacing w:line="240" w:lineRule="auto"/>
              <w:ind w:firstLine="0" w:firstLineChars="0"/>
              <w:rPr>
                <w:kern w:val="0"/>
                <w:szCs w:val="21"/>
              </w:rPr>
            </w:pPr>
            <w:r>
              <w:rPr>
                <w:rFonts w:hint="eastAsia"/>
                <w:kern w:val="0"/>
                <w:szCs w:val="21"/>
              </w:rPr>
              <w:t>发现一处扣1分。直至该项分值扣完为止。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各明沟无垃圾、无青苔，畅通。</w:t>
            </w:r>
          </w:p>
        </w:tc>
        <w:tc>
          <w:tcPr>
            <w:tcW w:w="791" w:type="dxa"/>
            <w:vAlign w:val="center"/>
          </w:tcPr>
          <w:p>
            <w:pPr>
              <w:pStyle w:val="152"/>
              <w:spacing w:line="240" w:lineRule="auto"/>
              <w:ind w:firstLine="0" w:firstLineChars="0"/>
              <w:rPr>
                <w:kern w:val="0"/>
                <w:szCs w:val="21"/>
              </w:rPr>
            </w:pPr>
            <w:r>
              <w:rPr>
                <w:rFonts w:hint="eastAsia"/>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一条沟不符合扣0.5分，直至该项分值扣完为止。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确保无卫生死角。</w:t>
            </w:r>
          </w:p>
        </w:tc>
        <w:tc>
          <w:tcPr>
            <w:tcW w:w="791" w:type="dxa"/>
            <w:vAlign w:val="center"/>
          </w:tcPr>
          <w:p>
            <w:pPr>
              <w:pStyle w:val="152"/>
              <w:spacing w:line="240" w:lineRule="auto"/>
              <w:ind w:firstLine="0" w:firstLineChars="0"/>
              <w:rPr>
                <w:kern w:val="0"/>
                <w:szCs w:val="21"/>
              </w:rPr>
            </w:pPr>
            <w:r>
              <w:rPr>
                <w:rFonts w:hint="eastAsia"/>
                <w:kern w:val="0"/>
                <w:szCs w:val="21"/>
              </w:rPr>
              <w:t>3</w:t>
            </w:r>
          </w:p>
        </w:tc>
        <w:tc>
          <w:tcPr>
            <w:tcW w:w="3473" w:type="dxa"/>
            <w:vAlign w:val="center"/>
          </w:tcPr>
          <w:p>
            <w:pPr>
              <w:pStyle w:val="152"/>
              <w:spacing w:line="240" w:lineRule="auto"/>
              <w:ind w:firstLine="0" w:firstLineChars="0"/>
              <w:rPr>
                <w:kern w:val="0"/>
                <w:szCs w:val="21"/>
              </w:rPr>
            </w:pPr>
            <w:r>
              <w:rPr>
                <w:rFonts w:hint="eastAsia"/>
                <w:kern w:val="0"/>
                <w:szCs w:val="21"/>
              </w:rPr>
              <w:t>一处扣1分，直至该项分值扣完为止。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restart"/>
            <w:vAlign w:val="center"/>
          </w:tcPr>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r>
              <w:rPr>
                <w:rFonts w:hint="eastAsia"/>
                <w:kern w:val="0"/>
                <w:szCs w:val="21"/>
              </w:rPr>
              <w:t>水电 (维</w:t>
            </w:r>
          </w:p>
          <w:p>
            <w:pPr>
              <w:pStyle w:val="152"/>
              <w:spacing w:line="240" w:lineRule="auto"/>
              <w:ind w:firstLine="0" w:firstLineChars="0"/>
              <w:rPr>
                <w:kern w:val="0"/>
                <w:szCs w:val="21"/>
              </w:rPr>
            </w:pPr>
            <w:r>
              <w:rPr>
                <w:rFonts w:hint="eastAsia"/>
                <w:kern w:val="0"/>
                <w:szCs w:val="21"/>
              </w:rPr>
              <w:t>修、锅炉)工作</w:t>
            </w:r>
          </w:p>
          <w:p>
            <w:pPr>
              <w:pStyle w:val="152"/>
              <w:spacing w:line="240" w:lineRule="auto"/>
              <w:ind w:firstLine="0" w:firstLineChars="0"/>
              <w:rPr>
                <w:kern w:val="0"/>
                <w:szCs w:val="21"/>
              </w:rPr>
            </w:pPr>
            <w:r>
              <w:rPr>
                <w:rFonts w:hint="eastAsia"/>
                <w:kern w:val="0"/>
                <w:szCs w:val="21"/>
              </w:rPr>
              <w:t>（12分）</w:t>
            </w:r>
          </w:p>
        </w:tc>
        <w:tc>
          <w:tcPr>
            <w:tcW w:w="3456" w:type="dxa"/>
            <w:vAlign w:val="center"/>
          </w:tcPr>
          <w:p>
            <w:pPr>
              <w:pStyle w:val="152"/>
              <w:spacing w:line="240" w:lineRule="auto"/>
              <w:ind w:firstLine="0" w:firstLineChars="0"/>
              <w:rPr>
                <w:kern w:val="0"/>
                <w:szCs w:val="21"/>
              </w:rPr>
            </w:pPr>
            <w:r>
              <w:rPr>
                <w:rFonts w:hint="eastAsia"/>
                <w:kern w:val="0"/>
                <w:szCs w:val="21"/>
              </w:rPr>
              <w:t>做好设备其附属设施的保养，做好维修工作，保持设备的正常运行。</w:t>
            </w:r>
          </w:p>
        </w:tc>
        <w:tc>
          <w:tcPr>
            <w:tcW w:w="791" w:type="dxa"/>
            <w:vAlign w:val="center"/>
          </w:tcPr>
          <w:p>
            <w:pPr>
              <w:pStyle w:val="152"/>
              <w:spacing w:line="240" w:lineRule="auto"/>
              <w:ind w:firstLine="0" w:firstLineChars="0"/>
              <w:rPr>
                <w:kern w:val="0"/>
                <w:szCs w:val="21"/>
              </w:rPr>
            </w:pPr>
            <w:r>
              <w:rPr>
                <w:rFonts w:hint="eastAsia"/>
                <w:kern w:val="0"/>
                <w:szCs w:val="21"/>
              </w:rPr>
              <w:t>6</w:t>
            </w:r>
          </w:p>
        </w:tc>
        <w:tc>
          <w:tcPr>
            <w:tcW w:w="3473" w:type="dxa"/>
            <w:vAlign w:val="center"/>
          </w:tcPr>
          <w:p>
            <w:pPr>
              <w:pStyle w:val="152"/>
              <w:spacing w:line="240" w:lineRule="auto"/>
              <w:ind w:firstLine="0" w:firstLineChars="0"/>
              <w:rPr>
                <w:kern w:val="0"/>
                <w:szCs w:val="21"/>
              </w:rPr>
            </w:pPr>
            <w:r>
              <w:rPr>
                <w:rFonts w:hint="eastAsia"/>
                <w:kern w:val="0"/>
                <w:szCs w:val="21"/>
              </w:rPr>
              <w:t>因设备损坏，未及时维修影响工作，扣2分/次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保证各项设备清洁，仪表显示清晰准确，工具摆放整齐，整洁，卫生。</w:t>
            </w:r>
          </w:p>
        </w:tc>
        <w:tc>
          <w:tcPr>
            <w:tcW w:w="791" w:type="dxa"/>
            <w:vAlign w:val="center"/>
          </w:tcPr>
          <w:p>
            <w:pPr>
              <w:pStyle w:val="152"/>
              <w:spacing w:line="240" w:lineRule="auto"/>
              <w:ind w:firstLine="0" w:firstLineChars="0"/>
              <w:rPr>
                <w:kern w:val="0"/>
                <w:szCs w:val="21"/>
              </w:rPr>
            </w:pPr>
            <w:r>
              <w:rPr>
                <w:rFonts w:hint="eastAsia"/>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未达到要求，扣0.5分/次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认真学习各项有关法规，努力钻研业务，提高技术水平。</w:t>
            </w:r>
          </w:p>
        </w:tc>
        <w:tc>
          <w:tcPr>
            <w:tcW w:w="791" w:type="dxa"/>
            <w:vAlign w:val="center"/>
          </w:tcPr>
          <w:p>
            <w:pPr>
              <w:pStyle w:val="152"/>
              <w:spacing w:line="240" w:lineRule="auto"/>
              <w:ind w:firstLine="0" w:firstLineChars="0"/>
              <w:rPr>
                <w:kern w:val="0"/>
                <w:szCs w:val="21"/>
              </w:rPr>
            </w:pPr>
            <w:r>
              <w:rPr>
                <w:rFonts w:hint="eastAsia"/>
                <w:kern w:val="0"/>
                <w:szCs w:val="21"/>
              </w:rPr>
              <w:t>0.5</w:t>
            </w:r>
          </w:p>
        </w:tc>
        <w:tc>
          <w:tcPr>
            <w:tcW w:w="3473" w:type="dxa"/>
            <w:vAlign w:val="center"/>
          </w:tcPr>
          <w:p>
            <w:pPr>
              <w:pStyle w:val="152"/>
              <w:spacing w:line="240" w:lineRule="auto"/>
              <w:ind w:firstLine="0" w:firstLineChars="0"/>
              <w:rPr>
                <w:kern w:val="0"/>
                <w:szCs w:val="21"/>
              </w:rPr>
            </w:pPr>
            <w:r>
              <w:rPr>
                <w:rFonts w:hint="eastAsia"/>
                <w:kern w:val="0"/>
                <w:szCs w:val="21"/>
              </w:rPr>
              <w:t>未达到要求，，扣0.2分/次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对相关设备及其附属设备经常进行巡回检查；认真填写各种记录发现故障应及时处置，并报告学校主管部门。</w:t>
            </w:r>
          </w:p>
        </w:tc>
        <w:tc>
          <w:tcPr>
            <w:tcW w:w="791" w:type="dxa"/>
            <w:vAlign w:val="center"/>
          </w:tcPr>
          <w:p>
            <w:pPr>
              <w:pStyle w:val="152"/>
              <w:spacing w:line="240" w:lineRule="auto"/>
              <w:ind w:firstLine="0" w:firstLineChars="0"/>
              <w:rPr>
                <w:kern w:val="0"/>
                <w:szCs w:val="21"/>
              </w:rPr>
            </w:pPr>
            <w:r>
              <w:rPr>
                <w:rFonts w:hint="eastAsia"/>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因检查、记录不及时，影响工作，扣1分/次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严格执行安全操作规程，严格遵守劳动纪律，不做与本职工作无关的事。</w:t>
            </w:r>
          </w:p>
        </w:tc>
        <w:tc>
          <w:tcPr>
            <w:tcW w:w="791" w:type="dxa"/>
            <w:vAlign w:val="center"/>
          </w:tcPr>
          <w:p>
            <w:pPr>
              <w:pStyle w:val="152"/>
              <w:spacing w:line="240" w:lineRule="auto"/>
              <w:ind w:firstLine="0" w:firstLineChars="0"/>
              <w:rPr>
                <w:kern w:val="0"/>
                <w:szCs w:val="21"/>
              </w:rPr>
            </w:pPr>
            <w:r>
              <w:rPr>
                <w:rFonts w:hint="eastAsia"/>
                <w:kern w:val="0"/>
                <w:szCs w:val="21"/>
              </w:rPr>
              <w:t>1.5</w:t>
            </w:r>
          </w:p>
        </w:tc>
        <w:tc>
          <w:tcPr>
            <w:tcW w:w="3473" w:type="dxa"/>
            <w:vAlign w:val="center"/>
          </w:tcPr>
          <w:p>
            <w:pPr>
              <w:pStyle w:val="152"/>
              <w:spacing w:line="240" w:lineRule="auto"/>
              <w:ind w:firstLine="0" w:firstLineChars="0"/>
              <w:rPr>
                <w:kern w:val="0"/>
                <w:szCs w:val="21"/>
              </w:rPr>
            </w:pPr>
            <w:r>
              <w:rPr>
                <w:rFonts w:hint="eastAsia"/>
                <w:kern w:val="0"/>
                <w:szCs w:val="21"/>
              </w:rPr>
              <w:t>不遵守纪律和不按规定操作，造成损失和影响的，扣1分/次，损失严重的还要赔偿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restart"/>
          </w:tcPr>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r>
              <w:rPr>
                <w:rFonts w:hint="eastAsia"/>
                <w:kern w:val="0"/>
                <w:szCs w:val="21"/>
              </w:rPr>
              <w:t>绿化养护工作</w:t>
            </w:r>
          </w:p>
          <w:p>
            <w:pPr>
              <w:pStyle w:val="152"/>
              <w:spacing w:line="240" w:lineRule="auto"/>
              <w:ind w:firstLine="0" w:firstLineChars="0"/>
              <w:rPr>
                <w:kern w:val="0"/>
                <w:szCs w:val="21"/>
              </w:rPr>
            </w:pPr>
            <w:r>
              <w:rPr>
                <w:rFonts w:hint="eastAsia"/>
                <w:kern w:val="0"/>
                <w:szCs w:val="21"/>
              </w:rPr>
              <w:t>（12分）</w:t>
            </w:r>
          </w:p>
        </w:tc>
        <w:tc>
          <w:tcPr>
            <w:tcW w:w="3456" w:type="dxa"/>
            <w:vAlign w:val="center"/>
          </w:tcPr>
          <w:p>
            <w:pPr>
              <w:pStyle w:val="152"/>
              <w:spacing w:line="240" w:lineRule="auto"/>
              <w:ind w:firstLine="0" w:firstLineChars="0"/>
              <w:rPr>
                <w:kern w:val="0"/>
                <w:szCs w:val="21"/>
              </w:rPr>
            </w:pPr>
            <w:r>
              <w:rPr>
                <w:rFonts w:hint="eastAsia"/>
                <w:kern w:val="0"/>
                <w:szCs w:val="21"/>
              </w:rPr>
              <w:t>按生长习性定期完成灌溉、施肥、修剪，及时处理枯枝。</w:t>
            </w:r>
          </w:p>
        </w:tc>
        <w:tc>
          <w:tcPr>
            <w:tcW w:w="791" w:type="dxa"/>
            <w:vAlign w:val="center"/>
          </w:tcPr>
          <w:p>
            <w:pPr>
              <w:pStyle w:val="152"/>
              <w:spacing w:line="240" w:lineRule="auto"/>
              <w:ind w:firstLine="0" w:firstLineChars="0"/>
              <w:rPr>
                <w:kern w:val="0"/>
                <w:szCs w:val="21"/>
              </w:rPr>
            </w:pPr>
            <w:r>
              <w:rPr>
                <w:rFonts w:hint="eastAsia"/>
                <w:kern w:val="0"/>
                <w:szCs w:val="21"/>
              </w:rPr>
              <w:t>4</w:t>
            </w:r>
          </w:p>
        </w:tc>
        <w:tc>
          <w:tcPr>
            <w:tcW w:w="3473" w:type="dxa"/>
            <w:vAlign w:val="center"/>
          </w:tcPr>
          <w:p>
            <w:pPr>
              <w:pStyle w:val="152"/>
              <w:spacing w:line="240" w:lineRule="auto"/>
              <w:ind w:firstLine="0" w:firstLineChars="0"/>
              <w:rPr>
                <w:kern w:val="0"/>
                <w:szCs w:val="21"/>
              </w:rPr>
            </w:pPr>
            <w:r>
              <w:rPr>
                <w:rFonts w:hint="eastAsia"/>
                <w:kern w:val="0"/>
                <w:szCs w:val="21"/>
              </w:rPr>
              <w:t>灌溉、施肥、修剪不及时，造成植物生长不良，杂乱，扣1分/次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爬藤植物及时牵引、上架，无杂草和植物同生现象。</w:t>
            </w:r>
          </w:p>
        </w:tc>
        <w:tc>
          <w:tcPr>
            <w:tcW w:w="791" w:type="dxa"/>
            <w:vAlign w:val="center"/>
          </w:tcPr>
          <w:p>
            <w:pPr>
              <w:pStyle w:val="152"/>
              <w:spacing w:line="240" w:lineRule="auto"/>
              <w:ind w:firstLine="0" w:firstLineChars="0"/>
              <w:rPr>
                <w:kern w:val="0"/>
                <w:szCs w:val="21"/>
              </w:rPr>
            </w:pPr>
            <w:r>
              <w:rPr>
                <w:rFonts w:hint="eastAsia"/>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不及时除杂草，发现一次扣1分/次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周边无废纸、无砖头瓦砾，绿化垃圾当天清除。</w:t>
            </w:r>
          </w:p>
        </w:tc>
        <w:tc>
          <w:tcPr>
            <w:tcW w:w="791" w:type="dxa"/>
            <w:vAlign w:val="center"/>
          </w:tcPr>
          <w:p>
            <w:pPr>
              <w:pStyle w:val="152"/>
              <w:spacing w:line="240" w:lineRule="auto"/>
              <w:ind w:firstLine="0" w:firstLineChars="0"/>
              <w:rPr>
                <w:kern w:val="0"/>
                <w:szCs w:val="21"/>
              </w:rPr>
            </w:pPr>
            <w:r>
              <w:rPr>
                <w:rFonts w:hint="eastAsia"/>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有垃圾杂物，未及时清理，发现一次扣0.5分/次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盆花摆放整齐、造型美观、花色不协调；残花及时更换</w:t>
            </w:r>
          </w:p>
        </w:tc>
        <w:tc>
          <w:tcPr>
            <w:tcW w:w="791" w:type="dxa"/>
            <w:vAlign w:val="center"/>
          </w:tcPr>
          <w:p>
            <w:pPr>
              <w:pStyle w:val="152"/>
              <w:spacing w:line="240" w:lineRule="auto"/>
              <w:ind w:firstLine="0" w:firstLineChars="0"/>
              <w:rPr>
                <w:kern w:val="0"/>
                <w:szCs w:val="21"/>
              </w:rPr>
            </w:pPr>
            <w:r>
              <w:rPr>
                <w:rFonts w:hint="eastAsia"/>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摆放杂乱或未及时更换，发现一次扣1分/次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爱护维护绿化工具，摆放整齐</w:t>
            </w:r>
          </w:p>
        </w:tc>
        <w:tc>
          <w:tcPr>
            <w:tcW w:w="791" w:type="dxa"/>
            <w:vAlign w:val="center"/>
          </w:tcPr>
          <w:p>
            <w:pPr>
              <w:pStyle w:val="152"/>
              <w:spacing w:line="240" w:lineRule="auto"/>
              <w:ind w:firstLine="0" w:firstLineChars="0"/>
              <w:rPr>
                <w:kern w:val="0"/>
                <w:szCs w:val="21"/>
              </w:rPr>
            </w:pPr>
            <w:r>
              <w:rPr>
                <w:rFonts w:hint="eastAsia"/>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未按要求发现一次扣1分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配合学校教育，对花木挂牌</w:t>
            </w:r>
          </w:p>
        </w:tc>
        <w:tc>
          <w:tcPr>
            <w:tcW w:w="791" w:type="dxa"/>
            <w:vAlign w:val="center"/>
          </w:tcPr>
          <w:p>
            <w:pPr>
              <w:pStyle w:val="152"/>
              <w:spacing w:line="240" w:lineRule="auto"/>
              <w:ind w:firstLine="0" w:firstLineChars="0"/>
              <w:rPr>
                <w:kern w:val="0"/>
                <w:szCs w:val="21"/>
              </w:rPr>
            </w:pPr>
            <w:r>
              <w:rPr>
                <w:rFonts w:hint="eastAsia"/>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未按要求及时挂牌，发现一次扣0.5</w:t>
            </w:r>
          </w:p>
          <w:p>
            <w:pPr>
              <w:pStyle w:val="152"/>
              <w:spacing w:line="240" w:lineRule="auto"/>
              <w:ind w:firstLine="0" w:firstLineChars="0"/>
              <w:rPr>
                <w:kern w:val="0"/>
                <w:szCs w:val="21"/>
              </w:rPr>
            </w:pPr>
            <w:r>
              <w:rPr>
                <w:rFonts w:hint="eastAsia"/>
                <w:kern w:val="0"/>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restart"/>
          </w:tcPr>
          <w:p>
            <w:pPr>
              <w:pStyle w:val="152"/>
              <w:spacing w:line="240" w:lineRule="auto"/>
              <w:ind w:firstLine="0" w:firstLineChars="0"/>
              <w:rPr>
                <w:kern w:val="0"/>
                <w:szCs w:val="21"/>
              </w:rPr>
            </w:pPr>
            <w:r>
              <w:rPr>
                <w:rFonts w:hint="eastAsia"/>
                <w:kern w:val="0"/>
                <w:szCs w:val="21"/>
              </w:rPr>
              <w:t>其它</w:t>
            </w:r>
          </w:p>
          <w:p>
            <w:pPr>
              <w:pStyle w:val="152"/>
              <w:spacing w:line="240" w:lineRule="auto"/>
              <w:ind w:firstLine="0" w:firstLineChars="0"/>
              <w:rPr>
                <w:kern w:val="0"/>
                <w:szCs w:val="21"/>
              </w:rPr>
            </w:pPr>
            <w:r>
              <w:rPr>
                <w:rFonts w:hint="eastAsia"/>
                <w:kern w:val="0"/>
                <w:szCs w:val="21"/>
              </w:rPr>
              <w:t>（10分）</w:t>
            </w:r>
          </w:p>
        </w:tc>
        <w:tc>
          <w:tcPr>
            <w:tcW w:w="3456" w:type="dxa"/>
            <w:vAlign w:val="center"/>
          </w:tcPr>
          <w:p>
            <w:pPr>
              <w:pStyle w:val="152"/>
              <w:spacing w:line="240" w:lineRule="auto"/>
              <w:ind w:firstLine="0" w:firstLineChars="0"/>
              <w:rPr>
                <w:kern w:val="0"/>
                <w:szCs w:val="21"/>
              </w:rPr>
            </w:pPr>
            <w:r>
              <w:rPr>
                <w:rFonts w:hint="eastAsia"/>
                <w:kern w:val="0"/>
                <w:szCs w:val="21"/>
              </w:rPr>
              <w:t>临时工作</w:t>
            </w:r>
          </w:p>
        </w:tc>
        <w:tc>
          <w:tcPr>
            <w:tcW w:w="791" w:type="dxa"/>
            <w:vAlign w:val="center"/>
          </w:tcPr>
          <w:p>
            <w:pPr>
              <w:pStyle w:val="152"/>
              <w:spacing w:line="240" w:lineRule="auto"/>
              <w:ind w:firstLine="0" w:firstLineChars="0"/>
              <w:rPr>
                <w:kern w:val="0"/>
                <w:szCs w:val="21"/>
              </w:rPr>
            </w:pPr>
            <w:r>
              <w:rPr>
                <w:rFonts w:hint="eastAsia"/>
                <w:kern w:val="0"/>
                <w:szCs w:val="21"/>
              </w:rPr>
              <w:t>5</w:t>
            </w:r>
          </w:p>
        </w:tc>
        <w:tc>
          <w:tcPr>
            <w:tcW w:w="3473" w:type="dxa"/>
            <w:vAlign w:val="center"/>
          </w:tcPr>
          <w:p>
            <w:pPr>
              <w:pStyle w:val="152"/>
              <w:spacing w:line="240" w:lineRule="auto"/>
              <w:ind w:firstLine="0" w:firstLineChars="0"/>
              <w:rPr>
                <w:kern w:val="0"/>
                <w:szCs w:val="21"/>
              </w:rPr>
            </w:pPr>
            <w:r>
              <w:rPr>
                <w:rFonts w:hint="eastAsia"/>
                <w:kern w:val="0"/>
                <w:szCs w:val="21"/>
              </w:rPr>
              <w:t>不服从学校安排，无端推诿、拖延，敷衍等，一次扣2分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服务团队的稳定性</w:t>
            </w:r>
          </w:p>
        </w:tc>
        <w:tc>
          <w:tcPr>
            <w:tcW w:w="791" w:type="dxa"/>
            <w:vAlign w:val="center"/>
          </w:tcPr>
          <w:p>
            <w:pPr>
              <w:pStyle w:val="152"/>
              <w:spacing w:line="240" w:lineRule="auto"/>
              <w:ind w:firstLine="0" w:firstLineChars="0"/>
              <w:rPr>
                <w:kern w:val="0"/>
                <w:szCs w:val="21"/>
              </w:rPr>
            </w:pPr>
            <w:r>
              <w:rPr>
                <w:rFonts w:hint="eastAsia"/>
                <w:kern w:val="0"/>
                <w:szCs w:val="21"/>
              </w:rPr>
              <w:t>5</w:t>
            </w:r>
          </w:p>
        </w:tc>
        <w:tc>
          <w:tcPr>
            <w:tcW w:w="3473" w:type="dxa"/>
            <w:vAlign w:val="center"/>
          </w:tcPr>
          <w:p>
            <w:pPr>
              <w:pStyle w:val="152"/>
              <w:spacing w:line="240" w:lineRule="auto"/>
              <w:ind w:firstLine="0" w:firstLineChars="0"/>
              <w:rPr>
                <w:kern w:val="0"/>
                <w:szCs w:val="21"/>
              </w:rPr>
            </w:pPr>
            <w:r>
              <w:rPr>
                <w:rFonts w:hint="eastAsia"/>
                <w:kern w:val="0"/>
                <w:szCs w:val="21"/>
              </w:rPr>
              <w:t>服务期每月调离或更换服务人员不得超过</w:t>
            </w:r>
            <w:r>
              <w:rPr>
                <w:kern w:val="0"/>
                <w:szCs w:val="21"/>
              </w:rPr>
              <w:t>20</w:t>
            </w:r>
            <w:r>
              <w:rPr>
                <w:rFonts w:hint="eastAsia"/>
                <w:kern w:val="0"/>
                <w:szCs w:val="21"/>
              </w:rPr>
              <w:t>%，超出</w:t>
            </w:r>
            <w:r>
              <w:rPr>
                <w:kern w:val="0"/>
                <w:szCs w:val="21"/>
              </w:rPr>
              <w:t>5%</w:t>
            </w:r>
            <w:r>
              <w:rPr>
                <w:rFonts w:hint="eastAsia"/>
                <w:kern w:val="0"/>
                <w:szCs w:val="21"/>
              </w:rPr>
              <w:t>次扣3分</w:t>
            </w:r>
          </w:p>
        </w:tc>
      </w:tr>
    </w:tbl>
    <w:p>
      <w:pPr>
        <w:rPr>
          <w:szCs w:val="21"/>
        </w:rPr>
      </w:pPr>
    </w:p>
    <w:p>
      <w:pPr>
        <w:pStyle w:val="152"/>
        <w:ind w:firstLine="562"/>
        <w:rPr>
          <w:rFonts w:ascii="宋体" w:hAnsi="宋体" w:cs="宋体" w:eastAsiaTheme="minorEastAsia"/>
          <w:b/>
          <w:bCs/>
          <w:sz w:val="28"/>
          <w:szCs w:val="28"/>
        </w:rPr>
      </w:pPr>
      <w:r>
        <w:rPr>
          <w:rFonts w:hint="eastAsia" w:ascii="宋体" w:hAnsi="宋体" w:cs="宋体" w:eastAsiaTheme="minorEastAsia"/>
          <w:b/>
          <w:bCs/>
          <w:sz w:val="28"/>
          <w:szCs w:val="28"/>
          <w:lang w:val="zh-CN"/>
        </w:rPr>
        <w:t>包件</w:t>
      </w:r>
      <w:r>
        <w:rPr>
          <w:rFonts w:hint="eastAsia" w:ascii="宋体" w:hAnsi="宋体" w:cs="宋体" w:eastAsiaTheme="minorEastAsia"/>
          <w:b/>
          <w:bCs/>
          <w:sz w:val="28"/>
          <w:szCs w:val="28"/>
        </w:rPr>
        <w:t>2：</w:t>
      </w:r>
    </w:p>
    <w:p>
      <w:pPr>
        <w:tabs>
          <w:tab w:val="left" w:pos="867"/>
        </w:tabs>
        <w:ind w:firstLine="480"/>
        <w:rPr>
          <w:rFonts w:ascii="宋体" w:hAnsi="宋体" w:cs="宋体"/>
          <w:szCs w:val="21"/>
          <w:lang w:val="zh-TW" w:bidi="zh-TW"/>
        </w:rPr>
      </w:pPr>
      <w:r>
        <w:rPr>
          <w:rFonts w:hint="eastAsia" w:ascii="宋体" w:hAnsi="宋体" w:cs="宋体"/>
          <w:szCs w:val="21"/>
          <w:lang w:bidi="zh-TW"/>
        </w:rPr>
        <w:t>1.青羊区教育科学研究院</w:t>
      </w:r>
    </w:p>
    <w:p>
      <w:pPr>
        <w:pStyle w:val="152"/>
        <w:spacing w:line="240" w:lineRule="auto"/>
        <w:ind w:firstLine="0" w:firstLineChars="0"/>
        <w:rPr>
          <w:szCs w:val="21"/>
        </w:rPr>
      </w:pPr>
    </w:p>
    <w:tbl>
      <w:tblPr>
        <w:tblStyle w:val="43"/>
        <w:tblW w:w="83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4"/>
        <w:gridCol w:w="3357"/>
        <w:gridCol w:w="791"/>
        <w:gridCol w:w="3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4" w:type="dxa"/>
            <w:vAlign w:val="center"/>
          </w:tcPr>
          <w:p>
            <w:pPr>
              <w:pStyle w:val="152"/>
              <w:spacing w:line="240" w:lineRule="auto"/>
              <w:ind w:firstLine="0" w:firstLineChars="0"/>
              <w:rPr>
                <w:kern w:val="0"/>
                <w:szCs w:val="21"/>
              </w:rPr>
            </w:pPr>
            <w:r>
              <w:rPr>
                <w:rFonts w:hint="eastAsia"/>
                <w:kern w:val="0"/>
                <w:szCs w:val="21"/>
              </w:rPr>
              <w:t>项目</w:t>
            </w:r>
          </w:p>
        </w:tc>
        <w:tc>
          <w:tcPr>
            <w:tcW w:w="3357" w:type="dxa"/>
            <w:vAlign w:val="center"/>
          </w:tcPr>
          <w:p>
            <w:pPr>
              <w:pStyle w:val="152"/>
              <w:spacing w:line="240" w:lineRule="auto"/>
              <w:ind w:firstLine="0" w:firstLineChars="0"/>
              <w:rPr>
                <w:kern w:val="0"/>
                <w:szCs w:val="21"/>
              </w:rPr>
            </w:pPr>
            <w:r>
              <w:rPr>
                <w:rFonts w:hint="eastAsia"/>
                <w:kern w:val="0"/>
                <w:szCs w:val="21"/>
              </w:rPr>
              <w:t>服务质量标准</w:t>
            </w:r>
          </w:p>
        </w:tc>
        <w:tc>
          <w:tcPr>
            <w:tcW w:w="791" w:type="dxa"/>
            <w:vAlign w:val="center"/>
          </w:tcPr>
          <w:p>
            <w:pPr>
              <w:pStyle w:val="152"/>
              <w:spacing w:line="240" w:lineRule="auto"/>
              <w:ind w:firstLine="0" w:firstLineChars="0"/>
              <w:rPr>
                <w:kern w:val="0"/>
                <w:szCs w:val="21"/>
              </w:rPr>
            </w:pPr>
            <w:r>
              <w:rPr>
                <w:rFonts w:hint="eastAsia"/>
                <w:kern w:val="0"/>
                <w:szCs w:val="21"/>
              </w:rPr>
              <w:t>单项</w:t>
            </w:r>
          </w:p>
          <w:p>
            <w:pPr>
              <w:pStyle w:val="152"/>
              <w:spacing w:line="240" w:lineRule="auto"/>
              <w:ind w:firstLine="0" w:firstLineChars="0"/>
              <w:rPr>
                <w:kern w:val="0"/>
                <w:szCs w:val="21"/>
              </w:rPr>
            </w:pPr>
            <w:r>
              <w:rPr>
                <w:rFonts w:hint="eastAsia"/>
                <w:kern w:val="0"/>
                <w:szCs w:val="21"/>
              </w:rPr>
              <w:t>分值</w:t>
            </w:r>
          </w:p>
        </w:tc>
        <w:tc>
          <w:tcPr>
            <w:tcW w:w="3473" w:type="dxa"/>
            <w:vAlign w:val="center"/>
          </w:tcPr>
          <w:p>
            <w:pPr>
              <w:pStyle w:val="152"/>
              <w:spacing w:line="240" w:lineRule="auto"/>
              <w:ind w:firstLine="0" w:firstLineChars="0"/>
              <w:rPr>
                <w:kern w:val="0"/>
                <w:szCs w:val="21"/>
              </w:rPr>
            </w:pPr>
            <w:r>
              <w:rPr>
                <w:rFonts w:hint="eastAsia"/>
                <w:kern w:val="0"/>
                <w:szCs w:val="21"/>
              </w:rPr>
              <w:t>监督考评扣分标准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4" w:type="dxa"/>
            <w:vMerge w:val="restart"/>
            <w:vAlign w:val="center"/>
          </w:tcPr>
          <w:p>
            <w:pPr>
              <w:pStyle w:val="152"/>
              <w:spacing w:line="240" w:lineRule="auto"/>
              <w:ind w:firstLine="0" w:firstLineChars="0"/>
              <w:rPr>
                <w:kern w:val="0"/>
                <w:szCs w:val="21"/>
              </w:rPr>
            </w:pPr>
            <w:r>
              <w:rPr>
                <w:rFonts w:hint="eastAsia"/>
                <w:kern w:val="0"/>
                <w:szCs w:val="21"/>
              </w:rPr>
              <w:t>主管</w:t>
            </w:r>
          </w:p>
          <w:p>
            <w:pPr>
              <w:pStyle w:val="152"/>
              <w:spacing w:line="240" w:lineRule="auto"/>
              <w:ind w:firstLine="0" w:firstLineChars="0"/>
              <w:rPr>
                <w:kern w:val="0"/>
                <w:szCs w:val="21"/>
              </w:rPr>
            </w:pPr>
            <w:r>
              <w:rPr>
                <w:rFonts w:hint="eastAsia"/>
                <w:kern w:val="0"/>
                <w:szCs w:val="21"/>
              </w:rPr>
              <w:t>(5分）</w:t>
            </w:r>
          </w:p>
        </w:tc>
        <w:tc>
          <w:tcPr>
            <w:tcW w:w="3357" w:type="dxa"/>
            <w:vAlign w:val="center"/>
          </w:tcPr>
          <w:p>
            <w:pPr>
              <w:pStyle w:val="152"/>
              <w:spacing w:line="240" w:lineRule="auto"/>
              <w:ind w:firstLine="0" w:firstLineChars="0"/>
              <w:rPr>
                <w:kern w:val="0"/>
                <w:szCs w:val="21"/>
              </w:rPr>
            </w:pPr>
            <w:r>
              <w:rPr>
                <w:rFonts w:hint="eastAsia"/>
                <w:kern w:val="0"/>
                <w:szCs w:val="21"/>
              </w:rPr>
              <w:t>工作日在岗情况</w:t>
            </w:r>
          </w:p>
        </w:tc>
        <w:tc>
          <w:tcPr>
            <w:tcW w:w="791" w:type="dxa"/>
            <w:vAlign w:val="center"/>
          </w:tcPr>
          <w:p>
            <w:pPr>
              <w:pStyle w:val="152"/>
              <w:spacing w:line="240" w:lineRule="auto"/>
              <w:ind w:firstLine="0" w:firstLineChars="0"/>
              <w:rPr>
                <w:kern w:val="0"/>
                <w:szCs w:val="21"/>
              </w:rPr>
            </w:pPr>
            <w:r>
              <w:rPr>
                <w:rFonts w:hint="eastAsia"/>
                <w:kern w:val="0"/>
                <w:szCs w:val="21"/>
              </w:rPr>
              <w:t>2分</w:t>
            </w:r>
          </w:p>
        </w:tc>
        <w:tc>
          <w:tcPr>
            <w:tcW w:w="3473" w:type="dxa"/>
            <w:vAlign w:val="center"/>
          </w:tcPr>
          <w:p>
            <w:pPr>
              <w:pStyle w:val="152"/>
              <w:spacing w:line="240" w:lineRule="auto"/>
              <w:ind w:firstLine="0" w:firstLineChars="0"/>
              <w:rPr>
                <w:kern w:val="0"/>
                <w:szCs w:val="21"/>
              </w:rPr>
            </w:pPr>
            <w:r>
              <w:rPr>
                <w:rFonts w:hint="eastAsia"/>
                <w:kern w:val="0"/>
                <w:szCs w:val="21"/>
              </w:rPr>
              <w:t>缺岗一次扣</w:t>
            </w:r>
            <w:r>
              <w:rPr>
                <w:kern w:val="0"/>
                <w:szCs w:val="21"/>
              </w:rPr>
              <w:t>0.5</w:t>
            </w:r>
            <w:r>
              <w:rPr>
                <w:rFonts w:hint="eastAsia"/>
                <w:kern w:val="0"/>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4" w:type="dxa"/>
            <w:vMerge w:val="continue"/>
            <w:vAlign w:val="center"/>
          </w:tcPr>
          <w:p>
            <w:pPr>
              <w:pStyle w:val="152"/>
              <w:spacing w:line="240" w:lineRule="auto"/>
              <w:ind w:firstLine="0" w:firstLineChars="0"/>
              <w:rPr>
                <w:kern w:val="0"/>
                <w:szCs w:val="21"/>
              </w:rPr>
            </w:pPr>
          </w:p>
        </w:tc>
        <w:tc>
          <w:tcPr>
            <w:tcW w:w="3357" w:type="dxa"/>
            <w:vAlign w:val="center"/>
          </w:tcPr>
          <w:p>
            <w:pPr>
              <w:pStyle w:val="152"/>
              <w:spacing w:line="240" w:lineRule="auto"/>
              <w:ind w:firstLine="0" w:firstLineChars="0"/>
              <w:rPr>
                <w:kern w:val="0"/>
                <w:szCs w:val="21"/>
              </w:rPr>
            </w:pPr>
            <w:r>
              <w:rPr>
                <w:rFonts w:hint="eastAsia"/>
                <w:kern w:val="0"/>
                <w:szCs w:val="21"/>
              </w:rPr>
              <w:t>对位点员工的日常工作督促和检查情况</w:t>
            </w:r>
          </w:p>
        </w:tc>
        <w:tc>
          <w:tcPr>
            <w:tcW w:w="791" w:type="dxa"/>
            <w:vAlign w:val="center"/>
          </w:tcPr>
          <w:p>
            <w:pPr>
              <w:pStyle w:val="152"/>
              <w:spacing w:line="240" w:lineRule="auto"/>
              <w:ind w:firstLine="0" w:firstLineChars="0"/>
              <w:rPr>
                <w:kern w:val="0"/>
                <w:szCs w:val="21"/>
              </w:rPr>
            </w:pPr>
            <w:r>
              <w:rPr>
                <w:rFonts w:hint="eastAsia"/>
                <w:kern w:val="0"/>
                <w:szCs w:val="21"/>
              </w:rPr>
              <w:t>2分</w:t>
            </w:r>
          </w:p>
        </w:tc>
        <w:tc>
          <w:tcPr>
            <w:tcW w:w="3473" w:type="dxa"/>
            <w:vAlign w:val="center"/>
          </w:tcPr>
          <w:p>
            <w:pPr>
              <w:pStyle w:val="152"/>
              <w:spacing w:line="240" w:lineRule="auto"/>
              <w:ind w:firstLine="0" w:firstLineChars="0"/>
              <w:rPr>
                <w:kern w:val="0"/>
                <w:szCs w:val="21"/>
              </w:rPr>
            </w:pPr>
            <w:r>
              <w:rPr>
                <w:rFonts w:hint="eastAsia"/>
                <w:kern w:val="0"/>
                <w:szCs w:val="21"/>
              </w:rPr>
              <w:t xml:space="preserve">对员工疏于管理\检查不到位,一次扣 </w:t>
            </w:r>
            <w:r>
              <w:rPr>
                <w:kern w:val="0"/>
                <w:szCs w:val="21"/>
              </w:rPr>
              <w:t xml:space="preserve"> 0.2</w:t>
            </w:r>
            <w:r>
              <w:rPr>
                <w:rFonts w:hint="eastAsia"/>
                <w:kern w:val="0"/>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4" w:type="dxa"/>
            <w:vMerge w:val="continue"/>
            <w:vAlign w:val="center"/>
          </w:tcPr>
          <w:p>
            <w:pPr>
              <w:pStyle w:val="152"/>
              <w:spacing w:line="240" w:lineRule="auto"/>
              <w:ind w:firstLine="0" w:firstLineChars="0"/>
              <w:rPr>
                <w:kern w:val="0"/>
                <w:szCs w:val="21"/>
              </w:rPr>
            </w:pPr>
          </w:p>
        </w:tc>
        <w:tc>
          <w:tcPr>
            <w:tcW w:w="3357" w:type="dxa"/>
            <w:vAlign w:val="center"/>
          </w:tcPr>
          <w:p>
            <w:pPr>
              <w:pStyle w:val="152"/>
              <w:spacing w:line="240" w:lineRule="auto"/>
              <w:ind w:firstLine="0" w:firstLineChars="0"/>
              <w:rPr>
                <w:kern w:val="0"/>
                <w:szCs w:val="21"/>
              </w:rPr>
            </w:pPr>
            <w:r>
              <w:rPr>
                <w:rFonts w:hint="eastAsia"/>
                <w:kern w:val="0"/>
                <w:szCs w:val="21"/>
              </w:rPr>
              <w:t>对员工的培训</w:t>
            </w:r>
          </w:p>
        </w:tc>
        <w:tc>
          <w:tcPr>
            <w:tcW w:w="791" w:type="dxa"/>
            <w:vAlign w:val="center"/>
          </w:tcPr>
          <w:p>
            <w:pPr>
              <w:pStyle w:val="152"/>
              <w:spacing w:line="240" w:lineRule="auto"/>
              <w:ind w:firstLine="0" w:firstLineChars="0"/>
              <w:rPr>
                <w:kern w:val="0"/>
                <w:szCs w:val="21"/>
              </w:rPr>
            </w:pPr>
            <w:r>
              <w:rPr>
                <w:rFonts w:hint="eastAsia"/>
                <w:kern w:val="0"/>
                <w:szCs w:val="21"/>
              </w:rPr>
              <w:t>1分</w:t>
            </w:r>
          </w:p>
        </w:tc>
        <w:tc>
          <w:tcPr>
            <w:tcW w:w="3473" w:type="dxa"/>
            <w:vAlign w:val="center"/>
          </w:tcPr>
          <w:p>
            <w:pPr>
              <w:pStyle w:val="152"/>
              <w:spacing w:line="240" w:lineRule="auto"/>
              <w:ind w:firstLine="0" w:firstLineChars="0"/>
              <w:rPr>
                <w:kern w:val="0"/>
                <w:szCs w:val="21"/>
              </w:rPr>
            </w:pPr>
            <w:r>
              <w:rPr>
                <w:rFonts w:hint="eastAsia"/>
                <w:kern w:val="0"/>
                <w:szCs w:val="21"/>
              </w:rPr>
              <w:t>对员工的相关技能和礼仪培训不到位,一次扣</w:t>
            </w:r>
            <w:r>
              <w:rPr>
                <w:kern w:val="0"/>
                <w:szCs w:val="21"/>
              </w:rPr>
              <w:t>0.5</w:t>
            </w:r>
            <w:r>
              <w:rPr>
                <w:rFonts w:hint="eastAsia"/>
                <w:kern w:val="0"/>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4" w:type="dxa"/>
            <w:vMerge w:val="restart"/>
            <w:vAlign w:val="center"/>
          </w:tcPr>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r>
              <w:rPr>
                <w:rFonts w:hint="eastAsia"/>
                <w:kern w:val="0"/>
                <w:szCs w:val="21"/>
              </w:rPr>
              <w:t>安全保卫管理</w:t>
            </w:r>
          </w:p>
          <w:p>
            <w:pPr>
              <w:pStyle w:val="152"/>
              <w:spacing w:line="240" w:lineRule="auto"/>
              <w:ind w:firstLine="0" w:firstLineChars="0"/>
              <w:rPr>
                <w:kern w:val="0"/>
                <w:szCs w:val="21"/>
              </w:rPr>
            </w:pPr>
            <w:r>
              <w:rPr>
                <w:rFonts w:hint="eastAsia"/>
                <w:kern w:val="0"/>
                <w:szCs w:val="21"/>
              </w:rPr>
              <w:t>4</w:t>
            </w:r>
            <w:r>
              <w:rPr>
                <w:kern w:val="0"/>
                <w:szCs w:val="21"/>
              </w:rPr>
              <w:t>0</w:t>
            </w:r>
            <w:r>
              <w:rPr>
                <w:rFonts w:hint="eastAsia"/>
                <w:kern w:val="0"/>
                <w:szCs w:val="21"/>
              </w:rPr>
              <w:t>分</w:t>
            </w:r>
          </w:p>
        </w:tc>
        <w:tc>
          <w:tcPr>
            <w:tcW w:w="3357" w:type="dxa"/>
            <w:vAlign w:val="center"/>
          </w:tcPr>
          <w:p>
            <w:pPr>
              <w:pStyle w:val="152"/>
              <w:spacing w:line="240" w:lineRule="auto"/>
              <w:ind w:firstLine="0" w:firstLineChars="0"/>
              <w:rPr>
                <w:kern w:val="0"/>
                <w:szCs w:val="21"/>
              </w:rPr>
            </w:pPr>
            <w:r>
              <w:rPr>
                <w:rFonts w:hint="eastAsia"/>
                <w:kern w:val="0"/>
                <w:szCs w:val="21"/>
              </w:rPr>
              <w:t>所聘用的秩序维护人员必须训练有素，有秩序维护队全管理制度和职责，安全防患措施，确秩序维护全稳定。</w:t>
            </w:r>
          </w:p>
        </w:tc>
        <w:tc>
          <w:tcPr>
            <w:tcW w:w="791" w:type="dxa"/>
            <w:vAlign w:val="center"/>
          </w:tcPr>
          <w:p>
            <w:pPr>
              <w:pStyle w:val="152"/>
              <w:spacing w:line="240" w:lineRule="auto"/>
              <w:ind w:firstLine="0" w:firstLineChars="0"/>
              <w:rPr>
                <w:kern w:val="0"/>
                <w:szCs w:val="21"/>
              </w:rPr>
            </w:pPr>
            <w:r>
              <w:rPr>
                <w:kern w:val="0"/>
                <w:szCs w:val="21"/>
              </w:rPr>
              <w:t>4</w:t>
            </w:r>
          </w:p>
        </w:tc>
        <w:tc>
          <w:tcPr>
            <w:tcW w:w="3473" w:type="dxa"/>
            <w:vAlign w:val="center"/>
          </w:tcPr>
          <w:p>
            <w:pPr>
              <w:pStyle w:val="152"/>
              <w:spacing w:line="240" w:lineRule="auto"/>
              <w:ind w:firstLine="0" w:firstLineChars="0"/>
              <w:rPr>
                <w:kern w:val="0"/>
                <w:szCs w:val="21"/>
              </w:rPr>
            </w:pPr>
            <w:r>
              <w:rPr>
                <w:rFonts w:hint="eastAsia"/>
                <w:kern w:val="0"/>
                <w:szCs w:val="21"/>
              </w:rPr>
              <w:t>管理制度、职责、措施不健全每项扣 分，发生安全事故一次扣</w:t>
            </w:r>
            <w:r>
              <w:rPr>
                <w:kern w:val="0"/>
                <w:szCs w:val="21"/>
              </w:rPr>
              <w:t>0.5</w:t>
            </w:r>
            <w:r>
              <w:rPr>
                <w:rFonts w:hint="eastAsia"/>
                <w:kern w:val="0"/>
                <w:szCs w:val="21"/>
              </w:rPr>
              <w:t>分，发生重大安全事故扣</w:t>
            </w:r>
            <w:r>
              <w:rPr>
                <w:kern w:val="0"/>
                <w:szCs w:val="21"/>
              </w:rPr>
              <w:t>1</w:t>
            </w:r>
            <w:r>
              <w:rPr>
                <w:rFonts w:hint="eastAsia"/>
                <w:kern w:val="0"/>
                <w:szCs w:val="21"/>
              </w:rPr>
              <w:t>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4" w:type="dxa"/>
            <w:vMerge w:val="continue"/>
          </w:tcPr>
          <w:p>
            <w:pPr>
              <w:pStyle w:val="152"/>
              <w:spacing w:line="240" w:lineRule="auto"/>
              <w:ind w:firstLine="0" w:firstLineChars="0"/>
              <w:rPr>
                <w:kern w:val="0"/>
                <w:szCs w:val="21"/>
              </w:rPr>
            </w:pPr>
          </w:p>
        </w:tc>
        <w:tc>
          <w:tcPr>
            <w:tcW w:w="3357" w:type="dxa"/>
            <w:vAlign w:val="center"/>
          </w:tcPr>
          <w:p>
            <w:pPr>
              <w:pStyle w:val="152"/>
              <w:spacing w:line="240" w:lineRule="auto"/>
              <w:ind w:firstLine="0" w:firstLineChars="0"/>
              <w:rPr>
                <w:kern w:val="0"/>
                <w:szCs w:val="21"/>
              </w:rPr>
            </w:pPr>
            <w:r>
              <w:rPr>
                <w:rFonts w:hint="eastAsia"/>
                <w:kern w:val="0"/>
                <w:szCs w:val="21"/>
              </w:rPr>
              <w:t>秩序维护队员必须熟悉物业环境，上班时按规定着装和佩戴装备，文明值勤，不与职工、到访人员发生矛盾和冲突。</w:t>
            </w:r>
          </w:p>
        </w:tc>
        <w:tc>
          <w:tcPr>
            <w:tcW w:w="791" w:type="dxa"/>
            <w:vAlign w:val="center"/>
          </w:tcPr>
          <w:p>
            <w:pPr>
              <w:pStyle w:val="152"/>
              <w:spacing w:line="240" w:lineRule="auto"/>
              <w:ind w:firstLine="0" w:firstLineChars="0"/>
              <w:rPr>
                <w:kern w:val="0"/>
                <w:szCs w:val="21"/>
              </w:rPr>
            </w:pPr>
            <w:r>
              <w:rPr>
                <w:kern w:val="0"/>
                <w:szCs w:val="21"/>
              </w:rPr>
              <w:t>4</w:t>
            </w:r>
          </w:p>
        </w:tc>
        <w:tc>
          <w:tcPr>
            <w:tcW w:w="3473" w:type="dxa"/>
            <w:vAlign w:val="center"/>
          </w:tcPr>
          <w:p>
            <w:pPr>
              <w:pStyle w:val="152"/>
              <w:spacing w:line="240" w:lineRule="auto"/>
              <w:ind w:firstLine="0" w:firstLineChars="0"/>
              <w:rPr>
                <w:kern w:val="0"/>
                <w:szCs w:val="21"/>
              </w:rPr>
            </w:pPr>
            <w:r>
              <w:rPr>
                <w:rFonts w:hint="eastAsia"/>
                <w:kern w:val="0"/>
                <w:szCs w:val="21"/>
              </w:rPr>
              <w:t>发现一名队员着装不整齐扣0</w:t>
            </w:r>
            <w:r>
              <w:rPr>
                <w:kern w:val="0"/>
                <w:szCs w:val="21"/>
              </w:rPr>
              <w:t>.5</w:t>
            </w:r>
            <w:r>
              <w:rPr>
                <w:rFonts w:hint="eastAsia"/>
                <w:kern w:val="0"/>
                <w:szCs w:val="21"/>
              </w:rPr>
              <w:t>分，不礼貌扣0</w:t>
            </w:r>
            <w:r>
              <w:rPr>
                <w:kern w:val="0"/>
                <w:szCs w:val="21"/>
              </w:rPr>
              <w:t>.5</w:t>
            </w:r>
            <w:r>
              <w:rPr>
                <w:rFonts w:hint="eastAsia"/>
                <w:kern w:val="0"/>
                <w:szCs w:val="21"/>
              </w:rPr>
              <w:t>分，无理与他人发生冲突一次扣1分，发生两次建议辞退。直至该项分值扣完为止。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4" w:type="dxa"/>
            <w:vMerge w:val="continue"/>
          </w:tcPr>
          <w:p>
            <w:pPr>
              <w:pStyle w:val="152"/>
              <w:spacing w:line="240" w:lineRule="auto"/>
              <w:ind w:firstLine="0" w:firstLineChars="0"/>
              <w:rPr>
                <w:kern w:val="0"/>
                <w:szCs w:val="21"/>
              </w:rPr>
            </w:pPr>
          </w:p>
        </w:tc>
        <w:tc>
          <w:tcPr>
            <w:tcW w:w="3357" w:type="dxa"/>
            <w:vAlign w:val="center"/>
          </w:tcPr>
          <w:p>
            <w:pPr>
              <w:pStyle w:val="152"/>
              <w:spacing w:line="240" w:lineRule="auto"/>
              <w:ind w:firstLine="0" w:firstLineChars="0"/>
              <w:rPr>
                <w:kern w:val="0"/>
                <w:szCs w:val="21"/>
              </w:rPr>
            </w:pPr>
            <w:r>
              <w:rPr>
                <w:rFonts w:hint="eastAsia"/>
                <w:kern w:val="0"/>
                <w:szCs w:val="21"/>
              </w:rPr>
              <w:t>秩序维护必须实行24小时值班巡逻，认真履行职责，机动灵活，加强重点区域和人少到的部位巡逻。</w:t>
            </w:r>
          </w:p>
        </w:tc>
        <w:tc>
          <w:tcPr>
            <w:tcW w:w="791" w:type="dxa"/>
            <w:vAlign w:val="center"/>
          </w:tcPr>
          <w:p>
            <w:pPr>
              <w:pStyle w:val="152"/>
              <w:spacing w:line="240" w:lineRule="auto"/>
              <w:ind w:firstLine="0" w:firstLineChars="0"/>
              <w:rPr>
                <w:kern w:val="0"/>
                <w:szCs w:val="21"/>
              </w:rPr>
            </w:pPr>
            <w:r>
              <w:rPr>
                <w:kern w:val="0"/>
                <w:szCs w:val="21"/>
              </w:rPr>
              <w:t>4</w:t>
            </w:r>
          </w:p>
        </w:tc>
        <w:tc>
          <w:tcPr>
            <w:tcW w:w="3473" w:type="dxa"/>
            <w:vAlign w:val="center"/>
          </w:tcPr>
          <w:p>
            <w:pPr>
              <w:pStyle w:val="152"/>
              <w:spacing w:line="240" w:lineRule="auto"/>
              <w:ind w:firstLine="0" w:firstLineChars="0"/>
              <w:rPr>
                <w:kern w:val="0"/>
                <w:szCs w:val="21"/>
              </w:rPr>
            </w:pPr>
            <w:r>
              <w:rPr>
                <w:rFonts w:hint="eastAsia"/>
                <w:kern w:val="0"/>
                <w:szCs w:val="21"/>
              </w:rPr>
              <w:t>查值班巡逻日志，当值发生事件无记录扣分，记录不规范扣0</w:t>
            </w:r>
            <w:r>
              <w:rPr>
                <w:kern w:val="0"/>
                <w:szCs w:val="21"/>
              </w:rPr>
              <w:t>.5</w:t>
            </w:r>
            <w:r>
              <w:rPr>
                <w:rFonts w:hint="eastAsia"/>
                <w:kern w:val="0"/>
                <w:szCs w:val="21"/>
              </w:rPr>
              <w:t>分，如反映巡逻不到位一次扣0</w:t>
            </w:r>
            <w:r>
              <w:rPr>
                <w:kern w:val="0"/>
                <w:szCs w:val="21"/>
              </w:rPr>
              <w:t>.5</w:t>
            </w:r>
            <w:r>
              <w:rPr>
                <w:rFonts w:hint="eastAsia"/>
                <w:kern w:val="0"/>
                <w:szCs w:val="21"/>
              </w:rPr>
              <w:t>分，巡逻乘座电梯一次扣0</w:t>
            </w:r>
            <w:r>
              <w:rPr>
                <w:kern w:val="0"/>
                <w:szCs w:val="21"/>
              </w:rPr>
              <w:t>.5</w:t>
            </w:r>
            <w:r>
              <w:rPr>
                <w:rFonts w:hint="eastAsia"/>
                <w:kern w:val="0"/>
                <w:szCs w:val="21"/>
              </w:rPr>
              <w:t>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4" w:type="dxa"/>
            <w:vMerge w:val="continue"/>
          </w:tcPr>
          <w:p>
            <w:pPr>
              <w:pStyle w:val="152"/>
              <w:spacing w:line="240" w:lineRule="auto"/>
              <w:ind w:firstLine="0" w:firstLineChars="0"/>
              <w:rPr>
                <w:kern w:val="0"/>
                <w:szCs w:val="21"/>
              </w:rPr>
            </w:pPr>
          </w:p>
        </w:tc>
        <w:tc>
          <w:tcPr>
            <w:tcW w:w="3357" w:type="dxa"/>
            <w:vAlign w:val="center"/>
          </w:tcPr>
          <w:p>
            <w:pPr>
              <w:pStyle w:val="152"/>
              <w:spacing w:line="240" w:lineRule="auto"/>
              <w:ind w:firstLine="0" w:firstLineChars="0"/>
              <w:rPr>
                <w:kern w:val="0"/>
                <w:szCs w:val="21"/>
              </w:rPr>
            </w:pPr>
            <w:r>
              <w:rPr>
                <w:rFonts w:hint="eastAsia"/>
                <w:kern w:val="0"/>
                <w:szCs w:val="21"/>
              </w:rPr>
              <w:t>做好重大活动会议的安全保卫工作，圆满完成交办的任务。</w:t>
            </w:r>
          </w:p>
        </w:tc>
        <w:tc>
          <w:tcPr>
            <w:tcW w:w="791" w:type="dxa"/>
            <w:vAlign w:val="center"/>
          </w:tcPr>
          <w:p>
            <w:pPr>
              <w:pStyle w:val="152"/>
              <w:spacing w:line="240" w:lineRule="auto"/>
              <w:ind w:firstLine="0" w:firstLineChars="0"/>
              <w:rPr>
                <w:kern w:val="0"/>
                <w:szCs w:val="21"/>
              </w:rPr>
            </w:pPr>
            <w:r>
              <w:rPr>
                <w:kern w:val="0"/>
                <w:szCs w:val="21"/>
              </w:rPr>
              <w:t>4</w:t>
            </w:r>
          </w:p>
        </w:tc>
        <w:tc>
          <w:tcPr>
            <w:tcW w:w="3473" w:type="dxa"/>
            <w:vAlign w:val="center"/>
          </w:tcPr>
          <w:p>
            <w:pPr>
              <w:pStyle w:val="152"/>
              <w:spacing w:line="240" w:lineRule="auto"/>
              <w:ind w:firstLine="0" w:firstLineChars="0"/>
              <w:rPr>
                <w:kern w:val="0"/>
                <w:szCs w:val="21"/>
              </w:rPr>
            </w:pPr>
            <w:r>
              <w:rPr>
                <w:rFonts w:hint="eastAsia"/>
                <w:kern w:val="0"/>
                <w:szCs w:val="21"/>
              </w:rPr>
              <w:t>因安全保卫工作失误，造成不良影响扣0</w:t>
            </w:r>
            <w:r>
              <w:rPr>
                <w:kern w:val="0"/>
                <w:szCs w:val="21"/>
              </w:rPr>
              <w:t>.5</w:t>
            </w:r>
            <w:r>
              <w:rPr>
                <w:rFonts w:hint="eastAsia"/>
                <w:kern w:val="0"/>
                <w:szCs w:val="21"/>
              </w:rPr>
              <w:t>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4" w:type="dxa"/>
            <w:vMerge w:val="continue"/>
          </w:tcPr>
          <w:p>
            <w:pPr>
              <w:pStyle w:val="152"/>
              <w:spacing w:line="240" w:lineRule="auto"/>
              <w:ind w:firstLine="0" w:firstLineChars="0"/>
              <w:rPr>
                <w:kern w:val="0"/>
                <w:szCs w:val="21"/>
              </w:rPr>
            </w:pPr>
          </w:p>
        </w:tc>
        <w:tc>
          <w:tcPr>
            <w:tcW w:w="3357" w:type="dxa"/>
            <w:vAlign w:val="center"/>
          </w:tcPr>
          <w:p>
            <w:pPr>
              <w:pStyle w:val="152"/>
              <w:spacing w:line="240" w:lineRule="auto"/>
              <w:ind w:firstLine="0" w:firstLineChars="0"/>
              <w:rPr>
                <w:kern w:val="0"/>
                <w:szCs w:val="21"/>
              </w:rPr>
            </w:pPr>
            <w:r>
              <w:rPr>
                <w:rFonts w:hint="eastAsia"/>
                <w:kern w:val="0"/>
                <w:szCs w:val="21"/>
              </w:rPr>
              <w:t>严格执行登记制度，凡进入机关办公楼的外来人员应询问来访目的，查验有关证件，并进行登记。</w:t>
            </w:r>
          </w:p>
        </w:tc>
        <w:tc>
          <w:tcPr>
            <w:tcW w:w="791" w:type="dxa"/>
            <w:vAlign w:val="center"/>
          </w:tcPr>
          <w:p>
            <w:pPr>
              <w:pStyle w:val="152"/>
              <w:spacing w:line="240" w:lineRule="auto"/>
              <w:ind w:firstLine="0" w:firstLineChars="0"/>
              <w:rPr>
                <w:kern w:val="0"/>
                <w:szCs w:val="21"/>
              </w:rPr>
            </w:pPr>
            <w:r>
              <w:rPr>
                <w:rFonts w:hint="eastAsia"/>
                <w:kern w:val="0"/>
                <w:szCs w:val="21"/>
              </w:rPr>
              <w:t>5</w:t>
            </w:r>
          </w:p>
        </w:tc>
        <w:tc>
          <w:tcPr>
            <w:tcW w:w="3473" w:type="dxa"/>
            <w:vAlign w:val="center"/>
          </w:tcPr>
          <w:p>
            <w:pPr>
              <w:pStyle w:val="152"/>
              <w:spacing w:line="240" w:lineRule="auto"/>
              <w:ind w:firstLine="0" w:firstLineChars="0"/>
              <w:rPr>
                <w:kern w:val="0"/>
                <w:szCs w:val="21"/>
              </w:rPr>
            </w:pPr>
            <w:r>
              <w:rPr>
                <w:rFonts w:hint="eastAsia"/>
                <w:kern w:val="0"/>
                <w:szCs w:val="21"/>
              </w:rPr>
              <w:t>未登记每人扣0</w:t>
            </w:r>
            <w:r>
              <w:rPr>
                <w:kern w:val="0"/>
                <w:szCs w:val="21"/>
              </w:rPr>
              <w:t>.5</w:t>
            </w:r>
            <w:r>
              <w:rPr>
                <w:rFonts w:hint="eastAsia"/>
                <w:kern w:val="0"/>
                <w:szCs w:val="21"/>
              </w:rPr>
              <w:t>分，扣完为止。直至该项分值扣完为止。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4" w:type="dxa"/>
            <w:vMerge w:val="continue"/>
          </w:tcPr>
          <w:p>
            <w:pPr>
              <w:pStyle w:val="152"/>
              <w:spacing w:line="240" w:lineRule="auto"/>
              <w:ind w:firstLine="0" w:firstLineChars="0"/>
              <w:rPr>
                <w:kern w:val="0"/>
                <w:szCs w:val="21"/>
              </w:rPr>
            </w:pPr>
          </w:p>
        </w:tc>
        <w:tc>
          <w:tcPr>
            <w:tcW w:w="3357" w:type="dxa"/>
            <w:vAlign w:val="center"/>
          </w:tcPr>
          <w:p>
            <w:pPr>
              <w:pStyle w:val="152"/>
              <w:spacing w:line="240" w:lineRule="auto"/>
              <w:ind w:firstLine="0" w:firstLineChars="0"/>
              <w:rPr>
                <w:kern w:val="0"/>
                <w:szCs w:val="21"/>
              </w:rPr>
            </w:pPr>
            <w:r>
              <w:rPr>
                <w:rFonts w:hint="eastAsia"/>
                <w:kern w:val="0"/>
                <w:szCs w:val="21"/>
              </w:rPr>
              <w:t>定期组织安全教育；积时发现各类安全隐患，确保不发生物品被盗和各类案件及安全事故。</w:t>
            </w:r>
          </w:p>
        </w:tc>
        <w:tc>
          <w:tcPr>
            <w:tcW w:w="791" w:type="dxa"/>
            <w:vAlign w:val="center"/>
          </w:tcPr>
          <w:p>
            <w:pPr>
              <w:pStyle w:val="152"/>
              <w:spacing w:line="240" w:lineRule="auto"/>
              <w:ind w:firstLine="0" w:firstLineChars="0"/>
              <w:rPr>
                <w:kern w:val="0"/>
                <w:szCs w:val="21"/>
              </w:rPr>
            </w:pPr>
            <w:r>
              <w:rPr>
                <w:kern w:val="0"/>
                <w:szCs w:val="21"/>
              </w:rPr>
              <w:t>4</w:t>
            </w:r>
          </w:p>
        </w:tc>
        <w:tc>
          <w:tcPr>
            <w:tcW w:w="3473" w:type="dxa"/>
            <w:vAlign w:val="center"/>
          </w:tcPr>
          <w:p>
            <w:pPr>
              <w:pStyle w:val="152"/>
              <w:spacing w:line="240" w:lineRule="auto"/>
              <w:ind w:firstLine="0" w:firstLineChars="0"/>
              <w:rPr>
                <w:kern w:val="0"/>
                <w:szCs w:val="21"/>
              </w:rPr>
            </w:pPr>
            <w:r>
              <w:rPr>
                <w:rFonts w:hint="eastAsia"/>
                <w:kern w:val="0"/>
                <w:szCs w:val="21"/>
              </w:rPr>
              <w:t>无安全教育（查记录）扣0</w:t>
            </w:r>
            <w:r>
              <w:rPr>
                <w:kern w:val="0"/>
                <w:szCs w:val="21"/>
              </w:rPr>
              <w:t>.5</w:t>
            </w:r>
            <w:r>
              <w:rPr>
                <w:rFonts w:hint="eastAsia"/>
                <w:kern w:val="0"/>
                <w:szCs w:val="21"/>
              </w:rPr>
              <w:t>分，发生手机钱包被盗事件一次扣0</w:t>
            </w:r>
            <w:r>
              <w:rPr>
                <w:kern w:val="0"/>
                <w:szCs w:val="21"/>
              </w:rPr>
              <w:t>.5</w:t>
            </w:r>
            <w:r>
              <w:rPr>
                <w:rFonts w:hint="eastAsia"/>
                <w:kern w:val="0"/>
                <w:szCs w:val="21"/>
              </w:rPr>
              <w:t>分。发生财产被盗案或秩序维护员内部自盗一次扣1分，并追究管理管理人员的责任。直至该项分值扣完为止。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4" w:type="dxa"/>
            <w:vMerge w:val="continue"/>
          </w:tcPr>
          <w:p>
            <w:pPr>
              <w:pStyle w:val="152"/>
              <w:spacing w:line="240" w:lineRule="auto"/>
              <w:ind w:firstLine="0" w:firstLineChars="0"/>
              <w:rPr>
                <w:kern w:val="0"/>
                <w:szCs w:val="21"/>
              </w:rPr>
            </w:pPr>
          </w:p>
        </w:tc>
        <w:tc>
          <w:tcPr>
            <w:tcW w:w="3357" w:type="dxa"/>
            <w:vAlign w:val="center"/>
          </w:tcPr>
          <w:p>
            <w:pPr>
              <w:pStyle w:val="152"/>
              <w:spacing w:line="240" w:lineRule="auto"/>
              <w:ind w:firstLine="0" w:firstLineChars="0"/>
              <w:rPr>
                <w:kern w:val="0"/>
                <w:szCs w:val="21"/>
              </w:rPr>
            </w:pPr>
            <w:r>
              <w:rPr>
                <w:rFonts w:hint="eastAsia"/>
                <w:kern w:val="0"/>
                <w:szCs w:val="21"/>
              </w:rPr>
              <w:t>做好停车场的管理，正确疏导机动车辆进出、泊车，提醒车主关好车辆门窗，上锁，防止车辆碰撞、损坏等问题发生。</w:t>
            </w:r>
          </w:p>
        </w:tc>
        <w:tc>
          <w:tcPr>
            <w:tcW w:w="791" w:type="dxa"/>
            <w:vAlign w:val="center"/>
          </w:tcPr>
          <w:p>
            <w:pPr>
              <w:pStyle w:val="152"/>
              <w:spacing w:line="240" w:lineRule="auto"/>
              <w:ind w:firstLine="0" w:firstLineChars="0"/>
              <w:rPr>
                <w:kern w:val="0"/>
                <w:szCs w:val="21"/>
              </w:rPr>
            </w:pPr>
            <w:r>
              <w:rPr>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发现乱停放车辆，一辆扣0</w:t>
            </w:r>
            <w:r>
              <w:rPr>
                <w:kern w:val="0"/>
                <w:szCs w:val="21"/>
              </w:rPr>
              <w:t>.2</w:t>
            </w:r>
            <w:r>
              <w:rPr>
                <w:rFonts w:hint="eastAsia"/>
                <w:kern w:val="0"/>
                <w:szCs w:val="21"/>
              </w:rPr>
              <w:t>分；发生车辆碰撞，碰撞、损坏一次扣0</w:t>
            </w:r>
            <w:r>
              <w:rPr>
                <w:kern w:val="0"/>
                <w:szCs w:val="21"/>
              </w:rPr>
              <w:t>.5</w:t>
            </w:r>
            <w:r>
              <w:rPr>
                <w:rFonts w:hint="eastAsia"/>
                <w:kern w:val="0"/>
                <w:szCs w:val="21"/>
              </w:rPr>
              <w:t>分，并由管理公司承担相应责任。直至该项分值扣完为止。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4" w:type="dxa"/>
            <w:vMerge w:val="continue"/>
          </w:tcPr>
          <w:p>
            <w:pPr>
              <w:pStyle w:val="152"/>
              <w:spacing w:line="240" w:lineRule="auto"/>
              <w:ind w:firstLine="0" w:firstLineChars="0"/>
              <w:rPr>
                <w:kern w:val="0"/>
                <w:szCs w:val="21"/>
              </w:rPr>
            </w:pPr>
          </w:p>
        </w:tc>
        <w:tc>
          <w:tcPr>
            <w:tcW w:w="3357" w:type="dxa"/>
            <w:vAlign w:val="center"/>
          </w:tcPr>
          <w:p>
            <w:pPr>
              <w:pStyle w:val="152"/>
              <w:spacing w:line="240" w:lineRule="auto"/>
              <w:ind w:firstLine="0" w:firstLineChars="0"/>
              <w:rPr>
                <w:kern w:val="0"/>
                <w:szCs w:val="21"/>
              </w:rPr>
            </w:pPr>
            <w:r>
              <w:rPr>
                <w:rFonts w:hint="eastAsia"/>
                <w:kern w:val="0"/>
                <w:szCs w:val="21"/>
              </w:rPr>
              <w:t>引导非机动车辆集中停放，停放整齐，场地洁净，落实管理制度，确秩序维护全，严防损坏与丢失。</w:t>
            </w:r>
          </w:p>
        </w:tc>
        <w:tc>
          <w:tcPr>
            <w:tcW w:w="791" w:type="dxa"/>
            <w:vAlign w:val="center"/>
          </w:tcPr>
          <w:p>
            <w:pPr>
              <w:pStyle w:val="152"/>
              <w:spacing w:line="240" w:lineRule="auto"/>
              <w:ind w:firstLine="0" w:firstLineChars="0"/>
              <w:rPr>
                <w:kern w:val="0"/>
                <w:szCs w:val="21"/>
              </w:rPr>
            </w:pPr>
            <w:r>
              <w:rPr>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一项不符合扣0</w:t>
            </w:r>
            <w:r>
              <w:rPr>
                <w:kern w:val="0"/>
                <w:szCs w:val="21"/>
              </w:rPr>
              <w:t>.2</w:t>
            </w:r>
            <w:r>
              <w:rPr>
                <w:rFonts w:hint="eastAsia"/>
                <w:kern w:val="0"/>
                <w:szCs w:val="21"/>
              </w:rPr>
              <w:t>分；发生损坏或丢失一次扣1分，并由管理公司承担相应责任。直至该项分值扣完为止。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4" w:type="dxa"/>
            <w:vMerge w:val="continue"/>
          </w:tcPr>
          <w:p>
            <w:pPr>
              <w:pStyle w:val="152"/>
              <w:spacing w:line="240" w:lineRule="auto"/>
              <w:ind w:firstLine="0" w:firstLineChars="0"/>
              <w:rPr>
                <w:kern w:val="0"/>
                <w:szCs w:val="21"/>
              </w:rPr>
            </w:pPr>
          </w:p>
        </w:tc>
        <w:tc>
          <w:tcPr>
            <w:tcW w:w="3357" w:type="dxa"/>
            <w:vAlign w:val="center"/>
          </w:tcPr>
          <w:p>
            <w:pPr>
              <w:pStyle w:val="152"/>
              <w:spacing w:line="240" w:lineRule="auto"/>
              <w:ind w:firstLine="0" w:firstLineChars="0"/>
              <w:rPr>
                <w:kern w:val="0"/>
                <w:szCs w:val="21"/>
              </w:rPr>
            </w:pPr>
            <w:r>
              <w:rPr>
                <w:rFonts w:hint="eastAsia"/>
                <w:kern w:val="0"/>
                <w:szCs w:val="21"/>
              </w:rPr>
              <w:t>门卫岗位，严格执勤，维护进出车辆秩序，不与车主发生冲突。</w:t>
            </w:r>
          </w:p>
        </w:tc>
        <w:tc>
          <w:tcPr>
            <w:tcW w:w="791" w:type="dxa"/>
            <w:vAlign w:val="center"/>
          </w:tcPr>
          <w:p>
            <w:pPr>
              <w:pStyle w:val="152"/>
              <w:spacing w:line="240" w:lineRule="auto"/>
              <w:ind w:firstLine="0" w:firstLineChars="0"/>
              <w:rPr>
                <w:kern w:val="0"/>
                <w:szCs w:val="21"/>
              </w:rPr>
            </w:pPr>
            <w:r>
              <w:rPr>
                <w:kern w:val="0"/>
                <w:szCs w:val="21"/>
              </w:rPr>
              <w:t>3</w:t>
            </w:r>
          </w:p>
        </w:tc>
        <w:tc>
          <w:tcPr>
            <w:tcW w:w="3473" w:type="dxa"/>
            <w:vAlign w:val="center"/>
          </w:tcPr>
          <w:p>
            <w:pPr>
              <w:pStyle w:val="152"/>
              <w:spacing w:line="240" w:lineRule="auto"/>
              <w:ind w:firstLine="0" w:firstLineChars="0"/>
              <w:rPr>
                <w:kern w:val="0"/>
                <w:szCs w:val="21"/>
              </w:rPr>
            </w:pPr>
            <w:r>
              <w:rPr>
                <w:rFonts w:hint="eastAsia"/>
                <w:kern w:val="0"/>
                <w:szCs w:val="21"/>
              </w:rPr>
              <w:t>发生一起扣0</w:t>
            </w:r>
            <w:r>
              <w:rPr>
                <w:kern w:val="0"/>
                <w:szCs w:val="21"/>
              </w:rPr>
              <w:t>.5</w:t>
            </w:r>
            <w:r>
              <w:rPr>
                <w:rFonts w:hint="eastAsia"/>
                <w:kern w:val="0"/>
                <w:szCs w:val="21"/>
              </w:rPr>
              <w:t>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4" w:type="dxa"/>
            <w:vMerge w:val="continue"/>
          </w:tcPr>
          <w:p>
            <w:pPr>
              <w:pStyle w:val="152"/>
              <w:spacing w:line="240" w:lineRule="auto"/>
              <w:ind w:firstLine="0" w:firstLineChars="0"/>
              <w:rPr>
                <w:kern w:val="0"/>
                <w:szCs w:val="21"/>
              </w:rPr>
            </w:pPr>
          </w:p>
        </w:tc>
        <w:tc>
          <w:tcPr>
            <w:tcW w:w="3357" w:type="dxa"/>
            <w:vAlign w:val="center"/>
          </w:tcPr>
          <w:p>
            <w:pPr>
              <w:pStyle w:val="152"/>
              <w:spacing w:line="240" w:lineRule="auto"/>
              <w:ind w:firstLine="0" w:firstLineChars="0"/>
              <w:rPr>
                <w:kern w:val="0"/>
                <w:szCs w:val="21"/>
              </w:rPr>
            </w:pPr>
            <w:r>
              <w:rPr>
                <w:rFonts w:hint="eastAsia"/>
                <w:kern w:val="0"/>
                <w:szCs w:val="21"/>
              </w:rPr>
              <w:t>能熟练掌握消防设施设备的使用方法。</w:t>
            </w:r>
          </w:p>
        </w:tc>
        <w:tc>
          <w:tcPr>
            <w:tcW w:w="791" w:type="dxa"/>
            <w:vAlign w:val="center"/>
          </w:tcPr>
          <w:p>
            <w:pPr>
              <w:pStyle w:val="152"/>
              <w:spacing w:line="240" w:lineRule="auto"/>
              <w:ind w:firstLine="0" w:firstLineChars="0"/>
              <w:rPr>
                <w:kern w:val="0"/>
                <w:szCs w:val="21"/>
              </w:rPr>
            </w:pPr>
            <w:r>
              <w:rPr>
                <w:kern w:val="0"/>
                <w:szCs w:val="21"/>
              </w:rPr>
              <w:t>3</w:t>
            </w:r>
          </w:p>
        </w:tc>
        <w:tc>
          <w:tcPr>
            <w:tcW w:w="3473" w:type="dxa"/>
            <w:vAlign w:val="center"/>
          </w:tcPr>
          <w:p>
            <w:pPr>
              <w:pStyle w:val="152"/>
              <w:spacing w:line="240" w:lineRule="auto"/>
              <w:ind w:firstLine="0" w:firstLineChars="0"/>
              <w:rPr>
                <w:kern w:val="0"/>
                <w:szCs w:val="21"/>
              </w:rPr>
            </w:pPr>
            <w:r>
              <w:rPr>
                <w:rFonts w:hint="eastAsia"/>
                <w:kern w:val="0"/>
                <w:szCs w:val="21"/>
              </w:rPr>
              <w:t>不会使用操作扣0</w:t>
            </w:r>
            <w:r>
              <w:rPr>
                <w:kern w:val="0"/>
                <w:szCs w:val="21"/>
              </w:rPr>
              <w:t>.2</w:t>
            </w:r>
            <w:r>
              <w:rPr>
                <w:rFonts w:hint="eastAsia"/>
                <w:kern w:val="0"/>
                <w:szCs w:val="21"/>
              </w:rPr>
              <w:t>分，不熟练扣0</w:t>
            </w:r>
            <w:r>
              <w:rPr>
                <w:kern w:val="0"/>
                <w:szCs w:val="21"/>
              </w:rPr>
              <w:t>.5</w:t>
            </w:r>
            <w:r>
              <w:rPr>
                <w:rFonts w:hint="eastAsia"/>
                <w:kern w:val="0"/>
                <w:szCs w:val="21"/>
              </w:rPr>
              <w:t>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4" w:type="dxa"/>
            <w:vMerge w:val="continue"/>
          </w:tcPr>
          <w:p>
            <w:pPr>
              <w:pStyle w:val="152"/>
              <w:spacing w:line="240" w:lineRule="auto"/>
              <w:ind w:firstLine="0" w:firstLineChars="0"/>
              <w:rPr>
                <w:kern w:val="0"/>
                <w:szCs w:val="21"/>
              </w:rPr>
            </w:pPr>
          </w:p>
        </w:tc>
        <w:tc>
          <w:tcPr>
            <w:tcW w:w="3357" w:type="dxa"/>
            <w:vAlign w:val="center"/>
          </w:tcPr>
          <w:p>
            <w:pPr>
              <w:pStyle w:val="152"/>
              <w:spacing w:line="240" w:lineRule="auto"/>
              <w:ind w:firstLine="0" w:firstLineChars="0"/>
              <w:rPr>
                <w:kern w:val="0"/>
                <w:szCs w:val="21"/>
              </w:rPr>
            </w:pPr>
            <w:r>
              <w:rPr>
                <w:rFonts w:hint="eastAsia"/>
                <w:kern w:val="0"/>
                <w:szCs w:val="21"/>
              </w:rPr>
              <w:t>能正确果断处理各种火险、火灾以及救护程序。</w:t>
            </w:r>
          </w:p>
        </w:tc>
        <w:tc>
          <w:tcPr>
            <w:tcW w:w="791" w:type="dxa"/>
            <w:vAlign w:val="center"/>
          </w:tcPr>
          <w:p>
            <w:pPr>
              <w:pStyle w:val="152"/>
              <w:spacing w:line="240" w:lineRule="auto"/>
              <w:ind w:firstLine="0" w:firstLineChars="0"/>
              <w:rPr>
                <w:kern w:val="0"/>
                <w:szCs w:val="21"/>
              </w:rPr>
            </w:pPr>
            <w:r>
              <w:rPr>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不会扣0</w:t>
            </w:r>
            <w:r>
              <w:rPr>
                <w:kern w:val="0"/>
                <w:szCs w:val="21"/>
              </w:rPr>
              <w:t>.5</w:t>
            </w:r>
            <w:r>
              <w:rPr>
                <w:rFonts w:hint="eastAsia"/>
                <w:kern w:val="0"/>
                <w:szCs w:val="21"/>
              </w:rPr>
              <w:t>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4" w:type="dxa"/>
            <w:vMerge w:val="continue"/>
          </w:tcPr>
          <w:p>
            <w:pPr>
              <w:pStyle w:val="152"/>
              <w:spacing w:line="240" w:lineRule="auto"/>
              <w:ind w:firstLine="0" w:firstLineChars="0"/>
              <w:rPr>
                <w:kern w:val="0"/>
                <w:szCs w:val="21"/>
              </w:rPr>
            </w:pPr>
          </w:p>
        </w:tc>
        <w:tc>
          <w:tcPr>
            <w:tcW w:w="3357" w:type="dxa"/>
            <w:vAlign w:val="center"/>
          </w:tcPr>
          <w:p>
            <w:pPr>
              <w:pStyle w:val="152"/>
              <w:spacing w:line="240" w:lineRule="auto"/>
              <w:ind w:firstLine="0" w:firstLineChars="0"/>
              <w:rPr>
                <w:kern w:val="0"/>
                <w:szCs w:val="21"/>
              </w:rPr>
            </w:pPr>
            <w:r>
              <w:rPr>
                <w:rFonts w:hint="eastAsia"/>
                <w:kern w:val="0"/>
                <w:szCs w:val="21"/>
              </w:rPr>
              <w:t>严格消防管理制度，认真巡查火险隐患，确保无火灾事故发生。</w:t>
            </w:r>
          </w:p>
        </w:tc>
        <w:tc>
          <w:tcPr>
            <w:tcW w:w="791" w:type="dxa"/>
            <w:vAlign w:val="center"/>
          </w:tcPr>
          <w:p>
            <w:pPr>
              <w:pStyle w:val="152"/>
              <w:spacing w:line="240" w:lineRule="auto"/>
              <w:ind w:firstLine="0" w:firstLineChars="0"/>
              <w:rPr>
                <w:kern w:val="0"/>
                <w:szCs w:val="21"/>
              </w:rPr>
            </w:pPr>
            <w:r>
              <w:rPr>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检查一处有隐患扣0</w:t>
            </w:r>
            <w:r>
              <w:rPr>
                <w:kern w:val="0"/>
                <w:szCs w:val="21"/>
              </w:rPr>
              <w:t>.2</w:t>
            </w:r>
            <w:r>
              <w:rPr>
                <w:rFonts w:hint="eastAsia"/>
                <w:kern w:val="0"/>
                <w:szCs w:val="21"/>
              </w:rPr>
              <w:t>分，发生火灾事故0</w:t>
            </w:r>
            <w:r>
              <w:rPr>
                <w:kern w:val="0"/>
                <w:szCs w:val="21"/>
              </w:rPr>
              <w:t>.5</w:t>
            </w:r>
            <w:r>
              <w:rPr>
                <w:rFonts w:hint="eastAsia"/>
                <w:kern w:val="0"/>
                <w:szCs w:val="21"/>
              </w:rPr>
              <w:t>分，并追究责任。直至该项分值扣完为止。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4" w:type="dxa"/>
            <w:vMerge w:val="continue"/>
          </w:tcPr>
          <w:p>
            <w:pPr>
              <w:pStyle w:val="152"/>
              <w:spacing w:line="240" w:lineRule="auto"/>
              <w:ind w:firstLine="0" w:firstLineChars="0"/>
              <w:rPr>
                <w:kern w:val="0"/>
                <w:szCs w:val="21"/>
              </w:rPr>
            </w:pPr>
          </w:p>
        </w:tc>
        <w:tc>
          <w:tcPr>
            <w:tcW w:w="3357" w:type="dxa"/>
            <w:vAlign w:val="center"/>
          </w:tcPr>
          <w:p>
            <w:pPr>
              <w:pStyle w:val="152"/>
              <w:spacing w:line="240" w:lineRule="auto"/>
              <w:ind w:firstLine="0" w:firstLineChars="0"/>
              <w:rPr>
                <w:kern w:val="0"/>
                <w:szCs w:val="21"/>
              </w:rPr>
            </w:pPr>
            <w:r>
              <w:rPr>
                <w:rFonts w:hint="eastAsia"/>
                <w:kern w:val="0"/>
                <w:szCs w:val="21"/>
              </w:rPr>
              <w:t>各种消防设施定期检查保养、维护，确保无缺损，保障正常运行。</w:t>
            </w:r>
          </w:p>
        </w:tc>
        <w:tc>
          <w:tcPr>
            <w:tcW w:w="791" w:type="dxa"/>
            <w:vAlign w:val="center"/>
          </w:tcPr>
          <w:p>
            <w:pPr>
              <w:pStyle w:val="152"/>
              <w:spacing w:line="240" w:lineRule="auto"/>
              <w:ind w:firstLine="0" w:firstLineChars="0"/>
              <w:rPr>
                <w:kern w:val="0"/>
                <w:szCs w:val="21"/>
              </w:rPr>
            </w:pPr>
            <w:r>
              <w:rPr>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无保养扣0</w:t>
            </w:r>
            <w:r>
              <w:rPr>
                <w:kern w:val="0"/>
                <w:szCs w:val="21"/>
              </w:rPr>
              <w:t>.2</w:t>
            </w:r>
            <w:r>
              <w:rPr>
                <w:rFonts w:hint="eastAsia"/>
                <w:kern w:val="0"/>
                <w:szCs w:val="21"/>
              </w:rPr>
              <w:t>分，一处运行障碍扣0</w:t>
            </w:r>
            <w:r>
              <w:rPr>
                <w:kern w:val="0"/>
                <w:szCs w:val="21"/>
              </w:rPr>
              <w:t>.2</w:t>
            </w:r>
            <w:r>
              <w:rPr>
                <w:rFonts w:hint="eastAsia"/>
                <w:kern w:val="0"/>
                <w:szCs w:val="21"/>
              </w:rPr>
              <w:t>分，一处缺或损坏扣0</w:t>
            </w:r>
            <w:r>
              <w:rPr>
                <w:kern w:val="0"/>
                <w:szCs w:val="21"/>
              </w:rPr>
              <w:t>.2</w:t>
            </w:r>
            <w:r>
              <w:rPr>
                <w:rFonts w:hint="eastAsia"/>
                <w:kern w:val="0"/>
                <w:szCs w:val="21"/>
              </w:rPr>
              <w:t>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4" w:type="dxa"/>
            <w:vMerge w:val="continue"/>
          </w:tcPr>
          <w:p>
            <w:pPr>
              <w:pStyle w:val="152"/>
              <w:spacing w:line="240" w:lineRule="auto"/>
              <w:ind w:firstLine="0" w:firstLineChars="0"/>
              <w:rPr>
                <w:kern w:val="0"/>
                <w:szCs w:val="21"/>
              </w:rPr>
            </w:pPr>
          </w:p>
        </w:tc>
        <w:tc>
          <w:tcPr>
            <w:tcW w:w="3357" w:type="dxa"/>
            <w:vAlign w:val="center"/>
          </w:tcPr>
          <w:p>
            <w:pPr>
              <w:pStyle w:val="152"/>
              <w:spacing w:line="240" w:lineRule="auto"/>
              <w:ind w:firstLine="0" w:firstLineChars="0"/>
              <w:rPr>
                <w:kern w:val="0"/>
                <w:szCs w:val="21"/>
              </w:rPr>
            </w:pPr>
            <w:r>
              <w:rPr>
                <w:rFonts w:hint="eastAsia"/>
                <w:kern w:val="0"/>
                <w:szCs w:val="21"/>
              </w:rPr>
              <w:t>严格消防管理制度，认真巡查火险隐患，确保无火灾事故发生。</w:t>
            </w:r>
          </w:p>
        </w:tc>
        <w:tc>
          <w:tcPr>
            <w:tcW w:w="791" w:type="dxa"/>
            <w:vAlign w:val="center"/>
          </w:tcPr>
          <w:p>
            <w:pPr>
              <w:pStyle w:val="152"/>
              <w:spacing w:line="240" w:lineRule="auto"/>
              <w:ind w:firstLine="0" w:firstLineChars="0"/>
              <w:rPr>
                <w:kern w:val="0"/>
                <w:szCs w:val="21"/>
              </w:rPr>
            </w:pPr>
            <w:r>
              <w:rPr>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检查一处有隐患扣0</w:t>
            </w:r>
            <w:r>
              <w:rPr>
                <w:kern w:val="0"/>
                <w:szCs w:val="21"/>
              </w:rPr>
              <w:t>.2</w:t>
            </w:r>
            <w:r>
              <w:rPr>
                <w:rFonts w:hint="eastAsia"/>
                <w:kern w:val="0"/>
                <w:szCs w:val="21"/>
              </w:rPr>
              <w:t>分，发生火灾事故</w:t>
            </w:r>
            <w:r>
              <w:rPr>
                <w:kern w:val="0"/>
                <w:szCs w:val="21"/>
              </w:rPr>
              <w:t>0.5</w:t>
            </w:r>
            <w:r>
              <w:rPr>
                <w:rFonts w:hint="eastAsia"/>
                <w:kern w:val="0"/>
                <w:szCs w:val="21"/>
              </w:rPr>
              <w:t>分，并追究责任。直至该项分值扣完为止。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jc w:val="center"/>
        </w:trPr>
        <w:tc>
          <w:tcPr>
            <w:tcW w:w="734" w:type="dxa"/>
            <w:vMerge w:val="restart"/>
            <w:vAlign w:val="center"/>
          </w:tcPr>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r>
              <w:rPr>
                <w:rFonts w:hint="eastAsia"/>
                <w:kern w:val="0"/>
                <w:szCs w:val="21"/>
              </w:rPr>
              <w:t>清洁卫生管理</w:t>
            </w:r>
          </w:p>
          <w:p>
            <w:pPr>
              <w:pStyle w:val="152"/>
              <w:spacing w:line="240" w:lineRule="auto"/>
              <w:ind w:firstLine="0" w:firstLineChars="0"/>
              <w:rPr>
                <w:kern w:val="0"/>
                <w:szCs w:val="21"/>
              </w:rPr>
            </w:pPr>
          </w:p>
          <w:p>
            <w:pPr>
              <w:pStyle w:val="152"/>
              <w:spacing w:line="240" w:lineRule="auto"/>
              <w:ind w:firstLine="0" w:firstLineChars="0"/>
              <w:rPr>
                <w:kern w:val="0"/>
                <w:szCs w:val="21"/>
              </w:rPr>
            </w:pPr>
            <w:r>
              <w:rPr>
                <w:rFonts w:hint="eastAsia"/>
                <w:kern w:val="0"/>
                <w:szCs w:val="21"/>
              </w:rPr>
              <w:t>4</w:t>
            </w:r>
            <w:r>
              <w:rPr>
                <w:kern w:val="0"/>
                <w:szCs w:val="21"/>
              </w:rPr>
              <w:t>0</w:t>
            </w:r>
            <w:r>
              <w:rPr>
                <w:rFonts w:hint="eastAsia"/>
                <w:kern w:val="0"/>
                <w:szCs w:val="21"/>
              </w:rPr>
              <w:t>分</w:t>
            </w:r>
          </w:p>
        </w:tc>
        <w:tc>
          <w:tcPr>
            <w:tcW w:w="3357" w:type="dxa"/>
            <w:vAlign w:val="center"/>
          </w:tcPr>
          <w:p>
            <w:pPr>
              <w:pStyle w:val="152"/>
              <w:spacing w:line="240" w:lineRule="auto"/>
              <w:ind w:firstLine="0" w:firstLineChars="0"/>
              <w:rPr>
                <w:kern w:val="0"/>
                <w:szCs w:val="21"/>
              </w:rPr>
            </w:pPr>
            <w:r>
              <w:rPr>
                <w:rFonts w:hint="eastAsia"/>
                <w:kern w:val="0"/>
                <w:szCs w:val="21"/>
              </w:rPr>
              <w:t>清洁保洁责任划分到人，责任范围清洁达到标准化。清洁员着装统一，工作细致，形象良好。</w:t>
            </w:r>
          </w:p>
        </w:tc>
        <w:tc>
          <w:tcPr>
            <w:tcW w:w="791" w:type="dxa"/>
            <w:vAlign w:val="center"/>
          </w:tcPr>
          <w:p>
            <w:pPr>
              <w:pStyle w:val="152"/>
              <w:spacing w:line="240" w:lineRule="auto"/>
              <w:ind w:firstLine="0" w:firstLineChars="0"/>
              <w:rPr>
                <w:kern w:val="0"/>
                <w:szCs w:val="21"/>
              </w:rPr>
            </w:pPr>
            <w:r>
              <w:rPr>
                <w:rFonts w:hint="eastAsia"/>
                <w:kern w:val="0"/>
                <w:szCs w:val="21"/>
              </w:rPr>
              <w:t>5</w:t>
            </w:r>
          </w:p>
        </w:tc>
        <w:tc>
          <w:tcPr>
            <w:tcW w:w="3473" w:type="dxa"/>
            <w:vAlign w:val="center"/>
          </w:tcPr>
          <w:p>
            <w:pPr>
              <w:pStyle w:val="152"/>
              <w:spacing w:line="240" w:lineRule="auto"/>
              <w:ind w:firstLine="0" w:firstLineChars="0"/>
              <w:rPr>
                <w:kern w:val="0"/>
                <w:szCs w:val="21"/>
              </w:rPr>
            </w:pPr>
            <w:r>
              <w:rPr>
                <w:rFonts w:hint="eastAsia"/>
                <w:kern w:val="0"/>
                <w:szCs w:val="21"/>
              </w:rPr>
              <w:t>未明确责任到人，一处扣分。一处未达到标准保洁扣分。直至该项分值扣完为止。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4" w:type="dxa"/>
            <w:vMerge w:val="continue"/>
          </w:tcPr>
          <w:p>
            <w:pPr>
              <w:pStyle w:val="152"/>
              <w:spacing w:line="240" w:lineRule="auto"/>
              <w:ind w:firstLine="0" w:firstLineChars="0"/>
              <w:rPr>
                <w:kern w:val="0"/>
                <w:szCs w:val="21"/>
              </w:rPr>
            </w:pPr>
          </w:p>
        </w:tc>
        <w:tc>
          <w:tcPr>
            <w:tcW w:w="3357" w:type="dxa"/>
            <w:vAlign w:val="center"/>
          </w:tcPr>
          <w:p>
            <w:pPr>
              <w:pStyle w:val="152"/>
              <w:spacing w:line="240" w:lineRule="auto"/>
              <w:ind w:firstLine="0" w:firstLineChars="0"/>
              <w:rPr>
                <w:kern w:val="0"/>
                <w:szCs w:val="21"/>
              </w:rPr>
            </w:pPr>
            <w:r>
              <w:rPr>
                <w:rFonts w:hint="eastAsia"/>
                <w:kern w:val="0"/>
                <w:szCs w:val="21"/>
              </w:rPr>
              <w:t>各责任区域门窗干净明亮、清爽；地面无纸屑、果皮、灰尘、杂物和污渍；垃圾筒纸篓内的垃圾不能超过三分之二。</w:t>
            </w:r>
          </w:p>
        </w:tc>
        <w:tc>
          <w:tcPr>
            <w:tcW w:w="791" w:type="dxa"/>
            <w:vAlign w:val="center"/>
          </w:tcPr>
          <w:p>
            <w:pPr>
              <w:pStyle w:val="152"/>
              <w:spacing w:line="240" w:lineRule="auto"/>
              <w:ind w:firstLine="0" w:firstLineChars="0"/>
              <w:rPr>
                <w:kern w:val="0"/>
                <w:szCs w:val="21"/>
              </w:rPr>
            </w:pPr>
            <w:r>
              <w:rPr>
                <w:rFonts w:hint="eastAsia"/>
                <w:kern w:val="0"/>
                <w:szCs w:val="21"/>
              </w:rPr>
              <w:t>5</w:t>
            </w:r>
          </w:p>
        </w:tc>
        <w:tc>
          <w:tcPr>
            <w:tcW w:w="3473" w:type="dxa"/>
            <w:vAlign w:val="center"/>
          </w:tcPr>
          <w:p>
            <w:pPr>
              <w:pStyle w:val="152"/>
              <w:spacing w:line="240" w:lineRule="auto"/>
              <w:ind w:firstLine="0" w:firstLineChars="0"/>
              <w:rPr>
                <w:kern w:val="0"/>
                <w:szCs w:val="21"/>
              </w:rPr>
            </w:pPr>
            <w:r>
              <w:rPr>
                <w:rFonts w:hint="eastAsia"/>
                <w:kern w:val="0"/>
                <w:szCs w:val="21"/>
              </w:rPr>
              <w:t>一个责任区域一项未做到扣分，直至该项分值扣完为止。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4" w:type="dxa"/>
            <w:vMerge w:val="continue"/>
          </w:tcPr>
          <w:p>
            <w:pPr>
              <w:pStyle w:val="152"/>
              <w:spacing w:line="240" w:lineRule="auto"/>
              <w:ind w:firstLine="0" w:firstLineChars="0"/>
              <w:rPr>
                <w:kern w:val="0"/>
                <w:szCs w:val="21"/>
              </w:rPr>
            </w:pPr>
          </w:p>
        </w:tc>
        <w:tc>
          <w:tcPr>
            <w:tcW w:w="3357" w:type="dxa"/>
            <w:vAlign w:val="center"/>
          </w:tcPr>
          <w:p>
            <w:pPr>
              <w:pStyle w:val="152"/>
              <w:spacing w:line="240" w:lineRule="auto"/>
              <w:ind w:firstLine="0" w:firstLineChars="0"/>
              <w:rPr>
                <w:kern w:val="0"/>
                <w:szCs w:val="21"/>
              </w:rPr>
            </w:pPr>
            <w:r>
              <w:rPr>
                <w:rFonts w:hint="eastAsia"/>
                <w:kern w:val="0"/>
                <w:szCs w:val="21"/>
              </w:rPr>
              <w:t>各洗手间清洁明亮，无积水，无污渍，无异味。</w:t>
            </w:r>
          </w:p>
        </w:tc>
        <w:tc>
          <w:tcPr>
            <w:tcW w:w="791" w:type="dxa"/>
            <w:vAlign w:val="center"/>
          </w:tcPr>
          <w:p>
            <w:pPr>
              <w:pStyle w:val="152"/>
              <w:spacing w:line="240" w:lineRule="auto"/>
              <w:ind w:firstLine="0" w:firstLineChars="0"/>
              <w:rPr>
                <w:kern w:val="0"/>
                <w:szCs w:val="21"/>
              </w:rPr>
            </w:pPr>
            <w:r>
              <w:rPr>
                <w:rFonts w:hint="eastAsia"/>
                <w:kern w:val="0"/>
                <w:szCs w:val="21"/>
              </w:rPr>
              <w:t>5</w:t>
            </w:r>
          </w:p>
        </w:tc>
        <w:tc>
          <w:tcPr>
            <w:tcW w:w="3473" w:type="dxa"/>
            <w:vAlign w:val="center"/>
          </w:tcPr>
          <w:p>
            <w:pPr>
              <w:pStyle w:val="152"/>
              <w:spacing w:line="240" w:lineRule="auto"/>
              <w:ind w:firstLine="0" w:firstLineChars="0"/>
              <w:rPr>
                <w:kern w:val="0"/>
                <w:szCs w:val="21"/>
              </w:rPr>
            </w:pPr>
            <w:r>
              <w:rPr>
                <w:rFonts w:hint="eastAsia"/>
                <w:kern w:val="0"/>
                <w:szCs w:val="21"/>
              </w:rPr>
              <w:t>一个洗手间一项不符合扣分。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4" w:type="dxa"/>
            <w:vMerge w:val="continue"/>
          </w:tcPr>
          <w:p>
            <w:pPr>
              <w:pStyle w:val="152"/>
              <w:spacing w:line="240" w:lineRule="auto"/>
              <w:ind w:firstLine="0" w:firstLineChars="0"/>
              <w:rPr>
                <w:kern w:val="0"/>
                <w:szCs w:val="21"/>
              </w:rPr>
            </w:pPr>
          </w:p>
        </w:tc>
        <w:tc>
          <w:tcPr>
            <w:tcW w:w="3357" w:type="dxa"/>
            <w:vAlign w:val="center"/>
          </w:tcPr>
          <w:p>
            <w:pPr>
              <w:pStyle w:val="152"/>
              <w:spacing w:line="240" w:lineRule="auto"/>
              <w:ind w:firstLine="0" w:firstLineChars="0"/>
              <w:rPr>
                <w:kern w:val="0"/>
                <w:szCs w:val="21"/>
              </w:rPr>
            </w:pPr>
            <w:r>
              <w:rPr>
                <w:rFonts w:hint="eastAsia"/>
                <w:kern w:val="0"/>
                <w:szCs w:val="21"/>
              </w:rPr>
              <w:t>用专用清洁布擦拭饮水设备，无污渍。</w:t>
            </w:r>
          </w:p>
        </w:tc>
        <w:tc>
          <w:tcPr>
            <w:tcW w:w="791" w:type="dxa"/>
            <w:vAlign w:val="center"/>
          </w:tcPr>
          <w:p>
            <w:pPr>
              <w:pStyle w:val="152"/>
              <w:spacing w:line="240" w:lineRule="auto"/>
              <w:ind w:firstLine="0" w:firstLineChars="0"/>
              <w:rPr>
                <w:kern w:val="0"/>
                <w:szCs w:val="21"/>
              </w:rPr>
            </w:pPr>
            <w:r>
              <w:rPr>
                <w:rFonts w:hint="eastAsia"/>
                <w:kern w:val="0"/>
                <w:szCs w:val="21"/>
              </w:rPr>
              <w:t>5</w:t>
            </w:r>
          </w:p>
        </w:tc>
        <w:tc>
          <w:tcPr>
            <w:tcW w:w="3473" w:type="dxa"/>
            <w:vAlign w:val="center"/>
          </w:tcPr>
          <w:p>
            <w:pPr>
              <w:pStyle w:val="152"/>
              <w:spacing w:line="240" w:lineRule="auto"/>
              <w:ind w:firstLine="0" w:firstLineChars="0"/>
              <w:rPr>
                <w:kern w:val="0"/>
                <w:szCs w:val="21"/>
              </w:rPr>
            </w:pPr>
            <w:r>
              <w:rPr>
                <w:rFonts w:hint="eastAsia"/>
                <w:kern w:val="0"/>
                <w:szCs w:val="21"/>
              </w:rPr>
              <w:t>一处饮水设备不符合扣分。直至该项分值扣完为止。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4" w:type="dxa"/>
            <w:vMerge w:val="continue"/>
          </w:tcPr>
          <w:p>
            <w:pPr>
              <w:pStyle w:val="152"/>
              <w:spacing w:line="240" w:lineRule="auto"/>
              <w:ind w:firstLine="0" w:firstLineChars="0"/>
              <w:rPr>
                <w:kern w:val="0"/>
                <w:szCs w:val="21"/>
              </w:rPr>
            </w:pPr>
          </w:p>
        </w:tc>
        <w:tc>
          <w:tcPr>
            <w:tcW w:w="3357" w:type="dxa"/>
            <w:vAlign w:val="center"/>
          </w:tcPr>
          <w:p>
            <w:pPr>
              <w:pStyle w:val="152"/>
              <w:spacing w:line="240" w:lineRule="auto"/>
              <w:ind w:firstLine="0" w:firstLineChars="0"/>
              <w:rPr>
                <w:kern w:val="0"/>
                <w:szCs w:val="21"/>
              </w:rPr>
            </w:pPr>
            <w:r>
              <w:rPr>
                <w:rFonts w:hint="eastAsia"/>
                <w:kern w:val="0"/>
                <w:szCs w:val="21"/>
              </w:rPr>
              <w:t>地面保持干燥，尤其下雨天要加强管理，入口处放置地滑警示牌，防止行人摔伤，确秩序维护全。</w:t>
            </w:r>
          </w:p>
        </w:tc>
        <w:tc>
          <w:tcPr>
            <w:tcW w:w="791" w:type="dxa"/>
            <w:vAlign w:val="center"/>
          </w:tcPr>
          <w:p>
            <w:pPr>
              <w:pStyle w:val="152"/>
              <w:spacing w:line="240" w:lineRule="auto"/>
              <w:ind w:firstLine="0" w:firstLineChars="0"/>
              <w:rPr>
                <w:kern w:val="0"/>
                <w:szCs w:val="21"/>
              </w:rPr>
            </w:pPr>
            <w:r>
              <w:rPr>
                <w:rFonts w:hint="eastAsia"/>
                <w:kern w:val="0"/>
                <w:szCs w:val="21"/>
              </w:rPr>
              <w:t>5</w:t>
            </w:r>
          </w:p>
        </w:tc>
        <w:tc>
          <w:tcPr>
            <w:tcW w:w="3473" w:type="dxa"/>
            <w:vAlign w:val="center"/>
          </w:tcPr>
          <w:p>
            <w:pPr>
              <w:pStyle w:val="152"/>
              <w:spacing w:line="240" w:lineRule="auto"/>
              <w:ind w:firstLine="0" w:firstLineChars="0"/>
              <w:rPr>
                <w:kern w:val="0"/>
                <w:szCs w:val="21"/>
              </w:rPr>
            </w:pPr>
            <w:r>
              <w:rPr>
                <w:rFonts w:hint="eastAsia"/>
                <w:kern w:val="0"/>
                <w:szCs w:val="21"/>
              </w:rPr>
              <w:t>未设置警示牌，每次扣分。因地面有水或其他果皮等致使人摔伤全扣，并且承担由此引发的责任。直至该项分值扣完为止。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4" w:type="dxa"/>
            <w:vMerge w:val="continue"/>
          </w:tcPr>
          <w:p>
            <w:pPr>
              <w:pStyle w:val="152"/>
              <w:spacing w:line="240" w:lineRule="auto"/>
              <w:ind w:firstLine="0" w:firstLineChars="0"/>
              <w:rPr>
                <w:kern w:val="0"/>
                <w:szCs w:val="21"/>
              </w:rPr>
            </w:pPr>
          </w:p>
        </w:tc>
        <w:tc>
          <w:tcPr>
            <w:tcW w:w="3357" w:type="dxa"/>
            <w:vAlign w:val="center"/>
          </w:tcPr>
          <w:p>
            <w:pPr>
              <w:pStyle w:val="152"/>
              <w:spacing w:line="240" w:lineRule="auto"/>
              <w:ind w:firstLine="0" w:firstLineChars="0"/>
              <w:rPr>
                <w:kern w:val="0"/>
                <w:szCs w:val="21"/>
              </w:rPr>
            </w:pPr>
            <w:r>
              <w:rPr>
                <w:rFonts w:hint="eastAsia"/>
                <w:kern w:val="0"/>
                <w:szCs w:val="21"/>
              </w:rPr>
              <w:t>垃圾做到日产日清，垃圾桶每三天至少清洗一次，外露面无垃圾附着。</w:t>
            </w:r>
          </w:p>
        </w:tc>
        <w:tc>
          <w:tcPr>
            <w:tcW w:w="791" w:type="dxa"/>
            <w:vAlign w:val="center"/>
          </w:tcPr>
          <w:p>
            <w:pPr>
              <w:pStyle w:val="152"/>
              <w:spacing w:line="240" w:lineRule="auto"/>
              <w:ind w:firstLine="0" w:firstLineChars="0"/>
              <w:rPr>
                <w:kern w:val="0"/>
                <w:szCs w:val="21"/>
              </w:rPr>
            </w:pPr>
            <w:r>
              <w:rPr>
                <w:rFonts w:hint="eastAsia"/>
                <w:kern w:val="0"/>
                <w:szCs w:val="21"/>
              </w:rPr>
              <w:t>5</w:t>
            </w:r>
          </w:p>
        </w:tc>
        <w:tc>
          <w:tcPr>
            <w:tcW w:w="3473" w:type="dxa"/>
            <w:vAlign w:val="center"/>
          </w:tcPr>
          <w:p>
            <w:pPr>
              <w:pStyle w:val="152"/>
              <w:spacing w:line="240" w:lineRule="auto"/>
              <w:ind w:firstLine="0" w:firstLineChars="0"/>
              <w:rPr>
                <w:kern w:val="0"/>
                <w:szCs w:val="21"/>
              </w:rPr>
            </w:pPr>
            <w:r>
              <w:rPr>
                <w:rFonts w:hint="eastAsia"/>
                <w:kern w:val="0"/>
                <w:szCs w:val="21"/>
              </w:rPr>
              <w:t>一项未做到扣分。直至该项分值扣完为止。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4" w:type="dxa"/>
            <w:vMerge w:val="continue"/>
          </w:tcPr>
          <w:p>
            <w:pPr>
              <w:pStyle w:val="152"/>
              <w:spacing w:line="240" w:lineRule="auto"/>
              <w:ind w:firstLine="0" w:firstLineChars="0"/>
              <w:rPr>
                <w:kern w:val="0"/>
                <w:szCs w:val="21"/>
              </w:rPr>
            </w:pPr>
          </w:p>
        </w:tc>
        <w:tc>
          <w:tcPr>
            <w:tcW w:w="3357" w:type="dxa"/>
            <w:vAlign w:val="center"/>
          </w:tcPr>
          <w:p>
            <w:pPr>
              <w:pStyle w:val="152"/>
              <w:spacing w:line="240" w:lineRule="auto"/>
              <w:ind w:firstLine="0" w:firstLineChars="0"/>
              <w:rPr>
                <w:kern w:val="0"/>
                <w:szCs w:val="21"/>
              </w:rPr>
            </w:pPr>
            <w:r>
              <w:rPr>
                <w:rFonts w:hint="eastAsia"/>
                <w:kern w:val="0"/>
                <w:szCs w:val="21"/>
              </w:rPr>
              <w:t>路面无明显泥沙、污垢，无1cm以上的石子，每100平方米烟头纸屑不超过3处。</w:t>
            </w:r>
          </w:p>
        </w:tc>
        <w:tc>
          <w:tcPr>
            <w:tcW w:w="791" w:type="dxa"/>
            <w:vAlign w:val="center"/>
          </w:tcPr>
          <w:p>
            <w:pPr>
              <w:pStyle w:val="152"/>
              <w:spacing w:line="240" w:lineRule="auto"/>
              <w:ind w:firstLine="0" w:firstLineChars="0"/>
              <w:rPr>
                <w:kern w:val="0"/>
                <w:szCs w:val="21"/>
              </w:rPr>
            </w:pPr>
            <w:r>
              <w:rPr>
                <w:rFonts w:hint="eastAsia"/>
                <w:kern w:val="0"/>
                <w:szCs w:val="21"/>
              </w:rPr>
              <w:t>3</w:t>
            </w:r>
          </w:p>
        </w:tc>
        <w:tc>
          <w:tcPr>
            <w:tcW w:w="3473" w:type="dxa"/>
            <w:vAlign w:val="center"/>
          </w:tcPr>
          <w:p>
            <w:pPr>
              <w:pStyle w:val="152"/>
              <w:spacing w:line="240" w:lineRule="auto"/>
              <w:ind w:firstLine="0" w:firstLineChars="0"/>
              <w:rPr>
                <w:kern w:val="0"/>
                <w:szCs w:val="21"/>
              </w:rPr>
            </w:pPr>
            <w:r>
              <w:rPr>
                <w:rFonts w:hint="eastAsia"/>
                <w:kern w:val="0"/>
                <w:szCs w:val="21"/>
              </w:rPr>
              <w:t>不符合扣分。直至该项分值扣完为止。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4" w:type="dxa"/>
            <w:vMerge w:val="continue"/>
          </w:tcPr>
          <w:p>
            <w:pPr>
              <w:pStyle w:val="152"/>
              <w:spacing w:line="240" w:lineRule="auto"/>
              <w:ind w:firstLine="0" w:firstLineChars="0"/>
              <w:rPr>
                <w:kern w:val="0"/>
                <w:szCs w:val="21"/>
              </w:rPr>
            </w:pPr>
          </w:p>
        </w:tc>
        <w:tc>
          <w:tcPr>
            <w:tcW w:w="3357" w:type="dxa"/>
            <w:vAlign w:val="center"/>
          </w:tcPr>
          <w:p>
            <w:pPr>
              <w:pStyle w:val="152"/>
              <w:spacing w:line="240" w:lineRule="auto"/>
              <w:ind w:firstLine="0" w:firstLineChars="0"/>
              <w:rPr>
                <w:kern w:val="0"/>
                <w:szCs w:val="21"/>
              </w:rPr>
            </w:pPr>
            <w:r>
              <w:rPr>
                <w:rFonts w:hint="eastAsia"/>
                <w:kern w:val="0"/>
                <w:szCs w:val="21"/>
              </w:rPr>
              <w:t>绿化丛中无烟盒、饮料瓶盒、塑料袋等垃圾。</w:t>
            </w:r>
          </w:p>
        </w:tc>
        <w:tc>
          <w:tcPr>
            <w:tcW w:w="791" w:type="dxa"/>
            <w:vAlign w:val="center"/>
          </w:tcPr>
          <w:p>
            <w:pPr>
              <w:pStyle w:val="152"/>
              <w:spacing w:line="240" w:lineRule="auto"/>
              <w:ind w:firstLine="0" w:firstLineChars="0"/>
              <w:rPr>
                <w:kern w:val="0"/>
                <w:szCs w:val="21"/>
              </w:rPr>
            </w:pPr>
            <w:r>
              <w:rPr>
                <w:rFonts w:hint="eastAsia"/>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发现一处扣分。直至该项分值扣完为止。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4" w:type="dxa"/>
            <w:vMerge w:val="continue"/>
          </w:tcPr>
          <w:p>
            <w:pPr>
              <w:pStyle w:val="152"/>
              <w:spacing w:line="240" w:lineRule="auto"/>
              <w:ind w:firstLine="0" w:firstLineChars="0"/>
              <w:rPr>
                <w:kern w:val="0"/>
                <w:szCs w:val="21"/>
              </w:rPr>
            </w:pPr>
          </w:p>
        </w:tc>
        <w:tc>
          <w:tcPr>
            <w:tcW w:w="3357" w:type="dxa"/>
            <w:vAlign w:val="center"/>
          </w:tcPr>
          <w:p>
            <w:pPr>
              <w:pStyle w:val="152"/>
              <w:spacing w:line="240" w:lineRule="auto"/>
              <w:ind w:firstLine="0" w:firstLineChars="0"/>
              <w:rPr>
                <w:kern w:val="0"/>
                <w:szCs w:val="21"/>
              </w:rPr>
            </w:pPr>
            <w:r>
              <w:rPr>
                <w:rFonts w:hint="eastAsia"/>
                <w:kern w:val="0"/>
                <w:szCs w:val="21"/>
              </w:rPr>
              <w:t>各明沟无垃圾、无青苔，畅通。</w:t>
            </w:r>
          </w:p>
        </w:tc>
        <w:tc>
          <w:tcPr>
            <w:tcW w:w="791" w:type="dxa"/>
            <w:vAlign w:val="center"/>
          </w:tcPr>
          <w:p>
            <w:pPr>
              <w:pStyle w:val="152"/>
              <w:spacing w:line="240" w:lineRule="auto"/>
              <w:ind w:firstLine="0" w:firstLineChars="0"/>
              <w:rPr>
                <w:kern w:val="0"/>
                <w:szCs w:val="21"/>
              </w:rPr>
            </w:pPr>
            <w:r>
              <w:rPr>
                <w:rFonts w:hint="eastAsia"/>
                <w:kern w:val="0"/>
                <w:szCs w:val="21"/>
              </w:rPr>
              <w:t>3</w:t>
            </w:r>
          </w:p>
        </w:tc>
        <w:tc>
          <w:tcPr>
            <w:tcW w:w="3473" w:type="dxa"/>
            <w:vAlign w:val="center"/>
          </w:tcPr>
          <w:p>
            <w:pPr>
              <w:pStyle w:val="152"/>
              <w:spacing w:line="240" w:lineRule="auto"/>
              <w:ind w:firstLine="0" w:firstLineChars="0"/>
              <w:rPr>
                <w:kern w:val="0"/>
                <w:szCs w:val="21"/>
              </w:rPr>
            </w:pPr>
            <w:r>
              <w:rPr>
                <w:rFonts w:hint="eastAsia"/>
                <w:kern w:val="0"/>
                <w:szCs w:val="21"/>
              </w:rPr>
              <w:t>一条沟不符合扣分，直至该项分值扣完为止。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4" w:type="dxa"/>
            <w:vMerge w:val="continue"/>
          </w:tcPr>
          <w:p>
            <w:pPr>
              <w:pStyle w:val="152"/>
              <w:spacing w:line="240" w:lineRule="auto"/>
              <w:ind w:firstLine="0" w:firstLineChars="0"/>
              <w:rPr>
                <w:kern w:val="0"/>
                <w:szCs w:val="21"/>
              </w:rPr>
            </w:pPr>
          </w:p>
        </w:tc>
        <w:tc>
          <w:tcPr>
            <w:tcW w:w="3357" w:type="dxa"/>
            <w:vAlign w:val="center"/>
          </w:tcPr>
          <w:p>
            <w:pPr>
              <w:pStyle w:val="152"/>
              <w:spacing w:line="240" w:lineRule="auto"/>
              <w:ind w:firstLine="0" w:firstLineChars="0"/>
              <w:rPr>
                <w:kern w:val="0"/>
                <w:szCs w:val="21"/>
              </w:rPr>
            </w:pPr>
            <w:r>
              <w:rPr>
                <w:rFonts w:hint="eastAsia"/>
                <w:kern w:val="0"/>
                <w:szCs w:val="21"/>
              </w:rPr>
              <w:t>确保无卫生死角。</w:t>
            </w:r>
          </w:p>
        </w:tc>
        <w:tc>
          <w:tcPr>
            <w:tcW w:w="791" w:type="dxa"/>
            <w:vAlign w:val="center"/>
          </w:tcPr>
          <w:p>
            <w:pPr>
              <w:pStyle w:val="152"/>
              <w:spacing w:line="240" w:lineRule="auto"/>
              <w:ind w:firstLine="0" w:firstLineChars="0"/>
              <w:rPr>
                <w:kern w:val="0"/>
                <w:szCs w:val="21"/>
              </w:rPr>
            </w:pPr>
            <w:r>
              <w:rPr>
                <w:rFonts w:hint="eastAsia"/>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一处扣分，直至该项分值扣完为止。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4" w:type="dxa"/>
            <w:vMerge w:val="restart"/>
          </w:tcPr>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r>
              <w:rPr>
                <w:rFonts w:hint="eastAsia"/>
                <w:kern w:val="0"/>
                <w:szCs w:val="21"/>
              </w:rPr>
              <w:t>会务服务</w:t>
            </w:r>
          </w:p>
          <w:p>
            <w:pPr>
              <w:pStyle w:val="152"/>
              <w:spacing w:line="240" w:lineRule="auto"/>
              <w:ind w:firstLine="0" w:firstLineChars="0"/>
              <w:rPr>
                <w:kern w:val="0"/>
                <w:szCs w:val="21"/>
              </w:rPr>
            </w:pPr>
            <w:r>
              <w:rPr>
                <w:rFonts w:hint="eastAsia"/>
                <w:kern w:val="0"/>
                <w:szCs w:val="21"/>
              </w:rPr>
              <w:t>1</w:t>
            </w:r>
            <w:r>
              <w:rPr>
                <w:kern w:val="0"/>
                <w:szCs w:val="21"/>
              </w:rPr>
              <w:t>0</w:t>
            </w:r>
            <w:r>
              <w:rPr>
                <w:rFonts w:hint="eastAsia"/>
                <w:kern w:val="0"/>
                <w:szCs w:val="21"/>
              </w:rPr>
              <w:t>分</w:t>
            </w:r>
          </w:p>
          <w:p>
            <w:pPr>
              <w:pStyle w:val="152"/>
              <w:spacing w:line="240" w:lineRule="auto"/>
              <w:ind w:firstLine="0" w:firstLineChars="0"/>
              <w:rPr>
                <w:kern w:val="0"/>
                <w:szCs w:val="21"/>
              </w:rPr>
            </w:pPr>
          </w:p>
          <w:p>
            <w:pPr>
              <w:pStyle w:val="152"/>
              <w:spacing w:line="240" w:lineRule="auto"/>
              <w:ind w:firstLine="0" w:firstLineChars="0"/>
              <w:rPr>
                <w:kern w:val="0"/>
                <w:szCs w:val="21"/>
              </w:rPr>
            </w:pPr>
          </w:p>
        </w:tc>
        <w:tc>
          <w:tcPr>
            <w:tcW w:w="3357" w:type="dxa"/>
            <w:vAlign w:val="center"/>
          </w:tcPr>
          <w:p>
            <w:pPr>
              <w:pStyle w:val="152"/>
              <w:spacing w:line="240" w:lineRule="auto"/>
              <w:ind w:firstLine="0" w:firstLineChars="0"/>
              <w:rPr>
                <w:kern w:val="0"/>
                <w:szCs w:val="21"/>
              </w:rPr>
            </w:pPr>
            <w:r>
              <w:rPr>
                <w:rFonts w:hint="eastAsia"/>
                <w:kern w:val="0"/>
                <w:szCs w:val="21"/>
              </w:rPr>
              <w:t>做好会议室的保洁</w:t>
            </w:r>
          </w:p>
        </w:tc>
        <w:tc>
          <w:tcPr>
            <w:tcW w:w="791" w:type="dxa"/>
            <w:vAlign w:val="center"/>
          </w:tcPr>
          <w:p>
            <w:pPr>
              <w:pStyle w:val="152"/>
              <w:spacing w:line="240" w:lineRule="auto"/>
              <w:ind w:firstLine="0" w:firstLineChars="0"/>
              <w:rPr>
                <w:kern w:val="0"/>
                <w:szCs w:val="21"/>
              </w:rPr>
            </w:pPr>
            <w:r>
              <w:rPr>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 xml:space="preserve">一处不符合扣 </w:t>
            </w:r>
            <w:r>
              <w:rPr>
                <w:kern w:val="0"/>
                <w:szCs w:val="21"/>
              </w:rPr>
              <w:t>0.5</w:t>
            </w:r>
            <w:r>
              <w:rPr>
                <w:rFonts w:hint="eastAsia"/>
                <w:kern w:val="0"/>
                <w:szCs w:val="21"/>
              </w:rPr>
              <w:t>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4" w:type="dxa"/>
            <w:vMerge w:val="continue"/>
          </w:tcPr>
          <w:p>
            <w:pPr>
              <w:pStyle w:val="152"/>
              <w:spacing w:line="240" w:lineRule="auto"/>
              <w:ind w:firstLine="0" w:firstLineChars="0"/>
              <w:rPr>
                <w:kern w:val="0"/>
                <w:szCs w:val="21"/>
              </w:rPr>
            </w:pPr>
          </w:p>
        </w:tc>
        <w:tc>
          <w:tcPr>
            <w:tcW w:w="3357" w:type="dxa"/>
            <w:vAlign w:val="center"/>
          </w:tcPr>
          <w:p>
            <w:pPr>
              <w:pStyle w:val="152"/>
              <w:spacing w:line="240" w:lineRule="auto"/>
              <w:ind w:firstLine="0" w:firstLineChars="0"/>
              <w:rPr>
                <w:kern w:val="0"/>
                <w:szCs w:val="21"/>
              </w:rPr>
            </w:pPr>
            <w:r>
              <w:rPr>
                <w:rFonts w:hint="eastAsia"/>
                <w:kern w:val="0"/>
                <w:szCs w:val="21"/>
              </w:rPr>
              <w:t>根据会议主办单位的会议人数确认所需要的桌、椅数量，并摆成需要的形状。</w:t>
            </w:r>
          </w:p>
        </w:tc>
        <w:tc>
          <w:tcPr>
            <w:tcW w:w="791" w:type="dxa"/>
            <w:vAlign w:val="center"/>
          </w:tcPr>
          <w:p>
            <w:pPr>
              <w:pStyle w:val="152"/>
              <w:spacing w:line="240" w:lineRule="auto"/>
              <w:ind w:firstLine="0" w:firstLineChars="0"/>
              <w:rPr>
                <w:kern w:val="0"/>
                <w:szCs w:val="21"/>
              </w:rPr>
            </w:pPr>
            <w:r>
              <w:rPr>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一处不符合扣</w:t>
            </w:r>
            <w:r>
              <w:rPr>
                <w:kern w:val="0"/>
                <w:szCs w:val="21"/>
              </w:rPr>
              <w:t>0.5</w:t>
            </w:r>
            <w:r>
              <w:rPr>
                <w:rFonts w:hint="eastAsia"/>
                <w:kern w:val="0"/>
                <w:szCs w:val="21"/>
              </w:rPr>
              <w:t>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4" w:type="dxa"/>
            <w:vMerge w:val="continue"/>
          </w:tcPr>
          <w:p>
            <w:pPr>
              <w:pStyle w:val="152"/>
              <w:spacing w:line="240" w:lineRule="auto"/>
              <w:ind w:firstLine="0" w:firstLineChars="0"/>
              <w:rPr>
                <w:kern w:val="0"/>
                <w:szCs w:val="21"/>
              </w:rPr>
            </w:pPr>
          </w:p>
        </w:tc>
        <w:tc>
          <w:tcPr>
            <w:tcW w:w="3357" w:type="dxa"/>
            <w:vAlign w:val="center"/>
          </w:tcPr>
          <w:p>
            <w:pPr>
              <w:pStyle w:val="152"/>
              <w:spacing w:line="240" w:lineRule="auto"/>
              <w:ind w:firstLine="0" w:firstLineChars="0"/>
              <w:rPr>
                <w:kern w:val="0"/>
                <w:szCs w:val="21"/>
              </w:rPr>
            </w:pPr>
            <w:r>
              <w:rPr>
                <w:rFonts w:hint="eastAsia"/>
                <w:kern w:val="0"/>
                <w:szCs w:val="21"/>
              </w:rPr>
              <w:t>按照会议要求准备合格的会议用品，提前准备好开水、茶叶、资料（具体视情况而定）并请会议主办单位确认。</w:t>
            </w:r>
          </w:p>
        </w:tc>
        <w:tc>
          <w:tcPr>
            <w:tcW w:w="791" w:type="dxa"/>
            <w:vAlign w:val="center"/>
          </w:tcPr>
          <w:p>
            <w:pPr>
              <w:pStyle w:val="152"/>
              <w:spacing w:line="240" w:lineRule="auto"/>
              <w:ind w:firstLine="0" w:firstLineChars="0"/>
              <w:rPr>
                <w:kern w:val="0"/>
                <w:szCs w:val="21"/>
              </w:rPr>
            </w:pPr>
            <w:r>
              <w:rPr>
                <w:rFonts w:hint="eastAsia"/>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一处不符合扣</w:t>
            </w:r>
            <w:r>
              <w:rPr>
                <w:kern w:val="0"/>
                <w:szCs w:val="21"/>
              </w:rPr>
              <w:t>0.5</w:t>
            </w:r>
            <w:r>
              <w:rPr>
                <w:rFonts w:hint="eastAsia"/>
                <w:kern w:val="0"/>
                <w:szCs w:val="21"/>
              </w:rPr>
              <w:t xml:space="preserve"> 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4" w:type="dxa"/>
            <w:vMerge w:val="continue"/>
          </w:tcPr>
          <w:p>
            <w:pPr>
              <w:pStyle w:val="152"/>
              <w:spacing w:line="240" w:lineRule="auto"/>
              <w:ind w:firstLine="0" w:firstLineChars="0"/>
              <w:rPr>
                <w:kern w:val="0"/>
                <w:szCs w:val="21"/>
              </w:rPr>
            </w:pPr>
          </w:p>
        </w:tc>
        <w:tc>
          <w:tcPr>
            <w:tcW w:w="3357" w:type="dxa"/>
            <w:vAlign w:val="center"/>
          </w:tcPr>
          <w:p>
            <w:pPr>
              <w:pStyle w:val="152"/>
              <w:spacing w:line="240" w:lineRule="auto"/>
              <w:ind w:firstLine="0" w:firstLineChars="0"/>
              <w:rPr>
                <w:kern w:val="0"/>
                <w:szCs w:val="21"/>
              </w:rPr>
            </w:pPr>
            <w:r>
              <w:rPr>
                <w:rFonts w:hint="eastAsia"/>
                <w:kern w:val="0"/>
                <w:szCs w:val="21"/>
              </w:rPr>
              <w:t>服务人员应在半小时前严格按要求着装上岗，及时开启、检查需要的会议设备，确保会议的可持续性。</w:t>
            </w:r>
          </w:p>
        </w:tc>
        <w:tc>
          <w:tcPr>
            <w:tcW w:w="791" w:type="dxa"/>
            <w:vAlign w:val="center"/>
          </w:tcPr>
          <w:p>
            <w:pPr>
              <w:pStyle w:val="152"/>
              <w:spacing w:line="240" w:lineRule="auto"/>
              <w:ind w:firstLine="0" w:firstLineChars="0"/>
              <w:rPr>
                <w:kern w:val="0"/>
                <w:szCs w:val="21"/>
              </w:rPr>
            </w:pPr>
            <w:r>
              <w:rPr>
                <w:rFonts w:hint="eastAsia"/>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回访不合格一项扣</w:t>
            </w:r>
            <w:r>
              <w:rPr>
                <w:kern w:val="0"/>
                <w:szCs w:val="21"/>
              </w:rPr>
              <w:t>0.5</w:t>
            </w:r>
            <w:r>
              <w:rPr>
                <w:rFonts w:hint="eastAsia"/>
                <w:kern w:val="0"/>
                <w:szCs w:val="21"/>
              </w:rPr>
              <w:t xml:space="preserve"> 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4" w:type="dxa"/>
            <w:vMerge w:val="continue"/>
          </w:tcPr>
          <w:p>
            <w:pPr>
              <w:pStyle w:val="152"/>
              <w:spacing w:line="240" w:lineRule="auto"/>
              <w:ind w:firstLine="0" w:firstLineChars="0"/>
              <w:rPr>
                <w:kern w:val="0"/>
                <w:szCs w:val="21"/>
              </w:rPr>
            </w:pPr>
          </w:p>
        </w:tc>
        <w:tc>
          <w:tcPr>
            <w:tcW w:w="3357" w:type="dxa"/>
            <w:vAlign w:val="center"/>
          </w:tcPr>
          <w:p>
            <w:pPr>
              <w:pStyle w:val="152"/>
              <w:spacing w:line="240" w:lineRule="auto"/>
              <w:ind w:firstLine="0" w:firstLineChars="0"/>
              <w:rPr>
                <w:kern w:val="0"/>
                <w:szCs w:val="21"/>
              </w:rPr>
            </w:pPr>
            <w:r>
              <w:rPr>
                <w:rFonts w:hint="eastAsia"/>
                <w:kern w:val="0"/>
                <w:szCs w:val="21"/>
              </w:rPr>
              <w:t>会议结束，参会人员离开后，服务人员着手清场工作，关闭设备及照明，查看有无遗留物品和会议资料，如发现需及时联系。</w:t>
            </w:r>
          </w:p>
        </w:tc>
        <w:tc>
          <w:tcPr>
            <w:tcW w:w="791" w:type="dxa"/>
            <w:vAlign w:val="center"/>
          </w:tcPr>
          <w:p>
            <w:pPr>
              <w:pStyle w:val="152"/>
              <w:spacing w:line="240" w:lineRule="auto"/>
              <w:ind w:firstLine="0" w:firstLineChars="0"/>
              <w:rPr>
                <w:kern w:val="0"/>
                <w:szCs w:val="21"/>
              </w:rPr>
            </w:pPr>
            <w:r>
              <w:rPr>
                <w:rFonts w:hint="eastAsia"/>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抽查不符合，每次扣</w:t>
            </w:r>
            <w:r>
              <w:rPr>
                <w:kern w:val="0"/>
                <w:szCs w:val="21"/>
              </w:rPr>
              <w:t>0.5</w:t>
            </w:r>
            <w:r>
              <w:rPr>
                <w:rFonts w:hint="eastAsia"/>
                <w:kern w:val="0"/>
                <w:szCs w:val="21"/>
              </w:rPr>
              <w:t>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4" w:type="dxa"/>
            <w:vMerge w:val="restart"/>
          </w:tcPr>
          <w:p>
            <w:pPr>
              <w:pStyle w:val="152"/>
              <w:spacing w:line="240" w:lineRule="auto"/>
              <w:ind w:firstLine="0" w:firstLineChars="0"/>
              <w:rPr>
                <w:kern w:val="0"/>
                <w:szCs w:val="21"/>
              </w:rPr>
            </w:pPr>
            <w:r>
              <w:rPr>
                <w:rFonts w:hint="eastAsia"/>
                <w:kern w:val="0"/>
                <w:szCs w:val="21"/>
              </w:rPr>
              <w:t>其</w:t>
            </w:r>
          </w:p>
          <w:p>
            <w:pPr>
              <w:pStyle w:val="152"/>
              <w:spacing w:line="240" w:lineRule="auto"/>
              <w:ind w:firstLine="0" w:firstLineChars="0"/>
              <w:rPr>
                <w:kern w:val="0"/>
                <w:szCs w:val="21"/>
              </w:rPr>
            </w:pPr>
            <w:r>
              <w:rPr>
                <w:rFonts w:hint="eastAsia"/>
                <w:kern w:val="0"/>
                <w:szCs w:val="21"/>
              </w:rPr>
              <w:t>他</w:t>
            </w:r>
          </w:p>
          <w:p>
            <w:pPr>
              <w:pStyle w:val="152"/>
              <w:spacing w:line="240" w:lineRule="auto"/>
              <w:ind w:firstLine="0" w:firstLineChars="0"/>
              <w:rPr>
                <w:kern w:val="0"/>
                <w:szCs w:val="21"/>
              </w:rPr>
            </w:pPr>
            <w:r>
              <w:rPr>
                <w:rFonts w:hint="eastAsia"/>
                <w:kern w:val="0"/>
                <w:szCs w:val="21"/>
              </w:rPr>
              <w:t>（5分）</w:t>
            </w:r>
          </w:p>
        </w:tc>
        <w:tc>
          <w:tcPr>
            <w:tcW w:w="3357" w:type="dxa"/>
            <w:vAlign w:val="center"/>
          </w:tcPr>
          <w:p>
            <w:pPr>
              <w:pStyle w:val="152"/>
              <w:spacing w:line="240" w:lineRule="auto"/>
              <w:ind w:firstLine="0" w:firstLineChars="0"/>
              <w:rPr>
                <w:kern w:val="0"/>
                <w:szCs w:val="21"/>
              </w:rPr>
            </w:pPr>
            <w:r>
              <w:rPr>
                <w:rFonts w:hint="eastAsia"/>
                <w:kern w:val="0"/>
                <w:szCs w:val="21"/>
              </w:rPr>
              <w:t>临时工作</w:t>
            </w:r>
          </w:p>
        </w:tc>
        <w:tc>
          <w:tcPr>
            <w:tcW w:w="791" w:type="dxa"/>
            <w:vAlign w:val="center"/>
          </w:tcPr>
          <w:p>
            <w:pPr>
              <w:pStyle w:val="152"/>
              <w:spacing w:line="240" w:lineRule="auto"/>
              <w:ind w:firstLine="0" w:firstLineChars="0"/>
              <w:rPr>
                <w:kern w:val="0"/>
                <w:szCs w:val="21"/>
              </w:rPr>
            </w:pPr>
            <w:r>
              <w:rPr>
                <w:rFonts w:hint="eastAsia"/>
                <w:kern w:val="0"/>
                <w:szCs w:val="21"/>
              </w:rPr>
              <w:t>3分</w:t>
            </w:r>
          </w:p>
        </w:tc>
        <w:tc>
          <w:tcPr>
            <w:tcW w:w="3473" w:type="dxa"/>
            <w:vAlign w:val="center"/>
          </w:tcPr>
          <w:p>
            <w:pPr>
              <w:pStyle w:val="152"/>
              <w:spacing w:line="240" w:lineRule="auto"/>
              <w:ind w:firstLine="0" w:firstLineChars="0"/>
              <w:rPr>
                <w:kern w:val="0"/>
                <w:szCs w:val="21"/>
              </w:rPr>
            </w:pPr>
            <w:r>
              <w:rPr>
                <w:rFonts w:hint="eastAsia"/>
                <w:kern w:val="0"/>
                <w:szCs w:val="21"/>
              </w:rPr>
              <w:t>不服从学校安排，无端推诿、拖延，敷衍等，一次扣</w:t>
            </w:r>
            <w:r>
              <w:rPr>
                <w:kern w:val="0"/>
                <w:szCs w:val="21"/>
              </w:rPr>
              <w:t>1</w:t>
            </w:r>
            <w:r>
              <w:rPr>
                <w:rFonts w:hint="eastAsia"/>
                <w:kern w:val="0"/>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4" w:type="dxa"/>
            <w:vMerge w:val="continue"/>
          </w:tcPr>
          <w:p>
            <w:pPr>
              <w:pStyle w:val="152"/>
              <w:spacing w:line="240" w:lineRule="auto"/>
              <w:ind w:firstLine="0" w:firstLineChars="0"/>
              <w:rPr>
                <w:kern w:val="0"/>
                <w:szCs w:val="21"/>
              </w:rPr>
            </w:pPr>
          </w:p>
        </w:tc>
        <w:tc>
          <w:tcPr>
            <w:tcW w:w="3357" w:type="dxa"/>
            <w:vAlign w:val="center"/>
          </w:tcPr>
          <w:p>
            <w:pPr>
              <w:pStyle w:val="152"/>
              <w:spacing w:line="240" w:lineRule="auto"/>
              <w:ind w:firstLine="0" w:firstLineChars="0"/>
              <w:rPr>
                <w:kern w:val="0"/>
                <w:szCs w:val="21"/>
              </w:rPr>
            </w:pPr>
            <w:r>
              <w:rPr>
                <w:rFonts w:hint="eastAsia"/>
                <w:kern w:val="0"/>
                <w:szCs w:val="21"/>
              </w:rPr>
              <w:t>服务团队的稳定性</w:t>
            </w:r>
          </w:p>
        </w:tc>
        <w:tc>
          <w:tcPr>
            <w:tcW w:w="791" w:type="dxa"/>
            <w:vAlign w:val="center"/>
          </w:tcPr>
          <w:p>
            <w:pPr>
              <w:pStyle w:val="152"/>
              <w:spacing w:line="240" w:lineRule="auto"/>
              <w:ind w:firstLine="0" w:firstLineChars="0"/>
              <w:rPr>
                <w:kern w:val="0"/>
                <w:szCs w:val="21"/>
              </w:rPr>
            </w:pPr>
            <w:r>
              <w:rPr>
                <w:rFonts w:hint="eastAsia"/>
                <w:kern w:val="0"/>
                <w:szCs w:val="21"/>
              </w:rPr>
              <w:t>2分</w:t>
            </w:r>
          </w:p>
        </w:tc>
        <w:tc>
          <w:tcPr>
            <w:tcW w:w="3473" w:type="dxa"/>
            <w:vAlign w:val="center"/>
          </w:tcPr>
          <w:p>
            <w:pPr>
              <w:pStyle w:val="152"/>
              <w:spacing w:line="240" w:lineRule="auto"/>
              <w:ind w:firstLine="0" w:firstLineChars="0"/>
              <w:rPr>
                <w:kern w:val="0"/>
                <w:szCs w:val="21"/>
              </w:rPr>
            </w:pPr>
            <w:r>
              <w:rPr>
                <w:rFonts w:hint="eastAsia"/>
                <w:kern w:val="0"/>
                <w:szCs w:val="21"/>
              </w:rPr>
              <w:t>服务期每月调离或更换服务人员不得超过</w:t>
            </w:r>
            <w:r>
              <w:rPr>
                <w:kern w:val="0"/>
                <w:szCs w:val="21"/>
              </w:rPr>
              <w:t>20</w:t>
            </w:r>
            <w:r>
              <w:rPr>
                <w:rFonts w:hint="eastAsia"/>
                <w:kern w:val="0"/>
                <w:szCs w:val="21"/>
              </w:rPr>
              <w:t>%，超出</w:t>
            </w:r>
            <w:r>
              <w:rPr>
                <w:kern w:val="0"/>
                <w:szCs w:val="21"/>
              </w:rPr>
              <w:t>5%</w:t>
            </w:r>
            <w:r>
              <w:rPr>
                <w:rFonts w:hint="eastAsia"/>
                <w:kern w:val="0"/>
                <w:szCs w:val="21"/>
              </w:rPr>
              <w:t>次扣1分</w:t>
            </w:r>
          </w:p>
        </w:tc>
      </w:tr>
    </w:tbl>
    <w:p>
      <w:pPr>
        <w:rPr>
          <w:szCs w:val="21"/>
        </w:rPr>
      </w:pPr>
    </w:p>
    <w:p>
      <w:pPr>
        <w:rPr>
          <w:szCs w:val="21"/>
        </w:rPr>
      </w:pPr>
    </w:p>
    <w:p>
      <w:pPr>
        <w:pStyle w:val="152"/>
        <w:spacing w:line="240" w:lineRule="auto"/>
        <w:ind w:firstLine="0" w:firstLineChars="0"/>
        <w:rPr>
          <w:szCs w:val="21"/>
        </w:rPr>
      </w:pPr>
      <w:r>
        <w:rPr>
          <w:rFonts w:hint="eastAsia"/>
          <w:szCs w:val="21"/>
        </w:rPr>
        <w:t>2.泡桐树中学</w:t>
      </w:r>
    </w:p>
    <w:tbl>
      <w:tblPr>
        <w:tblStyle w:val="43"/>
        <w:tblW w:w="83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5"/>
        <w:gridCol w:w="3456"/>
        <w:gridCol w:w="791"/>
        <w:gridCol w:w="3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Align w:val="center"/>
          </w:tcPr>
          <w:p>
            <w:pPr>
              <w:pStyle w:val="152"/>
              <w:spacing w:line="240" w:lineRule="auto"/>
              <w:ind w:firstLine="0" w:firstLineChars="0"/>
              <w:rPr>
                <w:kern w:val="0"/>
                <w:szCs w:val="21"/>
              </w:rPr>
            </w:pPr>
            <w:r>
              <w:rPr>
                <w:rFonts w:hint="eastAsia"/>
                <w:kern w:val="0"/>
                <w:szCs w:val="21"/>
              </w:rPr>
              <w:t>项目</w:t>
            </w:r>
          </w:p>
        </w:tc>
        <w:tc>
          <w:tcPr>
            <w:tcW w:w="3456" w:type="dxa"/>
            <w:vAlign w:val="center"/>
          </w:tcPr>
          <w:p>
            <w:pPr>
              <w:pStyle w:val="152"/>
              <w:spacing w:line="240" w:lineRule="auto"/>
              <w:ind w:firstLine="0" w:firstLineChars="0"/>
              <w:rPr>
                <w:kern w:val="0"/>
                <w:szCs w:val="21"/>
              </w:rPr>
            </w:pPr>
            <w:r>
              <w:rPr>
                <w:rFonts w:hint="eastAsia"/>
                <w:kern w:val="0"/>
                <w:szCs w:val="21"/>
              </w:rPr>
              <w:t>服务质量标准</w:t>
            </w:r>
          </w:p>
        </w:tc>
        <w:tc>
          <w:tcPr>
            <w:tcW w:w="791" w:type="dxa"/>
            <w:vAlign w:val="center"/>
          </w:tcPr>
          <w:p>
            <w:pPr>
              <w:pStyle w:val="152"/>
              <w:spacing w:line="240" w:lineRule="auto"/>
              <w:ind w:firstLine="0" w:firstLineChars="0"/>
              <w:rPr>
                <w:kern w:val="0"/>
                <w:szCs w:val="21"/>
              </w:rPr>
            </w:pPr>
            <w:r>
              <w:rPr>
                <w:rFonts w:hint="eastAsia"/>
                <w:kern w:val="0"/>
                <w:szCs w:val="21"/>
              </w:rPr>
              <w:t>单项</w:t>
            </w:r>
          </w:p>
          <w:p>
            <w:pPr>
              <w:pStyle w:val="152"/>
              <w:spacing w:line="240" w:lineRule="auto"/>
              <w:ind w:firstLine="0" w:firstLineChars="0"/>
              <w:rPr>
                <w:kern w:val="0"/>
                <w:szCs w:val="21"/>
              </w:rPr>
            </w:pPr>
            <w:r>
              <w:rPr>
                <w:rFonts w:hint="eastAsia"/>
                <w:kern w:val="0"/>
                <w:szCs w:val="21"/>
              </w:rPr>
              <w:t>分值</w:t>
            </w:r>
          </w:p>
        </w:tc>
        <w:tc>
          <w:tcPr>
            <w:tcW w:w="3473" w:type="dxa"/>
            <w:vAlign w:val="center"/>
          </w:tcPr>
          <w:p>
            <w:pPr>
              <w:pStyle w:val="152"/>
              <w:spacing w:line="240" w:lineRule="auto"/>
              <w:ind w:firstLine="0" w:firstLineChars="0"/>
              <w:rPr>
                <w:kern w:val="0"/>
                <w:szCs w:val="21"/>
              </w:rPr>
            </w:pPr>
            <w:r>
              <w:rPr>
                <w:rFonts w:hint="eastAsia"/>
                <w:kern w:val="0"/>
                <w:szCs w:val="21"/>
              </w:rPr>
              <w:t>监督考评扣分标准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restart"/>
            <w:vAlign w:val="center"/>
          </w:tcPr>
          <w:p>
            <w:pPr>
              <w:pStyle w:val="152"/>
              <w:spacing w:line="240" w:lineRule="auto"/>
              <w:ind w:firstLine="0" w:firstLineChars="0"/>
              <w:rPr>
                <w:kern w:val="0"/>
                <w:szCs w:val="21"/>
              </w:rPr>
            </w:pPr>
            <w:r>
              <w:rPr>
                <w:rFonts w:hint="eastAsia"/>
                <w:kern w:val="0"/>
                <w:szCs w:val="21"/>
              </w:rPr>
              <w:t>主管</w:t>
            </w:r>
          </w:p>
          <w:p>
            <w:pPr>
              <w:pStyle w:val="152"/>
              <w:spacing w:line="240" w:lineRule="auto"/>
              <w:ind w:firstLine="0" w:firstLineChars="0"/>
              <w:rPr>
                <w:kern w:val="0"/>
                <w:szCs w:val="21"/>
              </w:rPr>
            </w:pPr>
            <w:r>
              <w:rPr>
                <w:rFonts w:hint="eastAsia"/>
                <w:kern w:val="0"/>
                <w:szCs w:val="21"/>
              </w:rPr>
              <w:t>(</w:t>
            </w:r>
            <w:r>
              <w:rPr>
                <w:kern w:val="0"/>
                <w:szCs w:val="21"/>
              </w:rPr>
              <w:t>10</w:t>
            </w:r>
            <w:r>
              <w:rPr>
                <w:rFonts w:hint="eastAsia"/>
                <w:kern w:val="0"/>
                <w:szCs w:val="21"/>
              </w:rPr>
              <w:t>）</w:t>
            </w:r>
          </w:p>
        </w:tc>
        <w:tc>
          <w:tcPr>
            <w:tcW w:w="3456" w:type="dxa"/>
            <w:vAlign w:val="center"/>
          </w:tcPr>
          <w:p>
            <w:pPr>
              <w:pStyle w:val="152"/>
              <w:spacing w:line="240" w:lineRule="auto"/>
              <w:ind w:firstLine="0" w:firstLineChars="0"/>
              <w:rPr>
                <w:kern w:val="0"/>
                <w:szCs w:val="21"/>
              </w:rPr>
            </w:pPr>
            <w:r>
              <w:rPr>
                <w:rFonts w:hint="eastAsia"/>
                <w:kern w:val="0"/>
                <w:szCs w:val="21"/>
              </w:rPr>
              <w:t>工作日在岗情况</w:t>
            </w:r>
          </w:p>
        </w:tc>
        <w:tc>
          <w:tcPr>
            <w:tcW w:w="791" w:type="dxa"/>
            <w:vAlign w:val="center"/>
          </w:tcPr>
          <w:p>
            <w:pPr>
              <w:pStyle w:val="152"/>
              <w:spacing w:line="240" w:lineRule="auto"/>
              <w:ind w:firstLine="0" w:firstLineChars="0"/>
              <w:rPr>
                <w:kern w:val="0"/>
                <w:szCs w:val="21"/>
              </w:rPr>
            </w:pPr>
            <w:r>
              <w:rPr>
                <w:kern w:val="0"/>
                <w:szCs w:val="21"/>
              </w:rPr>
              <w:t>2</w:t>
            </w:r>
            <w:r>
              <w:rPr>
                <w:rFonts w:hint="eastAsia"/>
                <w:kern w:val="0"/>
                <w:szCs w:val="21"/>
              </w:rPr>
              <w:t>分</w:t>
            </w:r>
          </w:p>
        </w:tc>
        <w:tc>
          <w:tcPr>
            <w:tcW w:w="3473" w:type="dxa"/>
            <w:vAlign w:val="center"/>
          </w:tcPr>
          <w:p>
            <w:pPr>
              <w:pStyle w:val="152"/>
              <w:spacing w:line="240" w:lineRule="auto"/>
              <w:ind w:firstLine="0" w:firstLineChars="0"/>
              <w:rPr>
                <w:kern w:val="0"/>
                <w:szCs w:val="21"/>
              </w:rPr>
            </w:pPr>
            <w:r>
              <w:rPr>
                <w:rFonts w:hint="eastAsia"/>
                <w:kern w:val="0"/>
                <w:szCs w:val="21"/>
              </w:rPr>
              <w:t>缺岗一次扣</w:t>
            </w:r>
            <w:r>
              <w:rPr>
                <w:kern w:val="0"/>
                <w:szCs w:val="21"/>
              </w:rPr>
              <w:t>0.5</w:t>
            </w:r>
            <w:r>
              <w:rPr>
                <w:rFonts w:hint="eastAsia"/>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vAlign w:val="center"/>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对位点员工的日常工作督促和检查情况</w:t>
            </w:r>
          </w:p>
        </w:tc>
        <w:tc>
          <w:tcPr>
            <w:tcW w:w="791" w:type="dxa"/>
            <w:vAlign w:val="center"/>
          </w:tcPr>
          <w:p>
            <w:pPr>
              <w:pStyle w:val="152"/>
              <w:spacing w:line="240" w:lineRule="auto"/>
              <w:ind w:firstLine="0" w:firstLineChars="0"/>
              <w:rPr>
                <w:kern w:val="0"/>
                <w:szCs w:val="21"/>
              </w:rPr>
            </w:pPr>
            <w:r>
              <w:rPr>
                <w:kern w:val="0"/>
                <w:szCs w:val="21"/>
              </w:rPr>
              <w:t>5</w:t>
            </w:r>
          </w:p>
        </w:tc>
        <w:tc>
          <w:tcPr>
            <w:tcW w:w="3473" w:type="dxa"/>
            <w:vAlign w:val="center"/>
          </w:tcPr>
          <w:p>
            <w:pPr>
              <w:pStyle w:val="152"/>
              <w:spacing w:line="240" w:lineRule="auto"/>
              <w:ind w:firstLine="0" w:firstLineChars="0"/>
              <w:rPr>
                <w:kern w:val="0"/>
                <w:szCs w:val="21"/>
              </w:rPr>
            </w:pPr>
            <w:r>
              <w:rPr>
                <w:rFonts w:hint="eastAsia"/>
                <w:kern w:val="0"/>
                <w:szCs w:val="21"/>
              </w:rPr>
              <w:t xml:space="preserve">对员工疏于管理\检查不到位,一次扣 </w:t>
            </w:r>
            <w:r>
              <w:rPr>
                <w:kern w:val="0"/>
                <w:szCs w:val="21"/>
              </w:rPr>
              <w:t xml:space="preserve"> 1</w:t>
            </w:r>
            <w:r>
              <w:rPr>
                <w:rFonts w:hint="eastAsia"/>
                <w:kern w:val="0"/>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vAlign w:val="center"/>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对员工的培训</w:t>
            </w:r>
          </w:p>
        </w:tc>
        <w:tc>
          <w:tcPr>
            <w:tcW w:w="791" w:type="dxa"/>
            <w:vAlign w:val="center"/>
          </w:tcPr>
          <w:p>
            <w:pPr>
              <w:pStyle w:val="152"/>
              <w:spacing w:line="240" w:lineRule="auto"/>
              <w:ind w:firstLine="0" w:firstLineChars="0"/>
              <w:rPr>
                <w:kern w:val="0"/>
                <w:szCs w:val="21"/>
              </w:rPr>
            </w:pPr>
            <w:r>
              <w:rPr>
                <w:kern w:val="0"/>
                <w:szCs w:val="21"/>
              </w:rPr>
              <w:t>3</w:t>
            </w:r>
          </w:p>
        </w:tc>
        <w:tc>
          <w:tcPr>
            <w:tcW w:w="3473" w:type="dxa"/>
            <w:vAlign w:val="center"/>
          </w:tcPr>
          <w:p>
            <w:pPr>
              <w:pStyle w:val="152"/>
              <w:spacing w:line="240" w:lineRule="auto"/>
              <w:ind w:firstLine="0" w:firstLineChars="0"/>
              <w:rPr>
                <w:kern w:val="0"/>
                <w:szCs w:val="21"/>
              </w:rPr>
            </w:pPr>
            <w:r>
              <w:rPr>
                <w:rFonts w:hint="eastAsia"/>
                <w:kern w:val="0"/>
                <w:szCs w:val="21"/>
              </w:rPr>
              <w:t>对员工的相关技能和礼仪培训不到位,一次扣</w:t>
            </w:r>
            <w:r>
              <w:rPr>
                <w:kern w:val="0"/>
                <w:szCs w:val="21"/>
              </w:rPr>
              <w:t>1</w:t>
            </w:r>
            <w:r>
              <w:rPr>
                <w:rFonts w:hint="eastAsia"/>
                <w:kern w:val="0"/>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restart"/>
            <w:vAlign w:val="center"/>
          </w:tcPr>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r>
              <w:rPr>
                <w:rFonts w:hint="eastAsia"/>
                <w:kern w:val="0"/>
                <w:szCs w:val="21"/>
              </w:rPr>
              <w:t>安全保卫管理</w:t>
            </w:r>
          </w:p>
          <w:p>
            <w:pPr>
              <w:pStyle w:val="152"/>
              <w:spacing w:line="240" w:lineRule="auto"/>
              <w:ind w:firstLine="0" w:firstLineChars="0"/>
              <w:rPr>
                <w:kern w:val="0"/>
                <w:szCs w:val="21"/>
              </w:rPr>
            </w:pPr>
            <w:r>
              <w:rPr>
                <w:kern w:val="0"/>
                <w:szCs w:val="21"/>
              </w:rPr>
              <w:t>20分</w:t>
            </w:r>
          </w:p>
        </w:tc>
        <w:tc>
          <w:tcPr>
            <w:tcW w:w="3456" w:type="dxa"/>
            <w:vAlign w:val="center"/>
          </w:tcPr>
          <w:p>
            <w:pPr>
              <w:pStyle w:val="152"/>
              <w:spacing w:line="240" w:lineRule="auto"/>
              <w:ind w:firstLine="0" w:firstLineChars="0"/>
              <w:rPr>
                <w:kern w:val="0"/>
                <w:szCs w:val="21"/>
              </w:rPr>
            </w:pPr>
            <w:r>
              <w:rPr>
                <w:rFonts w:hint="eastAsia"/>
                <w:kern w:val="0"/>
                <w:szCs w:val="21"/>
              </w:rPr>
              <w:t>所聘用的秩序维护人员必须训练有素，有秩序维护队全管理制度和职责，安全防患措施，确秩序维护全稳定。</w:t>
            </w:r>
          </w:p>
        </w:tc>
        <w:tc>
          <w:tcPr>
            <w:tcW w:w="791" w:type="dxa"/>
            <w:vAlign w:val="center"/>
          </w:tcPr>
          <w:p>
            <w:pPr>
              <w:pStyle w:val="152"/>
              <w:spacing w:line="240" w:lineRule="auto"/>
              <w:ind w:firstLine="0" w:firstLineChars="0"/>
              <w:rPr>
                <w:kern w:val="0"/>
                <w:szCs w:val="21"/>
              </w:rPr>
            </w:pPr>
            <w:r>
              <w:rPr>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 xml:space="preserve">管理制度、职责、措施不健全每项扣 </w:t>
            </w:r>
            <w:r>
              <w:rPr>
                <w:kern w:val="0"/>
                <w:szCs w:val="21"/>
              </w:rPr>
              <w:t>1</w:t>
            </w:r>
            <w:r>
              <w:rPr>
                <w:rFonts w:hint="eastAsia"/>
                <w:kern w:val="0"/>
                <w:szCs w:val="21"/>
              </w:rPr>
              <w:t>分，发生安全事故一次扣</w:t>
            </w:r>
            <w:r>
              <w:rPr>
                <w:kern w:val="0"/>
                <w:szCs w:val="21"/>
              </w:rPr>
              <w:t>1</w:t>
            </w:r>
            <w:r>
              <w:rPr>
                <w:rFonts w:hint="eastAsia"/>
                <w:kern w:val="0"/>
                <w:szCs w:val="21"/>
              </w:rPr>
              <w:t>分，发生重大安全事故扣</w:t>
            </w:r>
            <w:r>
              <w:rPr>
                <w:kern w:val="0"/>
                <w:szCs w:val="21"/>
              </w:rPr>
              <w:t>2</w:t>
            </w:r>
            <w:r>
              <w:rPr>
                <w:rFonts w:hint="eastAsia"/>
                <w:kern w:val="0"/>
                <w:szCs w:val="21"/>
              </w:rPr>
              <w:t>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秩序维护队员必须熟悉物业环境，上班时按规定着装和佩戴装备，文明值勤，不与职工、到访人员发生矛盾和冲突。</w:t>
            </w:r>
          </w:p>
        </w:tc>
        <w:tc>
          <w:tcPr>
            <w:tcW w:w="791" w:type="dxa"/>
            <w:vAlign w:val="center"/>
          </w:tcPr>
          <w:p>
            <w:pPr>
              <w:pStyle w:val="152"/>
              <w:spacing w:line="240" w:lineRule="auto"/>
              <w:ind w:firstLine="0" w:firstLineChars="0"/>
              <w:rPr>
                <w:kern w:val="0"/>
                <w:szCs w:val="21"/>
              </w:rPr>
            </w:pPr>
            <w:r>
              <w:rPr>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发现一名队员着装不整齐扣分，不礼貌扣</w:t>
            </w:r>
            <w:r>
              <w:rPr>
                <w:kern w:val="0"/>
                <w:szCs w:val="21"/>
              </w:rPr>
              <w:t>1</w:t>
            </w:r>
            <w:r>
              <w:rPr>
                <w:rFonts w:hint="eastAsia"/>
                <w:kern w:val="0"/>
                <w:szCs w:val="21"/>
              </w:rPr>
              <w:t>分，无理与他人发生冲突一次扣</w:t>
            </w:r>
            <w:r>
              <w:rPr>
                <w:kern w:val="0"/>
                <w:szCs w:val="21"/>
              </w:rPr>
              <w:t>1</w:t>
            </w:r>
            <w:r>
              <w:rPr>
                <w:rFonts w:hint="eastAsia"/>
                <w:kern w:val="0"/>
                <w:szCs w:val="21"/>
              </w:rPr>
              <w:t>分，发生两次建议辞退。直至该项分值扣完为止。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秩序维护必须实行24小时值班巡逻，认真履行职责，机动灵活，加强重点区域和人少到的部位巡逻。</w:t>
            </w:r>
          </w:p>
        </w:tc>
        <w:tc>
          <w:tcPr>
            <w:tcW w:w="791" w:type="dxa"/>
            <w:vAlign w:val="center"/>
          </w:tcPr>
          <w:p>
            <w:pPr>
              <w:pStyle w:val="152"/>
              <w:spacing w:line="240" w:lineRule="auto"/>
              <w:ind w:firstLine="0" w:firstLineChars="0"/>
              <w:rPr>
                <w:kern w:val="0"/>
                <w:szCs w:val="21"/>
              </w:rPr>
            </w:pPr>
            <w:r>
              <w:rPr>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查值班巡逻日志，当值发生事件无记录扣</w:t>
            </w:r>
            <w:r>
              <w:rPr>
                <w:kern w:val="0"/>
                <w:szCs w:val="21"/>
              </w:rPr>
              <w:t>0</w:t>
            </w:r>
            <w:r>
              <w:rPr>
                <w:rFonts w:hint="eastAsia"/>
                <w:kern w:val="0"/>
                <w:szCs w:val="21"/>
              </w:rPr>
              <w:t>.</w:t>
            </w:r>
            <w:r>
              <w:rPr>
                <w:kern w:val="0"/>
                <w:szCs w:val="21"/>
              </w:rPr>
              <w:t>5</w:t>
            </w:r>
            <w:r>
              <w:rPr>
                <w:rFonts w:hint="eastAsia"/>
                <w:kern w:val="0"/>
                <w:szCs w:val="21"/>
              </w:rPr>
              <w:t>分，记录不规范扣</w:t>
            </w:r>
            <w:r>
              <w:rPr>
                <w:kern w:val="0"/>
                <w:szCs w:val="21"/>
              </w:rPr>
              <w:t>0.5</w:t>
            </w:r>
            <w:r>
              <w:rPr>
                <w:rFonts w:hint="eastAsia"/>
                <w:kern w:val="0"/>
                <w:szCs w:val="21"/>
              </w:rPr>
              <w:t>分，如反映巡逻不到位一次扣</w:t>
            </w:r>
            <w:r>
              <w:rPr>
                <w:kern w:val="0"/>
                <w:szCs w:val="21"/>
              </w:rPr>
              <w:t>0.5</w:t>
            </w:r>
            <w:r>
              <w:rPr>
                <w:rFonts w:hint="eastAsia"/>
                <w:kern w:val="0"/>
                <w:szCs w:val="21"/>
              </w:rPr>
              <w:t>分，巡逻乘座电梯一次扣</w:t>
            </w:r>
            <w:r>
              <w:rPr>
                <w:kern w:val="0"/>
                <w:szCs w:val="21"/>
              </w:rPr>
              <w:t>0.5</w:t>
            </w:r>
            <w:r>
              <w:rPr>
                <w:rFonts w:hint="eastAsia"/>
                <w:kern w:val="0"/>
                <w:szCs w:val="21"/>
              </w:rPr>
              <w:t>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做好重大活动会议的安全保卫工作，圆满完成交办的任务。</w:t>
            </w:r>
          </w:p>
        </w:tc>
        <w:tc>
          <w:tcPr>
            <w:tcW w:w="791" w:type="dxa"/>
            <w:vAlign w:val="center"/>
          </w:tcPr>
          <w:p>
            <w:pPr>
              <w:pStyle w:val="152"/>
              <w:spacing w:line="240" w:lineRule="auto"/>
              <w:ind w:firstLine="0" w:firstLineChars="0"/>
              <w:rPr>
                <w:kern w:val="0"/>
                <w:szCs w:val="21"/>
              </w:rPr>
            </w:pPr>
            <w:r>
              <w:rPr>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因安全保卫工作失误，造成不良影响扣</w:t>
            </w:r>
            <w:r>
              <w:rPr>
                <w:kern w:val="0"/>
                <w:szCs w:val="21"/>
              </w:rPr>
              <w:t>0.5</w:t>
            </w:r>
            <w:r>
              <w:rPr>
                <w:rFonts w:hint="eastAsia"/>
                <w:kern w:val="0"/>
                <w:szCs w:val="21"/>
              </w:rPr>
              <w:t>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严格执行登记制度，凡进入机关办公楼的外来人员应询问来访目的，查验有关证件，并进行登记。</w:t>
            </w:r>
          </w:p>
        </w:tc>
        <w:tc>
          <w:tcPr>
            <w:tcW w:w="791" w:type="dxa"/>
            <w:vAlign w:val="center"/>
          </w:tcPr>
          <w:p>
            <w:pPr>
              <w:pStyle w:val="152"/>
              <w:spacing w:line="240" w:lineRule="auto"/>
              <w:ind w:firstLine="0" w:firstLineChars="0"/>
              <w:rPr>
                <w:kern w:val="0"/>
                <w:szCs w:val="21"/>
              </w:rPr>
            </w:pPr>
            <w:r>
              <w:rPr>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未登记每人扣</w:t>
            </w:r>
            <w:r>
              <w:rPr>
                <w:kern w:val="0"/>
                <w:szCs w:val="21"/>
              </w:rPr>
              <w:t>0.1</w:t>
            </w:r>
            <w:r>
              <w:rPr>
                <w:rFonts w:hint="eastAsia"/>
                <w:kern w:val="0"/>
                <w:szCs w:val="21"/>
              </w:rPr>
              <w:t>分，扣完为止。直至该项分值扣完为止。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定期组织安全教育；及时发现各类安全隐患，确保不发生物品被盗和各类案件及安全事故。</w:t>
            </w:r>
          </w:p>
        </w:tc>
        <w:tc>
          <w:tcPr>
            <w:tcW w:w="791" w:type="dxa"/>
            <w:vAlign w:val="center"/>
          </w:tcPr>
          <w:p>
            <w:pPr>
              <w:pStyle w:val="152"/>
              <w:spacing w:line="240" w:lineRule="auto"/>
              <w:ind w:firstLine="0" w:firstLineChars="0"/>
              <w:rPr>
                <w:kern w:val="0"/>
                <w:szCs w:val="21"/>
              </w:rPr>
            </w:pPr>
            <w:r>
              <w:rPr>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无安全教育（查记录）扣</w:t>
            </w:r>
            <w:r>
              <w:rPr>
                <w:kern w:val="0"/>
                <w:szCs w:val="21"/>
              </w:rPr>
              <w:t>0.1</w:t>
            </w:r>
            <w:r>
              <w:rPr>
                <w:rFonts w:hint="eastAsia"/>
                <w:kern w:val="0"/>
                <w:szCs w:val="21"/>
              </w:rPr>
              <w:t>分，发生手机钱包被盗事件一次扣</w:t>
            </w:r>
            <w:r>
              <w:rPr>
                <w:kern w:val="0"/>
                <w:szCs w:val="21"/>
              </w:rPr>
              <w:t>0.5</w:t>
            </w:r>
            <w:r>
              <w:rPr>
                <w:rFonts w:hint="eastAsia"/>
                <w:kern w:val="0"/>
                <w:szCs w:val="21"/>
              </w:rPr>
              <w:t>分。发生财产被盗案或秩序维护员内部自盗一次扣</w:t>
            </w:r>
            <w:r>
              <w:rPr>
                <w:kern w:val="0"/>
                <w:szCs w:val="21"/>
              </w:rPr>
              <w:t>1</w:t>
            </w:r>
            <w:r>
              <w:rPr>
                <w:rFonts w:hint="eastAsia"/>
                <w:kern w:val="0"/>
                <w:szCs w:val="21"/>
              </w:rPr>
              <w:t>分，并追究管理管理人员的责任。直至该项分值扣完为止。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协助搬运家具时，必须轻移轻放，无损坏家具和地板。</w:t>
            </w:r>
          </w:p>
        </w:tc>
        <w:tc>
          <w:tcPr>
            <w:tcW w:w="791" w:type="dxa"/>
            <w:vAlign w:val="center"/>
          </w:tcPr>
          <w:p>
            <w:pPr>
              <w:pStyle w:val="152"/>
              <w:spacing w:line="240" w:lineRule="auto"/>
              <w:ind w:firstLine="0" w:firstLineChars="0"/>
              <w:rPr>
                <w:kern w:val="0"/>
                <w:szCs w:val="21"/>
              </w:rPr>
            </w:pPr>
            <w:r>
              <w:rPr>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造成家具或地板损坏扣</w:t>
            </w:r>
            <w:r>
              <w:rPr>
                <w:kern w:val="0"/>
                <w:szCs w:val="21"/>
              </w:rPr>
              <w:t>0.1</w:t>
            </w:r>
            <w:r>
              <w:rPr>
                <w:rFonts w:hint="eastAsia"/>
                <w:kern w:val="0"/>
                <w:szCs w:val="21"/>
              </w:rPr>
              <w:t>分，并承担10%维修费用。直至该项分值扣完为止。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做好停车场的管理，正确疏导机动车辆进出、泊车，提醒车主关好车辆门窗，上锁，防止车辆碰撞、损坏等问题发生。</w:t>
            </w:r>
          </w:p>
        </w:tc>
        <w:tc>
          <w:tcPr>
            <w:tcW w:w="791" w:type="dxa"/>
            <w:vAlign w:val="center"/>
          </w:tcPr>
          <w:p>
            <w:pPr>
              <w:pStyle w:val="152"/>
              <w:spacing w:line="240" w:lineRule="auto"/>
              <w:ind w:firstLine="0" w:firstLineChars="0"/>
              <w:rPr>
                <w:kern w:val="0"/>
                <w:szCs w:val="21"/>
              </w:rPr>
            </w:pPr>
            <w:r>
              <w:rPr>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发现乱停放车辆，一辆扣</w:t>
            </w:r>
            <w:r>
              <w:rPr>
                <w:kern w:val="0"/>
                <w:szCs w:val="21"/>
              </w:rPr>
              <w:t>0.1</w:t>
            </w:r>
            <w:r>
              <w:rPr>
                <w:rFonts w:hint="eastAsia"/>
                <w:kern w:val="0"/>
                <w:szCs w:val="21"/>
              </w:rPr>
              <w:t>分；发生车辆碰撞，碰撞、损坏一次扣</w:t>
            </w:r>
            <w:r>
              <w:rPr>
                <w:kern w:val="0"/>
                <w:szCs w:val="21"/>
              </w:rPr>
              <w:t>0.1</w:t>
            </w:r>
            <w:r>
              <w:rPr>
                <w:rFonts w:hint="eastAsia"/>
                <w:kern w:val="0"/>
                <w:szCs w:val="21"/>
              </w:rPr>
              <w:t>分，并由管理公司承担相应责任。直至该项分值扣完为止。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引导非机动车辆集中停放，停放整齐，场地洁净，落实管理制度，确秩序维护全，严防损坏与丢失。</w:t>
            </w:r>
          </w:p>
        </w:tc>
        <w:tc>
          <w:tcPr>
            <w:tcW w:w="791" w:type="dxa"/>
            <w:vAlign w:val="center"/>
          </w:tcPr>
          <w:p>
            <w:pPr>
              <w:pStyle w:val="152"/>
              <w:spacing w:line="240" w:lineRule="auto"/>
              <w:ind w:firstLine="0" w:firstLineChars="0"/>
              <w:rPr>
                <w:kern w:val="0"/>
                <w:szCs w:val="21"/>
              </w:rPr>
            </w:pPr>
            <w:r>
              <w:rPr>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一项不符合扣</w:t>
            </w:r>
            <w:r>
              <w:rPr>
                <w:kern w:val="0"/>
                <w:szCs w:val="21"/>
              </w:rPr>
              <w:t>0.1</w:t>
            </w:r>
            <w:r>
              <w:rPr>
                <w:rFonts w:hint="eastAsia"/>
                <w:kern w:val="0"/>
                <w:szCs w:val="21"/>
              </w:rPr>
              <w:t>分；发生损坏或丢失一次扣</w:t>
            </w:r>
            <w:r>
              <w:rPr>
                <w:kern w:val="0"/>
                <w:szCs w:val="21"/>
              </w:rPr>
              <w:t>0.1</w:t>
            </w:r>
            <w:r>
              <w:rPr>
                <w:rFonts w:hint="eastAsia"/>
                <w:kern w:val="0"/>
                <w:szCs w:val="21"/>
              </w:rPr>
              <w:t>分，并由管理公司承担相应责任。直至该项分值扣完为止。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门卫岗位，严格执勤，维护进出车辆秩序，不与车主发生冲突。</w:t>
            </w:r>
          </w:p>
        </w:tc>
        <w:tc>
          <w:tcPr>
            <w:tcW w:w="791" w:type="dxa"/>
            <w:vAlign w:val="center"/>
          </w:tcPr>
          <w:p>
            <w:pPr>
              <w:pStyle w:val="152"/>
              <w:spacing w:line="240" w:lineRule="auto"/>
              <w:ind w:firstLine="0" w:firstLineChars="0"/>
              <w:rPr>
                <w:kern w:val="0"/>
                <w:szCs w:val="21"/>
              </w:rPr>
            </w:pPr>
            <w:r>
              <w:rPr>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发生一起扣</w:t>
            </w:r>
            <w:r>
              <w:rPr>
                <w:kern w:val="0"/>
                <w:szCs w:val="21"/>
              </w:rPr>
              <w:t>0.2</w:t>
            </w:r>
            <w:r>
              <w:rPr>
                <w:rFonts w:hint="eastAsia"/>
                <w:kern w:val="0"/>
                <w:szCs w:val="21"/>
              </w:rPr>
              <w:t>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能熟练掌握消防设施设备的使用方法。</w:t>
            </w:r>
          </w:p>
        </w:tc>
        <w:tc>
          <w:tcPr>
            <w:tcW w:w="791" w:type="dxa"/>
            <w:vAlign w:val="center"/>
          </w:tcPr>
          <w:p>
            <w:pPr>
              <w:pStyle w:val="152"/>
              <w:spacing w:line="240" w:lineRule="auto"/>
              <w:ind w:firstLine="0" w:firstLineChars="0"/>
              <w:rPr>
                <w:kern w:val="0"/>
                <w:szCs w:val="21"/>
              </w:rPr>
            </w:pPr>
            <w:r>
              <w:rPr>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不会使用操作扣</w:t>
            </w:r>
            <w:r>
              <w:rPr>
                <w:kern w:val="0"/>
                <w:szCs w:val="21"/>
              </w:rPr>
              <w:t>0.5</w:t>
            </w:r>
            <w:r>
              <w:rPr>
                <w:rFonts w:hint="eastAsia"/>
                <w:kern w:val="0"/>
                <w:szCs w:val="21"/>
              </w:rPr>
              <w:t>分，不熟练扣</w:t>
            </w:r>
            <w:r>
              <w:rPr>
                <w:kern w:val="0"/>
                <w:szCs w:val="21"/>
              </w:rPr>
              <w:t>0.1</w:t>
            </w:r>
            <w:r>
              <w:rPr>
                <w:rFonts w:hint="eastAsia"/>
                <w:kern w:val="0"/>
                <w:szCs w:val="21"/>
              </w:rPr>
              <w:t>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能正确果断处理各种火险、火灾以及救护程序。</w:t>
            </w:r>
          </w:p>
        </w:tc>
        <w:tc>
          <w:tcPr>
            <w:tcW w:w="791" w:type="dxa"/>
            <w:vAlign w:val="center"/>
          </w:tcPr>
          <w:p>
            <w:pPr>
              <w:pStyle w:val="152"/>
              <w:spacing w:line="240" w:lineRule="auto"/>
              <w:ind w:firstLine="0" w:firstLineChars="0"/>
              <w:rPr>
                <w:kern w:val="0"/>
                <w:szCs w:val="21"/>
              </w:rPr>
            </w:pPr>
            <w:r>
              <w:rPr>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不会扣</w:t>
            </w:r>
            <w:r>
              <w:rPr>
                <w:kern w:val="0"/>
                <w:szCs w:val="21"/>
              </w:rPr>
              <w:t>0.2</w:t>
            </w:r>
            <w:r>
              <w:rPr>
                <w:rFonts w:hint="eastAsia"/>
                <w:kern w:val="0"/>
                <w:szCs w:val="21"/>
              </w:rPr>
              <w:t>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严格消防管理制度，认真巡查火险隐患，确保无火灾事故发生。</w:t>
            </w:r>
          </w:p>
        </w:tc>
        <w:tc>
          <w:tcPr>
            <w:tcW w:w="791" w:type="dxa"/>
            <w:vAlign w:val="center"/>
          </w:tcPr>
          <w:p>
            <w:pPr>
              <w:pStyle w:val="152"/>
              <w:spacing w:line="240" w:lineRule="auto"/>
              <w:ind w:firstLine="0" w:firstLineChars="0"/>
              <w:rPr>
                <w:kern w:val="0"/>
                <w:szCs w:val="21"/>
              </w:rPr>
            </w:pPr>
            <w:r>
              <w:rPr>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检查一处有隐患扣</w:t>
            </w:r>
            <w:r>
              <w:rPr>
                <w:kern w:val="0"/>
                <w:szCs w:val="21"/>
              </w:rPr>
              <w:t>0.1</w:t>
            </w:r>
            <w:r>
              <w:rPr>
                <w:rFonts w:hint="eastAsia"/>
                <w:kern w:val="0"/>
                <w:szCs w:val="21"/>
              </w:rPr>
              <w:t>分，发生火灾事故</w:t>
            </w:r>
            <w:r>
              <w:rPr>
                <w:kern w:val="0"/>
                <w:szCs w:val="21"/>
              </w:rPr>
              <w:t>2</w:t>
            </w:r>
            <w:r>
              <w:rPr>
                <w:rFonts w:hint="eastAsia"/>
                <w:kern w:val="0"/>
                <w:szCs w:val="21"/>
              </w:rPr>
              <w:t>分，并追究责任。直至该项分值扣完为止。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各种消防设施定期检查保养、维护，确保无缺损，保障正常运行。</w:t>
            </w:r>
          </w:p>
        </w:tc>
        <w:tc>
          <w:tcPr>
            <w:tcW w:w="791" w:type="dxa"/>
            <w:vAlign w:val="center"/>
          </w:tcPr>
          <w:p>
            <w:pPr>
              <w:pStyle w:val="152"/>
              <w:spacing w:line="240" w:lineRule="auto"/>
              <w:ind w:firstLine="0" w:firstLineChars="0"/>
              <w:rPr>
                <w:kern w:val="0"/>
                <w:szCs w:val="21"/>
              </w:rPr>
            </w:pPr>
            <w:r>
              <w:rPr>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无保养扣</w:t>
            </w:r>
            <w:r>
              <w:rPr>
                <w:kern w:val="0"/>
                <w:szCs w:val="21"/>
              </w:rPr>
              <w:t>0.1</w:t>
            </w:r>
            <w:r>
              <w:rPr>
                <w:rFonts w:hint="eastAsia"/>
                <w:kern w:val="0"/>
                <w:szCs w:val="21"/>
              </w:rPr>
              <w:t>分，一处运行障碍扣</w:t>
            </w:r>
            <w:r>
              <w:rPr>
                <w:kern w:val="0"/>
                <w:szCs w:val="21"/>
              </w:rPr>
              <w:t>0.2</w:t>
            </w:r>
            <w:r>
              <w:rPr>
                <w:rFonts w:hint="eastAsia"/>
                <w:kern w:val="0"/>
                <w:szCs w:val="21"/>
              </w:rPr>
              <w:t>分，一处缺或损坏扣</w:t>
            </w:r>
            <w:r>
              <w:rPr>
                <w:kern w:val="0"/>
                <w:szCs w:val="21"/>
              </w:rPr>
              <w:t>0.2</w:t>
            </w:r>
            <w:r>
              <w:rPr>
                <w:rFonts w:hint="eastAsia"/>
                <w:kern w:val="0"/>
                <w:szCs w:val="21"/>
              </w:rPr>
              <w:t>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严格消防管理制度，认真巡查火险隐患，确保无火灾事故发生。</w:t>
            </w:r>
          </w:p>
        </w:tc>
        <w:tc>
          <w:tcPr>
            <w:tcW w:w="791" w:type="dxa"/>
            <w:vAlign w:val="center"/>
          </w:tcPr>
          <w:p>
            <w:pPr>
              <w:pStyle w:val="152"/>
              <w:spacing w:line="240" w:lineRule="auto"/>
              <w:ind w:firstLine="0" w:firstLineChars="0"/>
              <w:rPr>
                <w:kern w:val="0"/>
                <w:szCs w:val="21"/>
              </w:rPr>
            </w:pPr>
            <w:r>
              <w:rPr>
                <w:rFonts w:hint="eastAsia"/>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检查一处有隐患扣0</w:t>
            </w:r>
            <w:r>
              <w:rPr>
                <w:kern w:val="0"/>
                <w:szCs w:val="21"/>
              </w:rPr>
              <w:t>.1</w:t>
            </w:r>
            <w:r>
              <w:rPr>
                <w:rFonts w:hint="eastAsia"/>
                <w:kern w:val="0"/>
                <w:szCs w:val="21"/>
              </w:rPr>
              <w:t>分，发生火灾事故</w:t>
            </w:r>
            <w:r>
              <w:rPr>
                <w:kern w:val="0"/>
                <w:szCs w:val="21"/>
              </w:rPr>
              <w:t>0.5</w:t>
            </w:r>
            <w:r>
              <w:rPr>
                <w:rFonts w:hint="eastAsia"/>
                <w:kern w:val="0"/>
                <w:szCs w:val="21"/>
              </w:rPr>
              <w:t>分，并追究责任。直至该项分值扣完为止。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jc w:val="center"/>
        </w:trPr>
        <w:tc>
          <w:tcPr>
            <w:tcW w:w="635" w:type="dxa"/>
            <w:vMerge w:val="restart"/>
            <w:vAlign w:val="center"/>
          </w:tcPr>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r>
              <w:rPr>
                <w:rFonts w:hint="eastAsia"/>
                <w:kern w:val="0"/>
                <w:szCs w:val="21"/>
              </w:rPr>
              <w:t>清洁卫生管理</w:t>
            </w:r>
          </w:p>
          <w:p>
            <w:pPr>
              <w:pStyle w:val="152"/>
              <w:spacing w:line="240" w:lineRule="auto"/>
              <w:ind w:firstLine="0" w:firstLineChars="0"/>
              <w:rPr>
                <w:kern w:val="0"/>
                <w:szCs w:val="21"/>
              </w:rPr>
            </w:pPr>
            <w:r>
              <w:rPr>
                <w:kern w:val="0"/>
                <w:szCs w:val="21"/>
              </w:rPr>
              <w:t>20分</w:t>
            </w:r>
          </w:p>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清洁保洁责任划分到人，责任范围清洁达到标准化。清洁员着装统一，工作细致，形象良好。</w:t>
            </w:r>
          </w:p>
        </w:tc>
        <w:tc>
          <w:tcPr>
            <w:tcW w:w="791" w:type="dxa"/>
            <w:vAlign w:val="center"/>
          </w:tcPr>
          <w:p>
            <w:pPr>
              <w:pStyle w:val="152"/>
              <w:spacing w:line="240" w:lineRule="auto"/>
              <w:ind w:firstLine="0" w:firstLineChars="0"/>
              <w:rPr>
                <w:kern w:val="0"/>
                <w:szCs w:val="21"/>
              </w:rPr>
            </w:pPr>
            <w:r>
              <w:rPr>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未明确责任到人，一处扣</w:t>
            </w:r>
            <w:r>
              <w:rPr>
                <w:kern w:val="0"/>
                <w:szCs w:val="21"/>
              </w:rPr>
              <w:t>0.1</w:t>
            </w:r>
            <w:r>
              <w:rPr>
                <w:rFonts w:hint="eastAsia"/>
                <w:kern w:val="0"/>
                <w:szCs w:val="21"/>
              </w:rPr>
              <w:t>分。一处未达到标准保洁扣</w:t>
            </w:r>
            <w:r>
              <w:rPr>
                <w:kern w:val="0"/>
                <w:szCs w:val="21"/>
              </w:rPr>
              <w:t>0.1</w:t>
            </w:r>
            <w:r>
              <w:rPr>
                <w:rFonts w:hint="eastAsia"/>
                <w:kern w:val="0"/>
                <w:szCs w:val="21"/>
              </w:rPr>
              <w:t>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各责任区域门窗干净明亮、清爽；地面无纸屑、果皮、灰尘、杂物和污渍；垃圾筒纸篓内的垃圾不能超过三分之二。</w:t>
            </w:r>
          </w:p>
        </w:tc>
        <w:tc>
          <w:tcPr>
            <w:tcW w:w="791" w:type="dxa"/>
            <w:vAlign w:val="center"/>
          </w:tcPr>
          <w:p>
            <w:pPr>
              <w:pStyle w:val="152"/>
              <w:spacing w:line="240" w:lineRule="auto"/>
              <w:ind w:firstLine="0" w:firstLineChars="0"/>
              <w:rPr>
                <w:kern w:val="0"/>
                <w:szCs w:val="21"/>
              </w:rPr>
            </w:pPr>
            <w:r>
              <w:rPr>
                <w:kern w:val="0"/>
                <w:szCs w:val="21"/>
              </w:rPr>
              <w:t>3</w:t>
            </w:r>
          </w:p>
        </w:tc>
        <w:tc>
          <w:tcPr>
            <w:tcW w:w="3473" w:type="dxa"/>
            <w:vAlign w:val="center"/>
          </w:tcPr>
          <w:p>
            <w:pPr>
              <w:pStyle w:val="152"/>
              <w:spacing w:line="240" w:lineRule="auto"/>
              <w:ind w:firstLine="0" w:firstLineChars="0"/>
              <w:rPr>
                <w:kern w:val="0"/>
                <w:szCs w:val="21"/>
              </w:rPr>
            </w:pPr>
            <w:r>
              <w:rPr>
                <w:rFonts w:hint="eastAsia"/>
                <w:kern w:val="0"/>
                <w:szCs w:val="21"/>
              </w:rPr>
              <w:t>一个责任区域一项未做到扣</w:t>
            </w:r>
            <w:r>
              <w:rPr>
                <w:kern w:val="0"/>
                <w:szCs w:val="21"/>
              </w:rPr>
              <w:t>0.2</w:t>
            </w:r>
            <w:r>
              <w:rPr>
                <w:rFonts w:hint="eastAsia"/>
                <w:kern w:val="0"/>
                <w:szCs w:val="21"/>
              </w:rPr>
              <w:t>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各洗手间清洁明亮，无积水，无污渍，无异味。</w:t>
            </w:r>
          </w:p>
        </w:tc>
        <w:tc>
          <w:tcPr>
            <w:tcW w:w="791" w:type="dxa"/>
            <w:vAlign w:val="center"/>
          </w:tcPr>
          <w:p>
            <w:pPr>
              <w:pStyle w:val="152"/>
              <w:spacing w:line="240" w:lineRule="auto"/>
              <w:ind w:firstLine="0" w:firstLineChars="0"/>
              <w:rPr>
                <w:kern w:val="0"/>
                <w:szCs w:val="21"/>
              </w:rPr>
            </w:pPr>
            <w:r>
              <w:rPr>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一个洗手间一项不符合扣</w:t>
            </w:r>
            <w:r>
              <w:rPr>
                <w:kern w:val="0"/>
                <w:szCs w:val="21"/>
              </w:rPr>
              <w:t>0.1</w:t>
            </w:r>
            <w:r>
              <w:rPr>
                <w:rFonts w:hint="eastAsia"/>
                <w:kern w:val="0"/>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用专用清洁布擦拭饮水设备，无污渍。</w:t>
            </w:r>
          </w:p>
        </w:tc>
        <w:tc>
          <w:tcPr>
            <w:tcW w:w="791" w:type="dxa"/>
            <w:vAlign w:val="center"/>
          </w:tcPr>
          <w:p>
            <w:pPr>
              <w:pStyle w:val="152"/>
              <w:spacing w:line="240" w:lineRule="auto"/>
              <w:ind w:firstLine="0" w:firstLineChars="0"/>
              <w:rPr>
                <w:kern w:val="0"/>
                <w:szCs w:val="21"/>
              </w:rPr>
            </w:pPr>
            <w:r>
              <w:rPr>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一处饮水设备不符合扣</w:t>
            </w:r>
            <w:r>
              <w:rPr>
                <w:kern w:val="0"/>
                <w:szCs w:val="21"/>
              </w:rPr>
              <w:t>0.2</w:t>
            </w:r>
            <w:r>
              <w:rPr>
                <w:rFonts w:hint="eastAsia"/>
                <w:kern w:val="0"/>
                <w:szCs w:val="21"/>
              </w:rPr>
              <w:t>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地面保持干燥，尤其下雨天要加强管理，入口处放置地滑警示牌，防止行人摔伤，确秩序维护全。</w:t>
            </w:r>
          </w:p>
        </w:tc>
        <w:tc>
          <w:tcPr>
            <w:tcW w:w="791" w:type="dxa"/>
            <w:vAlign w:val="center"/>
          </w:tcPr>
          <w:p>
            <w:pPr>
              <w:pStyle w:val="152"/>
              <w:spacing w:line="240" w:lineRule="auto"/>
              <w:ind w:firstLine="0" w:firstLineChars="0"/>
              <w:rPr>
                <w:kern w:val="0"/>
                <w:szCs w:val="21"/>
              </w:rPr>
            </w:pPr>
            <w:r>
              <w:rPr>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未设置警示牌，每次扣</w:t>
            </w:r>
            <w:r>
              <w:rPr>
                <w:kern w:val="0"/>
                <w:szCs w:val="21"/>
              </w:rPr>
              <w:t>0.2</w:t>
            </w:r>
            <w:r>
              <w:rPr>
                <w:rFonts w:hint="eastAsia"/>
                <w:kern w:val="0"/>
                <w:szCs w:val="21"/>
              </w:rPr>
              <w:t>分。因地面有水或其他果皮等致使人摔伤全扣，并且承担由此引发的责任。直至该项分值扣完为止。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垃圾做到日产日清，垃圾桶每三天至少清洗一次，外露面无垃圾附着。</w:t>
            </w:r>
          </w:p>
        </w:tc>
        <w:tc>
          <w:tcPr>
            <w:tcW w:w="791" w:type="dxa"/>
            <w:vAlign w:val="center"/>
          </w:tcPr>
          <w:p>
            <w:pPr>
              <w:pStyle w:val="152"/>
              <w:spacing w:line="240" w:lineRule="auto"/>
              <w:ind w:firstLine="0" w:firstLineChars="0"/>
              <w:rPr>
                <w:kern w:val="0"/>
                <w:szCs w:val="21"/>
              </w:rPr>
            </w:pPr>
            <w:r>
              <w:rPr>
                <w:kern w:val="0"/>
                <w:szCs w:val="21"/>
              </w:rPr>
              <w:t>3</w:t>
            </w:r>
          </w:p>
        </w:tc>
        <w:tc>
          <w:tcPr>
            <w:tcW w:w="3473" w:type="dxa"/>
            <w:vAlign w:val="center"/>
          </w:tcPr>
          <w:p>
            <w:pPr>
              <w:pStyle w:val="152"/>
              <w:spacing w:line="240" w:lineRule="auto"/>
              <w:ind w:firstLine="0" w:firstLineChars="0"/>
              <w:rPr>
                <w:kern w:val="0"/>
                <w:szCs w:val="21"/>
              </w:rPr>
            </w:pPr>
            <w:r>
              <w:rPr>
                <w:rFonts w:hint="eastAsia"/>
                <w:kern w:val="0"/>
                <w:szCs w:val="21"/>
              </w:rPr>
              <w:t>一项未做到扣</w:t>
            </w:r>
            <w:r>
              <w:rPr>
                <w:kern w:val="0"/>
                <w:szCs w:val="21"/>
              </w:rPr>
              <w:t>0.5</w:t>
            </w:r>
            <w:r>
              <w:rPr>
                <w:rFonts w:hint="eastAsia"/>
                <w:kern w:val="0"/>
                <w:szCs w:val="21"/>
              </w:rPr>
              <w:t>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路面无明显泥沙、污垢，无1cm以上的石子，每100平方米烟头纸屑不超过3处。</w:t>
            </w:r>
          </w:p>
        </w:tc>
        <w:tc>
          <w:tcPr>
            <w:tcW w:w="791" w:type="dxa"/>
            <w:vAlign w:val="center"/>
          </w:tcPr>
          <w:p>
            <w:pPr>
              <w:pStyle w:val="152"/>
              <w:spacing w:line="240" w:lineRule="auto"/>
              <w:ind w:firstLine="0" w:firstLineChars="0"/>
              <w:rPr>
                <w:kern w:val="0"/>
                <w:szCs w:val="21"/>
              </w:rPr>
            </w:pPr>
            <w:r>
              <w:rPr>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不符合扣</w:t>
            </w:r>
            <w:r>
              <w:rPr>
                <w:kern w:val="0"/>
                <w:szCs w:val="21"/>
              </w:rPr>
              <w:t>0.1</w:t>
            </w:r>
            <w:r>
              <w:rPr>
                <w:rFonts w:hint="eastAsia"/>
                <w:kern w:val="0"/>
                <w:szCs w:val="21"/>
              </w:rPr>
              <w:t>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绿化丛中无烟盒、饮料瓶盒、塑料袋等垃圾。</w:t>
            </w:r>
          </w:p>
        </w:tc>
        <w:tc>
          <w:tcPr>
            <w:tcW w:w="791" w:type="dxa"/>
            <w:vAlign w:val="center"/>
          </w:tcPr>
          <w:p>
            <w:pPr>
              <w:pStyle w:val="152"/>
              <w:spacing w:line="240" w:lineRule="auto"/>
              <w:ind w:firstLine="0" w:firstLineChars="0"/>
              <w:rPr>
                <w:kern w:val="0"/>
                <w:szCs w:val="21"/>
              </w:rPr>
            </w:pPr>
            <w:r>
              <w:rPr>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发现一处扣</w:t>
            </w:r>
            <w:r>
              <w:rPr>
                <w:kern w:val="0"/>
                <w:szCs w:val="21"/>
              </w:rPr>
              <w:t>0.2</w:t>
            </w:r>
            <w:r>
              <w:rPr>
                <w:rFonts w:hint="eastAsia"/>
                <w:kern w:val="0"/>
                <w:szCs w:val="21"/>
              </w:rPr>
              <w:t>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滴水檐无乱堆放杂物，无垃圾、无污渍、无青苔、无积水。</w:t>
            </w:r>
          </w:p>
        </w:tc>
        <w:tc>
          <w:tcPr>
            <w:tcW w:w="791" w:type="dxa"/>
            <w:vAlign w:val="center"/>
          </w:tcPr>
          <w:p>
            <w:pPr>
              <w:pStyle w:val="152"/>
              <w:spacing w:line="240" w:lineRule="auto"/>
              <w:ind w:firstLine="0" w:firstLineChars="0"/>
              <w:rPr>
                <w:kern w:val="0"/>
                <w:szCs w:val="21"/>
              </w:rPr>
            </w:pPr>
            <w:r>
              <w:rPr>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发现一处扣</w:t>
            </w:r>
            <w:r>
              <w:rPr>
                <w:kern w:val="0"/>
                <w:szCs w:val="21"/>
              </w:rPr>
              <w:t>0.2</w:t>
            </w:r>
            <w:r>
              <w:rPr>
                <w:rFonts w:hint="eastAsia"/>
                <w:kern w:val="0"/>
                <w:szCs w:val="21"/>
              </w:rPr>
              <w:t>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各明沟无垃圾、无青苔，畅通。</w:t>
            </w:r>
          </w:p>
        </w:tc>
        <w:tc>
          <w:tcPr>
            <w:tcW w:w="791" w:type="dxa"/>
            <w:vAlign w:val="center"/>
          </w:tcPr>
          <w:p>
            <w:pPr>
              <w:pStyle w:val="152"/>
              <w:spacing w:line="240" w:lineRule="auto"/>
              <w:ind w:firstLine="0" w:firstLineChars="0"/>
              <w:rPr>
                <w:kern w:val="0"/>
                <w:szCs w:val="21"/>
              </w:rPr>
            </w:pPr>
            <w:r>
              <w:rPr>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一条沟不符合扣</w:t>
            </w:r>
            <w:r>
              <w:rPr>
                <w:kern w:val="0"/>
                <w:szCs w:val="21"/>
              </w:rPr>
              <w:t>0.2</w:t>
            </w:r>
            <w:r>
              <w:rPr>
                <w:rFonts w:hint="eastAsia"/>
                <w:kern w:val="0"/>
                <w:szCs w:val="21"/>
              </w:rPr>
              <w:t>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确保无卫生死角。</w:t>
            </w:r>
          </w:p>
        </w:tc>
        <w:tc>
          <w:tcPr>
            <w:tcW w:w="791" w:type="dxa"/>
            <w:vAlign w:val="center"/>
          </w:tcPr>
          <w:p>
            <w:pPr>
              <w:pStyle w:val="152"/>
              <w:spacing w:line="240" w:lineRule="auto"/>
              <w:ind w:firstLine="0" w:firstLineChars="0"/>
              <w:rPr>
                <w:kern w:val="0"/>
                <w:szCs w:val="21"/>
              </w:rPr>
            </w:pPr>
            <w:r>
              <w:rPr>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一处扣</w:t>
            </w:r>
            <w:r>
              <w:rPr>
                <w:kern w:val="0"/>
                <w:szCs w:val="21"/>
              </w:rPr>
              <w:t>0.2</w:t>
            </w:r>
            <w:r>
              <w:rPr>
                <w:rFonts w:hint="eastAsia"/>
                <w:kern w:val="0"/>
                <w:szCs w:val="21"/>
              </w:rPr>
              <w:t>分，直至该项分值扣完止。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restart"/>
            <w:vAlign w:val="center"/>
          </w:tcPr>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r>
              <w:rPr>
                <w:rFonts w:hint="eastAsia"/>
                <w:kern w:val="0"/>
                <w:szCs w:val="21"/>
              </w:rPr>
              <w:t>水电 (维修、锅炉)工作</w:t>
            </w:r>
          </w:p>
          <w:p>
            <w:pPr>
              <w:pStyle w:val="152"/>
              <w:spacing w:line="240" w:lineRule="auto"/>
              <w:ind w:firstLine="0" w:firstLineChars="0"/>
              <w:rPr>
                <w:kern w:val="0"/>
                <w:szCs w:val="21"/>
              </w:rPr>
            </w:pPr>
            <w:r>
              <w:rPr>
                <w:kern w:val="0"/>
                <w:szCs w:val="21"/>
              </w:rPr>
              <w:t>10分</w:t>
            </w:r>
          </w:p>
        </w:tc>
        <w:tc>
          <w:tcPr>
            <w:tcW w:w="3456" w:type="dxa"/>
            <w:vAlign w:val="center"/>
          </w:tcPr>
          <w:p>
            <w:pPr>
              <w:pStyle w:val="152"/>
              <w:spacing w:line="240" w:lineRule="auto"/>
              <w:ind w:firstLine="0" w:firstLineChars="0"/>
              <w:rPr>
                <w:kern w:val="0"/>
                <w:szCs w:val="21"/>
              </w:rPr>
            </w:pPr>
            <w:r>
              <w:rPr>
                <w:rFonts w:hint="eastAsia"/>
                <w:kern w:val="0"/>
                <w:szCs w:val="21"/>
              </w:rPr>
              <w:t>做好设备其附属设施的保养，协助做好维修工作。</w:t>
            </w:r>
          </w:p>
        </w:tc>
        <w:tc>
          <w:tcPr>
            <w:tcW w:w="791" w:type="dxa"/>
            <w:vAlign w:val="center"/>
          </w:tcPr>
          <w:p>
            <w:pPr>
              <w:pStyle w:val="152"/>
              <w:spacing w:line="240" w:lineRule="auto"/>
              <w:ind w:firstLine="0" w:firstLineChars="0"/>
              <w:rPr>
                <w:kern w:val="0"/>
                <w:szCs w:val="21"/>
              </w:rPr>
            </w:pPr>
            <w:r>
              <w:rPr>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 xml:space="preserve">因设备损坏，未及时维修影响工作，扣 </w:t>
            </w:r>
            <w:r>
              <w:rPr>
                <w:kern w:val="0"/>
                <w:szCs w:val="21"/>
              </w:rPr>
              <w:t>0.2</w:t>
            </w:r>
            <w:r>
              <w:rPr>
                <w:rFonts w:hint="eastAsia"/>
                <w:kern w:val="0"/>
                <w:szCs w:val="21"/>
              </w:rPr>
              <w:t>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做好煤气、水电的计量记录，降低消耗，保持设备的正常运行。</w:t>
            </w:r>
          </w:p>
        </w:tc>
        <w:tc>
          <w:tcPr>
            <w:tcW w:w="791" w:type="dxa"/>
            <w:vAlign w:val="center"/>
          </w:tcPr>
          <w:p>
            <w:pPr>
              <w:pStyle w:val="152"/>
              <w:spacing w:line="240" w:lineRule="auto"/>
              <w:ind w:firstLine="0" w:firstLineChars="0"/>
              <w:rPr>
                <w:kern w:val="0"/>
                <w:szCs w:val="21"/>
              </w:rPr>
            </w:pPr>
            <w:r>
              <w:rPr>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浪费水电、煤气，扣</w:t>
            </w:r>
            <w:r>
              <w:rPr>
                <w:kern w:val="0"/>
                <w:szCs w:val="21"/>
              </w:rPr>
              <w:t>0.2</w:t>
            </w:r>
            <w:r>
              <w:rPr>
                <w:rFonts w:hint="eastAsia"/>
                <w:kern w:val="0"/>
                <w:szCs w:val="21"/>
              </w:rPr>
              <w:t xml:space="preserve"> 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保证各项设备清洁，仪表显示清晰准确，工具摆放整齐，锅炉房整洁卫生。</w:t>
            </w:r>
          </w:p>
        </w:tc>
        <w:tc>
          <w:tcPr>
            <w:tcW w:w="791" w:type="dxa"/>
            <w:vAlign w:val="center"/>
          </w:tcPr>
          <w:p>
            <w:pPr>
              <w:pStyle w:val="152"/>
              <w:spacing w:line="240" w:lineRule="auto"/>
              <w:ind w:firstLine="0" w:firstLineChars="0"/>
              <w:rPr>
                <w:kern w:val="0"/>
                <w:szCs w:val="21"/>
              </w:rPr>
            </w:pPr>
            <w:r>
              <w:rPr>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未达到要求，，扣</w:t>
            </w:r>
            <w:r>
              <w:rPr>
                <w:kern w:val="0"/>
                <w:szCs w:val="21"/>
              </w:rPr>
              <w:t>0.5</w:t>
            </w:r>
            <w:r>
              <w:rPr>
                <w:rFonts w:hint="eastAsia"/>
                <w:kern w:val="0"/>
                <w:szCs w:val="21"/>
              </w:rPr>
              <w:t>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认真学习各项有关法规，努力钻研业务，提高技术水平。</w:t>
            </w:r>
          </w:p>
        </w:tc>
        <w:tc>
          <w:tcPr>
            <w:tcW w:w="791" w:type="dxa"/>
            <w:vAlign w:val="center"/>
          </w:tcPr>
          <w:p>
            <w:pPr>
              <w:pStyle w:val="152"/>
              <w:spacing w:line="240" w:lineRule="auto"/>
              <w:ind w:firstLine="0" w:firstLineChars="0"/>
              <w:rPr>
                <w:kern w:val="0"/>
                <w:szCs w:val="21"/>
              </w:rPr>
            </w:pPr>
            <w:r>
              <w:rPr>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 xml:space="preserve">未达到要求，，扣 </w:t>
            </w:r>
            <w:r>
              <w:rPr>
                <w:kern w:val="0"/>
                <w:szCs w:val="21"/>
              </w:rPr>
              <w:t>0.2</w:t>
            </w:r>
            <w:r>
              <w:rPr>
                <w:rFonts w:hint="eastAsia"/>
                <w:kern w:val="0"/>
                <w:szCs w:val="21"/>
              </w:rPr>
              <w:t>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配合锅炉年检，事前做好清灰等准备工作。</w:t>
            </w:r>
          </w:p>
        </w:tc>
        <w:tc>
          <w:tcPr>
            <w:tcW w:w="791" w:type="dxa"/>
            <w:vAlign w:val="center"/>
          </w:tcPr>
          <w:p>
            <w:pPr>
              <w:pStyle w:val="152"/>
              <w:spacing w:line="240" w:lineRule="auto"/>
              <w:ind w:firstLine="0" w:firstLineChars="0"/>
              <w:rPr>
                <w:kern w:val="0"/>
                <w:szCs w:val="21"/>
              </w:rPr>
            </w:pPr>
            <w:r>
              <w:rPr>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 xml:space="preserve">未达到要求，，扣 </w:t>
            </w:r>
            <w:r>
              <w:rPr>
                <w:kern w:val="0"/>
                <w:szCs w:val="21"/>
              </w:rPr>
              <w:t>0.1</w:t>
            </w:r>
            <w:r>
              <w:rPr>
                <w:rFonts w:hint="eastAsia"/>
                <w:kern w:val="0"/>
                <w:szCs w:val="21"/>
              </w:rPr>
              <w:t>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对相关设备及其附属设备经常进行巡回检查；认真填写各种记录发现故障应及时处置，并报告学校主管部门。</w:t>
            </w:r>
          </w:p>
        </w:tc>
        <w:tc>
          <w:tcPr>
            <w:tcW w:w="791" w:type="dxa"/>
            <w:vAlign w:val="center"/>
          </w:tcPr>
          <w:p>
            <w:pPr>
              <w:pStyle w:val="152"/>
              <w:spacing w:line="240" w:lineRule="auto"/>
              <w:ind w:firstLine="0" w:firstLineChars="0"/>
              <w:rPr>
                <w:kern w:val="0"/>
                <w:szCs w:val="21"/>
              </w:rPr>
            </w:pPr>
            <w:r>
              <w:rPr>
                <w:kern w:val="0"/>
                <w:szCs w:val="21"/>
              </w:rPr>
              <w:t>3</w:t>
            </w:r>
          </w:p>
        </w:tc>
        <w:tc>
          <w:tcPr>
            <w:tcW w:w="3473" w:type="dxa"/>
            <w:vAlign w:val="center"/>
          </w:tcPr>
          <w:p>
            <w:pPr>
              <w:pStyle w:val="152"/>
              <w:spacing w:line="240" w:lineRule="auto"/>
              <w:ind w:firstLine="0" w:firstLineChars="0"/>
              <w:rPr>
                <w:kern w:val="0"/>
                <w:szCs w:val="21"/>
              </w:rPr>
            </w:pPr>
            <w:r>
              <w:rPr>
                <w:rFonts w:hint="eastAsia"/>
                <w:kern w:val="0"/>
                <w:szCs w:val="21"/>
              </w:rPr>
              <w:t>因检查、记录不及时，影响工作，扣</w:t>
            </w:r>
            <w:r>
              <w:rPr>
                <w:kern w:val="0"/>
                <w:szCs w:val="21"/>
              </w:rPr>
              <w:t>1</w:t>
            </w:r>
            <w:r>
              <w:rPr>
                <w:rFonts w:hint="eastAsia"/>
                <w:kern w:val="0"/>
                <w:szCs w:val="21"/>
              </w:rPr>
              <w:t>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严格执行安全操作规程，严格遵守劳动纪律，不做与本职工作无关的事。</w:t>
            </w:r>
          </w:p>
        </w:tc>
        <w:tc>
          <w:tcPr>
            <w:tcW w:w="791" w:type="dxa"/>
            <w:vAlign w:val="center"/>
          </w:tcPr>
          <w:p>
            <w:pPr>
              <w:pStyle w:val="152"/>
              <w:spacing w:line="240" w:lineRule="auto"/>
              <w:ind w:firstLine="0" w:firstLineChars="0"/>
              <w:rPr>
                <w:kern w:val="0"/>
                <w:szCs w:val="21"/>
              </w:rPr>
            </w:pPr>
            <w:r>
              <w:rPr>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不遵守纪律和不按规定操作，造成损失和影响的，扣</w:t>
            </w:r>
            <w:r>
              <w:rPr>
                <w:kern w:val="0"/>
                <w:szCs w:val="21"/>
              </w:rPr>
              <w:t>0.5</w:t>
            </w:r>
            <w:r>
              <w:rPr>
                <w:rFonts w:hint="eastAsia"/>
                <w:kern w:val="0"/>
                <w:szCs w:val="21"/>
              </w:rPr>
              <w:t>分/次，损失严重的还要赔偿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restart"/>
          </w:tcPr>
          <w:p>
            <w:pPr>
              <w:pStyle w:val="152"/>
              <w:spacing w:line="240" w:lineRule="auto"/>
              <w:ind w:firstLine="0" w:firstLineChars="0"/>
              <w:rPr>
                <w:kern w:val="0"/>
                <w:szCs w:val="21"/>
              </w:rPr>
            </w:pPr>
          </w:p>
          <w:p>
            <w:pPr>
              <w:pStyle w:val="152"/>
              <w:spacing w:line="240" w:lineRule="auto"/>
              <w:ind w:firstLine="0" w:firstLineChars="0"/>
              <w:rPr>
                <w:kern w:val="0"/>
                <w:szCs w:val="21"/>
              </w:rPr>
            </w:pPr>
            <w:r>
              <w:rPr>
                <w:rFonts w:hint="eastAsia"/>
                <w:kern w:val="0"/>
                <w:szCs w:val="21"/>
              </w:rPr>
              <w:t>绿化养护工作</w:t>
            </w:r>
          </w:p>
          <w:p>
            <w:pPr>
              <w:pStyle w:val="152"/>
              <w:spacing w:line="240" w:lineRule="auto"/>
              <w:ind w:firstLine="0" w:firstLineChars="0"/>
              <w:rPr>
                <w:kern w:val="0"/>
                <w:szCs w:val="21"/>
              </w:rPr>
            </w:pPr>
            <w:r>
              <w:rPr>
                <w:kern w:val="0"/>
                <w:szCs w:val="21"/>
              </w:rPr>
              <w:t>10分</w:t>
            </w:r>
          </w:p>
        </w:tc>
        <w:tc>
          <w:tcPr>
            <w:tcW w:w="3456" w:type="dxa"/>
            <w:vAlign w:val="center"/>
          </w:tcPr>
          <w:p>
            <w:pPr>
              <w:pStyle w:val="152"/>
              <w:spacing w:line="240" w:lineRule="auto"/>
              <w:ind w:firstLine="0" w:firstLineChars="0"/>
              <w:rPr>
                <w:kern w:val="0"/>
                <w:szCs w:val="21"/>
              </w:rPr>
            </w:pPr>
            <w:r>
              <w:rPr>
                <w:rFonts w:hint="eastAsia"/>
                <w:kern w:val="0"/>
                <w:szCs w:val="21"/>
              </w:rPr>
              <w:t>按生长习性定期完成灌溉、施肥、修剪，及时处理枯枝。</w:t>
            </w:r>
          </w:p>
        </w:tc>
        <w:tc>
          <w:tcPr>
            <w:tcW w:w="791" w:type="dxa"/>
            <w:vAlign w:val="center"/>
          </w:tcPr>
          <w:p>
            <w:pPr>
              <w:pStyle w:val="152"/>
              <w:spacing w:line="240" w:lineRule="auto"/>
              <w:ind w:firstLine="0" w:firstLineChars="0"/>
              <w:rPr>
                <w:kern w:val="0"/>
                <w:szCs w:val="21"/>
              </w:rPr>
            </w:pPr>
            <w:r>
              <w:rPr>
                <w:kern w:val="0"/>
                <w:szCs w:val="21"/>
              </w:rPr>
              <w:t>3</w:t>
            </w:r>
          </w:p>
        </w:tc>
        <w:tc>
          <w:tcPr>
            <w:tcW w:w="3473" w:type="dxa"/>
            <w:vAlign w:val="center"/>
          </w:tcPr>
          <w:p>
            <w:pPr>
              <w:pStyle w:val="152"/>
              <w:spacing w:line="240" w:lineRule="auto"/>
              <w:ind w:firstLine="0" w:firstLineChars="0"/>
              <w:rPr>
                <w:kern w:val="0"/>
                <w:szCs w:val="21"/>
              </w:rPr>
            </w:pPr>
            <w:r>
              <w:rPr>
                <w:rFonts w:hint="eastAsia"/>
                <w:kern w:val="0"/>
                <w:szCs w:val="21"/>
              </w:rPr>
              <w:t>灌溉、施肥、修剪不及时，造成植物生长不良，杂乱，扣</w:t>
            </w:r>
            <w:r>
              <w:rPr>
                <w:kern w:val="0"/>
                <w:szCs w:val="21"/>
              </w:rPr>
              <w:t>0.5</w:t>
            </w:r>
            <w:r>
              <w:rPr>
                <w:rFonts w:hint="eastAsia"/>
                <w:kern w:val="0"/>
                <w:szCs w:val="21"/>
              </w:rPr>
              <w:t>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爬藤植物及时牵引、上架，无杂草和植物同生现象。</w:t>
            </w:r>
          </w:p>
        </w:tc>
        <w:tc>
          <w:tcPr>
            <w:tcW w:w="791" w:type="dxa"/>
            <w:vAlign w:val="center"/>
          </w:tcPr>
          <w:p>
            <w:pPr>
              <w:pStyle w:val="152"/>
              <w:spacing w:line="240" w:lineRule="auto"/>
              <w:ind w:firstLine="0" w:firstLineChars="0"/>
              <w:rPr>
                <w:kern w:val="0"/>
                <w:szCs w:val="21"/>
              </w:rPr>
            </w:pPr>
            <w:r>
              <w:rPr>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不及时除杂草，发现一次扣</w:t>
            </w:r>
            <w:r>
              <w:rPr>
                <w:kern w:val="0"/>
                <w:szCs w:val="21"/>
              </w:rPr>
              <w:t>0.5</w:t>
            </w:r>
            <w:r>
              <w:rPr>
                <w:rFonts w:hint="eastAsia"/>
                <w:kern w:val="0"/>
                <w:szCs w:val="21"/>
              </w:rPr>
              <w:t>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周边无废纸、无砖头瓦砾，绿化垃圾当天清除。</w:t>
            </w:r>
          </w:p>
        </w:tc>
        <w:tc>
          <w:tcPr>
            <w:tcW w:w="791" w:type="dxa"/>
            <w:vAlign w:val="center"/>
          </w:tcPr>
          <w:p>
            <w:pPr>
              <w:pStyle w:val="152"/>
              <w:spacing w:line="240" w:lineRule="auto"/>
              <w:ind w:firstLine="0" w:firstLineChars="0"/>
              <w:rPr>
                <w:kern w:val="0"/>
                <w:szCs w:val="21"/>
              </w:rPr>
            </w:pPr>
            <w:r>
              <w:rPr>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有垃圾杂物，未及时清理，发现一次扣</w:t>
            </w:r>
            <w:r>
              <w:rPr>
                <w:kern w:val="0"/>
                <w:szCs w:val="21"/>
              </w:rPr>
              <w:t>0.2</w:t>
            </w:r>
            <w:r>
              <w:rPr>
                <w:rFonts w:hint="eastAsia"/>
                <w:kern w:val="0"/>
                <w:szCs w:val="21"/>
              </w:rPr>
              <w:t>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盆花摆放整齐、造型美观、花色不协调；残花及时更换</w:t>
            </w:r>
          </w:p>
        </w:tc>
        <w:tc>
          <w:tcPr>
            <w:tcW w:w="791" w:type="dxa"/>
            <w:vAlign w:val="center"/>
          </w:tcPr>
          <w:p>
            <w:pPr>
              <w:pStyle w:val="152"/>
              <w:spacing w:line="240" w:lineRule="auto"/>
              <w:ind w:firstLine="0" w:firstLineChars="0"/>
              <w:rPr>
                <w:kern w:val="0"/>
                <w:szCs w:val="21"/>
              </w:rPr>
            </w:pPr>
            <w:r>
              <w:rPr>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摆放杂乱或未及时更换，发现一次扣</w:t>
            </w:r>
            <w:r>
              <w:rPr>
                <w:kern w:val="0"/>
                <w:szCs w:val="21"/>
              </w:rPr>
              <w:t>0.2</w:t>
            </w:r>
            <w:r>
              <w:rPr>
                <w:rFonts w:hint="eastAsia"/>
                <w:kern w:val="0"/>
                <w:szCs w:val="21"/>
              </w:rPr>
              <w:t>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爱护维护绿化工具，摆放整齐</w:t>
            </w:r>
          </w:p>
        </w:tc>
        <w:tc>
          <w:tcPr>
            <w:tcW w:w="791" w:type="dxa"/>
            <w:vAlign w:val="center"/>
          </w:tcPr>
          <w:p>
            <w:pPr>
              <w:pStyle w:val="152"/>
              <w:spacing w:line="240" w:lineRule="auto"/>
              <w:ind w:firstLine="0" w:firstLineChars="0"/>
              <w:rPr>
                <w:kern w:val="0"/>
                <w:szCs w:val="21"/>
              </w:rPr>
            </w:pPr>
            <w:r>
              <w:rPr>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未按要求发现一次扣</w:t>
            </w:r>
            <w:r>
              <w:rPr>
                <w:kern w:val="0"/>
                <w:szCs w:val="21"/>
              </w:rPr>
              <w:t>0.5</w:t>
            </w:r>
            <w:r>
              <w:rPr>
                <w:rFonts w:hint="eastAsia"/>
                <w:kern w:val="0"/>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配合学校教育，对花木挂牌</w:t>
            </w:r>
          </w:p>
        </w:tc>
        <w:tc>
          <w:tcPr>
            <w:tcW w:w="791" w:type="dxa"/>
            <w:vAlign w:val="center"/>
          </w:tcPr>
          <w:p>
            <w:pPr>
              <w:pStyle w:val="152"/>
              <w:spacing w:line="240" w:lineRule="auto"/>
              <w:ind w:firstLine="0" w:firstLineChars="0"/>
              <w:rPr>
                <w:kern w:val="0"/>
                <w:szCs w:val="21"/>
              </w:rPr>
            </w:pPr>
            <w:r>
              <w:rPr>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未按要求及时挂牌，发现一次扣</w:t>
            </w:r>
          </w:p>
          <w:p>
            <w:pPr>
              <w:pStyle w:val="152"/>
              <w:spacing w:line="240" w:lineRule="auto"/>
              <w:ind w:firstLine="0" w:firstLineChars="0"/>
              <w:rPr>
                <w:kern w:val="0"/>
                <w:szCs w:val="21"/>
              </w:rPr>
            </w:pPr>
            <w:r>
              <w:rPr>
                <w:kern w:val="0"/>
                <w:szCs w:val="21"/>
              </w:rPr>
              <w:t>0.4</w:t>
            </w:r>
            <w:r>
              <w:rPr>
                <w:rFonts w:hint="eastAsia"/>
                <w:kern w:val="0"/>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restart"/>
          </w:tcPr>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r>
              <w:rPr>
                <w:rFonts w:hint="eastAsia"/>
                <w:kern w:val="0"/>
                <w:szCs w:val="21"/>
              </w:rPr>
              <w:t>宿舍管理工作1</w:t>
            </w:r>
            <w:r>
              <w:rPr>
                <w:kern w:val="0"/>
                <w:szCs w:val="21"/>
              </w:rPr>
              <w:t>0</w:t>
            </w:r>
          </w:p>
        </w:tc>
        <w:tc>
          <w:tcPr>
            <w:tcW w:w="3456" w:type="dxa"/>
            <w:vAlign w:val="center"/>
          </w:tcPr>
          <w:p>
            <w:pPr>
              <w:pStyle w:val="152"/>
              <w:spacing w:line="240" w:lineRule="auto"/>
              <w:ind w:firstLine="0" w:firstLineChars="0"/>
              <w:rPr>
                <w:kern w:val="0"/>
                <w:szCs w:val="21"/>
              </w:rPr>
            </w:pPr>
            <w:r>
              <w:rPr>
                <w:rFonts w:hint="eastAsia"/>
                <w:kern w:val="0"/>
                <w:szCs w:val="21"/>
              </w:rPr>
              <w:t xml:space="preserve">服务态度好，善于沟通，注重服务质量， </w:t>
            </w:r>
          </w:p>
          <w:p>
            <w:pPr>
              <w:pStyle w:val="152"/>
              <w:spacing w:line="240" w:lineRule="auto"/>
              <w:ind w:firstLine="0" w:firstLineChars="0"/>
              <w:rPr>
                <w:kern w:val="0"/>
                <w:szCs w:val="21"/>
              </w:rPr>
            </w:pPr>
          </w:p>
        </w:tc>
        <w:tc>
          <w:tcPr>
            <w:tcW w:w="791" w:type="dxa"/>
            <w:vAlign w:val="center"/>
          </w:tcPr>
          <w:p>
            <w:pPr>
              <w:pStyle w:val="152"/>
              <w:spacing w:line="240" w:lineRule="auto"/>
              <w:ind w:firstLine="0" w:firstLineChars="0"/>
              <w:rPr>
                <w:kern w:val="0"/>
                <w:szCs w:val="21"/>
              </w:rPr>
            </w:pPr>
            <w:r>
              <w:rPr>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因服务态度差、工作失职、在师生、家长中造成不良影响，被举报投诉经查实，视情节每次扣</w:t>
            </w:r>
            <w:r>
              <w:rPr>
                <w:kern w:val="0"/>
                <w:szCs w:val="21"/>
              </w:rPr>
              <w:t>0.2</w:t>
            </w:r>
            <w:r>
              <w:rPr>
                <w:rFonts w:hint="eastAsia"/>
                <w:kern w:val="0"/>
                <w:szCs w:val="21"/>
              </w:rPr>
              <w:t>分以上，严重者予以解聘。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同事间团结、协作， 办事效率高</w:t>
            </w:r>
          </w:p>
          <w:p>
            <w:pPr>
              <w:pStyle w:val="152"/>
              <w:spacing w:line="240" w:lineRule="auto"/>
              <w:ind w:firstLine="0" w:firstLineChars="0"/>
              <w:rPr>
                <w:kern w:val="0"/>
                <w:szCs w:val="21"/>
              </w:rPr>
            </w:pPr>
          </w:p>
        </w:tc>
        <w:tc>
          <w:tcPr>
            <w:tcW w:w="791" w:type="dxa"/>
            <w:vAlign w:val="center"/>
          </w:tcPr>
          <w:p>
            <w:pPr>
              <w:pStyle w:val="152"/>
              <w:spacing w:line="240" w:lineRule="auto"/>
              <w:ind w:firstLine="0" w:firstLineChars="0"/>
              <w:rPr>
                <w:kern w:val="0"/>
                <w:szCs w:val="21"/>
              </w:rPr>
            </w:pPr>
            <w:r>
              <w:rPr>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不得发生争吵等现象，发生争吵每人次扣</w:t>
            </w:r>
            <w:r>
              <w:rPr>
                <w:kern w:val="0"/>
                <w:szCs w:val="21"/>
              </w:rPr>
              <w:t>0.5</w:t>
            </w:r>
            <w:r>
              <w:rPr>
                <w:rFonts w:hint="eastAsia"/>
                <w:kern w:val="0"/>
                <w:szCs w:val="21"/>
              </w:rPr>
              <w:t>分，打架每人次扣</w:t>
            </w:r>
            <w:r>
              <w:rPr>
                <w:kern w:val="0"/>
                <w:szCs w:val="21"/>
              </w:rPr>
              <w:t>1</w:t>
            </w:r>
            <w:r>
              <w:rPr>
                <w:rFonts w:hint="eastAsia"/>
                <w:kern w:val="0"/>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 xml:space="preserve">认真完成学校领导交办的各项任务，不拖延、不推诿、不敷衍、不顶撞，更不准暗中对抗， </w:t>
            </w:r>
          </w:p>
        </w:tc>
        <w:tc>
          <w:tcPr>
            <w:tcW w:w="791" w:type="dxa"/>
            <w:vAlign w:val="center"/>
          </w:tcPr>
          <w:p>
            <w:pPr>
              <w:pStyle w:val="152"/>
              <w:spacing w:line="240" w:lineRule="auto"/>
              <w:ind w:firstLine="0" w:firstLineChars="0"/>
              <w:rPr>
                <w:kern w:val="0"/>
                <w:szCs w:val="21"/>
              </w:rPr>
            </w:pPr>
            <w:r>
              <w:rPr>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如发现，视情节每次扣</w:t>
            </w:r>
            <w:r>
              <w:rPr>
                <w:kern w:val="0"/>
                <w:szCs w:val="21"/>
              </w:rPr>
              <w:t>0.5</w:t>
            </w:r>
            <w:r>
              <w:rPr>
                <w:rFonts w:hint="eastAsia"/>
                <w:kern w:val="0"/>
                <w:szCs w:val="21"/>
              </w:rPr>
              <w:t>分以上。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室内外卫生：要求室内外地面干净（走廊、过道、楼梯等每天拖地一次）、整洁，无垃圾，室内卫生间无异味、无积水，墙角、门角无蜘蛛网，所有垃圾即时清理</w:t>
            </w:r>
          </w:p>
        </w:tc>
        <w:tc>
          <w:tcPr>
            <w:tcW w:w="791" w:type="dxa"/>
            <w:vAlign w:val="center"/>
          </w:tcPr>
          <w:p>
            <w:pPr>
              <w:pStyle w:val="152"/>
              <w:spacing w:line="240" w:lineRule="auto"/>
              <w:ind w:firstLine="0" w:firstLineChars="0"/>
              <w:rPr>
                <w:kern w:val="0"/>
                <w:szCs w:val="21"/>
              </w:rPr>
            </w:pPr>
            <w:r>
              <w:rPr>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未达到要求，每处扣</w:t>
            </w:r>
            <w:r>
              <w:rPr>
                <w:kern w:val="0"/>
                <w:szCs w:val="21"/>
              </w:rPr>
              <w:t>0.2</w:t>
            </w:r>
            <w:r>
              <w:rPr>
                <w:rFonts w:hint="eastAsia"/>
                <w:kern w:val="0"/>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 xml:space="preserve">物品摆放及保管：室内所有用品摆放整齐，鞋子、毛巾、洗漱用品等摆放成线，衣物、箱包摆放有序；被褥、枕头、床单、衣物等床上用品叠放成形、统一整齐， </w:t>
            </w:r>
          </w:p>
        </w:tc>
        <w:tc>
          <w:tcPr>
            <w:tcW w:w="791" w:type="dxa"/>
            <w:vAlign w:val="center"/>
          </w:tcPr>
          <w:p>
            <w:pPr>
              <w:pStyle w:val="152"/>
              <w:spacing w:line="240" w:lineRule="auto"/>
              <w:ind w:firstLine="0" w:firstLineChars="0"/>
              <w:rPr>
                <w:kern w:val="0"/>
                <w:szCs w:val="21"/>
              </w:rPr>
            </w:pPr>
            <w:r>
              <w:rPr>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未达到要求，每处扣</w:t>
            </w:r>
            <w:r>
              <w:rPr>
                <w:kern w:val="0"/>
                <w:szCs w:val="21"/>
              </w:rPr>
              <w:t>0.2</w:t>
            </w:r>
            <w:r>
              <w:rPr>
                <w:rFonts w:hint="eastAsia"/>
                <w:kern w:val="0"/>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财产管理：室内外水、电设施、门窗、床铺、风扇等设施要经常检查，发现损坏即时报告督促维修，发现人为破坏要及时报告，追究责任和赔偿，要及时关水、关电、关风扇，。</w:t>
            </w:r>
          </w:p>
        </w:tc>
        <w:tc>
          <w:tcPr>
            <w:tcW w:w="791" w:type="dxa"/>
            <w:vAlign w:val="center"/>
          </w:tcPr>
          <w:p>
            <w:pPr>
              <w:pStyle w:val="152"/>
              <w:spacing w:line="240" w:lineRule="auto"/>
              <w:ind w:firstLine="0" w:firstLineChars="0"/>
              <w:rPr>
                <w:kern w:val="0"/>
                <w:szCs w:val="21"/>
              </w:rPr>
            </w:pPr>
            <w:r>
              <w:rPr>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未及时报告公物损坏情况，有浪费行为，发现一次扣</w:t>
            </w:r>
            <w:r>
              <w:rPr>
                <w:kern w:val="0"/>
                <w:szCs w:val="21"/>
              </w:rPr>
              <w:t>0.2</w:t>
            </w:r>
            <w:r>
              <w:rPr>
                <w:rFonts w:hint="eastAsia"/>
                <w:kern w:val="0"/>
                <w:szCs w:val="21"/>
              </w:rPr>
              <w:t>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按照学校作息时间，督促学生按时起床、离寝，按时就寝、熄灯；做到起床迅速、离寝及时，静寝快速。对滞留寝室学生进行登记并报告班主任或德育处。</w:t>
            </w:r>
          </w:p>
        </w:tc>
        <w:tc>
          <w:tcPr>
            <w:tcW w:w="791" w:type="dxa"/>
            <w:vAlign w:val="center"/>
          </w:tcPr>
          <w:p>
            <w:pPr>
              <w:pStyle w:val="152"/>
              <w:spacing w:line="240" w:lineRule="auto"/>
              <w:ind w:firstLine="0" w:firstLineChars="0"/>
              <w:rPr>
                <w:kern w:val="0"/>
                <w:szCs w:val="21"/>
              </w:rPr>
            </w:pPr>
            <w:r>
              <w:rPr>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未按作息要求管理学生，未及时上报违纪行为，发现一次扣</w:t>
            </w:r>
            <w:r>
              <w:rPr>
                <w:kern w:val="0"/>
                <w:szCs w:val="21"/>
              </w:rPr>
              <w:t>0.1</w:t>
            </w:r>
            <w:r>
              <w:rPr>
                <w:rFonts w:hint="eastAsia"/>
                <w:kern w:val="0"/>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非就寝时间要及时锁好寝室门及宿舍大门，学生有特殊情况在非就寝时间进入寝室须持有班主任批准的请假条方可进入。滞留寝室的学生要分班登记并报告班主任或德育处处理。</w:t>
            </w:r>
          </w:p>
        </w:tc>
        <w:tc>
          <w:tcPr>
            <w:tcW w:w="791" w:type="dxa"/>
            <w:vAlign w:val="center"/>
          </w:tcPr>
          <w:p>
            <w:pPr>
              <w:pStyle w:val="152"/>
              <w:spacing w:line="240" w:lineRule="auto"/>
              <w:ind w:firstLine="0" w:firstLineChars="0"/>
              <w:rPr>
                <w:kern w:val="0"/>
                <w:szCs w:val="21"/>
              </w:rPr>
            </w:pPr>
            <w:r>
              <w:rPr>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未按时开门、锁门每次扣5 分，没有请假条让学生进入寝室每人次扣</w:t>
            </w:r>
            <w:r>
              <w:rPr>
                <w:kern w:val="0"/>
                <w:szCs w:val="21"/>
              </w:rPr>
              <w:t>0.2</w:t>
            </w:r>
            <w:r>
              <w:rPr>
                <w:rFonts w:hint="eastAsia"/>
                <w:kern w:val="0"/>
                <w:szCs w:val="21"/>
              </w:rPr>
              <w:t xml:space="preserve">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学生晚寝后加强巡视，配合值班行政、班主任查寝，清点人数，防止学生就寝后离寝外出。</w:t>
            </w:r>
          </w:p>
        </w:tc>
        <w:tc>
          <w:tcPr>
            <w:tcW w:w="791" w:type="dxa"/>
            <w:vAlign w:val="center"/>
          </w:tcPr>
          <w:p>
            <w:pPr>
              <w:pStyle w:val="152"/>
              <w:spacing w:line="240" w:lineRule="auto"/>
              <w:ind w:firstLine="0" w:firstLineChars="0"/>
              <w:rPr>
                <w:kern w:val="0"/>
                <w:szCs w:val="21"/>
              </w:rPr>
            </w:pPr>
            <w:r>
              <w:rPr>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未严格考勤，未达到要求每次扣</w:t>
            </w:r>
            <w:r>
              <w:rPr>
                <w:kern w:val="0"/>
                <w:szCs w:val="21"/>
              </w:rPr>
              <w:t>0.5</w:t>
            </w:r>
            <w:r>
              <w:rPr>
                <w:rFonts w:hint="eastAsia"/>
                <w:kern w:val="0"/>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要及时制止学生在室内抽烟、喝酒、打闹、喧哗、打牌、串寝室等不良行为，根据规定及时向学校反映 。</w:t>
            </w:r>
          </w:p>
        </w:tc>
        <w:tc>
          <w:tcPr>
            <w:tcW w:w="791" w:type="dxa"/>
            <w:vAlign w:val="center"/>
          </w:tcPr>
          <w:p>
            <w:pPr>
              <w:pStyle w:val="152"/>
              <w:spacing w:line="240" w:lineRule="auto"/>
              <w:ind w:firstLine="0" w:firstLineChars="0"/>
              <w:rPr>
                <w:kern w:val="0"/>
                <w:szCs w:val="21"/>
              </w:rPr>
            </w:pPr>
            <w:r>
              <w:rPr>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 xml:space="preserve">没及时制止违纪行为或不报告每次扣 </w:t>
            </w:r>
            <w:r>
              <w:rPr>
                <w:kern w:val="0"/>
                <w:szCs w:val="21"/>
              </w:rPr>
              <w:t>0.2</w:t>
            </w:r>
            <w:r>
              <w:rPr>
                <w:rFonts w:hint="eastAsia"/>
                <w:kern w:val="0"/>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restart"/>
          </w:tcPr>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r>
              <w:rPr>
                <w:rFonts w:hint="eastAsia"/>
                <w:kern w:val="0"/>
                <w:szCs w:val="21"/>
              </w:rPr>
              <w:t>晚自习管理</w:t>
            </w:r>
          </w:p>
          <w:p>
            <w:pPr>
              <w:pStyle w:val="152"/>
              <w:spacing w:line="240" w:lineRule="auto"/>
              <w:ind w:firstLine="0" w:firstLineChars="0"/>
              <w:rPr>
                <w:kern w:val="0"/>
                <w:szCs w:val="21"/>
              </w:rPr>
            </w:pPr>
            <w:r>
              <w:rPr>
                <w:rFonts w:hint="eastAsia"/>
                <w:kern w:val="0"/>
                <w:szCs w:val="21"/>
              </w:rPr>
              <w:t>1</w:t>
            </w:r>
            <w:r>
              <w:rPr>
                <w:kern w:val="0"/>
                <w:szCs w:val="21"/>
              </w:rPr>
              <w:t>0分</w:t>
            </w:r>
          </w:p>
        </w:tc>
        <w:tc>
          <w:tcPr>
            <w:tcW w:w="3456" w:type="dxa"/>
          </w:tcPr>
          <w:p>
            <w:pPr>
              <w:pStyle w:val="152"/>
              <w:spacing w:line="240" w:lineRule="auto"/>
              <w:ind w:firstLine="0" w:firstLineChars="0"/>
              <w:rPr>
                <w:kern w:val="0"/>
                <w:szCs w:val="21"/>
              </w:rPr>
            </w:pPr>
            <w:r>
              <w:rPr>
                <w:rFonts w:hint="eastAsia"/>
                <w:kern w:val="0"/>
                <w:szCs w:val="21"/>
              </w:rPr>
              <w:t>个人规范，服装整洁，语言文明，为人师表</w:t>
            </w:r>
          </w:p>
        </w:tc>
        <w:tc>
          <w:tcPr>
            <w:tcW w:w="791" w:type="dxa"/>
            <w:vAlign w:val="center"/>
          </w:tcPr>
          <w:p>
            <w:pPr>
              <w:pStyle w:val="152"/>
              <w:spacing w:line="240" w:lineRule="auto"/>
              <w:ind w:firstLine="0" w:firstLineChars="0"/>
              <w:rPr>
                <w:kern w:val="0"/>
                <w:szCs w:val="21"/>
              </w:rPr>
            </w:pPr>
            <w:r>
              <w:rPr>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 xml:space="preserve">着装不规范，穿背心、拖鞋在教室内走动，违者1次 </w:t>
            </w:r>
            <w:r>
              <w:rPr>
                <w:kern w:val="0"/>
                <w:szCs w:val="21"/>
              </w:rPr>
              <w:t>0.1</w:t>
            </w:r>
            <w:r>
              <w:rPr>
                <w:rFonts w:hint="eastAsia"/>
                <w:kern w:val="0"/>
                <w:szCs w:val="21"/>
              </w:rPr>
              <w:t>分；语言不文明违者次0</w:t>
            </w:r>
            <w:r>
              <w:rPr>
                <w:kern w:val="0"/>
                <w:szCs w:val="21"/>
              </w:rPr>
              <w:t>.2</w:t>
            </w:r>
            <w:r>
              <w:rPr>
                <w:rFonts w:hint="eastAsia"/>
                <w:kern w:val="0"/>
                <w:szCs w:val="21"/>
              </w:rPr>
              <w:t xml:space="preserve">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tcPr>
          <w:p>
            <w:pPr>
              <w:pStyle w:val="152"/>
              <w:spacing w:line="240" w:lineRule="auto"/>
              <w:ind w:firstLine="0" w:firstLineChars="0"/>
              <w:rPr>
                <w:kern w:val="0"/>
                <w:szCs w:val="21"/>
              </w:rPr>
            </w:pPr>
            <w:r>
              <w:rPr>
                <w:rFonts w:hint="eastAsia"/>
                <w:kern w:val="0"/>
                <w:szCs w:val="21"/>
              </w:rPr>
              <w:t>按学校作息时间安排，上班准时， 不擅自脱岗</w:t>
            </w:r>
          </w:p>
        </w:tc>
        <w:tc>
          <w:tcPr>
            <w:tcW w:w="791" w:type="dxa"/>
            <w:vAlign w:val="center"/>
          </w:tcPr>
          <w:p>
            <w:pPr>
              <w:pStyle w:val="152"/>
              <w:spacing w:line="240" w:lineRule="auto"/>
              <w:ind w:firstLine="0" w:firstLineChars="0"/>
              <w:rPr>
                <w:kern w:val="0"/>
                <w:szCs w:val="21"/>
              </w:rPr>
            </w:pPr>
            <w:r>
              <w:rPr>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迟到1次扣</w:t>
            </w:r>
            <w:r>
              <w:rPr>
                <w:kern w:val="0"/>
                <w:szCs w:val="21"/>
              </w:rPr>
              <w:t>1</w:t>
            </w:r>
            <w:r>
              <w:rPr>
                <w:rFonts w:hint="eastAsia"/>
                <w:kern w:val="0"/>
                <w:szCs w:val="21"/>
              </w:rPr>
              <w:t>分，擅自脱岗或没有按时到岗发现第三次取消劳动合同或劳务协议。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tcPr>
          <w:p>
            <w:pPr>
              <w:pStyle w:val="152"/>
              <w:spacing w:line="240" w:lineRule="auto"/>
              <w:ind w:firstLine="0" w:firstLineChars="0"/>
              <w:rPr>
                <w:kern w:val="0"/>
                <w:szCs w:val="21"/>
              </w:rPr>
            </w:pPr>
            <w:r>
              <w:rPr>
                <w:rFonts w:hint="eastAsia"/>
                <w:kern w:val="0"/>
                <w:szCs w:val="21"/>
              </w:rPr>
              <w:t>晚自习后，主动安排学生做好教室清洁卫生</w:t>
            </w:r>
          </w:p>
        </w:tc>
        <w:tc>
          <w:tcPr>
            <w:tcW w:w="791" w:type="dxa"/>
            <w:vAlign w:val="center"/>
          </w:tcPr>
          <w:p>
            <w:pPr>
              <w:pStyle w:val="152"/>
              <w:spacing w:line="240" w:lineRule="auto"/>
              <w:ind w:firstLine="0" w:firstLineChars="0"/>
              <w:rPr>
                <w:kern w:val="0"/>
                <w:szCs w:val="21"/>
              </w:rPr>
            </w:pPr>
            <w:r>
              <w:rPr>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不主动安排学生做好教室清洁卫生1次扣0</w:t>
            </w:r>
            <w:r>
              <w:rPr>
                <w:kern w:val="0"/>
                <w:szCs w:val="21"/>
              </w:rPr>
              <w:t>.1</w:t>
            </w:r>
            <w:r>
              <w:rPr>
                <w:rFonts w:hint="eastAsia"/>
                <w:kern w:val="0"/>
                <w:szCs w:val="21"/>
              </w:rPr>
              <w:t xml:space="preserve">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tcPr>
          <w:p>
            <w:pPr>
              <w:pStyle w:val="152"/>
              <w:spacing w:line="240" w:lineRule="auto"/>
              <w:ind w:firstLine="0" w:firstLineChars="0"/>
              <w:rPr>
                <w:kern w:val="0"/>
                <w:szCs w:val="21"/>
              </w:rPr>
            </w:pPr>
            <w:r>
              <w:rPr>
                <w:rFonts w:hint="eastAsia"/>
                <w:kern w:val="0"/>
                <w:szCs w:val="21"/>
              </w:rPr>
              <w:t>善于沟通，对学生的违纪行为及时制止</w:t>
            </w:r>
          </w:p>
        </w:tc>
        <w:tc>
          <w:tcPr>
            <w:tcW w:w="791" w:type="dxa"/>
            <w:vAlign w:val="center"/>
          </w:tcPr>
          <w:p>
            <w:pPr>
              <w:pStyle w:val="152"/>
              <w:spacing w:line="240" w:lineRule="auto"/>
              <w:ind w:firstLine="0" w:firstLineChars="0"/>
              <w:rPr>
                <w:kern w:val="0"/>
                <w:szCs w:val="21"/>
              </w:rPr>
            </w:pPr>
            <w:r>
              <w:rPr>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对学生的违纪视而不见不教育、不干预或者干预不到位1次扣0</w:t>
            </w:r>
            <w:r>
              <w:rPr>
                <w:kern w:val="0"/>
                <w:szCs w:val="21"/>
              </w:rPr>
              <w:t>.1</w:t>
            </w:r>
            <w:r>
              <w:rPr>
                <w:rFonts w:hint="eastAsia"/>
                <w:kern w:val="0"/>
                <w:szCs w:val="21"/>
              </w:rPr>
              <w:t xml:space="preserve">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tcPr>
          <w:p>
            <w:pPr>
              <w:pStyle w:val="152"/>
              <w:spacing w:line="240" w:lineRule="auto"/>
              <w:ind w:firstLine="0" w:firstLineChars="0"/>
              <w:rPr>
                <w:kern w:val="0"/>
                <w:szCs w:val="21"/>
              </w:rPr>
            </w:pPr>
            <w:r>
              <w:rPr>
                <w:rFonts w:hint="eastAsia"/>
                <w:kern w:val="0"/>
                <w:szCs w:val="21"/>
              </w:rPr>
              <w:t>根据学校规定的作息时间，每日定时对学生考勤</w:t>
            </w:r>
          </w:p>
        </w:tc>
        <w:tc>
          <w:tcPr>
            <w:tcW w:w="791" w:type="dxa"/>
            <w:vAlign w:val="center"/>
          </w:tcPr>
          <w:p>
            <w:pPr>
              <w:pStyle w:val="152"/>
              <w:spacing w:line="240" w:lineRule="auto"/>
              <w:ind w:firstLine="0" w:firstLineChars="0"/>
              <w:rPr>
                <w:kern w:val="0"/>
                <w:szCs w:val="21"/>
              </w:rPr>
            </w:pPr>
            <w:r>
              <w:rPr>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缺席1次扣0</w:t>
            </w:r>
            <w:r>
              <w:rPr>
                <w:kern w:val="0"/>
                <w:szCs w:val="21"/>
              </w:rPr>
              <w:t>.5</w:t>
            </w:r>
            <w:r>
              <w:rPr>
                <w:rFonts w:hint="eastAsia"/>
                <w:kern w:val="0"/>
                <w:szCs w:val="21"/>
              </w:rPr>
              <w:t xml:space="preserve"> 分。造成重大事故的直接取消劳动合同或者劳务协议。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tcPr>
          <w:p>
            <w:pPr>
              <w:pStyle w:val="152"/>
              <w:spacing w:line="240" w:lineRule="auto"/>
              <w:ind w:firstLine="0" w:firstLineChars="0"/>
              <w:rPr>
                <w:kern w:val="0"/>
                <w:szCs w:val="21"/>
              </w:rPr>
            </w:pPr>
            <w:r>
              <w:rPr>
                <w:rFonts w:hint="eastAsia"/>
                <w:kern w:val="0"/>
                <w:szCs w:val="21"/>
              </w:rPr>
              <w:t>与班主任、德育处分管干部和老师沟通</w:t>
            </w:r>
          </w:p>
        </w:tc>
        <w:tc>
          <w:tcPr>
            <w:tcW w:w="791" w:type="dxa"/>
            <w:vAlign w:val="center"/>
          </w:tcPr>
          <w:p>
            <w:pPr>
              <w:pStyle w:val="152"/>
              <w:spacing w:line="240" w:lineRule="auto"/>
              <w:ind w:firstLine="0" w:firstLineChars="0"/>
              <w:rPr>
                <w:kern w:val="0"/>
                <w:szCs w:val="21"/>
              </w:rPr>
            </w:pPr>
            <w:r>
              <w:rPr>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每周定时汇报工作，按时参加活动，缺席1次扣0</w:t>
            </w:r>
            <w:r>
              <w:rPr>
                <w:kern w:val="0"/>
                <w:szCs w:val="21"/>
              </w:rPr>
              <w:t>.1</w:t>
            </w:r>
            <w:r>
              <w:rPr>
                <w:rFonts w:hint="eastAsia"/>
                <w:kern w:val="0"/>
                <w:szCs w:val="21"/>
              </w:rPr>
              <w:t xml:space="preserve">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tcPr>
          <w:p>
            <w:pPr>
              <w:pStyle w:val="152"/>
              <w:spacing w:line="240" w:lineRule="auto"/>
              <w:ind w:firstLine="0" w:firstLineChars="0"/>
              <w:rPr>
                <w:kern w:val="0"/>
                <w:szCs w:val="21"/>
              </w:rPr>
            </w:pPr>
            <w:r>
              <w:rPr>
                <w:rFonts w:hint="eastAsia"/>
                <w:kern w:val="0"/>
                <w:szCs w:val="21"/>
              </w:rPr>
              <w:t>每日填写住校生晚自习记录</w:t>
            </w:r>
          </w:p>
        </w:tc>
        <w:tc>
          <w:tcPr>
            <w:tcW w:w="791" w:type="dxa"/>
            <w:vAlign w:val="center"/>
          </w:tcPr>
          <w:p>
            <w:pPr>
              <w:pStyle w:val="152"/>
              <w:spacing w:line="240" w:lineRule="auto"/>
              <w:ind w:firstLine="0" w:firstLineChars="0"/>
              <w:rPr>
                <w:kern w:val="0"/>
                <w:szCs w:val="21"/>
              </w:rPr>
            </w:pPr>
            <w:r>
              <w:rPr>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缺席1次扣0</w:t>
            </w:r>
            <w:r>
              <w:rPr>
                <w:kern w:val="0"/>
                <w:szCs w:val="21"/>
              </w:rPr>
              <w:t>.5</w:t>
            </w:r>
            <w:r>
              <w:rPr>
                <w:rFonts w:hint="eastAsia"/>
                <w:kern w:val="0"/>
                <w:szCs w:val="21"/>
              </w:rPr>
              <w:t xml:space="preserve">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tcPr>
          <w:p>
            <w:pPr>
              <w:pStyle w:val="152"/>
              <w:spacing w:line="240" w:lineRule="auto"/>
              <w:ind w:firstLine="0" w:firstLineChars="0"/>
              <w:rPr>
                <w:kern w:val="0"/>
                <w:szCs w:val="21"/>
              </w:rPr>
            </w:pPr>
            <w:r>
              <w:rPr>
                <w:rFonts w:hint="eastAsia"/>
                <w:kern w:val="0"/>
                <w:szCs w:val="21"/>
              </w:rPr>
              <w:t>按时上交总结</w:t>
            </w:r>
          </w:p>
        </w:tc>
        <w:tc>
          <w:tcPr>
            <w:tcW w:w="791" w:type="dxa"/>
            <w:vAlign w:val="center"/>
          </w:tcPr>
          <w:p>
            <w:pPr>
              <w:pStyle w:val="152"/>
              <w:spacing w:line="240" w:lineRule="auto"/>
              <w:ind w:firstLine="0" w:firstLineChars="0"/>
              <w:rPr>
                <w:kern w:val="0"/>
                <w:szCs w:val="21"/>
              </w:rPr>
            </w:pPr>
            <w:r>
              <w:rPr>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未及时上交总结1次扣0</w:t>
            </w:r>
            <w:r>
              <w:rPr>
                <w:kern w:val="0"/>
                <w:szCs w:val="21"/>
              </w:rPr>
              <w:t>.1</w:t>
            </w:r>
            <w:r>
              <w:rPr>
                <w:rFonts w:hint="eastAsia"/>
                <w:kern w:val="0"/>
                <w:szCs w:val="21"/>
              </w:rPr>
              <w:t xml:space="preserve">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restart"/>
          </w:tcPr>
          <w:p>
            <w:pPr>
              <w:pStyle w:val="152"/>
              <w:spacing w:line="240" w:lineRule="auto"/>
              <w:ind w:firstLine="0" w:firstLineChars="0"/>
              <w:rPr>
                <w:kern w:val="0"/>
                <w:szCs w:val="21"/>
              </w:rPr>
            </w:pPr>
            <w:r>
              <w:rPr>
                <w:rFonts w:hint="eastAsia"/>
                <w:kern w:val="0"/>
                <w:szCs w:val="21"/>
              </w:rPr>
              <w:t>其它</w:t>
            </w:r>
          </w:p>
          <w:p>
            <w:pPr>
              <w:pStyle w:val="152"/>
              <w:spacing w:line="240" w:lineRule="auto"/>
              <w:ind w:firstLine="0" w:firstLineChars="0"/>
              <w:rPr>
                <w:kern w:val="0"/>
                <w:szCs w:val="21"/>
              </w:rPr>
            </w:pPr>
            <w:r>
              <w:rPr>
                <w:rFonts w:hint="eastAsia"/>
                <w:kern w:val="0"/>
                <w:szCs w:val="21"/>
              </w:rPr>
              <w:t>1</w:t>
            </w:r>
            <w:r>
              <w:rPr>
                <w:kern w:val="0"/>
                <w:szCs w:val="21"/>
              </w:rPr>
              <w:t>0</w:t>
            </w:r>
          </w:p>
        </w:tc>
        <w:tc>
          <w:tcPr>
            <w:tcW w:w="3456" w:type="dxa"/>
            <w:vAlign w:val="center"/>
          </w:tcPr>
          <w:p>
            <w:pPr>
              <w:pStyle w:val="152"/>
              <w:spacing w:line="240" w:lineRule="auto"/>
              <w:ind w:firstLine="0" w:firstLineChars="0"/>
              <w:rPr>
                <w:kern w:val="0"/>
                <w:szCs w:val="21"/>
              </w:rPr>
            </w:pPr>
            <w:r>
              <w:rPr>
                <w:rFonts w:hint="eastAsia"/>
                <w:kern w:val="0"/>
                <w:szCs w:val="21"/>
              </w:rPr>
              <w:t>临时工作</w:t>
            </w:r>
          </w:p>
        </w:tc>
        <w:tc>
          <w:tcPr>
            <w:tcW w:w="791" w:type="dxa"/>
            <w:vAlign w:val="center"/>
          </w:tcPr>
          <w:p>
            <w:pPr>
              <w:pStyle w:val="152"/>
              <w:spacing w:line="240" w:lineRule="auto"/>
              <w:ind w:firstLine="0" w:firstLineChars="0"/>
              <w:rPr>
                <w:kern w:val="0"/>
                <w:szCs w:val="21"/>
              </w:rPr>
            </w:pPr>
            <w:r>
              <w:rPr>
                <w:kern w:val="0"/>
                <w:szCs w:val="21"/>
              </w:rPr>
              <w:t>5</w:t>
            </w:r>
          </w:p>
        </w:tc>
        <w:tc>
          <w:tcPr>
            <w:tcW w:w="3473" w:type="dxa"/>
            <w:vAlign w:val="center"/>
          </w:tcPr>
          <w:p>
            <w:pPr>
              <w:pStyle w:val="152"/>
              <w:spacing w:line="240" w:lineRule="auto"/>
              <w:ind w:firstLine="0" w:firstLineChars="0"/>
              <w:rPr>
                <w:kern w:val="0"/>
                <w:szCs w:val="21"/>
              </w:rPr>
            </w:pPr>
            <w:r>
              <w:rPr>
                <w:rFonts w:hint="eastAsia"/>
                <w:kern w:val="0"/>
                <w:szCs w:val="21"/>
              </w:rPr>
              <w:t>不服从学校安排，无端推诿、拖延，敷衍等，一次扣</w:t>
            </w:r>
            <w:r>
              <w:rPr>
                <w:kern w:val="0"/>
                <w:szCs w:val="21"/>
              </w:rPr>
              <w:t>1</w:t>
            </w:r>
            <w:r>
              <w:rPr>
                <w:rFonts w:hint="eastAsia"/>
                <w:kern w:val="0"/>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服务团队的稳定性</w:t>
            </w:r>
          </w:p>
        </w:tc>
        <w:tc>
          <w:tcPr>
            <w:tcW w:w="791" w:type="dxa"/>
            <w:vAlign w:val="center"/>
          </w:tcPr>
          <w:p>
            <w:pPr>
              <w:pStyle w:val="152"/>
              <w:spacing w:line="240" w:lineRule="auto"/>
              <w:ind w:firstLine="0" w:firstLineChars="0"/>
              <w:rPr>
                <w:kern w:val="0"/>
                <w:szCs w:val="21"/>
              </w:rPr>
            </w:pPr>
            <w:r>
              <w:rPr>
                <w:kern w:val="0"/>
                <w:szCs w:val="21"/>
              </w:rPr>
              <w:t>5</w:t>
            </w:r>
          </w:p>
        </w:tc>
        <w:tc>
          <w:tcPr>
            <w:tcW w:w="3473" w:type="dxa"/>
            <w:vAlign w:val="center"/>
          </w:tcPr>
          <w:p>
            <w:pPr>
              <w:pStyle w:val="152"/>
              <w:spacing w:line="240" w:lineRule="auto"/>
              <w:ind w:firstLine="0" w:firstLineChars="0"/>
              <w:rPr>
                <w:kern w:val="0"/>
                <w:szCs w:val="21"/>
              </w:rPr>
            </w:pPr>
            <w:r>
              <w:rPr>
                <w:rFonts w:hint="eastAsia"/>
                <w:kern w:val="0"/>
                <w:szCs w:val="21"/>
              </w:rPr>
              <w:t>服务期每月调离或更换服务人员不得超过</w:t>
            </w:r>
            <w:r>
              <w:rPr>
                <w:kern w:val="0"/>
                <w:szCs w:val="21"/>
              </w:rPr>
              <w:t>20</w:t>
            </w:r>
            <w:r>
              <w:rPr>
                <w:rFonts w:hint="eastAsia"/>
                <w:kern w:val="0"/>
                <w:szCs w:val="21"/>
              </w:rPr>
              <w:t>%，超出</w:t>
            </w:r>
            <w:r>
              <w:rPr>
                <w:kern w:val="0"/>
                <w:szCs w:val="21"/>
              </w:rPr>
              <w:t>5%</w:t>
            </w:r>
            <w:r>
              <w:rPr>
                <w:rFonts w:hint="eastAsia"/>
                <w:kern w:val="0"/>
                <w:szCs w:val="21"/>
              </w:rPr>
              <w:t>次扣</w:t>
            </w:r>
            <w:r>
              <w:rPr>
                <w:kern w:val="0"/>
                <w:szCs w:val="21"/>
              </w:rPr>
              <w:t>2</w:t>
            </w:r>
            <w:r>
              <w:rPr>
                <w:rFonts w:hint="eastAsia"/>
                <w:kern w:val="0"/>
                <w:szCs w:val="21"/>
              </w:rPr>
              <w:t>分</w:t>
            </w:r>
          </w:p>
        </w:tc>
      </w:tr>
    </w:tbl>
    <w:p>
      <w:pPr>
        <w:rPr>
          <w:szCs w:val="21"/>
        </w:rPr>
      </w:pPr>
    </w:p>
    <w:p>
      <w:pPr>
        <w:tabs>
          <w:tab w:val="left" w:pos="867"/>
        </w:tabs>
        <w:ind w:firstLine="480"/>
        <w:rPr>
          <w:rFonts w:ascii="宋体" w:hAnsi="宋体" w:eastAsia="PMingLiU" w:cs="宋体"/>
          <w:szCs w:val="21"/>
          <w:lang w:val="zh-TW" w:eastAsia="zh-TW" w:bidi="zh-TW"/>
        </w:rPr>
      </w:pPr>
    </w:p>
    <w:p>
      <w:pPr>
        <w:pStyle w:val="152"/>
        <w:spacing w:line="240" w:lineRule="auto"/>
        <w:ind w:firstLine="0" w:firstLineChars="0"/>
        <w:rPr>
          <w:b/>
          <w:bCs/>
          <w:szCs w:val="21"/>
        </w:rPr>
      </w:pPr>
      <w:r>
        <w:rPr>
          <w:rFonts w:hint="eastAsia"/>
          <w:b/>
          <w:bCs/>
          <w:szCs w:val="21"/>
        </w:rPr>
        <w:t>3.石室联中蜀华分校</w:t>
      </w:r>
    </w:p>
    <w:tbl>
      <w:tblPr>
        <w:tblStyle w:val="43"/>
        <w:tblW w:w="83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5"/>
        <w:gridCol w:w="3456"/>
        <w:gridCol w:w="791"/>
        <w:gridCol w:w="3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Align w:val="center"/>
          </w:tcPr>
          <w:p>
            <w:pPr>
              <w:pStyle w:val="152"/>
              <w:spacing w:line="240" w:lineRule="auto"/>
              <w:ind w:firstLine="0" w:firstLineChars="0"/>
              <w:rPr>
                <w:kern w:val="0"/>
                <w:szCs w:val="21"/>
              </w:rPr>
            </w:pPr>
            <w:r>
              <w:rPr>
                <w:rFonts w:hint="eastAsia"/>
                <w:kern w:val="0"/>
                <w:szCs w:val="21"/>
              </w:rPr>
              <w:t>项目</w:t>
            </w:r>
          </w:p>
        </w:tc>
        <w:tc>
          <w:tcPr>
            <w:tcW w:w="3456" w:type="dxa"/>
            <w:vAlign w:val="center"/>
          </w:tcPr>
          <w:p>
            <w:pPr>
              <w:pStyle w:val="152"/>
              <w:spacing w:line="240" w:lineRule="auto"/>
              <w:ind w:firstLine="0" w:firstLineChars="0"/>
              <w:rPr>
                <w:kern w:val="0"/>
                <w:szCs w:val="21"/>
              </w:rPr>
            </w:pPr>
            <w:r>
              <w:rPr>
                <w:rFonts w:hint="eastAsia"/>
                <w:kern w:val="0"/>
                <w:szCs w:val="21"/>
              </w:rPr>
              <w:t>服务质量标准</w:t>
            </w:r>
          </w:p>
        </w:tc>
        <w:tc>
          <w:tcPr>
            <w:tcW w:w="791" w:type="dxa"/>
            <w:vAlign w:val="center"/>
          </w:tcPr>
          <w:p>
            <w:pPr>
              <w:pStyle w:val="152"/>
              <w:spacing w:line="240" w:lineRule="auto"/>
              <w:ind w:firstLine="0" w:firstLineChars="0"/>
              <w:rPr>
                <w:kern w:val="0"/>
                <w:szCs w:val="21"/>
              </w:rPr>
            </w:pPr>
            <w:r>
              <w:rPr>
                <w:rFonts w:hint="eastAsia"/>
                <w:kern w:val="0"/>
                <w:szCs w:val="21"/>
              </w:rPr>
              <w:t>单项</w:t>
            </w:r>
          </w:p>
          <w:p>
            <w:pPr>
              <w:pStyle w:val="152"/>
              <w:spacing w:line="240" w:lineRule="auto"/>
              <w:ind w:firstLine="0" w:firstLineChars="0"/>
              <w:rPr>
                <w:kern w:val="0"/>
                <w:szCs w:val="21"/>
              </w:rPr>
            </w:pPr>
            <w:r>
              <w:rPr>
                <w:rFonts w:hint="eastAsia"/>
                <w:kern w:val="0"/>
                <w:szCs w:val="21"/>
              </w:rPr>
              <w:t>分值</w:t>
            </w:r>
          </w:p>
        </w:tc>
        <w:tc>
          <w:tcPr>
            <w:tcW w:w="3473" w:type="dxa"/>
            <w:vAlign w:val="center"/>
          </w:tcPr>
          <w:p>
            <w:pPr>
              <w:pStyle w:val="152"/>
              <w:spacing w:line="240" w:lineRule="auto"/>
              <w:ind w:firstLine="0" w:firstLineChars="0"/>
              <w:rPr>
                <w:kern w:val="0"/>
                <w:szCs w:val="21"/>
              </w:rPr>
            </w:pPr>
            <w:r>
              <w:rPr>
                <w:rFonts w:hint="eastAsia"/>
                <w:kern w:val="0"/>
                <w:szCs w:val="21"/>
              </w:rPr>
              <w:t>监督考评扣分标准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restart"/>
            <w:vAlign w:val="center"/>
          </w:tcPr>
          <w:p>
            <w:pPr>
              <w:pStyle w:val="152"/>
              <w:spacing w:line="240" w:lineRule="auto"/>
              <w:ind w:firstLine="0" w:firstLineChars="0"/>
              <w:rPr>
                <w:kern w:val="0"/>
                <w:szCs w:val="21"/>
              </w:rPr>
            </w:pPr>
            <w:r>
              <w:rPr>
                <w:rFonts w:hint="eastAsia"/>
                <w:kern w:val="0"/>
                <w:szCs w:val="21"/>
              </w:rPr>
              <w:t>主管</w:t>
            </w:r>
          </w:p>
          <w:p>
            <w:pPr>
              <w:pStyle w:val="152"/>
              <w:spacing w:line="240" w:lineRule="auto"/>
              <w:ind w:firstLine="0" w:firstLineChars="0"/>
              <w:rPr>
                <w:kern w:val="0"/>
                <w:szCs w:val="21"/>
              </w:rPr>
            </w:pPr>
            <w:r>
              <w:rPr>
                <w:rFonts w:hint="eastAsia"/>
                <w:kern w:val="0"/>
                <w:szCs w:val="21"/>
              </w:rPr>
              <w:t>(10分）</w:t>
            </w:r>
          </w:p>
        </w:tc>
        <w:tc>
          <w:tcPr>
            <w:tcW w:w="3456" w:type="dxa"/>
            <w:vAlign w:val="center"/>
          </w:tcPr>
          <w:p>
            <w:pPr>
              <w:pStyle w:val="152"/>
              <w:spacing w:line="240" w:lineRule="auto"/>
              <w:ind w:firstLine="0" w:firstLineChars="0"/>
              <w:rPr>
                <w:kern w:val="0"/>
                <w:szCs w:val="21"/>
              </w:rPr>
            </w:pPr>
            <w:r>
              <w:rPr>
                <w:rFonts w:hint="eastAsia"/>
                <w:kern w:val="0"/>
                <w:szCs w:val="21"/>
              </w:rPr>
              <w:t>工作日在岗情况</w:t>
            </w:r>
          </w:p>
        </w:tc>
        <w:tc>
          <w:tcPr>
            <w:tcW w:w="791" w:type="dxa"/>
            <w:vAlign w:val="center"/>
          </w:tcPr>
          <w:p>
            <w:pPr>
              <w:pStyle w:val="152"/>
              <w:spacing w:line="240" w:lineRule="auto"/>
              <w:ind w:firstLine="0" w:firstLineChars="0"/>
              <w:rPr>
                <w:kern w:val="0"/>
                <w:szCs w:val="21"/>
              </w:rPr>
            </w:pPr>
            <w:r>
              <w:rPr>
                <w:rFonts w:hint="eastAsia"/>
                <w:kern w:val="0"/>
                <w:szCs w:val="21"/>
              </w:rPr>
              <w:t>5分</w:t>
            </w:r>
          </w:p>
        </w:tc>
        <w:tc>
          <w:tcPr>
            <w:tcW w:w="3473" w:type="dxa"/>
            <w:vAlign w:val="center"/>
          </w:tcPr>
          <w:p>
            <w:pPr>
              <w:pStyle w:val="152"/>
              <w:spacing w:line="240" w:lineRule="auto"/>
              <w:ind w:firstLine="0" w:firstLineChars="0"/>
              <w:rPr>
                <w:kern w:val="0"/>
                <w:szCs w:val="21"/>
              </w:rPr>
            </w:pPr>
            <w:r>
              <w:rPr>
                <w:rFonts w:hint="eastAsia"/>
                <w:kern w:val="0"/>
                <w:szCs w:val="21"/>
              </w:rPr>
              <w:t>缺岗一次扣</w:t>
            </w:r>
            <w:r>
              <w:rPr>
                <w:kern w:val="0"/>
                <w:szCs w:val="21"/>
              </w:rPr>
              <w:t>?</w:t>
            </w:r>
            <w:r>
              <w:rPr>
                <w:rFonts w:hint="eastAsia"/>
                <w:kern w:val="0"/>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vAlign w:val="center"/>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对位点员工的日常工作督促和检查情况</w:t>
            </w:r>
          </w:p>
        </w:tc>
        <w:tc>
          <w:tcPr>
            <w:tcW w:w="791" w:type="dxa"/>
            <w:vAlign w:val="center"/>
          </w:tcPr>
          <w:p>
            <w:pPr>
              <w:pStyle w:val="152"/>
              <w:spacing w:line="240" w:lineRule="auto"/>
              <w:ind w:firstLine="0" w:firstLineChars="0"/>
              <w:rPr>
                <w:kern w:val="0"/>
                <w:szCs w:val="21"/>
              </w:rPr>
            </w:pPr>
            <w:r>
              <w:rPr>
                <w:rFonts w:hint="eastAsia"/>
                <w:kern w:val="0"/>
                <w:szCs w:val="21"/>
              </w:rPr>
              <w:t>3</w:t>
            </w:r>
          </w:p>
        </w:tc>
        <w:tc>
          <w:tcPr>
            <w:tcW w:w="3473" w:type="dxa"/>
            <w:vAlign w:val="center"/>
          </w:tcPr>
          <w:p>
            <w:pPr>
              <w:pStyle w:val="152"/>
              <w:spacing w:line="240" w:lineRule="auto"/>
              <w:ind w:firstLine="0" w:firstLineChars="0"/>
              <w:rPr>
                <w:kern w:val="0"/>
                <w:szCs w:val="21"/>
              </w:rPr>
            </w:pPr>
            <w:r>
              <w:rPr>
                <w:rFonts w:hint="eastAsia"/>
                <w:kern w:val="0"/>
                <w:szCs w:val="21"/>
              </w:rPr>
              <w:t xml:space="preserve">对员工疏于管理\检查不到位,一次扣 </w:t>
            </w:r>
            <w:r>
              <w:rPr>
                <w:kern w:val="0"/>
                <w:szCs w:val="21"/>
              </w:rPr>
              <w:t xml:space="preserve"> </w:t>
            </w:r>
            <w:r>
              <w:rPr>
                <w:rFonts w:hint="eastAsia"/>
                <w:kern w:val="0"/>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vAlign w:val="center"/>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对员工的培训</w:t>
            </w:r>
          </w:p>
        </w:tc>
        <w:tc>
          <w:tcPr>
            <w:tcW w:w="791" w:type="dxa"/>
            <w:vAlign w:val="center"/>
          </w:tcPr>
          <w:p>
            <w:pPr>
              <w:pStyle w:val="152"/>
              <w:spacing w:line="240" w:lineRule="auto"/>
              <w:ind w:firstLine="0" w:firstLineChars="0"/>
              <w:rPr>
                <w:kern w:val="0"/>
                <w:szCs w:val="21"/>
              </w:rPr>
            </w:pPr>
            <w:r>
              <w:rPr>
                <w:rFonts w:hint="eastAsia"/>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对员工的相关技能和礼仪培训不到位,一次扣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restart"/>
            <w:vAlign w:val="center"/>
          </w:tcPr>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r>
              <w:rPr>
                <w:rFonts w:hint="eastAsia"/>
                <w:kern w:val="0"/>
                <w:szCs w:val="21"/>
              </w:rPr>
              <w:t>安全保卫管理</w:t>
            </w:r>
          </w:p>
          <w:p>
            <w:pPr>
              <w:pStyle w:val="152"/>
              <w:spacing w:line="240" w:lineRule="auto"/>
              <w:ind w:firstLine="0" w:firstLineChars="0"/>
              <w:rPr>
                <w:kern w:val="0"/>
                <w:szCs w:val="21"/>
              </w:rPr>
            </w:pPr>
            <w:r>
              <w:rPr>
                <w:rFonts w:hint="eastAsia"/>
                <w:kern w:val="0"/>
                <w:szCs w:val="21"/>
              </w:rPr>
              <w:t>(40分）</w:t>
            </w:r>
          </w:p>
        </w:tc>
        <w:tc>
          <w:tcPr>
            <w:tcW w:w="3456" w:type="dxa"/>
            <w:vAlign w:val="center"/>
          </w:tcPr>
          <w:p>
            <w:pPr>
              <w:pStyle w:val="152"/>
              <w:spacing w:line="240" w:lineRule="auto"/>
              <w:ind w:firstLine="0" w:firstLineChars="0"/>
              <w:rPr>
                <w:kern w:val="0"/>
                <w:szCs w:val="21"/>
              </w:rPr>
            </w:pPr>
            <w:r>
              <w:rPr>
                <w:rFonts w:hint="eastAsia"/>
                <w:kern w:val="0"/>
                <w:szCs w:val="21"/>
              </w:rPr>
              <w:t>所聘用的秩序维护人员必须训练有素，有秩序维护队全管理制度和职责，安全防患措施，确秩序维护全稳定。</w:t>
            </w:r>
          </w:p>
        </w:tc>
        <w:tc>
          <w:tcPr>
            <w:tcW w:w="791" w:type="dxa"/>
            <w:vAlign w:val="center"/>
          </w:tcPr>
          <w:p>
            <w:pPr>
              <w:pStyle w:val="152"/>
              <w:spacing w:line="240" w:lineRule="auto"/>
              <w:ind w:firstLine="0" w:firstLineChars="0"/>
              <w:rPr>
                <w:kern w:val="0"/>
                <w:szCs w:val="21"/>
              </w:rPr>
            </w:pPr>
            <w:r>
              <w:rPr>
                <w:rFonts w:hint="eastAsia"/>
                <w:kern w:val="0"/>
                <w:szCs w:val="21"/>
              </w:rPr>
              <w:t>3</w:t>
            </w:r>
          </w:p>
        </w:tc>
        <w:tc>
          <w:tcPr>
            <w:tcW w:w="3473" w:type="dxa"/>
            <w:vAlign w:val="center"/>
          </w:tcPr>
          <w:p>
            <w:pPr>
              <w:pStyle w:val="152"/>
              <w:spacing w:line="240" w:lineRule="auto"/>
              <w:ind w:firstLine="0" w:firstLineChars="0"/>
              <w:rPr>
                <w:kern w:val="0"/>
                <w:szCs w:val="21"/>
              </w:rPr>
            </w:pPr>
            <w:r>
              <w:rPr>
                <w:rFonts w:hint="eastAsia"/>
                <w:kern w:val="0"/>
                <w:szCs w:val="21"/>
              </w:rPr>
              <w:t>管理制度、职责、措施不健全每项扣 分，发生安全事故一次扣</w:t>
            </w:r>
            <w:r>
              <w:rPr>
                <w:kern w:val="0"/>
                <w:szCs w:val="21"/>
              </w:rPr>
              <w:t xml:space="preserve"> </w:t>
            </w:r>
            <w:r>
              <w:rPr>
                <w:rFonts w:hint="eastAsia"/>
                <w:kern w:val="0"/>
                <w:szCs w:val="21"/>
              </w:rPr>
              <w:t>分，发生重大安全事故扣 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秩序维护队员必须熟悉物业环境，上班时按规定着装和佩戴装备，文明值勤，不与职工、到访人员发生矛盾和冲突。</w:t>
            </w:r>
          </w:p>
        </w:tc>
        <w:tc>
          <w:tcPr>
            <w:tcW w:w="791" w:type="dxa"/>
            <w:vAlign w:val="center"/>
          </w:tcPr>
          <w:p>
            <w:pPr>
              <w:pStyle w:val="152"/>
              <w:spacing w:line="240" w:lineRule="auto"/>
              <w:ind w:firstLine="0" w:firstLineChars="0"/>
              <w:rPr>
                <w:kern w:val="0"/>
                <w:szCs w:val="21"/>
              </w:rPr>
            </w:pPr>
            <w:r>
              <w:rPr>
                <w:rFonts w:hint="eastAsia"/>
                <w:kern w:val="0"/>
                <w:szCs w:val="21"/>
              </w:rPr>
              <w:t>3</w:t>
            </w:r>
          </w:p>
        </w:tc>
        <w:tc>
          <w:tcPr>
            <w:tcW w:w="3473" w:type="dxa"/>
            <w:vAlign w:val="center"/>
          </w:tcPr>
          <w:p>
            <w:pPr>
              <w:pStyle w:val="152"/>
              <w:spacing w:line="240" w:lineRule="auto"/>
              <w:ind w:firstLine="0" w:firstLineChars="0"/>
              <w:rPr>
                <w:kern w:val="0"/>
                <w:szCs w:val="21"/>
              </w:rPr>
            </w:pPr>
            <w:r>
              <w:rPr>
                <w:rFonts w:hint="eastAsia"/>
                <w:kern w:val="0"/>
                <w:szCs w:val="21"/>
              </w:rPr>
              <w:t>发现一名队员着装不整齐扣分，不礼貌扣分，无理与他人发生冲突一次扣分，发生两次建议辞退。直至该项分值扣完为止。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秩序维护必须实行24小时值班巡逻，认真履行职责，机动灵活，加强重点区域和人少到的部位巡逻。</w:t>
            </w:r>
          </w:p>
        </w:tc>
        <w:tc>
          <w:tcPr>
            <w:tcW w:w="791" w:type="dxa"/>
            <w:vAlign w:val="center"/>
          </w:tcPr>
          <w:p>
            <w:pPr>
              <w:pStyle w:val="152"/>
              <w:spacing w:line="240" w:lineRule="auto"/>
              <w:ind w:firstLine="0" w:firstLineChars="0"/>
              <w:rPr>
                <w:kern w:val="0"/>
                <w:szCs w:val="21"/>
              </w:rPr>
            </w:pPr>
            <w:r>
              <w:rPr>
                <w:rFonts w:hint="eastAsia"/>
                <w:kern w:val="0"/>
                <w:szCs w:val="21"/>
              </w:rPr>
              <w:t>3</w:t>
            </w:r>
          </w:p>
        </w:tc>
        <w:tc>
          <w:tcPr>
            <w:tcW w:w="3473" w:type="dxa"/>
            <w:vAlign w:val="center"/>
          </w:tcPr>
          <w:p>
            <w:pPr>
              <w:pStyle w:val="152"/>
              <w:spacing w:line="240" w:lineRule="auto"/>
              <w:ind w:firstLine="0" w:firstLineChars="0"/>
              <w:rPr>
                <w:kern w:val="0"/>
                <w:szCs w:val="21"/>
              </w:rPr>
            </w:pPr>
            <w:r>
              <w:rPr>
                <w:rFonts w:hint="eastAsia"/>
                <w:kern w:val="0"/>
                <w:szCs w:val="21"/>
              </w:rPr>
              <w:t>查值班巡逻日志，当值发生事件无记录扣分，记录不规范扣分，如反映巡逻不到位一次扣分，巡逻乘座电梯一次扣分。直至该项分值扣完为止。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做好重大活动会议的安全保卫工作，圆满完成交办的任务。</w:t>
            </w:r>
          </w:p>
        </w:tc>
        <w:tc>
          <w:tcPr>
            <w:tcW w:w="791" w:type="dxa"/>
            <w:vAlign w:val="center"/>
          </w:tcPr>
          <w:p>
            <w:pPr>
              <w:pStyle w:val="152"/>
              <w:spacing w:line="240" w:lineRule="auto"/>
              <w:ind w:firstLine="0" w:firstLineChars="0"/>
              <w:rPr>
                <w:kern w:val="0"/>
                <w:szCs w:val="21"/>
              </w:rPr>
            </w:pPr>
            <w:r>
              <w:rPr>
                <w:rFonts w:hint="eastAsia"/>
                <w:kern w:val="0"/>
                <w:szCs w:val="21"/>
              </w:rPr>
              <w:t>3</w:t>
            </w:r>
          </w:p>
        </w:tc>
        <w:tc>
          <w:tcPr>
            <w:tcW w:w="3473" w:type="dxa"/>
            <w:vAlign w:val="center"/>
          </w:tcPr>
          <w:p>
            <w:pPr>
              <w:pStyle w:val="152"/>
              <w:spacing w:line="240" w:lineRule="auto"/>
              <w:ind w:firstLine="0" w:firstLineChars="0"/>
              <w:rPr>
                <w:kern w:val="0"/>
                <w:szCs w:val="21"/>
              </w:rPr>
            </w:pPr>
            <w:r>
              <w:rPr>
                <w:rFonts w:hint="eastAsia"/>
                <w:kern w:val="0"/>
                <w:szCs w:val="21"/>
              </w:rPr>
              <w:t>因安全保卫工作失误，造成不良影响扣分。直至该项分值扣完为止。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严格执行登记制度，凡进入机关办公楼的外来人员应询问来访目的，查验有关证件，并进行登记。</w:t>
            </w:r>
          </w:p>
        </w:tc>
        <w:tc>
          <w:tcPr>
            <w:tcW w:w="791" w:type="dxa"/>
            <w:vAlign w:val="center"/>
          </w:tcPr>
          <w:p>
            <w:pPr>
              <w:pStyle w:val="152"/>
              <w:spacing w:line="240" w:lineRule="auto"/>
              <w:ind w:firstLine="0" w:firstLineChars="0"/>
              <w:rPr>
                <w:kern w:val="0"/>
                <w:szCs w:val="21"/>
              </w:rPr>
            </w:pPr>
            <w:r>
              <w:rPr>
                <w:rFonts w:hint="eastAsia"/>
                <w:kern w:val="0"/>
                <w:szCs w:val="21"/>
              </w:rPr>
              <w:t>3</w:t>
            </w:r>
          </w:p>
        </w:tc>
        <w:tc>
          <w:tcPr>
            <w:tcW w:w="3473" w:type="dxa"/>
            <w:vAlign w:val="center"/>
          </w:tcPr>
          <w:p>
            <w:pPr>
              <w:pStyle w:val="152"/>
              <w:spacing w:line="240" w:lineRule="auto"/>
              <w:ind w:firstLine="0" w:firstLineChars="0"/>
              <w:rPr>
                <w:kern w:val="0"/>
                <w:szCs w:val="21"/>
              </w:rPr>
            </w:pPr>
            <w:r>
              <w:rPr>
                <w:rFonts w:hint="eastAsia"/>
                <w:kern w:val="0"/>
                <w:szCs w:val="21"/>
              </w:rPr>
              <w:t>未登记每人扣分，扣完为止。直至该项分值扣完为止。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定期组织安全教育；积时发现各类安全隐患，确保不发生物品被盗和各类案件及安全事故。</w:t>
            </w:r>
          </w:p>
        </w:tc>
        <w:tc>
          <w:tcPr>
            <w:tcW w:w="791" w:type="dxa"/>
            <w:vAlign w:val="center"/>
          </w:tcPr>
          <w:p>
            <w:pPr>
              <w:pStyle w:val="152"/>
              <w:spacing w:line="240" w:lineRule="auto"/>
              <w:ind w:firstLine="0" w:firstLineChars="0"/>
              <w:rPr>
                <w:kern w:val="0"/>
                <w:szCs w:val="21"/>
              </w:rPr>
            </w:pPr>
            <w:r>
              <w:rPr>
                <w:rFonts w:hint="eastAsia"/>
                <w:kern w:val="0"/>
                <w:szCs w:val="21"/>
              </w:rPr>
              <w:t>3</w:t>
            </w:r>
          </w:p>
        </w:tc>
        <w:tc>
          <w:tcPr>
            <w:tcW w:w="3473" w:type="dxa"/>
            <w:vAlign w:val="center"/>
          </w:tcPr>
          <w:p>
            <w:pPr>
              <w:pStyle w:val="152"/>
              <w:spacing w:line="240" w:lineRule="auto"/>
              <w:ind w:firstLine="0" w:firstLineChars="0"/>
              <w:rPr>
                <w:kern w:val="0"/>
                <w:szCs w:val="21"/>
              </w:rPr>
            </w:pPr>
            <w:r>
              <w:rPr>
                <w:rFonts w:hint="eastAsia"/>
                <w:kern w:val="0"/>
                <w:szCs w:val="21"/>
              </w:rPr>
              <w:t>无安全教育（查记录）扣分，发生手机钱包被盗事件一次扣分。发生财产被盗案或秩序维护员内部自盗一次扣分，并追究管理管理人员的责任。直至该项分值扣完为止。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协助搬运家具时，必须轻移轻放，无损坏家具和地板。</w:t>
            </w:r>
          </w:p>
        </w:tc>
        <w:tc>
          <w:tcPr>
            <w:tcW w:w="791" w:type="dxa"/>
            <w:vAlign w:val="center"/>
          </w:tcPr>
          <w:p>
            <w:pPr>
              <w:pStyle w:val="152"/>
              <w:spacing w:line="240" w:lineRule="auto"/>
              <w:ind w:firstLine="0" w:firstLineChars="0"/>
              <w:rPr>
                <w:kern w:val="0"/>
                <w:szCs w:val="21"/>
              </w:rPr>
            </w:pPr>
            <w:r>
              <w:rPr>
                <w:rFonts w:hint="eastAsia"/>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造成家具或地板损坏扣分，并承担10%维修费用。直至该项分值扣完为止。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做好停车场的管理，正确疏导机动车辆进出、泊车，提醒车主关好车辆门窗，上锁，防止车辆碰撞、损坏等问题发生。</w:t>
            </w:r>
          </w:p>
        </w:tc>
        <w:tc>
          <w:tcPr>
            <w:tcW w:w="791" w:type="dxa"/>
            <w:vAlign w:val="center"/>
          </w:tcPr>
          <w:p>
            <w:pPr>
              <w:pStyle w:val="152"/>
              <w:spacing w:line="240" w:lineRule="auto"/>
              <w:ind w:firstLine="0" w:firstLineChars="0"/>
              <w:rPr>
                <w:kern w:val="0"/>
                <w:szCs w:val="21"/>
              </w:rPr>
            </w:pPr>
            <w:r>
              <w:rPr>
                <w:rFonts w:hint="eastAsia"/>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发现乱停放车辆，一辆扣分；发生车辆碰撞，碰撞、损坏一次扣分，并由管理公司承担相应责任。直至该项分值扣完为止。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引导非机动车辆集中停放，停放整齐，场地洁净，落实管理制度，确秩序维护全，严防损坏与丢失。</w:t>
            </w:r>
          </w:p>
        </w:tc>
        <w:tc>
          <w:tcPr>
            <w:tcW w:w="791" w:type="dxa"/>
            <w:vAlign w:val="center"/>
          </w:tcPr>
          <w:p>
            <w:pPr>
              <w:pStyle w:val="152"/>
              <w:spacing w:line="240" w:lineRule="auto"/>
              <w:ind w:firstLine="0" w:firstLineChars="0"/>
              <w:rPr>
                <w:kern w:val="0"/>
                <w:szCs w:val="21"/>
              </w:rPr>
            </w:pPr>
            <w:r>
              <w:rPr>
                <w:rFonts w:hint="eastAsia"/>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一项不符合扣分；发生损坏或丢失一次扣分，并由管理公司承担相应责任。直至该项分值扣完为止。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门卫岗位，严格执勤，维护进出车辆秩序，不与车主发生冲突。</w:t>
            </w:r>
          </w:p>
        </w:tc>
        <w:tc>
          <w:tcPr>
            <w:tcW w:w="791" w:type="dxa"/>
            <w:vAlign w:val="center"/>
          </w:tcPr>
          <w:p>
            <w:pPr>
              <w:pStyle w:val="152"/>
              <w:spacing w:line="240" w:lineRule="auto"/>
              <w:ind w:firstLine="0" w:firstLineChars="0"/>
              <w:rPr>
                <w:kern w:val="0"/>
                <w:szCs w:val="21"/>
              </w:rPr>
            </w:pPr>
            <w:r>
              <w:rPr>
                <w:rFonts w:hint="eastAsia"/>
                <w:kern w:val="0"/>
                <w:szCs w:val="21"/>
              </w:rPr>
              <w:t>3</w:t>
            </w:r>
          </w:p>
        </w:tc>
        <w:tc>
          <w:tcPr>
            <w:tcW w:w="3473" w:type="dxa"/>
            <w:vAlign w:val="center"/>
          </w:tcPr>
          <w:p>
            <w:pPr>
              <w:pStyle w:val="152"/>
              <w:spacing w:line="240" w:lineRule="auto"/>
              <w:ind w:firstLine="0" w:firstLineChars="0"/>
              <w:rPr>
                <w:kern w:val="0"/>
                <w:szCs w:val="21"/>
              </w:rPr>
            </w:pPr>
            <w:r>
              <w:rPr>
                <w:rFonts w:hint="eastAsia"/>
                <w:kern w:val="0"/>
                <w:szCs w:val="21"/>
              </w:rPr>
              <w:t>发生一起扣分，直至该项分值扣完为止。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能熟练掌握消防设施设备的使用方法。</w:t>
            </w:r>
          </w:p>
        </w:tc>
        <w:tc>
          <w:tcPr>
            <w:tcW w:w="791" w:type="dxa"/>
            <w:vAlign w:val="center"/>
          </w:tcPr>
          <w:p>
            <w:pPr>
              <w:pStyle w:val="152"/>
              <w:spacing w:line="240" w:lineRule="auto"/>
              <w:ind w:firstLine="0" w:firstLineChars="0"/>
              <w:rPr>
                <w:kern w:val="0"/>
                <w:szCs w:val="21"/>
              </w:rPr>
            </w:pPr>
            <w:r>
              <w:rPr>
                <w:rFonts w:hint="eastAsia"/>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不会使用操作扣分，不熟练扣分，直至该项分值扣完为止。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能正确果断处理各种火险、火灾以及救护程序。</w:t>
            </w:r>
          </w:p>
        </w:tc>
        <w:tc>
          <w:tcPr>
            <w:tcW w:w="791" w:type="dxa"/>
            <w:vAlign w:val="center"/>
          </w:tcPr>
          <w:p>
            <w:pPr>
              <w:pStyle w:val="152"/>
              <w:spacing w:line="240" w:lineRule="auto"/>
              <w:ind w:firstLine="0" w:firstLineChars="0"/>
              <w:rPr>
                <w:kern w:val="0"/>
                <w:szCs w:val="21"/>
              </w:rPr>
            </w:pPr>
            <w:r>
              <w:rPr>
                <w:rFonts w:hint="eastAsia"/>
                <w:kern w:val="0"/>
                <w:szCs w:val="21"/>
              </w:rPr>
              <w:t>3</w:t>
            </w:r>
          </w:p>
        </w:tc>
        <w:tc>
          <w:tcPr>
            <w:tcW w:w="3473" w:type="dxa"/>
            <w:vAlign w:val="center"/>
          </w:tcPr>
          <w:p>
            <w:pPr>
              <w:pStyle w:val="152"/>
              <w:spacing w:line="240" w:lineRule="auto"/>
              <w:ind w:firstLine="0" w:firstLineChars="0"/>
              <w:rPr>
                <w:kern w:val="0"/>
                <w:szCs w:val="21"/>
              </w:rPr>
            </w:pPr>
            <w:r>
              <w:rPr>
                <w:rFonts w:hint="eastAsia"/>
                <w:kern w:val="0"/>
                <w:szCs w:val="21"/>
              </w:rPr>
              <w:t>不会扣分，直至该项分值扣完为止。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严格消防管理制度，认真巡查火险隐患，确保无火灾事故发生。</w:t>
            </w:r>
          </w:p>
        </w:tc>
        <w:tc>
          <w:tcPr>
            <w:tcW w:w="791" w:type="dxa"/>
            <w:vAlign w:val="center"/>
          </w:tcPr>
          <w:p>
            <w:pPr>
              <w:pStyle w:val="152"/>
              <w:spacing w:line="240" w:lineRule="auto"/>
              <w:ind w:firstLine="0" w:firstLineChars="0"/>
              <w:rPr>
                <w:kern w:val="0"/>
                <w:szCs w:val="21"/>
              </w:rPr>
            </w:pPr>
            <w:r>
              <w:rPr>
                <w:rFonts w:hint="eastAsia"/>
                <w:kern w:val="0"/>
                <w:szCs w:val="21"/>
              </w:rPr>
              <w:t>3</w:t>
            </w:r>
          </w:p>
        </w:tc>
        <w:tc>
          <w:tcPr>
            <w:tcW w:w="3473" w:type="dxa"/>
            <w:vAlign w:val="center"/>
          </w:tcPr>
          <w:p>
            <w:pPr>
              <w:pStyle w:val="152"/>
              <w:spacing w:line="240" w:lineRule="auto"/>
              <w:ind w:firstLine="0" w:firstLineChars="0"/>
              <w:rPr>
                <w:kern w:val="0"/>
                <w:szCs w:val="21"/>
              </w:rPr>
            </w:pPr>
            <w:r>
              <w:rPr>
                <w:rFonts w:hint="eastAsia"/>
                <w:kern w:val="0"/>
                <w:szCs w:val="21"/>
              </w:rPr>
              <w:t>检查一处有隐患扣分，发生火灾事故分，并追究责任。直至该项分值扣完为止。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各种消防设施定期检查保养、维护，确保无缺损，保障正常运行。</w:t>
            </w:r>
          </w:p>
        </w:tc>
        <w:tc>
          <w:tcPr>
            <w:tcW w:w="791" w:type="dxa"/>
            <w:vAlign w:val="center"/>
          </w:tcPr>
          <w:p>
            <w:pPr>
              <w:pStyle w:val="152"/>
              <w:spacing w:line="240" w:lineRule="auto"/>
              <w:ind w:firstLine="0" w:firstLineChars="0"/>
              <w:rPr>
                <w:kern w:val="0"/>
                <w:szCs w:val="21"/>
              </w:rPr>
            </w:pPr>
            <w:r>
              <w:rPr>
                <w:rFonts w:hint="eastAsia"/>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无保养扣分，一处运行障碍扣分，一处缺或损坏扣分。直至该项分值扣完为止。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严格消防管理制度，认真巡查火险隐患，确保无火灾事故发生。</w:t>
            </w:r>
          </w:p>
        </w:tc>
        <w:tc>
          <w:tcPr>
            <w:tcW w:w="791" w:type="dxa"/>
            <w:vAlign w:val="center"/>
          </w:tcPr>
          <w:p>
            <w:pPr>
              <w:pStyle w:val="152"/>
              <w:spacing w:line="240" w:lineRule="auto"/>
              <w:ind w:firstLine="0" w:firstLineChars="0"/>
              <w:rPr>
                <w:kern w:val="0"/>
                <w:szCs w:val="21"/>
              </w:rPr>
            </w:pPr>
            <w:r>
              <w:rPr>
                <w:rFonts w:hint="eastAsia"/>
                <w:kern w:val="0"/>
                <w:szCs w:val="21"/>
              </w:rPr>
              <w:t>3</w:t>
            </w:r>
          </w:p>
        </w:tc>
        <w:tc>
          <w:tcPr>
            <w:tcW w:w="3473" w:type="dxa"/>
            <w:vAlign w:val="center"/>
          </w:tcPr>
          <w:p>
            <w:pPr>
              <w:pStyle w:val="152"/>
              <w:spacing w:line="240" w:lineRule="auto"/>
              <w:ind w:firstLine="0" w:firstLineChars="0"/>
              <w:rPr>
                <w:kern w:val="0"/>
                <w:szCs w:val="21"/>
              </w:rPr>
            </w:pPr>
            <w:r>
              <w:rPr>
                <w:rFonts w:hint="eastAsia"/>
                <w:kern w:val="0"/>
                <w:szCs w:val="21"/>
              </w:rPr>
              <w:t>检查一处有隐患扣分，发生火灾事故1分，并追究责任。直至该项分值扣完为止。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jc w:val="center"/>
        </w:trPr>
        <w:tc>
          <w:tcPr>
            <w:tcW w:w="635" w:type="dxa"/>
            <w:vMerge w:val="restart"/>
            <w:vAlign w:val="center"/>
          </w:tcPr>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r>
              <w:rPr>
                <w:rFonts w:hint="eastAsia"/>
                <w:kern w:val="0"/>
                <w:szCs w:val="21"/>
              </w:rPr>
              <w:t>清洁卫生管理（40）</w:t>
            </w:r>
          </w:p>
          <w:p>
            <w:pPr>
              <w:pStyle w:val="152"/>
              <w:spacing w:line="240" w:lineRule="auto"/>
              <w:ind w:firstLine="0" w:firstLineChars="0"/>
              <w:rPr>
                <w:kern w:val="0"/>
                <w:szCs w:val="21"/>
              </w:rPr>
            </w:pPr>
          </w:p>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清洁保洁责任划分到人，责任范围清洁达到标准化。清洁员着装统一，工作细致，形象良好。</w:t>
            </w:r>
          </w:p>
        </w:tc>
        <w:tc>
          <w:tcPr>
            <w:tcW w:w="791" w:type="dxa"/>
            <w:vAlign w:val="center"/>
          </w:tcPr>
          <w:p>
            <w:pPr>
              <w:pStyle w:val="152"/>
              <w:spacing w:line="240" w:lineRule="auto"/>
              <w:ind w:firstLine="0" w:firstLineChars="0"/>
              <w:rPr>
                <w:kern w:val="0"/>
                <w:szCs w:val="21"/>
              </w:rPr>
            </w:pPr>
            <w:r>
              <w:rPr>
                <w:rFonts w:hint="eastAsia"/>
                <w:kern w:val="0"/>
                <w:szCs w:val="21"/>
              </w:rPr>
              <w:t>4</w:t>
            </w:r>
          </w:p>
        </w:tc>
        <w:tc>
          <w:tcPr>
            <w:tcW w:w="3473" w:type="dxa"/>
            <w:vAlign w:val="center"/>
          </w:tcPr>
          <w:p>
            <w:pPr>
              <w:pStyle w:val="152"/>
              <w:spacing w:line="240" w:lineRule="auto"/>
              <w:ind w:firstLine="0" w:firstLineChars="0"/>
              <w:rPr>
                <w:kern w:val="0"/>
                <w:szCs w:val="21"/>
              </w:rPr>
            </w:pPr>
            <w:r>
              <w:rPr>
                <w:rFonts w:hint="eastAsia"/>
                <w:kern w:val="0"/>
                <w:szCs w:val="21"/>
              </w:rPr>
              <w:t>未明确责任到人，一处扣分。一处未达到标准保洁扣分。直至该项分值扣完为止。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各责任区域门窗干净明亮、清爽；地面无纸屑、果皮、灰尘、杂物和污渍；垃圾筒纸篓内的垃圾不能超过三分之二。</w:t>
            </w:r>
          </w:p>
        </w:tc>
        <w:tc>
          <w:tcPr>
            <w:tcW w:w="791" w:type="dxa"/>
            <w:vAlign w:val="center"/>
          </w:tcPr>
          <w:p>
            <w:pPr>
              <w:pStyle w:val="152"/>
              <w:spacing w:line="240" w:lineRule="auto"/>
              <w:ind w:firstLine="0" w:firstLineChars="0"/>
              <w:rPr>
                <w:kern w:val="0"/>
                <w:szCs w:val="21"/>
              </w:rPr>
            </w:pPr>
            <w:r>
              <w:rPr>
                <w:rFonts w:hint="eastAsia"/>
                <w:kern w:val="0"/>
                <w:szCs w:val="21"/>
              </w:rPr>
              <w:t>4</w:t>
            </w:r>
          </w:p>
        </w:tc>
        <w:tc>
          <w:tcPr>
            <w:tcW w:w="3473" w:type="dxa"/>
            <w:vAlign w:val="center"/>
          </w:tcPr>
          <w:p>
            <w:pPr>
              <w:pStyle w:val="152"/>
              <w:spacing w:line="240" w:lineRule="auto"/>
              <w:ind w:firstLine="0" w:firstLineChars="0"/>
              <w:rPr>
                <w:kern w:val="0"/>
                <w:szCs w:val="21"/>
              </w:rPr>
            </w:pPr>
            <w:r>
              <w:rPr>
                <w:rFonts w:hint="eastAsia"/>
                <w:kern w:val="0"/>
                <w:szCs w:val="21"/>
              </w:rPr>
              <w:t>一个责任区域一项未做到扣分，直至该项分值扣完为止。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各洗手间清洁明亮，无积水，无污渍，无异味。</w:t>
            </w:r>
          </w:p>
        </w:tc>
        <w:tc>
          <w:tcPr>
            <w:tcW w:w="791" w:type="dxa"/>
            <w:vAlign w:val="center"/>
          </w:tcPr>
          <w:p>
            <w:pPr>
              <w:pStyle w:val="152"/>
              <w:spacing w:line="240" w:lineRule="auto"/>
              <w:ind w:firstLine="0" w:firstLineChars="0"/>
              <w:rPr>
                <w:kern w:val="0"/>
                <w:szCs w:val="21"/>
              </w:rPr>
            </w:pPr>
            <w:r>
              <w:rPr>
                <w:rFonts w:hint="eastAsia"/>
                <w:kern w:val="0"/>
                <w:szCs w:val="21"/>
              </w:rPr>
              <w:t>4</w:t>
            </w:r>
          </w:p>
        </w:tc>
        <w:tc>
          <w:tcPr>
            <w:tcW w:w="3473" w:type="dxa"/>
            <w:vAlign w:val="center"/>
          </w:tcPr>
          <w:p>
            <w:pPr>
              <w:pStyle w:val="152"/>
              <w:spacing w:line="240" w:lineRule="auto"/>
              <w:ind w:firstLine="0" w:firstLineChars="0"/>
              <w:rPr>
                <w:kern w:val="0"/>
                <w:szCs w:val="21"/>
              </w:rPr>
            </w:pPr>
            <w:r>
              <w:rPr>
                <w:rFonts w:hint="eastAsia"/>
                <w:kern w:val="0"/>
                <w:szCs w:val="21"/>
              </w:rPr>
              <w:t>一个洗手间一项不符合扣分。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用专用清洁布擦拭饮水设备，无污渍。</w:t>
            </w:r>
          </w:p>
        </w:tc>
        <w:tc>
          <w:tcPr>
            <w:tcW w:w="791" w:type="dxa"/>
            <w:vAlign w:val="center"/>
          </w:tcPr>
          <w:p>
            <w:pPr>
              <w:pStyle w:val="152"/>
              <w:spacing w:line="240" w:lineRule="auto"/>
              <w:ind w:firstLine="0" w:firstLineChars="0"/>
              <w:rPr>
                <w:kern w:val="0"/>
                <w:szCs w:val="21"/>
              </w:rPr>
            </w:pPr>
            <w:r>
              <w:rPr>
                <w:rFonts w:hint="eastAsia"/>
                <w:kern w:val="0"/>
                <w:szCs w:val="21"/>
              </w:rPr>
              <w:t>4</w:t>
            </w:r>
          </w:p>
        </w:tc>
        <w:tc>
          <w:tcPr>
            <w:tcW w:w="3473" w:type="dxa"/>
            <w:vAlign w:val="center"/>
          </w:tcPr>
          <w:p>
            <w:pPr>
              <w:pStyle w:val="152"/>
              <w:spacing w:line="240" w:lineRule="auto"/>
              <w:ind w:firstLine="0" w:firstLineChars="0"/>
              <w:rPr>
                <w:kern w:val="0"/>
                <w:szCs w:val="21"/>
              </w:rPr>
            </w:pPr>
            <w:r>
              <w:rPr>
                <w:rFonts w:hint="eastAsia"/>
                <w:kern w:val="0"/>
                <w:szCs w:val="21"/>
              </w:rPr>
              <w:t>一处饮水设备不符合扣分。直至该项分值扣完为止。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地面保持干燥，尤其下雨天要加强管理，入口处放置地滑警示牌，防止行人摔伤，确秩序维护全。</w:t>
            </w:r>
          </w:p>
        </w:tc>
        <w:tc>
          <w:tcPr>
            <w:tcW w:w="791" w:type="dxa"/>
            <w:vAlign w:val="center"/>
          </w:tcPr>
          <w:p>
            <w:pPr>
              <w:pStyle w:val="152"/>
              <w:spacing w:line="240" w:lineRule="auto"/>
              <w:ind w:firstLine="0" w:firstLineChars="0"/>
              <w:rPr>
                <w:kern w:val="0"/>
                <w:szCs w:val="21"/>
              </w:rPr>
            </w:pPr>
            <w:r>
              <w:rPr>
                <w:rFonts w:hint="eastAsia"/>
                <w:kern w:val="0"/>
                <w:szCs w:val="21"/>
              </w:rPr>
              <w:t>4</w:t>
            </w:r>
          </w:p>
        </w:tc>
        <w:tc>
          <w:tcPr>
            <w:tcW w:w="3473" w:type="dxa"/>
            <w:vAlign w:val="center"/>
          </w:tcPr>
          <w:p>
            <w:pPr>
              <w:pStyle w:val="152"/>
              <w:spacing w:line="240" w:lineRule="auto"/>
              <w:ind w:firstLine="0" w:firstLineChars="0"/>
              <w:rPr>
                <w:kern w:val="0"/>
                <w:szCs w:val="21"/>
              </w:rPr>
            </w:pPr>
            <w:r>
              <w:rPr>
                <w:rFonts w:hint="eastAsia"/>
                <w:kern w:val="0"/>
                <w:szCs w:val="21"/>
              </w:rPr>
              <w:t>未设置警示牌，每次扣分。因地面有水或其他果皮等致使人摔伤全扣，并且承担由此引发的责任。直至该项分值扣完为止。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垃圾做到日产日清，垃圾桶每三天至少清洗一次，外露面无垃圾附着。</w:t>
            </w:r>
          </w:p>
        </w:tc>
        <w:tc>
          <w:tcPr>
            <w:tcW w:w="791" w:type="dxa"/>
            <w:vAlign w:val="center"/>
          </w:tcPr>
          <w:p>
            <w:pPr>
              <w:pStyle w:val="152"/>
              <w:spacing w:line="240" w:lineRule="auto"/>
              <w:ind w:firstLine="0" w:firstLineChars="0"/>
              <w:rPr>
                <w:kern w:val="0"/>
                <w:szCs w:val="21"/>
              </w:rPr>
            </w:pPr>
            <w:r>
              <w:rPr>
                <w:rFonts w:hint="eastAsia"/>
                <w:kern w:val="0"/>
                <w:szCs w:val="21"/>
              </w:rPr>
              <w:t>4</w:t>
            </w:r>
          </w:p>
        </w:tc>
        <w:tc>
          <w:tcPr>
            <w:tcW w:w="3473" w:type="dxa"/>
            <w:vAlign w:val="center"/>
          </w:tcPr>
          <w:p>
            <w:pPr>
              <w:pStyle w:val="152"/>
              <w:spacing w:line="240" w:lineRule="auto"/>
              <w:ind w:firstLine="0" w:firstLineChars="0"/>
              <w:rPr>
                <w:kern w:val="0"/>
                <w:szCs w:val="21"/>
              </w:rPr>
            </w:pPr>
            <w:r>
              <w:rPr>
                <w:rFonts w:hint="eastAsia"/>
                <w:kern w:val="0"/>
                <w:szCs w:val="21"/>
              </w:rPr>
              <w:t>一项未做到扣分。直至该项分值扣完为止。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路面无明显泥沙、污垢，无1cm以上的石子，每100平方米烟头纸屑不超过3处。</w:t>
            </w:r>
          </w:p>
        </w:tc>
        <w:tc>
          <w:tcPr>
            <w:tcW w:w="791" w:type="dxa"/>
            <w:vAlign w:val="center"/>
          </w:tcPr>
          <w:p>
            <w:pPr>
              <w:pStyle w:val="152"/>
              <w:spacing w:line="240" w:lineRule="auto"/>
              <w:ind w:firstLine="0" w:firstLineChars="0"/>
              <w:rPr>
                <w:kern w:val="0"/>
                <w:szCs w:val="21"/>
              </w:rPr>
            </w:pPr>
            <w:r>
              <w:rPr>
                <w:rFonts w:hint="eastAsia"/>
                <w:kern w:val="0"/>
                <w:szCs w:val="21"/>
              </w:rPr>
              <w:t>4</w:t>
            </w:r>
          </w:p>
        </w:tc>
        <w:tc>
          <w:tcPr>
            <w:tcW w:w="3473" w:type="dxa"/>
            <w:vAlign w:val="center"/>
          </w:tcPr>
          <w:p>
            <w:pPr>
              <w:pStyle w:val="152"/>
              <w:spacing w:line="240" w:lineRule="auto"/>
              <w:ind w:firstLine="0" w:firstLineChars="0"/>
              <w:rPr>
                <w:kern w:val="0"/>
                <w:szCs w:val="21"/>
              </w:rPr>
            </w:pPr>
            <w:r>
              <w:rPr>
                <w:rFonts w:hint="eastAsia"/>
                <w:kern w:val="0"/>
                <w:szCs w:val="21"/>
              </w:rPr>
              <w:t>不符合扣分。直至该项分值扣完为止。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绿化丛中无烟盒、饮料瓶盒、塑料袋等垃圾。</w:t>
            </w:r>
          </w:p>
        </w:tc>
        <w:tc>
          <w:tcPr>
            <w:tcW w:w="791" w:type="dxa"/>
            <w:vAlign w:val="center"/>
          </w:tcPr>
          <w:p>
            <w:pPr>
              <w:pStyle w:val="152"/>
              <w:spacing w:line="240" w:lineRule="auto"/>
              <w:ind w:firstLine="0" w:firstLineChars="0"/>
              <w:rPr>
                <w:kern w:val="0"/>
                <w:szCs w:val="21"/>
              </w:rPr>
            </w:pPr>
            <w:r>
              <w:rPr>
                <w:rFonts w:hint="eastAsia"/>
                <w:kern w:val="0"/>
                <w:szCs w:val="21"/>
              </w:rPr>
              <w:t>4</w:t>
            </w:r>
          </w:p>
        </w:tc>
        <w:tc>
          <w:tcPr>
            <w:tcW w:w="3473" w:type="dxa"/>
            <w:vAlign w:val="center"/>
          </w:tcPr>
          <w:p>
            <w:pPr>
              <w:pStyle w:val="152"/>
              <w:spacing w:line="240" w:lineRule="auto"/>
              <w:ind w:firstLine="0" w:firstLineChars="0"/>
              <w:rPr>
                <w:kern w:val="0"/>
                <w:szCs w:val="21"/>
              </w:rPr>
            </w:pPr>
            <w:r>
              <w:rPr>
                <w:rFonts w:hint="eastAsia"/>
                <w:kern w:val="0"/>
                <w:szCs w:val="21"/>
              </w:rPr>
              <w:t>发现一处扣分。直至该项分值扣完为止。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滴水檐无乱堆放杂物，无垃圾、无污渍、无青苔、无积水。</w:t>
            </w:r>
          </w:p>
        </w:tc>
        <w:tc>
          <w:tcPr>
            <w:tcW w:w="791" w:type="dxa"/>
            <w:vAlign w:val="center"/>
          </w:tcPr>
          <w:p>
            <w:pPr>
              <w:pStyle w:val="152"/>
              <w:spacing w:line="240" w:lineRule="auto"/>
              <w:ind w:firstLine="0" w:firstLineChars="0"/>
              <w:rPr>
                <w:kern w:val="0"/>
                <w:szCs w:val="21"/>
              </w:rPr>
            </w:pPr>
            <w:r>
              <w:rPr>
                <w:rFonts w:hint="eastAsia"/>
                <w:kern w:val="0"/>
                <w:szCs w:val="21"/>
              </w:rPr>
              <w:t>4</w:t>
            </w:r>
          </w:p>
        </w:tc>
        <w:tc>
          <w:tcPr>
            <w:tcW w:w="3473" w:type="dxa"/>
            <w:vAlign w:val="center"/>
          </w:tcPr>
          <w:p>
            <w:pPr>
              <w:pStyle w:val="152"/>
              <w:spacing w:line="240" w:lineRule="auto"/>
              <w:ind w:firstLine="0" w:firstLineChars="0"/>
              <w:rPr>
                <w:kern w:val="0"/>
                <w:szCs w:val="21"/>
              </w:rPr>
            </w:pPr>
            <w:r>
              <w:rPr>
                <w:rFonts w:hint="eastAsia"/>
                <w:kern w:val="0"/>
                <w:szCs w:val="21"/>
              </w:rPr>
              <w:t>发现一处扣分。直至该项分值扣完为止。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各明沟无垃圾、无青苔，畅通。</w:t>
            </w:r>
          </w:p>
        </w:tc>
        <w:tc>
          <w:tcPr>
            <w:tcW w:w="791" w:type="dxa"/>
            <w:vAlign w:val="center"/>
          </w:tcPr>
          <w:p>
            <w:pPr>
              <w:pStyle w:val="152"/>
              <w:spacing w:line="240" w:lineRule="auto"/>
              <w:ind w:firstLine="0" w:firstLineChars="0"/>
              <w:rPr>
                <w:kern w:val="0"/>
                <w:szCs w:val="21"/>
              </w:rPr>
            </w:pPr>
            <w:r>
              <w:rPr>
                <w:rFonts w:hint="eastAsia"/>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一条沟不符合扣分，直至该项分值扣完为止。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确保无卫生死角。</w:t>
            </w:r>
          </w:p>
        </w:tc>
        <w:tc>
          <w:tcPr>
            <w:tcW w:w="791" w:type="dxa"/>
            <w:vAlign w:val="center"/>
          </w:tcPr>
          <w:p>
            <w:pPr>
              <w:pStyle w:val="152"/>
              <w:spacing w:line="240" w:lineRule="auto"/>
              <w:ind w:firstLine="0" w:firstLineChars="0"/>
              <w:rPr>
                <w:kern w:val="0"/>
                <w:szCs w:val="21"/>
              </w:rPr>
            </w:pPr>
            <w:r>
              <w:rPr>
                <w:rFonts w:hint="eastAsia"/>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一处扣分，直至该项分值扣完为止。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restart"/>
          </w:tcPr>
          <w:p>
            <w:pPr>
              <w:pStyle w:val="152"/>
              <w:spacing w:line="240" w:lineRule="auto"/>
              <w:ind w:firstLine="0" w:firstLineChars="0"/>
              <w:rPr>
                <w:kern w:val="0"/>
                <w:szCs w:val="21"/>
              </w:rPr>
            </w:pPr>
            <w:r>
              <w:rPr>
                <w:rFonts w:hint="eastAsia"/>
                <w:kern w:val="0"/>
                <w:szCs w:val="21"/>
              </w:rPr>
              <w:t>其它（10分）</w:t>
            </w:r>
          </w:p>
        </w:tc>
        <w:tc>
          <w:tcPr>
            <w:tcW w:w="3456" w:type="dxa"/>
            <w:vAlign w:val="center"/>
          </w:tcPr>
          <w:p>
            <w:pPr>
              <w:pStyle w:val="152"/>
              <w:spacing w:line="240" w:lineRule="auto"/>
              <w:ind w:firstLine="0" w:firstLineChars="0"/>
              <w:rPr>
                <w:kern w:val="0"/>
                <w:szCs w:val="21"/>
              </w:rPr>
            </w:pPr>
            <w:r>
              <w:rPr>
                <w:rFonts w:hint="eastAsia"/>
                <w:kern w:val="0"/>
                <w:szCs w:val="21"/>
              </w:rPr>
              <w:t>临时工作</w:t>
            </w:r>
          </w:p>
        </w:tc>
        <w:tc>
          <w:tcPr>
            <w:tcW w:w="791" w:type="dxa"/>
            <w:vAlign w:val="center"/>
          </w:tcPr>
          <w:p>
            <w:pPr>
              <w:pStyle w:val="152"/>
              <w:spacing w:line="240" w:lineRule="auto"/>
              <w:ind w:firstLine="0" w:firstLineChars="0"/>
              <w:rPr>
                <w:kern w:val="0"/>
                <w:szCs w:val="21"/>
              </w:rPr>
            </w:pPr>
            <w:r>
              <w:rPr>
                <w:rFonts w:hint="eastAsia"/>
                <w:kern w:val="0"/>
                <w:szCs w:val="21"/>
              </w:rPr>
              <w:t>5</w:t>
            </w:r>
          </w:p>
        </w:tc>
        <w:tc>
          <w:tcPr>
            <w:tcW w:w="3473" w:type="dxa"/>
            <w:vAlign w:val="center"/>
          </w:tcPr>
          <w:p>
            <w:pPr>
              <w:pStyle w:val="152"/>
              <w:spacing w:line="240" w:lineRule="auto"/>
              <w:ind w:firstLine="0" w:firstLineChars="0"/>
              <w:rPr>
                <w:kern w:val="0"/>
                <w:szCs w:val="21"/>
              </w:rPr>
            </w:pPr>
            <w:r>
              <w:rPr>
                <w:rFonts w:hint="eastAsia"/>
                <w:kern w:val="0"/>
                <w:szCs w:val="21"/>
              </w:rPr>
              <w:t>不服从学校安排，无端推诿、拖延，敷衍等，一次扣分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服务团队的稳定性</w:t>
            </w:r>
          </w:p>
        </w:tc>
        <w:tc>
          <w:tcPr>
            <w:tcW w:w="791" w:type="dxa"/>
            <w:vAlign w:val="center"/>
          </w:tcPr>
          <w:p>
            <w:pPr>
              <w:pStyle w:val="152"/>
              <w:spacing w:line="240" w:lineRule="auto"/>
              <w:ind w:firstLine="0" w:firstLineChars="0"/>
              <w:rPr>
                <w:kern w:val="0"/>
                <w:szCs w:val="21"/>
              </w:rPr>
            </w:pPr>
            <w:r>
              <w:rPr>
                <w:rFonts w:hint="eastAsia"/>
                <w:kern w:val="0"/>
                <w:szCs w:val="21"/>
              </w:rPr>
              <w:t>5</w:t>
            </w:r>
          </w:p>
        </w:tc>
        <w:tc>
          <w:tcPr>
            <w:tcW w:w="3473" w:type="dxa"/>
            <w:vAlign w:val="center"/>
          </w:tcPr>
          <w:p>
            <w:pPr>
              <w:pStyle w:val="152"/>
              <w:spacing w:line="240" w:lineRule="auto"/>
              <w:ind w:firstLine="0" w:firstLineChars="0"/>
              <w:rPr>
                <w:kern w:val="0"/>
                <w:szCs w:val="21"/>
              </w:rPr>
            </w:pPr>
            <w:r>
              <w:rPr>
                <w:rFonts w:hint="eastAsia"/>
                <w:kern w:val="0"/>
                <w:szCs w:val="21"/>
              </w:rPr>
              <w:t>服务期每月调离或更换服务人员不得超过</w:t>
            </w:r>
            <w:r>
              <w:rPr>
                <w:kern w:val="0"/>
                <w:szCs w:val="21"/>
              </w:rPr>
              <w:t>20</w:t>
            </w:r>
            <w:r>
              <w:rPr>
                <w:rFonts w:hint="eastAsia"/>
                <w:kern w:val="0"/>
                <w:szCs w:val="21"/>
              </w:rPr>
              <w:t>%，超出</w:t>
            </w:r>
            <w:r>
              <w:rPr>
                <w:kern w:val="0"/>
                <w:szCs w:val="21"/>
              </w:rPr>
              <w:t>5%</w:t>
            </w:r>
            <w:r>
              <w:rPr>
                <w:rFonts w:hint="eastAsia"/>
                <w:kern w:val="0"/>
                <w:szCs w:val="21"/>
              </w:rPr>
              <w:t>次扣分</w:t>
            </w:r>
          </w:p>
        </w:tc>
      </w:tr>
    </w:tbl>
    <w:p>
      <w:pPr>
        <w:rPr>
          <w:szCs w:val="21"/>
        </w:rPr>
      </w:pPr>
    </w:p>
    <w:p>
      <w:pPr>
        <w:pStyle w:val="152"/>
        <w:spacing w:line="240" w:lineRule="auto"/>
        <w:ind w:firstLine="420"/>
        <w:jc w:val="left"/>
        <w:rPr>
          <w:szCs w:val="21"/>
        </w:rPr>
      </w:pPr>
      <w:r>
        <w:rPr>
          <w:rFonts w:hint="eastAsia"/>
          <w:szCs w:val="21"/>
        </w:rPr>
        <w:t>4.石室联中西区分校</w:t>
      </w:r>
    </w:p>
    <w:p>
      <w:pPr>
        <w:pStyle w:val="152"/>
        <w:spacing w:line="240" w:lineRule="auto"/>
        <w:ind w:firstLine="420"/>
        <w:rPr>
          <w:szCs w:val="21"/>
        </w:rPr>
      </w:pPr>
    </w:p>
    <w:tbl>
      <w:tblPr>
        <w:tblStyle w:val="43"/>
        <w:tblW w:w="86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1"/>
        <w:gridCol w:w="3544"/>
        <w:gridCol w:w="611"/>
        <w:gridCol w:w="4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51" w:type="dxa"/>
            <w:vAlign w:val="center"/>
          </w:tcPr>
          <w:p>
            <w:pPr>
              <w:pStyle w:val="152"/>
              <w:spacing w:line="240" w:lineRule="auto"/>
              <w:ind w:firstLine="0" w:firstLineChars="0"/>
              <w:rPr>
                <w:kern w:val="0"/>
                <w:szCs w:val="21"/>
              </w:rPr>
            </w:pPr>
            <w:r>
              <w:rPr>
                <w:rFonts w:hint="eastAsia"/>
                <w:kern w:val="0"/>
                <w:szCs w:val="21"/>
              </w:rPr>
              <w:t>项目</w:t>
            </w:r>
          </w:p>
        </w:tc>
        <w:tc>
          <w:tcPr>
            <w:tcW w:w="3544" w:type="dxa"/>
            <w:vAlign w:val="center"/>
          </w:tcPr>
          <w:p>
            <w:pPr>
              <w:pStyle w:val="152"/>
              <w:spacing w:line="240" w:lineRule="auto"/>
              <w:ind w:firstLine="0" w:firstLineChars="0"/>
              <w:rPr>
                <w:kern w:val="0"/>
                <w:szCs w:val="21"/>
              </w:rPr>
            </w:pPr>
            <w:r>
              <w:rPr>
                <w:rFonts w:hint="eastAsia"/>
                <w:kern w:val="0"/>
                <w:szCs w:val="21"/>
              </w:rPr>
              <w:t>服务质量标准</w:t>
            </w:r>
          </w:p>
        </w:tc>
        <w:tc>
          <w:tcPr>
            <w:tcW w:w="611" w:type="dxa"/>
            <w:vAlign w:val="center"/>
          </w:tcPr>
          <w:p>
            <w:pPr>
              <w:pStyle w:val="152"/>
              <w:spacing w:line="240" w:lineRule="auto"/>
              <w:ind w:firstLine="0" w:firstLineChars="0"/>
              <w:rPr>
                <w:kern w:val="0"/>
                <w:szCs w:val="21"/>
              </w:rPr>
            </w:pPr>
            <w:r>
              <w:rPr>
                <w:rFonts w:hint="eastAsia"/>
                <w:kern w:val="0"/>
                <w:szCs w:val="21"/>
              </w:rPr>
              <w:t>单项</w:t>
            </w:r>
          </w:p>
          <w:p>
            <w:pPr>
              <w:pStyle w:val="152"/>
              <w:spacing w:line="240" w:lineRule="auto"/>
              <w:ind w:firstLine="0" w:firstLineChars="0"/>
              <w:rPr>
                <w:kern w:val="0"/>
                <w:szCs w:val="21"/>
              </w:rPr>
            </w:pPr>
            <w:r>
              <w:rPr>
                <w:rFonts w:hint="eastAsia"/>
                <w:kern w:val="0"/>
                <w:szCs w:val="21"/>
              </w:rPr>
              <w:t>分值</w:t>
            </w:r>
          </w:p>
        </w:tc>
        <w:tc>
          <w:tcPr>
            <w:tcW w:w="4034" w:type="dxa"/>
            <w:vAlign w:val="center"/>
          </w:tcPr>
          <w:p>
            <w:pPr>
              <w:pStyle w:val="152"/>
              <w:spacing w:line="240" w:lineRule="auto"/>
              <w:ind w:firstLine="0" w:firstLineChars="0"/>
              <w:rPr>
                <w:kern w:val="0"/>
                <w:szCs w:val="21"/>
              </w:rPr>
            </w:pPr>
            <w:r>
              <w:rPr>
                <w:rFonts w:hint="eastAsia"/>
                <w:kern w:val="0"/>
                <w:szCs w:val="21"/>
              </w:rPr>
              <w:t>监督考评扣分标准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51" w:type="dxa"/>
            <w:vMerge w:val="restart"/>
            <w:vAlign w:val="center"/>
          </w:tcPr>
          <w:p>
            <w:pPr>
              <w:pStyle w:val="152"/>
              <w:spacing w:line="240" w:lineRule="auto"/>
              <w:ind w:firstLine="0" w:firstLineChars="0"/>
              <w:rPr>
                <w:kern w:val="0"/>
                <w:szCs w:val="21"/>
              </w:rPr>
            </w:pPr>
            <w:r>
              <w:rPr>
                <w:rFonts w:hint="eastAsia"/>
                <w:kern w:val="0"/>
                <w:szCs w:val="21"/>
              </w:rPr>
              <w:t>主管</w:t>
            </w:r>
          </w:p>
          <w:p>
            <w:pPr>
              <w:pStyle w:val="152"/>
              <w:spacing w:line="240" w:lineRule="auto"/>
              <w:ind w:firstLine="0" w:firstLineChars="0"/>
              <w:rPr>
                <w:kern w:val="0"/>
                <w:szCs w:val="21"/>
              </w:rPr>
            </w:pPr>
            <w:r>
              <w:rPr>
                <w:rFonts w:hint="eastAsia"/>
                <w:kern w:val="0"/>
                <w:szCs w:val="21"/>
              </w:rPr>
              <w:t>(</w:t>
            </w:r>
            <w:r>
              <w:rPr>
                <w:kern w:val="0"/>
                <w:szCs w:val="21"/>
              </w:rPr>
              <w:t>30</w:t>
            </w:r>
            <w:r>
              <w:rPr>
                <w:rFonts w:hint="eastAsia"/>
                <w:kern w:val="0"/>
                <w:szCs w:val="21"/>
              </w:rPr>
              <w:t>分）</w:t>
            </w:r>
          </w:p>
        </w:tc>
        <w:tc>
          <w:tcPr>
            <w:tcW w:w="3544" w:type="dxa"/>
            <w:vAlign w:val="center"/>
          </w:tcPr>
          <w:p>
            <w:pPr>
              <w:pStyle w:val="152"/>
              <w:spacing w:line="240" w:lineRule="auto"/>
              <w:ind w:firstLine="0" w:firstLineChars="0"/>
              <w:rPr>
                <w:kern w:val="0"/>
                <w:szCs w:val="21"/>
              </w:rPr>
            </w:pPr>
            <w:r>
              <w:rPr>
                <w:rFonts w:hint="eastAsia"/>
                <w:kern w:val="0"/>
                <w:szCs w:val="21"/>
              </w:rPr>
              <w:t>工作日在岗情况</w:t>
            </w:r>
          </w:p>
        </w:tc>
        <w:tc>
          <w:tcPr>
            <w:tcW w:w="611" w:type="dxa"/>
            <w:vAlign w:val="center"/>
          </w:tcPr>
          <w:p>
            <w:pPr>
              <w:pStyle w:val="152"/>
              <w:spacing w:line="240" w:lineRule="auto"/>
              <w:ind w:firstLine="0" w:firstLineChars="0"/>
              <w:rPr>
                <w:kern w:val="0"/>
                <w:szCs w:val="21"/>
              </w:rPr>
            </w:pPr>
            <w:r>
              <w:rPr>
                <w:rFonts w:hint="eastAsia"/>
                <w:kern w:val="0"/>
                <w:szCs w:val="21"/>
              </w:rPr>
              <w:t>1</w:t>
            </w:r>
            <w:r>
              <w:rPr>
                <w:kern w:val="0"/>
                <w:szCs w:val="21"/>
              </w:rPr>
              <w:t>5</w:t>
            </w:r>
          </w:p>
        </w:tc>
        <w:tc>
          <w:tcPr>
            <w:tcW w:w="4034" w:type="dxa"/>
            <w:vAlign w:val="center"/>
          </w:tcPr>
          <w:p>
            <w:pPr>
              <w:pStyle w:val="152"/>
              <w:spacing w:line="240" w:lineRule="auto"/>
              <w:ind w:firstLine="0" w:firstLineChars="0"/>
              <w:rPr>
                <w:kern w:val="0"/>
                <w:szCs w:val="21"/>
              </w:rPr>
            </w:pPr>
            <w:r>
              <w:rPr>
                <w:rFonts w:hint="eastAsia"/>
                <w:kern w:val="0"/>
                <w:szCs w:val="21"/>
              </w:rPr>
              <w:t>缺岗一次扣</w:t>
            </w:r>
            <w:r>
              <w:rPr>
                <w:kern w:val="0"/>
                <w:szCs w:val="21"/>
              </w:rPr>
              <w:t>2</w:t>
            </w:r>
            <w:r>
              <w:rPr>
                <w:rFonts w:hint="eastAsia"/>
                <w:kern w:val="0"/>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51" w:type="dxa"/>
            <w:vMerge w:val="continue"/>
            <w:vAlign w:val="center"/>
          </w:tcPr>
          <w:p>
            <w:pPr>
              <w:pStyle w:val="152"/>
              <w:spacing w:line="240" w:lineRule="auto"/>
              <w:ind w:firstLine="0" w:firstLineChars="0"/>
              <w:rPr>
                <w:kern w:val="0"/>
                <w:szCs w:val="21"/>
              </w:rPr>
            </w:pPr>
          </w:p>
        </w:tc>
        <w:tc>
          <w:tcPr>
            <w:tcW w:w="3544" w:type="dxa"/>
            <w:vAlign w:val="center"/>
          </w:tcPr>
          <w:p>
            <w:pPr>
              <w:pStyle w:val="152"/>
              <w:spacing w:line="240" w:lineRule="auto"/>
              <w:ind w:firstLine="0" w:firstLineChars="0"/>
              <w:rPr>
                <w:kern w:val="0"/>
                <w:szCs w:val="21"/>
              </w:rPr>
            </w:pPr>
            <w:r>
              <w:rPr>
                <w:rFonts w:hint="eastAsia"/>
                <w:kern w:val="0"/>
                <w:szCs w:val="21"/>
              </w:rPr>
              <w:t>对位点员工的日常工作督促和检查情况</w:t>
            </w:r>
          </w:p>
        </w:tc>
        <w:tc>
          <w:tcPr>
            <w:tcW w:w="611" w:type="dxa"/>
            <w:vAlign w:val="center"/>
          </w:tcPr>
          <w:p>
            <w:pPr>
              <w:pStyle w:val="152"/>
              <w:spacing w:line="240" w:lineRule="auto"/>
              <w:ind w:firstLine="0" w:firstLineChars="0"/>
              <w:rPr>
                <w:kern w:val="0"/>
                <w:szCs w:val="21"/>
              </w:rPr>
            </w:pPr>
            <w:r>
              <w:rPr>
                <w:rFonts w:hint="eastAsia"/>
                <w:kern w:val="0"/>
                <w:szCs w:val="21"/>
              </w:rPr>
              <w:t>1</w:t>
            </w:r>
            <w:r>
              <w:rPr>
                <w:kern w:val="0"/>
                <w:szCs w:val="21"/>
              </w:rPr>
              <w:t>0</w:t>
            </w:r>
          </w:p>
        </w:tc>
        <w:tc>
          <w:tcPr>
            <w:tcW w:w="4034" w:type="dxa"/>
            <w:vAlign w:val="center"/>
          </w:tcPr>
          <w:p>
            <w:pPr>
              <w:pStyle w:val="152"/>
              <w:spacing w:line="240" w:lineRule="auto"/>
              <w:ind w:firstLine="0" w:firstLineChars="0"/>
              <w:rPr>
                <w:kern w:val="0"/>
                <w:szCs w:val="21"/>
              </w:rPr>
            </w:pPr>
            <w:r>
              <w:rPr>
                <w:rFonts w:hint="eastAsia"/>
                <w:kern w:val="0"/>
                <w:szCs w:val="21"/>
              </w:rPr>
              <w:t>对员工疏于管理，检查不到位,一次扣</w:t>
            </w:r>
            <w:r>
              <w:rPr>
                <w:kern w:val="0"/>
                <w:szCs w:val="21"/>
              </w:rPr>
              <w:t>1</w:t>
            </w:r>
            <w:r>
              <w:rPr>
                <w:rFonts w:hint="eastAsia"/>
                <w:kern w:val="0"/>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51" w:type="dxa"/>
            <w:vMerge w:val="continue"/>
            <w:vAlign w:val="center"/>
          </w:tcPr>
          <w:p>
            <w:pPr>
              <w:pStyle w:val="152"/>
              <w:spacing w:line="240" w:lineRule="auto"/>
              <w:ind w:firstLine="0" w:firstLineChars="0"/>
              <w:rPr>
                <w:kern w:val="0"/>
                <w:szCs w:val="21"/>
              </w:rPr>
            </w:pPr>
          </w:p>
        </w:tc>
        <w:tc>
          <w:tcPr>
            <w:tcW w:w="3544" w:type="dxa"/>
            <w:vAlign w:val="center"/>
          </w:tcPr>
          <w:p>
            <w:pPr>
              <w:pStyle w:val="152"/>
              <w:spacing w:line="240" w:lineRule="auto"/>
              <w:ind w:firstLine="0" w:firstLineChars="0"/>
              <w:rPr>
                <w:kern w:val="0"/>
                <w:szCs w:val="21"/>
              </w:rPr>
            </w:pPr>
            <w:r>
              <w:rPr>
                <w:rFonts w:hint="eastAsia"/>
                <w:kern w:val="0"/>
                <w:szCs w:val="21"/>
              </w:rPr>
              <w:t>对员工的培训</w:t>
            </w:r>
          </w:p>
        </w:tc>
        <w:tc>
          <w:tcPr>
            <w:tcW w:w="611" w:type="dxa"/>
            <w:vAlign w:val="center"/>
          </w:tcPr>
          <w:p>
            <w:pPr>
              <w:pStyle w:val="152"/>
              <w:spacing w:line="240" w:lineRule="auto"/>
              <w:ind w:firstLine="0" w:firstLineChars="0"/>
              <w:rPr>
                <w:kern w:val="0"/>
                <w:szCs w:val="21"/>
              </w:rPr>
            </w:pPr>
            <w:r>
              <w:rPr>
                <w:rFonts w:hint="eastAsia"/>
                <w:kern w:val="0"/>
                <w:szCs w:val="21"/>
              </w:rPr>
              <w:t>5</w:t>
            </w:r>
          </w:p>
        </w:tc>
        <w:tc>
          <w:tcPr>
            <w:tcW w:w="4034" w:type="dxa"/>
            <w:vAlign w:val="center"/>
          </w:tcPr>
          <w:p>
            <w:pPr>
              <w:pStyle w:val="152"/>
              <w:spacing w:line="240" w:lineRule="auto"/>
              <w:ind w:firstLine="0" w:firstLineChars="0"/>
              <w:rPr>
                <w:kern w:val="0"/>
                <w:szCs w:val="21"/>
              </w:rPr>
            </w:pPr>
            <w:r>
              <w:rPr>
                <w:rFonts w:hint="eastAsia"/>
                <w:kern w:val="0"/>
                <w:szCs w:val="21"/>
              </w:rPr>
              <w:t>对员工的相关技能和礼仪培训不到位,一次扣</w:t>
            </w:r>
            <w:r>
              <w:rPr>
                <w:kern w:val="0"/>
                <w:szCs w:val="21"/>
              </w:rPr>
              <w:t>1</w:t>
            </w:r>
            <w:r>
              <w:rPr>
                <w:rFonts w:hint="eastAsia"/>
                <w:kern w:val="0"/>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51" w:type="dxa"/>
            <w:vMerge w:val="restart"/>
            <w:vAlign w:val="center"/>
          </w:tcPr>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r>
              <w:rPr>
                <w:rFonts w:hint="eastAsia"/>
                <w:kern w:val="0"/>
                <w:szCs w:val="21"/>
              </w:rPr>
              <w:t>安全保卫管理</w:t>
            </w:r>
          </w:p>
          <w:p>
            <w:pPr>
              <w:pStyle w:val="152"/>
              <w:spacing w:line="240" w:lineRule="auto"/>
              <w:ind w:firstLine="0" w:firstLineChars="0"/>
              <w:rPr>
                <w:kern w:val="0"/>
                <w:szCs w:val="21"/>
              </w:rPr>
            </w:pPr>
            <w:r>
              <w:rPr>
                <w:rFonts w:hint="eastAsia"/>
                <w:kern w:val="0"/>
                <w:szCs w:val="21"/>
              </w:rPr>
              <w:t>4</w:t>
            </w:r>
            <w:r>
              <w:rPr>
                <w:kern w:val="0"/>
                <w:szCs w:val="21"/>
              </w:rPr>
              <w:t>0</w:t>
            </w:r>
            <w:r>
              <w:rPr>
                <w:rFonts w:hint="eastAsia"/>
                <w:kern w:val="0"/>
                <w:szCs w:val="21"/>
              </w:rPr>
              <w:t>分</w:t>
            </w:r>
          </w:p>
        </w:tc>
        <w:tc>
          <w:tcPr>
            <w:tcW w:w="3544" w:type="dxa"/>
            <w:vAlign w:val="center"/>
          </w:tcPr>
          <w:p>
            <w:pPr>
              <w:pStyle w:val="152"/>
              <w:spacing w:line="240" w:lineRule="auto"/>
              <w:ind w:firstLine="0" w:firstLineChars="0"/>
              <w:rPr>
                <w:kern w:val="0"/>
                <w:szCs w:val="21"/>
              </w:rPr>
            </w:pPr>
            <w:r>
              <w:rPr>
                <w:rFonts w:hint="eastAsia"/>
                <w:kern w:val="0"/>
                <w:szCs w:val="21"/>
              </w:rPr>
              <w:t>所聘用的秩序维护人员必须训练有素，有秩序维护队全管理制度和职责，安全防患措施，确秩序维护全稳定。</w:t>
            </w:r>
          </w:p>
        </w:tc>
        <w:tc>
          <w:tcPr>
            <w:tcW w:w="611" w:type="dxa"/>
            <w:vAlign w:val="center"/>
          </w:tcPr>
          <w:p>
            <w:pPr>
              <w:pStyle w:val="152"/>
              <w:spacing w:line="240" w:lineRule="auto"/>
              <w:ind w:firstLine="0" w:firstLineChars="0"/>
              <w:rPr>
                <w:kern w:val="0"/>
                <w:szCs w:val="21"/>
              </w:rPr>
            </w:pPr>
            <w:r>
              <w:rPr>
                <w:kern w:val="0"/>
                <w:szCs w:val="21"/>
              </w:rPr>
              <w:t>3</w:t>
            </w:r>
          </w:p>
        </w:tc>
        <w:tc>
          <w:tcPr>
            <w:tcW w:w="4034" w:type="dxa"/>
            <w:vAlign w:val="center"/>
          </w:tcPr>
          <w:p>
            <w:pPr>
              <w:pStyle w:val="152"/>
              <w:spacing w:line="240" w:lineRule="auto"/>
              <w:ind w:firstLine="0" w:firstLineChars="0"/>
              <w:rPr>
                <w:kern w:val="0"/>
                <w:szCs w:val="21"/>
              </w:rPr>
            </w:pPr>
            <w:r>
              <w:rPr>
                <w:rFonts w:hint="eastAsia"/>
                <w:kern w:val="0"/>
                <w:szCs w:val="21"/>
              </w:rPr>
              <w:t>管理制度、职责、措施不健全每项扣</w:t>
            </w:r>
            <w:r>
              <w:rPr>
                <w:kern w:val="0"/>
                <w:szCs w:val="21"/>
              </w:rPr>
              <w:t>1</w:t>
            </w:r>
            <w:r>
              <w:rPr>
                <w:rFonts w:hint="eastAsia"/>
                <w:kern w:val="0"/>
                <w:szCs w:val="21"/>
              </w:rPr>
              <w:t>分，发生安全事故一次扣</w:t>
            </w:r>
            <w:r>
              <w:rPr>
                <w:kern w:val="0"/>
                <w:szCs w:val="21"/>
              </w:rPr>
              <w:t>1</w:t>
            </w:r>
            <w:r>
              <w:rPr>
                <w:rFonts w:hint="eastAsia"/>
                <w:kern w:val="0"/>
                <w:szCs w:val="21"/>
              </w:rPr>
              <w:t>分，发生重大安全事故扣</w:t>
            </w:r>
            <w:r>
              <w:rPr>
                <w:kern w:val="0"/>
                <w:szCs w:val="21"/>
              </w:rPr>
              <w:t>5</w:t>
            </w:r>
            <w:r>
              <w:rPr>
                <w:rFonts w:hint="eastAsia"/>
                <w:kern w:val="0"/>
                <w:szCs w:val="21"/>
              </w:rPr>
              <w:t>分，建议辞退。直至该项分值扣完为止。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51" w:type="dxa"/>
            <w:vMerge w:val="continue"/>
          </w:tcPr>
          <w:p>
            <w:pPr>
              <w:pStyle w:val="152"/>
              <w:spacing w:line="240" w:lineRule="auto"/>
              <w:ind w:firstLine="0" w:firstLineChars="0"/>
              <w:rPr>
                <w:kern w:val="0"/>
                <w:szCs w:val="21"/>
              </w:rPr>
            </w:pPr>
          </w:p>
        </w:tc>
        <w:tc>
          <w:tcPr>
            <w:tcW w:w="3544" w:type="dxa"/>
            <w:vAlign w:val="center"/>
          </w:tcPr>
          <w:p>
            <w:pPr>
              <w:pStyle w:val="152"/>
              <w:spacing w:line="240" w:lineRule="auto"/>
              <w:ind w:firstLine="0" w:firstLineChars="0"/>
              <w:rPr>
                <w:kern w:val="0"/>
                <w:szCs w:val="21"/>
              </w:rPr>
            </w:pPr>
            <w:r>
              <w:rPr>
                <w:rFonts w:hint="eastAsia"/>
                <w:kern w:val="0"/>
                <w:szCs w:val="21"/>
              </w:rPr>
              <w:t>秩序维护队员必须熟悉物业环境，上班时按规定着装和佩戴装备，文明值勤，不与职工、到访人员发生矛盾和冲突。</w:t>
            </w:r>
          </w:p>
        </w:tc>
        <w:tc>
          <w:tcPr>
            <w:tcW w:w="611" w:type="dxa"/>
            <w:vAlign w:val="center"/>
          </w:tcPr>
          <w:p>
            <w:pPr>
              <w:pStyle w:val="152"/>
              <w:spacing w:line="240" w:lineRule="auto"/>
              <w:ind w:firstLine="0" w:firstLineChars="0"/>
              <w:rPr>
                <w:kern w:val="0"/>
                <w:szCs w:val="21"/>
              </w:rPr>
            </w:pPr>
            <w:r>
              <w:rPr>
                <w:kern w:val="0"/>
                <w:szCs w:val="21"/>
              </w:rPr>
              <w:t>3</w:t>
            </w:r>
          </w:p>
        </w:tc>
        <w:tc>
          <w:tcPr>
            <w:tcW w:w="4034" w:type="dxa"/>
            <w:vAlign w:val="center"/>
          </w:tcPr>
          <w:p>
            <w:pPr>
              <w:pStyle w:val="152"/>
              <w:spacing w:line="240" w:lineRule="auto"/>
              <w:ind w:firstLine="0" w:firstLineChars="0"/>
              <w:rPr>
                <w:kern w:val="0"/>
                <w:szCs w:val="21"/>
              </w:rPr>
            </w:pPr>
            <w:r>
              <w:rPr>
                <w:rFonts w:hint="eastAsia"/>
                <w:kern w:val="0"/>
                <w:szCs w:val="21"/>
              </w:rPr>
              <w:t>发现一名队员着装不整齐扣</w:t>
            </w:r>
            <w:r>
              <w:rPr>
                <w:kern w:val="0"/>
                <w:szCs w:val="21"/>
              </w:rPr>
              <w:t>1</w:t>
            </w:r>
            <w:r>
              <w:rPr>
                <w:rFonts w:hint="eastAsia"/>
                <w:kern w:val="0"/>
                <w:szCs w:val="21"/>
              </w:rPr>
              <w:t>分，不礼貌扣</w:t>
            </w:r>
            <w:r>
              <w:rPr>
                <w:kern w:val="0"/>
                <w:szCs w:val="21"/>
              </w:rPr>
              <w:t>1</w:t>
            </w:r>
            <w:r>
              <w:rPr>
                <w:rFonts w:hint="eastAsia"/>
                <w:kern w:val="0"/>
                <w:szCs w:val="21"/>
              </w:rPr>
              <w:t>分，无理与他人发生冲突一次扣</w:t>
            </w:r>
            <w:r>
              <w:rPr>
                <w:kern w:val="0"/>
                <w:szCs w:val="21"/>
              </w:rPr>
              <w:t>1</w:t>
            </w:r>
            <w:r>
              <w:rPr>
                <w:rFonts w:hint="eastAsia"/>
                <w:kern w:val="0"/>
                <w:szCs w:val="21"/>
              </w:rPr>
              <w:t>分，在校内或校园周边吸烟扣1分，发生两次建议辞退。直至该项分值扣完为止。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51" w:type="dxa"/>
            <w:vMerge w:val="continue"/>
          </w:tcPr>
          <w:p>
            <w:pPr>
              <w:pStyle w:val="152"/>
              <w:spacing w:line="240" w:lineRule="auto"/>
              <w:ind w:firstLine="0" w:firstLineChars="0"/>
              <w:rPr>
                <w:kern w:val="0"/>
                <w:szCs w:val="21"/>
              </w:rPr>
            </w:pPr>
          </w:p>
        </w:tc>
        <w:tc>
          <w:tcPr>
            <w:tcW w:w="3544" w:type="dxa"/>
            <w:vAlign w:val="center"/>
          </w:tcPr>
          <w:p>
            <w:pPr>
              <w:pStyle w:val="152"/>
              <w:spacing w:line="240" w:lineRule="auto"/>
              <w:ind w:firstLine="0" w:firstLineChars="0"/>
              <w:rPr>
                <w:kern w:val="0"/>
                <w:szCs w:val="21"/>
              </w:rPr>
            </w:pPr>
            <w:r>
              <w:rPr>
                <w:rFonts w:hint="eastAsia"/>
                <w:kern w:val="0"/>
                <w:szCs w:val="21"/>
              </w:rPr>
              <w:t>秩序维护必须实行24小时值班巡逻，认真履行职责，机动灵活，加强重点区域和人少到的部位巡逻。</w:t>
            </w:r>
          </w:p>
        </w:tc>
        <w:tc>
          <w:tcPr>
            <w:tcW w:w="611" w:type="dxa"/>
            <w:vAlign w:val="center"/>
          </w:tcPr>
          <w:p>
            <w:pPr>
              <w:pStyle w:val="152"/>
              <w:spacing w:line="240" w:lineRule="auto"/>
              <w:ind w:firstLine="0" w:firstLineChars="0"/>
              <w:rPr>
                <w:kern w:val="0"/>
                <w:szCs w:val="21"/>
              </w:rPr>
            </w:pPr>
            <w:r>
              <w:rPr>
                <w:kern w:val="0"/>
                <w:szCs w:val="21"/>
              </w:rPr>
              <w:t>3</w:t>
            </w:r>
          </w:p>
        </w:tc>
        <w:tc>
          <w:tcPr>
            <w:tcW w:w="4034" w:type="dxa"/>
            <w:vAlign w:val="center"/>
          </w:tcPr>
          <w:p>
            <w:pPr>
              <w:pStyle w:val="152"/>
              <w:spacing w:line="240" w:lineRule="auto"/>
              <w:ind w:firstLine="0" w:firstLineChars="0"/>
              <w:rPr>
                <w:kern w:val="0"/>
                <w:szCs w:val="21"/>
              </w:rPr>
            </w:pPr>
            <w:r>
              <w:rPr>
                <w:rFonts w:hint="eastAsia"/>
                <w:kern w:val="0"/>
                <w:szCs w:val="21"/>
              </w:rPr>
              <w:t>查值班巡逻日志，当值发生事件无记录扣分，记录不规范扣</w:t>
            </w:r>
            <w:r>
              <w:rPr>
                <w:kern w:val="0"/>
                <w:szCs w:val="21"/>
              </w:rPr>
              <w:t>1</w:t>
            </w:r>
            <w:r>
              <w:rPr>
                <w:rFonts w:hint="eastAsia"/>
                <w:kern w:val="0"/>
                <w:szCs w:val="21"/>
              </w:rPr>
              <w:t>分，如发现巡逻不到位一次扣</w:t>
            </w:r>
            <w:r>
              <w:rPr>
                <w:kern w:val="0"/>
                <w:szCs w:val="21"/>
              </w:rPr>
              <w:t>1</w:t>
            </w:r>
            <w:r>
              <w:rPr>
                <w:rFonts w:hint="eastAsia"/>
                <w:kern w:val="0"/>
                <w:szCs w:val="21"/>
              </w:rPr>
              <w:t>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51" w:type="dxa"/>
            <w:vMerge w:val="continue"/>
          </w:tcPr>
          <w:p>
            <w:pPr>
              <w:pStyle w:val="152"/>
              <w:spacing w:line="240" w:lineRule="auto"/>
              <w:ind w:firstLine="0" w:firstLineChars="0"/>
              <w:rPr>
                <w:kern w:val="0"/>
                <w:szCs w:val="21"/>
              </w:rPr>
            </w:pPr>
          </w:p>
        </w:tc>
        <w:tc>
          <w:tcPr>
            <w:tcW w:w="3544" w:type="dxa"/>
            <w:vAlign w:val="center"/>
          </w:tcPr>
          <w:p>
            <w:pPr>
              <w:pStyle w:val="152"/>
              <w:spacing w:line="240" w:lineRule="auto"/>
              <w:ind w:firstLine="0" w:firstLineChars="0"/>
              <w:rPr>
                <w:kern w:val="0"/>
                <w:szCs w:val="21"/>
              </w:rPr>
            </w:pPr>
            <w:r>
              <w:rPr>
                <w:rFonts w:hint="eastAsia"/>
                <w:kern w:val="0"/>
                <w:szCs w:val="21"/>
              </w:rPr>
              <w:t>做好重大活动会议的安全保卫工作，圆满完成交办的任务。</w:t>
            </w:r>
          </w:p>
        </w:tc>
        <w:tc>
          <w:tcPr>
            <w:tcW w:w="611" w:type="dxa"/>
            <w:vAlign w:val="center"/>
          </w:tcPr>
          <w:p>
            <w:pPr>
              <w:pStyle w:val="152"/>
              <w:spacing w:line="240" w:lineRule="auto"/>
              <w:ind w:firstLine="0" w:firstLineChars="0"/>
              <w:rPr>
                <w:kern w:val="0"/>
                <w:szCs w:val="21"/>
              </w:rPr>
            </w:pPr>
            <w:r>
              <w:rPr>
                <w:kern w:val="0"/>
                <w:szCs w:val="21"/>
              </w:rPr>
              <w:t>2</w:t>
            </w:r>
          </w:p>
        </w:tc>
        <w:tc>
          <w:tcPr>
            <w:tcW w:w="4034" w:type="dxa"/>
            <w:vAlign w:val="center"/>
          </w:tcPr>
          <w:p>
            <w:pPr>
              <w:pStyle w:val="152"/>
              <w:spacing w:line="240" w:lineRule="auto"/>
              <w:ind w:firstLine="0" w:firstLineChars="0"/>
              <w:rPr>
                <w:kern w:val="0"/>
                <w:szCs w:val="21"/>
              </w:rPr>
            </w:pPr>
            <w:r>
              <w:rPr>
                <w:rFonts w:hint="eastAsia"/>
                <w:kern w:val="0"/>
                <w:szCs w:val="21"/>
              </w:rPr>
              <w:t>因安全保卫工作失误，造成不良影响扣</w:t>
            </w:r>
            <w:r>
              <w:rPr>
                <w:kern w:val="0"/>
                <w:szCs w:val="21"/>
              </w:rPr>
              <w:t>1</w:t>
            </w:r>
            <w:r>
              <w:rPr>
                <w:rFonts w:hint="eastAsia"/>
                <w:kern w:val="0"/>
                <w:szCs w:val="21"/>
              </w:rPr>
              <w:t>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51" w:type="dxa"/>
            <w:vMerge w:val="continue"/>
          </w:tcPr>
          <w:p>
            <w:pPr>
              <w:pStyle w:val="152"/>
              <w:spacing w:line="240" w:lineRule="auto"/>
              <w:ind w:firstLine="0" w:firstLineChars="0"/>
              <w:rPr>
                <w:kern w:val="0"/>
                <w:szCs w:val="21"/>
              </w:rPr>
            </w:pPr>
          </w:p>
        </w:tc>
        <w:tc>
          <w:tcPr>
            <w:tcW w:w="3544" w:type="dxa"/>
            <w:vAlign w:val="center"/>
          </w:tcPr>
          <w:p>
            <w:pPr>
              <w:pStyle w:val="152"/>
              <w:spacing w:line="240" w:lineRule="auto"/>
              <w:ind w:firstLine="0" w:firstLineChars="0"/>
              <w:rPr>
                <w:kern w:val="0"/>
                <w:szCs w:val="21"/>
              </w:rPr>
            </w:pPr>
            <w:r>
              <w:rPr>
                <w:rFonts w:hint="eastAsia"/>
                <w:kern w:val="0"/>
                <w:szCs w:val="21"/>
              </w:rPr>
              <w:t>严格执行登记制度，凡进入机关办公楼的外来人员应询问来访目的，查验有关证件，并进行登记。</w:t>
            </w:r>
          </w:p>
        </w:tc>
        <w:tc>
          <w:tcPr>
            <w:tcW w:w="611" w:type="dxa"/>
            <w:vAlign w:val="center"/>
          </w:tcPr>
          <w:p>
            <w:pPr>
              <w:pStyle w:val="152"/>
              <w:spacing w:line="240" w:lineRule="auto"/>
              <w:ind w:firstLine="0" w:firstLineChars="0"/>
              <w:rPr>
                <w:kern w:val="0"/>
                <w:szCs w:val="21"/>
              </w:rPr>
            </w:pPr>
            <w:r>
              <w:rPr>
                <w:rFonts w:hint="eastAsia"/>
                <w:kern w:val="0"/>
                <w:szCs w:val="21"/>
              </w:rPr>
              <w:t>5</w:t>
            </w:r>
          </w:p>
        </w:tc>
        <w:tc>
          <w:tcPr>
            <w:tcW w:w="4034" w:type="dxa"/>
            <w:vAlign w:val="center"/>
          </w:tcPr>
          <w:p>
            <w:pPr>
              <w:pStyle w:val="152"/>
              <w:spacing w:line="240" w:lineRule="auto"/>
              <w:ind w:firstLine="0" w:firstLineChars="0"/>
              <w:rPr>
                <w:kern w:val="0"/>
                <w:szCs w:val="21"/>
              </w:rPr>
            </w:pPr>
            <w:r>
              <w:rPr>
                <w:rFonts w:hint="eastAsia"/>
                <w:kern w:val="0"/>
                <w:szCs w:val="21"/>
              </w:rPr>
              <w:t>未登记每人扣1分，未带口罩、手套扣1分。直至该项分值扣完为止。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51" w:type="dxa"/>
            <w:vMerge w:val="continue"/>
          </w:tcPr>
          <w:p>
            <w:pPr>
              <w:pStyle w:val="152"/>
              <w:spacing w:line="240" w:lineRule="auto"/>
              <w:ind w:firstLine="0" w:firstLineChars="0"/>
              <w:rPr>
                <w:kern w:val="0"/>
                <w:szCs w:val="21"/>
              </w:rPr>
            </w:pPr>
          </w:p>
        </w:tc>
        <w:tc>
          <w:tcPr>
            <w:tcW w:w="3544" w:type="dxa"/>
            <w:vAlign w:val="center"/>
          </w:tcPr>
          <w:p>
            <w:pPr>
              <w:pStyle w:val="152"/>
              <w:spacing w:line="240" w:lineRule="auto"/>
              <w:ind w:firstLine="0" w:firstLineChars="0"/>
              <w:rPr>
                <w:kern w:val="0"/>
                <w:szCs w:val="21"/>
              </w:rPr>
            </w:pPr>
            <w:r>
              <w:rPr>
                <w:rFonts w:hint="eastAsia"/>
                <w:kern w:val="0"/>
                <w:szCs w:val="21"/>
              </w:rPr>
              <w:t>定期组织安全教育；积时发现各类安全隐患，确保不发生物品被盗和各类案件及安全事故。</w:t>
            </w:r>
          </w:p>
        </w:tc>
        <w:tc>
          <w:tcPr>
            <w:tcW w:w="611" w:type="dxa"/>
            <w:vAlign w:val="center"/>
          </w:tcPr>
          <w:p>
            <w:pPr>
              <w:pStyle w:val="152"/>
              <w:spacing w:line="240" w:lineRule="auto"/>
              <w:ind w:firstLine="0" w:firstLineChars="0"/>
              <w:rPr>
                <w:kern w:val="0"/>
                <w:szCs w:val="21"/>
              </w:rPr>
            </w:pPr>
            <w:r>
              <w:rPr>
                <w:rFonts w:hint="eastAsia"/>
                <w:kern w:val="0"/>
                <w:szCs w:val="21"/>
              </w:rPr>
              <w:t>2</w:t>
            </w:r>
          </w:p>
        </w:tc>
        <w:tc>
          <w:tcPr>
            <w:tcW w:w="4034" w:type="dxa"/>
            <w:vAlign w:val="center"/>
          </w:tcPr>
          <w:p>
            <w:pPr>
              <w:pStyle w:val="152"/>
              <w:spacing w:line="240" w:lineRule="auto"/>
              <w:ind w:firstLine="0" w:firstLineChars="0"/>
              <w:rPr>
                <w:kern w:val="0"/>
                <w:szCs w:val="21"/>
              </w:rPr>
            </w:pPr>
            <w:r>
              <w:rPr>
                <w:rFonts w:hint="eastAsia"/>
                <w:kern w:val="0"/>
                <w:szCs w:val="21"/>
              </w:rPr>
              <w:t>无安全教育（查记录）扣分，发生手机钱包被盗事件一次扣1分。发生财产被盗案或秩序维护员内部自盗一次扣1分，并追究管理管理人员的责任。直至该项分值扣完为止。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51" w:type="dxa"/>
            <w:vMerge w:val="continue"/>
          </w:tcPr>
          <w:p>
            <w:pPr>
              <w:pStyle w:val="152"/>
              <w:spacing w:line="240" w:lineRule="auto"/>
              <w:ind w:firstLine="0" w:firstLineChars="0"/>
              <w:rPr>
                <w:kern w:val="0"/>
                <w:szCs w:val="21"/>
              </w:rPr>
            </w:pPr>
          </w:p>
        </w:tc>
        <w:tc>
          <w:tcPr>
            <w:tcW w:w="3544" w:type="dxa"/>
            <w:vAlign w:val="center"/>
          </w:tcPr>
          <w:p>
            <w:pPr>
              <w:pStyle w:val="152"/>
              <w:spacing w:line="240" w:lineRule="auto"/>
              <w:ind w:firstLine="0" w:firstLineChars="0"/>
              <w:rPr>
                <w:kern w:val="0"/>
                <w:szCs w:val="21"/>
              </w:rPr>
            </w:pPr>
            <w:r>
              <w:rPr>
                <w:rFonts w:hint="eastAsia"/>
                <w:kern w:val="0"/>
                <w:szCs w:val="21"/>
              </w:rPr>
              <w:t>协助搬运家具时，必须轻移轻放，无损坏家具和地板。</w:t>
            </w:r>
          </w:p>
        </w:tc>
        <w:tc>
          <w:tcPr>
            <w:tcW w:w="611" w:type="dxa"/>
            <w:vAlign w:val="center"/>
          </w:tcPr>
          <w:p>
            <w:pPr>
              <w:pStyle w:val="152"/>
              <w:spacing w:line="240" w:lineRule="auto"/>
              <w:ind w:firstLine="0" w:firstLineChars="0"/>
              <w:rPr>
                <w:kern w:val="0"/>
                <w:szCs w:val="21"/>
              </w:rPr>
            </w:pPr>
            <w:r>
              <w:rPr>
                <w:rFonts w:hint="eastAsia"/>
                <w:kern w:val="0"/>
                <w:szCs w:val="21"/>
              </w:rPr>
              <w:t>2</w:t>
            </w:r>
          </w:p>
        </w:tc>
        <w:tc>
          <w:tcPr>
            <w:tcW w:w="4034" w:type="dxa"/>
            <w:vAlign w:val="center"/>
          </w:tcPr>
          <w:p>
            <w:pPr>
              <w:pStyle w:val="152"/>
              <w:spacing w:line="240" w:lineRule="auto"/>
              <w:ind w:firstLine="0" w:firstLineChars="0"/>
              <w:rPr>
                <w:kern w:val="0"/>
                <w:szCs w:val="21"/>
              </w:rPr>
            </w:pPr>
            <w:r>
              <w:rPr>
                <w:rFonts w:hint="eastAsia"/>
                <w:kern w:val="0"/>
                <w:szCs w:val="21"/>
              </w:rPr>
              <w:t>造成家具或地板损坏扣1分，并承担10%维修费用。直至该项分值扣完为止。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51" w:type="dxa"/>
            <w:vMerge w:val="continue"/>
          </w:tcPr>
          <w:p>
            <w:pPr>
              <w:pStyle w:val="152"/>
              <w:spacing w:line="240" w:lineRule="auto"/>
              <w:ind w:firstLine="0" w:firstLineChars="0"/>
              <w:rPr>
                <w:kern w:val="0"/>
                <w:szCs w:val="21"/>
              </w:rPr>
            </w:pPr>
          </w:p>
        </w:tc>
        <w:tc>
          <w:tcPr>
            <w:tcW w:w="3544" w:type="dxa"/>
            <w:vAlign w:val="center"/>
          </w:tcPr>
          <w:p>
            <w:pPr>
              <w:pStyle w:val="152"/>
              <w:spacing w:line="240" w:lineRule="auto"/>
              <w:ind w:firstLine="0" w:firstLineChars="0"/>
              <w:rPr>
                <w:kern w:val="0"/>
                <w:szCs w:val="21"/>
              </w:rPr>
            </w:pPr>
            <w:r>
              <w:rPr>
                <w:rFonts w:hint="eastAsia"/>
                <w:kern w:val="0"/>
                <w:szCs w:val="21"/>
              </w:rPr>
              <w:t>做好停车场的管理，正确疏导机动车辆进出、泊车，提醒车主关好车辆门窗，上锁，防止车辆碰撞、损坏等问题发生。</w:t>
            </w:r>
          </w:p>
        </w:tc>
        <w:tc>
          <w:tcPr>
            <w:tcW w:w="611" w:type="dxa"/>
            <w:vAlign w:val="center"/>
          </w:tcPr>
          <w:p>
            <w:pPr>
              <w:pStyle w:val="152"/>
              <w:spacing w:line="240" w:lineRule="auto"/>
              <w:ind w:firstLine="0" w:firstLineChars="0"/>
              <w:rPr>
                <w:kern w:val="0"/>
                <w:szCs w:val="21"/>
              </w:rPr>
            </w:pPr>
            <w:r>
              <w:rPr>
                <w:kern w:val="0"/>
                <w:szCs w:val="21"/>
              </w:rPr>
              <w:t>2</w:t>
            </w:r>
          </w:p>
        </w:tc>
        <w:tc>
          <w:tcPr>
            <w:tcW w:w="4034" w:type="dxa"/>
            <w:vAlign w:val="center"/>
          </w:tcPr>
          <w:p>
            <w:pPr>
              <w:pStyle w:val="152"/>
              <w:spacing w:line="240" w:lineRule="auto"/>
              <w:ind w:firstLine="0" w:firstLineChars="0"/>
              <w:rPr>
                <w:kern w:val="0"/>
                <w:szCs w:val="21"/>
              </w:rPr>
            </w:pPr>
            <w:r>
              <w:rPr>
                <w:rFonts w:hint="eastAsia"/>
                <w:kern w:val="0"/>
                <w:szCs w:val="21"/>
              </w:rPr>
              <w:t>发现乱停放车辆，一辆扣0</w:t>
            </w:r>
            <w:r>
              <w:rPr>
                <w:kern w:val="0"/>
                <w:szCs w:val="21"/>
              </w:rPr>
              <w:t>.5</w:t>
            </w:r>
            <w:r>
              <w:rPr>
                <w:rFonts w:hint="eastAsia"/>
                <w:kern w:val="0"/>
                <w:szCs w:val="21"/>
              </w:rPr>
              <w:t>分；发生车辆碰撞，碰撞、损坏一次扣1分，并由管理公司承担相应责任。直至该项分值扣完为止。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51" w:type="dxa"/>
            <w:vMerge w:val="continue"/>
          </w:tcPr>
          <w:p>
            <w:pPr>
              <w:pStyle w:val="152"/>
              <w:spacing w:line="240" w:lineRule="auto"/>
              <w:ind w:firstLine="0" w:firstLineChars="0"/>
              <w:rPr>
                <w:kern w:val="0"/>
                <w:szCs w:val="21"/>
              </w:rPr>
            </w:pPr>
          </w:p>
        </w:tc>
        <w:tc>
          <w:tcPr>
            <w:tcW w:w="3544" w:type="dxa"/>
            <w:vAlign w:val="center"/>
          </w:tcPr>
          <w:p>
            <w:pPr>
              <w:pStyle w:val="152"/>
              <w:spacing w:line="240" w:lineRule="auto"/>
              <w:ind w:firstLine="0" w:firstLineChars="0"/>
              <w:rPr>
                <w:kern w:val="0"/>
                <w:szCs w:val="21"/>
              </w:rPr>
            </w:pPr>
            <w:r>
              <w:rPr>
                <w:rFonts w:hint="eastAsia"/>
                <w:kern w:val="0"/>
                <w:szCs w:val="21"/>
              </w:rPr>
              <w:t>引导非机动车辆集中停放，停放整齐，场地洁净，落实管理制度，确秩序维护全，严防损坏与丢失。</w:t>
            </w:r>
          </w:p>
        </w:tc>
        <w:tc>
          <w:tcPr>
            <w:tcW w:w="611" w:type="dxa"/>
            <w:vAlign w:val="center"/>
          </w:tcPr>
          <w:p>
            <w:pPr>
              <w:pStyle w:val="152"/>
              <w:spacing w:line="240" w:lineRule="auto"/>
              <w:ind w:firstLine="0" w:firstLineChars="0"/>
              <w:rPr>
                <w:kern w:val="0"/>
                <w:szCs w:val="21"/>
              </w:rPr>
            </w:pPr>
            <w:r>
              <w:rPr>
                <w:kern w:val="0"/>
                <w:szCs w:val="21"/>
              </w:rPr>
              <w:t>2</w:t>
            </w:r>
          </w:p>
        </w:tc>
        <w:tc>
          <w:tcPr>
            <w:tcW w:w="4034" w:type="dxa"/>
            <w:vAlign w:val="center"/>
          </w:tcPr>
          <w:p>
            <w:pPr>
              <w:pStyle w:val="152"/>
              <w:spacing w:line="240" w:lineRule="auto"/>
              <w:ind w:firstLine="0" w:firstLineChars="0"/>
              <w:rPr>
                <w:kern w:val="0"/>
                <w:szCs w:val="21"/>
              </w:rPr>
            </w:pPr>
            <w:r>
              <w:rPr>
                <w:rFonts w:hint="eastAsia"/>
                <w:kern w:val="0"/>
                <w:szCs w:val="21"/>
              </w:rPr>
              <w:t>一项不符合扣0</w:t>
            </w:r>
            <w:r>
              <w:rPr>
                <w:kern w:val="0"/>
                <w:szCs w:val="21"/>
              </w:rPr>
              <w:t>.5</w:t>
            </w:r>
            <w:r>
              <w:rPr>
                <w:rFonts w:hint="eastAsia"/>
                <w:kern w:val="0"/>
                <w:szCs w:val="21"/>
              </w:rPr>
              <w:t>分；发生损坏或丢失一次扣0</w:t>
            </w:r>
            <w:r>
              <w:rPr>
                <w:kern w:val="0"/>
                <w:szCs w:val="21"/>
              </w:rPr>
              <w:t>.5</w:t>
            </w:r>
            <w:r>
              <w:rPr>
                <w:rFonts w:hint="eastAsia"/>
                <w:kern w:val="0"/>
                <w:szCs w:val="21"/>
              </w:rPr>
              <w:t>分，并由管理公司承担相应责任。直至该项分值扣完为止。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51" w:type="dxa"/>
            <w:vMerge w:val="continue"/>
          </w:tcPr>
          <w:p>
            <w:pPr>
              <w:pStyle w:val="152"/>
              <w:spacing w:line="240" w:lineRule="auto"/>
              <w:ind w:firstLine="0" w:firstLineChars="0"/>
              <w:rPr>
                <w:kern w:val="0"/>
                <w:szCs w:val="21"/>
              </w:rPr>
            </w:pPr>
          </w:p>
        </w:tc>
        <w:tc>
          <w:tcPr>
            <w:tcW w:w="3544" w:type="dxa"/>
            <w:vAlign w:val="center"/>
          </w:tcPr>
          <w:p>
            <w:pPr>
              <w:pStyle w:val="152"/>
              <w:spacing w:line="240" w:lineRule="auto"/>
              <w:ind w:firstLine="0" w:firstLineChars="0"/>
              <w:rPr>
                <w:kern w:val="0"/>
                <w:szCs w:val="21"/>
              </w:rPr>
            </w:pPr>
            <w:r>
              <w:rPr>
                <w:rFonts w:hint="eastAsia"/>
                <w:kern w:val="0"/>
                <w:szCs w:val="21"/>
              </w:rPr>
              <w:t>门卫岗位，严格执勤，维护进出车辆秩序，不与车主发生冲突。</w:t>
            </w:r>
          </w:p>
        </w:tc>
        <w:tc>
          <w:tcPr>
            <w:tcW w:w="611" w:type="dxa"/>
            <w:vAlign w:val="center"/>
          </w:tcPr>
          <w:p>
            <w:pPr>
              <w:pStyle w:val="152"/>
              <w:spacing w:line="240" w:lineRule="auto"/>
              <w:ind w:firstLine="0" w:firstLineChars="0"/>
              <w:rPr>
                <w:kern w:val="0"/>
                <w:szCs w:val="21"/>
              </w:rPr>
            </w:pPr>
            <w:r>
              <w:rPr>
                <w:rFonts w:hint="eastAsia"/>
                <w:kern w:val="0"/>
                <w:szCs w:val="21"/>
              </w:rPr>
              <w:t>2</w:t>
            </w:r>
          </w:p>
        </w:tc>
        <w:tc>
          <w:tcPr>
            <w:tcW w:w="4034" w:type="dxa"/>
            <w:vAlign w:val="center"/>
          </w:tcPr>
          <w:p>
            <w:pPr>
              <w:pStyle w:val="152"/>
              <w:spacing w:line="240" w:lineRule="auto"/>
              <w:ind w:firstLine="0" w:firstLineChars="0"/>
              <w:rPr>
                <w:kern w:val="0"/>
                <w:szCs w:val="21"/>
              </w:rPr>
            </w:pPr>
            <w:r>
              <w:rPr>
                <w:rFonts w:hint="eastAsia"/>
                <w:kern w:val="0"/>
                <w:szCs w:val="21"/>
              </w:rPr>
              <w:t>发生一起扣0</w:t>
            </w:r>
            <w:r>
              <w:rPr>
                <w:kern w:val="0"/>
                <w:szCs w:val="21"/>
              </w:rPr>
              <w:t>.5</w:t>
            </w:r>
            <w:r>
              <w:rPr>
                <w:rFonts w:hint="eastAsia"/>
                <w:kern w:val="0"/>
                <w:szCs w:val="21"/>
              </w:rPr>
              <w:t>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51" w:type="dxa"/>
            <w:vMerge w:val="continue"/>
          </w:tcPr>
          <w:p>
            <w:pPr>
              <w:pStyle w:val="152"/>
              <w:spacing w:line="240" w:lineRule="auto"/>
              <w:ind w:firstLine="0" w:firstLineChars="0"/>
              <w:rPr>
                <w:kern w:val="0"/>
                <w:szCs w:val="21"/>
              </w:rPr>
            </w:pPr>
          </w:p>
        </w:tc>
        <w:tc>
          <w:tcPr>
            <w:tcW w:w="3544" w:type="dxa"/>
            <w:vAlign w:val="center"/>
          </w:tcPr>
          <w:p>
            <w:pPr>
              <w:pStyle w:val="152"/>
              <w:spacing w:line="240" w:lineRule="auto"/>
              <w:ind w:firstLine="0" w:firstLineChars="0"/>
              <w:rPr>
                <w:kern w:val="0"/>
                <w:szCs w:val="21"/>
              </w:rPr>
            </w:pPr>
            <w:r>
              <w:rPr>
                <w:rFonts w:hint="eastAsia"/>
                <w:kern w:val="0"/>
                <w:szCs w:val="21"/>
              </w:rPr>
              <w:t>能熟练掌握消防设施设备的使用方法。</w:t>
            </w:r>
          </w:p>
        </w:tc>
        <w:tc>
          <w:tcPr>
            <w:tcW w:w="611" w:type="dxa"/>
            <w:vAlign w:val="center"/>
          </w:tcPr>
          <w:p>
            <w:pPr>
              <w:pStyle w:val="152"/>
              <w:spacing w:line="240" w:lineRule="auto"/>
              <w:ind w:firstLine="0" w:firstLineChars="0"/>
              <w:rPr>
                <w:kern w:val="0"/>
                <w:szCs w:val="21"/>
              </w:rPr>
            </w:pPr>
            <w:r>
              <w:rPr>
                <w:rFonts w:hint="eastAsia"/>
                <w:kern w:val="0"/>
                <w:szCs w:val="21"/>
              </w:rPr>
              <w:t>2</w:t>
            </w:r>
          </w:p>
        </w:tc>
        <w:tc>
          <w:tcPr>
            <w:tcW w:w="4034" w:type="dxa"/>
            <w:vAlign w:val="center"/>
          </w:tcPr>
          <w:p>
            <w:pPr>
              <w:pStyle w:val="152"/>
              <w:spacing w:line="240" w:lineRule="auto"/>
              <w:ind w:firstLine="0" w:firstLineChars="0"/>
              <w:rPr>
                <w:kern w:val="0"/>
                <w:szCs w:val="21"/>
              </w:rPr>
            </w:pPr>
            <w:r>
              <w:rPr>
                <w:rFonts w:hint="eastAsia"/>
                <w:kern w:val="0"/>
                <w:szCs w:val="21"/>
              </w:rPr>
              <w:t>不会使用操作扣</w:t>
            </w:r>
            <w:r>
              <w:rPr>
                <w:kern w:val="0"/>
                <w:szCs w:val="21"/>
              </w:rPr>
              <w:t>2</w:t>
            </w:r>
            <w:r>
              <w:rPr>
                <w:rFonts w:hint="eastAsia"/>
                <w:kern w:val="0"/>
                <w:szCs w:val="21"/>
              </w:rPr>
              <w:t>分，不熟练扣</w:t>
            </w:r>
            <w:r>
              <w:rPr>
                <w:kern w:val="0"/>
                <w:szCs w:val="21"/>
              </w:rPr>
              <w:t>1</w:t>
            </w:r>
            <w:r>
              <w:rPr>
                <w:rFonts w:hint="eastAsia"/>
                <w:kern w:val="0"/>
                <w:szCs w:val="21"/>
              </w:rPr>
              <w:t>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51" w:type="dxa"/>
            <w:vMerge w:val="continue"/>
          </w:tcPr>
          <w:p>
            <w:pPr>
              <w:pStyle w:val="152"/>
              <w:spacing w:line="240" w:lineRule="auto"/>
              <w:ind w:firstLine="0" w:firstLineChars="0"/>
              <w:rPr>
                <w:kern w:val="0"/>
                <w:szCs w:val="21"/>
              </w:rPr>
            </w:pPr>
          </w:p>
        </w:tc>
        <w:tc>
          <w:tcPr>
            <w:tcW w:w="3544" w:type="dxa"/>
            <w:vAlign w:val="center"/>
          </w:tcPr>
          <w:p>
            <w:pPr>
              <w:pStyle w:val="152"/>
              <w:spacing w:line="240" w:lineRule="auto"/>
              <w:ind w:firstLine="0" w:firstLineChars="0"/>
              <w:rPr>
                <w:kern w:val="0"/>
                <w:szCs w:val="21"/>
              </w:rPr>
            </w:pPr>
            <w:r>
              <w:rPr>
                <w:rFonts w:hint="eastAsia"/>
                <w:kern w:val="0"/>
                <w:szCs w:val="21"/>
              </w:rPr>
              <w:t>能正确果断处理各种火险、火灾以及救护程序。</w:t>
            </w:r>
          </w:p>
        </w:tc>
        <w:tc>
          <w:tcPr>
            <w:tcW w:w="611" w:type="dxa"/>
            <w:vAlign w:val="center"/>
          </w:tcPr>
          <w:p>
            <w:pPr>
              <w:pStyle w:val="152"/>
              <w:spacing w:line="240" w:lineRule="auto"/>
              <w:ind w:firstLine="0" w:firstLineChars="0"/>
              <w:rPr>
                <w:kern w:val="0"/>
                <w:szCs w:val="21"/>
              </w:rPr>
            </w:pPr>
            <w:r>
              <w:rPr>
                <w:rFonts w:hint="eastAsia"/>
                <w:kern w:val="0"/>
                <w:szCs w:val="21"/>
              </w:rPr>
              <w:t>2</w:t>
            </w:r>
          </w:p>
        </w:tc>
        <w:tc>
          <w:tcPr>
            <w:tcW w:w="4034" w:type="dxa"/>
            <w:vAlign w:val="center"/>
          </w:tcPr>
          <w:p>
            <w:pPr>
              <w:pStyle w:val="152"/>
              <w:spacing w:line="240" w:lineRule="auto"/>
              <w:ind w:firstLine="0" w:firstLineChars="0"/>
              <w:rPr>
                <w:kern w:val="0"/>
                <w:szCs w:val="21"/>
              </w:rPr>
            </w:pPr>
            <w:r>
              <w:rPr>
                <w:rFonts w:hint="eastAsia"/>
                <w:kern w:val="0"/>
                <w:szCs w:val="21"/>
              </w:rPr>
              <w:t>不会扣1分，直至该项分值扣完为止。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51" w:type="dxa"/>
            <w:vMerge w:val="continue"/>
          </w:tcPr>
          <w:p>
            <w:pPr>
              <w:pStyle w:val="152"/>
              <w:spacing w:line="240" w:lineRule="auto"/>
              <w:ind w:firstLine="0" w:firstLineChars="0"/>
              <w:rPr>
                <w:kern w:val="0"/>
                <w:szCs w:val="21"/>
              </w:rPr>
            </w:pPr>
          </w:p>
        </w:tc>
        <w:tc>
          <w:tcPr>
            <w:tcW w:w="3544" w:type="dxa"/>
            <w:vAlign w:val="center"/>
          </w:tcPr>
          <w:p>
            <w:pPr>
              <w:pStyle w:val="152"/>
              <w:spacing w:line="240" w:lineRule="auto"/>
              <w:ind w:firstLine="0" w:firstLineChars="0"/>
              <w:rPr>
                <w:kern w:val="0"/>
                <w:szCs w:val="21"/>
              </w:rPr>
            </w:pPr>
            <w:r>
              <w:rPr>
                <w:rFonts w:hint="eastAsia"/>
                <w:kern w:val="0"/>
                <w:szCs w:val="21"/>
              </w:rPr>
              <w:t>严格消防管理制度，认真巡查火险隐患，确保无火灾事故发生。</w:t>
            </w:r>
          </w:p>
        </w:tc>
        <w:tc>
          <w:tcPr>
            <w:tcW w:w="611" w:type="dxa"/>
            <w:vAlign w:val="center"/>
          </w:tcPr>
          <w:p>
            <w:pPr>
              <w:pStyle w:val="152"/>
              <w:spacing w:line="240" w:lineRule="auto"/>
              <w:ind w:firstLine="0" w:firstLineChars="0"/>
              <w:rPr>
                <w:kern w:val="0"/>
                <w:szCs w:val="21"/>
              </w:rPr>
            </w:pPr>
            <w:r>
              <w:rPr>
                <w:rFonts w:hint="eastAsia"/>
                <w:kern w:val="0"/>
                <w:szCs w:val="21"/>
              </w:rPr>
              <w:t>3</w:t>
            </w:r>
          </w:p>
        </w:tc>
        <w:tc>
          <w:tcPr>
            <w:tcW w:w="4034" w:type="dxa"/>
            <w:vAlign w:val="center"/>
          </w:tcPr>
          <w:p>
            <w:pPr>
              <w:pStyle w:val="152"/>
              <w:spacing w:line="240" w:lineRule="auto"/>
              <w:ind w:firstLine="0" w:firstLineChars="0"/>
              <w:rPr>
                <w:kern w:val="0"/>
                <w:szCs w:val="21"/>
              </w:rPr>
            </w:pPr>
            <w:r>
              <w:rPr>
                <w:rFonts w:hint="eastAsia"/>
                <w:kern w:val="0"/>
                <w:szCs w:val="21"/>
              </w:rPr>
              <w:t>检查一处有隐患扣1分，发生火灾事故1分，并追究责任。直至该项分值扣完为止。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51" w:type="dxa"/>
            <w:vMerge w:val="continue"/>
          </w:tcPr>
          <w:p>
            <w:pPr>
              <w:pStyle w:val="152"/>
              <w:spacing w:line="240" w:lineRule="auto"/>
              <w:ind w:firstLine="0" w:firstLineChars="0"/>
              <w:rPr>
                <w:kern w:val="0"/>
                <w:szCs w:val="21"/>
              </w:rPr>
            </w:pPr>
          </w:p>
        </w:tc>
        <w:tc>
          <w:tcPr>
            <w:tcW w:w="3544" w:type="dxa"/>
            <w:vAlign w:val="center"/>
          </w:tcPr>
          <w:p>
            <w:pPr>
              <w:pStyle w:val="152"/>
              <w:spacing w:line="240" w:lineRule="auto"/>
              <w:ind w:firstLine="0" w:firstLineChars="0"/>
              <w:rPr>
                <w:kern w:val="0"/>
                <w:szCs w:val="21"/>
              </w:rPr>
            </w:pPr>
            <w:r>
              <w:rPr>
                <w:rFonts w:hint="eastAsia"/>
                <w:kern w:val="0"/>
                <w:szCs w:val="21"/>
              </w:rPr>
              <w:t>各种消防设施定期检查保养、维护，确保无缺损，保障正常运行。</w:t>
            </w:r>
          </w:p>
        </w:tc>
        <w:tc>
          <w:tcPr>
            <w:tcW w:w="611" w:type="dxa"/>
            <w:vAlign w:val="center"/>
          </w:tcPr>
          <w:p>
            <w:pPr>
              <w:pStyle w:val="152"/>
              <w:spacing w:line="240" w:lineRule="auto"/>
              <w:ind w:firstLine="0" w:firstLineChars="0"/>
              <w:rPr>
                <w:kern w:val="0"/>
                <w:szCs w:val="21"/>
              </w:rPr>
            </w:pPr>
            <w:r>
              <w:rPr>
                <w:kern w:val="0"/>
                <w:szCs w:val="21"/>
              </w:rPr>
              <w:t>2</w:t>
            </w:r>
          </w:p>
        </w:tc>
        <w:tc>
          <w:tcPr>
            <w:tcW w:w="4034" w:type="dxa"/>
            <w:vAlign w:val="center"/>
          </w:tcPr>
          <w:p>
            <w:pPr>
              <w:pStyle w:val="152"/>
              <w:spacing w:line="240" w:lineRule="auto"/>
              <w:ind w:firstLine="0" w:firstLineChars="0"/>
              <w:rPr>
                <w:kern w:val="0"/>
                <w:szCs w:val="21"/>
              </w:rPr>
            </w:pPr>
            <w:r>
              <w:rPr>
                <w:rFonts w:hint="eastAsia"/>
                <w:kern w:val="0"/>
                <w:szCs w:val="21"/>
              </w:rPr>
              <w:t>无保养扣1分，一处运行障碍扣1分，一处缺或损坏扣1分。直至该项分值扣完为止。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51" w:type="dxa"/>
            <w:vMerge w:val="continue"/>
          </w:tcPr>
          <w:p>
            <w:pPr>
              <w:pStyle w:val="152"/>
              <w:spacing w:line="240" w:lineRule="auto"/>
              <w:ind w:firstLine="0" w:firstLineChars="0"/>
              <w:rPr>
                <w:kern w:val="0"/>
                <w:szCs w:val="21"/>
              </w:rPr>
            </w:pPr>
          </w:p>
        </w:tc>
        <w:tc>
          <w:tcPr>
            <w:tcW w:w="3544" w:type="dxa"/>
            <w:vAlign w:val="center"/>
          </w:tcPr>
          <w:p>
            <w:pPr>
              <w:pStyle w:val="152"/>
              <w:spacing w:line="240" w:lineRule="auto"/>
              <w:ind w:firstLine="0" w:firstLineChars="0"/>
              <w:rPr>
                <w:kern w:val="0"/>
                <w:szCs w:val="21"/>
              </w:rPr>
            </w:pPr>
            <w:r>
              <w:rPr>
                <w:rFonts w:hint="eastAsia"/>
                <w:kern w:val="0"/>
                <w:szCs w:val="21"/>
              </w:rPr>
              <w:t>严格消防管理制度，认真巡查火险隐患，确保无火灾事故发生。</w:t>
            </w:r>
          </w:p>
        </w:tc>
        <w:tc>
          <w:tcPr>
            <w:tcW w:w="611" w:type="dxa"/>
            <w:vAlign w:val="center"/>
          </w:tcPr>
          <w:p>
            <w:pPr>
              <w:pStyle w:val="152"/>
              <w:spacing w:line="240" w:lineRule="auto"/>
              <w:ind w:firstLine="0" w:firstLineChars="0"/>
              <w:rPr>
                <w:kern w:val="0"/>
                <w:szCs w:val="21"/>
              </w:rPr>
            </w:pPr>
            <w:r>
              <w:rPr>
                <w:kern w:val="0"/>
                <w:szCs w:val="21"/>
              </w:rPr>
              <w:t>5</w:t>
            </w:r>
          </w:p>
        </w:tc>
        <w:tc>
          <w:tcPr>
            <w:tcW w:w="4034" w:type="dxa"/>
            <w:vAlign w:val="center"/>
          </w:tcPr>
          <w:p>
            <w:pPr>
              <w:pStyle w:val="152"/>
              <w:spacing w:line="240" w:lineRule="auto"/>
              <w:ind w:firstLine="0" w:firstLineChars="0"/>
              <w:rPr>
                <w:kern w:val="0"/>
                <w:szCs w:val="21"/>
              </w:rPr>
            </w:pPr>
            <w:r>
              <w:rPr>
                <w:rFonts w:hint="eastAsia"/>
                <w:kern w:val="0"/>
                <w:szCs w:val="21"/>
              </w:rPr>
              <w:t>检查一处有隐患扣1分，发生火灾事故</w:t>
            </w:r>
            <w:r>
              <w:rPr>
                <w:kern w:val="0"/>
                <w:szCs w:val="21"/>
              </w:rPr>
              <w:t>5</w:t>
            </w:r>
            <w:r>
              <w:rPr>
                <w:rFonts w:hint="eastAsia"/>
                <w:kern w:val="0"/>
                <w:szCs w:val="21"/>
              </w:rPr>
              <w:t>分，并追究责任。直至该项分值扣完为止。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jc w:val="center"/>
        </w:trPr>
        <w:tc>
          <w:tcPr>
            <w:tcW w:w="451" w:type="dxa"/>
            <w:vMerge w:val="restart"/>
            <w:vAlign w:val="center"/>
          </w:tcPr>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r>
              <w:rPr>
                <w:rFonts w:hint="eastAsia"/>
                <w:kern w:val="0"/>
                <w:szCs w:val="21"/>
              </w:rPr>
              <w:t>清洁卫生管理</w:t>
            </w:r>
          </w:p>
          <w:p>
            <w:pPr>
              <w:pStyle w:val="152"/>
              <w:spacing w:line="240" w:lineRule="auto"/>
              <w:ind w:firstLine="0" w:firstLineChars="0"/>
              <w:rPr>
                <w:kern w:val="0"/>
                <w:szCs w:val="21"/>
              </w:rPr>
            </w:pPr>
            <w:r>
              <w:rPr>
                <w:rFonts w:hint="eastAsia"/>
                <w:kern w:val="0"/>
                <w:szCs w:val="21"/>
              </w:rPr>
              <w:t>3</w:t>
            </w:r>
            <w:r>
              <w:rPr>
                <w:kern w:val="0"/>
                <w:szCs w:val="21"/>
              </w:rPr>
              <w:t>0</w:t>
            </w:r>
            <w:r>
              <w:rPr>
                <w:rFonts w:hint="eastAsia"/>
                <w:kern w:val="0"/>
                <w:szCs w:val="21"/>
              </w:rPr>
              <w:t>分</w:t>
            </w:r>
          </w:p>
          <w:p>
            <w:pPr>
              <w:pStyle w:val="152"/>
              <w:spacing w:line="240" w:lineRule="auto"/>
              <w:ind w:firstLine="0" w:firstLineChars="0"/>
              <w:rPr>
                <w:kern w:val="0"/>
                <w:szCs w:val="21"/>
              </w:rPr>
            </w:pPr>
          </w:p>
        </w:tc>
        <w:tc>
          <w:tcPr>
            <w:tcW w:w="3544" w:type="dxa"/>
            <w:vAlign w:val="center"/>
          </w:tcPr>
          <w:p>
            <w:pPr>
              <w:pStyle w:val="152"/>
              <w:spacing w:line="240" w:lineRule="auto"/>
              <w:ind w:firstLine="0" w:firstLineChars="0"/>
              <w:rPr>
                <w:kern w:val="0"/>
                <w:szCs w:val="21"/>
              </w:rPr>
            </w:pPr>
            <w:r>
              <w:rPr>
                <w:rFonts w:hint="eastAsia"/>
                <w:kern w:val="0"/>
                <w:szCs w:val="21"/>
              </w:rPr>
              <w:t>清洁保洁责任划分到人，责任范围清洁达到标准化。清洁员着装统一，工作细致，形象良好。</w:t>
            </w:r>
          </w:p>
        </w:tc>
        <w:tc>
          <w:tcPr>
            <w:tcW w:w="611" w:type="dxa"/>
            <w:vAlign w:val="center"/>
          </w:tcPr>
          <w:p>
            <w:pPr>
              <w:pStyle w:val="152"/>
              <w:spacing w:line="240" w:lineRule="auto"/>
              <w:ind w:firstLine="0" w:firstLineChars="0"/>
              <w:rPr>
                <w:kern w:val="0"/>
                <w:szCs w:val="21"/>
              </w:rPr>
            </w:pPr>
            <w:r>
              <w:rPr>
                <w:rFonts w:hint="eastAsia"/>
                <w:kern w:val="0"/>
                <w:szCs w:val="21"/>
              </w:rPr>
              <w:t>2</w:t>
            </w:r>
          </w:p>
        </w:tc>
        <w:tc>
          <w:tcPr>
            <w:tcW w:w="4034" w:type="dxa"/>
            <w:vAlign w:val="center"/>
          </w:tcPr>
          <w:p>
            <w:pPr>
              <w:pStyle w:val="152"/>
              <w:spacing w:line="240" w:lineRule="auto"/>
              <w:ind w:firstLine="0" w:firstLineChars="0"/>
              <w:rPr>
                <w:kern w:val="0"/>
                <w:szCs w:val="21"/>
              </w:rPr>
            </w:pPr>
            <w:r>
              <w:rPr>
                <w:rFonts w:hint="eastAsia"/>
                <w:kern w:val="0"/>
                <w:szCs w:val="21"/>
              </w:rPr>
              <w:t>未明确责任到人，一处扣1分。一处未达到标准保洁扣1分。直至该项分值扣完为止。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51" w:type="dxa"/>
            <w:vMerge w:val="continue"/>
          </w:tcPr>
          <w:p>
            <w:pPr>
              <w:pStyle w:val="152"/>
              <w:spacing w:line="240" w:lineRule="auto"/>
              <w:ind w:firstLine="0" w:firstLineChars="0"/>
              <w:rPr>
                <w:kern w:val="0"/>
                <w:szCs w:val="21"/>
              </w:rPr>
            </w:pPr>
          </w:p>
        </w:tc>
        <w:tc>
          <w:tcPr>
            <w:tcW w:w="3544" w:type="dxa"/>
            <w:vAlign w:val="center"/>
          </w:tcPr>
          <w:p>
            <w:pPr>
              <w:pStyle w:val="152"/>
              <w:spacing w:line="240" w:lineRule="auto"/>
              <w:ind w:firstLine="0" w:firstLineChars="0"/>
              <w:rPr>
                <w:kern w:val="0"/>
                <w:szCs w:val="21"/>
              </w:rPr>
            </w:pPr>
            <w:r>
              <w:rPr>
                <w:rFonts w:hint="eastAsia"/>
                <w:kern w:val="0"/>
                <w:szCs w:val="21"/>
              </w:rPr>
              <w:t>各责任区域门窗干净明亮、清爽；地面无纸屑、果皮、灰尘、杂物和污渍；垃圾筒纸篓内的垃圾不能超过三分之二。</w:t>
            </w:r>
          </w:p>
        </w:tc>
        <w:tc>
          <w:tcPr>
            <w:tcW w:w="611" w:type="dxa"/>
            <w:vAlign w:val="center"/>
          </w:tcPr>
          <w:p>
            <w:pPr>
              <w:pStyle w:val="152"/>
              <w:spacing w:line="240" w:lineRule="auto"/>
              <w:ind w:firstLine="0" w:firstLineChars="0"/>
              <w:rPr>
                <w:kern w:val="0"/>
                <w:szCs w:val="21"/>
              </w:rPr>
            </w:pPr>
            <w:r>
              <w:rPr>
                <w:rFonts w:hint="eastAsia"/>
                <w:kern w:val="0"/>
                <w:szCs w:val="21"/>
              </w:rPr>
              <w:t>3</w:t>
            </w:r>
          </w:p>
        </w:tc>
        <w:tc>
          <w:tcPr>
            <w:tcW w:w="4034" w:type="dxa"/>
            <w:vAlign w:val="center"/>
          </w:tcPr>
          <w:p>
            <w:pPr>
              <w:pStyle w:val="152"/>
              <w:spacing w:line="240" w:lineRule="auto"/>
              <w:ind w:firstLine="0" w:firstLineChars="0"/>
              <w:rPr>
                <w:kern w:val="0"/>
                <w:szCs w:val="21"/>
              </w:rPr>
            </w:pPr>
            <w:r>
              <w:rPr>
                <w:rFonts w:hint="eastAsia"/>
                <w:kern w:val="0"/>
                <w:szCs w:val="21"/>
              </w:rPr>
              <w:t>一个责任区域一项未做到扣1分，直至该项分值扣完为止。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51" w:type="dxa"/>
            <w:vMerge w:val="continue"/>
          </w:tcPr>
          <w:p>
            <w:pPr>
              <w:pStyle w:val="152"/>
              <w:spacing w:line="240" w:lineRule="auto"/>
              <w:ind w:firstLine="0" w:firstLineChars="0"/>
              <w:rPr>
                <w:kern w:val="0"/>
                <w:szCs w:val="21"/>
              </w:rPr>
            </w:pPr>
          </w:p>
        </w:tc>
        <w:tc>
          <w:tcPr>
            <w:tcW w:w="3544" w:type="dxa"/>
            <w:vAlign w:val="center"/>
          </w:tcPr>
          <w:p>
            <w:pPr>
              <w:pStyle w:val="152"/>
              <w:spacing w:line="240" w:lineRule="auto"/>
              <w:ind w:firstLine="0" w:firstLineChars="0"/>
              <w:rPr>
                <w:kern w:val="0"/>
                <w:szCs w:val="21"/>
              </w:rPr>
            </w:pPr>
            <w:r>
              <w:rPr>
                <w:rFonts w:hint="eastAsia"/>
                <w:kern w:val="0"/>
                <w:szCs w:val="21"/>
              </w:rPr>
              <w:t>各洗手间清洁明亮，无积水，无污渍，无异味。</w:t>
            </w:r>
          </w:p>
        </w:tc>
        <w:tc>
          <w:tcPr>
            <w:tcW w:w="611" w:type="dxa"/>
            <w:vAlign w:val="center"/>
          </w:tcPr>
          <w:p>
            <w:pPr>
              <w:pStyle w:val="152"/>
              <w:spacing w:line="240" w:lineRule="auto"/>
              <w:ind w:firstLine="0" w:firstLineChars="0"/>
              <w:rPr>
                <w:kern w:val="0"/>
                <w:szCs w:val="21"/>
              </w:rPr>
            </w:pPr>
            <w:r>
              <w:rPr>
                <w:rFonts w:hint="eastAsia"/>
                <w:kern w:val="0"/>
                <w:szCs w:val="21"/>
              </w:rPr>
              <w:t>3</w:t>
            </w:r>
          </w:p>
        </w:tc>
        <w:tc>
          <w:tcPr>
            <w:tcW w:w="4034" w:type="dxa"/>
            <w:vAlign w:val="center"/>
          </w:tcPr>
          <w:p>
            <w:pPr>
              <w:pStyle w:val="152"/>
              <w:spacing w:line="240" w:lineRule="auto"/>
              <w:ind w:firstLine="0" w:firstLineChars="0"/>
              <w:rPr>
                <w:kern w:val="0"/>
                <w:szCs w:val="21"/>
              </w:rPr>
            </w:pPr>
            <w:r>
              <w:rPr>
                <w:rFonts w:hint="eastAsia"/>
                <w:kern w:val="0"/>
                <w:szCs w:val="21"/>
              </w:rPr>
              <w:t>一个洗手间一项不符合扣1分。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51" w:type="dxa"/>
            <w:vMerge w:val="continue"/>
          </w:tcPr>
          <w:p>
            <w:pPr>
              <w:pStyle w:val="152"/>
              <w:spacing w:line="240" w:lineRule="auto"/>
              <w:ind w:firstLine="0" w:firstLineChars="0"/>
              <w:rPr>
                <w:kern w:val="0"/>
                <w:szCs w:val="21"/>
              </w:rPr>
            </w:pPr>
          </w:p>
        </w:tc>
        <w:tc>
          <w:tcPr>
            <w:tcW w:w="3544" w:type="dxa"/>
            <w:vAlign w:val="center"/>
          </w:tcPr>
          <w:p>
            <w:pPr>
              <w:pStyle w:val="152"/>
              <w:spacing w:line="240" w:lineRule="auto"/>
              <w:ind w:firstLine="0" w:firstLineChars="0"/>
              <w:rPr>
                <w:kern w:val="0"/>
                <w:szCs w:val="21"/>
              </w:rPr>
            </w:pPr>
            <w:r>
              <w:rPr>
                <w:rFonts w:hint="eastAsia"/>
                <w:kern w:val="0"/>
                <w:szCs w:val="21"/>
              </w:rPr>
              <w:t>用专用清洁布擦拭饮水设备，无污渍。</w:t>
            </w:r>
          </w:p>
        </w:tc>
        <w:tc>
          <w:tcPr>
            <w:tcW w:w="611" w:type="dxa"/>
            <w:vAlign w:val="center"/>
          </w:tcPr>
          <w:p>
            <w:pPr>
              <w:pStyle w:val="152"/>
              <w:spacing w:line="240" w:lineRule="auto"/>
              <w:ind w:firstLine="0" w:firstLineChars="0"/>
              <w:rPr>
                <w:kern w:val="0"/>
                <w:szCs w:val="21"/>
              </w:rPr>
            </w:pPr>
            <w:r>
              <w:rPr>
                <w:kern w:val="0"/>
                <w:szCs w:val="21"/>
              </w:rPr>
              <w:t>3</w:t>
            </w:r>
          </w:p>
        </w:tc>
        <w:tc>
          <w:tcPr>
            <w:tcW w:w="4034" w:type="dxa"/>
            <w:vAlign w:val="center"/>
          </w:tcPr>
          <w:p>
            <w:pPr>
              <w:pStyle w:val="152"/>
              <w:spacing w:line="240" w:lineRule="auto"/>
              <w:ind w:firstLine="0" w:firstLineChars="0"/>
              <w:rPr>
                <w:kern w:val="0"/>
                <w:szCs w:val="21"/>
              </w:rPr>
            </w:pPr>
            <w:r>
              <w:rPr>
                <w:rFonts w:hint="eastAsia"/>
                <w:kern w:val="0"/>
                <w:szCs w:val="21"/>
              </w:rPr>
              <w:t>一处饮水设备不符合扣分。直至该项分值扣完为止。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51" w:type="dxa"/>
            <w:vMerge w:val="continue"/>
          </w:tcPr>
          <w:p>
            <w:pPr>
              <w:pStyle w:val="152"/>
              <w:spacing w:line="240" w:lineRule="auto"/>
              <w:ind w:firstLine="0" w:firstLineChars="0"/>
              <w:rPr>
                <w:kern w:val="0"/>
                <w:szCs w:val="21"/>
              </w:rPr>
            </w:pPr>
          </w:p>
        </w:tc>
        <w:tc>
          <w:tcPr>
            <w:tcW w:w="3544" w:type="dxa"/>
            <w:vAlign w:val="center"/>
          </w:tcPr>
          <w:p>
            <w:pPr>
              <w:pStyle w:val="152"/>
              <w:spacing w:line="240" w:lineRule="auto"/>
              <w:ind w:firstLine="0" w:firstLineChars="0"/>
              <w:rPr>
                <w:kern w:val="0"/>
                <w:szCs w:val="21"/>
              </w:rPr>
            </w:pPr>
            <w:r>
              <w:rPr>
                <w:rFonts w:hint="eastAsia"/>
                <w:kern w:val="0"/>
                <w:szCs w:val="21"/>
              </w:rPr>
              <w:t>地面保持干燥，尤其下雨天要加强管理，入口处放置地滑警示牌，防止行人摔伤，确秩序维护全。</w:t>
            </w:r>
          </w:p>
        </w:tc>
        <w:tc>
          <w:tcPr>
            <w:tcW w:w="611" w:type="dxa"/>
            <w:vAlign w:val="center"/>
          </w:tcPr>
          <w:p>
            <w:pPr>
              <w:pStyle w:val="152"/>
              <w:spacing w:line="240" w:lineRule="auto"/>
              <w:ind w:firstLine="0" w:firstLineChars="0"/>
              <w:rPr>
                <w:kern w:val="0"/>
                <w:szCs w:val="21"/>
              </w:rPr>
            </w:pPr>
            <w:r>
              <w:rPr>
                <w:rFonts w:hint="eastAsia"/>
                <w:kern w:val="0"/>
                <w:szCs w:val="21"/>
              </w:rPr>
              <w:t>3</w:t>
            </w:r>
          </w:p>
        </w:tc>
        <w:tc>
          <w:tcPr>
            <w:tcW w:w="4034" w:type="dxa"/>
            <w:vAlign w:val="center"/>
          </w:tcPr>
          <w:p>
            <w:pPr>
              <w:pStyle w:val="152"/>
              <w:spacing w:line="240" w:lineRule="auto"/>
              <w:ind w:firstLine="0" w:firstLineChars="0"/>
              <w:rPr>
                <w:kern w:val="0"/>
                <w:szCs w:val="21"/>
              </w:rPr>
            </w:pPr>
            <w:r>
              <w:rPr>
                <w:rFonts w:hint="eastAsia"/>
                <w:kern w:val="0"/>
                <w:szCs w:val="21"/>
              </w:rPr>
              <w:t>未设置警示牌，每次扣1分。因地面有水或其他果皮等致使人摔伤全扣，并且承担由此引发的责任。直至该项分值扣完为止。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51" w:type="dxa"/>
            <w:vMerge w:val="continue"/>
          </w:tcPr>
          <w:p>
            <w:pPr>
              <w:pStyle w:val="152"/>
              <w:spacing w:line="240" w:lineRule="auto"/>
              <w:ind w:firstLine="0" w:firstLineChars="0"/>
              <w:rPr>
                <w:kern w:val="0"/>
                <w:szCs w:val="21"/>
              </w:rPr>
            </w:pPr>
          </w:p>
        </w:tc>
        <w:tc>
          <w:tcPr>
            <w:tcW w:w="3544" w:type="dxa"/>
            <w:vAlign w:val="center"/>
          </w:tcPr>
          <w:p>
            <w:pPr>
              <w:pStyle w:val="152"/>
              <w:spacing w:line="240" w:lineRule="auto"/>
              <w:ind w:firstLine="0" w:firstLineChars="0"/>
              <w:rPr>
                <w:kern w:val="0"/>
                <w:szCs w:val="21"/>
              </w:rPr>
            </w:pPr>
            <w:r>
              <w:rPr>
                <w:rFonts w:hint="eastAsia"/>
                <w:kern w:val="0"/>
                <w:szCs w:val="21"/>
              </w:rPr>
              <w:t>垃圾做到日产日清，垃圾桶每三天至少清洗一次，外露面无垃圾附着。</w:t>
            </w:r>
          </w:p>
        </w:tc>
        <w:tc>
          <w:tcPr>
            <w:tcW w:w="611" w:type="dxa"/>
            <w:vAlign w:val="center"/>
          </w:tcPr>
          <w:p>
            <w:pPr>
              <w:pStyle w:val="152"/>
              <w:spacing w:line="240" w:lineRule="auto"/>
              <w:ind w:firstLine="0" w:firstLineChars="0"/>
              <w:rPr>
                <w:kern w:val="0"/>
                <w:szCs w:val="21"/>
              </w:rPr>
            </w:pPr>
            <w:r>
              <w:rPr>
                <w:rFonts w:hint="eastAsia"/>
                <w:kern w:val="0"/>
                <w:szCs w:val="21"/>
              </w:rPr>
              <w:t>3</w:t>
            </w:r>
          </w:p>
        </w:tc>
        <w:tc>
          <w:tcPr>
            <w:tcW w:w="4034" w:type="dxa"/>
            <w:vAlign w:val="center"/>
          </w:tcPr>
          <w:p>
            <w:pPr>
              <w:pStyle w:val="152"/>
              <w:spacing w:line="240" w:lineRule="auto"/>
              <w:ind w:firstLine="0" w:firstLineChars="0"/>
              <w:rPr>
                <w:kern w:val="0"/>
                <w:szCs w:val="21"/>
              </w:rPr>
            </w:pPr>
            <w:r>
              <w:rPr>
                <w:rFonts w:hint="eastAsia"/>
                <w:kern w:val="0"/>
                <w:szCs w:val="21"/>
              </w:rPr>
              <w:t>一项未做到扣1分。直至该项分值扣完为止。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51" w:type="dxa"/>
            <w:vMerge w:val="continue"/>
          </w:tcPr>
          <w:p>
            <w:pPr>
              <w:pStyle w:val="152"/>
              <w:spacing w:line="240" w:lineRule="auto"/>
              <w:ind w:firstLine="0" w:firstLineChars="0"/>
              <w:rPr>
                <w:kern w:val="0"/>
                <w:szCs w:val="21"/>
              </w:rPr>
            </w:pPr>
          </w:p>
        </w:tc>
        <w:tc>
          <w:tcPr>
            <w:tcW w:w="3544" w:type="dxa"/>
            <w:vAlign w:val="center"/>
          </w:tcPr>
          <w:p>
            <w:pPr>
              <w:pStyle w:val="152"/>
              <w:spacing w:line="240" w:lineRule="auto"/>
              <w:ind w:firstLine="0" w:firstLineChars="0"/>
              <w:rPr>
                <w:kern w:val="0"/>
                <w:szCs w:val="21"/>
              </w:rPr>
            </w:pPr>
            <w:r>
              <w:rPr>
                <w:rFonts w:hint="eastAsia"/>
                <w:kern w:val="0"/>
                <w:szCs w:val="21"/>
              </w:rPr>
              <w:t>路面无明显泥沙、污垢，无1cm以上的石子，每100平方米纸屑不超过3处。</w:t>
            </w:r>
          </w:p>
        </w:tc>
        <w:tc>
          <w:tcPr>
            <w:tcW w:w="611" w:type="dxa"/>
            <w:vAlign w:val="center"/>
          </w:tcPr>
          <w:p>
            <w:pPr>
              <w:pStyle w:val="152"/>
              <w:spacing w:line="240" w:lineRule="auto"/>
              <w:ind w:firstLine="0" w:firstLineChars="0"/>
              <w:rPr>
                <w:kern w:val="0"/>
                <w:szCs w:val="21"/>
              </w:rPr>
            </w:pPr>
            <w:r>
              <w:rPr>
                <w:kern w:val="0"/>
                <w:szCs w:val="21"/>
              </w:rPr>
              <w:t>3</w:t>
            </w:r>
          </w:p>
        </w:tc>
        <w:tc>
          <w:tcPr>
            <w:tcW w:w="4034" w:type="dxa"/>
            <w:vAlign w:val="center"/>
          </w:tcPr>
          <w:p>
            <w:pPr>
              <w:pStyle w:val="152"/>
              <w:spacing w:line="240" w:lineRule="auto"/>
              <w:ind w:firstLine="0" w:firstLineChars="0"/>
              <w:rPr>
                <w:kern w:val="0"/>
                <w:szCs w:val="21"/>
              </w:rPr>
            </w:pPr>
            <w:r>
              <w:rPr>
                <w:rFonts w:hint="eastAsia"/>
                <w:kern w:val="0"/>
                <w:szCs w:val="21"/>
              </w:rPr>
              <w:t>不符合扣1分。直至该项分值扣完为止。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51" w:type="dxa"/>
            <w:vMerge w:val="continue"/>
          </w:tcPr>
          <w:p>
            <w:pPr>
              <w:pStyle w:val="152"/>
              <w:spacing w:line="240" w:lineRule="auto"/>
              <w:ind w:firstLine="0" w:firstLineChars="0"/>
              <w:rPr>
                <w:kern w:val="0"/>
                <w:szCs w:val="21"/>
              </w:rPr>
            </w:pPr>
          </w:p>
        </w:tc>
        <w:tc>
          <w:tcPr>
            <w:tcW w:w="3544" w:type="dxa"/>
            <w:vAlign w:val="center"/>
          </w:tcPr>
          <w:p>
            <w:pPr>
              <w:pStyle w:val="152"/>
              <w:spacing w:line="240" w:lineRule="auto"/>
              <w:ind w:firstLine="0" w:firstLineChars="0"/>
              <w:rPr>
                <w:kern w:val="0"/>
                <w:szCs w:val="21"/>
              </w:rPr>
            </w:pPr>
            <w:r>
              <w:rPr>
                <w:rFonts w:hint="eastAsia"/>
                <w:kern w:val="0"/>
                <w:szCs w:val="21"/>
              </w:rPr>
              <w:t>绿化丛中无烟盒、饮料瓶盒、塑料袋等垃圾。</w:t>
            </w:r>
          </w:p>
        </w:tc>
        <w:tc>
          <w:tcPr>
            <w:tcW w:w="611" w:type="dxa"/>
            <w:vAlign w:val="center"/>
          </w:tcPr>
          <w:p>
            <w:pPr>
              <w:pStyle w:val="152"/>
              <w:spacing w:line="240" w:lineRule="auto"/>
              <w:ind w:firstLine="0" w:firstLineChars="0"/>
              <w:rPr>
                <w:kern w:val="0"/>
                <w:szCs w:val="21"/>
              </w:rPr>
            </w:pPr>
            <w:r>
              <w:rPr>
                <w:rFonts w:hint="eastAsia"/>
                <w:kern w:val="0"/>
                <w:szCs w:val="21"/>
              </w:rPr>
              <w:t>3</w:t>
            </w:r>
          </w:p>
        </w:tc>
        <w:tc>
          <w:tcPr>
            <w:tcW w:w="4034" w:type="dxa"/>
            <w:vAlign w:val="center"/>
          </w:tcPr>
          <w:p>
            <w:pPr>
              <w:pStyle w:val="152"/>
              <w:spacing w:line="240" w:lineRule="auto"/>
              <w:ind w:firstLine="0" w:firstLineChars="0"/>
              <w:rPr>
                <w:kern w:val="0"/>
                <w:szCs w:val="21"/>
              </w:rPr>
            </w:pPr>
            <w:r>
              <w:rPr>
                <w:rFonts w:hint="eastAsia"/>
                <w:kern w:val="0"/>
                <w:szCs w:val="21"/>
              </w:rPr>
              <w:t>发现一处扣1分。直至该项分值扣完为止。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51" w:type="dxa"/>
            <w:vMerge w:val="continue"/>
          </w:tcPr>
          <w:p>
            <w:pPr>
              <w:pStyle w:val="152"/>
              <w:spacing w:line="240" w:lineRule="auto"/>
              <w:ind w:firstLine="0" w:firstLineChars="0"/>
              <w:rPr>
                <w:kern w:val="0"/>
                <w:szCs w:val="21"/>
              </w:rPr>
            </w:pPr>
          </w:p>
        </w:tc>
        <w:tc>
          <w:tcPr>
            <w:tcW w:w="3544" w:type="dxa"/>
            <w:vAlign w:val="center"/>
          </w:tcPr>
          <w:p>
            <w:pPr>
              <w:pStyle w:val="152"/>
              <w:spacing w:line="240" w:lineRule="auto"/>
              <w:ind w:firstLine="0" w:firstLineChars="0"/>
              <w:rPr>
                <w:kern w:val="0"/>
                <w:szCs w:val="21"/>
              </w:rPr>
            </w:pPr>
            <w:r>
              <w:rPr>
                <w:rFonts w:hint="eastAsia"/>
                <w:kern w:val="0"/>
                <w:szCs w:val="21"/>
              </w:rPr>
              <w:t>滴水檐无乱堆放杂物，无垃圾、无污渍、无青苔、无积水。</w:t>
            </w:r>
          </w:p>
        </w:tc>
        <w:tc>
          <w:tcPr>
            <w:tcW w:w="611" w:type="dxa"/>
            <w:vAlign w:val="center"/>
          </w:tcPr>
          <w:p>
            <w:pPr>
              <w:pStyle w:val="152"/>
              <w:spacing w:line="240" w:lineRule="auto"/>
              <w:ind w:firstLine="0" w:firstLineChars="0"/>
              <w:rPr>
                <w:kern w:val="0"/>
                <w:szCs w:val="21"/>
              </w:rPr>
            </w:pPr>
            <w:r>
              <w:rPr>
                <w:rFonts w:hint="eastAsia"/>
                <w:kern w:val="0"/>
                <w:szCs w:val="21"/>
              </w:rPr>
              <w:t>2</w:t>
            </w:r>
          </w:p>
        </w:tc>
        <w:tc>
          <w:tcPr>
            <w:tcW w:w="4034" w:type="dxa"/>
            <w:vAlign w:val="center"/>
          </w:tcPr>
          <w:p>
            <w:pPr>
              <w:pStyle w:val="152"/>
              <w:spacing w:line="240" w:lineRule="auto"/>
              <w:ind w:firstLine="0" w:firstLineChars="0"/>
              <w:rPr>
                <w:kern w:val="0"/>
                <w:szCs w:val="21"/>
              </w:rPr>
            </w:pPr>
            <w:r>
              <w:rPr>
                <w:rFonts w:hint="eastAsia"/>
                <w:kern w:val="0"/>
                <w:szCs w:val="21"/>
              </w:rPr>
              <w:t>发现一处扣1分。直至该项分值扣完为止。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51" w:type="dxa"/>
            <w:vMerge w:val="continue"/>
          </w:tcPr>
          <w:p>
            <w:pPr>
              <w:pStyle w:val="152"/>
              <w:spacing w:line="240" w:lineRule="auto"/>
              <w:ind w:firstLine="0" w:firstLineChars="0"/>
              <w:rPr>
                <w:kern w:val="0"/>
                <w:szCs w:val="21"/>
              </w:rPr>
            </w:pPr>
          </w:p>
        </w:tc>
        <w:tc>
          <w:tcPr>
            <w:tcW w:w="3544" w:type="dxa"/>
            <w:vAlign w:val="center"/>
          </w:tcPr>
          <w:p>
            <w:pPr>
              <w:pStyle w:val="152"/>
              <w:spacing w:line="240" w:lineRule="auto"/>
              <w:ind w:firstLine="0" w:firstLineChars="0"/>
              <w:rPr>
                <w:kern w:val="0"/>
                <w:szCs w:val="21"/>
              </w:rPr>
            </w:pPr>
            <w:r>
              <w:rPr>
                <w:rFonts w:hint="eastAsia"/>
                <w:kern w:val="0"/>
                <w:szCs w:val="21"/>
              </w:rPr>
              <w:t>各明沟无垃圾、无青苔，畅通。</w:t>
            </w:r>
          </w:p>
        </w:tc>
        <w:tc>
          <w:tcPr>
            <w:tcW w:w="611" w:type="dxa"/>
            <w:vAlign w:val="center"/>
          </w:tcPr>
          <w:p>
            <w:pPr>
              <w:pStyle w:val="152"/>
              <w:spacing w:line="240" w:lineRule="auto"/>
              <w:ind w:firstLine="0" w:firstLineChars="0"/>
              <w:rPr>
                <w:kern w:val="0"/>
                <w:szCs w:val="21"/>
              </w:rPr>
            </w:pPr>
            <w:r>
              <w:rPr>
                <w:rFonts w:hint="eastAsia"/>
                <w:kern w:val="0"/>
                <w:szCs w:val="21"/>
              </w:rPr>
              <w:t>2</w:t>
            </w:r>
          </w:p>
        </w:tc>
        <w:tc>
          <w:tcPr>
            <w:tcW w:w="4034" w:type="dxa"/>
            <w:vAlign w:val="center"/>
          </w:tcPr>
          <w:p>
            <w:pPr>
              <w:pStyle w:val="152"/>
              <w:spacing w:line="240" w:lineRule="auto"/>
              <w:ind w:firstLine="0" w:firstLineChars="0"/>
              <w:rPr>
                <w:kern w:val="0"/>
                <w:szCs w:val="21"/>
              </w:rPr>
            </w:pPr>
            <w:r>
              <w:rPr>
                <w:rFonts w:hint="eastAsia"/>
                <w:kern w:val="0"/>
                <w:szCs w:val="21"/>
              </w:rPr>
              <w:t>一条沟不符合扣1分，直至该项分值扣完为止。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51" w:type="dxa"/>
            <w:vMerge w:val="continue"/>
          </w:tcPr>
          <w:p>
            <w:pPr>
              <w:pStyle w:val="152"/>
              <w:spacing w:line="240" w:lineRule="auto"/>
              <w:ind w:firstLine="0" w:firstLineChars="0"/>
              <w:rPr>
                <w:kern w:val="0"/>
                <w:szCs w:val="21"/>
              </w:rPr>
            </w:pPr>
          </w:p>
        </w:tc>
        <w:tc>
          <w:tcPr>
            <w:tcW w:w="3544" w:type="dxa"/>
            <w:vAlign w:val="center"/>
          </w:tcPr>
          <w:p>
            <w:pPr>
              <w:pStyle w:val="152"/>
              <w:spacing w:line="240" w:lineRule="auto"/>
              <w:ind w:firstLine="0" w:firstLineChars="0"/>
              <w:rPr>
                <w:kern w:val="0"/>
                <w:szCs w:val="21"/>
              </w:rPr>
            </w:pPr>
            <w:r>
              <w:rPr>
                <w:rFonts w:hint="eastAsia"/>
                <w:kern w:val="0"/>
                <w:szCs w:val="21"/>
              </w:rPr>
              <w:t>确保无卫生死角。</w:t>
            </w:r>
          </w:p>
        </w:tc>
        <w:tc>
          <w:tcPr>
            <w:tcW w:w="611" w:type="dxa"/>
            <w:vAlign w:val="center"/>
          </w:tcPr>
          <w:p>
            <w:pPr>
              <w:pStyle w:val="152"/>
              <w:spacing w:line="240" w:lineRule="auto"/>
              <w:ind w:firstLine="0" w:firstLineChars="0"/>
              <w:rPr>
                <w:kern w:val="0"/>
                <w:szCs w:val="21"/>
              </w:rPr>
            </w:pPr>
            <w:r>
              <w:rPr>
                <w:rFonts w:hint="eastAsia"/>
                <w:kern w:val="0"/>
                <w:szCs w:val="21"/>
              </w:rPr>
              <w:t>3</w:t>
            </w:r>
          </w:p>
        </w:tc>
        <w:tc>
          <w:tcPr>
            <w:tcW w:w="4034" w:type="dxa"/>
            <w:vAlign w:val="center"/>
          </w:tcPr>
          <w:p>
            <w:pPr>
              <w:pStyle w:val="152"/>
              <w:spacing w:line="240" w:lineRule="auto"/>
              <w:ind w:firstLine="0" w:firstLineChars="0"/>
              <w:rPr>
                <w:kern w:val="0"/>
                <w:szCs w:val="21"/>
              </w:rPr>
            </w:pPr>
            <w:r>
              <w:rPr>
                <w:rFonts w:hint="eastAsia"/>
                <w:kern w:val="0"/>
                <w:szCs w:val="21"/>
              </w:rPr>
              <w:t>一处扣1分，直至该项分值扣完为止。</w:t>
            </w:r>
          </w:p>
        </w:tc>
      </w:tr>
    </w:tbl>
    <w:p>
      <w:pPr>
        <w:rPr>
          <w:szCs w:val="21"/>
        </w:rPr>
      </w:pPr>
    </w:p>
    <w:p>
      <w:pPr>
        <w:ind w:firstLine="562" w:firstLineChars="200"/>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包件3：</w:t>
      </w:r>
    </w:p>
    <w:p>
      <w:pPr>
        <w:pStyle w:val="152"/>
        <w:spacing w:line="240" w:lineRule="auto"/>
        <w:ind w:firstLine="420"/>
        <w:rPr>
          <w:szCs w:val="21"/>
        </w:rPr>
      </w:pPr>
      <w:r>
        <w:rPr>
          <w:rFonts w:hint="eastAsia"/>
          <w:szCs w:val="21"/>
        </w:rPr>
        <w:t>1.第11中学</w:t>
      </w:r>
    </w:p>
    <w:tbl>
      <w:tblPr>
        <w:tblStyle w:val="43"/>
        <w:tblpPr w:leftFromText="180" w:rightFromText="180" w:vertAnchor="text" w:horzAnchor="page" w:tblpX="1879" w:tblpY="402"/>
        <w:tblOverlap w:val="never"/>
        <w:tblW w:w="83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5"/>
        <w:gridCol w:w="3456"/>
        <w:gridCol w:w="791"/>
        <w:gridCol w:w="3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35" w:type="dxa"/>
            <w:vAlign w:val="center"/>
          </w:tcPr>
          <w:p>
            <w:pPr>
              <w:pStyle w:val="152"/>
              <w:spacing w:line="240" w:lineRule="auto"/>
              <w:ind w:firstLine="0" w:firstLineChars="0"/>
              <w:rPr>
                <w:kern w:val="0"/>
                <w:szCs w:val="21"/>
              </w:rPr>
            </w:pPr>
            <w:r>
              <w:rPr>
                <w:rFonts w:hint="eastAsia"/>
                <w:kern w:val="0"/>
                <w:szCs w:val="21"/>
              </w:rPr>
              <w:t>项目</w:t>
            </w:r>
          </w:p>
        </w:tc>
        <w:tc>
          <w:tcPr>
            <w:tcW w:w="3456" w:type="dxa"/>
            <w:vAlign w:val="center"/>
          </w:tcPr>
          <w:p>
            <w:pPr>
              <w:pStyle w:val="152"/>
              <w:spacing w:line="240" w:lineRule="auto"/>
              <w:ind w:firstLine="0" w:firstLineChars="0"/>
              <w:rPr>
                <w:kern w:val="0"/>
                <w:szCs w:val="21"/>
              </w:rPr>
            </w:pPr>
            <w:r>
              <w:rPr>
                <w:rFonts w:hint="eastAsia"/>
                <w:kern w:val="0"/>
                <w:szCs w:val="21"/>
              </w:rPr>
              <w:t>服务质量标准</w:t>
            </w:r>
          </w:p>
        </w:tc>
        <w:tc>
          <w:tcPr>
            <w:tcW w:w="791" w:type="dxa"/>
            <w:vAlign w:val="center"/>
          </w:tcPr>
          <w:p>
            <w:pPr>
              <w:pStyle w:val="152"/>
              <w:spacing w:line="240" w:lineRule="auto"/>
              <w:ind w:firstLine="0" w:firstLineChars="0"/>
              <w:rPr>
                <w:kern w:val="0"/>
                <w:szCs w:val="21"/>
              </w:rPr>
            </w:pPr>
            <w:r>
              <w:rPr>
                <w:rFonts w:hint="eastAsia"/>
                <w:kern w:val="0"/>
                <w:szCs w:val="21"/>
              </w:rPr>
              <w:t>单项</w:t>
            </w:r>
          </w:p>
          <w:p>
            <w:pPr>
              <w:pStyle w:val="152"/>
              <w:spacing w:line="240" w:lineRule="auto"/>
              <w:ind w:firstLine="0" w:firstLineChars="0"/>
              <w:rPr>
                <w:kern w:val="0"/>
                <w:szCs w:val="21"/>
              </w:rPr>
            </w:pPr>
            <w:r>
              <w:rPr>
                <w:rFonts w:hint="eastAsia"/>
                <w:kern w:val="0"/>
                <w:szCs w:val="21"/>
              </w:rPr>
              <w:t>分值</w:t>
            </w:r>
          </w:p>
        </w:tc>
        <w:tc>
          <w:tcPr>
            <w:tcW w:w="3473" w:type="dxa"/>
            <w:vAlign w:val="center"/>
          </w:tcPr>
          <w:p>
            <w:pPr>
              <w:pStyle w:val="152"/>
              <w:spacing w:line="240" w:lineRule="auto"/>
              <w:ind w:firstLine="0" w:firstLineChars="0"/>
              <w:rPr>
                <w:kern w:val="0"/>
                <w:szCs w:val="21"/>
              </w:rPr>
            </w:pPr>
            <w:r>
              <w:rPr>
                <w:rFonts w:hint="eastAsia"/>
                <w:kern w:val="0"/>
                <w:szCs w:val="21"/>
              </w:rPr>
              <w:t>监督考评扣分标准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35" w:type="dxa"/>
            <w:vMerge w:val="restart"/>
            <w:vAlign w:val="center"/>
          </w:tcPr>
          <w:p>
            <w:pPr>
              <w:pStyle w:val="152"/>
              <w:spacing w:line="240" w:lineRule="auto"/>
              <w:ind w:firstLine="0" w:firstLineChars="0"/>
              <w:rPr>
                <w:kern w:val="0"/>
                <w:szCs w:val="21"/>
              </w:rPr>
            </w:pPr>
            <w:r>
              <w:rPr>
                <w:rFonts w:hint="eastAsia"/>
                <w:kern w:val="0"/>
                <w:szCs w:val="21"/>
              </w:rPr>
              <w:t>主管</w:t>
            </w:r>
          </w:p>
          <w:p>
            <w:pPr>
              <w:pStyle w:val="152"/>
              <w:spacing w:line="240" w:lineRule="auto"/>
              <w:ind w:firstLine="0" w:firstLineChars="0"/>
              <w:rPr>
                <w:kern w:val="0"/>
                <w:szCs w:val="21"/>
              </w:rPr>
            </w:pPr>
            <w:r>
              <w:rPr>
                <w:rFonts w:hint="eastAsia"/>
                <w:kern w:val="0"/>
                <w:szCs w:val="21"/>
              </w:rPr>
              <w:t>(10分）</w:t>
            </w:r>
          </w:p>
        </w:tc>
        <w:tc>
          <w:tcPr>
            <w:tcW w:w="3456" w:type="dxa"/>
            <w:vAlign w:val="center"/>
          </w:tcPr>
          <w:p>
            <w:pPr>
              <w:pStyle w:val="152"/>
              <w:spacing w:line="240" w:lineRule="auto"/>
              <w:ind w:firstLine="0" w:firstLineChars="0"/>
              <w:rPr>
                <w:kern w:val="0"/>
                <w:szCs w:val="21"/>
              </w:rPr>
            </w:pPr>
            <w:r>
              <w:rPr>
                <w:rFonts w:hint="eastAsia"/>
                <w:kern w:val="0"/>
                <w:szCs w:val="21"/>
              </w:rPr>
              <w:t>工作日在岗情况</w:t>
            </w:r>
          </w:p>
        </w:tc>
        <w:tc>
          <w:tcPr>
            <w:tcW w:w="791" w:type="dxa"/>
            <w:vAlign w:val="center"/>
          </w:tcPr>
          <w:p>
            <w:pPr>
              <w:pStyle w:val="152"/>
              <w:spacing w:line="240" w:lineRule="auto"/>
              <w:ind w:firstLine="0" w:firstLineChars="0"/>
              <w:rPr>
                <w:kern w:val="0"/>
                <w:szCs w:val="21"/>
              </w:rPr>
            </w:pPr>
            <w:r>
              <w:rPr>
                <w:rFonts w:hint="eastAsia"/>
                <w:kern w:val="0"/>
                <w:szCs w:val="21"/>
              </w:rPr>
              <w:t>4分</w:t>
            </w:r>
          </w:p>
        </w:tc>
        <w:tc>
          <w:tcPr>
            <w:tcW w:w="3473" w:type="dxa"/>
            <w:vAlign w:val="center"/>
          </w:tcPr>
          <w:p>
            <w:pPr>
              <w:pStyle w:val="152"/>
              <w:spacing w:line="240" w:lineRule="auto"/>
              <w:ind w:firstLine="0" w:firstLineChars="0"/>
              <w:rPr>
                <w:kern w:val="0"/>
                <w:szCs w:val="21"/>
              </w:rPr>
            </w:pPr>
            <w:r>
              <w:rPr>
                <w:rFonts w:hint="eastAsia"/>
                <w:kern w:val="0"/>
                <w:szCs w:val="21"/>
              </w:rPr>
              <w:t>缺岗一次扣1分,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35" w:type="dxa"/>
            <w:vMerge w:val="continue"/>
            <w:vAlign w:val="center"/>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对位点员工的日常工作督促和检查情况</w:t>
            </w:r>
          </w:p>
        </w:tc>
        <w:tc>
          <w:tcPr>
            <w:tcW w:w="791" w:type="dxa"/>
            <w:vAlign w:val="center"/>
          </w:tcPr>
          <w:p>
            <w:pPr>
              <w:pStyle w:val="152"/>
              <w:spacing w:line="240" w:lineRule="auto"/>
              <w:ind w:firstLine="0" w:firstLineChars="0"/>
              <w:rPr>
                <w:kern w:val="0"/>
                <w:szCs w:val="21"/>
              </w:rPr>
            </w:pPr>
            <w:r>
              <w:rPr>
                <w:rFonts w:hint="eastAsia"/>
                <w:kern w:val="0"/>
                <w:szCs w:val="21"/>
              </w:rPr>
              <w:t>3</w:t>
            </w:r>
          </w:p>
        </w:tc>
        <w:tc>
          <w:tcPr>
            <w:tcW w:w="3473" w:type="dxa"/>
            <w:vAlign w:val="center"/>
          </w:tcPr>
          <w:p>
            <w:pPr>
              <w:pStyle w:val="152"/>
              <w:spacing w:line="240" w:lineRule="auto"/>
              <w:ind w:firstLine="0" w:firstLineChars="0"/>
              <w:rPr>
                <w:kern w:val="0"/>
                <w:szCs w:val="21"/>
              </w:rPr>
            </w:pPr>
            <w:r>
              <w:rPr>
                <w:rFonts w:hint="eastAsia"/>
                <w:kern w:val="0"/>
                <w:szCs w:val="21"/>
              </w:rPr>
              <w:t xml:space="preserve">对员工疏于管理\检查不到位,一次扣 </w:t>
            </w:r>
            <w:r>
              <w:rPr>
                <w:kern w:val="0"/>
                <w:szCs w:val="21"/>
              </w:rPr>
              <w:t xml:space="preserve"> </w:t>
            </w:r>
            <w:r>
              <w:rPr>
                <w:rFonts w:hint="eastAsia"/>
                <w:kern w:val="0"/>
                <w:szCs w:val="21"/>
              </w:rPr>
              <w:t>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35" w:type="dxa"/>
            <w:vMerge w:val="continue"/>
            <w:vAlign w:val="center"/>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对员工的培训</w:t>
            </w:r>
          </w:p>
        </w:tc>
        <w:tc>
          <w:tcPr>
            <w:tcW w:w="791" w:type="dxa"/>
            <w:vAlign w:val="center"/>
          </w:tcPr>
          <w:p>
            <w:pPr>
              <w:pStyle w:val="152"/>
              <w:spacing w:line="240" w:lineRule="auto"/>
              <w:ind w:firstLine="0" w:firstLineChars="0"/>
              <w:rPr>
                <w:kern w:val="0"/>
                <w:szCs w:val="21"/>
              </w:rPr>
            </w:pPr>
            <w:r>
              <w:rPr>
                <w:rFonts w:hint="eastAsia"/>
                <w:kern w:val="0"/>
                <w:szCs w:val="21"/>
              </w:rPr>
              <w:t>3</w:t>
            </w:r>
          </w:p>
        </w:tc>
        <w:tc>
          <w:tcPr>
            <w:tcW w:w="3473" w:type="dxa"/>
            <w:vAlign w:val="center"/>
          </w:tcPr>
          <w:p>
            <w:pPr>
              <w:pStyle w:val="152"/>
              <w:spacing w:line="240" w:lineRule="auto"/>
              <w:ind w:firstLine="0" w:firstLineChars="0"/>
              <w:rPr>
                <w:kern w:val="0"/>
                <w:szCs w:val="21"/>
              </w:rPr>
            </w:pPr>
            <w:r>
              <w:rPr>
                <w:rFonts w:hint="eastAsia"/>
                <w:kern w:val="0"/>
                <w:szCs w:val="21"/>
              </w:rPr>
              <w:t>对员工的相关技能和礼仪培训不到位,一次扣 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35" w:type="dxa"/>
            <w:vMerge w:val="restart"/>
            <w:vAlign w:val="center"/>
          </w:tcPr>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r>
              <w:rPr>
                <w:rFonts w:hint="eastAsia"/>
                <w:kern w:val="0"/>
                <w:szCs w:val="21"/>
              </w:rPr>
              <w:t>安全保卫管理</w:t>
            </w:r>
          </w:p>
          <w:p>
            <w:pPr>
              <w:pStyle w:val="152"/>
              <w:spacing w:line="240" w:lineRule="auto"/>
              <w:ind w:firstLine="0" w:firstLineChars="0"/>
              <w:rPr>
                <w:kern w:val="0"/>
                <w:szCs w:val="21"/>
              </w:rPr>
            </w:pPr>
            <w:r>
              <w:rPr>
                <w:rFonts w:hint="eastAsia"/>
                <w:kern w:val="0"/>
                <w:szCs w:val="21"/>
              </w:rPr>
              <w:t>（22分）</w:t>
            </w:r>
          </w:p>
        </w:tc>
        <w:tc>
          <w:tcPr>
            <w:tcW w:w="3456" w:type="dxa"/>
            <w:vAlign w:val="center"/>
          </w:tcPr>
          <w:p>
            <w:pPr>
              <w:pStyle w:val="152"/>
              <w:spacing w:line="240" w:lineRule="auto"/>
              <w:ind w:firstLine="0" w:firstLineChars="0"/>
              <w:rPr>
                <w:kern w:val="0"/>
                <w:szCs w:val="21"/>
              </w:rPr>
            </w:pPr>
            <w:r>
              <w:rPr>
                <w:rFonts w:hint="eastAsia"/>
                <w:kern w:val="0"/>
                <w:szCs w:val="21"/>
              </w:rPr>
              <w:t>所聘用的秩序维护人员必须训练有素，有秩序维护队全管理制度和职责，安全防患措施，确秩序维护全稳定。</w:t>
            </w:r>
          </w:p>
        </w:tc>
        <w:tc>
          <w:tcPr>
            <w:tcW w:w="791" w:type="dxa"/>
            <w:vAlign w:val="center"/>
          </w:tcPr>
          <w:p>
            <w:pPr>
              <w:pStyle w:val="152"/>
              <w:spacing w:line="240" w:lineRule="auto"/>
              <w:ind w:firstLine="0" w:firstLineChars="0"/>
              <w:rPr>
                <w:kern w:val="0"/>
                <w:szCs w:val="21"/>
              </w:rPr>
            </w:pPr>
            <w:r>
              <w:rPr>
                <w:rFonts w:hint="eastAsia"/>
                <w:kern w:val="0"/>
                <w:szCs w:val="21"/>
              </w:rPr>
              <w:t>3</w:t>
            </w:r>
          </w:p>
        </w:tc>
        <w:tc>
          <w:tcPr>
            <w:tcW w:w="3473" w:type="dxa"/>
            <w:vAlign w:val="center"/>
          </w:tcPr>
          <w:p>
            <w:pPr>
              <w:pStyle w:val="152"/>
              <w:spacing w:line="240" w:lineRule="auto"/>
              <w:ind w:firstLine="0" w:firstLineChars="0"/>
              <w:rPr>
                <w:kern w:val="0"/>
                <w:szCs w:val="21"/>
              </w:rPr>
            </w:pPr>
            <w:r>
              <w:rPr>
                <w:rFonts w:hint="eastAsia"/>
                <w:kern w:val="0"/>
                <w:szCs w:val="21"/>
              </w:rPr>
              <w:t>管理制度、职责、措施不健全每项扣 分，发生安全事故一次扣0.5分，发生重大安全事故扣1分。直至该项分值扣完为止。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秩序维护队员必须熟悉物业环境，上班时按规定着装和佩戴装备，文明值勤，不与职工、到访人员发生矛盾和冲突。</w:t>
            </w:r>
          </w:p>
        </w:tc>
        <w:tc>
          <w:tcPr>
            <w:tcW w:w="791" w:type="dxa"/>
            <w:vAlign w:val="center"/>
          </w:tcPr>
          <w:p>
            <w:pPr>
              <w:pStyle w:val="152"/>
              <w:spacing w:line="240" w:lineRule="auto"/>
              <w:ind w:firstLine="0" w:firstLineChars="0"/>
              <w:rPr>
                <w:kern w:val="0"/>
                <w:szCs w:val="21"/>
              </w:rPr>
            </w:pPr>
            <w:r>
              <w:rPr>
                <w:rFonts w:hint="eastAsia"/>
                <w:kern w:val="0"/>
                <w:szCs w:val="21"/>
              </w:rPr>
              <w:t>3</w:t>
            </w:r>
          </w:p>
        </w:tc>
        <w:tc>
          <w:tcPr>
            <w:tcW w:w="3473" w:type="dxa"/>
            <w:vAlign w:val="center"/>
          </w:tcPr>
          <w:p>
            <w:pPr>
              <w:pStyle w:val="152"/>
              <w:spacing w:line="240" w:lineRule="auto"/>
              <w:ind w:firstLine="0" w:firstLineChars="0"/>
              <w:rPr>
                <w:kern w:val="0"/>
                <w:szCs w:val="21"/>
              </w:rPr>
            </w:pPr>
            <w:r>
              <w:rPr>
                <w:rFonts w:hint="eastAsia"/>
                <w:kern w:val="0"/>
                <w:szCs w:val="21"/>
              </w:rPr>
              <w:t>发现一名队员着装不整齐扣分，不礼貌扣0.5分，无理与他人发生冲突一次扣1分，发生两次建议辞退。直至该项分值扣完为止。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秩序维护必须实行24小时值班巡逻，认真履行职责，机动灵活，加强重点区域和人少到的部位巡逻。</w:t>
            </w:r>
          </w:p>
        </w:tc>
        <w:tc>
          <w:tcPr>
            <w:tcW w:w="791" w:type="dxa"/>
            <w:vAlign w:val="center"/>
          </w:tcPr>
          <w:p>
            <w:pPr>
              <w:pStyle w:val="152"/>
              <w:spacing w:line="240" w:lineRule="auto"/>
              <w:ind w:firstLine="0" w:firstLineChars="0"/>
              <w:rPr>
                <w:kern w:val="0"/>
                <w:szCs w:val="21"/>
              </w:rPr>
            </w:pPr>
            <w:r>
              <w:rPr>
                <w:rFonts w:hint="eastAsia"/>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查值班巡逻日志，当值发生事件无记录扣1分，记录不规范扣0.5分，如反映巡逻不到位一次扣1分，巡逻乘座电梯一次扣0分。直至该项分值扣完为止。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做好重大活动会议的安全保卫工作，圆满完成交办的任务。</w:t>
            </w:r>
          </w:p>
        </w:tc>
        <w:tc>
          <w:tcPr>
            <w:tcW w:w="791" w:type="dxa"/>
            <w:vAlign w:val="center"/>
          </w:tcPr>
          <w:p>
            <w:pPr>
              <w:pStyle w:val="152"/>
              <w:spacing w:line="240" w:lineRule="auto"/>
              <w:ind w:firstLine="0" w:firstLineChars="0"/>
              <w:rPr>
                <w:kern w:val="0"/>
                <w:szCs w:val="21"/>
              </w:rPr>
            </w:pPr>
            <w:r>
              <w:rPr>
                <w:rFonts w:hint="eastAsia"/>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因安全保卫工作失误，造成不良影响扣1分。直至该项分值扣完为止。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严格执行登记制度，凡进入机关办公楼的外来人员应询问来访目的，查验有关证件，并进行登记。</w:t>
            </w:r>
          </w:p>
        </w:tc>
        <w:tc>
          <w:tcPr>
            <w:tcW w:w="791" w:type="dxa"/>
            <w:vAlign w:val="center"/>
          </w:tcPr>
          <w:p>
            <w:pPr>
              <w:pStyle w:val="152"/>
              <w:spacing w:line="240" w:lineRule="auto"/>
              <w:ind w:firstLine="0" w:firstLineChars="0"/>
              <w:rPr>
                <w:kern w:val="0"/>
                <w:szCs w:val="21"/>
              </w:rPr>
            </w:pPr>
            <w:r>
              <w:rPr>
                <w:rFonts w:hint="eastAsia"/>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未登记每人扣0.5分，扣完为止。直至该项分值扣完为止。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定期组织安全教育；积时发现各类安全隐患，确保不发生物品被盗和各类案件及安全事故。</w:t>
            </w:r>
          </w:p>
        </w:tc>
        <w:tc>
          <w:tcPr>
            <w:tcW w:w="791" w:type="dxa"/>
            <w:vAlign w:val="center"/>
          </w:tcPr>
          <w:p>
            <w:pPr>
              <w:pStyle w:val="152"/>
              <w:spacing w:line="240" w:lineRule="auto"/>
              <w:ind w:firstLine="0" w:firstLineChars="0"/>
              <w:rPr>
                <w:kern w:val="0"/>
                <w:szCs w:val="21"/>
              </w:rPr>
            </w:pPr>
            <w:r>
              <w:rPr>
                <w:rFonts w:hint="eastAsia"/>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无安全教育（查记录）扣0.5分，发生手机钱包被盗事件一次扣1分。发生财产被盗案或秩序维护员内部自盗一次扣1分，并追究管理管理人员的责任。直至该项分值扣完为止。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协助搬运家具时，必须轻移轻放，无损坏家具和地板。</w:t>
            </w:r>
          </w:p>
        </w:tc>
        <w:tc>
          <w:tcPr>
            <w:tcW w:w="791" w:type="dxa"/>
            <w:vAlign w:val="center"/>
          </w:tcPr>
          <w:p>
            <w:pPr>
              <w:pStyle w:val="152"/>
              <w:spacing w:line="240" w:lineRule="auto"/>
              <w:ind w:firstLine="0" w:firstLineChars="0"/>
              <w:rPr>
                <w:kern w:val="0"/>
                <w:szCs w:val="21"/>
              </w:rPr>
            </w:pPr>
            <w:r>
              <w:rPr>
                <w:rFonts w:hint="eastAsia"/>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造成家具或地板损坏扣0.2分，并承担10%维修费用。直至该项分值扣完为止。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做好停车场的管理，正确疏导机动车辆进出、泊车，提醒车主关好车辆门窗，上锁，防止车辆碰撞、损坏等问题发生。</w:t>
            </w:r>
          </w:p>
        </w:tc>
        <w:tc>
          <w:tcPr>
            <w:tcW w:w="791" w:type="dxa"/>
            <w:vAlign w:val="center"/>
          </w:tcPr>
          <w:p>
            <w:pPr>
              <w:pStyle w:val="152"/>
              <w:spacing w:line="240" w:lineRule="auto"/>
              <w:ind w:firstLine="0" w:firstLineChars="0"/>
              <w:rPr>
                <w:kern w:val="0"/>
                <w:szCs w:val="21"/>
              </w:rPr>
            </w:pPr>
            <w:r>
              <w:rPr>
                <w:rFonts w:hint="eastAsia"/>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发现乱停放车辆，一辆扣0.2分；发生车辆碰撞，碰撞、损坏一次扣0.5分，并由管理公司承担相应责任。直至该项分值扣完为止。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引导非机动车辆集中停放，停放整齐，场地洁净，落实管理制度，确秩序维护全，严防损坏与丢失。</w:t>
            </w:r>
          </w:p>
        </w:tc>
        <w:tc>
          <w:tcPr>
            <w:tcW w:w="791" w:type="dxa"/>
            <w:vAlign w:val="center"/>
          </w:tcPr>
          <w:p>
            <w:pPr>
              <w:pStyle w:val="152"/>
              <w:spacing w:line="240" w:lineRule="auto"/>
              <w:ind w:firstLine="0" w:firstLineChars="0"/>
              <w:rPr>
                <w:kern w:val="0"/>
                <w:szCs w:val="21"/>
              </w:rPr>
            </w:pPr>
            <w:r>
              <w:rPr>
                <w:rFonts w:hint="eastAsia"/>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一项不符合扣0.2分；发生损坏或丢失一次扣0.5分，并由管理公司承担相应责任。直至该项分值扣完为止。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门卫岗位，严格执勤，维护进出车辆秩序，不与车主发生冲突。</w:t>
            </w:r>
          </w:p>
        </w:tc>
        <w:tc>
          <w:tcPr>
            <w:tcW w:w="791" w:type="dxa"/>
            <w:vAlign w:val="center"/>
          </w:tcPr>
          <w:p>
            <w:pPr>
              <w:pStyle w:val="152"/>
              <w:spacing w:line="240" w:lineRule="auto"/>
              <w:ind w:firstLine="0" w:firstLineChars="0"/>
              <w:rPr>
                <w:kern w:val="0"/>
                <w:szCs w:val="21"/>
              </w:rPr>
            </w:pPr>
            <w:r>
              <w:rPr>
                <w:rFonts w:hint="eastAsia"/>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发生一起扣0.2分，直至该项分值扣完为止。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能熟练掌握消防设施设备的使用方法。</w:t>
            </w:r>
          </w:p>
        </w:tc>
        <w:tc>
          <w:tcPr>
            <w:tcW w:w="791" w:type="dxa"/>
            <w:vAlign w:val="center"/>
          </w:tcPr>
          <w:p>
            <w:pPr>
              <w:pStyle w:val="152"/>
              <w:spacing w:line="240" w:lineRule="auto"/>
              <w:ind w:firstLine="0" w:firstLineChars="0"/>
              <w:rPr>
                <w:kern w:val="0"/>
                <w:szCs w:val="21"/>
              </w:rPr>
            </w:pPr>
            <w:r>
              <w:rPr>
                <w:rFonts w:hint="eastAsia"/>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不会使用操作扣0.5分，不熟练扣0.2分，直至该项分值扣完为止。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能正确果断处理各种火险、火灾以及救护程序。</w:t>
            </w:r>
          </w:p>
        </w:tc>
        <w:tc>
          <w:tcPr>
            <w:tcW w:w="791" w:type="dxa"/>
            <w:vAlign w:val="center"/>
          </w:tcPr>
          <w:p>
            <w:pPr>
              <w:pStyle w:val="152"/>
              <w:spacing w:line="240" w:lineRule="auto"/>
              <w:ind w:firstLine="0" w:firstLineChars="0"/>
              <w:rPr>
                <w:kern w:val="0"/>
                <w:szCs w:val="21"/>
              </w:rPr>
            </w:pPr>
            <w:r>
              <w:rPr>
                <w:rFonts w:hint="eastAsia"/>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不会扣0.2分，直至该项分值扣完为止。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严格消防管理制度，认真巡查火险隐患，确保无火灾事故发生。</w:t>
            </w:r>
          </w:p>
        </w:tc>
        <w:tc>
          <w:tcPr>
            <w:tcW w:w="791" w:type="dxa"/>
            <w:vAlign w:val="center"/>
          </w:tcPr>
          <w:p>
            <w:pPr>
              <w:pStyle w:val="152"/>
              <w:spacing w:line="240" w:lineRule="auto"/>
              <w:ind w:firstLine="0" w:firstLineChars="0"/>
              <w:rPr>
                <w:kern w:val="0"/>
                <w:szCs w:val="21"/>
              </w:rPr>
            </w:pPr>
            <w:r>
              <w:rPr>
                <w:rFonts w:hint="eastAsia"/>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检查一处有隐患扣0.2分，发生火灾事故扣1分，并追究责任。直至该项分值扣完为止。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各种消防设施定期检查保养、维护，确保无缺损，保障正常运行。</w:t>
            </w:r>
          </w:p>
        </w:tc>
        <w:tc>
          <w:tcPr>
            <w:tcW w:w="791" w:type="dxa"/>
            <w:vAlign w:val="center"/>
          </w:tcPr>
          <w:p>
            <w:pPr>
              <w:pStyle w:val="152"/>
              <w:spacing w:line="240" w:lineRule="auto"/>
              <w:ind w:firstLine="0" w:firstLineChars="0"/>
              <w:rPr>
                <w:kern w:val="0"/>
                <w:szCs w:val="21"/>
              </w:rPr>
            </w:pPr>
            <w:r>
              <w:rPr>
                <w:rFonts w:hint="eastAsia"/>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无保养扣0.5分，一处运行障碍扣0.2分，一处缺或损坏扣0.2分。直至该项分值扣完为止。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trPr>
        <w:tc>
          <w:tcPr>
            <w:tcW w:w="635" w:type="dxa"/>
            <w:vMerge w:val="restart"/>
            <w:vAlign w:val="center"/>
          </w:tcPr>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r>
              <w:rPr>
                <w:rFonts w:hint="eastAsia"/>
                <w:kern w:val="0"/>
                <w:szCs w:val="21"/>
              </w:rPr>
              <w:t>清洁卫生管理</w:t>
            </w:r>
          </w:p>
          <w:p>
            <w:pPr>
              <w:pStyle w:val="152"/>
              <w:spacing w:line="240" w:lineRule="auto"/>
              <w:ind w:firstLine="0" w:firstLineChars="0"/>
              <w:rPr>
                <w:kern w:val="0"/>
                <w:szCs w:val="21"/>
              </w:rPr>
            </w:pPr>
            <w:r>
              <w:rPr>
                <w:rFonts w:hint="eastAsia"/>
                <w:kern w:val="0"/>
                <w:szCs w:val="21"/>
              </w:rPr>
              <w:t>（16分）</w:t>
            </w:r>
          </w:p>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清洁保洁责任划分到人，责任范围清洁达到标准化。清洁员着装统一，工作细致，形象良好。</w:t>
            </w:r>
          </w:p>
        </w:tc>
        <w:tc>
          <w:tcPr>
            <w:tcW w:w="791" w:type="dxa"/>
            <w:vAlign w:val="center"/>
          </w:tcPr>
          <w:p>
            <w:pPr>
              <w:pStyle w:val="152"/>
              <w:spacing w:line="240" w:lineRule="auto"/>
              <w:ind w:firstLine="0" w:firstLineChars="0"/>
              <w:rPr>
                <w:kern w:val="0"/>
                <w:szCs w:val="21"/>
              </w:rPr>
            </w:pPr>
            <w:r>
              <w:rPr>
                <w:rFonts w:hint="eastAsia"/>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未明确责任到人，一处扣0.2分。一处未达到标准保洁扣0.1分。直至该项分值扣完为止。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各责任区域门窗干净明亮、清爽；地面无纸屑、果皮、灰尘、杂物和污渍；垃圾筒纸篓内的垃圾不能超过三分之二。</w:t>
            </w:r>
          </w:p>
        </w:tc>
        <w:tc>
          <w:tcPr>
            <w:tcW w:w="791" w:type="dxa"/>
            <w:vAlign w:val="center"/>
          </w:tcPr>
          <w:p>
            <w:pPr>
              <w:pStyle w:val="152"/>
              <w:spacing w:line="240" w:lineRule="auto"/>
              <w:ind w:firstLine="0" w:firstLineChars="0"/>
              <w:rPr>
                <w:kern w:val="0"/>
                <w:szCs w:val="21"/>
              </w:rPr>
            </w:pPr>
            <w:r>
              <w:rPr>
                <w:rFonts w:hint="eastAsia"/>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一个责任区域一项未做到扣0.2分，直至该项分值扣完为止。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各洗手间清洁明亮，无积水，无污渍，无异味。</w:t>
            </w:r>
          </w:p>
        </w:tc>
        <w:tc>
          <w:tcPr>
            <w:tcW w:w="791" w:type="dxa"/>
            <w:vAlign w:val="center"/>
          </w:tcPr>
          <w:p>
            <w:pPr>
              <w:pStyle w:val="152"/>
              <w:spacing w:line="240" w:lineRule="auto"/>
              <w:ind w:firstLine="0" w:firstLineChars="0"/>
              <w:rPr>
                <w:kern w:val="0"/>
                <w:szCs w:val="21"/>
              </w:rPr>
            </w:pPr>
            <w:r>
              <w:rPr>
                <w:rFonts w:hint="eastAsia"/>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一个洗手间一项不符合扣0.2分。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用专用清洁布擦拭饮水设备，无污渍。</w:t>
            </w:r>
          </w:p>
        </w:tc>
        <w:tc>
          <w:tcPr>
            <w:tcW w:w="791" w:type="dxa"/>
            <w:vAlign w:val="center"/>
          </w:tcPr>
          <w:p>
            <w:pPr>
              <w:pStyle w:val="152"/>
              <w:spacing w:line="240" w:lineRule="auto"/>
              <w:ind w:firstLine="0" w:firstLineChars="0"/>
              <w:rPr>
                <w:kern w:val="0"/>
                <w:szCs w:val="21"/>
              </w:rPr>
            </w:pPr>
            <w:r>
              <w:rPr>
                <w:rFonts w:hint="eastAsia"/>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一处饮水设备不符合扣0.2分。直至该项分值扣完为止。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地面保持干燥，尤其下雨天要加强管理，入口处放置地滑警示牌，防止行人摔伤，确秩序维护全。</w:t>
            </w:r>
          </w:p>
        </w:tc>
        <w:tc>
          <w:tcPr>
            <w:tcW w:w="791" w:type="dxa"/>
            <w:vAlign w:val="center"/>
          </w:tcPr>
          <w:p>
            <w:pPr>
              <w:pStyle w:val="152"/>
              <w:spacing w:line="240" w:lineRule="auto"/>
              <w:ind w:firstLine="0" w:firstLineChars="0"/>
              <w:rPr>
                <w:kern w:val="0"/>
                <w:szCs w:val="21"/>
              </w:rPr>
            </w:pPr>
            <w:r>
              <w:rPr>
                <w:rFonts w:hint="eastAsia"/>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未设置警示牌，每次扣0.2分。因地面有水或其他果皮等致使人摔伤全扣，并且承担由此引发的责任。直至该项分值扣完为止。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垃圾做到日产日清，垃圾桶每三天至少清洗一次，外露面无垃圾附着。</w:t>
            </w:r>
          </w:p>
        </w:tc>
        <w:tc>
          <w:tcPr>
            <w:tcW w:w="791" w:type="dxa"/>
            <w:vAlign w:val="center"/>
          </w:tcPr>
          <w:p>
            <w:pPr>
              <w:pStyle w:val="152"/>
              <w:spacing w:line="240" w:lineRule="auto"/>
              <w:ind w:firstLine="0" w:firstLineChars="0"/>
              <w:rPr>
                <w:kern w:val="0"/>
                <w:szCs w:val="21"/>
              </w:rPr>
            </w:pPr>
            <w:r>
              <w:rPr>
                <w:rFonts w:hint="eastAsia"/>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一项未做到扣0.2分。直至该项分值扣完为止。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路面无明显泥沙、污垢，无1cm以上的石子，每100平方米烟头纸屑不超过3处。</w:t>
            </w:r>
          </w:p>
        </w:tc>
        <w:tc>
          <w:tcPr>
            <w:tcW w:w="791" w:type="dxa"/>
            <w:vAlign w:val="center"/>
          </w:tcPr>
          <w:p>
            <w:pPr>
              <w:pStyle w:val="152"/>
              <w:spacing w:line="240" w:lineRule="auto"/>
              <w:ind w:firstLine="0" w:firstLineChars="0"/>
              <w:rPr>
                <w:kern w:val="0"/>
                <w:szCs w:val="21"/>
              </w:rPr>
            </w:pPr>
            <w:r>
              <w:rPr>
                <w:rFonts w:hint="eastAsia"/>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不符合扣0.2分。直至该项分值扣完为止。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绿化丛中无烟盒、饮料瓶盒、塑料袋等垃圾。</w:t>
            </w:r>
          </w:p>
        </w:tc>
        <w:tc>
          <w:tcPr>
            <w:tcW w:w="791" w:type="dxa"/>
            <w:vAlign w:val="center"/>
          </w:tcPr>
          <w:p>
            <w:pPr>
              <w:pStyle w:val="152"/>
              <w:spacing w:line="240" w:lineRule="auto"/>
              <w:ind w:firstLine="0" w:firstLineChars="0"/>
              <w:rPr>
                <w:kern w:val="0"/>
                <w:szCs w:val="21"/>
              </w:rPr>
            </w:pPr>
            <w:r>
              <w:rPr>
                <w:rFonts w:hint="eastAsia"/>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发现一处扣0.1分。直至该项分值扣完为止。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滴水檐无乱堆放杂物，无垃圾、无污渍、无青苔、无积水。</w:t>
            </w:r>
          </w:p>
        </w:tc>
        <w:tc>
          <w:tcPr>
            <w:tcW w:w="791" w:type="dxa"/>
            <w:vAlign w:val="center"/>
          </w:tcPr>
          <w:p>
            <w:pPr>
              <w:pStyle w:val="152"/>
              <w:spacing w:line="240" w:lineRule="auto"/>
              <w:ind w:firstLine="0" w:firstLineChars="0"/>
              <w:rPr>
                <w:kern w:val="0"/>
                <w:szCs w:val="21"/>
              </w:rPr>
            </w:pPr>
            <w:r>
              <w:rPr>
                <w:rFonts w:hint="eastAsia"/>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发现一处扣0.1分。直至该项分值扣完为止。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各明沟无垃圾、无青苔，畅通。</w:t>
            </w:r>
          </w:p>
        </w:tc>
        <w:tc>
          <w:tcPr>
            <w:tcW w:w="791" w:type="dxa"/>
            <w:vAlign w:val="center"/>
          </w:tcPr>
          <w:p>
            <w:pPr>
              <w:pStyle w:val="152"/>
              <w:spacing w:line="240" w:lineRule="auto"/>
              <w:ind w:firstLine="0" w:firstLineChars="0"/>
              <w:rPr>
                <w:kern w:val="0"/>
                <w:szCs w:val="21"/>
              </w:rPr>
            </w:pPr>
            <w:r>
              <w:rPr>
                <w:rFonts w:hint="eastAsia"/>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一条沟不符合扣0.1分，直至该项分值扣完为止。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确保无卫生死角。</w:t>
            </w:r>
          </w:p>
        </w:tc>
        <w:tc>
          <w:tcPr>
            <w:tcW w:w="791" w:type="dxa"/>
            <w:vAlign w:val="center"/>
          </w:tcPr>
          <w:p>
            <w:pPr>
              <w:pStyle w:val="152"/>
              <w:spacing w:line="240" w:lineRule="auto"/>
              <w:ind w:firstLine="0" w:firstLineChars="0"/>
              <w:rPr>
                <w:kern w:val="0"/>
                <w:szCs w:val="21"/>
              </w:rPr>
            </w:pPr>
            <w:r>
              <w:rPr>
                <w:rFonts w:hint="eastAsia"/>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一处扣0.1分，直至该项分值扣完为止。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35" w:type="dxa"/>
            <w:vMerge w:val="restart"/>
            <w:vAlign w:val="center"/>
          </w:tcPr>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r>
              <w:rPr>
                <w:rFonts w:hint="eastAsia"/>
                <w:kern w:val="0"/>
                <w:szCs w:val="21"/>
              </w:rPr>
              <w:t>水电 (维修、锅炉)工作</w:t>
            </w:r>
          </w:p>
          <w:p>
            <w:pPr>
              <w:pStyle w:val="152"/>
              <w:spacing w:line="240" w:lineRule="auto"/>
              <w:ind w:firstLine="0" w:firstLineChars="0"/>
              <w:rPr>
                <w:kern w:val="0"/>
                <w:szCs w:val="21"/>
              </w:rPr>
            </w:pPr>
            <w:r>
              <w:rPr>
                <w:rFonts w:hint="eastAsia"/>
                <w:kern w:val="0"/>
                <w:szCs w:val="21"/>
              </w:rPr>
              <w:t>（12分）</w:t>
            </w:r>
          </w:p>
        </w:tc>
        <w:tc>
          <w:tcPr>
            <w:tcW w:w="3456" w:type="dxa"/>
            <w:vAlign w:val="center"/>
          </w:tcPr>
          <w:p>
            <w:pPr>
              <w:pStyle w:val="152"/>
              <w:spacing w:line="240" w:lineRule="auto"/>
              <w:ind w:firstLine="0" w:firstLineChars="0"/>
              <w:rPr>
                <w:kern w:val="0"/>
                <w:szCs w:val="21"/>
              </w:rPr>
            </w:pPr>
            <w:r>
              <w:rPr>
                <w:rFonts w:hint="eastAsia"/>
                <w:kern w:val="0"/>
                <w:szCs w:val="21"/>
              </w:rPr>
              <w:t>做好设备其附属设施的保养，协助做好维修工作。</w:t>
            </w:r>
          </w:p>
        </w:tc>
        <w:tc>
          <w:tcPr>
            <w:tcW w:w="791" w:type="dxa"/>
            <w:vAlign w:val="center"/>
          </w:tcPr>
          <w:p>
            <w:pPr>
              <w:pStyle w:val="152"/>
              <w:spacing w:line="240" w:lineRule="auto"/>
              <w:ind w:firstLine="0" w:firstLineChars="0"/>
              <w:rPr>
                <w:kern w:val="0"/>
                <w:szCs w:val="21"/>
              </w:rPr>
            </w:pPr>
            <w:r>
              <w:rPr>
                <w:rFonts w:hint="eastAsia"/>
                <w:kern w:val="0"/>
                <w:szCs w:val="21"/>
              </w:rPr>
              <w:t>4</w:t>
            </w:r>
          </w:p>
        </w:tc>
        <w:tc>
          <w:tcPr>
            <w:tcW w:w="3473" w:type="dxa"/>
            <w:vAlign w:val="center"/>
          </w:tcPr>
          <w:p>
            <w:pPr>
              <w:pStyle w:val="152"/>
              <w:spacing w:line="240" w:lineRule="auto"/>
              <w:ind w:firstLine="0" w:firstLineChars="0"/>
              <w:rPr>
                <w:kern w:val="0"/>
                <w:szCs w:val="21"/>
              </w:rPr>
            </w:pPr>
            <w:r>
              <w:rPr>
                <w:rFonts w:hint="eastAsia"/>
                <w:kern w:val="0"/>
                <w:szCs w:val="21"/>
              </w:rPr>
              <w:t>因设备损坏，未及时维修影响工作，扣1 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做好煤气、水电的计量记录，降低消耗，保持设备的正常运行。</w:t>
            </w:r>
          </w:p>
        </w:tc>
        <w:tc>
          <w:tcPr>
            <w:tcW w:w="791" w:type="dxa"/>
            <w:vAlign w:val="center"/>
          </w:tcPr>
          <w:p>
            <w:pPr>
              <w:pStyle w:val="152"/>
              <w:spacing w:line="240" w:lineRule="auto"/>
              <w:ind w:firstLine="0" w:firstLineChars="0"/>
              <w:rPr>
                <w:kern w:val="0"/>
                <w:szCs w:val="21"/>
              </w:rPr>
            </w:pPr>
            <w:r>
              <w:rPr>
                <w:rFonts w:hint="eastAsia"/>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浪费水电、煤气，扣0.2分/次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保证各项设备清洁，仪表显示清晰准确，工具摆放整齐。</w:t>
            </w:r>
          </w:p>
        </w:tc>
        <w:tc>
          <w:tcPr>
            <w:tcW w:w="791" w:type="dxa"/>
            <w:vAlign w:val="center"/>
          </w:tcPr>
          <w:p>
            <w:pPr>
              <w:pStyle w:val="152"/>
              <w:spacing w:line="240" w:lineRule="auto"/>
              <w:ind w:firstLine="0" w:firstLineChars="0"/>
              <w:rPr>
                <w:kern w:val="0"/>
                <w:szCs w:val="21"/>
              </w:rPr>
            </w:pPr>
            <w:r>
              <w:rPr>
                <w:rFonts w:hint="eastAsia"/>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未达到要求，扣0.1分/次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认真学习各项有关法规，努力钻研业务，提高技术水平。</w:t>
            </w:r>
          </w:p>
        </w:tc>
        <w:tc>
          <w:tcPr>
            <w:tcW w:w="791" w:type="dxa"/>
            <w:vAlign w:val="center"/>
          </w:tcPr>
          <w:p>
            <w:pPr>
              <w:pStyle w:val="152"/>
              <w:spacing w:line="240" w:lineRule="auto"/>
              <w:ind w:firstLine="0" w:firstLineChars="0"/>
              <w:rPr>
                <w:kern w:val="0"/>
                <w:szCs w:val="21"/>
              </w:rPr>
            </w:pPr>
            <w:r>
              <w:rPr>
                <w:rFonts w:hint="eastAsia"/>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未达到要求，扣0.2分/次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配合锅炉年检，事前做好清灰等准备工作。</w:t>
            </w:r>
          </w:p>
        </w:tc>
        <w:tc>
          <w:tcPr>
            <w:tcW w:w="791" w:type="dxa"/>
            <w:vAlign w:val="center"/>
          </w:tcPr>
          <w:p>
            <w:pPr>
              <w:pStyle w:val="152"/>
              <w:spacing w:line="240" w:lineRule="auto"/>
              <w:ind w:firstLine="0" w:firstLineChars="0"/>
              <w:rPr>
                <w:kern w:val="0"/>
                <w:szCs w:val="21"/>
              </w:rPr>
            </w:pPr>
            <w:r>
              <w:rPr>
                <w:rFonts w:hint="eastAsia"/>
                <w:kern w:val="0"/>
                <w:szCs w:val="21"/>
              </w:rPr>
              <w:t>0</w:t>
            </w:r>
          </w:p>
        </w:tc>
        <w:tc>
          <w:tcPr>
            <w:tcW w:w="3473" w:type="dxa"/>
            <w:vAlign w:val="center"/>
          </w:tcPr>
          <w:p>
            <w:pPr>
              <w:pStyle w:val="152"/>
              <w:spacing w:line="240" w:lineRule="auto"/>
              <w:ind w:firstLine="0" w:firstLineChars="0"/>
              <w:rPr>
                <w:kern w:val="0"/>
                <w:szCs w:val="21"/>
              </w:rPr>
            </w:pPr>
            <w:r>
              <w:rPr>
                <w:rFonts w:hint="eastAsia"/>
                <w:kern w:val="0"/>
                <w:szCs w:val="21"/>
              </w:rPr>
              <w:t>未达到要求，，扣0分/次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对相关设备及其附属设备经常进行巡回检查；认真填写各种记录发现故障应及时处置，并报告学校主管部门。</w:t>
            </w:r>
          </w:p>
        </w:tc>
        <w:tc>
          <w:tcPr>
            <w:tcW w:w="791" w:type="dxa"/>
            <w:vAlign w:val="center"/>
          </w:tcPr>
          <w:p>
            <w:pPr>
              <w:pStyle w:val="152"/>
              <w:spacing w:line="240" w:lineRule="auto"/>
              <w:ind w:firstLine="0" w:firstLineChars="0"/>
              <w:rPr>
                <w:kern w:val="0"/>
                <w:szCs w:val="21"/>
              </w:rPr>
            </w:pPr>
            <w:r>
              <w:rPr>
                <w:rFonts w:hint="eastAsia"/>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因检查、记录不及时，影响工作，扣0.2分/次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严格执行安全操作规程，严格遵守劳动纪律，不做与本职工作无关的事。</w:t>
            </w:r>
          </w:p>
        </w:tc>
        <w:tc>
          <w:tcPr>
            <w:tcW w:w="791" w:type="dxa"/>
            <w:vAlign w:val="center"/>
          </w:tcPr>
          <w:p>
            <w:pPr>
              <w:pStyle w:val="152"/>
              <w:spacing w:line="240" w:lineRule="auto"/>
              <w:ind w:firstLine="0" w:firstLineChars="0"/>
              <w:rPr>
                <w:kern w:val="0"/>
                <w:szCs w:val="21"/>
              </w:rPr>
            </w:pPr>
            <w:r>
              <w:rPr>
                <w:rFonts w:hint="eastAsia"/>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不遵守纪律和不按规定操作，造成损失和影响的，扣0.2分/次，损失严重的还要赔偿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35" w:type="dxa"/>
            <w:vMerge w:val="restart"/>
          </w:tcPr>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r>
              <w:rPr>
                <w:rFonts w:hint="eastAsia"/>
                <w:kern w:val="0"/>
                <w:szCs w:val="21"/>
              </w:rPr>
              <w:t>宿舍管理工作（15分）</w:t>
            </w:r>
          </w:p>
        </w:tc>
        <w:tc>
          <w:tcPr>
            <w:tcW w:w="3456" w:type="dxa"/>
            <w:vAlign w:val="center"/>
          </w:tcPr>
          <w:p>
            <w:pPr>
              <w:pStyle w:val="152"/>
              <w:spacing w:line="240" w:lineRule="auto"/>
              <w:ind w:firstLine="0" w:firstLineChars="0"/>
              <w:rPr>
                <w:kern w:val="0"/>
                <w:szCs w:val="21"/>
              </w:rPr>
            </w:pPr>
            <w:r>
              <w:rPr>
                <w:rFonts w:hint="eastAsia"/>
                <w:kern w:val="0"/>
                <w:szCs w:val="21"/>
              </w:rPr>
              <w:t xml:space="preserve">服务态度好，善于沟通，注重服务质量， </w:t>
            </w:r>
          </w:p>
          <w:p>
            <w:pPr>
              <w:pStyle w:val="152"/>
              <w:spacing w:line="240" w:lineRule="auto"/>
              <w:ind w:firstLine="0" w:firstLineChars="0"/>
              <w:rPr>
                <w:kern w:val="0"/>
                <w:szCs w:val="21"/>
              </w:rPr>
            </w:pPr>
          </w:p>
        </w:tc>
        <w:tc>
          <w:tcPr>
            <w:tcW w:w="791" w:type="dxa"/>
            <w:vAlign w:val="center"/>
          </w:tcPr>
          <w:p>
            <w:pPr>
              <w:pStyle w:val="152"/>
              <w:spacing w:line="240" w:lineRule="auto"/>
              <w:ind w:firstLine="0" w:firstLineChars="0"/>
              <w:rPr>
                <w:kern w:val="0"/>
                <w:szCs w:val="21"/>
              </w:rPr>
            </w:pPr>
            <w:r>
              <w:rPr>
                <w:rFonts w:hint="eastAsia"/>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因服务态度差、工作失职、在师生、家长中造成不良影响，被举报投诉经查实，视情节每次扣0.5分以上，严重者予以解聘。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同事间团结、协作， 办事效率高</w:t>
            </w:r>
          </w:p>
          <w:p>
            <w:pPr>
              <w:pStyle w:val="152"/>
              <w:spacing w:line="240" w:lineRule="auto"/>
              <w:ind w:firstLine="0" w:firstLineChars="0"/>
              <w:rPr>
                <w:kern w:val="0"/>
                <w:szCs w:val="21"/>
              </w:rPr>
            </w:pPr>
          </w:p>
        </w:tc>
        <w:tc>
          <w:tcPr>
            <w:tcW w:w="791" w:type="dxa"/>
            <w:vAlign w:val="center"/>
          </w:tcPr>
          <w:p>
            <w:pPr>
              <w:pStyle w:val="152"/>
              <w:spacing w:line="240" w:lineRule="auto"/>
              <w:ind w:firstLine="0" w:firstLineChars="0"/>
              <w:rPr>
                <w:kern w:val="0"/>
                <w:szCs w:val="21"/>
              </w:rPr>
            </w:pPr>
            <w:r>
              <w:rPr>
                <w:rFonts w:hint="eastAsia"/>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不得发生争吵等现象，发生争吵每人次扣0.5分，打架每人次扣1分。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 xml:space="preserve">认真完成学校领导交办的各项任务，不拖延、不推诿、不敷衍、不顶撞，更不准暗中对抗， </w:t>
            </w:r>
          </w:p>
        </w:tc>
        <w:tc>
          <w:tcPr>
            <w:tcW w:w="791" w:type="dxa"/>
            <w:vAlign w:val="center"/>
          </w:tcPr>
          <w:p>
            <w:pPr>
              <w:pStyle w:val="152"/>
              <w:spacing w:line="240" w:lineRule="auto"/>
              <w:ind w:firstLine="0" w:firstLineChars="0"/>
              <w:rPr>
                <w:kern w:val="0"/>
                <w:szCs w:val="21"/>
              </w:rPr>
            </w:pPr>
            <w:r>
              <w:rPr>
                <w:rFonts w:hint="eastAsia"/>
                <w:kern w:val="0"/>
                <w:szCs w:val="21"/>
              </w:rPr>
              <w:t>3</w:t>
            </w:r>
          </w:p>
        </w:tc>
        <w:tc>
          <w:tcPr>
            <w:tcW w:w="3473" w:type="dxa"/>
            <w:vAlign w:val="center"/>
          </w:tcPr>
          <w:p>
            <w:pPr>
              <w:pStyle w:val="152"/>
              <w:spacing w:line="240" w:lineRule="auto"/>
              <w:ind w:firstLine="0" w:firstLineChars="0"/>
              <w:rPr>
                <w:kern w:val="0"/>
                <w:szCs w:val="21"/>
              </w:rPr>
            </w:pPr>
            <w:r>
              <w:rPr>
                <w:rFonts w:hint="eastAsia"/>
                <w:kern w:val="0"/>
                <w:szCs w:val="21"/>
              </w:rPr>
              <w:t>如发现，视情节每次扣0.5分以上。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室内外卫生：要求室内外地面干净（走廊、过道、楼梯等每天拖地一次）、整洁，无垃圾，室内卫生间无异味、无积水，墙角、门角无蜘蛛网，所有垃圾即时清理</w:t>
            </w:r>
          </w:p>
        </w:tc>
        <w:tc>
          <w:tcPr>
            <w:tcW w:w="791" w:type="dxa"/>
            <w:vAlign w:val="center"/>
          </w:tcPr>
          <w:p>
            <w:pPr>
              <w:pStyle w:val="152"/>
              <w:spacing w:line="240" w:lineRule="auto"/>
              <w:ind w:firstLine="0" w:firstLineChars="0"/>
              <w:rPr>
                <w:kern w:val="0"/>
                <w:szCs w:val="21"/>
              </w:rPr>
            </w:pPr>
            <w:r>
              <w:rPr>
                <w:rFonts w:hint="eastAsia"/>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未达到要求，每处扣0.2分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 xml:space="preserve">物品摆放及保管：室内所有用品摆放整齐，鞋子、毛巾、洗漱用品等摆放成线，衣物、箱包摆放有序；被褥、枕头、床单、衣物等床上用品叠放成形、统一整齐， </w:t>
            </w:r>
          </w:p>
        </w:tc>
        <w:tc>
          <w:tcPr>
            <w:tcW w:w="791" w:type="dxa"/>
            <w:vAlign w:val="center"/>
          </w:tcPr>
          <w:p>
            <w:pPr>
              <w:pStyle w:val="152"/>
              <w:spacing w:line="240" w:lineRule="auto"/>
              <w:ind w:firstLine="0" w:firstLineChars="0"/>
              <w:rPr>
                <w:kern w:val="0"/>
                <w:szCs w:val="21"/>
              </w:rPr>
            </w:pPr>
            <w:r>
              <w:rPr>
                <w:rFonts w:hint="eastAsia"/>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未达到要求，每处扣0.2分。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财产管理：室内外水、电设施、门窗、床铺、风扇等设施要经常检查，发现损坏即时报告督促维修，发现人为破坏要及时报告，追究责任和赔偿，要及时关水、关电、关风扇，。</w:t>
            </w:r>
          </w:p>
        </w:tc>
        <w:tc>
          <w:tcPr>
            <w:tcW w:w="791" w:type="dxa"/>
            <w:vAlign w:val="center"/>
          </w:tcPr>
          <w:p>
            <w:pPr>
              <w:pStyle w:val="152"/>
              <w:spacing w:line="240" w:lineRule="auto"/>
              <w:ind w:firstLine="0" w:firstLineChars="0"/>
              <w:rPr>
                <w:kern w:val="0"/>
                <w:szCs w:val="21"/>
              </w:rPr>
            </w:pPr>
            <w:r>
              <w:rPr>
                <w:rFonts w:hint="eastAsia"/>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未及时报告公物损坏情况，有浪费行为，发现一次扣0.2分/次。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按照学校作息时间，督促学生按时起床、离寝，按时就寝、熄灯；做到起床迅速、离寝及时，静寝快速。对滞留寝室学生进行登记并报告班主任或德育处。</w:t>
            </w:r>
          </w:p>
        </w:tc>
        <w:tc>
          <w:tcPr>
            <w:tcW w:w="791" w:type="dxa"/>
            <w:vAlign w:val="center"/>
          </w:tcPr>
          <w:p>
            <w:pPr>
              <w:pStyle w:val="152"/>
              <w:spacing w:line="240" w:lineRule="auto"/>
              <w:ind w:firstLine="0" w:firstLineChars="0"/>
              <w:rPr>
                <w:kern w:val="0"/>
                <w:szCs w:val="21"/>
              </w:rPr>
            </w:pPr>
            <w:r>
              <w:rPr>
                <w:rFonts w:hint="eastAsia"/>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未按作息要求管理学生，未及时上报违纪行为，发现一次扣0.2分。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非就寝时间要及时锁好寝室门及宿舍大门，学生有特殊情况在非就寝时间进入寝室须持有班主任批准的请假条方可进入。滞留寝室的学生要分班登记并报告班主任或德育处处理。</w:t>
            </w:r>
          </w:p>
        </w:tc>
        <w:tc>
          <w:tcPr>
            <w:tcW w:w="791" w:type="dxa"/>
            <w:vAlign w:val="center"/>
          </w:tcPr>
          <w:p>
            <w:pPr>
              <w:pStyle w:val="152"/>
              <w:spacing w:line="240" w:lineRule="auto"/>
              <w:ind w:firstLine="0" w:firstLineChars="0"/>
              <w:rPr>
                <w:kern w:val="0"/>
                <w:szCs w:val="21"/>
              </w:rPr>
            </w:pPr>
            <w:r>
              <w:rPr>
                <w:rFonts w:hint="eastAsia"/>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未按时开门、锁门每次扣0.5分，没有请假条让学生进入寝室每人次扣0.5分。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学生晚寝后加强巡视，配合值班行政、班主任查寝，清点人数，防止学生就寝后离寝外出。</w:t>
            </w:r>
          </w:p>
        </w:tc>
        <w:tc>
          <w:tcPr>
            <w:tcW w:w="791" w:type="dxa"/>
            <w:vAlign w:val="center"/>
          </w:tcPr>
          <w:p>
            <w:pPr>
              <w:pStyle w:val="152"/>
              <w:spacing w:line="240" w:lineRule="auto"/>
              <w:ind w:firstLine="0" w:firstLineChars="0"/>
              <w:rPr>
                <w:kern w:val="0"/>
                <w:szCs w:val="21"/>
              </w:rPr>
            </w:pPr>
            <w:r>
              <w:rPr>
                <w:rFonts w:hint="eastAsia"/>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未严格考勤，未达到要求每次扣0.5分。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要及时制止学生在室内抽烟、喝酒、打闹、喧哗、打牌、串寝室等不良行为，根据规定及时向学校反映 。</w:t>
            </w:r>
          </w:p>
        </w:tc>
        <w:tc>
          <w:tcPr>
            <w:tcW w:w="791" w:type="dxa"/>
            <w:vAlign w:val="center"/>
          </w:tcPr>
          <w:p>
            <w:pPr>
              <w:pStyle w:val="152"/>
              <w:spacing w:line="240" w:lineRule="auto"/>
              <w:ind w:firstLine="0" w:firstLineChars="0"/>
              <w:rPr>
                <w:kern w:val="0"/>
                <w:szCs w:val="21"/>
              </w:rPr>
            </w:pPr>
            <w:r>
              <w:rPr>
                <w:rFonts w:hint="eastAsia"/>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没及时制止违纪行为或不报告每次扣 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35" w:type="dxa"/>
            <w:vMerge w:val="restart"/>
          </w:tcPr>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r>
              <w:rPr>
                <w:rFonts w:hint="eastAsia"/>
                <w:kern w:val="0"/>
                <w:szCs w:val="21"/>
              </w:rPr>
              <w:t>晚自习管理（11分）</w:t>
            </w:r>
          </w:p>
        </w:tc>
        <w:tc>
          <w:tcPr>
            <w:tcW w:w="3456" w:type="dxa"/>
          </w:tcPr>
          <w:p>
            <w:pPr>
              <w:pStyle w:val="152"/>
              <w:spacing w:line="240" w:lineRule="auto"/>
              <w:ind w:firstLine="0" w:firstLineChars="0"/>
              <w:rPr>
                <w:kern w:val="0"/>
                <w:szCs w:val="21"/>
              </w:rPr>
            </w:pPr>
            <w:r>
              <w:rPr>
                <w:rFonts w:hint="eastAsia"/>
                <w:kern w:val="0"/>
                <w:szCs w:val="21"/>
              </w:rPr>
              <w:t>个人规范，服装整洁，语言文明，为人师表</w:t>
            </w:r>
          </w:p>
        </w:tc>
        <w:tc>
          <w:tcPr>
            <w:tcW w:w="791" w:type="dxa"/>
            <w:vAlign w:val="center"/>
          </w:tcPr>
          <w:p>
            <w:pPr>
              <w:pStyle w:val="152"/>
              <w:spacing w:line="240" w:lineRule="auto"/>
              <w:ind w:firstLine="0" w:firstLineChars="0"/>
              <w:rPr>
                <w:kern w:val="0"/>
                <w:szCs w:val="21"/>
              </w:rPr>
            </w:pPr>
            <w:r>
              <w:rPr>
                <w:rFonts w:hint="eastAsia"/>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着装不规范，穿背心、拖鞋在教室内走动，扣0.5分/次 ；语言不文明扣0.5分/次。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35" w:type="dxa"/>
            <w:vMerge w:val="continue"/>
          </w:tcPr>
          <w:p>
            <w:pPr>
              <w:pStyle w:val="152"/>
              <w:spacing w:line="240" w:lineRule="auto"/>
              <w:ind w:firstLine="0" w:firstLineChars="0"/>
              <w:rPr>
                <w:kern w:val="0"/>
                <w:szCs w:val="21"/>
              </w:rPr>
            </w:pPr>
          </w:p>
        </w:tc>
        <w:tc>
          <w:tcPr>
            <w:tcW w:w="3456" w:type="dxa"/>
          </w:tcPr>
          <w:p>
            <w:pPr>
              <w:pStyle w:val="152"/>
              <w:spacing w:line="240" w:lineRule="auto"/>
              <w:ind w:firstLine="0" w:firstLineChars="0"/>
              <w:rPr>
                <w:kern w:val="0"/>
                <w:szCs w:val="21"/>
              </w:rPr>
            </w:pPr>
            <w:r>
              <w:rPr>
                <w:rFonts w:hint="eastAsia"/>
                <w:kern w:val="0"/>
                <w:szCs w:val="21"/>
              </w:rPr>
              <w:t>按学校作息时间安排，上班准时， 不擅自脱岗</w:t>
            </w:r>
          </w:p>
        </w:tc>
        <w:tc>
          <w:tcPr>
            <w:tcW w:w="791" w:type="dxa"/>
            <w:vAlign w:val="center"/>
          </w:tcPr>
          <w:p>
            <w:pPr>
              <w:pStyle w:val="152"/>
              <w:spacing w:line="240" w:lineRule="auto"/>
              <w:ind w:firstLine="0" w:firstLineChars="0"/>
              <w:rPr>
                <w:kern w:val="0"/>
                <w:szCs w:val="21"/>
              </w:rPr>
            </w:pPr>
            <w:r>
              <w:rPr>
                <w:rFonts w:hint="eastAsia"/>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迟到扣0.5分/次，擅自脱岗或没有按时到岗发现第三次取消劳动合同或劳务协议。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35" w:type="dxa"/>
            <w:vMerge w:val="continue"/>
          </w:tcPr>
          <w:p>
            <w:pPr>
              <w:pStyle w:val="152"/>
              <w:spacing w:line="240" w:lineRule="auto"/>
              <w:ind w:firstLine="0" w:firstLineChars="0"/>
              <w:rPr>
                <w:kern w:val="0"/>
                <w:szCs w:val="21"/>
              </w:rPr>
            </w:pPr>
          </w:p>
        </w:tc>
        <w:tc>
          <w:tcPr>
            <w:tcW w:w="3456" w:type="dxa"/>
          </w:tcPr>
          <w:p>
            <w:pPr>
              <w:pStyle w:val="152"/>
              <w:spacing w:line="240" w:lineRule="auto"/>
              <w:ind w:firstLine="0" w:firstLineChars="0"/>
              <w:rPr>
                <w:kern w:val="0"/>
                <w:szCs w:val="21"/>
              </w:rPr>
            </w:pPr>
            <w:r>
              <w:rPr>
                <w:rFonts w:hint="eastAsia"/>
                <w:kern w:val="0"/>
                <w:szCs w:val="21"/>
              </w:rPr>
              <w:t>晚自习后，主动安排学生做好教室清洁卫生</w:t>
            </w:r>
          </w:p>
        </w:tc>
        <w:tc>
          <w:tcPr>
            <w:tcW w:w="791" w:type="dxa"/>
            <w:vAlign w:val="center"/>
          </w:tcPr>
          <w:p>
            <w:pPr>
              <w:pStyle w:val="152"/>
              <w:spacing w:line="240" w:lineRule="auto"/>
              <w:ind w:firstLine="0" w:firstLineChars="0"/>
              <w:rPr>
                <w:kern w:val="0"/>
                <w:szCs w:val="21"/>
              </w:rPr>
            </w:pPr>
            <w:r>
              <w:rPr>
                <w:rFonts w:hint="eastAsia"/>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不主动安排学生做好教室清洁卫生扣0.5分/次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35" w:type="dxa"/>
            <w:vMerge w:val="continue"/>
          </w:tcPr>
          <w:p>
            <w:pPr>
              <w:pStyle w:val="152"/>
              <w:spacing w:line="240" w:lineRule="auto"/>
              <w:ind w:firstLine="0" w:firstLineChars="0"/>
              <w:rPr>
                <w:kern w:val="0"/>
                <w:szCs w:val="21"/>
              </w:rPr>
            </w:pPr>
          </w:p>
        </w:tc>
        <w:tc>
          <w:tcPr>
            <w:tcW w:w="3456" w:type="dxa"/>
          </w:tcPr>
          <w:p>
            <w:pPr>
              <w:pStyle w:val="152"/>
              <w:spacing w:line="240" w:lineRule="auto"/>
              <w:ind w:firstLine="0" w:firstLineChars="0"/>
              <w:rPr>
                <w:kern w:val="0"/>
                <w:szCs w:val="21"/>
              </w:rPr>
            </w:pPr>
            <w:r>
              <w:rPr>
                <w:rFonts w:hint="eastAsia"/>
                <w:kern w:val="0"/>
                <w:szCs w:val="21"/>
              </w:rPr>
              <w:t>善于沟通，对学生的违纪行为及时制止</w:t>
            </w:r>
          </w:p>
        </w:tc>
        <w:tc>
          <w:tcPr>
            <w:tcW w:w="791" w:type="dxa"/>
            <w:vAlign w:val="center"/>
          </w:tcPr>
          <w:p>
            <w:pPr>
              <w:pStyle w:val="152"/>
              <w:spacing w:line="240" w:lineRule="auto"/>
              <w:ind w:firstLine="0" w:firstLineChars="0"/>
              <w:rPr>
                <w:kern w:val="0"/>
                <w:szCs w:val="21"/>
              </w:rPr>
            </w:pPr>
            <w:r>
              <w:rPr>
                <w:rFonts w:hint="eastAsia"/>
                <w:kern w:val="0"/>
                <w:szCs w:val="21"/>
              </w:rPr>
              <w:t>3</w:t>
            </w:r>
          </w:p>
        </w:tc>
        <w:tc>
          <w:tcPr>
            <w:tcW w:w="3473" w:type="dxa"/>
            <w:vAlign w:val="center"/>
          </w:tcPr>
          <w:p>
            <w:pPr>
              <w:pStyle w:val="152"/>
              <w:spacing w:line="240" w:lineRule="auto"/>
              <w:ind w:firstLine="0" w:firstLineChars="0"/>
              <w:rPr>
                <w:kern w:val="0"/>
                <w:szCs w:val="21"/>
              </w:rPr>
            </w:pPr>
            <w:r>
              <w:rPr>
                <w:rFonts w:hint="eastAsia"/>
                <w:kern w:val="0"/>
                <w:szCs w:val="21"/>
              </w:rPr>
              <w:t>对学生的违纪视而不见不教育、不干预或者干预不到位扣0.5分/次。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35" w:type="dxa"/>
            <w:vMerge w:val="continue"/>
          </w:tcPr>
          <w:p>
            <w:pPr>
              <w:pStyle w:val="152"/>
              <w:spacing w:line="240" w:lineRule="auto"/>
              <w:ind w:firstLine="0" w:firstLineChars="0"/>
              <w:rPr>
                <w:kern w:val="0"/>
                <w:szCs w:val="21"/>
              </w:rPr>
            </w:pPr>
          </w:p>
        </w:tc>
        <w:tc>
          <w:tcPr>
            <w:tcW w:w="3456" w:type="dxa"/>
          </w:tcPr>
          <w:p>
            <w:pPr>
              <w:pStyle w:val="152"/>
              <w:spacing w:line="240" w:lineRule="auto"/>
              <w:ind w:firstLine="0" w:firstLineChars="0"/>
              <w:rPr>
                <w:kern w:val="0"/>
                <w:szCs w:val="21"/>
              </w:rPr>
            </w:pPr>
            <w:r>
              <w:rPr>
                <w:rFonts w:hint="eastAsia"/>
                <w:kern w:val="0"/>
                <w:szCs w:val="21"/>
              </w:rPr>
              <w:t>根据学校规定的作息时间，每日定时对学生考勤</w:t>
            </w:r>
          </w:p>
        </w:tc>
        <w:tc>
          <w:tcPr>
            <w:tcW w:w="791" w:type="dxa"/>
            <w:vAlign w:val="center"/>
          </w:tcPr>
          <w:p>
            <w:pPr>
              <w:pStyle w:val="152"/>
              <w:spacing w:line="240" w:lineRule="auto"/>
              <w:ind w:firstLine="0" w:firstLineChars="0"/>
              <w:rPr>
                <w:kern w:val="0"/>
                <w:szCs w:val="21"/>
              </w:rPr>
            </w:pPr>
            <w:r>
              <w:rPr>
                <w:rFonts w:hint="eastAsia"/>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缺席扣0.5分/次。造成重大事故的直接取消劳动合同或者劳务协议。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35" w:type="dxa"/>
            <w:vMerge w:val="continue"/>
          </w:tcPr>
          <w:p>
            <w:pPr>
              <w:pStyle w:val="152"/>
              <w:spacing w:line="240" w:lineRule="auto"/>
              <w:ind w:firstLine="0" w:firstLineChars="0"/>
              <w:rPr>
                <w:kern w:val="0"/>
                <w:szCs w:val="21"/>
              </w:rPr>
            </w:pPr>
          </w:p>
        </w:tc>
        <w:tc>
          <w:tcPr>
            <w:tcW w:w="3456" w:type="dxa"/>
          </w:tcPr>
          <w:p>
            <w:pPr>
              <w:pStyle w:val="152"/>
              <w:spacing w:line="240" w:lineRule="auto"/>
              <w:ind w:firstLine="0" w:firstLineChars="0"/>
              <w:rPr>
                <w:kern w:val="0"/>
                <w:szCs w:val="21"/>
              </w:rPr>
            </w:pPr>
            <w:r>
              <w:rPr>
                <w:rFonts w:hint="eastAsia"/>
                <w:kern w:val="0"/>
                <w:szCs w:val="21"/>
              </w:rPr>
              <w:t>与班主任、德育处分管干部和老师沟通</w:t>
            </w:r>
          </w:p>
        </w:tc>
        <w:tc>
          <w:tcPr>
            <w:tcW w:w="791" w:type="dxa"/>
            <w:vAlign w:val="center"/>
          </w:tcPr>
          <w:p>
            <w:pPr>
              <w:pStyle w:val="152"/>
              <w:spacing w:line="240" w:lineRule="auto"/>
              <w:ind w:firstLine="0" w:firstLineChars="0"/>
              <w:rPr>
                <w:kern w:val="0"/>
                <w:szCs w:val="21"/>
              </w:rPr>
            </w:pPr>
            <w:r>
              <w:rPr>
                <w:rFonts w:hint="eastAsia"/>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每周定时汇报工作，按时参加活动，缺席扣0.5分/次。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35" w:type="dxa"/>
            <w:vMerge w:val="continue"/>
          </w:tcPr>
          <w:p>
            <w:pPr>
              <w:pStyle w:val="152"/>
              <w:spacing w:line="240" w:lineRule="auto"/>
              <w:ind w:firstLine="0" w:firstLineChars="0"/>
              <w:rPr>
                <w:kern w:val="0"/>
                <w:szCs w:val="21"/>
              </w:rPr>
            </w:pPr>
          </w:p>
        </w:tc>
        <w:tc>
          <w:tcPr>
            <w:tcW w:w="3456" w:type="dxa"/>
          </w:tcPr>
          <w:p>
            <w:pPr>
              <w:pStyle w:val="152"/>
              <w:spacing w:line="240" w:lineRule="auto"/>
              <w:ind w:firstLine="0" w:firstLineChars="0"/>
              <w:rPr>
                <w:kern w:val="0"/>
                <w:szCs w:val="21"/>
              </w:rPr>
            </w:pPr>
            <w:r>
              <w:rPr>
                <w:rFonts w:hint="eastAsia"/>
                <w:kern w:val="0"/>
                <w:szCs w:val="21"/>
              </w:rPr>
              <w:t>每日填写住校生晚自习记录</w:t>
            </w:r>
          </w:p>
        </w:tc>
        <w:tc>
          <w:tcPr>
            <w:tcW w:w="791" w:type="dxa"/>
            <w:vAlign w:val="center"/>
          </w:tcPr>
          <w:p>
            <w:pPr>
              <w:pStyle w:val="152"/>
              <w:spacing w:line="240" w:lineRule="auto"/>
              <w:ind w:firstLine="0" w:firstLineChars="0"/>
              <w:rPr>
                <w:kern w:val="0"/>
                <w:szCs w:val="21"/>
              </w:rPr>
            </w:pPr>
            <w:r>
              <w:rPr>
                <w:rFonts w:hint="eastAsia"/>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缺席扣0.5分/次。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35" w:type="dxa"/>
            <w:vMerge w:val="continue"/>
          </w:tcPr>
          <w:p>
            <w:pPr>
              <w:pStyle w:val="152"/>
              <w:spacing w:line="240" w:lineRule="auto"/>
              <w:ind w:firstLine="0" w:firstLineChars="0"/>
              <w:rPr>
                <w:kern w:val="0"/>
                <w:szCs w:val="21"/>
              </w:rPr>
            </w:pPr>
          </w:p>
        </w:tc>
        <w:tc>
          <w:tcPr>
            <w:tcW w:w="3456" w:type="dxa"/>
          </w:tcPr>
          <w:p>
            <w:pPr>
              <w:pStyle w:val="152"/>
              <w:spacing w:line="240" w:lineRule="auto"/>
              <w:ind w:firstLine="0" w:firstLineChars="0"/>
              <w:rPr>
                <w:kern w:val="0"/>
                <w:szCs w:val="21"/>
              </w:rPr>
            </w:pPr>
            <w:r>
              <w:rPr>
                <w:rFonts w:hint="eastAsia"/>
                <w:kern w:val="0"/>
                <w:szCs w:val="21"/>
              </w:rPr>
              <w:t>按时上交总结</w:t>
            </w:r>
          </w:p>
        </w:tc>
        <w:tc>
          <w:tcPr>
            <w:tcW w:w="791" w:type="dxa"/>
            <w:vAlign w:val="center"/>
          </w:tcPr>
          <w:p>
            <w:pPr>
              <w:pStyle w:val="152"/>
              <w:spacing w:line="240" w:lineRule="auto"/>
              <w:ind w:firstLine="0" w:firstLineChars="0"/>
              <w:rPr>
                <w:kern w:val="0"/>
                <w:szCs w:val="21"/>
              </w:rPr>
            </w:pPr>
            <w:r>
              <w:rPr>
                <w:rFonts w:hint="eastAsia"/>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未及时上交总结扣0.5分/次。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35" w:type="dxa"/>
            <w:vMerge w:val="restart"/>
          </w:tcPr>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r>
              <w:rPr>
                <w:rFonts w:hint="eastAsia"/>
                <w:kern w:val="0"/>
                <w:szCs w:val="21"/>
              </w:rPr>
              <w:t>司机（10分）</w:t>
            </w:r>
          </w:p>
        </w:tc>
        <w:tc>
          <w:tcPr>
            <w:tcW w:w="3456" w:type="dxa"/>
            <w:vAlign w:val="center"/>
          </w:tcPr>
          <w:p>
            <w:pPr>
              <w:pStyle w:val="152"/>
              <w:spacing w:line="240" w:lineRule="auto"/>
              <w:ind w:firstLine="0" w:firstLineChars="0"/>
              <w:rPr>
                <w:kern w:val="0"/>
                <w:szCs w:val="21"/>
              </w:rPr>
            </w:pPr>
            <w:r>
              <w:rPr>
                <w:rFonts w:hint="eastAsia"/>
                <w:kern w:val="0"/>
                <w:szCs w:val="21"/>
              </w:rPr>
              <w:t>车辆按时保养维护</w:t>
            </w:r>
          </w:p>
        </w:tc>
        <w:tc>
          <w:tcPr>
            <w:tcW w:w="791" w:type="dxa"/>
            <w:vAlign w:val="center"/>
          </w:tcPr>
          <w:p>
            <w:pPr>
              <w:pStyle w:val="152"/>
              <w:spacing w:line="240" w:lineRule="auto"/>
              <w:ind w:firstLine="0" w:firstLineChars="0"/>
              <w:rPr>
                <w:kern w:val="0"/>
                <w:szCs w:val="21"/>
              </w:rPr>
            </w:pPr>
            <w:r>
              <w:rPr>
                <w:rFonts w:hint="eastAsia"/>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及时处理车辆的维护、保养及年审。违者1次扣0.5-2分。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遵守交通规则，行车安全</w:t>
            </w:r>
          </w:p>
        </w:tc>
        <w:tc>
          <w:tcPr>
            <w:tcW w:w="791" w:type="dxa"/>
            <w:vAlign w:val="center"/>
          </w:tcPr>
          <w:p>
            <w:pPr>
              <w:pStyle w:val="152"/>
              <w:spacing w:line="240" w:lineRule="auto"/>
              <w:ind w:firstLine="0" w:firstLineChars="0"/>
              <w:rPr>
                <w:kern w:val="0"/>
                <w:szCs w:val="21"/>
              </w:rPr>
            </w:pPr>
            <w:r>
              <w:rPr>
                <w:rFonts w:hint="eastAsia"/>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因驾驶员个人违法或违纪等原因造成交通事故的，1次扣1分，造成重大交通事故由交管部门处理，公司需更换司机。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爱惜车辆，及时清洁</w:t>
            </w:r>
          </w:p>
        </w:tc>
        <w:tc>
          <w:tcPr>
            <w:tcW w:w="791" w:type="dxa"/>
            <w:vAlign w:val="center"/>
          </w:tcPr>
          <w:p>
            <w:pPr>
              <w:pStyle w:val="152"/>
              <w:spacing w:line="240" w:lineRule="auto"/>
              <w:ind w:firstLine="0" w:firstLineChars="0"/>
              <w:rPr>
                <w:kern w:val="0"/>
                <w:szCs w:val="21"/>
              </w:rPr>
            </w:pPr>
            <w:r>
              <w:rPr>
                <w:rFonts w:hint="eastAsia"/>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车辆清洁卫生不到位的，1次扣0.5分。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服务态度好，待人文明礼貌</w:t>
            </w:r>
          </w:p>
        </w:tc>
        <w:tc>
          <w:tcPr>
            <w:tcW w:w="791" w:type="dxa"/>
            <w:vAlign w:val="center"/>
          </w:tcPr>
          <w:p>
            <w:pPr>
              <w:pStyle w:val="152"/>
              <w:spacing w:line="240" w:lineRule="auto"/>
              <w:ind w:firstLine="0" w:firstLineChars="0"/>
              <w:rPr>
                <w:kern w:val="0"/>
                <w:szCs w:val="21"/>
              </w:rPr>
            </w:pPr>
            <w:r>
              <w:rPr>
                <w:rFonts w:hint="eastAsia"/>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听从统一调度，服从工作安排。违者1次扣0.5分。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协助学校的安全工作</w:t>
            </w:r>
          </w:p>
        </w:tc>
        <w:tc>
          <w:tcPr>
            <w:tcW w:w="791" w:type="dxa"/>
            <w:vAlign w:val="center"/>
          </w:tcPr>
          <w:p>
            <w:pPr>
              <w:pStyle w:val="152"/>
              <w:spacing w:line="240" w:lineRule="auto"/>
              <w:ind w:firstLine="0" w:firstLineChars="0"/>
              <w:rPr>
                <w:kern w:val="0"/>
                <w:szCs w:val="21"/>
              </w:rPr>
            </w:pPr>
            <w:r>
              <w:rPr>
                <w:rFonts w:hint="eastAsia"/>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安全工作不到位，一次扣1分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35" w:type="dxa"/>
            <w:vMerge w:val="restart"/>
          </w:tcPr>
          <w:p>
            <w:pPr>
              <w:pStyle w:val="152"/>
              <w:spacing w:line="240" w:lineRule="auto"/>
              <w:ind w:firstLine="0" w:firstLineChars="0"/>
              <w:rPr>
                <w:kern w:val="0"/>
                <w:szCs w:val="21"/>
              </w:rPr>
            </w:pPr>
            <w:r>
              <w:rPr>
                <w:rFonts w:hint="eastAsia"/>
                <w:kern w:val="0"/>
                <w:szCs w:val="21"/>
              </w:rPr>
              <w:t>其它（8分）</w:t>
            </w:r>
          </w:p>
        </w:tc>
        <w:tc>
          <w:tcPr>
            <w:tcW w:w="3456" w:type="dxa"/>
            <w:vAlign w:val="center"/>
          </w:tcPr>
          <w:p>
            <w:pPr>
              <w:pStyle w:val="152"/>
              <w:spacing w:line="240" w:lineRule="auto"/>
              <w:ind w:firstLine="0" w:firstLineChars="0"/>
              <w:rPr>
                <w:kern w:val="0"/>
                <w:szCs w:val="21"/>
              </w:rPr>
            </w:pPr>
            <w:r>
              <w:rPr>
                <w:rFonts w:hint="eastAsia"/>
                <w:kern w:val="0"/>
                <w:szCs w:val="21"/>
              </w:rPr>
              <w:t>临时工作</w:t>
            </w:r>
          </w:p>
        </w:tc>
        <w:tc>
          <w:tcPr>
            <w:tcW w:w="791" w:type="dxa"/>
            <w:vAlign w:val="center"/>
          </w:tcPr>
          <w:p>
            <w:pPr>
              <w:pStyle w:val="152"/>
              <w:spacing w:line="240" w:lineRule="auto"/>
              <w:ind w:firstLine="0" w:firstLineChars="0"/>
              <w:rPr>
                <w:kern w:val="0"/>
                <w:szCs w:val="21"/>
              </w:rPr>
            </w:pPr>
            <w:r>
              <w:rPr>
                <w:rFonts w:hint="eastAsia"/>
                <w:kern w:val="0"/>
                <w:szCs w:val="21"/>
              </w:rPr>
              <w:t>4</w:t>
            </w:r>
          </w:p>
        </w:tc>
        <w:tc>
          <w:tcPr>
            <w:tcW w:w="3473" w:type="dxa"/>
            <w:vAlign w:val="center"/>
          </w:tcPr>
          <w:p>
            <w:pPr>
              <w:pStyle w:val="152"/>
              <w:spacing w:line="240" w:lineRule="auto"/>
              <w:ind w:firstLine="0" w:firstLineChars="0"/>
              <w:rPr>
                <w:kern w:val="0"/>
                <w:szCs w:val="21"/>
              </w:rPr>
            </w:pPr>
            <w:r>
              <w:rPr>
                <w:rFonts w:hint="eastAsia"/>
                <w:kern w:val="0"/>
                <w:szCs w:val="21"/>
              </w:rPr>
              <w:t>不服从学校安排，无端推诿、拖延，敷衍等，一次扣2分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服务团队的稳定性</w:t>
            </w:r>
          </w:p>
        </w:tc>
        <w:tc>
          <w:tcPr>
            <w:tcW w:w="791" w:type="dxa"/>
            <w:vAlign w:val="center"/>
          </w:tcPr>
          <w:p>
            <w:pPr>
              <w:pStyle w:val="152"/>
              <w:spacing w:line="240" w:lineRule="auto"/>
              <w:ind w:firstLine="0" w:firstLineChars="0"/>
              <w:rPr>
                <w:kern w:val="0"/>
                <w:szCs w:val="21"/>
              </w:rPr>
            </w:pPr>
            <w:r>
              <w:rPr>
                <w:rFonts w:hint="eastAsia"/>
                <w:kern w:val="0"/>
                <w:szCs w:val="21"/>
              </w:rPr>
              <w:t>4</w:t>
            </w:r>
          </w:p>
        </w:tc>
        <w:tc>
          <w:tcPr>
            <w:tcW w:w="3473" w:type="dxa"/>
            <w:vAlign w:val="center"/>
          </w:tcPr>
          <w:p>
            <w:pPr>
              <w:pStyle w:val="152"/>
              <w:spacing w:line="240" w:lineRule="auto"/>
              <w:ind w:firstLine="0" w:firstLineChars="0"/>
              <w:rPr>
                <w:kern w:val="0"/>
                <w:szCs w:val="21"/>
              </w:rPr>
            </w:pPr>
            <w:r>
              <w:rPr>
                <w:rFonts w:hint="eastAsia"/>
                <w:kern w:val="0"/>
                <w:szCs w:val="21"/>
              </w:rPr>
              <w:t>服务期每月调离或更换服务人员不得超过</w:t>
            </w:r>
            <w:r>
              <w:rPr>
                <w:kern w:val="0"/>
                <w:szCs w:val="21"/>
              </w:rPr>
              <w:t>20</w:t>
            </w:r>
            <w:r>
              <w:rPr>
                <w:rFonts w:hint="eastAsia"/>
                <w:kern w:val="0"/>
                <w:szCs w:val="21"/>
              </w:rPr>
              <w:t>%，超出</w:t>
            </w:r>
            <w:r>
              <w:rPr>
                <w:kern w:val="0"/>
                <w:szCs w:val="21"/>
              </w:rPr>
              <w:t>5%</w:t>
            </w:r>
            <w:r>
              <w:rPr>
                <w:rFonts w:hint="eastAsia"/>
                <w:kern w:val="0"/>
                <w:szCs w:val="21"/>
              </w:rPr>
              <w:t>次扣4分</w:t>
            </w:r>
          </w:p>
        </w:tc>
      </w:tr>
    </w:tbl>
    <w:p>
      <w:pPr>
        <w:pStyle w:val="152"/>
        <w:spacing w:line="240" w:lineRule="auto"/>
        <w:ind w:firstLine="0" w:firstLineChars="0"/>
        <w:rPr>
          <w:szCs w:val="21"/>
        </w:rPr>
      </w:pPr>
    </w:p>
    <w:p>
      <w:pPr>
        <w:rPr>
          <w:szCs w:val="21"/>
        </w:rPr>
      </w:pPr>
    </w:p>
    <w:p>
      <w:pPr>
        <w:tabs>
          <w:tab w:val="left" w:pos="867"/>
        </w:tabs>
        <w:ind w:firstLine="480"/>
        <w:rPr>
          <w:rFonts w:ascii="宋体" w:hAnsi="宋体" w:eastAsia="PMingLiU" w:cs="宋体"/>
          <w:bCs/>
          <w:szCs w:val="21"/>
          <w:lang w:val="zh-TW" w:eastAsia="zh-TW" w:bidi="zh-TW"/>
        </w:rPr>
      </w:pPr>
      <w:r>
        <w:rPr>
          <w:rFonts w:hint="eastAsia" w:cs="宋体"/>
          <w:bCs/>
          <w:szCs w:val="21"/>
          <w:lang w:bidi="zh-TW"/>
        </w:rPr>
        <w:t>2.</w:t>
      </w:r>
      <w:r>
        <w:rPr>
          <w:rFonts w:hint="eastAsia" w:cs="宋体"/>
          <w:bCs/>
          <w:szCs w:val="21"/>
          <w:lang w:val="zh-TW" w:bidi="zh-TW"/>
        </w:rPr>
        <w:t>第三十七中学</w:t>
      </w:r>
    </w:p>
    <w:p>
      <w:pPr>
        <w:pStyle w:val="152"/>
        <w:spacing w:line="240" w:lineRule="auto"/>
        <w:ind w:firstLine="0" w:firstLineChars="0"/>
        <w:rPr>
          <w:szCs w:val="21"/>
        </w:rPr>
      </w:pPr>
    </w:p>
    <w:tbl>
      <w:tblPr>
        <w:tblStyle w:val="43"/>
        <w:tblW w:w="83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4"/>
        <w:gridCol w:w="3357"/>
        <w:gridCol w:w="791"/>
        <w:gridCol w:w="3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4" w:type="dxa"/>
            <w:vAlign w:val="center"/>
          </w:tcPr>
          <w:p>
            <w:pPr>
              <w:pStyle w:val="152"/>
              <w:spacing w:line="240" w:lineRule="auto"/>
              <w:ind w:firstLine="0" w:firstLineChars="0"/>
              <w:rPr>
                <w:kern w:val="0"/>
                <w:szCs w:val="21"/>
              </w:rPr>
            </w:pPr>
            <w:r>
              <w:rPr>
                <w:rFonts w:hint="eastAsia"/>
                <w:kern w:val="0"/>
                <w:szCs w:val="21"/>
              </w:rPr>
              <w:t>项目</w:t>
            </w:r>
          </w:p>
        </w:tc>
        <w:tc>
          <w:tcPr>
            <w:tcW w:w="3357" w:type="dxa"/>
            <w:vAlign w:val="center"/>
          </w:tcPr>
          <w:p>
            <w:pPr>
              <w:pStyle w:val="152"/>
              <w:spacing w:line="240" w:lineRule="auto"/>
              <w:ind w:firstLine="0" w:firstLineChars="0"/>
              <w:rPr>
                <w:kern w:val="0"/>
                <w:szCs w:val="21"/>
              </w:rPr>
            </w:pPr>
            <w:r>
              <w:rPr>
                <w:rFonts w:hint="eastAsia"/>
                <w:kern w:val="0"/>
                <w:szCs w:val="21"/>
              </w:rPr>
              <w:t>服务质量标准</w:t>
            </w:r>
          </w:p>
        </w:tc>
        <w:tc>
          <w:tcPr>
            <w:tcW w:w="791" w:type="dxa"/>
            <w:vAlign w:val="center"/>
          </w:tcPr>
          <w:p>
            <w:pPr>
              <w:pStyle w:val="152"/>
              <w:spacing w:line="240" w:lineRule="auto"/>
              <w:ind w:firstLine="0" w:firstLineChars="0"/>
              <w:rPr>
                <w:kern w:val="0"/>
                <w:szCs w:val="21"/>
              </w:rPr>
            </w:pPr>
            <w:r>
              <w:rPr>
                <w:rFonts w:hint="eastAsia"/>
                <w:kern w:val="0"/>
                <w:szCs w:val="21"/>
              </w:rPr>
              <w:t>单项</w:t>
            </w:r>
          </w:p>
          <w:p>
            <w:pPr>
              <w:pStyle w:val="152"/>
              <w:spacing w:line="240" w:lineRule="auto"/>
              <w:ind w:firstLine="0" w:firstLineChars="0"/>
              <w:rPr>
                <w:kern w:val="0"/>
                <w:szCs w:val="21"/>
              </w:rPr>
            </w:pPr>
            <w:r>
              <w:rPr>
                <w:rFonts w:hint="eastAsia"/>
                <w:kern w:val="0"/>
                <w:szCs w:val="21"/>
              </w:rPr>
              <w:t>分值</w:t>
            </w:r>
          </w:p>
        </w:tc>
        <w:tc>
          <w:tcPr>
            <w:tcW w:w="3473" w:type="dxa"/>
            <w:vAlign w:val="center"/>
          </w:tcPr>
          <w:p>
            <w:pPr>
              <w:pStyle w:val="152"/>
              <w:spacing w:line="240" w:lineRule="auto"/>
              <w:ind w:firstLine="0" w:firstLineChars="0"/>
              <w:rPr>
                <w:kern w:val="0"/>
                <w:szCs w:val="21"/>
              </w:rPr>
            </w:pPr>
            <w:r>
              <w:rPr>
                <w:rFonts w:hint="eastAsia"/>
                <w:kern w:val="0"/>
                <w:szCs w:val="21"/>
              </w:rPr>
              <w:t>监督考评扣分标准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4" w:type="dxa"/>
            <w:vMerge w:val="restart"/>
            <w:vAlign w:val="center"/>
          </w:tcPr>
          <w:p>
            <w:pPr>
              <w:pStyle w:val="152"/>
              <w:spacing w:line="240" w:lineRule="auto"/>
              <w:ind w:firstLine="0" w:firstLineChars="0"/>
              <w:rPr>
                <w:kern w:val="0"/>
                <w:szCs w:val="21"/>
              </w:rPr>
            </w:pPr>
            <w:r>
              <w:rPr>
                <w:rFonts w:hint="eastAsia"/>
                <w:kern w:val="0"/>
                <w:szCs w:val="21"/>
              </w:rPr>
              <w:t>主管</w:t>
            </w:r>
          </w:p>
          <w:p>
            <w:pPr>
              <w:pStyle w:val="152"/>
              <w:spacing w:line="240" w:lineRule="auto"/>
              <w:ind w:firstLine="0" w:firstLineChars="0"/>
              <w:rPr>
                <w:rFonts w:ascii="等线" w:hAnsi="等线" w:eastAsia="等线"/>
                <w:kern w:val="0"/>
                <w:szCs w:val="21"/>
              </w:rPr>
            </w:pPr>
            <w:r>
              <w:rPr>
                <w:rFonts w:hint="eastAsia" w:ascii="等线" w:hAnsi="等线" w:eastAsia="等线"/>
                <w:kern w:val="0"/>
                <w:szCs w:val="21"/>
              </w:rPr>
              <w:t>(</w:t>
            </w:r>
            <w:r>
              <w:rPr>
                <w:rFonts w:ascii="等线" w:hAnsi="等线" w:eastAsia="等线"/>
                <w:kern w:val="0"/>
                <w:szCs w:val="21"/>
              </w:rPr>
              <w:t>5</w:t>
            </w:r>
            <w:r>
              <w:rPr>
                <w:rFonts w:hint="eastAsia" w:ascii="等线" w:hAnsi="等线" w:eastAsia="等线"/>
                <w:kern w:val="0"/>
                <w:szCs w:val="21"/>
              </w:rPr>
              <w:t>分）</w:t>
            </w:r>
          </w:p>
        </w:tc>
        <w:tc>
          <w:tcPr>
            <w:tcW w:w="3357" w:type="dxa"/>
            <w:vAlign w:val="center"/>
          </w:tcPr>
          <w:p>
            <w:pPr>
              <w:pStyle w:val="152"/>
              <w:spacing w:line="240" w:lineRule="auto"/>
              <w:ind w:firstLine="0" w:firstLineChars="0"/>
              <w:rPr>
                <w:kern w:val="0"/>
                <w:szCs w:val="21"/>
              </w:rPr>
            </w:pPr>
            <w:r>
              <w:rPr>
                <w:rFonts w:hint="eastAsia"/>
                <w:kern w:val="0"/>
                <w:szCs w:val="21"/>
              </w:rPr>
              <w:t>工作日在岗情况</w:t>
            </w:r>
          </w:p>
        </w:tc>
        <w:tc>
          <w:tcPr>
            <w:tcW w:w="791" w:type="dxa"/>
            <w:vAlign w:val="center"/>
          </w:tcPr>
          <w:p>
            <w:pPr>
              <w:pStyle w:val="152"/>
              <w:spacing w:line="240" w:lineRule="auto"/>
              <w:ind w:firstLine="0" w:firstLineChars="0"/>
              <w:rPr>
                <w:kern w:val="0"/>
                <w:szCs w:val="21"/>
              </w:rPr>
            </w:pPr>
            <w:r>
              <w:rPr>
                <w:kern w:val="0"/>
                <w:szCs w:val="21"/>
              </w:rPr>
              <w:t>1</w:t>
            </w:r>
            <w:r>
              <w:rPr>
                <w:rFonts w:hint="eastAsia"/>
                <w:kern w:val="0"/>
                <w:szCs w:val="21"/>
              </w:rPr>
              <w:t>分</w:t>
            </w:r>
          </w:p>
        </w:tc>
        <w:tc>
          <w:tcPr>
            <w:tcW w:w="3473" w:type="dxa"/>
            <w:vAlign w:val="center"/>
          </w:tcPr>
          <w:p>
            <w:pPr>
              <w:pStyle w:val="152"/>
              <w:spacing w:line="240" w:lineRule="auto"/>
              <w:ind w:firstLine="0" w:firstLineChars="0"/>
              <w:rPr>
                <w:kern w:val="0"/>
                <w:szCs w:val="21"/>
              </w:rPr>
            </w:pPr>
            <w:r>
              <w:rPr>
                <w:rFonts w:hint="eastAsia"/>
                <w:kern w:val="0"/>
                <w:szCs w:val="21"/>
              </w:rPr>
              <w:t>缺岗一次扣0</w:t>
            </w:r>
            <w:r>
              <w:rPr>
                <w:kern w:val="0"/>
                <w:szCs w:val="21"/>
              </w:rPr>
              <w:t>.2</w:t>
            </w:r>
            <w:r>
              <w:rPr>
                <w:rFonts w:hint="eastAsia"/>
                <w:kern w:val="0"/>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4" w:type="dxa"/>
            <w:vMerge w:val="continue"/>
            <w:vAlign w:val="center"/>
          </w:tcPr>
          <w:p>
            <w:pPr>
              <w:pStyle w:val="152"/>
              <w:spacing w:line="240" w:lineRule="auto"/>
              <w:ind w:firstLine="0" w:firstLineChars="0"/>
              <w:rPr>
                <w:kern w:val="0"/>
                <w:szCs w:val="21"/>
              </w:rPr>
            </w:pPr>
          </w:p>
        </w:tc>
        <w:tc>
          <w:tcPr>
            <w:tcW w:w="3357" w:type="dxa"/>
            <w:vAlign w:val="center"/>
          </w:tcPr>
          <w:p>
            <w:pPr>
              <w:pStyle w:val="152"/>
              <w:spacing w:line="240" w:lineRule="auto"/>
              <w:ind w:firstLine="0" w:firstLineChars="0"/>
              <w:rPr>
                <w:kern w:val="0"/>
                <w:szCs w:val="21"/>
              </w:rPr>
            </w:pPr>
            <w:r>
              <w:rPr>
                <w:rFonts w:hint="eastAsia"/>
                <w:kern w:val="0"/>
                <w:szCs w:val="21"/>
              </w:rPr>
              <w:t>对位点员工的日常工作督促和检查情况</w:t>
            </w:r>
          </w:p>
        </w:tc>
        <w:tc>
          <w:tcPr>
            <w:tcW w:w="791" w:type="dxa"/>
            <w:vAlign w:val="center"/>
          </w:tcPr>
          <w:p>
            <w:pPr>
              <w:pStyle w:val="152"/>
              <w:spacing w:line="240" w:lineRule="auto"/>
              <w:ind w:firstLine="0" w:firstLineChars="0"/>
              <w:rPr>
                <w:kern w:val="0"/>
                <w:szCs w:val="21"/>
              </w:rPr>
            </w:pPr>
            <w:r>
              <w:rPr>
                <w:kern w:val="0"/>
                <w:szCs w:val="21"/>
              </w:rPr>
              <w:t>3</w:t>
            </w:r>
            <w:r>
              <w:rPr>
                <w:rFonts w:hint="eastAsia"/>
                <w:kern w:val="0"/>
                <w:szCs w:val="21"/>
              </w:rPr>
              <w:t>分</w:t>
            </w:r>
          </w:p>
        </w:tc>
        <w:tc>
          <w:tcPr>
            <w:tcW w:w="3473" w:type="dxa"/>
            <w:vAlign w:val="center"/>
          </w:tcPr>
          <w:p>
            <w:pPr>
              <w:pStyle w:val="152"/>
              <w:spacing w:line="240" w:lineRule="auto"/>
              <w:ind w:firstLine="0" w:firstLineChars="0"/>
              <w:rPr>
                <w:kern w:val="0"/>
                <w:szCs w:val="21"/>
              </w:rPr>
            </w:pPr>
            <w:r>
              <w:rPr>
                <w:rFonts w:hint="eastAsia"/>
                <w:kern w:val="0"/>
                <w:szCs w:val="21"/>
              </w:rPr>
              <w:t xml:space="preserve">对员工疏于管理\检查不到位,一次扣 </w:t>
            </w:r>
            <w:r>
              <w:rPr>
                <w:kern w:val="0"/>
                <w:szCs w:val="21"/>
              </w:rPr>
              <w:t xml:space="preserve"> 0.5</w:t>
            </w:r>
            <w:r>
              <w:rPr>
                <w:rFonts w:hint="eastAsia"/>
                <w:kern w:val="0"/>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4" w:type="dxa"/>
            <w:vMerge w:val="continue"/>
            <w:vAlign w:val="center"/>
          </w:tcPr>
          <w:p>
            <w:pPr>
              <w:pStyle w:val="152"/>
              <w:spacing w:line="240" w:lineRule="auto"/>
              <w:ind w:firstLine="0" w:firstLineChars="0"/>
              <w:rPr>
                <w:kern w:val="0"/>
                <w:szCs w:val="21"/>
              </w:rPr>
            </w:pPr>
          </w:p>
        </w:tc>
        <w:tc>
          <w:tcPr>
            <w:tcW w:w="3357" w:type="dxa"/>
            <w:vAlign w:val="center"/>
          </w:tcPr>
          <w:p>
            <w:pPr>
              <w:pStyle w:val="152"/>
              <w:spacing w:line="240" w:lineRule="auto"/>
              <w:ind w:firstLine="0" w:firstLineChars="0"/>
              <w:rPr>
                <w:kern w:val="0"/>
                <w:szCs w:val="21"/>
              </w:rPr>
            </w:pPr>
            <w:r>
              <w:rPr>
                <w:rFonts w:hint="eastAsia"/>
                <w:kern w:val="0"/>
                <w:szCs w:val="21"/>
              </w:rPr>
              <w:t>对员工的培训</w:t>
            </w:r>
          </w:p>
        </w:tc>
        <w:tc>
          <w:tcPr>
            <w:tcW w:w="791" w:type="dxa"/>
            <w:vAlign w:val="center"/>
          </w:tcPr>
          <w:p>
            <w:pPr>
              <w:pStyle w:val="152"/>
              <w:spacing w:line="240" w:lineRule="auto"/>
              <w:ind w:firstLine="0" w:firstLineChars="0"/>
              <w:rPr>
                <w:kern w:val="0"/>
                <w:szCs w:val="21"/>
              </w:rPr>
            </w:pPr>
            <w:r>
              <w:rPr>
                <w:kern w:val="0"/>
                <w:szCs w:val="21"/>
              </w:rPr>
              <w:t>1</w:t>
            </w:r>
            <w:r>
              <w:rPr>
                <w:rFonts w:hint="eastAsia"/>
                <w:kern w:val="0"/>
                <w:szCs w:val="21"/>
              </w:rPr>
              <w:t>分</w:t>
            </w:r>
          </w:p>
        </w:tc>
        <w:tc>
          <w:tcPr>
            <w:tcW w:w="3473" w:type="dxa"/>
            <w:vAlign w:val="center"/>
          </w:tcPr>
          <w:p>
            <w:pPr>
              <w:pStyle w:val="152"/>
              <w:spacing w:line="240" w:lineRule="auto"/>
              <w:ind w:firstLine="0" w:firstLineChars="0"/>
              <w:rPr>
                <w:kern w:val="0"/>
                <w:szCs w:val="21"/>
              </w:rPr>
            </w:pPr>
            <w:r>
              <w:rPr>
                <w:rFonts w:hint="eastAsia"/>
                <w:kern w:val="0"/>
                <w:szCs w:val="21"/>
              </w:rPr>
              <w:t xml:space="preserve">对员工的相关技能和礼仪培训不到位,一次扣 </w:t>
            </w:r>
            <w:r>
              <w:rPr>
                <w:kern w:val="0"/>
                <w:szCs w:val="21"/>
              </w:rPr>
              <w:t>0.2</w:t>
            </w:r>
            <w:r>
              <w:rPr>
                <w:rFonts w:hint="eastAsia"/>
                <w:kern w:val="0"/>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4" w:type="dxa"/>
            <w:vMerge w:val="restart"/>
            <w:vAlign w:val="center"/>
          </w:tcPr>
          <w:p>
            <w:pPr>
              <w:pStyle w:val="152"/>
              <w:spacing w:line="240" w:lineRule="auto"/>
              <w:ind w:firstLine="0" w:firstLineChars="0"/>
              <w:rPr>
                <w:kern w:val="0"/>
                <w:szCs w:val="21"/>
              </w:rPr>
            </w:pPr>
          </w:p>
          <w:p>
            <w:pPr>
              <w:pStyle w:val="152"/>
              <w:spacing w:line="240" w:lineRule="auto"/>
              <w:ind w:firstLine="0" w:firstLineChars="0"/>
              <w:rPr>
                <w:kern w:val="0"/>
                <w:szCs w:val="21"/>
              </w:rPr>
            </w:pPr>
            <w:r>
              <w:rPr>
                <w:rFonts w:hint="eastAsia"/>
                <w:kern w:val="0"/>
                <w:szCs w:val="21"/>
              </w:rPr>
              <w:t>安全保卫管理</w:t>
            </w:r>
            <w:r>
              <w:rPr>
                <w:rFonts w:hint="eastAsia" w:ascii="等线" w:hAnsi="等线" w:eastAsia="等线"/>
                <w:kern w:val="0"/>
                <w:szCs w:val="21"/>
              </w:rPr>
              <w:t>（</w:t>
            </w:r>
            <w:r>
              <w:rPr>
                <w:rFonts w:ascii="等线" w:hAnsi="等线" w:eastAsia="等线"/>
                <w:kern w:val="0"/>
                <w:szCs w:val="21"/>
              </w:rPr>
              <w:t>20</w:t>
            </w:r>
            <w:r>
              <w:rPr>
                <w:rFonts w:hint="eastAsia" w:ascii="等线" w:hAnsi="等线" w:eastAsia="等线"/>
                <w:kern w:val="0"/>
                <w:szCs w:val="21"/>
              </w:rPr>
              <w:t>分）</w:t>
            </w:r>
          </w:p>
        </w:tc>
        <w:tc>
          <w:tcPr>
            <w:tcW w:w="3357" w:type="dxa"/>
            <w:vAlign w:val="center"/>
          </w:tcPr>
          <w:p>
            <w:pPr>
              <w:pStyle w:val="152"/>
              <w:spacing w:line="240" w:lineRule="auto"/>
              <w:ind w:firstLine="0" w:firstLineChars="0"/>
              <w:rPr>
                <w:kern w:val="0"/>
                <w:szCs w:val="21"/>
              </w:rPr>
            </w:pPr>
            <w:r>
              <w:rPr>
                <w:rFonts w:hint="eastAsia"/>
                <w:kern w:val="0"/>
                <w:szCs w:val="21"/>
              </w:rPr>
              <w:t>所聘用的秩序维护人员必须训练有素，有秩序维护队全管理制度和职责，安全防患措施，确保秩序维护全稳定。</w:t>
            </w:r>
          </w:p>
        </w:tc>
        <w:tc>
          <w:tcPr>
            <w:tcW w:w="791" w:type="dxa"/>
            <w:vAlign w:val="center"/>
          </w:tcPr>
          <w:p>
            <w:pPr>
              <w:pStyle w:val="152"/>
              <w:spacing w:line="240" w:lineRule="auto"/>
              <w:ind w:firstLine="0" w:firstLineChars="0"/>
              <w:rPr>
                <w:kern w:val="0"/>
                <w:szCs w:val="21"/>
              </w:rPr>
            </w:pPr>
            <w:r>
              <w:rPr>
                <w:kern w:val="0"/>
                <w:szCs w:val="21"/>
              </w:rPr>
              <w:t>3</w:t>
            </w:r>
            <w:r>
              <w:rPr>
                <w:rFonts w:hint="eastAsia"/>
                <w:kern w:val="0"/>
                <w:szCs w:val="21"/>
              </w:rPr>
              <w:t>分</w:t>
            </w:r>
          </w:p>
        </w:tc>
        <w:tc>
          <w:tcPr>
            <w:tcW w:w="3473" w:type="dxa"/>
            <w:vAlign w:val="center"/>
          </w:tcPr>
          <w:p>
            <w:pPr>
              <w:pStyle w:val="152"/>
              <w:spacing w:line="240" w:lineRule="auto"/>
              <w:ind w:firstLine="0" w:firstLineChars="0"/>
              <w:rPr>
                <w:kern w:val="0"/>
                <w:szCs w:val="21"/>
              </w:rPr>
            </w:pPr>
            <w:r>
              <w:rPr>
                <w:rFonts w:hint="eastAsia"/>
                <w:kern w:val="0"/>
                <w:szCs w:val="21"/>
              </w:rPr>
              <w:t xml:space="preserve">管理制度、职责、措施不健全每项扣 </w:t>
            </w:r>
            <w:r>
              <w:rPr>
                <w:kern w:val="0"/>
                <w:szCs w:val="21"/>
              </w:rPr>
              <w:t>0.1</w:t>
            </w:r>
            <w:r>
              <w:rPr>
                <w:rFonts w:hint="eastAsia"/>
                <w:kern w:val="0"/>
                <w:szCs w:val="21"/>
              </w:rPr>
              <w:t>分，发生安全事故一次扣</w:t>
            </w:r>
            <w:r>
              <w:rPr>
                <w:kern w:val="0"/>
                <w:szCs w:val="21"/>
              </w:rPr>
              <w:t xml:space="preserve"> 0.5</w:t>
            </w:r>
            <w:r>
              <w:rPr>
                <w:rFonts w:hint="eastAsia"/>
                <w:kern w:val="0"/>
                <w:szCs w:val="21"/>
              </w:rPr>
              <w:t xml:space="preserve">分，发生重大安全事故扣 </w:t>
            </w:r>
            <w:r>
              <w:rPr>
                <w:kern w:val="0"/>
                <w:szCs w:val="21"/>
              </w:rPr>
              <w:t>3</w:t>
            </w:r>
            <w:r>
              <w:rPr>
                <w:rFonts w:hint="eastAsia"/>
                <w:kern w:val="0"/>
                <w:szCs w:val="21"/>
              </w:rPr>
              <w:t>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4" w:type="dxa"/>
            <w:vMerge w:val="continue"/>
          </w:tcPr>
          <w:p>
            <w:pPr>
              <w:pStyle w:val="152"/>
              <w:spacing w:line="240" w:lineRule="auto"/>
              <w:ind w:firstLine="0" w:firstLineChars="0"/>
              <w:rPr>
                <w:kern w:val="0"/>
                <w:szCs w:val="21"/>
              </w:rPr>
            </w:pPr>
          </w:p>
        </w:tc>
        <w:tc>
          <w:tcPr>
            <w:tcW w:w="3357" w:type="dxa"/>
            <w:vAlign w:val="center"/>
          </w:tcPr>
          <w:p>
            <w:pPr>
              <w:pStyle w:val="152"/>
              <w:spacing w:line="240" w:lineRule="auto"/>
              <w:ind w:firstLine="0" w:firstLineChars="0"/>
              <w:rPr>
                <w:kern w:val="0"/>
                <w:szCs w:val="21"/>
              </w:rPr>
            </w:pPr>
            <w:r>
              <w:rPr>
                <w:rFonts w:hint="eastAsia"/>
                <w:kern w:val="0"/>
                <w:szCs w:val="21"/>
              </w:rPr>
              <w:t>秩序维护队员必须熟悉物业环境，上班时按规定着装和佩戴装备，文明值勤，不与职工、到访人员发生矛盾和冲突。</w:t>
            </w:r>
          </w:p>
        </w:tc>
        <w:tc>
          <w:tcPr>
            <w:tcW w:w="791" w:type="dxa"/>
            <w:vAlign w:val="center"/>
          </w:tcPr>
          <w:p>
            <w:pPr>
              <w:pStyle w:val="152"/>
              <w:spacing w:line="240" w:lineRule="auto"/>
              <w:ind w:firstLine="0" w:firstLineChars="0"/>
              <w:rPr>
                <w:kern w:val="0"/>
                <w:szCs w:val="21"/>
              </w:rPr>
            </w:pPr>
            <w:r>
              <w:rPr>
                <w:kern w:val="0"/>
                <w:szCs w:val="21"/>
              </w:rPr>
              <w:t>2</w:t>
            </w:r>
            <w:r>
              <w:rPr>
                <w:rFonts w:hint="eastAsia"/>
                <w:kern w:val="0"/>
                <w:szCs w:val="21"/>
              </w:rPr>
              <w:t>分</w:t>
            </w:r>
          </w:p>
        </w:tc>
        <w:tc>
          <w:tcPr>
            <w:tcW w:w="3473" w:type="dxa"/>
            <w:vAlign w:val="center"/>
          </w:tcPr>
          <w:p>
            <w:pPr>
              <w:pStyle w:val="152"/>
              <w:spacing w:line="240" w:lineRule="auto"/>
              <w:ind w:firstLine="0" w:firstLineChars="0"/>
              <w:rPr>
                <w:kern w:val="0"/>
                <w:szCs w:val="21"/>
              </w:rPr>
            </w:pPr>
            <w:r>
              <w:rPr>
                <w:rFonts w:hint="eastAsia"/>
                <w:kern w:val="0"/>
                <w:szCs w:val="21"/>
              </w:rPr>
              <w:t>发现一名队员着装不整齐扣0</w:t>
            </w:r>
            <w:r>
              <w:rPr>
                <w:kern w:val="0"/>
                <w:szCs w:val="21"/>
              </w:rPr>
              <w:t>.</w:t>
            </w:r>
            <w:r>
              <w:rPr>
                <w:rFonts w:hint="eastAsia"/>
                <w:kern w:val="0"/>
                <w:szCs w:val="21"/>
              </w:rPr>
              <w:t>1分，不礼貌扣0</w:t>
            </w:r>
            <w:r>
              <w:rPr>
                <w:kern w:val="0"/>
                <w:szCs w:val="21"/>
              </w:rPr>
              <w:t>.</w:t>
            </w:r>
            <w:r>
              <w:rPr>
                <w:rFonts w:hint="eastAsia"/>
                <w:kern w:val="0"/>
                <w:szCs w:val="21"/>
              </w:rPr>
              <w:t>1分，无理与他人发生冲突一次扣0</w:t>
            </w:r>
            <w:r>
              <w:rPr>
                <w:kern w:val="0"/>
                <w:szCs w:val="21"/>
              </w:rPr>
              <w:t>.5</w:t>
            </w:r>
            <w:r>
              <w:rPr>
                <w:rFonts w:hint="eastAsia"/>
                <w:kern w:val="0"/>
                <w:szCs w:val="21"/>
              </w:rPr>
              <w:t>分，发生两次建议辞退。直至该项分值扣完为止。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4" w:type="dxa"/>
            <w:vMerge w:val="continue"/>
          </w:tcPr>
          <w:p>
            <w:pPr>
              <w:pStyle w:val="152"/>
              <w:spacing w:line="240" w:lineRule="auto"/>
              <w:ind w:firstLine="0" w:firstLineChars="0"/>
              <w:rPr>
                <w:kern w:val="0"/>
                <w:szCs w:val="21"/>
              </w:rPr>
            </w:pPr>
          </w:p>
        </w:tc>
        <w:tc>
          <w:tcPr>
            <w:tcW w:w="3357" w:type="dxa"/>
            <w:vAlign w:val="center"/>
          </w:tcPr>
          <w:p>
            <w:pPr>
              <w:pStyle w:val="152"/>
              <w:spacing w:line="240" w:lineRule="auto"/>
              <w:ind w:firstLine="0" w:firstLineChars="0"/>
              <w:rPr>
                <w:kern w:val="0"/>
                <w:szCs w:val="21"/>
              </w:rPr>
            </w:pPr>
            <w:r>
              <w:rPr>
                <w:rFonts w:hint="eastAsia"/>
                <w:kern w:val="0"/>
                <w:szCs w:val="21"/>
              </w:rPr>
              <w:t>秩序维护必须实行24小时值班巡逻，认真履行职责，机动灵活，加强重点区域和人少到的部位巡逻。</w:t>
            </w:r>
          </w:p>
        </w:tc>
        <w:tc>
          <w:tcPr>
            <w:tcW w:w="791" w:type="dxa"/>
            <w:vAlign w:val="center"/>
          </w:tcPr>
          <w:p>
            <w:pPr>
              <w:pStyle w:val="152"/>
              <w:spacing w:line="240" w:lineRule="auto"/>
              <w:ind w:firstLine="0" w:firstLineChars="0"/>
              <w:rPr>
                <w:kern w:val="0"/>
                <w:szCs w:val="21"/>
              </w:rPr>
            </w:pPr>
            <w:r>
              <w:rPr>
                <w:kern w:val="0"/>
                <w:szCs w:val="21"/>
              </w:rPr>
              <w:t>1</w:t>
            </w:r>
            <w:r>
              <w:rPr>
                <w:rFonts w:hint="eastAsia"/>
                <w:kern w:val="0"/>
                <w:szCs w:val="21"/>
              </w:rPr>
              <w:t>分</w:t>
            </w:r>
          </w:p>
        </w:tc>
        <w:tc>
          <w:tcPr>
            <w:tcW w:w="3473" w:type="dxa"/>
            <w:vAlign w:val="center"/>
          </w:tcPr>
          <w:p>
            <w:pPr>
              <w:pStyle w:val="152"/>
              <w:spacing w:line="240" w:lineRule="auto"/>
              <w:ind w:firstLine="0" w:firstLineChars="0"/>
              <w:rPr>
                <w:kern w:val="0"/>
                <w:szCs w:val="21"/>
              </w:rPr>
            </w:pPr>
            <w:r>
              <w:rPr>
                <w:rFonts w:hint="eastAsia"/>
                <w:kern w:val="0"/>
                <w:szCs w:val="21"/>
              </w:rPr>
              <w:t>查值班巡逻日志，当值发生事件无记录扣0</w:t>
            </w:r>
            <w:r>
              <w:rPr>
                <w:kern w:val="0"/>
                <w:szCs w:val="21"/>
              </w:rPr>
              <w:t>.</w:t>
            </w:r>
            <w:r>
              <w:rPr>
                <w:rFonts w:hint="eastAsia"/>
                <w:kern w:val="0"/>
                <w:szCs w:val="21"/>
              </w:rPr>
              <w:t>1分，记录不规范扣0</w:t>
            </w:r>
            <w:r>
              <w:rPr>
                <w:kern w:val="0"/>
                <w:szCs w:val="21"/>
              </w:rPr>
              <w:t>.</w:t>
            </w:r>
            <w:r>
              <w:rPr>
                <w:rFonts w:hint="eastAsia"/>
                <w:kern w:val="0"/>
                <w:szCs w:val="21"/>
              </w:rPr>
              <w:t>1分，如反映巡逻不到位一次扣0</w:t>
            </w:r>
            <w:r>
              <w:rPr>
                <w:kern w:val="0"/>
                <w:szCs w:val="21"/>
              </w:rPr>
              <w:t>.</w:t>
            </w:r>
            <w:r>
              <w:rPr>
                <w:rFonts w:hint="eastAsia"/>
                <w:kern w:val="0"/>
                <w:szCs w:val="21"/>
              </w:rPr>
              <w:t>1分，巡逻乘座电梯一次扣0</w:t>
            </w:r>
            <w:r>
              <w:rPr>
                <w:kern w:val="0"/>
                <w:szCs w:val="21"/>
              </w:rPr>
              <w:t>.</w:t>
            </w:r>
            <w:r>
              <w:rPr>
                <w:rFonts w:hint="eastAsia"/>
                <w:kern w:val="0"/>
                <w:szCs w:val="21"/>
              </w:rPr>
              <w:t>1分。直至该项分值扣完为止。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4" w:type="dxa"/>
            <w:vMerge w:val="continue"/>
          </w:tcPr>
          <w:p>
            <w:pPr>
              <w:pStyle w:val="152"/>
              <w:spacing w:line="240" w:lineRule="auto"/>
              <w:ind w:firstLine="0" w:firstLineChars="0"/>
              <w:rPr>
                <w:kern w:val="0"/>
                <w:szCs w:val="21"/>
              </w:rPr>
            </w:pPr>
          </w:p>
        </w:tc>
        <w:tc>
          <w:tcPr>
            <w:tcW w:w="3357" w:type="dxa"/>
            <w:vAlign w:val="center"/>
          </w:tcPr>
          <w:p>
            <w:pPr>
              <w:pStyle w:val="152"/>
              <w:spacing w:line="240" w:lineRule="auto"/>
              <w:ind w:firstLine="0" w:firstLineChars="0"/>
              <w:rPr>
                <w:kern w:val="0"/>
                <w:szCs w:val="21"/>
              </w:rPr>
            </w:pPr>
            <w:r>
              <w:rPr>
                <w:rFonts w:hint="eastAsia"/>
                <w:kern w:val="0"/>
                <w:szCs w:val="21"/>
              </w:rPr>
              <w:t>做好重大活动会议的安全保卫工作，圆满完成交办的任务。</w:t>
            </w:r>
          </w:p>
        </w:tc>
        <w:tc>
          <w:tcPr>
            <w:tcW w:w="791" w:type="dxa"/>
            <w:vAlign w:val="center"/>
          </w:tcPr>
          <w:p>
            <w:pPr>
              <w:pStyle w:val="152"/>
              <w:spacing w:line="240" w:lineRule="auto"/>
              <w:ind w:firstLine="0" w:firstLineChars="0"/>
              <w:rPr>
                <w:kern w:val="0"/>
                <w:szCs w:val="21"/>
              </w:rPr>
            </w:pPr>
            <w:r>
              <w:rPr>
                <w:kern w:val="0"/>
                <w:szCs w:val="21"/>
              </w:rPr>
              <w:t>2</w:t>
            </w:r>
            <w:r>
              <w:rPr>
                <w:rFonts w:hint="eastAsia"/>
                <w:kern w:val="0"/>
                <w:szCs w:val="21"/>
              </w:rPr>
              <w:t>分</w:t>
            </w:r>
          </w:p>
        </w:tc>
        <w:tc>
          <w:tcPr>
            <w:tcW w:w="3473" w:type="dxa"/>
            <w:vAlign w:val="center"/>
          </w:tcPr>
          <w:p>
            <w:pPr>
              <w:pStyle w:val="152"/>
              <w:spacing w:line="240" w:lineRule="auto"/>
              <w:ind w:firstLine="0" w:firstLineChars="0"/>
              <w:rPr>
                <w:kern w:val="0"/>
                <w:szCs w:val="21"/>
              </w:rPr>
            </w:pPr>
            <w:r>
              <w:rPr>
                <w:rFonts w:hint="eastAsia"/>
                <w:kern w:val="0"/>
                <w:szCs w:val="21"/>
              </w:rPr>
              <w:t>因安全保卫工作失误，造成不良影响扣</w:t>
            </w:r>
            <w:r>
              <w:rPr>
                <w:kern w:val="0"/>
                <w:szCs w:val="21"/>
              </w:rPr>
              <w:t>2</w:t>
            </w:r>
            <w:r>
              <w:rPr>
                <w:rFonts w:hint="eastAsia"/>
                <w:kern w:val="0"/>
                <w:szCs w:val="21"/>
              </w:rPr>
              <w:t>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4" w:type="dxa"/>
            <w:vMerge w:val="continue"/>
          </w:tcPr>
          <w:p>
            <w:pPr>
              <w:pStyle w:val="152"/>
              <w:spacing w:line="240" w:lineRule="auto"/>
              <w:ind w:firstLine="0" w:firstLineChars="0"/>
              <w:rPr>
                <w:kern w:val="0"/>
                <w:szCs w:val="21"/>
              </w:rPr>
            </w:pPr>
          </w:p>
        </w:tc>
        <w:tc>
          <w:tcPr>
            <w:tcW w:w="3357" w:type="dxa"/>
            <w:vAlign w:val="center"/>
          </w:tcPr>
          <w:p>
            <w:pPr>
              <w:pStyle w:val="152"/>
              <w:spacing w:line="240" w:lineRule="auto"/>
              <w:ind w:firstLine="0" w:firstLineChars="0"/>
              <w:rPr>
                <w:kern w:val="0"/>
                <w:szCs w:val="21"/>
              </w:rPr>
            </w:pPr>
            <w:r>
              <w:rPr>
                <w:rFonts w:hint="eastAsia"/>
                <w:kern w:val="0"/>
                <w:szCs w:val="21"/>
              </w:rPr>
              <w:t>严格执行登记制度，凡进入机关办公楼的外来人员应询问来访目的，查验有关证件，并进行登记。</w:t>
            </w:r>
          </w:p>
        </w:tc>
        <w:tc>
          <w:tcPr>
            <w:tcW w:w="791" w:type="dxa"/>
            <w:vAlign w:val="center"/>
          </w:tcPr>
          <w:p>
            <w:pPr>
              <w:pStyle w:val="152"/>
              <w:spacing w:line="240" w:lineRule="auto"/>
              <w:ind w:firstLine="0" w:firstLineChars="0"/>
              <w:rPr>
                <w:kern w:val="0"/>
                <w:szCs w:val="21"/>
              </w:rPr>
            </w:pPr>
            <w:r>
              <w:rPr>
                <w:kern w:val="0"/>
                <w:szCs w:val="21"/>
              </w:rPr>
              <w:t>1</w:t>
            </w:r>
            <w:r>
              <w:rPr>
                <w:rFonts w:hint="eastAsia"/>
                <w:kern w:val="0"/>
                <w:szCs w:val="21"/>
              </w:rPr>
              <w:t>分</w:t>
            </w:r>
          </w:p>
        </w:tc>
        <w:tc>
          <w:tcPr>
            <w:tcW w:w="3473" w:type="dxa"/>
            <w:vAlign w:val="center"/>
          </w:tcPr>
          <w:p>
            <w:pPr>
              <w:pStyle w:val="152"/>
              <w:spacing w:line="240" w:lineRule="auto"/>
              <w:ind w:firstLine="0" w:firstLineChars="0"/>
              <w:rPr>
                <w:kern w:val="0"/>
                <w:szCs w:val="21"/>
              </w:rPr>
            </w:pPr>
            <w:r>
              <w:rPr>
                <w:rFonts w:hint="eastAsia"/>
                <w:kern w:val="0"/>
                <w:szCs w:val="21"/>
              </w:rPr>
              <w:t>未登记每人扣0</w:t>
            </w:r>
            <w:r>
              <w:rPr>
                <w:kern w:val="0"/>
                <w:szCs w:val="21"/>
              </w:rPr>
              <w:t>.</w:t>
            </w:r>
            <w:r>
              <w:rPr>
                <w:rFonts w:hint="eastAsia"/>
                <w:kern w:val="0"/>
                <w:szCs w:val="21"/>
              </w:rPr>
              <w:t>1分，扣完为止。直至该项分值扣完为止。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4" w:type="dxa"/>
            <w:vMerge w:val="continue"/>
          </w:tcPr>
          <w:p>
            <w:pPr>
              <w:pStyle w:val="152"/>
              <w:spacing w:line="240" w:lineRule="auto"/>
              <w:ind w:firstLine="0" w:firstLineChars="0"/>
              <w:rPr>
                <w:kern w:val="0"/>
                <w:szCs w:val="21"/>
              </w:rPr>
            </w:pPr>
          </w:p>
        </w:tc>
        <w:tc>
          <w:tcPr>
            <w:tcW w:w="3357" w:type="dxa"/>
            <w:vAlign w:val="center"/>
          </w:tcPr>
          <w:p>
            <w:pPr>
              <w:pStyle w:val="152"/>
              <w:spacing w:line="240" w:lineRule="auto"/>
              <w:ind w:firstLine="0" w:firstLineChars="0"/>
              <w:rPr>
                <w:kern w:val="0"/>
                <w:szCs w:val="21"/>
              </w:rPr>
            </w:pPr>
            <w:r>
              <w:rPr>
                <w:rFonts w:hint="eastAsia"/>
                <w:kern w:val="0"/>
                <w:szCs w:val="21"/>
              </w:rPr>
              <w:t>定期组织安全教育；及时发现各类安全隐患，确保不发生物品被盗和各类案件及安全事故。</w:t>
            </w:r>
          </w:p>
        </w:tc>
        <w:tc>
          <w:tcPr>
            <w:tcW w:w="791" w:type="dxa"/>
            <w:vAlign w:val="center"/>
          </w:tcPr>
          <w:p>
            <w:pPr>
              <w:pStyle w:val="152"/>
              <w:spacing w:line="240" w:lineRule="auto"/>
              <w:ind w:firstLine="0" w:firstLineChars="0"/>
              <w:rPr>
                <w:kern w:val="0"/>
                <w:szCs w:val="21"/>
              </w:rPr>
            </w:pPr>
            <w:r>
              <w:rPr>
                <w:kern w:val="0"/>
                <w:szCs w:val="21"/>
              </w:rPr>
              <w:t>2</w:t>
            </w:r>
            <w:r>
              <w:rPr>
                <w:rFonts w:hint="eastAsia"/>
                <w:kern w:val="0"/>
                <w:szCs w:val="21"/>
              </w:rPr>
              <w:t>分</w:t>
            </w:r>
          </w:p>
        </w:tc>
        <w:tc>
          <w:tcPr>
            <w:tcW w:w="3473" w:type="dxa"/>
            <w:vAlign w:val="center"/>
          </w:tcPr>
          <w:p>
            <w:pPr>
              <w:pStyle w:val="152"/>
              <w:spacing w:line="240" w:lineRule="auto"/>
              <w:ind w:firstLine="0" w:firstLineChars="0"/>
              <w:rPr>
                <w:kern w:val="0"/>
                <w:szCs w:val="21"/>
              </w:rPr>
            </w:pPr>
            <w:r>
              <w:rPr>
                <w:rFonts w:hint="eastAsia"/>
                <w:kern w:val="0"/>
                <w:szCs w:val="21"/>
              </w:rPr>
              <w:t>无安全教育（查记录）扣0</w:t>
            </w:r>
            <w:r>
              <w:rPr>
                <w:kern w:val="0"/>
                <w:szCs w:val="21"/>
              </w:rPr>
              <w:t>.</w:t>
            </w:r>
            <w:r>
              <w:rPr>
                <w:rFonts w:hint="eastAsia"/>
                <w:kern w:val="0"/>
                <w:szCs w:val="21"/>
              </w:rPr>
              <w:t>1分，发生手机钱包被盗事件一次扣</w:t>
            </w:r>
            <w:r>
              <w:rPr>
                <w:kern w:val="0"/>
                <w:szCs w:val="21"/>
              </w:rPr>
              <w:t>1</w:t>
            </w:r>
            <w:r>
              <w:rPr>
                <w:rFonts w:hint="eastAsia"/>
                <w:kern w:val="0"/>
                <w:szCs w:val="21"/>
              </w:rPr>
              <w:t>分。发生财产被盗案或秩序维护员内部自盗一次扣</w:t>
            </w:r>
            <w:r>
              <w:rPr>
                <w:kern w:val="0"/>
                <w:szCs w:val="21"/>
              </w:rPr>
              <w:t>2</w:t>
            </w:r>
            <w:r>
              <w:rPr>
                <w:rFonts w:hint="eastAsia"/>
                <w:kern w:val="0"/>
                <w:szCs w:val="21"/>
              </w:rPr>
              <w:t>分，并追究管理管理人员的责任。直至该项分值扣完为止。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4" w:type="dxa"/>
            <w:vMerge w:val="continue"/>
          </w:tcPr>
          <w:p>
            <w:pPr>
              <w:pStyle w:val="152"/>
              <w:spacing w:line="240" w:lineRule="auto"/>
              <w:ind w:firstLine="0" w:firstLineChars="0"/>
              <w:rPr>
                <w:kern w:val="0"/>
                <w:szCs w:val="21"/>
              </w:rPr>
            </w:pPr>
          </w:p>
        </w:tc>
        <w:tc>
          <w:tcPr>
            <w:tcW w:w="3357" w:type="dxa"/>
            <w:vAlign w:val="center"/>
          </w:tcPr>
          <w:p>
            <w:pPr>
              <w:pStyle w:val="152"/>
              <w:spacing w:line="240" w:lineRule="auto"/>
              <w:ind w:firstLine="0" w:firstLineChars="0"/>
              <w:rPr>
                <w:kern w:val="0"/>
                <w:szCs w:val="21"/>
              </w:rPr>
            </w:pPr>
            <w:r>
              <w:rPr>
                <w:rFonts w:hint="eastAsia"/>
                <w:kern w:val="0"/>
                <w:szCs w:val="21"/>
              </w:rPr>
              <w:t>协助搬运家具时，必须轻移轻放，无损坏家具和地板。</w:t>
            </w:r>
          </w:p>
        </w:tc>
        <w:tc>
          <w:tcPr>
            <w:tcW w:w="791" w:type="dxa"/>
            <w:vAlign w:val="center"/>
          </w:tcPr>
          <w:p>
            <w:pPr>
              <w:pStyle w:val="152"/>
              <w:spacing w:line="240" w:lineRule="auto"/>
              <w:ind w:firstLine="0" w:firstLineChars="0"/>
              <w:rPr>
                <w:kern w:val="0"/>
                <w:szCs w:val="21"/>
              </w:rPr>
            </w:pPr>
            <w:r>
              <w:rPr>
                <w:rFonts w:hint="eastAsia"/>
                <w:kern w:val="0"/>
                <w:szCs w:val="21"/>
              </w:rPr>
              <w:t>1分</w:t>
            </w:r>
          </w:p>
        </w:tc>
        <w:tc>
          <w:tcPr>
            <w:tcW w:w="3473" w:type="dxa"/>
            <w:vAlign w:val="center"/>
          </w:tcPr>
          <w:p>
            <w:pPr>
              <w:pStyle w:val="152"/>
              <w:spacing w:line="240" w:lineRule="auto"/>
              <w:ind w:firstLine="0" w:firstLineChars="0"/>
              <w:rPr>
                <w:kern w:val="0"/>
                <w:szCs w:val="21"/>
              </w:rPr>
            </w:pPr>
            <w:r>
              <w:rPr>
                <w:rFonts w:hint="eastAsia"/>
                <w:kern w:val="0"/>
                <w:szCs w:val="21"/>
              </w:rPr>
              <w:t>造成家具或地板损坏扣0</w:t>
            </w:r>
            <w:r>
              <w:rPr>
                <w:kern w:val="0"/>
                <w:szCs w:val="21"/>
              </w:rPr>
              <w:t>.</w:t>
            </w:r>
            <w:r>
              <w:rPr>
                <w:rFonts w:hint="eastAsia"/>
                <w:kern w:val="0"/>
                <w:szCs w:val="21"/>
              </w:rPr>
              <w:t>1分，并承担10%维修费用。直至该项分值扣完为止。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4" w:type="dxa"/>
            <w:vMerge w:val="continue"/>
          </w:tcPr>
          <w:p>
            <w:pPr>
              <w:pStyle w:val="152"/>
              <w:spacing w:line="240" w:lineRule="auto"/>
              <w:ind w:firstLine="0" w:firstLineChars="0"/>
              <w:rPr>
                <w:kern w:val="0"/>
                <w:szCs w:val="21"/>
              </w:rPr>
            </w:pPr>
          </w:p>
        </w:tc>
        <w:tc>
          <w:tcPr>
            <w:tcW w:w="3357" w:type="dxa"/>
            <w:vAlign w:val="center"/>
          </w:tcPr>
          <w:p>
            <w:pPr>
              <w:pStyle w:val="152"/>
              <w:spacing w:line="240" w:lineRule="auto"/>
              <w:ind w:firstLine="0" w:firstLineChars="0"/>
              <w:rPr>
                <w:kern w:val="0"/>
                <w:szCs w:val="21"/>
              </w:rPr>
            </w:pPr>
            <w:r>
              <w:rPr>
                <w:rFonts w:hint="eastAsia"/>
                <w:kern w:val="0"/>
                <w:szCs w:val="21"/>
              </w:rPr>
              <w:t>做好停车场的管理，正确疏导机动车辆进出、泊车，提醒车主关好车辆门窗，上锁，防止车辆碰撞、损坏等问题发生。</w:t>
            </w:r>
          </w:p>
        </w:tc>
        <w:tc>
          <w:tcPr>
            <w:tcW w:w="791" w:type="dxa"/>
            <w:vAlign w:val="center"/>
          </w:tcPr>
          <w:p>
            <w:pPr>
              <w:pStyle w:val="152"/>
              <w:spacing w:line="240" w:lineRule="auto"/>
              <w:ind w:firstLine="0" w:firstLineChars="0"/>
              <w:rPr>
                <w:kern w:val="0"/>
                <w:szCs w:val="21"/>
              </w:rPr>
            </w:pPr>
            <w:r>
              <w:rPr>
                <w:kern w:val="0"/>
                <w:szCs w:val="21"/>
              </w:rPr>
              <w:t>1</w:t>
            </w:r>
            <w:r>
              <w:rPr>
                <w:rFonts w:hint="eastAsia"/>
                <w:kern w:val="0"/>
                <w:szCs w:val="21"/>
              </w:rPr>
              <w:t>分</w:t>
            </w:r>
          </w:p>
        </w:tc>
        <w:tc>
          <w:tcPr>
            <w:tcW w:w="3473" w:type="dxa"/>
            <w:vAlign w:val="center"/>
          </w:tcPr>
          <w:p>
            <w:pPr>
              <w:pStyle w:val="152"/>
              <w:spacing w:line="240" w:lineRule="auto"/>
              <w:ind w:firstLine="0" w:firstLineChars="0"/>
              <w:rPr>
                <w:kern w:val="0"/>
                <w:szCs w:val="21"/>
              </w:rPr>
            </w:pPr>
            <w:r>
              <w:rPr>
                <w:rFonts w:hint="eastAsia"/>
                <w:kern w:val="0"/>
                <w:szCs w:val="21"/>
              </w:rPr>
              <w:t>发现乱停放车辆，一辆扣0</w:t>
            </w:r>
            <w:r>
              <w:rPr>
                <w:kern w:val="0"/>
                <w:szCs w:val="21"/>
              </w:rPr>
              <w:t>.</w:t>
            </w:r>
            <w:r>
              <w:rPr>
                <w:rFonts w:hint="eastAsia"/>
                <w:kern w:val="0"/>
                <w:szCs w:val="21"/>
              </w:rPr>
              <w:t>1分；发生车辆碰撞，碰撞、损坏一次扣0</w:t>
            </w:r>
            <w:r>
              <w:rPr>
                <w:kern w:val="0"/>
                <w:szCs w:val="21"/>
              </w:rPr>
              <w:t>.2</w:t>
            </w:r>
            <w:r>
              <w:rPr>
                <w:rFonts w:hint="eastAsia"/>
                <w:kern w:val="0"/>
                <w:szCs w:val="21"/>
              </w:rPr>
              <w:t>分，并由管理公司承担相应责任。直至该项分值扣完为止。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4" w:type="dxa"/>
            <w:vMerge w:val="continue"/>
          </w:tcPr>
          <w:p>
            <w:pPr>
              <w:pStyle w:val="152"/>
              <w:spacing w:line="240" w:lineRule="auto"/>
              <w:ind w:firstLine="0" w:firstLineChars="0"/>
              <w:rPr>
                <w:kern w:val="0"/>
                <w:szCs w:val="21"/>
              </w:rPr>
            </w:pPr>
          </w:p>
        </w:tc>
        <w:tc>
          <w:tcPr>
            <w:tcW w:w="3357" w:type="dxa"/>
            <w:vAlign w:val="center"/>
          </w:tcPr>
          <w:p>
            <w:pPr>
              <w:pStyle w:val="152"/>
              <w:spacing w:line="240" w:lineRule="auto"/>
              <w:ind w:firstLine="0" w:firstLineChars="0"/>
              <w:rPr>
                <w:kern w:val="0"/>
                <w:szCs w:val="21"/>
              </w:rPr>
            </w:pPr>
            <w:r>
              <w:rPr>
                <w:rFonts w:hint="eastAsia"/>
                <w:kern w:val="0"/>
                <w:szCs w:val="21"/>
              </w:rPr>
              <w:t>引导非机动车辆集中停放，停放整齐，场地洁净，落实管理制度，确秩序维护全，严防损坏与丢失。</w:t>
            </w:r>
          </w:p>
        </w:tc>
        <w:tc>
          <w:tcPr>
            <w:tcW w:w="791" w:type="dxa"/>
            <w:vAlign w:val="center"/>
          </w:tcPr>
          <w:p>
            <w:pPr>
              <w:pStyle w:val="152"/>
              <w:spacing w:line="240" w:lineRule="auto"/>
              <w:ind w:firstLine="0" w:firstLineChars="0"/>
              <w:rPr>
                <w:kern w:val="0"/>
                <w:szCs w:val="21"/>
              </w:rPr>
            </w:pPr>
            <w:r>
              <w:rPr>
                <w:kern w:val="0"/>
                <w:szCs w:val="21"/>
              </w:rPr>
              <w:t>1</w:t>
            </w:r>
            <w:r>
              <w:rPr>
                <w:rFonts w:hint="eastAsia"/>
                <w:kern w:val="0"/>
                <w:szCs w:val="21"/>
              </w:rPr>
              <w:t>分</w:t>
            </w:r>
          </w:p>
        </w:tc>
        <w:tc>
          <w:tcPr>
            <w:tcW w:w="3473" w:type="dxa"/>
            <w:vAlign w:val="center"/>
          </w:tcPr>
          <w:p>
            <w:pPr>
              <w:pStyle w:val="152"/>
              <w:spacing w:line="240" w:lineRule="auto"/>
              <w:ind w:firstLine="0" w:firstLineChars="0"/>
              <w:rPr>
                <w:kern w:val="0"/>
                <w:szCs w:val="21"/>
              </w:rPr>
            </w:pPr>
            <w:r>
              <w:rPr>
                <w:rFonts w:hint="eastAsia"/>
                <w:kern w:val="0"/>
                <w:szCs w:val="21"/>
              </w:rPr>
              <w:t>一项不符合扣0</w:t>
            </w:r>
            <w:r>
              <w:rPr>
                <w:kern w:val="0"/>
                <w:szCs w:val="21"/>
              </w:rPr>
              <w:t>.</w:t>
            </w:r>
            <w:r>
              <w:rPr>
                <w:rFonts w:hint="eastAsia"/>
                <w:kern w:val="0"/>
                <w:szCs w:val="21"/>
              </w:rPr>
              <w:t>1分；发生损坏或丢失一次扣</w:t>
            </w:r>
            <w:r>
              <w:rPr>
                <w:kern w:val="0"/>
                <w:szCs w:val="21"/>
              </w:rPr>
              <w:t>1</w:t>
            </w:r>
            <w:r>
              <w:rPr>
                <w:rFonts w:hint="eastAsia"/>
                <w:kern w:val="0"/>
                <w:szCs w:val="21"/>
              </w:rPr>
              <w:t>分，并由管理公司承担相应责任。直至该项分值扣完为止。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4" w:type="dxa"/>
            <w:vMerge w:val="continue"/>
          </w:tcPr>
          <w:p>
            <w:pPr>
              <w:pStyle w:val="152"/>
              <w:spacing w:line="240" w:lineRule="auto"/>
              <w:ind w:firstLine="0" w:firstLineChars="0"/>
              <w:rPr>
                <w:kern w:val="0"/>
                <w:szCs w:val="21"/>
              </w:rPr>
            </w:pPr>
          </w:p>
        </w:tc>
        <w:tc>
          <w:tcPr>
            <w:tcW w:w="3357" w:type="dxa"/>
            <w:vAlign w:val="center"/>
          </w:tcPr>
          <w:p>
            <w:pPr>
              <w:pStyle w:val="152"/>
              <w:spacing w:line="240" w:lineRule="auto"/>
              <w:ind w:firstLine="0" w:firstLineChars="0"/>
              <w:rPr>
                <w:kern w:val="0"/>
                <w:szCs w:val="21"/>
              </w:rPr>
            </w:pPr>
            <w:r>
              <w:rPr>
                <w:rFonts w:hint="eastAsia"/>
                <w:kern w:val="0"/>
                <w:szCs w:val="21"/>
              </w:rPr>
              <w:t>门卫岗位，严格执勤，维护进出车辆秩序，不与车主发生冲突。</w:t>
            </w:r>
          </w:p>
        </w:tc>
        <w:tc>
          <w:tcPr>
            <w:tcW w:w="791" w:type="dxa"/>
            <w:vAlign w:val="center"/>
          </w:tcPr>
          <w:p>
            <w:pPr>
              <w:pStyle w:val="152"/>
              <w:spacing w:line="240" w:lineRule="auto"/>
              <w:ind w:firstLine="0" w:firstLineChars="0"/>
              <w:rPr>
                <w:kern w:val="0"/>
                <w:szCs w:val="21"/>
              </w:rPr>
            </w:pPr>
            <w:r>
              <w:rPr>
                <w:kern w:val="0"/>
                <w:szCs w:val="21"/>
              </w:rPr>
              <w:t>1</w:t>
            </w:r>
            <w:r>
              <w:rPr>
                <w:rFonts w:hint="eastAsia"/>
                <w:kern w:val="0"/>
                <w:szCs w:val="21"/>
              </w:rPr>
              <w:t>分</w:t>
            </w:r>
          </w:p>
        </w:tc>
        <w:tc>
          <w:tcPr>
            <w:tcW w:w="3473" w:type="dxa"/>
            <w:vAlign w:val="center"/>
          </w:tcPr>
          <w:p>
            <w:pPr>
              <w:pStyle w:val="152"/>
              <w:spacing w:line="240" w:lineRule="auto"/>
              <w:ind w:firstLine="0" w:firstLineChars="0"/>
              <w:rPr>
                <w:kern w:val="0"/>
                <w:szCs w:val="21"/>
              </w:rPr>
            </w:pPr>
            <w:r>
              <w:rPr>
                <w:rFonts w:hint="eastAsia"/>
                <w:kern w:val="0"/>
                <w:szCs w:val="21"/>
              </w:rPr>
              <w:t>发生一起扣0</w:t>
            </w:r>
            <w:r>
              <w:rPr>
                <w:kern w:val="0"/>
                <w:szCs w:val="21"/>
              </w:rPr>
              <w:t>.</w:t>
            </w:r>
            <w:r>
              <w:rPr>
                <w:rFonts w:hint="eastAsia"/>
                <w:kern w:val="0"/>
                <w:szCs w:val="21"/>
              </w:rPr>
              <w:t>2分，直至该项分值扣完为止。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4" w:type="dxa"/>
            <w:vMerge w:val="continue"/>
          </w:tcPr>
          <w:p>
            <w:pPr>
              <w:pStyle w:val="152"/>
              <w:spacing w:line="240" w:lineRule="auto"/>
              <w:ind w:firstLine="0" w:firstLineChars="0"/>
              <w:rPr>
                <w:kern w:val="0"/>
                <w:szCs w:val="21"/>
              </w:rPr>
            </w:pPr>
          </w:p>
        </w:tc>
        <w:tc>
          <w:tcPr>
            <w:tcW w:w="3357" w:type="dxa"/>
            <w:vAlign w:val="center"/>
          </w:tcPr>
          <w:p>
            <w:pPr>
              <w:pStyle w:val="152"/>
              <w:spacing w:line="240" w:lineRule="auto"/>
              <w:ind w:firstLine="0" w:firstLineChars="0"/>
              <w:rPr>
                <w:kern w:val="0"/>
                <w:szCs w:val="21"/>
              </w:rPr>
            </w:pPr>
            <w:r>
              <w:rPr>
                <w:rFonts w:hint="eastAsia"/>
                <w:kern w:val="0"/>
                <w:szCs w:val="21"/>
              </w:rPr>
              <w:t>能熟练掌握消防设施设备的使用方法。</w:t>
            </w:r>
          </w:p>
        </w:tc>
        <w:tc>
          <w:tcPr>
            <w:tcW w:w="791" w:type="dxa"/>
            <w:vAlign w:val="center"/>
          </w:tcPr>
          <w:p>
            <w:pPr>
              <w:pStyle w:val="152"/>
              <w:spacing w:line="240" w:lineRule="auto"/>
              <w:ind w:firstLine="0" w:firstLineChars="0"/>
              <w:rPr>
                <w:kern w:val="0"/>
                <w:szCs w:val="21"/>
              </w:rPr>
            </w:pPr>
            <w:r>
              <w:rPr>
                <w:kern w:val="0"/>
                <w:szCs w:val="21"/>
              </w:rPr>
              <w:t>1</w:t>
            </w:r>
            <w:r>
              <w:rPr>
                <w:rFonts w:hint="eastAsia"/>
                <w:kern w:val="0"/>
                <w:szCs w:val="21"/>
              </w:rPr>
              <w:t>分</w:t>
            </w:r>
          </w:p>
        </w:tc>
        <w:tc>
          <w:tcPr>
            <w:tcW w:w="3473" w:type="dxa"/>
            <w:vAlign w:val="center"/>
          </w:tcPr>
          <w:p>
            <w:pPr>
              <w:pStyle w:val="152"/>
              <w:spacing w:line="240" w:lineRule="auto"/>
              <w:ind w:firstLine="0" w:firstLineChars="0"/>
              <w:rPr>
                <w:kern w:val="0"/>
                <w:szCs w:val="21"/>
              </w:rPr>
            </w:pPr>
            <w:r>
              <w:rPr>
                <w:rFonts w:hint="eastAsia"/>
                <w:kern w:val="0"/>
                <w:szCs w:val="21"/>
              </w:rPr>
              <w:t>不会使用操作扣0</w:t>
            </w:r>
            <w:r>
              <w:rPr>
                <w:kern w:val="0"/>
                <w:szCs w:val="21"/>
              </w:rPr>
              <w:t>.5</w:t>
            </w:r>
            <w:r>
              <w:rPr>
                <w:rFonts w:hint="eastAsia"/>
                <w:kern w:val="0"/>
                <w:szCs w:val="21"/>
              </w:rPr>
              <w:t>分，不熟练扣0</w:t>
            </w:r>
            <w:r>
              <w:rPr>
                <w:kern w:val="0"/>
                <w:szCs w:val="21"/>
              </w:rPr>
              <w:t>.2</w:t>
            </w:r>
            <w:r>
              <w:rPr>
                <w:rFonts w:hint="eastAsia"/>
                <w:kern w:val="0"/>
                <w:szCs w:val="21"/>
              </w:rPr>
              <w:t>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4" w:type="dxa"/>
            <w:vMerge w:val="continue"/>
          </w:tcPr>
          <w:p>
            <w:pPr>
              <w:pStyle w:val="152"/>
              <w:spacing w:line="240" w:lineRule="auto"/>
              <w:ind w:firstLine="0" w:firstLineChars="0"/>
              <w:rPr>
                <w:kern w:val="0"/>
                <w:szCs w:val="21"/>
              </w:rPr>
            </w:pPr>
          </w:p>
        </w:tc>
        <w:tc>
          <w:tcPr>
            <w:tcW w:w="3357" w:type="dxa"/>
            <w:vAlign w:val="center"/>
          </w:tcPr>
          <w:p>
            <w:pPr>
              <w:pStyle w:val="152"/>
              <w:spacing w:line="240" w:lineRule="auto"/>
              <w:ind w:firstLine="0" w:firstLineChars="0"/>
              <w:rPr>
                <w:kern w:val="0"/>
                <w:szCs w:val="21"/>
              </w:rPr>
            </w:pPr>
            <w:r>
              <w:rPr>
                <w:rFonts w:hint="eastAsia"/>
                <w:kern w:val="0"/>
                <w:szCs w:val="21"/>
              </w:rPr>
              <w:t>能正确果断处理各种火险、火灾以及救护程序。</w:t>
            </w:r>
          </w:p>
        </w:tc>
        <w:tc>
          <w:tcPr>
            <w:tcW w:w="791" w:type="dxa"/>
            <w:vAlign w:val="center"/>
          </w:tcPr>
          <w:p>
            <w:pPr>
              <w:pStyle w:val="152"/>
              <w:spacing w:line="240" w:lineRule="auto"/>
              <w:ind w:firstLine="0" w:firstLineChars="0"/>
              <w:rPr>
                <w:kern w:val="0"/>
                <w:szCs w:val="21"/>
              </w:rPr>
            </w:pPr>
            <w:r>
              <w:rPr>
                <w:kern w:val="0"/>
                <w:szCs w:val="21"/>
              </w:rPr>
              <w:t>1</w:t>
            </w:r>
            <w:r>
              <w:rPr>
                <w:rFonts w:hint="eastAsia"/>
                <w:kern w:val="0"/>
                <w:szCs w:val="21"/>
              </w:rPr>
              <w:t>分</w:t>
            </w:r>
          </w:p>
        </w:tc>
        <w:tc>
          <w:tcPr>
            <w:tcW w:w="3473" w:type="dxa"/>
            <w:vAlign w:val="center"/>
          </w:tcPr>
          <w:p>
            <w:pPr>
              <w:pStyle w:val="152"/>
              <w:spacing w:line="240" w:lineRule="auto"/>
              <w:ind w:firstLine="0" w:firstLineChars="0"/>
              <w:rPr>
                <w:kern w:val="0"/>
                <w:szCs w:val="21"/>
              </w:rPr>
            </w:pPr>
            <w:r>
              <w:rPr>
                <w:rFonts w:hint="eastAsia"/>
                <w:kern w:val="0"/>
                <w:szCs w:val="21"/>
              </w:rPr>
              <w:t>不会扣0</w:t>
            </w:r>
            <w:r>
              <w:rPr>
                <w:kern w:val="0"/>
                <w:szCs w:val="21"/>
              </w:rPr>
              <w:t>.</w:t>
            </w:r>
            <w:r>
              <w:rPr>
                <w:rFonts w:hint="eastAsia"/>
                <w:kern w:val="0"/>
                <w:szCs w:val="21"/>
              </w:rPr>
              <w:t>2分，直至该项分值扣完为止。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4" w:type="dxa"/>
            <w:vMerge w:val="continue"/>
          </w:tcPr>
          <w:p>
            <w:pPr>
              <w:pStyle w:val="152"/>
              <w:spacing w:line="240" w:lineRule="auto"/>
              <w:ind w:firstLine="0" w:firstLineChars="0"/>
              <w:rPr>
                <w:kern w:val="0"/>
                <w:szCs w:val="21"/>
              </w:rPr>
            </w:pPr>
          </w:p>
        </w:tc>
        <w:tc>
          <w:tcPr>
            <w:tcW w:w="3357" w:type="dxa"/>
            <w:vAlign w:val="center"/>
          </w:tcPr>
          <w:p>
            <w:pPr>
              <w:pStyle w:val="152"/>
              <w:spacing w:line="240" w:lineRule="auto"/>
              <w:ind w:firstLine="0" w:firstLineChars="0"/>
              <w:rPr>
                <w:kern w:val="0"/>
                <w:szCs w:val="21"/>
              </w:rPr>
            </w:pPr>
            <w:r>
              <w:rPr>
                <w:rFonts w:hint="eastAsia"/>
                <w:kern w:val="0"/>
                <w:szCs w:val="21"/>
              </w:rPr>
              <w:t>严格消防管理制度，认真巡查火险隐患，确保无火灾事故发生。</w:t>
            </w:r>
          </w:p>
        </w:tc>
        <w:tc>
          <w:tcPr>
            <w:tcW w:w="791" w:type="dxa"/>
            <w:vAlign w:val="center"/>
          </w:tcPr>
          <w:p>
            <w:pPr>
              <w:pStyle w:val="152"/>
              <w:spacing w:line="240" w:lineRule="auto"/>
              <w:ind w:firstLine="0" w:firstLineChars="0"/>
              <w:rPr>
                <w:kern w:val="0"/>
                <w:szCs w:val="21"/>
              </w:rPr>
            </w:pPr>
            <w:r>
              <w:rPr>
                <w:kern w:val="0"/>
                <w:szCs w:val="21"/>
              </w:rPr>
              <w:t>1</w:t>
            </w:r>
            <w:r>
              <w:rPr>
                <w:rFonts w:hint="eastAsia"/>
                <w:kern w:val="0"/>
                <w:szCs w:val="21"/>
              </w:rPr>
              <w:t>分</w:t>
            </w:r>
          </w:p>
        </w:tc>
        <w:tc>
          <w:tcPr>
            <w:tcW w:w="3473" w:type="dxa"/>
            <w:vAlign w:val="center"/>
          </w:tcPr>
          <w:p>
            <w:pPr>
              <w:pStyle w:val="152"/>
              <w:spacing w:line="240" w:lineRule="auto"/>
              <w:ind w:firstLine="0" w:firstLineChars="0"/>
              <w:rPr>
                <w:kern w:val="0"/>
                <w:szCs w:val="21"/>
              </w:rPr>
            </w:pPr>
            <w:r>
              <w:rPr>
                <w:rFonts w:hint="eastAsia"/>
                <w:kern w:val="0"/>
                <w:szCs w:val="21"/>
              </w:rPr>
              <w:t>检查一处有隐患扣0</w:t>
            </w:r>
            <w:r>
              <w:rPr>
                <w:kern w:val="0"/>
                <w:szCs w:val="21"/>
              </w:rPr>
              <w:t>.</w:t>
            </w:r>
            <w:r>
              <w:rPr>
                <w:rFonts w:hint="eastAsia"/>
                <w:kern w:val="0"/>
                <w:szCs w:val="21"/>
              </w:rPr>
              <w:t>1分，发生火灾事故扣</w:t>
            </w:r>
            <w:r>
              <w:rPr>
                <w:kern w:val="0"/>
                <w:szCs w:val="21"/>
              </w:rPr>
              <w:t>1</w:t>
            </w:r>
            <w:r>
              <w:rPr>
                <w:rFonts w:hint="eastAsia"/>
                <w:kern w:val="0"/>
                <w:szCs w:val="21"/>
              </w:rPr>
              <w:t>分，并追究责任。直至该项分值扣完为止。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4" w:type="dxa"/>
            <w:vMerge w:val="continue"/>
          </w:tcPr>
          <w:p>
            <w:pPr>
              <w:pStyle w:val="152"/>
              <w:spacing w:line="240" w:lineRule="auto"/>
              <w:ind w:firstLine="0" w:firstLineChars="0"/>
              <w:rPr>
                <w:kern w:val="0"/>
                <w:szCs w:val="21"/>
              </w:rPr>
            </w:pPr>
          </w:p>
        </w:tc>
        <w:tc>
          <w:tcPr>
            <w:tcW w:w="3357" w:type="dxa"/>
            <w:vAlign w:val="center"/>
          </w:tcPr>
          <w:p>
            <w:pPr>
              <w:pStyle w:val="152"/>
              <w:spacing w:line="240" w:lineRule="auto"/>
              <w:ind w:firstLine="0" w:firstLineChars="0"/>
              <w:rPr>
                <w:kern w:val="0"/>
                <w:szCs w:val="21"/>
              </w:rPr>
            </w:pPr>
            <w:r>
              <w:rPr>
                <w:rFonts w:hint="eastAsia"/>
                <w:kern w:val="0"/>
                <w:szCs w:val="21"/>
              </w:rPr>
              <w:t>各种消防设施定期检查保养、维护，确保无缺损，保障正常运行。</w:t>
            </w:r>
          </w:p>
        </w:tc>
        <w:tc>
          <w:tcPr>
            <w:tcW w:w="791" w:type="dxa"/>
            <w:vAlign w:val="center"/>
          </w:tcPr>
          <w:p>
            <w:pPr>
              <w:pStyle w:val="152"/>
              <w:spacing w:line="240" w:lineRule="auto"/>
              <w:ind w:firstLine="0" w:firstLineChars="0"/>
              <w:rPr>
                <w:kern w:val="0"/>
                <w:szCs w:val="21"/>
              </w:rPr>
            </w:pPr>
            <w:r>
              <w:rPr>
                <w:kern w:val="0"/>
                <w:szCs w:val="21"/>
              </w:rPr>
              <w:t>1</w:t>
            </w:r>
            <w:r>
              <w:rPr>
                <w:rFonts w:hint="eastAsia"/>
                <w:kern w:val="0"/>
                <w:szCs w:val="21"/>
              </w:rPr>
              <w:t>分</w:t>
            </w:r>
          </w:p>
        </w:tc>
        <w:tc>
          <w:tcPr>
            <w:tcW w:w="3473" w:type="dxa"/>
            <w:vAlign w:val="center"/>
          </w:tcPr>
          <w:p>
            <w:pPr>
              <w:pStyle w:val="152"/>
              <w:spacing w:line="240" w:lineRule="auto"/>
              <w:ind w:firstLine="0" w:firstLineChars="0"/>
              <w:rPr>
                <w:kern w:val="0"/>
                <w:szCs w:val="21"/>
              </w:rPr>
            </w:pPr>
            <w:r>
              <w:rPr>
                <w:rFonts w:hint="eastAsia"/>
                <w:kern w:val="0"/>
                <w:szCs w:val="21"/>
              </w:rPr>
              <w:t>无保养扣0</w:t>
            </w:r>
            <w:r>
              <w:rPr>
                <w:kern w:val="0"/>
                <w:szCs w:val="21"/>
              </w:rPr>
              <w:t>.</w:t>
            </w:r>
            <w:r>
              <w:rPr>
                <w:rFonts w:hint="eastAsia"/>
                <w:kern w:val="0"/>
                <w:szCs w:val="21"/>
              </w:rPr>
              <w:t>1分，一处运行障碍扣0</w:t>
            </w:r>
            <w:r>
              <w:rPr>
                <w:kern w:val="0"/>
                <w:szCs w:val="21"/>
              </w:rPr>
              <w:t>.</w:t>
            </w:r>
            <w:r>
              <w:rPr>
                <w:rFonts w:hint="eastAsia"/>
                <w:kern w:val="0"/>
                <w:szCs w:val="21"/>
              </w:rPr>
              <w:t>1分，一处缺或损坏扣0</w:t>
            </w:r>
            <w:r>
              <w:rPr>
                <w:kern w:val="0"/>
                <w:szCs w:val="21"/>
              </w:rPr>
              <w:t>.</w:t>
            </w:r>
            <w:r>
              <w:rPr>
                <w:rFonts w:hint="eastAsia"/>
                <w:kern w:val="0"/>
                <w:szCs w:val="21"/>
              </w:rPr>
              <w:t>1分。直至该项分值扣完为止。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4" w:type="dxa"/>
            <w:vMerge w:val="continue"/>
          </w:tcPr>
          <w:p>
            <w:pPr>
              <w:pStyle w:val="152"/>
              <w:spacing w:line="240" w:lineRule="auto"/>
              <w:ind w:firstLine="0" w:firstLineChars="0"/>
              <w:rPr>
                <w:kern w:val="0"/>
                <w:szCs w:val="21"/>
              </w:rPr>
            </w:pPr>
          </w:p>
        </w:tc>
        <w:tc>
          <w:tcPr>
            <w:tcW w:w="3357" w:type="dxa"/>
            <w:vAlign w:val="center"/>
          </w:tcPr>
          <w:p>
            <w:pPr>
              <w:pStyle w:val="152"/>
              <w:spacing w:line="240" w:lineRule="auto"/>
              <w:ind w:firstLine="0" w:firstLineChars="0"/>
              <w:rPr>
                <w:kern w:val="0"/>
                <w:szCs w:val="21"/>
              </w:rPr>
            </w:pPr>
            <w:r>
              <w:rPr>
                <w:rFonts w:hint="eastAsia"/>
                <w:kern w:val="0"/>
                <w:szCs w:val="21"/>
              </w:rPr>
              <w:t>严格消防管理制度，认真巡查火险隐患，确保无火灾事故发生。</w:t>
            </w:r>
          </w:p>
        </w:tc>
        <w:tc>
          <w:tcPr>
            <w:tcW w:w="791" w:type="dxa"/>
            <w:vAlign w:val="center"/>
          </w:tcPr>
          <w:p>
            <w:pPr>
              <w:pStyle w:val="152"/>
              <w:spacing w:line="240" w:lineRule="auto"/>
              <w:ind w:firstLine="0" w:firstLineChars="0"/>
              <w:rPr>
                <w:kern w:val="0"/>
                <w:szCs w:val="21"/>
              </w:rPr>
            </w:pPr>
            <w:r>
              <w:rPr>
                <w:kern w:val="0"/>
                <w:szCs w:val="21"/>
              </w:rPr>
              <w:t>1</w:t>
            </w:r>
            <w:r>
              <w:rPr>
                <w:rFonts w:hint="eastAsia"/>
                <w:kern w:val="0"/>
                <w:szCs w:val="21"/>
              </w:rPr>
              <w:t>分</w:t>
            </w:r>
          </w:p>
        </w:tc>
        <w:tc>
          <w:tcPr>
            <w:tcW w:w="3473" w:type="dxa"/>
            <w:vAlign w:val="center"/>
          </w:tcPr>
          <w:p>
            <w:pPr>
              <w:pStyle w:val="152"/>
              <w:spacing w:line="240" w:lineRule="auto"/>
              <w:ind w:firstLine="0" w:firstLineChars="0"/>
              <w:rPr>
                <w:kern w:val="0"/>
                <w:szCs w:val="21"/>
              </w:rPr>
            </w:pPr>
            <w:r>
              <w:rPr>
                <w:rFonts w:hint="eastAsia"/>
                <w:kern w:val="0"/>
                <w:szCs w:val="21"/>
              </w:rPr>
              <w:t>检查一处有隐患扣0</w:t>
            </w:r>
            <w:r>
              <w:rPr>
                <w:kern w:val="0"/>
                <w:szCs w:val="21"/>
              </w:rPr>
              <w:t>.</w:t>
            </w:r>
            <w:r>
              <w:rPr>
                <w:rFonts w:hint="eastAsia"/>
                <w:kern w:val="0"/>
                <w:szCs w:val="21"/>
              </w:rPr>
              <w:t>1分，发生火灾事故0</w:t>
            </w:r>
            <w:r>
              <w:rPr>
                <w:kern w:val="0"/>
                <w:szCs w:val="21"/>
              </w:rPr>
              <w:t>.5</w:t>
            </w:r>
            <w:r>
              <w:rPr>
                <w:rFonts w:hint="eastAsia"/>
                <w:kern w:val="0"/>
                <w:szCs w:val="21"/>
              </w:rPr>
              <w:t>分，并追究责任。直至该项分值扣完为止。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jc w:val="center"/>
        </w:trPr>
        <w:tc>
          <w:tcPr>
            <w:tcW w:w="734" w:type="dxa"/>
            <w:vMerge w:val="restart"/>
            <w:vAlign w:val="center"/>
          </w:tcPr>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r>
              <w:rPr>
                <w:rFonts w:hint="eastAsia"/>
                <w:kern w:val="0"/>
                <w:szCs w:val="21"/>
              </w:rPr>
              <w:t>清洁卫生管理</w:t>
            </w:r>
          </w:p>
          <w:p>
            <w:pPr>
              <w:pStyle w:val="152"/>
              <w:spacing w:line="240" w:lineRule="auto"/>
              <w:ind w:firstLine="0" w:firstLineChars="0"/>
              <w:rPr>
                <w:kern w:val="0"/>
                <w:szCs w:val="21"/>
              </w:rPr>
            </w:pPr>
            <w:r>
              <w:rPr>
                <w:rFonts w:hint="eastAsia"/>
                <w:kern w:val="0"/>
                <w:szCs w:val="21"/>
              </w:rPr>
              <w:t>（</w:t>
            </w:r>
            <w:r>
              <w:rPr>
                <w:kern w:val="0"/>
                <w:szCs w:val="21"/>
              </w:rPr>
              <w:t>20</w:t>
            </w:r>
            <w:r>
              <w:rPr>
                <w:rFonts w:hint="eastAsia"/>
                <w:kern w:val="0"/>
                <w:szCs w:val="21"/>
              </w:rPr>
              <w:t>分）</w:t>
            </w:r>
          </w:p>
          <w:p>
            <w:pPr>
              <w:pStyle w:val="152"/>
              <w:spacing w:line="240" w:lineRule="auto"/>
              <w:ind w:firstLine="0" w:firstLineChars="0"/>
              <w:rPr>
                <w:kern w:val="0"/>
                <w:szCs w:val="21"/>
              </w:rPr>
            </w:pPr>
          </w:p>
        </w:tc>
        <w:tc>
          <w:tcPr>
            <w:tcW w:w="3357" w:type="dxa"/>
            <w:vAlign w:val="center"/>
          </w:tcPr>
          <w:p>
            <w:pPr>
              <w:pStyle w:val="152"/>
              <w:spacing w:line="240" w:lineRule="auto"/>
              <w:ind w:firstLine="0" w:firstLineChars="0"/>
              <w:rPr>
                <w:kern w:val="0"/>
                <w:szCs w:val="21"/>
              </w:rPr>
            </w:pPr>
            <w:r>
              <w:rPr>
                <w:rFonts w:hint="eastAsia"/>
                <w:kern w:val="0"/>
                <w:szCs w:val="21"/>
              </w:rPr>
              <w:t>清洁保洁责任划分到人，责任范围清洁达到标准化。清洁员着装统一，工作细致，形象良好。</w:t>
            </w:r>
          </w:p>
        </w:tc>
        <w:tc>
          <w:tcPr>
            <w:tcW w:w="791" w:type="dxa"/>
            <w:vAlign w:val="center"/>
          </w:tcPr>
          <w:p>
            <w:pPr>
              <w:pStyle w:val="152"/>
              <w:spacing w:line="240" w:lineRule="auto"/>
              <w:ind w:firstLine="0" w:firstLineChars="0"/>
              <w:rPr>
                <w:kern w:val="0"/>
                <w:szCs w:val="21"/>
              </w:rPr>
            </w:pPr>
            <w:r>
              <w:rPr>
                <w:kern w:val="0"/>
                <w:szCs w:val="21"/>
              </w:rPr>
              <w:t>2</w:t>
            </w:r>
            <w:r>
              <w:rPr>
                <w:rFonts w:hint="eastAsia"/>
                <w:kern w:val="0"/>
                <w:szCs w:val="21"/>
              </w:rPr>
              <w:t>分</w:t>
            </w:r>
          </w:p>
        </w:tc>
        <w:tc>
          <w:tcPr>
            <w:tcW w:w="3473" w:type="dxa"/>
            <w:vAlign w:val="center"/>
          </w:tcPr>
          <w:p>
            <w:pPr>
              <w:pStyle w:val="152"/>
              <w:spacing w:line="240" w:lineRule="auto"/>
              <w:ind w:firstLine="0" w:firstLineChars="0"/>
              <w:rPr>
                <w:kern w:val="0"/>
                <w:szCs w:val="21"/>
              </w:rPr>
            </w:pPr>
            <w:r>
              <w:rPr>
                <w:rFonts w:hint="eastAsia"/>
                <w:kern w:val="0"/>
                <w:szCs w:val="21"/>
              </w:rPr>
              <w:t>未明确责任到人，一处扣0</w:t>
            </w:r>
            <w:r>
              <w:rPr>
                <w:kern w:val="0"/>
                <w:szCs w:val="21"/>
              </w:rPr>
              <w:t>.</w:t>
            </w:r>
            <w:r>
              <w:rPr>
                <w:rFonts w:hint="eastAsia"/>
                <w:kern w:val="0"/>
                <w:szCs w:val="21"/>
              </w:rPr>
              <w:t>1</w:t>
            </w:r>
            <w:r>
              <w:rPr>
                <w:kern w:val="0"/>
                <w:szCs w:val="21"/>
              </w:rPr>
              <w:t xml:space="preserve"> </w:t>
            </w:r>
          </w:p>
          <w:p>
            <w:pPr>
              <w:pStyle w:val="152"/>
              <w:spacing w:line="240" w:lineRule="auto"/>
              <w:ind w:firstLine="0" w:firstLineChars="0"/>
              <w:rPr>
                <w:kern w:val="0"/>
                <w:szCs w:val="21"/>
              </w:rPr>
            </w:pPr>
            <w:r>
              <w:rPr>
                <w:rFonts w:hint="eastAsia"/>
                <w:kern w:val="0"/>
                <w:szCs w:val="21"/>
              </w:rPr>
              <w:t>分。一处未达到标准保洁扣0</w:t>
            </w:r>
            <w:r>
              <w:rPr>
                <w:kern w:val="0"/>
                <w:szCs w:val="21"/>
              </w:rPr>
              <w:t>.</w:t>
            </w:r>
            <w:r>
              <w:rPr>
                <w:rFonts w:hint="eastAsia"/>
                <w:kern w:val="0"/>
                <w:szCs w:val="21"/>
              </w:rPr>
              <w:t>2分。直至该项分值扣完为止。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4" w:type="dxa"/>
            <w:vMerge w:val="continue"/>
          </w:tcPr>
          <w:p>
            <w:pPr>
              <w:pStyle w:val="152"/>
              <w:spacing w:line="240" w:lineRule="auto"/>
              <w:ind w:firstLine="0" w:firstLineChars="0"/>
              <w:rPr>
                <w:kern w:val="0"/>
                <w:szCs w:val="21"/>
              </w:rPr>
            </w:pPr>
          </w:p>
        </w:tc>
        <w:tc>
          <w:tcPr>
            <w:tcW w:w="3357" w:type="dxa"/>
            <w:vAlign w:val="center"/>
          </w:tcPr>
          <w:p>
            <w:pPr>
              <w:pStyle w:val="152"/>
              <w:spacing w:line="240" w:lineRule="auto"/>
              <w:ind w:firstLine="0" w:firstLineChars="0"/>
              <w:rPr>
                <w:kern w:val="0"/>
                <w:szCs w:val="21"/>
              </w:rPr>
            </w:pPr>
            <w:r>
              <w:rPr>
                <w:rFonts w:hint="eastAsia"/>
                <w:kern w:val="0"/>
                <w:szCs w:val="21"/>
              </w:rPr>
              <w:t>各责任区域门窗干净明亮、清爽；地面无纸屑、果皮、灰尘、杂物和污渍；垃圾筒纸篓内的垃圾不能超过三分之二。</w:t>
            </w:r>
          </w:p>
        </w:tc>
        <w:tc>
          <w:tcPr>
            <w:tcW w:w="791" w:type="dxa"/>
            <w:vAlign w:val="center"/>
          </w:tcPr>
          <w:p>
            <w:pPr>
              <w:pStyle w:val="152"/>
              <w:spacing w:line="240" w:lineRule="auto"/>
              <w:ind w:firstLine="0" w:firstLineChars="0"/>
              <w:rPr>
                <w:kern w:val="0"/>
                <w:szCs w:val="21"/>
              </w:rPr>
            </w:pPr>
            <w:r>
              <w:rPr>
                <w:kern w:val="0"/>
                <w:szCs w:val="21"/>
              </w:rPr>
              <w:t>2</w:t>
            </w:r>
            <w:r>
              <w:rPr>
                <w:rFonts w:hint="eastAsia"/>
                <w:kern w:val="0"/>
                <w:szCs w:val="21"/>
              </w:rPr>
              <w:t>分</w:t>
            </w:r>
          </w:p>
        </w:tc>
        <w:tc>
          <w:tcPr>
            <w:tcW w:w="3473" w:type="dxa"/>
            <w:vAlign w:val="center"/>
          </w:tcPr>
          <w:p>
            <w:pPr>
              <w:pStyle w:val="152"/>
              <w:spacing w:line="240" w:lineRule="auto"/>
              <w:ind w:firstLine="0" w:firstLineChars="0"/>
              <w:rPr>
                <w:kern w:val="0"/>
                <w:szCs w:val="21"/>
              </w:rPr>
            </w:pPr>
            <w:r>
              <w:rPr>
                <w:rFonts w:hint="eastAsia"/>
                <w:kern w:val="0"/>
                <w:szCs w:val="21"/>
              </w:rPr>
              <w:t>一个责任区域一项未做到扣0</w:t>
            </w:r>
            <w:r>
              <w:rPr>
                <w:kern w:val="0"/>
                <w:szCs w:val="21"/>
              </w:rPr>
              <w:t>.2</w:t>
            </w:r>
            <w:r>
              <w:rPr>
                <w:rFonts w:hint="eastAsia"/>
                <w:kern w:val="0"/>
                <w:szCs w:val="21"/>
              </w:rPr>
              <w:t>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4" w:type="dxa"/>
            <w:vMerge w:val="continue"/>
          </w:tcPr>
          <w:p>
            <w:pPr>
              <w:pStyle w:val="152"/>
              <w:spacing w:line="240" w:lineRule="auto"/>
              <w:ind w:firstLine="0" w:firstLineChars="0"/>
              <w:rPr>
                <w:kern w:val="0"/>
                <w:szCs w:val="21"/>
              </w:rPr>
            </w:pPr>
          </w:p>
        </w:tc>
        <w:tc>
          <w:tcPr>
            <w:tcW w:w="3357" w:type="dxa"/>
            <w:vAlign w:val="center"/>
          </w:tcPr>
          <w:p>
            <w:pPr>
              <w:pStyle w:val="152"/>
              <w:spacing w:line="240" w:lineRule="auto"/>
              <w:ind w:firstLine="0" w:firstLineChars="0"/>
              <w:rPr>
                <w:kern w:val="0"/>
                <w:szCs w:val="21"/>
              </w:rPr>
            </w:pPr>
            <w:r>
              <w:rPr>
                <w:rFonts w:hint="eastAsia"/>
                <w:kern w:val="0"/>
                <w:szCs w:val="21"/>
              </w:rPr>
              <w:t>各洗手间清洁明亮，无积水，无污渍，无异味。</w:t>
            </w:r>
          </w:p>
        </w:tc>
        <w:tc>
          <w:tcPr>
            <w:tcW w:w="791" w:type="dxa"/>
            <w:vAlign w:val="center"/>
          </w:tcPr>
          <w:p>
            <w:pPr>
              <w:pStyle w:val="152"/>
              <w:spacing w:line="240" w:lineRule="auto"/>
              <w:ind w:firstLine="0" w:firstLineChars="0"/>
              <w:rPr>
                <w:kern w:val="0"/>
                <w:szCs w:val="21"/>
              </w:rPr>
            </w:pPr>
            <w:r>
              <w:rPr>
                <w:kern w:val="0"/>
                <w:szCs w:val="21"/>
              </w:rPr>
              <w:t>2</w:t>
            </w:r>
            <w:r>
              <w:rPr>
                <w:rFonts w:hint="eastAsia"/>
                <w:kern w:val="0"/>
                <w:szCs w:val="21"/>
              </w:rPr>
              <w:t>分</w:t>
            </w:r>
          </w:p>
        </w:tc>
        <w:tc>
          <w:tcPr>
            <w:tcW w:w="3473" w:type="dxa"/>
            <w:vAlign w:val="center"/>
          </w:tcPr>
          <w:p>
            <w:pPr>
              <w:pStyle w:val="152"/>
              <w:spacing w:line="240" w:lineRule="auto"/>
              <w:ind w:firstLine="0" w:firstLineChars="0"/>
              <w:rPr>
                <w:kern w:val="0"/>
                <w:szCs w:val="21"/>
              </w:rPr>
            </w:pPr>
            <w:r>
              <w:rPr>
                <w:rFonts w:hint="eastAsia"/>
                <w:kern w:val="0"/>
                <w:szCs w:val="21"/>
              </w:rPr>
              <w:t>一个洗手间一项不符合扣0</w:t>
            </w:r>
            <w:r>
              <w:rPr>
                <w:kern w:val="0"/>
                <w:szCs w:val="21"/>
              </w:rPr>
              <w:t>.2</w:t>
            </w:r>
            <w:r>
              <w:rPr>
                <w:rFonts w:hint="eastAsia"/>
                <w:kern w:val="0"/>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4" w:type="dxa"/>
            <w:vMerge w:val="continue"/>
          </w:tcPr>
          <w:p>
            <w:pPr>
              <w:pStyle w:val="152"/>
              <w:spacing w:line="240" w:lineRule="auto"/>
              <w:ind w:firstLine="0" w:firstLineChars="0"/>
              <w:rPr>
                <w:kern w:val="0"/>
                <w:szCs w:val="21"/>
              </w:rPr>
            </w:pPr>
          </w:p>
        </w:tc>
        <w:tc>
          <w:tcPr>
            <w:tcW w:w="3357" w:type="dxa"/>
            <w:vAlign w:val="center"/>
          </w:tcPr>
          <w:p>
            <w:pPr>
              <w:pStyle w:val="152"/>
              <w:spacing w:line="240" w:lineRule="auto"/>
              <w:ind w:firstLine="0" w:firstLineChars="0"/>
              <w:rPr>
                <w:kern w:val="0"/>
                <w:szCs w:val="21"/>
              </w:rPr>
            </w:pPr>
            <w:r>
              <w:rPr>
                <w:rFonts w:hint="eastAsia"/>
                <w:kern w:val="0"/>
                <w:szCs w:val="21"/>
              </w:rPr>
              <w:t>用专用清洁布擦拭饮水设备，无污渍。</w:t>
            </w:r>
          </w:p>
        </w:tc>
        <w:tc>
          <w:tcPr>
            <w:tcW w:w="791" w:type="dxa"/>
            <w:vAlign w:val="center"/>
          </w:tcPr>
          <w:p>
            <w:pPr>
              <w:pStyle w:val="152"/>
              <w:spacing w:line="240" w:lineRule="auto"/>
              <w:ind w:firstLine="0" w:firstLineChars="0"/>
              <w:rPr>
                <w:kern w:val="0"/>
                <w:szCs w:val="21"/>
              </w:rPr>
            </w:pPr>
            <w:r>
              <w:rPr>
                <w:kern w:val="0"/>
                <w:szCs w:val="21"/>
              </w:rPr>
              <w:t>2</w:t>
            </w:r>
            <w:r>
              <w:rPr>
                <w:rFonts w:hint="eastAsia"/>
                <w:kern w:val="0"/>
                <w:szCs w:val="21"/>
              </w:rPr>
              <w:t>分</w:t>
            </w:r>
          </w:p>
        </w:tc>
        <w:tc>
          <w:tcPr>
            <w:tcW w:w="3473" w:type="dxa"/>
            <w:vAlign w:val="center"/>
          </w:tcPr>
          <w:p>
            <w:pPr>
              <w:pStyle w:val="152"/>
              <w:spacing w:line="240" w:lineRule="auto"/>
              <w:ind w:firstLine="0" w:firstLineChars="0"/>
              <w:rPr>
                <w:kern w:val="0"/>
                <w:szCs w:val="21"/>
              </w:rPr>
            </w:pPr>
            <w:r>
              <w:rPr>
                <w:rFonts w:hint="eastAsia"/>
                <w:kern w:val="0"/>
                <w:szCs w:val="21"/>
              </w:rPr>
              <w:t>一处饮水设备不符合扣0</w:t>
            </w:r>
            <w:r>
              <w:rPr>
                <w:kern w:val="0"/>
                <w:szCs w:val="21"/>
              </w:rPr>
              <w:t>.2</w:t>
            </w:r>
            <w:r>
              <w:rPr>
                <w:rFonts w:hint="eastAsia"/>
                <w:kern w:val="0"/>
                <w:szCs w:val="21"/>
              </w:rPr>
              <w:t>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4" w:type="dxa"/>
            <w:vMerge w:val="continue"/>
          </w:tcPr>
          <w:p>
            <w:pPr>
              <w:pStyle w:val="152"/>
              <w:spacing w:line="240" w:lineRule="auto"/>
              <w:ind w:firstLine="0" w:firstLineChars="0"/>
              <w:rPr>
                <w:kern w:val="0"/>
                <w:szCs w:val="21"/>
              </w:rPr>
            </w:pPr>
          </w:p>
        </w:tc>
        <w:tc>
          <w:tcPr>
            <w:tcW w:w="3357" w:type="dxa"/>
            <w:vAlign w:val="center"/>
          </w:tcPr>
          <w:p>
            <w:pPr>
              <w:pStyle w:val="152"/>
              <w:spacing w:line="240" w:lineRule="auto"/>
              <w:ind w:firstLine="0" w:firstLineChars="0"/>
              <w:rPr>
                <w:kern w:val="0"/>
                <w:szCs w:val="21"/>
              </w:rPr>
            </w:pPr>
            <w:r>
              <w:rPr>
                <w:rFonts w:hint="eastAsia"/>
                <w:kern w:val="0"/>
                <w:szCs w:val="21"/>
              </w:rPr>
              <w:t>地面保持干燥，尤其下雨天要加强管理，入口处放置地滑警示牌，防止行人摔伤，确秩序维护全。</w:t>
            </w:r>
          </w:p>
        </w:tc>
        <w:tc>
          <w:tcPr>
            <w:tcW w:w="791" w:type="dxa"/>
            <w:vAlign w:val="center"/>
          </w:tcPr>
          <w:p>
            <w:pPr>
              <w:pStyle w:val="152"/>
              <w:spacing w:line="240" w:lineRule="auto"/>
              <w:ind w:firstLine="0" w:firstLineChars="0"/>
              <w:rPr>
                <w:kern w:val="0"/>
                <w:szCs w:val="21"/>
              </w:rPr>
            </w:pPr>
            <w:r>
              <w:rPr>
                <w:kern w:val="0"/>
                <w:szCs w:val="21"/>
              </w:rPr>
              <w:t>2</w:t>
            </w:r>
            <w:r>
              <w:rPr>
                <w:rFonts w:hint="eastAsia"/>
                <w:kern w:val="0"/>
                <w:szCs w:val="21"/>
              </w:rPr>
              <w:t>分</w:t>
            </w:r>
          </w:p>
        </w:tc>
        <w:tc>
          <w:tcPr>
            <w:tcW w:w="3473" w:type="dxa"/>
            <w:vAlign w:val="center"/>
          </w:tcPr>
          <w:p>
            <w:pPr>
              <w:pStyle w:val="152"/>
              <w:spacing w:line="240" w:lineRule="auto"/>
              <w:ind w:firstLine="0" w:firstLineChars="0"/>
              <w:rPr>
                <w:kern w:val="0"/>
                <w:szCs w:val="21"/>
              </w:rPr>
            </w:pPr>
            <w:r>
              <w:rPr>
                <w:rFonts w:hint="eastAsia"/>
                <w:kern w:val="0"/>
                <w:szCs w:val="21"/>
              </w:rPr>
              <w:t>未设置警示牌，每次扣0</w:t>
            </w:r>
            <w:r>
              <w:rPr>
                <w:kern w:val="0"/>
                <w:szCs w:val="21"/>
              </w:rPr>
              <w:t>.2</w:t>
            </w:r>
            <w:r>
              <w:rPr>
                <w:rFonts w:hint="eastAsia"/>
                <w:kern w:val="0"/>
                <w:szCs w:val="21"/>
              </w:rPr>
              <w:t>分。因地面有水或其他果皮等致使人摔伤全扣，并且承担由此引发的责任。直至该项分值扣完为止。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4" w:type="dxa"/>
            <w:vMerge w:val="continue"/>
          </w:tcPr>
          <w:p>
            <w:pPr>
              <w:pStyle w:val="152"/>
              <w:spacing w:line="240" w:lineRule="auto"/>
              <w:ind w:firstLine="0" w:firstLineChars="0"/>
              <w:rPr>
                <w:kern w:val="0"/>
                <w:szCs w:val="21"/>
              </w:rPr>
            </w:pPr>
          </w:p>
        </w:tc>
        <w:tc>
          <w:tcPr>
            <w:tcW w:w="3357" w:type="dxa"/>
            <w:vAlign w:val="center"/>
          </w:tcPr>
          <w:p>
            <w:pPr>
              <w:pStyle w:val="152"/>
              <w:spacing w:line="240" w:lineRule="auto"/>
              <w:ind w:firstLine="0" w:firstLineChars="0"/>
              <w:rPr>
                <w:kern w:val="0"/>
                <w:szCs w:val="21"/>
              </w:rPr>
            </w:pPr>
            <w:r>
              <w:rPr>
                <w:rFonts w:hint="eastAsia"/>
                <w:kern w:val="0"/>
                <w:szCs w:val="21"/>
              </w:rPr>
              <w:t>垃圾做到日产日清，垃圾桶每三天至少清洗一次，外露面无垃圾附着。</w:t>
            </w:r>
          </w:p>
        </w:tc>
        <w:tc>
          <w:tcPr>
            <w:tcW w:w="791" w:type="dxa"/>
            <w:vAlign w:val="center"/>
          </w:tcPr>
          <w:p>
            <w:pPr>
              <w:pStyle w:val="152"/>
              <w:spacing w:line="240" w:lineRule="auto"/>
              <w:ind w:firstLine="0" w:firstLineChars="0"/>
              <w:rPr>
                <w:kern w:val="0"/>
                <w:szCs w:val="21"/>
              </w:rPr>
            </w:pPr>
            <w:r>
              <w:rPr>
                <w:kern w:val="0"/>
                <w:szCs w:val="21"/>
              </w:rPr>
              <w:t>2</w:t>
            </w:r>
            <w:r>
              <w:rPr>
                <w:rFonts w:hint="eastAsia"/>
                <w:kern w:val="0"/>
                <w:szCs w:val="21"/>
              </w:rPr>
              <w:t>分</w:t>
            </w:r>
          </w:p>
        </w:tc>
        <w:tc>
          <w:tcPr>
            <w:tcW w:w="3473" w:type="dxa"/>
            <w:vAlign w:val="center"/>
          </w:tcPr>
          <w:p>
            <w:pPr>
              <w:pStyle w:val="152"/>
              <w:spacing w:line="240" w:lineRule="auto"/>
              <w:ind w:firstLine="0" w:firstLineChars="0"/>
              <w:rPr>
                <w:kern w:val="0"/>
                <w:szCs w:val="21"/>
              </w:rPr>
            </w:pPr>
            <w:r>
              <w:rPr>
                <w:rFonts w:hint="eastAsia"/>
                <w:kern w:val="0"/>
                <w:szCs w:val="21"/>
              </w:rPr>
              <w:t>一项未做到扣0</w:t>
            </w:r>
            <w:r>
              <w:rPr>
                <w:kern w:val="0"/>
                <w:szCs w:val="21"/>
              </w:rPr>
              <w:t>.2</w:t>
            </w:r>
            <w:r>
              <w:rPr>
                <w:rFonts w:hint="eastAsia"/>
                <w:kern w:val="0"/>
                <w:szCs w:val="21"/>
              </w:rPr>
              <w:t>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4" w:type="dxa"/>
            <w:vMerge w:val="continue"/>
          </w:tcPr>
          <w:p>
            <w:pPr>
              <w:pStyle w:val="152"/>
              <w:spacing w:line="240" w:lineRule="auto"/>
              <w:ind w:firstLine="0" w:firstLineChars="0"/>
              <w:rPr>
                <w:kern w:val="0"/>
                <w:szCs w:val="21"/>
              </w:rPr>
            </w:pPr>
          </w:p>
        </w:tc>
        <w:tc>
          <w:tcPr>
            <w:tcW w:w="3357" w:type="dxa"/>
            <w:vAlign w:val="center"/>
          </w:tcPr>
          <w:p>
            <w:pPr>
              <w:pStyle w:val="152"/>
              <w:spacing w:line="240" w:lineRule="auto"/>
              <w:ind w:firstLine="0" w:firstLineChars="0"/>
              <w:rPr>
                <w:kern w:val="0"/>
                <w:szCs w:val="21"/>
              </w:rPr>
            </w:pPr>
            <w:r>
              <w:rPr>
                <w:rFonts w:hint="eastAsia"/>
                <w:kern w:val="0"/>
                <w:szCs w:val="21"/>
              </w:rPr>
              <w:t>路面无明显泥沙、污垢，无1cm以上的石子，每100平方米烟头纸屑不超过3处。</w:t>
            </w:r>
          </w:p>
        </w:tc>
        <w:tc>
          <w:tcPr>
            <w:tcW w:w="791" w:type="dxa"/>
            <w:vAlign w:val="center"/>
          </w:tcPr>
          <w:p>
            <w:pPr>
              <w:pStyle w:val="152"/>
              <w:spacing w:line="240" w:lineRule="auto"/>
              <w:ind w:firstLine="0" w:firstLineChars="0"/>
              <w:rPr>
                <w:kern w:val="0"/>
                <w:szCs w:val="21"/>
              </w:rPr>
            </w:pPr>
            <w:r>
              <w:rPr>
                <w:kern w:val="0"/>
                <w:szCs w:val="21"/>
              </w:rPr>
              <w:t>2</w:t>
            </w:r>
            <w:r>
              <w:rPr>
                <w:rFonts w:hint="eastAsia"/>
                <w:kern w:val="0"/>
                <w:szCs w:val="21"/>
              </w:rPr>
              <w:t>分</w:t>
            </w:r>
          </w:p>
        </w:tc>
        <w:tc>
          <w:tcPr>
            <w:tcW w:w="3473" w:type="dxa"/>
            <w:vAlign w:val="center"/>
          </w:tcPr>
          <w:p>
            <w:pPr>
              <w:pStyle w:val="152"/>
              <w:spacing w:line="240" w:lineRule="auto"/>
              <w:ind w:firstLine="0" w:firstLineChars="0"/>
              <w:rPr>
                <w:kern w:val="0"/>
                <w:szCs w:val="21"/>
              </w:rPr>
            </w:pPr>
            <w:r>
              <w:rPr>
                <w:rFonts w:hint="eastAsia"/>
                <w:kern w:val="0"/>
                <w:szCs w:val="21"/>
              </w:rPr>
              <w:t>不符合扣0</w:t>
            </w:r>
            <w:r>
              <w:rPr>
                <w:kern w:val="0"/>
                <w:szCs w:val="21"/>
              </w:rPr>
              <w:t>.2</w:t>
            </w:r>
            <w:r>
              <w:rPr>
                <w:rFonts w:hint="eastAsia"/>
                <w:kern w:val="0"/>
                <w:szCs w:val="21"/>
              </w:rPr>
              <w:t>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4" w:type="dxa"/>
            <w:vMerge w:val="continue"/>
          </w:tcPr>
          <w:p>
            <w:pPr>
              <w:pStyle w:val="152"/>
              <w:spacing w:line="240" w:lineRule="auto"/>
              <w:ind w:firstLine="0" w:firstLineChars="0"/>
              <w:rPr>
                <w:kern w:val="0"/>
                <w:szCs w:val="21"/>
              </w:rPr>
            </w:pPr>
          </w:p>
        </w:tc>
        <w:tc>
          <w:tcPr>
            <w:tcW w:w="3357" w:type="dxa"/>
            <w:vAlign w:val="center"/>
          </w:tcPr>
          <w:p>
            <w:pPr>
              <w:pStyle w:val="152"/>
              <w:spacing w:line="240" w:lineRule="auto"/>
              <w:ind w:firstLine="0" w:firstLineChars="0"/>
              <w:rPr>
                <w:kern w:val="0"/>
                <w:szCs w:val="21"/>
              </w:rPr>
            </w:pPr>
            <w:r>
              <w:rPr>
                <w:rFonts w:hint="eastAsia"/>
                <w:kern w:val="0"/>
                <w:szCs w:val="21"/>
              </w:rPr>
              <w:t>绿化丛中无烟盒、饮料瓶盒、塑料袋等垃圾。</w:t>
            </w:r>
          </w:p>
        </w:tc>
        <w:tc>
          <w:tcPr>
            <w:tcW w:w="791" w:type="dxa"/>
            <w:vAlign w:val="center"/>
          </w:tcPr>
          <w:p>
            <w:pPr>
              <w:pStyle w:val="152"/>
              <w:spacing w:line="240" w:lineRule="auto"/>
              <w:ind w:firstLine="0" w:firstLineChars="0"/>
              <w:rPr>
                <w:kern w:val="0"/>
                <w:szCs w:val="21"/>
              </w:rPr>
            </w:pPr>
            <w:r>
              <w:rPr>
                <w:kern w:val="0"/>
                <w:szCs w:val="21"/>
              </w:rPr>
              <w:t>2</w:t>
            </w:r>
            <w:r>
              <w:rPr>
                <w:rFonts w:hint="eastAsia"/>
                <w:kern w:val="0"/>
                <w:szCs w:val="21"/>
              </w:rPr>
              <w:t>分</w:t>
            </w:r>
          </w:p>
        </w:tc>
        <w:tc>
          <w:tcPr>
            <w:tcW w:w="3473" w:type="dxa"/>
            <w:vAlign w:val="center"/>
          </w:tcPr>
          <w:p>
            <w:pPr>
              <w:pStyle w:val="152"/>
              <w:spacing w:line="240" w:lineRule="auto"/>
              <w:ind w:firstLine="0" w:firstLineChars="0"/>
              <w:rPr>
                <w:kern w:val="0"/>
                <w:szCs w:val="21"/>
              </w:rPr>
            </w:pPr>
            <w:r>
              <w:rPr>
                <w:rFonts w:hint="eastAsia"/>
                <w:kern w:val="0"/>
                <w:szCs w:val="21"/>
              </w:rPr>
              <w:t>发现一处扣0</w:t>
            </w:r>
            <w:r>
              <w:rPr>
                <w:kern w:val="0"/>
                <w:szCs w:val="21"/>
              </w:rPr>
              <w:t>.2</w:t>
            </w:r>
            <w:r>
              <w:rPr>
                <w:rFonts w:hint="eastAsia"/>
                <w:kern w:val="0"/>
                <w:szCs w:val="21"/>
              </w:rPr>
              <w:t>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4" w:type="dxa"/>
            <w:vMerge w:val="continue"/>
          </w:tcPr>
          <w:p>
            <w:pPr>
              <w:pStyle w:val="152"/>
              <w:spacing w:line="240" w:lineRule="auto"/>
              <w:ind w:firstLine="0" w:firstLineChars="0"/>
              <w:rPr>
                <w:kern w:val="0"/>
                <w:szCs w:val="21"/>
              </w:rPr>
            </w:pPr>
          </w:p>
        </w:tc>
        <w:tc>
          <w:tcPr>
            <w:tcW w:w="3357" w:type="dxa"/>
            <w:vAlign w:val="center"/>
          </w:tcPr>
          <w:p>
            <w:pPr>
              <w:pStyle w:val="152"/>
              <w:spacing w:line="240" w:lineRule="auto"/>
              <w:ind w:firstLine="0" w:firstLineChars="0"/>
              <w:rPr>
                <w:kern w:val="0"/>
                <w:szCs w:val="21"/>
              </w:rPr>
            </w:pPr>
            <w:r>
              <w:rPr>
                <w:rFonts w:hint="eastAsia"/>
                <w:kern w:val="0"/>
                <w:szCs w:val="21"/>
              </w:rPr>
              <w:t>滴水檐无乱堆放杂物，无垃圾、无污渍、无青苔、无积水。</w:t>
            </w:r>
          </w:p>
        </w:tc>
        <w:tc>
          <w:tcPr>
            <w:tcW w:w="791" w:type="dxa"/>
            <w:vAlign w:val="center"/>
          </w:tcPr>
          <w:p>
            <w:pPr>
              <w:pStyle w:val="152"/>
              <w:spacing w:line="240" w:lineRule="auto"/>
              <w:ind w:firstLine="0" w:firstLineChars="0"/>
              <w:rPr>
                <w:kern w:val="0"/>
                <w:szCs w:val="21"/>
              </w:rPr>
            </w:pPr>
            <w:r>
              <w:rPr>
                <w:kern w:val="0"/>
                <w:szCs w:val="21"/>
              </w:rPr>
              <w:t>2</w:t>
            </w:r>
            <w:r>
              <w:rPr>
                <w:rFonts w:hint="eastAsia"/>
                <w:kern w:val="0"/>
                <w:szCs w:val="21"/>
              </w:rPr>
              <w:t>分</w:t>
            </w:r>
          </w:p>
        </w:tc>
        <w:tc>
          <w:tcPr>
            <w:tcW w:w="3473" w:type="dxa"/>
            <w:vAlign w:val="center"/>
          </w:tcPr>
          <w:p>
            <w:pPr>
              <w:pStyle w:val="152"/>
              <w:spacing w:line="240" w:lineRule="auto"/>
              <w:ind w:firstLine="0" w:firstLineChars="0"/>
              <w:rPr>
                <w:kern w:val="0"/>
                <w:szCs w:val="21"/>
              </w:rPr>
            </w:pPr>
            <w:r>
              <w:rPr>
                <w:rFonts w:hint="eastAsia"/>
                <w:kern w:val="0"/>
                <w:szCs w:val="21"/>
              </w:rPr>
              <w:t>发现一处扣0</w:t>
            </w:r>
            <w:r>
              <w:rPr>
                <w:kern w:val="0"/>
                <w:szCs w:val="21"/>
              </w:rPr>
              <w:t>.2</w:t>
            </w:r>
            <w:r>
              <w:rPr>
                <w:rFonts w:hint="eastAsia"/>
                <w:kern w:val="0"/>
                <w:szCs w:val="21"/>
              </w:rPr>
              <w:t>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4" w:type="dxa"/>
            <w:vMerge w:val="continue"/>
          </w:tcPr>
          <w:p>
            <w:pPr>
              <w:pStyle w:val="152"/>
              <w:spacing w:line="240" w:lineRule="auto"/>
              <w:ind w:firstLine="0" w:firstLineChars="0"/>
              <w:rPr>
                <w:kern w:val="0"/>
                <w:szCs w:val="21"/>
              </w:rPr>
            </w:pPr>
          </w:p>
        </w:tc>
        <w:tc>
          <w:tcPr>
            <w:tcW w:w="3357" w:type="dxa"/>
            <w:vAlign w:val="center"/>
          </w:tcPr>
          <w:p>
            <w:pPr>
              <w:pStyle w:val="152"/>
              <w:spacing w:line="240" w:lineRule="auto"/>
              <w:ind w:firstLine="0" w:firstLineChars="0"/>
              <w:rPr>
                <w:kern w:val="0"/>
                <w:szCs w:val="21"/>
              </w:rPr>
            </w:pPr>
            <w:r>
              <w:rPr>
                <w:rFonts w:hint="eastAsia"/>
                <w:kern w:val="0"/>
                <w:szCs w:val="21"/>
              </w:rPr>
              <w:t>各明沟无垃圾、无青苔，畅通。</w:t>
            </w:r>
          </w:p>
        </w:tc>
        <w:tc>
          <w:tcPr>
            <w:tcW w:w="791" w:type="dxa"/>
            <w:vAlign w:val="center"/>
          </w:tcPr>
          <w:p>
            <w:pPr>
              <w:pStyle w:val="152"/>
              <w:spacing w:line="240" w:lineRule="auto"/>
              <w:ind w:firstLine="0" w:firstLineChars="0"/>
              <w:rPr>
                <w:kern w:val="0"/>
                <w:szCs w:val="21"/>
              </w:rPr>
            </w:pPr>
            <w:r>
              <w:rPr>
                <w:kern w:val="0"/>
                <w:szCs w:val="21"/>
              </w:rPr>
              <w:t>1</w:t>
            </w:r>
            <w:r>
              <w:rPr>
                <w:rFonts w:hint="eastAsia"/>
                <w:kern w:val="0"/>
                <w:szCs w:val="21"/>
              </w:rPr>
              <w:t>分</w:t>
            </w:r>
          </w:p>
        </w:tc>
        <w:tc>
          <w:tcPr>
            <w:tcW w:w="3473" w:type="dxa"/>
            <w:vAlign w:val="center"/>
          </w:tcPr>
          <w:p>
            <w:pPr>
              <w:pStyle w:val="152"/>
              <w:spacing w:line="240" w:lineRule="auto"/>
              <w:ind w:firstLine="0" w:firstLineChars="0"/>
              <w:rPr>
                <w:kern w:val="0"/>
                <w:szCs w:val="21"/>
              </w:rPr>
            </w:pPr>
            <w:r>
              <w:rPr>
                <w:rFonts w:hint="eastAsia"/>
                <w:kern w:val="0"/>
                <w:szCs w:val="21"/>
              </w:rPr>
              <w:t>一条沟不符合扣0</w:t>
            </w:r>
            <w:r>
              <w:rPr>
                <w:kern w:val="0"/>
                <w:szCs w:val="21"/>
              </w:rPr>
              <w:t>.2</w:t>
            </w:r>
            <w:r>
              <w:rPr>
                <w:rFonts w:hint="eastAsia"/>
                <w:kern w:val="0"/>
                <w:szCs w:val="21"/>
              </w:rPr>
              <w:t>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4" w:type="dxa"/>
            <w:vMerge w:val="continue"/>
          </w:tcPr>
          <w:p>
            <w:pPr>
              <w:pStyle w:val="152"/>
              <w:spacing w:line="240" w:lineRule="auto"/>
              <w:ind w:firstLine="0" w:firstLineChars="0"/>
              <w:rPr>
                <w:kern w:val="0"/>
                <w:szCs w:val="21"/>
              </w:rPr>
            </w:pPr>
          </w:p>
        </w:tc>
        <w:tc>
          <w:tcPr>
            <w:tcW w:w="3357" w:type="dxa"/>
            <w:vAlign w:val="center"/>
          </w:tcPr>
          <w:p>
            <w:pPr>
              <w:pStyle w:val="152"/>
              <w:spacing w:line="240" w:lineRule="auto"/>
              <w:ind w:firstLine="0" w:firstLineChars="0"/>
              <w:rPr>
                <w:kern w:val="0"/>
                <w:szCs w:val="21"/>
              </w:rPr>
            </w:pPr>
            <w:r>
              <w:rPr>
                <w:rFonts w:hint="eastAsia"/>
                <w:kern w:val="0"/>
                <w:szCs w:val="21"/>
              </w:rPr>
              <w:t>确保无卫生死角。</w:t>
            </w:r>
          </w:p>
        </w:tc>
        <w:tc>
          <w:tcPr>
            <w:tcW w:w="791" w:type="dxa"/>
            <w:vAlign w:val="center"/>
          </w:tcPr>
          <w:p>
            <w:pPr>
              <w:pStyle w:val="152"/>
              <w:spacing w:line="240" w:lineRule="auto"/>
              <w:ind w:firstLine="0" w:firstLineChars="0"/>
              <w:rPr>
                <w:kern w:val="0"/>
                <w:szCs w:val="21"/>
              </w:rPr>
            </w:pPr>
            <w:r>
              <w:rPr>
                <w:kern w:val="0"/>
                <w:szCs w:val="21"/>
              </w:rPr>
              <w:t>1</w:t>
            </w:r>
            <w:r>
              <w:rPr>
                <w:rFonts w:hint="eastAsia"/>
                <w:kern w:val="0"/>
                <w:szCs w:val="21"/>
              </w:rPr>
              <w:t>分</w:t>
            </w:r>
          </w:p>
        </w:tc>
        <w:tc>
          <w:tcPr>
            <w:tcW w:w="3473" w:type="dxa"/>
            <w:vAlign w:val="center"/>
          </w:tcPr>
          <w:p>
            <w:pPr>
              <w:pStyle w:val="152"/>
              <w:spacing w:line="240" w:lineRule="auto"/>
              <w:ind w:firstLine="0" w:firstLineChars="0"/>
              <w:rPr>
                <w:kern w:val="0"/>
                <w:szCs w:val="21"/>
              </w:rPr>
            </w:pPr>
            <w:r>
              <w:rPr>
                <w:rFonts w:hint="eastAsia"/>
                <w:kern w:val="0"/>
                <w:szCs w:val="21"/>
              </w:rPr>
              <w:t>一处扣0</w:t>
            </w:r>
            <w:r>
              <w:rPr>
                <w:kern w:val="0"/>
                <w:szCs w:val="21"/>
              </w:rPr>
              <w:t>.2</w:t>
            </w:r>
            <w:r>
              <w:rPr>
                <w:rFonts w:hint="eastAsia"/>
                <w:kern w:val="0"/>
                <w:szCs w:val="21"/>
              </w:rPr>
              <w:t>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4" w:type="dxa"/>
            <w:vMerge w:val="restart"/>
            <w:vAlign w:val="center"/>
          </w:tcPr>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r>
              <w:rPr>
                <w:rFonts w:hint="eastAsia"/>
                <w:kern w:val="0"/>
                <w:szCs w:val="21"/>
              </w:rPr>
              <w:t>水电 (维修、锅炉)工作</w:t>
            </w:r>
          </w:p>
          <w:p>
            <w:pPr>
              <w:pStyle w:val="152"/>
              <w:spacing w:line="240" w:lineRule="auto"/>
              <w:ind w:firstLine="0" w:firstLineChars="0"/>
              <w:rPr>
                <w:kern w:val="0"/>
                <w:szCs w:val="21"/>
              </w:rPr>
            </w:pPr>
            <w:r>
              <w:rPr>
                <w:rFonts w:hint="eastAsia"/>
                <w:kern w:val="0"/>
                <w:szCs w:val="21"/>
              </w:rPr>
              <w:t>（2</w:t>
            </w:r>
            <w:r>
              <w:rPr>
                <w:kern w:val="0"/>
                <w:szCs w:val="21"/>
              </w:rPr>
              <w:t>0</w:t>
            </w:r>
            <w:r>
              <w:rPr>
                <w:rFonts w:hint="eastAsia"/>
                <w:kern w:val="0"/>
                <w:szCs w:val="21"/>
              </w:rPr>
              <w:t>）</w:t>
            </w:r>
          </w:p>
        </w:tc>
        <w:tc>
          <w:tcPr>
            <w:tcW w:w="3357" w:type="dxa"/>
            <w:vAlign w:val="center"/>
          </w:tcPr>
          <w:p>
            <w:pPr>
              <w:pStyle w:val="152"/>
              <w:spacing w:line="240" w:lineRule="auto"/>
              <w:ind w:firstLine="0" w:firstLineChars="0"/>
              <w:rPr>
                <w:kern w:val="0"/>
                <w:szCs w:val="21"/>
              </w:rPr>
            </w:pPr>
            <w:r>
              <w:rPr>
                <w:rFonts w:hint="eastAsia"/>
                <w:kern w:val="0"/>
                <w:szCs w:val="21"/>
              </w:rPr>
              <w:t>做好设备其附属设施的保养，协助做好维修工作。</w:t>
            </w:r>
          </w:p>
        </w:tc>
        <w:tc>
          <w:tcPr>
            <w:tcW w:w="791" w:type="dxa"/>
            <w:vAlign w:val="center"/>
          </w:tcPr>
          <w:p>
            <w:pPr>
              <w:pStyle w:val="152"/>
              <w:spacing w:line="240" w:lineRule="auto"/>
              <w:ind w:firstLine="0" w:firstLineChars="0"/>
              <w:rPr>
                <w:kern w:val="0"/>
                <w:szCs w:val="21"/>
              </w:rPr>
            </w:pPr>
            <w:r>
              <w:rPr>
                <w:kern w:val="0"/>
                <w:szCs w:val="21"/>
              </w:rPr>
              <w:t>3</w:t>
            </w:r>
            <w:r>
              <w:rPr>
                <w:rFonts w:hint="eastAsia"/>
                <w:kern w:val="0"/>
                <w:szCs w:val="21"/>
              </w:rPr>
              <w:t>分</w:t>
            </w:r>
          </w:p>
        </w:tc>
        <w:tc>
          <w:tcPr>
            <w:tcW w:w="3473" w:type="dxa"/>
            <w:vAlign w:val="center"/>
          </w:tcPr>
          <w:p>
            <w:pPr>
              <w:pStyle w:val="152"/>
              <w:spacing w:line="240" w:lineRule="auto"/>
              <w:ind w:firstLine="0" w:firstLineChars="0"/>
              <w:rPr>
                <w:kern w:val="0"/>
                <w:szCs w:val="21"/>
              </w:rPr>
            </w:pPr>
            <w:r>
              <w:rPr>
                <w:rFonts w:hint="eastAsia"/>
                <w:kern w:val="0"/>
                <w:szCs w:val="21"/>
              </w:rPr>
              <w:t xml:space="preserve">因设备损坏，未及时维修影响工作，扣 </w:t>
            </w:r>
            <w:r>
              <w:rPr>
                <w:kern w:val="0"/>
                <w:szCs w:val="21"/>
              </w:rPr>
              <w:t>1</w:t>
            </w:r>
            <w:r>
              <w:rPr>
                <w:rFonts w:hint="eastAsia"/>
                <w:kern w:val="0"/>
                <w:szCs w:val="21"/>
              </w:rPr>
              <w:t>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4" w:type="dxa"/>
            <w:vMerge w:val="continue"/>
          </w:tcPr>
          <w:p>
            <w:pPr>
              <w:pStyle w:val="152"/>
              <w:spacing w:line="240" w:lineRule="auto"/>
              <w:ind w:firstLine="0" w:firstLineChars="0"/>
              <w:rPr>
                <w:kern w:val="0"/>
                <w:szCs w:val="21"/>
              </w:rPr>
            </w:pPr>
          </w:p>
        </w:tc>
        <w:tc>
          <w:tcPr>
            <w:tcW w:w="3357" w:type="dxa"/>
            <w:vAlign w:val="center"/>
          </w:tcPr>
          <w:p>
            <w:pPr>
              <w:pStyle w:val="152"/>
              <w:spacing w:line="240" w:lineRule="auto"/>
              <w:ind w:firstLine="0" w:firstLineChars="0"/>
              <w:rPr>
                <w:kern w:val="0"/>
                <w:szCs w:val="21"/>
              </w:rPr>
            </w:pPr>
            <w:r>
              <w:rPr>
                <w:rFonts w:hint="eastAsia"/>
                <w:kern w:val="0"/>
                <w:szCs w:val="21"/>
              </w:rPr>
              <w:t>做好煤气、水电的计量记录，降低消耗，保持设备的正常运行。</w:t>
            </w:r>
          </w:p>
        </w:tc>
        <w:tc>
          <w:tcPr>
            <w:tcW w:w="791" w:type="dxa"/>
            <w:vAlign w:val="center"/>
          </w:tcPr>
          <w:p>
            <w:pPr>
              <w:pStyle w:val="152"/>
              <w:spacing w:line="240" w:lineRule="auto"/>
              <w:ind w:firstLine="0" w:firstLineChars="0"/>
              <w:rPr>
                <w:kern w:val="0"/>
                <w:szCs w:val="21"/>
              </w:rPr>
            </w:pPr>
            <w:r>
              <w:rPr>
                <w:kern w:val="0"/>
                <w:szCs w:val="21"/>
              </w:rPr>
              <w:t>5</w:t>
            </w:r>
            <w:r>
              <w:rPr>
                <w:rFonts w:hint="eastAsia"/>
                <w:kern w:val="0"/>
                <w:szCs w:val="21"/>
              </w:rPr>
              <w:t>分</w:t>
            </w:r>
          </w:p>
        </w:tc>
        <w:tc>
          <w:tcPr>
            <w:tcW w:w="3473" w:type="dxa"/>
            <w:vAlign w:val="center"/>
          </w:tcPr>
          <w:p>
            <w:pPr>
              <w:pStyle w:val="152"/>
              <w:spacing w:line="240" w:lineRule="auto"/>
              <w:ind w:firstLine="0" w:firstLineChars="0"/>
              <w:rPr>
                <w:kern w:val="0"/>
                <w:szCs w:val="21"/>
              </w:rPr>
            </w:pPr>
            <w:r>
              <w:rPr>
                <w:rFonts w:hint="eastAsia"/>
                <w:kern w:val="0"/>
                <w:szCs w:val="21"/>
              </w:rPr>
              <w:t xml:space="preserve">浪费水电、煤气，扣 </w:t>
            </w:r>
            <w:r>
              <w:rPr>
                <w:kern w:val="0"/>
                <w:szCs w:val="21"/>
              </w:rPr>
              <w:t>1</w:t>
            </w:r>
            <w:r>
              <w:rPr>
                <w:rFonts w:hint="eastAsia"/>
                <w:kern w:val="0"/>
                <w:szCs w:val="21"/>
              </w:rPr>
              <w:t>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4" w:type="dxa"/>
            <w:vMerge w:val="continue"/>
          </w:tcPr>
          <w:p>
            <w:pPr>
              <w:pStyle w:val="152"/>
              <w:spacing w:line="240" w:lineRule="auto"/>
              <w:ind w:firstLine="0" w:firstLineChars="0"/>
              <w:rPr>
                <w:kern w:val="0"/>
                <w:szCs w:val="21"/>
              </w:rPr>
            </w:pPr>
          </w:p>
        </w:tc>
        <w:tc>
          <w:tcPr>
            <w:tcW w:w="3357" w:type="dxa"/>
            <w:vAlign w:val="center"/>
          </w:tcPr>
          <w:p>
            <w:pPr>
              <w:pStyle w:val="152"/>
              <w:spacing w:line="240" w:lineRule="auto"/>
              <w:ind w:firstLine="0" w:firstLineChars="0"/>
              <w:rPr>
                <w:kern w:val="0"/>
                <w:szCs w:val="21"/>
              </w:rPr>
            </w:pPr>
            <w:r>
              <w:rPr>
                <w:rFonts w:hint="eastAsia"/>
                <w:kern w:val="0"/>
                <w:szCs w:val="21"/>
              </w:rPr>
              <w:t>保证各项设备清洁，仪表显示清晰准确，工具摆放整齐，锅炉房整洁卫生。</w:t>
            </w:r>
          </w:p>
        </w:tc>
        <w:tc>
          <w:tcPr>
            <w:tcW w:w="791" w:type="dxa"/>
            <w:vAlign w:val="center"/>
          </w:tcPr>
          <w:p>
            <w:pPr>
              <w:pStyle w:val="152"/>
              <w:spacing w:line="240" w:lineRule="auto"/>
              <w:ind w:firstLine="0" w:firstLineChars="0"/>
              <w:rPr>
                <w:kern w:val="0"/>
                <w:szCs w:val="21"/>
              </w:rPr>
            </w:pPr>
            <w:r>
              <w:rPr>
                <w:rFonts w:hint="eastAsia"/>
                <w:kern w:val="0"/>
                <w:szCs w:val="21"/>
              </w:rPr>
              <w:t>2分</w:t>
            </w:r>
          </w:p>
        </w:tc>
        <w:tc>
          <w:tcPr>
            <w:tcW w:w="3473" w:type="dxa"/>
            <w:vAlign w:val="center"/>
          </w:tcPr>
          <w:p>
            <w:pPr>
              <w:pStyle w:val="152"/>
              <w:spacing w:line="240" w:lineRule="auto"/>
              <w:ind w:firstLine="0" w:firstLineChars="0"/>
              <w:rPr>
                <w:kern w:val="0"/>
                <w:szCs w:val="21"/>
              </w:rPr>
            </w:pPr>
            <w:r>
              <w:rPr>
                <w:rFonts w:hint="eastAsia"/>
                <w:kern w:val="0"/>
                <w:szCs w:val="21"/>
              </w:rPr>
              <w:t xml:space="preserve">未达到要求，扣 </w:t>
            </w:r>
            <w:r>
              <w:rPr>
                <w:kern w:val="0"/>
                <w:szCs w:val="21"/>
              </w:rPr>
              <w:t>0.2</w:t>
            </w:r>
            <w:r>
              <w:rPr>
                <w:rFonts w:hint="eastAsia"/>
                <w:kern w:val="0"/>
                <w:szCs w:val="21"/>
              </w:rPr>
              <w:t>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4" w:type="dxa"/>
            <w:vMerge w:val="continue"/>
          </w:tcPr>
          <w:p>
            <w:pPr>
              <w:pStyle w:val="152"/>
              <w:spacing w:line="240" w:lineRule="auto"/>
              <w:ind w:firstLine="0" w:firstLineChars="0"/>
              <w:rPr>
                <w:kern w:val="0"/>
                <w:szCs w:val="21"/>
              </w:rPr>
            </w:pPr>
          </w:p>
        </w:tc>
        <w:tc>
          <w:tcPr>
            <w:tcW w:w="3357" w:type="dxa"/>
            <w:vAlign w:val="center"/>
          </w:tcPr>
          <w:p>
            <w:pPr>
              <w:pStyle w:val="152"/>
              <w:spacing w:line="240" w:lineRule="auto"/>
              <w:ind w:firstLine="0" w:firstLineChars="0"/>
              <w:rPr>
                <w:kern w:val="0"/>
                <w:szCs w:val="21"/>
              </w:rPr>
            </w:pPr>
            <w:r>
              <w:rPr>
                <w:rFonts w:hint="eastAsia"/>
                <w:kern w:val="0"/>
                <w:szCs w:val="21"/>
              </w:rPr>
              <w:t>认真学习各项有关法规，努力钻研业务，提高技术水平。</w:t>
            </w:r>
          </w:p>
        </w:tc>
        <w:tc>
          <w:tcPr>
            <w:tcW w:w="791" w:type="dxa"/>
            <w:vAlign w:val="center"/>
          </w:tcPr>
          <w:p>
            <w:pPr>
              <w:pStyle w:val="152"/>
              <w:spacing w:line="240" w:lineRule="auto"/>
              <w:ind w:firstLine="0" w:firstLineChars="0"/>
              <w:rPr>
                <w:kern w:val="0"/>
                <w:szCs w:val="21"/>
              </w:rPr>
            </w:pPr>
            <w:r>
              <w:rPr>
                <w:rFonts w:hint="eastAsia"/>
                <w:kern w:val="0"/>
                <w:szCs w:val="21"/>
              </w:rPr>
              <w:t>2分</w:t>
            </w:r>
          </w:p>
        </w:tc>
        <w:tc>
          <w:tcPr>
            <w:tcW w:w="3473" w:type="dxa"/>
            <w:vAlign w:val="center"/>
          </w:tcPr>
          <w:p>
            <w:pPr>
              <w:pStyle w:val="152"/>
              <w:spacing w:line="240" w:lineRule="auto"/>
              <w:ind w:firstLine="0" w:firstLineChars="0"/>
              <w:rPr>
                <w:kern w:val="0"/>
                <w:szCs w:val="21"/>
              </w:rPr>
            </w:pPr>
            <w:r>
              <w:rPr>
                <w:rFonts w:hint="eastAsia"/>
                <w:kern w:val="0"/>
                <w:szCs w:val="21"/>
              </w:rPr>
              <w:t xml:space="preserve">未达到要求，扣 </w:t>
            </w:r>
            <w:r>
              <w:rPr>
                <w:kern w:val="0"/>
                <w:szCs w:val="21"/>
              </w:rPr>
              <w:t>0.2</w:t>
            </w:r>
            <w:r>
              <w:rPr>
                <w:rFonts w:hint="eastAsia"/>
                <w:kern w:val="0"/>
                <w:szCs w:val="21"/>
              </w:rPr>
              <w:t>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4" w:type="dxa"/>
            <w:vMerge w:val="continue"/>
          </w:tcPr>
          <w:p>
            <w:pPr>
              <w:pStyle w:val="152"/>
              <w:spacing w:line="240" w:lineRule="auto"/>
              <w:ind w:firstLine="0" w:firstLineChars="0"/>
              <w:rPr>
                <w:kern w:val="0"/>
                <w:szCs w:val="21"/>
              </w:rPr>
            </w:pPr>
          </w:p>
        </w:tc>
        <w:tc>
          <w:tcPr>
            <w:tcW w:w="3357" w:type="dxa"/>
            <w:vAlign w:val="center"/>
          </w:tcPr>
          <w:p>
            <w:pPr>
              <w:pStyle w:val="152"/>
              <w:spacing w:line="240" w:lineRule="auto"/>
              <w:ind w:firstLine="0" w:firstLineChars="0"/>
              <w:rPr>
                <w:kern w:val="0"/>
                <w:szCs w:val="21"/>
              </w:rPr>
            </w:pPr>
            <w:r>
              <w:rPr>
                <w:rFonts w:hint="eastAsia"/>
                <w:kern w:val="0"/>
                <w:szCs w:val="21"/>
              </w:rPr>
              <w:t>配合锅炉年检，事前做好清灰等准备工作。</w:t>
            </w:r>
          </w:p>
        </w:tc>
        <w:tc>
          <w:tcPr>
            <w:tcW w:w="791" w:type="dxa"/>
            <w:vAlign w:val="center"/>
          </w:tcPr>
          <w:p>
            <w:pPr>
              <w:pStyle w:val="152"/>
              <w:spacing w:line="240" w:lineRule="auto"/>
              <w:ind w:firstLine="0" w:firstLineChars="0"/>
              <w:rPr>
                <w:kern w:val="0"/>
                <w:szCs w:val="21"/>
              </w:rPr>
            </w:pPr>
            <w:r>
              <w:rPr>
                <w:rFonts w:hint="eastAsia"/>
                <w:kern w:val="0"/>
                <w:szCs w:val="21"/>
              </w:rPr>
              <w:t>2分</w:t>
            </w:r>
          </w:p>
        </w:tc>
        <w:tc>
          <w:tcPr>
            <w:tcW w:w="3473" w:type="dxa"/>
            <w:vAlign w:val="center"/>
          </w:tcPr>
          <w:p>
            <w:pPr>
              <w:pStyle w:val="152"/>
              <w:spacing w:line="240" w:lineRule="auto"/>
              <w:ind w:firstLine="0" w:firstLineChars="0"/>
              <w:rPr>
                <w:kern w:val="0"/>
                <w:szCs w:val="21"/>
              </w:rPr>
            </w:pPr>
            <w:r>
              <w:rPr>
                <w:rFonts w:hint="eastAsia"/>
                <w:kern w:val="0"/>
                <w:szCs w:val="21"/>
              </w:rPr>
              <w:t xml:space="preserve">未达到要求，扣 </w:t>
            </w:r>
            <w:r>
              <w:rPr>
                <w:kern w:val="0"/>
                <w:szCs w:val="21"/>
              </w:rPr>
              <w:t>0.2</w:t>
            </w:r>
            <w:r>
              <w:rPr>
                <w:rFonts w:hint="eastAsia"/>
                <w:kern w:val="0"/>
                <w:szCs w:val="21"/>
              </w:rPr>
              <w:t>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4" w:type="dxa"/>
            <w:vMerge w:val="continue"/>
          </w:tcPr>
          <w:p>
            <w:pPr>
              <w:pStyle w:val="152"/>
              <w:spacing w:line="240" w:lineRule="auto"/>
              <w:ind w:firstLine="0" w:firstLineChars="0"/>
              <w:rPr>
                <w:kern w:val="0"/>
                <w:szCs w:val="21"/>
              </w:rPr>
            </w:pPr>
          </w:p>
        </w:tc>
        <w:tc>
          <w:tcPr>
            <w:tcW w:w="3357" w:type="dxa"/>
            <w:vAlign w:val="center"/>
          </w:tcPr>
          <w:p>
            <w:pPr>
              <w:pStyle w:val="152"/>
              <w:spacing w:line="240" w:lineRule="auto"/>
              <w:ind w:firstLine="0" w:firstLineChars="0"/>
              <w:rPr>
                <w:kern w:val="0"/>
                <w:szCs w:val="21"/>
              </w:rPr>
            </w:pPr>
            <w:r>
              <w:rPr>
                <w:rFonts w:hint="eastAsia"/>
                <w:kern w:val="0"/>
                <w:szCs w:val="21"/>
              </w:rPr>
              <w:t>对相关设备及其附属设备经常进行巡回检查；认真填写各种记录发现故障应及时处置，并报告学校主管部门。</w:t>
            </w:r>
          </w:p>
        </w:tc>
        <w:tc>
          <w:tcPr>
            <w:tcW w:w="791" w:type="dxa"/>
            <w:vAlign w:val="center"/>
          </w:tcPr>
          <w:p>
            <w:pPr>
              <w:pStyle w:val="152"/>
              <w:spacing w:line="240" w:lineRule="auto"/>
              <w:ind w:firstLine="0" w:firstLineChars="0"/>
              <w:rPr>
                <w:kern w:val="0"/>
                <w:szCs w:val="21"/>
              </w:rPr>
            </w:pPr>
            <w:r>
              <w:rPr>
                <w:kern w:val="0"/>
                <w:szCs w:val="21"/>
              </w:rPr>
              <w:t>3</w:t>
            </w:r>
            <w:r>
              <w:rPr>
                <w:rFonts w:hint="eastAsia"/>
                <w:kern w:val="0"/>
                <w:szCs w:val="21"/>
              </w:rPr>
              <w:t>分</w:t>
            </w:r>
          </w:p>
        </w:tc>
        <w:tc>
          <w:tcPr>
            <w:tcW w:w="3473" w:type="dxa"/>
            <w:vAlign w:val="center"/>
          </w:tcPr>
          <w:p>
            <w:pPr>
              <w:pStyle w:val="152"/>
              <w:spacing w:line="240" w:lineRule="auto"/>
              <w:ind w:firstLine="0" w:firstLineChars="0"/>
              <w:rPr>
                <w:kern w:val="0"/>
                <w:szCs w:val="21"/>
              </w:rPr>
            </w:pPr>
            <w:r>
              <w:rPr>
                <w:rFonts w:hint="eastAsia"/>
                <w:kern w:val="0"/>
                <w:szCs w:val="21"/>
              </w:rPr>
              <w:t>因检查、记录不及时，影响工作，扣1 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4" w:type="dxa"/>
            <w:vMerge w:val="continue"/>
          </w:tcPr>
          <w:p>
            <w:pPr>
              <w:pStyle w:val="152"/>
              <w:spacing w:line="240" w:lineRule="auto"/>
              <w:ind w:firstLine="0" w:firstLineChars="0"/>
              <w:rPr>
                <w:kern w:val="0"/>
                <w:szCs w:val="21"/>
              </w:rPr>
            </w:pPr>
          </w:p>
        </w:tc>
        <w:tc>
          <w:tcPr>
            <w:tcW w:w="3357" w:type="dxa"/>
            <w:vAlign w:val="center"/>
          </w:tcPr>
          <w:p>
            <w:pPr>
              <w:pStyle w:val="152"/>
              <w:spacing w:line="240" w:lineRule="auto"/>
              <w:ind w:firstLine="0" w:firstLineChars="0"/>
              <w:rPr>
                <w:kern w:val="0"/>
                <w:szCs w:val="21"/>
              </w:rPr>
            </w:pPr>
            <w:r>
              <w:rPr>
                <w:rFonts w:hint="eastAsia"/>
                <w:kern w:val="0"/>
                <w:szCs w:val="21"/>
              </w:rPr>
              <w:t>严格执行安全操作规程，严格遵守劳动纪律，不做与本职工作无关的事。</w:t>
            </w:r>
          </w:p>
        </w:tc>
        <w:tc>
          <w:tcPr>
            <w:tcW w:w="791" w:type="dxa"/>
            <w:vAlign w:val="center"/>
          </w:tcPr>
          <w:p>
            <w:pPr>
              <w:pStyle w:val="152"/>
              <w:spacing w:line="240" w:lineRule="auto"/>
              <w:ind w:firstLine="0" w:firstLineChars="0"/>
              <w:rPr>
                <w:kern w:val="0"/>
                <w:szCs w:val="21"/>
              </w:rPr>
            </w:pPr>
            <w:r>
              <w:rPr>
                <w:kern w:val="0"/>
                <w:szCs w:val="21"/>
              </w:rPr>
              <w:t>3</w:t>
            </w:r>
            <w:r>
              <w:rPr>
                <w:rFonts w:hint="eastAsia"/>
                <w:kern w:val="0"/>
                <w:szCs w:val="21"/>
              </w:rPr>
              <w:t>分</w:t>
            </w:r>
          </w:p>
        </w:tc>
        <w:tc>
          <w:tcPr>
            <w:tcW w:w="3473" w:type="dxa"/>
            <w:vAlign w:val="center"/>
          </w:tcPr>
          <w:p>
            <w:pPr>
              <w:pStyle w:val="152"/>
              <w:spacing w:line="240" w:lineRule="auto"/>
              <w:ind w:firstLine="0" w:firstLineChars="0"/>
              <w:rPr>
                <w:kern w:val="0"/>
                <w:szCs w:val="21"/>
              </w:rPr>
            </w:pPr>
            <w:r>
              <w:rPr>
                <w:rFonts w:hint="eastAsia"/>
                <w:kern w:val="0"/>
                <w:szCs w:val="21"/>
              </w:rPr>
              <w:t xml:space="preserve">不遵守纪律和不按规定操作，造成损失和影响的，扣 </w:t>
            </w:r>
            <w:r>
              <w:rPr>
                <w:kern w:val="0"/>
                <w:szCs w:val="21"/>
              </w:rPr>
              <w:t>3</w:t>
            </w:r>
            <w:r>
              <w:rPr>
                <w:rFonts w:hint="eastAsia"/>
                <w:kern w:val="0"/>
                <w:szCs w:val="21"/>
              </w:rPr>
              <w:t>分/次，损失严重的还要赔偿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4" w:type="dxa"/>
            <w:vMerge w:val="restart"/>
          </w:tcPr>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r>
              <w:rPr>
                <w:rFonts w:hint="eastAsia"/>
                <w:kern w:val="0"/>
                <w:szCs w:val="21"/>
              </w:rPr>
              <w:t>绿化养护工作（</w:t>
            </w:r>
            <w:r>
              <w:rPr>
                <w:kern w:val="0"/>
                <w:szCs w:val="21"/>
              </w:rPr>
              <w:t>10</w:t>
            </w:r>
            <w:r>
              <w:rPr>
                <w:rFonts w:hint="eastAsia"/>
                <w:kern w:val="0"/>
                <w:szCs w:val="21"/>
              </w:rPr>
              <w:t>分）</w:t>
            </w:r>
          </w:p>
        </w:tc>
        <w:tc>
          <w:tcPr>
            <w:tcW w:w="3357" w:type="dxa"/>
            <w:vAlign w:val="center"/>
          </w:tcPr>
          <w:p>
            <w:pPr>
              <w:pStyle w:val="152"/>
              <w:spacing w:line="240" w:lineRule="auto"/>
              <w:ind w:firstLine="0" w:firstLineChars="0"/>
              <w:rPr>
                <w:kern w:val="0"/>
                <w:szCs w:val="21"/>
              </w:rPr>
            </w:pPr>
            <w:r>
              <w:rPr>
                <w:rFonts w:hint="eastAsia"/>
                <w:kern w:val="0"/>
                <w:szCs w:val="21"/>
              </w:rPr>
              <w:t>按生长习性定期完成灌溉、施肥、修剪，及时处理枯枝。</w:t>
            </w:r>
          </w:p>
        </w:tc>
        <w:tc>
          <w:tcPr>
            <w:tcW w:w="791" w:type="dxa"/>
            <w:vAlign w:val="center"/>
          </w:tcPr>
          <w:p>
            <w:pPr>
              <w:pStyle w:val="152"/>
              <w:spacing w:line="240" w:lineRule="auto"/>
              <w:ind w:firstLine="0" w:firstLineChars="0"/>
              <w:rPr>
                <w:kern w:val="0"/>
                <w:szCs w:val="21"/>
              </w:rPr>
            </w:pPr>
            <w:r>
              <w:rPr>
                <w:kern w:val="0"/>
                <w:szCs w:val="21"/>
              </w:rPr>
              <w:t>3</w:t>
            </w:r>
            <w:r>
              <w:rPr>
                <w:rFonts w:hint="eastAsia"/>
                <w:kern w:val="0"/>
                <w:szCs w:val="21"/>
              </w:rPr>
              <w:t>分</w:t>
            </w:r>
          </w:p>
        </w:tc>
        <w:tc>
          <w:tcPr>
            <w:tcW w:w="3473" w:type="dxa"/>
            <w:vAlign w:val="center"/>
          </w:tcPr>
          <w:p>
            <w:pPr>
              <w:pStyle w:val="152"/>
              <w:spacing w:line="240" w:lineRule="auto"/>
              <w:ind w:firstLine="0" w:firstLineChars="0"/>
              <w:rPr>
                <w:kern w:val="0"/>
                <w:szCs w:val="21"/>
              </w:rPr>
            </w:pPr>
            <w:r>
              <w:rPr>
                <w:rFonts w:hint="eastAsia"/>
                <w:kern w:val="0"/>
                <w:szCs w:val="21"/>
              </w:rPr>
              <w:t>灌溉、施肥、修剪不及时，造成植物生长不良，杂乱，扣</w:t>
            </w:r>
            <w:r>
              <w:rPr>
                <w:kern w:val="0"/>
                <w:szCs w:val="21"/>
              </w:rPr>
              <w:t>1</w:t>
            </w:r>
            <w:r>
              <w:rPr>
                <w:rFonts w:hint="eastAsia"/>
                <w:kern w:val="0"/>
                <w:szCs w:val="21"/>
              </w:rPr>
              <w:t>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4" w:type="dxa"/>
            <w:vMerge w:val="continue"/>
          </w:tcPr>
          <w:p>
            <w:pPr>
              <w:pStyle w:val="152"/>
              <w:spacing w:line="240" w:lineRule="auto"/>
              <w:ind w:firstLine="0" w:firstLineChars="0"/>
              <w:rPr>
                <w:kern w:val="0"/>
                <w:szCs w:val="21"/>
              </w:rPr>
            </w:pPr>
          </w:p>
        </w:tc>
        <w:tc>
          <w:tcPr>
            <w:tcW w:w="3357" w:type="dxa"/>
            <w:vAlign w:val="center"/>
          </w:tcPr>
          <w:p>
            <w:pPr>
              <w:pStyle w:val="152"/>
              <w:spacing w:line="240" w:lineRule="auto"/>
              <w:ind w:firstLine="0" w:firstLineChars="0"/>
              <w:rPr>
                <w:kern w:val="0"/>
                <w:szCs w:val="21"/>
              </w:rPr>
            </w:pPr>
            <w:r>
              <w:rPr>
                <w:rFonts w:hint="eastAsia"/>
                <w:kern w:val="0"/>
                <w:szCs w:val="21"/>
              </w:rPr>
              <w:t>爬藤植物及时牵引、上架，无杂草和植物同生现象。</w:t>
            </w:r>
          </w:p>
        </w:tc>
        <w:tc>
          <w:tcPr>
            <w:tcW w:w="791" w:type="dxa"/>
            <w:vAlign w:val="center"/>
          </w:tcPr>
          <w:p>
            <w:pPr>
              <w:pStyle w:val="152"/>
              <w:spacing w:line="240" w:lineRule="auto"/>
              <w:ind w:firstLine="0" w:firstLineChars="0"/>
              <w:rPr>
                <w:kern w:val="0"/>
                <w:szCs w:val="21"/>
              </w:rPr>
            </w:pPr>
            <w:r>
              <w:rPr>
                <w:kern w:val="0"/>
                <w:szCs w:val="21"/>
              </w:rPr>
              <w:t>2</w:t>
            </w:r>
            <w:r>
              <w:rPr>
                <w:rFonts w:hint="eastAsia"/>
                <w:kern w:val="0"/>
                <w:szCs w:val="21"/>
              </w:rPr>
              <w:t>分</w:t>
            </w:r>
          </w:p>
        </w:tc>
        <w:tc>
          <w:tcPr>
            <w:tcW w:w="3473" w:type="dxa"/>
            <w:vAlign w:val="center"/>
          </w:tcPr>
          <w:p>
            <w:pPr>
              <w:pStyle w:val="152"/>
              <w:spacing w:line="240" w:lineRule="auto"/>
              <w:ind w:firstLine="0" w:firstLineChars="0"/>
              <w:rPr>
                <w:kern w:val="0"/>
                <w:szCs w:val="21"/>
              </w:rPr>
            </w:pPr>
            <w:r>
              <w:rPr>
                <w:rFonts w:hint="eastAsia"/>
                <w:kern w:val="0"/>
                <w:szCs w:val="21"/>
              </w:rPr>
              <w:t>不及时除杂草，发现一次扣</w:t>
            </w:r>
            <w:r>
              <w:rPr>
                <w:kern w:val="0"/>
                <w:szCs w:val="21"/>
              </w:rPr>
              <w:t>0.5</w:t>
            </w:r>
            <w:r>
              <w:rPr>
                <w:rFonts w:hint="eastAsia"/>
                <w:kern w:val="0"/>
                <w:szCs w:val="21"/>
              </w:rPr>
              <w:t>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4" w:type="dxa"/>
            <w:vMerge w:val="continue"/>
          </w:tcPr>
          <w:p>
            <w:pPr>
              <w:pStyle w:val="152"/>
              <w:spacing w:line="240" w:lineRule="auto"/>
              <w:ind w:firstLine="0" w:firstLineChars="0"/>
              <w:rPr>
                <w:kern w:val="0"/>
                <w:szCs w:val="21"/>
              </w:rPr>
            </w:pPr>
          </w:p>
        </w:tc>
        <w:tc>
          <w:tcPr>
            <w:tcW w:w="3357" w:type="dxa"/>
            <w:vAlign w:val="center"/>
          </w:tcPr>
          <w:p>
            <w:pPr>
              <w:pStyle w:val="152"/>
              <w:spacing w:line="240" w:lineRule="auto"/>
              <w:ind w:firstLine="0" w:firstLineChars="0"/>
              <w:rPr>
                <w:kern w:val="0"/>
                <w:szCs w:val="21"/>
              </w:rPr>
            </w:pPr>
            <w:r>
              <w:rPr>
                <w:rFonts w:hint="eastAsia"/>
                <w:kern w:val="0"/>
                <w:szCs w:val="21"/>
              </w:rPr>
              <w:t>周边无废纸、无砖头瓦砾，绿化垃圾当天清除。</w:t>
            </w:r>
          </w:p>
        </w:tc>
        <w:tc>
          <w:tcPr>
            <w:tcW w:w="791" w:type="dxa"/>
            <w:vAlign w:val="center"/>
          </w:tcPr>
          <w:p>
            <w:pPr>
              <w:pStyle w:val="152"/>
              <w:spacing w:line="240" w:lineRule="auto"/>
              <w:ind w:firstLine="0" w:firstLineChars="0"/>
              <w:rPr>
                <w:kern w:val="0"/>
                <w:szCs w:val="21"/>
              </w:rPr>
            </w:pPr>
            <w:r>
              <w:rPr>
                <w:kern w:val="0"/>
                <w:szCs w:val="21"/>
              </w:rPr>
              <w:t>1</w:t>
            </w:r>
            <w:r>
              <w:rPr>
                <w:rFonts w:hint="eastAsia"/>
                <w:kern w:val="0"/>
                <w:szCs w:val="21"/>
              </w:rPr>
              <w:t>分</w:t>
            </w:r>
          </w:p>
        </w:tc>
        <w:tc>
          <w:tcPr>
            <w:tcW w:w="3473" w:type="dxa"/>
            <w:vAlign w:val="center"/>
          </w:tcPr>
          <w:p>
            <w:pPr>
              <w:pStyle w:val="152"/>
              <w:spacing w:line="240" w:lineRule="auto"/>
              <w:ind w:firstLine="0" w:firstLineChars="0"/>
              <w:rPr>
                <w:kern w:val="0"/>
                <w:szCs w:val="21"/>
              </w:rPr>
            </w:pPr>
            <w:r>
              <w:rPr>
                <w:rFonts w:hint="eastAsia"/>
                <w:kern w:val="0"/>
                <w:szCs w:val="21"/>
              </w:rPr>
              <w:t>有垃圾杂物，未及时清理，发现一次扣0</w:t>
            </w:r>
            <w:r>
              <w:rPr>
                <w:kern w:val="0"/>
                <w:szCs w:val="21"/>
              </w:rPr>
              <w:t>.2</w:t>
            </w:r>
            <w:r>
              <w:rPr>
                <w:rFonts w:hint="eastAsia"/>
                <w:kern w:val="0"/>
                <w:szCs w:val="21"/>
              </w:rPr>
              <w:t>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4" w:type="dxa"/>
            <w:vMerge w:val="continue"/>
          </w:tcPr>
          <w:p>
            <w:pPr>
              <w:pStyle w:val="152"/>
              <w:spacing w:line="240" w:lineRule="auto"/>
              <w:ind w:firstLine="0" w:firstLineChars="0"/>
              <w:rPr>
                <w:kern w:val="0"/>
                <w:szCs w:val="21"/>
              </w:rPr>
            </w:pPr>
          </w:p>
        </w:tc>
        <w:tc>
          <w:tcPr>
            <w:tcW w:w="3357" w:type="dxa"/>
            <w:vAlign w:val="center"/>
          </w:tcPr>
          <w:p>
            <w:pPr>
              <w:pStyle w:val="152"/>
              <w:spacing w:line="240" w:lineRule="auto"/>
              <w:ind w:firstLine="0" w:firstLineChars="0"/>
              <w:rPr>
                <w:kern w:val="0"/>
                <w:szCs w:val="21"/>
              </w:rPr>
            </w:pPr>
            <w:r>
              <w:rPr>
                <w:rFonts w:hint="eastAsia"/>
                <w:kern w:val="0"/>
                <w:szCs w:val="21"/>
              </w:rPr>
              <w:t>盆花摆放整齐、造型美观、花色不协调；残花及时更换</w:t>
            </w:r>
          </w:p>
        </w:tc>
        <w:tc>
          <w:tcPr>
            <w:tcW w:w="791" w:type="dxa"/>
            <w:vAlign w:val="center"/>
          </w:tcPr>
          <w:p>
            <w:pPr>
              <w:pStyle w:val="152"/>
              <w:spacing w:line="240" w:lineRule="auto"/>
              <w:ind w:firstLine="0" w:firstLineChars="0"/>
              <w:rPr>
                <w:kern w:val="0"/>
                <w:szCs w:val="21"/>
              </w:rPr>
            </w:pPr>
            <w:r>
              <w:rPr>
                <w:kern w:val="0"/>
                <w:szCs w:val="21"/>
              </w:rPr>
              <w:t>2</w:t>
            </w:r>
            <w:r>
              <w:rPr>
                <w:rFonts w:hint="eastAsia"/>
                <w:kern w:val="0"/>
                <w:szCs w:val="21"/>
              </w:rPr>
              <w:t>分</w:t>
            </w:r>
          </w:p>
        </w:tc>
        <w:tc>
          <w:tcPr>
            <w:tcW w:w="3473" w:type="dxa"/>
            <w:vAlign w:val="center"/>
          </w:tcPr>
          <w:p>
            <w:pPr>
              <w:pStyle w:val="152"/>
              <w:spacing w:line="240" w:lineRule="auto"/>
              <w:ind w:firstLine="0" w:firstLineChars="0"/>
              <w:rPr>
                <w:kern w:val="0"/>
                <w:szCs w:val="21"/>
              </w:rPr>
            </w:pPr>
            <w:r>
              <w:rPr>
                <w:rFonts w:hint="eastAsia"/>
                <w:kern w:val="0"/>
                <w:szCs w:val="21"/>
              </w:rPr>
              <w:t>摆放杂乱或未及时更换，发现一次扣</w:t>
            </w:r>
            <w:r>
              <w:rPr>
                <w:kern w:val="0"/>
                <w:szCs w:val="21"/>
              </w:rPr>
              <w:t>0.5</w:t>
            </w:r>
            <w:r>
              <w:rPr>
                <w:rFonts w:hint="eastAsia"/>
                <w:kern w:val="0"/>
                <w:szCs w:val="21"/>
              </w:rPr>
              <w:t>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4" w:type="dxa"/>
            <w:vMerge w:val="continue"/>
          </w:tcPr>
          <w:p>
            <w:pPr>
              <w:pStyle w:val="152"/>
              <w:spacing w:line="240" w:lineRule="auto"/>
              <w:ind w:firstLine="0" w:firstLineChars="0"/>
              <w:rPr>
                <w:kern w:val="0"/>
                <w:szCs w:val="21"/>
              </w:rPr>
            </w:pPr>
          </w:p>
        </w:tc>
        <w:tc>
          <w:tcPr>
            <w:tcW w:w="3357" w:type="dxa"/>
            <w:vAlign w:val="center"/>
          </w:tcPr>
          <w:p>
            <w:pPr>
              <w:pStyle w:val="152"/>
              <w:spacing w:line="240" w:lineRule="auto"/>
              <w:ind w:firstLine="0" w:firstLineChars="0"/>
              <w:rPr>
                <w:kern w:val="0"/>
                <w:szCs w:val="21"/>
              </w:rPr>
            </w:pPr>
            <w:r>
              <w:rPr>
                <w:rFonts w:hint="eastAsia"/>
                <w:kern w:val="0"/>
                <w:szCs w:val="21"/>
              </w:rPr>
              <w:t>爱护维护绿化工具，摆放整齐</w:t>
            </w:r>
          </w:p>
        </w:tc>
        <w:tc>
          <w:tcPr>
            <w:tcW w:w="791" w:type="dxa"/>
            <w:vAlign w:val="center"/>
          </w:tcPr>
          <w:p>
            <w:pPr>
              <w:pStyle w:val="152"/>
              <w:spacing w:line="240" w:lineRule="auto"/>
              <w:ind w:firstLine="0" w:firstLineChars="0"/>
              <w:rPr>
                <w:kern w:val="0"/>
                <w:szCs w:val="21"/>
              </w:rPr>
            </w:pPr>
            <w:r>
              <w:rPr>
                <w:kern w:val="0"/>
                <w:szCs w:val="21"/>
              </w:rPr>
              <w:t>1</w:t>
            </w:r>
            <w:r>
              <w:rPr>
                <w:rFonts w:hint="eastAsia"/>
                <w:kern w:val="0"/>
                <w:szCs w:val="21"/>
              </w:rPr>
              <w:t>分</w:t>
            </w:r>
          </w:p>
        </w:tc>
        <w:tc>
          <w:tcPr>
            <w:tcW w:w="3473" w:type="dxa"/>
            <w:vAlign w:val="center"/>
          </w:tcPr>
          <w:p>
            <w:pPr>
              <w:pStyle w:val="152"/>
              <w:spacing w:line="240" w:lineRule="auto"/>
              <w:ind w:firstLine="0" w:firstLineChars="0"/>
              <w:rPr>
                <w:kern w:val="0"/>
                <w:szCs w:val="21"/>
              </w:rPr>
            </w:pPr>
            <w:r>
              <w:rPr>
                <w:rFonts w:hint="eastAsia"/>
                <w:kern w:val="0"/>
                <w:szCs w:val="21"/>
              </w:rPr>
              <w:t>未按要求发现一次扣0</w:t>
            </w:r>
            <w:r>
              <w:rPr>
                <w:kern w:val="0"/>
                <w:szCs w:val="21"/>
              </w:rPr>
              <w:t>.2</w:t>
            </w:r>
            <w:r>
              <w:rPr>
                <w:rFonts w:hint="eastAsia"/>
                <w:kern w:val="0"/>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4" w:type="dxa"/>
            <w:vMerge w:val="continue"/>
          </w:tcPr>
          <w:p>
            <w:pPr>
              <w:pStyle w:val="152"/>
              <w:spacing w:line="240" w:lineRule="auto"/>
              <w:ind w:firstLine="0" w:firstLineChars="0"/>
              <w:rPr>
                <w:kern w:val="0"/>
                <w:szCs w:val="21"/>
              </w:rPr>
            </w:pPr>
          </w:p>
        </w:tc>
        <w:tc>
          <w:tcPr>
            <w:tcW w:w="3357" w:type="dxa"/>
            <w:vAlign w:val="center"/>
          </w:tcPr>
          <w:p>
            <w:pPr>
              <w:pStyle w:val="152"/>
              <w:spacing w:line="240" w:lineRule="auto"/>
              <w:ind w:firstLine="0" w:firstLineChars="0"/>
              <w:rPr>
                <w:kern w:val="0"/>
                <w:szCs w:val="21"/>
              </w:rPr>
            </w:pPr>
            <w:r>
              <w:rPr>
                <w:rFonts w:hint="eastAsia"/>
                <w:kern w:val="0"/>
                <w:szCs w:val="21"/>
              </w:rPr>
              <w:t>配合学校教育，对花木挂牌</w:t>
            </w:r>
          </w:p>
        </w:tc>
        <w:tc>
          <w:tcPr>
            <w:tcW w:w="791" w:type="dxa"/>
            <w:vAlign w:val="center"/>
          </w:tcPr>
          <w:p>
            <w:pPr>
              <w:pStyle w:val="152"/>
              <w:spacing w:line="240" w:lineRule="auto"/>
              <w:ind w:firstLine="0" w:firstLineChars="0"/>
              <w:rPr>
                <w:kern w:val="0"/>
                <w:szCs w:val="21"/>
              </w:rPr>
            </w:pPr>
            <w:r>
              <w:rPr>
                <w:kern w:val="0"/>
                <w:szCs w:val="21"/>
              </w:rPr>
              <w:t>1</w:t>
            </w:r>
            <w:r>
              <w:rPr>
                <w:rFonts w:hint="eastAsia"/>
                <w:kern w:val="0"/>
                <w:szCs w:val="21"/>
              </w:rPr>
              <w:t>分</w:t>
            </w:r>
          </w:p>
        </w:tc>
        <w:tc>
          <w:tcPr>
            <w:tcW w:w="3473" w:type="dxa"/>
            <w:vAlign w:val="center"/>
          </w:tcPr>
          <w:p>
            <w:pPr>
              <w:pStyle w:val="152"/>
              <w:spacing w:line="240" w:lineRule="auto"/>
              <w:ind w:firstLine="0" w:firstLineChars="0"/>
              <w:rPr>
                <w:kern w:val="0"/>
                <w:szCs w:val="21"/>
              </w:rPr>
            </w:pPr>
            <w:r>
              <w:rPr>
                <w:rFonts w:hint="eastAsia"/>
                <w:kern w:val="0"/>
                <w:szCs w:val="21"/>
              </w:rPr>
              <w:t>未按要求及时挂牌，发现一次扣0</w:t>
            </w:r>
            <w:r>
              <w:rPr>
                <w:kern w:val="0"/>
                <w:szCs w:val="21"/>
              </w:rPr>
              <w:t>.2</w:t>
            </w:r>
            <w:r>
              <w:rPr>
                <w:rFonts w:hint="eastAsia"/>
                <w:kern w:val="0"/>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4" w:type="dxa"/>
            <w:vMerge w:val="restart"/>
          </w:tcPr>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r>
              <w:rPr>
                <w:rFonts w:hint="eastAsia"/>
                <w:kern w:val="0"/>
                <w:szCs w:val="21"/>
              </w:rPr>
              <w:t>宿舍管理工作（2</w:t>
            </w:r>
            <w:r>
              <w:rPr>
                <w:kern w:val="0"/>
                <w:szCs w:val="21"/>
              </w:rPr>
              <w:t>0</w:t>
            </w:r>
            <w:r>
              <w:rPr>
                <w:rFonts w:hint="eastAsia"/>
                <w:kern w:val="0"/>
                <w:szCs w:val="21"/>
              </w:rPr>
              <w:t>分）</w:t>
            </w:r>
          </w:p>
        </w:tc>
        <w:tc>
          <w:tcPr>
            <w:tcW w:w="3357" w:type="dxa"/>
            <w:vAlign w:val="center"/>
          </w:tcPr>
          <w:p>
            <w:pPr>
              <w:pStyle w:val="152"/>
              <w:spacing w:line="240" w:lineRule="auto"/>
              <w:ind w:firstLine="0" w:firstLineChars="0"/>
              <w:rPr>
                <w:kern w:val="0"/>
                <w:szCs w:val="21"/>
              </w:rPr>
            </w:pPr>
            <w:r>
              <w:rPr>
                <w:rFonts w:hint="eastAsia"/>
                <w:kern w:val="0"/>
                <w:szCs w:val="21"/>
              </w:rPr>
              <w:t xml:space="preserve">服务态度好，善于沟通，注重服务质量， </w:t>
            </w:r>
          </w:p>
          <w:p>
            <w:pPr>
              <w:pStyle w:val="152"/>
              <w:spacing w:line="240" w:lineRule="auto"/>
              <w:ind w:firstLine="0" w:firstLineChars="0"/>
              <w:rPr>
                <w:kern w:val="0"/>
                <w:szCs w:val="21"/>
              </w:rPr>
            </w:pPr>
          </w:p>
        </w:tc>
        <w:tc>
          <w:tcPr>
            <w:tcW w:w="791" w:type="dxa"/>
            <w:vAlign w:val="center"/>
          </w:tcPr>
          <w:p>
            <w:pPr>
              <w:pStyle w:val="152"/>
              <w:spacing w:line="240" w:lineRule="auto"/>
              <w:ind w:firstLine="0" w:firstLineChars="0"/>
              <w:rPr>
                <w:kern w:val="0"/>
                <w:szCs w:val="21"/>
              </w:rPr>
            </w:pPr>
            <w:r>
              <w:rPr>
                <w:rFonts w:hint="eastAsia"/>
                <w:kern w:val="0"/>
                <w:szCs w:val="21"/>
              </w:rPr>
              <w:t>2分</w:t>
            </w:r>
          </w:p>
        </w:tc>
        <w:tc>
          <w:tcPr>
            <w:tcW w:w="3473" w:type="dxa"/>
            <w:vAlign w:val="center"/>
          </w:tcPr>
          <w:p>
            <w:pPr>
              <w:pStyle w:val="152"/>
              <w:spacing w:line="240" w:lineRule="auto"/>
              <w:ind w:firstLine="0" w:firstLineChars="0"/>
              <w:rPr>
                <w:kern w:val="0"/>
                <w:szCs w:val="21"/>
              </w:rPr>
            </w:pPr>
            <w:r>
              <w:rPr>
                <w:rFonts w:hint="eastAsia"/>
                <w:kern w:val="0"/>
                <w:szCs w:val="21"/>
              </w:rPr>
              <w:t xml:space="preserve">因服务态度差、工作失职、在师生、家长中造成不良影响，被举报投诉经查实，视情节每次扣 </w:t>
            </w:r>
            <w:r>
              <w:rPr>
                <w:kern w:val="0"/>
                <w:szCs w:val="21"/>
              </w:rPr>
              <w:t xml:space="preserve">2 </w:t>
            </w:r>
            <w:r>
              <w:rPr>
                <w:rFonts w:hint="eastAsia"/>
                <w:kern w:val="0"/>
                <w:szCs w:val="21"/>
              </w:rPr>
              <w:t>分以上，严重者予以解聘。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4" w:type="dxa"/>
            <w:vMerge w:val="continue"/>
          </w:tcPr>
          <w:p>
            <w:pPr>
              <w:pStyle w:val="152"/>
              <w:spacing w:line="240" w:lineRule="auto"/>
              <w:ind w:firstLine="0" w:firstLineChars="0"/>
              <w:rPr>
                <w:kern w:val="0"/>
                <w:szCs w:val="21"/>
              </w:rPr>
            </w:pPr>
          </w:p>
        </w:tc>
        <w:tc>
          <w:tcPr>
            <w:tcW w:w="3357" w:type="dxa"/>
            <w:vAlign w:val="center"/>
          </w:tcPr>
          <w:p>
            <w:pPr>
              <w:pStyle w:val="152"/>
              <w:spacing w:line="240" w:lineRule="auto"/>
              <w:ind w:firstLine="0" w:firstLineChars="0"/>
              <w:rPr>
                <w:kern w:val="0"/>
                <w:szCs w:val="21"/>
              </w:rPr>
            </w:pPr>
            <w:r>
              <w:rPr>
                <w:rFonts w:hint="eastAsia"/>
                <w:kern w:val="0"/>
                <w:szCs w:val="21"/>
              </w:rPr>
              <w:t>同事间团结、协作， 办事效率高</w:t>
            </w:r>
          </w:p>
          <w:p>
            <w:pPr>
              <w:pStyle w:val="152"/>
              <w:spacing w:line="240" w:lineRule="auto"/>
              <w:ind w:firstLine="0" w:firstLineChars="0"/>
              <w:rPr>
                <w:kern w:val="0"/>
                <w:szCs w:val="21"/>
              </w:rPr>
            </w:pPr>
          </w:p>
        </w:tc>
        <w:tc>
          <w:tcPr>
            <w:tcW w:w="791" w:type="dxa"/>
            <w:vAlign w:val="center"/>
          </w:tcPr>
          <w:p>
            <w:pPr>
              <w:pStyle w:val="152"/>
              <w:spacing w:line="240" w:lineRule="auto"/>
              <w:ind w:firstLine="0" w:firstLineChars="0"/>
              <w:rPr>
                <w:kern w:val="0"/>
                <w:szCs w:val="21"/>
              </w:rPr>
            </w:pPr>
            <w:r>
              <w:rPr>
                <w:rFonts w:hint="eastAsia"/>
                <w:kern w:val="0"/>
                <w:szCs w:val="21"/>
              </w:rPr>
              <w:t>2分</w:t>
            </w:r>
          </w:p>
        </w:tc>
        <w:tc>
          <w:tcPr>
            <w:tcW w:w="3473" w:type="dxa"/>
            <w:vAlign w:val="center"/>
          </w:tcPr>
          <w:p>
            <w:pPr>
              <w:pStyle w:val="152"/>
              <w:spacing w:line="240" w:lineRule="auto"/>
              <w:ind w:firstLine="0" w:firstLineChars="0"/>
              <w:rPr>
                <w:kern w:val="0"/>
                <w:szCs w:val="21"/>
              </w:rPr>
            </w:pPr>
            <w:r>
              <w:rPr>
                <w:rFonts w:hint="eastAsia"/>
                <w:kern w:val="0"/>
                <w:szCs w:val="21"/>
              </w:rPr>
              <w:t xml:space="preserve">不得发生争吵等现象，发生争吵每人次扣 </w:t>
            </w:r>
            <w:r>
              <w:rPr>
                <w:kern w:val="0"/>
                <w:szCs w:val="21"/>
              </w:rPr>
              <w:t>0.5</w:t>
            </w:r>
            <w:r>
              <w:rPr>
                <w:rFonts w:hint="eastAsia"/>
                <w:kern w:val="0"/>
                <w:szCs w:val="21"/>
              </w:rPr>
              <w:t>分，打架每人次扣</w:t>
            </w:r>
            <w:r>
              <w:rPr>
                <w:kern w:val="0"/>
                <w:szCs w:val="21"/>
              </w:rPr>
              <w:t>2</w:t>
            </w:r>
            <w:r>
              <w:rPr>
                <w:rFonts w:hint="eastAsia"/>
                <w:kern w:val="0"/>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4" w:type="dxa"/>
            <w:vMerge w:val="continue"/>
          </w:tcPr>
          <w:p>
            <w:pPr>
              <w:pStyle w:val="152"/>
              <w:spacing w:line="240" w:lineRule="auto"/>
              <w:ind w:firstLine="0" w:firstLineChars="0"/>
              <w:rPr>
                <w:kern w:val="0"/>
                <w:szCs w:val="21"/>
              </w:rPr>
            </w:pPr>
          </w:p>
        </w:tc>
        <w:tc>
          <w:tcPr>
            <w:tcW w:w="3357" w:type="dxa"/>
            <w:vAlign w:val="center"/>
          </w:tcPr>
          <w:p>
            <w:pPr>
              <w:pStyle w:val="152"/>
              <w:spacing w:line="240" w:lineRule="auto"/>
              <w:ind w:firstLine="0" w:firstLineChars="0"/>
              <w:rPr>
                <w:kern w:val="0"/>
                <w:szCs w:val="21"/>
              </w:rPr>
            </w:pPr>
            <w:r>
              <w:rPr>
                <w:rFonts w:hint="eastAsia"/>
                <w:kern w:val="0"/>
                <w:szCs w:val="21"/>
              </w:rPr>
              <w:t xml:space="preserve">认真完成学校领导交办的各项任务，不拖延、不推诿、不敷衍、不顶撞，更不准暗中对抗， </w:t>
            </w:r>
          </w:p>
        </w:tc>
        <w:tc>
          <w:tcPr>
            <w:tcW w:w="791" w:type="dxa"/>
            <w:vAlign w:val="center"/>
          </w:tcPr>
          <w:p>
            <w:pPr>
              <w:pStyle w:val="152"/>
              <w:spacing w:line="240" w:lineRule="auto"/>
              <w:ind w:firstLine="0" w:firstLineChars="0"/>
              <w:rPr>
                <w:kern w:val="0"/>
                <w:szCs w:val="21"/>
              </w:rPr>
            </w:pPr>
            <w:r>
              <w:rPr>
                <w:rFonts w:hint="eastAsia"/>
                <w:kern w:val="0"/>
                <w:szCs w:val="21"/>
              </w:rPr>
              <w:t>2分</w:t>
            </w:r>
          </w:p>
        </w:tc>
        <w:tc>
          <w:tcPr>
            <w:tcW w:w="3473" w:type="dxa"/>
            <w:vAlign w:val="center"/>
          </w:tcPr>
          <w:p>
            <w:pPr>
              <w:pStyle w:val="152"/>
              <w:spacing w:line="240" w:lineRule="auto"/>
              <w:ind w:firstLine="0" w:firstLineChars="0"/>
              <w:rPr>
                <w:kern w:val="0"/>
                <w:szCs w:val="21"/>
              </w:rPr>
            </w:pPr>
            <w:r>
              <w:rPr>
                <w:rFonts w:hint="eastAsia"/>
                <w:kern w:val="0"/>
                <w:szCs w:val="21"/>
              </w:rPr>
              <w:t xml:space="preserve">如发现，视情节每次扣 </w:t>
            </w:r>
            <w:r>
              <w:rPr>
                <w:kern w:val="0"/>
                <w:szCs w:val="21"/>
              </w:rPr>
              <w:t>0.5</w:t>
            </w:r>
            <w:r>
              <w:rPr>
                <w:rFonts w:hint="eastAsia"/>
                <w:kern w:val="0"/>
                <w:szCs w:val="21"/>
              </w:rPr>
              <w:t>分以上。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4" w:type="dxa"/>
            <w:vMerge w:val="continue"/>
          </w:tcPr>
          <w:p>
            <w:pPr>
              <w:pStyle w:val="152"/>
              <w:spacing w:line="240" w:lineRule="auto"/>
              <w:ind w:firstLine="0" w:firstLineChars="0"/>
              <w:rPr>
                <w:kern w:val="0"/>
                <w:szCs w:val="21"/>
              </w:rPr>
            </w:pPr>
          </w:p>
        </w:tc>
        <w:tc>
          <w:tcPr>
            <w:tcW w:w="3357" w:type="dxa"/>
            <w:vAlign w:val="center"/>
          </w:tcPr>
          <w:p>
            <w:pPr>
              <w:pStyle w:val="152"/>
              <w:spacing w:line="240" w:lineRule="auto"/>
              <w:ind w:firstLine="0" w:firstLineChars="0"/>
              <w:rPr>
                <w:kern w:val="0"/>
                <w:szCs w:val="21"/>
              </w:rPr>
            </w:pPr>
            <w:r>
              <w:rPr>
                <w:rFonts w:hint="eastAsia"/>
                <w:kern w:val="0"/>
                <w:szCs w:val="21"/>
              </w:rPr>
              <w:t>室内外卫生：要求室内外地面干净（走廊、过道、楼梯等每天拖地一次）、整洁，无垃圾，室内卫生间无异味、无积水，墙角、门角无蜘蛛网，所有垃圾即时清理</w:t>
            </w:r>
          </w:p>
        </w:tc>
        <w:tc>
          <w:tcPr>
            <w:tcW w:w="791" w:type="dxa"/>
            <w:vAlign w:val="center"/>
          </w:tcPr>
          <w:p>
            <w:pPr>
              <w:pStyle w:val="152"/>
              <w:spacing w:line="240" w:lineRule="auto"/>
              <w:ind w:firstLine="0" w:firstLineChars="0"/>
              <w:rPr>
                <w:kern w:val="0"/>
                <w:szCs w:val="21"/>
              </w:rPr>
            </w:pPr>
            <w:r>
              <w:rPr>
                <w:rFonts w:hint="eastAsia"/>
                <w:kern w:val="0"/>
                <w:szCs w:val="21"/>
              </w:rPr>
              <w:t>2分</w:t>
            </w:r>
          </w:p>
        </w:tc>
        <w:tc>
          <w:tcPr>
            <w:tcW w:w="3473" w:type="dxa"/>
            <w:vAlign w:val="center"/>
          </w:tcPr>
          <w:p>
            <w:pPr>
              <w:pStyle w:val="152"/>
              <w:spacing w:line="240" w:lineRule="auto"/>
              <w:ind w:firstLine="0" w:firstLineChars="0"/>
              <w:rPr>
                <w:kern w:val="0"/>
                <w:szCs w:val="21"/>
              </w:rPr>
            </w:pPr>
            <w:r>
              <w:rPr>
                <w:rFonts w:hint="eastAsia"/>
                <w:kern w:val="0"/>
                <w:szCs w:val="21"/>
              </w:rPr>
              <w:t xml:space="preserve">未达到要求，每处扣 </w:t>
            </w:r>
            <w:r>
              <w:rPr>
                <w:kern w:val="0"/>
                <w:szCs w:val="21"/>
              </w:rPr>
              <w:t>0.2</w:t>
            </w:r>
            <w:r>
              <w:rPr>
                <w:rFonts w:hint="eastAsia"/>
                <w:kern w:val="0"/>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4" w:type="dxa"/>
            <w:vMerge w:val="continue"/>
          </w:tcPr>
          <w:p>
            <w:pPr>
              <w:pStyle w:val="152"/>
              <w:spacing w:line="240" w:lineRule="auto"/>
              <w:ind w:firstLine="0" w:firstLineChars="0"/>
              <w:rPr>
                <w:kern w:val="0"/>
                <w:szCs w:val="21"/>
              </w:rPr>
            </w:pPr>
          </w:p>
        </w:tc>
        <w:tc>
          <w:tcPr>
            <w:tcW w:w="3357" w:type="dxa"/>
            <w:vAlign w:val="center"/>
          </w:tcPr>
          <w:p>
            <w:pPr>
              <w:pStyle w:val="152"/>
              <w:spacing w:line="240" w:lineRule="auto"/>
              <w:ind w:firstLine="0" w:firstLineChars="0"/>
              <w:rPr>
                <w:kern w:val="0"/>
                <w:szCs w:val="21"/>
              </w:rPr>
            </w:pPr>
            <w:r>
              <w:rPr>
                <w:rFonts w:hint="eastAsia"/>
                <w:kern w:val="0"/>
                <w:szCs w:val="21"/>
              </w:rPr>
              <w:t xml:space="preserve">物品摆放及保管：室内所有用品摆放整齐，鞋子、毛巾、洗漱用品等摆放成线，衣物、箱包摆放有序；被褥、枕头、床单、衣物等床上用品叠放成形、统一整齐， </w:t>
            </w:r>
          </w:p>
        </w:tc>
        <w:tc>
          <w:tcPr>
            <w:tcW w:w="791" w:type="dxa"/>
            <w:vAlign w:val="center"/>
          </w:tcPr>
          <w:p>
            <w:pPr>
              <w:pStyle w:val="152"/>
              <w:spacing w:line="240" w:lineRule="auto"/>
              <w:ind w:firstLine="0" w:firstLineChars="0"/>
              <w:rPr>
                <w:kern w:val="0"/>
                <w:szCs w:val="21"/>
              </w:rPr>
            </w:pPr>
            <w:r>
              <w:rPr>
                <w:rFonts w:hint="eastAsia"/>
                <w:kern w:val="0"/>
                <w:szCs w:val="21"/>
              </w:rPr>
              <w:t>2分</w:t>
            </w:r>
          </w:p>
        </w:tc>
        <w:tc>
          <w:tcPr>
            <w:tcW w:w="3473" w:type="dxa"/>
            <w:vAlign w:val="center"/>
          </w:tcPr>
          <w:p>
            <w:pPr>
              <w:pStyle w:val="152"/>
              <w:spacing w:line="240" w:lineRule="auto"/>
              <w:ind w:firstLine="0" w:firstLineChars="0"/>
              <w:rPr>
                <w:kern w:val="0"/>
                <w:szCs w:val="21"/>
              </w:rPr>
            </w:pPr>
            <w:r>
              <w:rPr>
                <w:rFonts w:hint="eastAsia"/>
                <w:kern w:val="0"/>
                <w:szCs w:val="21"/>
              </w:rPr>
              <w:t xml:space="preserve">未达到要求，每处扣 </w:t>
            </w:r>
            <w:r>
              <w:rPr>
                <w:kern w:val="0"/>
                <w:szCs w:val="21"/>
              </w:rPr>
              <w:t>0.2</w:t>
            </w:r>
            <w:r>
              <w:rPr>
                <w:rFonts w:hint="eastAsia"/>
                <w:kern w:val="0"/>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4" w:type="dxa"/>
            <w:vMerge w:val="continue"/>
          </w:tcPr>
          <w:p>
            <w:pPr>
              <w:pStyle w:val="152"/>
              <w:spacing w:line="240" w:lineRule="auto"/>
              <w:ind w:firstLine="0" w:firstLineChars="0"/>
              <w:rPr>
                <w:kern w:val="0"/>
                <w:szCs w:val="21"/>
              </w:rPr>
            </w:pPr>
          </w:p>
        </w:tc>
        <w:tc>
          <w:tcPr>
            <w:tcW w:w="3357" w:type="dxa"/>
            <w:vAlign w:val="center"/>
          </w:tcPr>
          <w:p>
            <w:pPr>
              <w:pStyle w:val="152"/>
              <w:spacing w:line="240" w:lineRule="auto"/>
              <w:ind w:firstLine="0" w:firstLineChars="0"/>
              <w:rPr>
                <w:kern w:val="0"/>
                <w:szCs w:val="21"/>
              </w:rPr>
            </w:pPr>
            <w:r>
              <w:rPr>
                <w:rFonts w:hint="eastAsia"/>
                <w:kern w:val="0"/>
                <w:szCs w:val="21"/>
              </w:rPr>
              <w:t>财产管理：室内外水、电设施、门窗、床铺、风扇等设施要经常检查，发现损坏即时报告督促维修，发现人为破坏要及时报告，追究责任和赔偿，要及时关水、关电、关风扇，。</w:t>
            </w:r>
          </w:p>
        </w:tc>
        <w:tc>
          <w:tcPr>
            <w:tcW w:w="791" w:type="dxa"/>
            <w:vAlign w:val="center"/>
          </w:tcPr>
          <w:p>
            <w:pPr>
              <w:pStyle w:val="152"/>
              <w:spacing w:line="240" w:lineRule="auto"/>
              <w:ind w:firstLine="0" w:firstLineChars="0"/>
              <w:rPr>
                <w:kern w:val="0"/>
                <w:szCs w:val="21"/>
              </w:rPr>
            </w:pPr>
            <w:r>
              <w:rPr>
                <w:rFonts w:hint="eastAsia"/>
                <w:kern w:val="0"/>
                <w:szCs w:val="21"/>
              </w:rPr>
              <w:t>2分</w:t>
            </w:r>
          </w:p>
        </w:tc>
        <w:tc>
          <w:tcPr>
            <w:tcW w:w="3473" w:type="dxa"/>
            <w:vAlign w:val="center"/>
          </w:tcPr>
          <w:p>
            <w:pPr>
              <w:pStyle w:val="152"/>
              <w:spacing w:line="240" w:lineRule="auto"/>
              <w:ind w:firstLine="0" w:firstLineChars="0"/>
              <w:rPr>
                <w:kern w:val="0"/>
                <w:szCs w:val="21"/>
              </w:rPr>
            </w:pPr>
            <w:r>
              <w:rPr>
                <w:rFonts w:hint="eastAsia"/>
                <w:kern w:val="0"/>
                <w:szCs w:val="21"/>
              </w:rPr>
              <w:t>未及时报告公物损坏情况，有浪费行为，发现一次扣0</w:t>
            </w:r>
            <w:r>
              <w:rPr>
                <w:kern w:val="0"/>
                <w:szCs w:val="21"/>
              </w:rPr>
              <w:t>.5</w:t>
            </w:r>
            <w:r>
              <w:rPr>
                <w:rFonts w:hint="eastAsia"/>
                <w:kern w:val="0"/>
                <w:szCs w:val="21"/>
              </w:rPr>
              <w:t>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4" w:type="dxa"/>
            <w:vMerge w:val="continue"/>
          </w:tcPr>
          <w:p>
            <w:pPr>
              <w:pStyle w:val="152"/>
              <w:spacing w:line="240" w:lineRule="auto"/>
              <w:ind w:firstLine="0" w:firstLineChars="0"/>
              <w:rPr>
                <w:kern w:val="0"/>
                <w:szCs w:val="21"/>
              </w:rPr>
            </w:pPr>
          </w:p>
        </w:tc>
        <w:tc>
          <w:tcPr>
            <w:tcW w:w="3357" w:type="dxa"/>
            <w:vAlign w:val="center"/>
          </w:tcPr>
          <w:p>
            <w:pPr>
              <w:pStyle w:val="152"/>
              <w:spacing w:line="240" w:lineRule="auto"/>
              <w:ind w:firstLine="0" w:firstLineChars="0"/>
              <w:rPr>
                <w:kern w:val="0"/>
                <w:szCs w:val="21"/>
              </w:rPr>
            </w:pPr>
            <w:r>
              <w:rPr>
                <w:rFonts w:hint="eastAsia"/>
                <w:kern w:val="0"/>
                <w:szCs w:val="21"/>
              </w:rPr>
              <w:t>按照学校作息时间，督促学生按时起床、离寝，按时就寝、熄灯；做到起床迅速、离寝及时，静寝快速。对滞留寝室学生进行登记并报告班主任或德育处。</w:t>
            </w:r>
          </w:p>
        </w:tc>
        <w:tc>
          <w:tcPr>
            <w:tcW w:w="791" w:type="dxa"/>
            <w:vAlign w:val="center"/>
          </w:tcPr>
          <w:p>
            <w:pPr>
              <w:pStyle w:val="152"/>
              <w:spacing w:line="240" w:lineRule="auto"/>
              <w:ind w:firstLine="0" w:firstLineChars="0"/>
              <w:rPr>
                <w:kern w:val="0"/>
                <w:szCs w:val="21"/>
              </w:rPr>
            </w:pPr>
            <w:r>
              <w:rPr>
                <w:rFonts w:hint="eastAsia"/>
                <w:kern w:val="0"/>
                <w:szCs w:val="21"/>
              </w:rPr>
              <w:t>2分</w:t>
            </w:r>
          </w:p>
        </w:tc>
        <w:tc>
          <w:tcPr>
            <w:tcW w:w="3473" w:type="dxa"/>
            <w:vAlign w:val="center"/>
          </w:tcPr>
          <w:p>
            <w:pPr>
              <w:pStyle w:val="152"/>
              <w:spacing w:line="240" w:lineRule="auto"/>
              <w:ind w:firstLine="0" w:firstLineChars="0"/>
              <w:rPr>
                <w:kern w:val="0"/>
                <w:szCs w:val="21"/>
              </w:rPr>
            </w:pPr>
            <w:r>
              <w:rPr>
                <w:rFonts w:hint="eastAsia"/>
                <w:kern w:val="0"/>
                <w:szCs w:val="21"/>
              </w:rPr>
              <w:t xml:space="preserve">未按作息要求管理学生，未及时上报违纪行为，发现一次扣 </w:t>
            </w:r>
            <w:r>
              <w:rPr>
                <w:kern w:val="0"/>
                <w:szCs w:val="21"/>
              </w:rPr>
              <w:t>0.2</w:t>
            </w:r>
            <w:r>
              <w:rPr>
                <w:rFonts w:hint="eastAsia"/>
                <w:kern w:val="0"/>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4" w:type="dxa"/>
            <w:vMerge w:val="continue"/>
          </w:tcPr>
          <w:p>
            <w:pPr>
              <w:pStyle w:val="152"/>
              <w:spacing w:line="240" w:lineRule="auto"/>
              <w:ind w:firstLine="0" w:firstLineChars="0"/>
              <w:rPr>
                <w:kern w:val="0"/>
                <w:szCs w:val="21"/>
              </w:rPr>
            </w:pPr>
          </w:p>
        </w:tc>
        <w:tc>
          <w:tcPr>
            <w:tcW w:w="3357" w:type="dxa"/>
            <w:vAlign w:val="center"/>
          </w:tcPr>
          <w:p>
            <w:pPr>
              <w:pStyle w:val="152"/>
              <w:spacing w:line="240" w:lineRule="auto"/>
              <w:ind w:firstLine="0" w:firstLineChars="0"/>
              <w:rPr>
                <w:kern w:val="0"/>
                <w:szCs w:val="21"/>
              </w:rPr>
            </w:pPr>
            <w:r>
              <w:rPr>
                <w:rFonts w:hint="eastAsia"/>
                <w:kern w:val="0"/>
                <w:szCs w:val="21"/>
              </w:rPr>
              <w:t>非就寝时间要及时锁好寝室门及宿舍大门，学生有特殊情况在非就寝时间进入寝室须持有班主任批准的请假条方可进入。滞留寝室的学生要分班登记并报告班主任或德育处处理。</w:t>
            </w:r>
          </w:p>
        </w:tc>
        <w:tc>
          <w:tcPr>
            <w:tcW w:w="791" w:type="dxa"/>
            <w:vAlign w:val="center"/>
          </w:tcPr>
          <w:p>
            <w:pPr>
              <w:pStyle w:val="152"/>
              <w:spacing w:line="240" w:lineRule="auto"/>
              <w:ind w:firstLine="0" w:firstLineChars="0"/>
              <w:rPr>
                <w:kern w:val="0"/>
                <w:szCs w:val="21"/>
              </w:rPr>
            </w:pPr>
            <w:r>
              <w:rPr>
                <w:rFonts w:hint="eastAsia"/>
                <w:kern w:val="0"/>
                <w:szCs w:val="21"/>
              </w:rPr>
              <w:t>2分</w:t>
            </w:r>
          </w:p>
        </w:tc>
        <w:tc>
          <w:tcPr>
            <w:tcW w:w="3473" w:type="dxa"/>
            <w:vAlign w:val="center"/>
          </w:tcPr>
          <w:p>
            <w:pPr>
              <w:pStyle w:val="152"/>
              <w:spacing w:line="240" w:lineRule="auto"/>
              <w:ind w:firstLine="0" w:firstLineChars="0"/>
              <w:rPr>
                <w:kern w:val="0"/>
                <w:szCs w:val="21"/>
              </w:rPr>
            </w:pPr>
            <w:r>
              <w:rPr>
                <w:rFonts w:hint="eastAsia"/>
                <w:kern w:val="0"/>
                <w:szCs w:val="21"/>
              </w:rPr>
              <w:t>未按时开门、锁门每次扣0</w:t>
            </w:r>
            <w:r>
              <w:rPr>
                <w:kern w:val="0"/>
                <w:szCs w:val="21"/>
              </w:rPr>
              <w:t>.2</w:t>
            </w:r>
            <w:r>
              <w:rPr>
                <w:rFonts w:hint="eastAsia"/>
                <w:kern w:val="0"/>
                <w:szCs w:val="21"/>
              </w:rPr>
              <w:t xml:space="preserve"> 分，没有请假条让学生进入寝室每人次扣 </w:t>
            </w:r>
            <w:r>
              <w:rPr>
                <w:kern w:val="0"/>
                <w:szCs w:val="21"/>
              </w:rPr>
              <w:t>0.2</w:t>
            </w:r>
            <w:r>
              <w:rPr>
                <w:rFonts w:hint="eastAsia"/>
                <w:kern w:val="0"/>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4" w:type="dxa"/>
            <w:vMerge w:val="continue"/>
          </w:tcPr>
          <w:p>
            <w:pPr>
              <w:pStyle w:val="152"/>
              <w:spacing w:line="240" w:lineRule="auto"/>
              <w:ind w:firstLine="0" w:firstLineChars="0"/>
              <w:rPr>
                <w:kern w:val="0"/>
                <w:szCs w:val="21"/>
              </w:rPr>
            </w:pPr>
          </w:p>
        </w:tc>
        <w:tc>
          <w:tcPr>
            <w:tcW w:w="3357" w:type="dxa"/>
            <w:vAlign w:val="center"/>
          </w:tcPr>
          <w:p>
            <w:pPr>
              <w:pStyle w:val="152"/>
              <w:spacing w:line="240" w:lineRule="auto"/>
              <w:ind w:firstLine="0" w:firstLineChars="0"/>
              <w:rPr>
                <w:kern w:val="0"/>
                <w:szCs w:val="21"/>
              </w:rPr>
            </w:pPr>
            <w:r>
              <w:rPr>
                <w:rFonts w:hint="eastAsia"/>
                <w:kern w:val="0"/>
                <w:szCs w:val="21"/>
              </w:rPr>
              <w:t>学生晚寝后加强巡视，配合值班行政、班主任查寝，清点人数，防止学生就寝后离寝外出。</w:t>
            </w:r>
          </w:p>
        </w:tc>
        <w:tc>
          <w:tcPr>
            <w:tcW w:w="791" w:type="dxa"/>
            <w:vAlign w:val="center"/>
          </w:tcPr>
          <w:p>
            <w:pPr>
              <w:pStyle w:val="152"/>
              <w:spacing w:line="240" w:lineRule="auto"/>
              <w:ind w:firstLine="0" w:firstLineChars="0"/>
              <w:rPr>
                <w:kern w:val="0"/>
                <w:szCs w:val="21"/>
              </w:rPr>
            </w:pPr>
            <w:r>
              <w:rPr>
                <w:rFonts w:hint="eastAsia"/>
                <w:kern w:val="0"/>
                <w:szCs w:val="21"/>
              </w:rPr>
              <w:t>2分</w:t>
            </w:r>
          </w:p>
        </w:tc>
        <w:tc>
          <w:tcPr>
            <w:tcW w:w="3473" w:type="dxa"/>
            <w:vAlign w:val="center"/>
          </w:tcPr>
          <w:p>
            <w:pPr>
              <w:pStyle w:val="152"/>
              <w:spacing w:line="240" w:lineRule="auto"/>
              <w:ind w:firstLine="0" w:firstLineChars="0"/>
              <w:rPr>
                <w:kern w:val="0"/>
                <w:szCs w:val="21"/>
              </w:rPr>
            </w:pPr>
            <w:r>
              <w:rPr>
                <w:rFonts w:hint="eastAsia"/>
                <w:kern w:val="0"/>
                <w:szCs w:val="21"/>
              </w:rPr>
              <w:t>未严格考勤，未达到要求每次扣0</w:t>
            </w:r>
            <w:r>
              <w:rPr>
                <w:kern w:val="0"/>
                <w:szCs w:val="21"/>
              </w:rPr>
              <w:t>.2</w:t>
            </w:r>
            <w:r>
              <w:rPr>
                <w:rFonts w:hint="eastAsia"/>
                <w:kern w:val="0"/>
                <w:szCs w:val="21"/>
              </w:rPr>
              <w:t xml:space="preserve">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4" w:type="dxa"/>
            <w:vMerge w:val="continue"/>
          </w:tcPr>
          <w:p>
            <w:pPr>
              <w:pStyle w:val="152"/>
              <w:spacing w:line="240" w:lineRule="auto"/>
              <w:ind w:firstLine="0" w:firstLineChars="0"/>
              <w:rPr>
                <w:kern w:val="0"/>
                <w:szCs w:val="21"/>
              </w:rPr>
            </w:pPr>
          </w:p>
        </w:tc>
        <w:tc>
          <w:tcPr>
            <w:tcW w:w="3357" w:type="dxa"/>
            <w:vAlign w:val="center"/>
          </w:tcPr>
          <w:p>
            <w:pPr>
              <w:pStyle w:val="152"/>
              <w:spacing w:line="240" w:lineRule="auto"/>
              <w:ind w:firstLine="0" w:firstLineChars="0"/>
              <w:rPr>
                <w:kern w:val="0"/>
                <w:szCs w:val="21"/>
              </w:rPr>
            </w:pPr>
            <w:r>
              <w:rPr>
                <w:rFonts w:hint="eastAsia"/>
                <w:kern w:val="0"/>
                <w:szCs w:val="21"/>
              </w:rPr>
              <w:t>要及时制止学生在室内抽烟、喝酒、打闹、喧哗、打牌、串寝室等不良行为，根据规定及时向学校反映 。</w:t>
            </w:r>
          </w:p>
        </w:tc>
        <w:tc>
          <w:tcPr>
            <w:tcW w:w="791" w:type="dxa"/>
            <w:vAlign w:val="center"/>
          </w:tcPr>
          <w:p>
            <w:pPr>
              <w:pStyle w:val="152"/>
              <w:spacing w:line="240" w:lineRule="auto"/>
              <w:ind w:firstLine="0" w:firstLineChars="0"/>
              <w:rPr>
                <w:kern w:val="0"/>
                <w:szCs w:val="21"/>
              </w:rPr>
            </w:pPr>
            <w:r>
              <w:rPr>
                <w:rFonts w:hint="eastAsia"/>
                <w:kern w:val="0"/>
                <w:szCs w:val="21"/>
              </w:rPr>
              <w:t>2分</w:t>
            </w:r>
          </w:p>
        </w:tc>
        <w:tc>
          <w:tcPr>
            <w:tcW w:w="3473" w:type="dxa"/>
            <w:vAlign w:val="center"/>
          </w:tcPr>
          <w:p>
            <w:pPr>
              <w:pStyle w:val="152"/>
              <w:spacing w:line="240" w:lineRule="auto"/>
              <w:ind w:firstLine="0" w:firstLineChars="0"/>
              <w:rPr>
                <w:kern w:val="0"/>
                <w:szCs w:val="21"/>
              </w:rPr>
            </w:pPr>
            <w:r>
              <w:rPr>
                <w:rFonts w:hint="eastAsia"/>
                <w:kern w:val="0"/>
                <w:szCs w:val="21"/>
              </w:rPr>
              <w:t xml:space="preserve">没及时制止违纪行为或不报告每次扣 </w:t>
            </w:r>
            <w:r>
              <w:rPr>
                <w:kern w:val="0"/>
                <w:szCs w:val="21"/>
              </w:rPr>
              <w:t>0.5</w:t>
            </w:r>
            <w:r>
              <w:rPr>
                <w:rFonts w:hint="eastAsia"/>
                <w:kern w:val="0"/>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4" w:type="dxa"/>
            <w:vMerge w:val="restart"/>
          </w:tcPr>
          <w:p>
            <w:pPr>
              <w:pStyle w:val="152"/>
              <w:spacing w:line="240" w:lineRule="auto"/>
              <w:ind w:firstLine="0" w:firstLineChars="0"/>
              <w:rPr>
                <w:kern w:val="0"/>
                <w:szCs w:val="21"/>
              </w:rPr>
            </w:pPr>
            <w:r>
              <w:rPr>
                <w:rFonts w:hint="eastAsia"/>
                <w:kern w:val="0"/>
                <w:szCs w:val="21"/>
              </w:rPr>
              <w:t>其</w:t>
            </w:r>
          </w:p>
          <w:p>
            <w:pPr>
              <w:pStyle w:val="152"/>
              <w:spacing w:line="240" w:lineRule="auto"/>
              <w:ind w:firstLine="0" w:firstLineChars="0"/>
              <w:rPr>
                <w:kern w:val="0"/>
                <w:szCs w:val="21"/>
              </w:rPr>
            </w:pPr>
            <w:r>
              <w:rPr>
                <w:rFonts w:hint="eastAsia"/>
                <w:kern w:val="0"/>
                <w:szCs w:val="21"/>
              </w:rPr>
              <w:t>他</w:t>
            </w:r>
          </w:p>
          <w:p>
            <w:pPr>
              <w:pStyle w:val="152"/>
              <w:spacing w:line="240" w:lineRule="auto"/>
              <w:ind w:firstLine="0" w:firstLineChars="0"/>
              <w:rPr>
                <w:kern w:val="0"/>
                <w:szCs w:val="21"/>
              </w:rPr>
            </w:pPr>
            <w:r>
              <w:rPr>
                <w:rFonts w:hint="eastAsia"/>
                <w:kern w:val="0"/>
                <w:szCs w:val="21"/>
              </w:rPr>
              <w:t>（5分）</w:t>
            </w:r>
          </w:p>
        </w:tc>
        <w:tc>
          <w:tcPr>
            <w:tcW w:w="3357" w:type="dxa"/>
            <w:vAlign w:val="center"/>
          </w:tcPr>
          <w:p>
            <w:pPr>
              <w:pStyle w:val="152"/>
              <w:spacing w:line="240" w:lineRule="auto"/>
              <w:ind w:firstLine="0" w:firstLineChars="0"/>
              <w:rPr>
                <w:kern w:val="0"/>
                <w:szCs w:val="21"/>
              </w:rPr>
            </w:pPr>
            <w:r>
              <w:rPr>
                <w:rFonts w:hint="eastAsia"/>
                <w:kern w:val="0"/>
                <w:szCs w:val="21"/>
              </w:rPr>
              <w:t>临时工作</w:t>
            </w:r>
          </w:p>
        </w:tc>
        <w:tc>
          <w:tcPr>
            <w:tcW w:w="791" w:type="dxa"/>
            <w:vAlign w:val="center"/>
          </w:tcPr>
          <w:p>
            <w:pPr>
              <w:pStyle w:val="152"/>
              <w:spacing w:line="240" w:lineRule="auto"/>
              <w:ind w:firstLine="0" w:firstLineChars="0"/>
              <w:rPr>
                <w:kern w:val="0"/>
                <w:szCs w:val="21"/>
              </w:rPr>
            </w:pPr>
            <w:r>
              <w:rPr>
                <w:rFonts w:hint="eastAsia"/>
                <w:kern w:val="0"/>
                <w:szCs w:val="21"/>
              </w:rPr>
              <w:t>3分</w:t>
            </w:r>
          </w:p>
        </w:tc>
        <w:tc>
          <w:tcPr>
            <w:tcW w:w="3473" w:type="dxa"/>
            <w:vAlign w:val="center"/>
          </w:tcPr>
          <w:p>
            <w:pPr>
              <w:pStyle w:val="152"/>
              <w:spacing w:line="240" w:lineRule="auto"/>
              <w:ind w:firstLine="0" w:firstLineChars="0"/>
              <w:rPr>
                <w:kern w:val="0"/>
                <w:szCs w:val="21"/>
              </w:rPr>
            </w:pPr>
            <w:r>
              <w:rPr>
                <w:rFonts w:hint="eastAsia"/>
                <w:kern w:val="0"/>
                <w:szCs w:val="21"/>
              </w:rPr>
              <w:t>不服从学校安排，无端推诿、拖延，敷衍等，一次扣</w:t>
            </w:r>
            <w:r>
              <w:rPr>
                <w:kern w:val="0"/>
                <w:szCs w:val="21"/>
              </w:rPr>
              <w:t>1</w:t>
            </w:r>
            <w:r>
              <w:rPr>
                <w:rFonts w:hint="eastAsia"/>
                <w:kern w:val="0"/>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4" w:type="dxa"/>
            <w:vMerge w:val="continue"/>
          </w:tcPr>
          <w:p>
            <w:pPr>
              <w:pStyle w:val="152"/>
              <w:spacing w:line="240" w:lineRule="auto"/>
              <w:ind w:firstLine="0" w:firstLineChars="0"/>
              <w:rPr>
                <w:kern w:val="0"/>
                <w:szCs w:val="21"/>
              </w:rPr>
            </w:pPr>
          </w:p>
        </w:tc>
        <w:tc>
          <w:tcPr>
            <w:tcW w:w="3357" w:type="dxa"/>
            <w:vAlign w:val="center"/>
          </w:tcPr>
          <w:p>
            <w:pPr>
              <w:pStyle w:val="152"/>
              <w:spacing w:line="240" w:lineRule="auto"/>
              <w:ind w:firstLine="0" w:firstLineChars="0"/>
              <w:rPr>
                <w:kern w:val="0"/>
                <w:szCs w:val="21"/>
              </w:rPr>
            </w:pPr>
            <w:r>
              <w:rPr>
                <w:rFonts w:hint="eastAsia"/>
                <w:kern w:val="0"/>
                <w:szCs w:val="21"/>
              </w:rPr>
              <w:t>服务团队的稳定性</w:t>
            </w:r>
          </w:p>
        </w:tc>
        <w:tc>
          <w:tcPr>
            <w:tcW w:w="791" w:type="dxa"/>
            <w:vAlign w:val="center"/>
          </w:tcPr>
          <w:p>
            <w:pPr>
              <w:pStyle w:val="152"/>
              <w:spacing w:line="240" w:lineRule="auto"/>
              <w:ind w:firstLine="0" w:firstLineChars="0"/>
              <w:rPr>
                <w:kern w:val="0"/>
                <w:szCs w:val="21"/>
              </w:rPr>
            </w:pPr>
            <w:r>
              <w:rPr>
                <w:rFonts w:hint="eastAsia"/>
                <w:kern w:val="0"/>
                <w:szCs w:val="21"/>
              </w:rPr>
              <w:t>2分</w:t>
            </w:r>
          </w:p>
        </w:tc>
        <w:tc>
          <w:tcPr>
            <w:tcW w:w="3473" w:type="dxa"/>
            <w:vAlign w:val="center"/>
          </w:tcPr>
          <w:p>
            <w:pPr>
              <w:pStyle w:val="152"/>
              <w:spacing w:line="240" w:lineRule="auto"/>
              <w:ind w:firstLine="0" w:firstLineChars="0"/>
              <w:rPr>
                <w:kern w:val="0"/>
                <w:szCs w:val="21"/>
              </w:rPr>
            </w:pPr>
            <w:r>
              <w:rPr>
                <w:rFonts w:hint="eastAsia"/>
                <w:kern w:val="0"/>
                <w:szCs w:val="21"/>
              </w:rPr>
              <w:t>服务期每月调离或更换服务人员不得超过</w:t>
            </w:r>
            <w:r>
              <w:rPr>
                <w:kern w:val="0"/>
                <w:szCs w:val="21"/>
              </w:rPr>
              <w:t>20</w:t>
            </w:r>
            <w:r>
              <w:rPr>
                <w:rFonts w:hint="eastAsia"/>
                <w:kern w:val="0"/>
                <w:szCs w:val="21"/>
              </w:rPr>
              <w:t>%，超出</w:t>
            </w:r>
            <w:r>
              <w:rPr>
                <w:kern w:val="0"/>
                <w:szCs w:val="21"/>
              </w:rPr>
              <w:t>5%</w:t>
            </w:r>
            <w:r>
              <w:rPr>
                <w:rFonts w:hint="eastAsia"/>
                <w:kern w:val="0"/>
                <w:szCs w:val="21"/>
              </w:rPr>
              <w:t>次扣1分</w:t>
            </w:r>
          </w:p>
        </w:tc>
      </w:tr>
    </w:tbl>
    <w:p>
      <w:pPr>
        <w:rPr>
          <w:szCs w:val="21"/>
        </w:rPr>
      </w:pPr>
    </w:p>
    <w:p>
      <w:pPr>
        <w:pStyle w:val="152"/>
        <w:spacing w:line="240" w:lineRule="auto"/>
        <w:ind w:firstLine="0" w:firstLineChars="0"/>
        <w:rPr>
          <w:szCs w:val="21"/>
        </w:rPr>
      </w:pPr>
      <w:r>
        <w:rPr>
          <w:rFonts w:hint="eastAsia"/>
          <w:szCs w:val="21"/>
        </w:rPr>
        <w:t>3.树德协进中学</w:t>
      </w:r>
    </w:p>
    <w:p>
      <w:pPr>
        <w:pStyle w:val="152"/>
        <w:spacing w:line="240" w:lineRule="auto"/>
        <w:ind w:firstLine="0" w:firstLineChars="0"/>
        <w:rPr>
          <w:szCs w:val="21"/>
        </w:rPr>
      </w:pPr>
    </w:p>
    <w:tbl>
      <w:tblPr>
        <w:tblStyle w:val="43"/>
        <w:tblW w:w="83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5"/>
        <w:gridCol w:w="3456"/>
        <w:gridCol w:w="791"/>
        <w:gridCol w:w="3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Align w:val="center"/>
          </w:tcPr>
          <w:p>
            <w:pPr>
              <w:pStyle w:val="152"/>
              <w:spacing w:line="240" w:lineRule="auto"/>
              <w:ind w:firstLine="0" w:firstLineChars="0"/>
              <w:rPr>
                <w:kern w:val="0"/>
                <w:szCs w:val="21"/>
              </w:rPr>
            </w:pPr>
            <w:r>
              <w:rPr>
                <w:rFonts w:hint="eastAsia"/>
                <w:kern w:val="0"/>
                <w:szCs w:val="21"/>
              </w:rPr>
              <w:t>项目</w:t>
            </w:r>
          </w:p>
        </w:tc>
        <w:tc>
          <w:tcPr>
            <w:tcW w:w="3456" w:type="dxa"/>
            <w:vAlign w:val="center"/>
          </w:tcPr>
          <w:p>
            <w:pPr>
              <w:pStyle w:val="152"/>
              <w:spacing w:line="240" w:lineRule="auto"/>
              <w:ind w:firstLine="0" w:firstLineChars="0"/>
              <w:rPr>
                <w:kern w:val="0"/>
                <w:szCs w:val="21"/>
              </w:rPr>
            </w:pPr>
            <w:r>
              <w:rPr>
                <w:rFonts w:hint="eastAsia"/>
                <w:kern w:val="0"/>
                <w:szCs w:val="21"/>
              </w:rPr>
              <w:t>服务质量标准</w:t>
            </w:r>
          </w:p>
        </w:tc>
        <w:tc>
          <w:tcPr>
            <w:tcW w:w="791" w:type="dxa"/>
            <w:vAlign w:val="center"/>
          </w:tcPr>
          <w:p>
            <w:pPr>
              <w:pStyle w:val="152"/>
              <w:spacing w:line="240" w:lineRule="auto"/>
              <w:ind w:firstLine="0" w:firstLineChars="0"/>
              <w:rPr>
                <w:kern w:val="0"/>
                <w:szCs w:val="21"/>
              </w:rPr>
            </w:pPr>
            <w:r>
              <w:rPr>
                <w:rFonts w:hint="eastAsia"/>
                <w:kern w:val="0"/>
                <w:szCs w:val="21"/>
              </w:rPr>
              <w:t>单项</w:t>
            </w:r>
          </w:p>
          <w:p>
            <w:pPr>
              <w:pStyle w:val="152"/>
              <w:spacing w:line="240" w:lineRule="auto"/>
              <w:ind w:firstLine="0" w:firstLineChars="0"/>
              <w:rPr>
                <w:kern w:val="0"/>
                <w:szCs w:val="21"/>
              </w:rPr>
            </w:pPr>
            <w:r>
              <w:rPr>
                <w:rFonts w:hint="eastAsia"/>
                <w:kern w:val="0"/>
                <w:szCs w:val="21"/>
              </w:rPr>
              <w:t>分值</w:t>
            </w:r>
          </w:p>
        </w:tc>
        <w:tc>
          <w:tcPr>
            <w:tcW w:w="3473" w:type="dxa"/>
            <w:vAlign w:val="center"/>
          </w:tcPr>
          <w:p>
            <w:pPr>
              <w:pStyle w:val="152"/>
              <w:spacing w:line="240" w:lineRule="auto"/>
              <w:ind w:firstLine="0" w:firstLineChars="0"/>
              <w:rPr>
                <w:kern w:val="0"/>
                <w:szCs w:val="21"/>
              </w:rPr>
            </w:pPr>
            <w:r>
              <w:rPr>
                <w:rFonts w:hint="eastAsia"/>
                <w:kern w:val="0"/>
                <w:szCs w:val="21"/>
              </w:rPr>
              <w:t>监督考评扣分标准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restart"/>
            <w:vAlign w:val="center"/>
          </w:tcPr>
          <w:p>
            <w:pPr>
              <w:pStyle w:val="152"/>
              <w:spacing w:line="240" w:lineRule="auto"/>
              <w:ind w:firstLine="0" w:firstLineChars="0"/>
              <w:rPr>
                <w:kern w:val="0"/>
                <w:szCs w:val="21"/>
              </w:rPr>
            </w:pPr>
            <w:r>
              <w:rPr>
                <w:rFonts w:hint="eastAsia"/>
                <w:kern w:val="0"/>
                <w:szCs w:val="21"/>
              </w:rPr>
              <w:t>主管</w:t>
            </w:r>
          </w:p>
          <w:p>
            <w:pPr>
              <w:pStyle w:val="152"/>
              <w:spacing w:line="240" w:lineRule="auto"/>
              <w:ind w:firstLine="0" w:firstLineChars="0"/>
              <w:rPr>
                <w:kern w:val="0"/>
                <w:szCs w:val="21"/>
              </w:rPr>
            </w:pPr>
            <w:r>
              <w:rPr>
                <w:rFonts w:hint="eastAsia"/>
                <w:kern w:val="0"/>
                <w:szCs w:val="21"/>
              </w:rPr>
              <w:t>(</w:t>
            </w:r>
            <w:r>
              <w:rPr>
                <w:kern w:val="0"/>
                <w:szCs w:val="21"/>
              </w:rPr>
              <w:t>10</w:t>
            </w:r>
            <w:r>
              <w:rPr>
                <w:rFonts w:hint="eastAsia"/>
                <w:kern w:val="0"/>
                <w:szCs w:val="21"/>
              </w:rPr>
              <w:t>分）</w:t>
            </w:r>
          </w:p>
        </w:tc>
        <w:tc>
          <w:tcPr>
            <w:tcW w:w="3456" w:type="dxa"/>
            <w:vAlign w:val="center"/>
          </w:tcPr>
          <w:p>
            <w:pPr>
              <w:pStyle w:val="152"/>
              <w:spacing w:line="240" w:lineRule="auto"/>
              <w:ind w:firstLine="0" w:firstLineChars="0"/>
              <w:rPr>
                <w:kern w:val="0"/>
                <w:szCs w:val="21"/>
              </w:rPr>
            </w:pPr>
            <w:r>
              <w:rPr>
                <w:rFonts w:hint="eastAsia"/>
                <w:kern w:val="0"/>
                <w:szCs w:val="21"/>
              </w:rPr>
              <w:t>工作日在岗情况</w:t>
            </w:r>
          </w:p>
        </w:tc>
        <w:tc>
          <w:tcPr>
            <w:tcW w:w="791" w:type="dxa"/>
            <w:vAlign w:val="center"/>
          </w:tcPr>
          <w:p>
            <w:pPr>
              <w:pStyle w:val="152"/>
              <w:spacing w:line="240" w:lineRule="auto"/>
              <w:ind w:firstLine="0" w:firstLineChars="0"/>
              <w:rPr>
                <w:kern w:val="0"/>
                <w:szCs w:val="21"/>
              </w:rPr>
            </w:pPr>
            <w:r>
              <w:rPr>
                <w:rFonts w:hint="eastAsia"/>
                <w:kern w:val="0"/>
                <w:szCs w:val="21"/>
              </w:rPr>
              <w:t>4分</w:t>
            </w:r>
          </w:p>
        </w:tc>
        <w:tc>
          <w:tcPr>
            <w:tcW w:w="3473" w:type="dxa"/>
            <w:vAlign w:val="center"/>
          </w:tcPr>
          <w:p>
            <w:pPr>
              <w:pStyle w:val="152"/>
              <w:spacing w:line="240" w:lineRule="auto"/>
              <w:ind w:firstLine="0" w:firstLineChars="0"/>
              <w:rPr>
                <w:kern w:val="0"/>
                <w:szCs w:val="21"/>
              </w:rPr>
            </w:pPr>
            <w:r>
              <w:rPr>
                <w:rFonts w:hint="eastAsia"/>
                <w:kern w:val="0"/>
                <w:szCs w:val="21"/>
              </w:rPr>
              <w:t>缺岗一次扣</w:t>
            </w:r>
            <w:r>
              <w:rPr>
                <w:kern w:val="0"/>
                <w:szCs w:val="21"/>
              </w:rPr>
              <w:t>1</w:t>
            </w:r>
            <w:r>
              <w:rPr>
                <w:rFonts w:hint="eastAsia"/>
                <w:kern w:val="0"/>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vAlign w:val="center"/>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对位点员工的日常工作督促和检查情况</w:t>
            </w:r>
          </w:p>
        </w:tc>
        <w:tc>
          <w:tcPr>
            <w:tcW w:w="791" w:type="dxa"/>
            <w:vAlign w:val="center"/>
          </w:tcPr>
          <w:p>
            <w:pPr>
              <w:pStyle w:val="152"/>
              <w:spacing w:line="240" w:lineRule="auto"/>
              <w:ind w:firstLine="0" w:firstLineChars="0"/>
              <w:rPr>
                <w:kern w:val="0"/>
                <w:szCs w:val="21"/>
              </w:rPr>
            </w:pPr>
            <w:r>
              <w:rPr>
                <w:rFonts w:hint="eastAsia"/>
                <w:kern w:val="0"/>
                <w:szCs w:val="21"/>
              </w:rPr>
              <w:t>3分</w:t>
            </w:r>
          </w:p>
        </w:tc>
        <w:tc>
          <w:tcPr>
            <w:tcW w:w="3473" w:type="dxa"/>
            <w:vAlign w:val="center"/>
          </w:tcPr>
          <w:p>
            <w:pPr>
              <w:pStyle w:val="152"/>
              <w:spacing w:line="240" w:lineRule="auto"/>
              <w:ind w:firstLine="0" w:firstLineChars="0"/>
              <w:rPr>
                <w:kern w:val="0"/>
                <w:szCs w:val="21"/>
              </w:rPr>
            </w:pPr>
            <w:r>
              <w:rPr>
                <w:rFonts w:hint="eastAsia"/>
                <w:kern w:val="0"/>
                <w:szCs w:val="21"/>
              </w:rPr>
              <w:t xml:space="preserve">对员工疏于管理或检查不到位,一次扣 </w:t>
            </w:r>
            <w:r>
              <w:rPr>
                <w:kern w:val="0"/>
                <w:szCs w:val="21"/>
              </w:rPr>
              <w:t xml:space="preserve"> 1</w:t>
            </w:r>
            <w:r>
              <w:rPr>
                <w:rFonts w:hint="eastAsia"/>
                <w:kern w:val="0"/>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vAlign w:val="center"/>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对员工的培训</w:t>
            </w:r>
          </w:p>
        </w:tc>
        <w:tc>
          <w:tcPr>
            <w:tcW w:w="791" w:type="dxa"/>
            <w:vAlign w:val="center"/>
          </w:tcPr>
          <w:p>
            <w:pPr>
              <w:pStyle w:val="152"/>
              <w:spacing w:line="240" w:lineRule="auto"/>
              <w:ind w:firstLine="0" w:firstLineChars="0"/>
              <w:rPr>
                <w:kern w:val="0"/>
                <w:szCs w:val="21"/>
              </w:rPr>
            </w:pPr>
            <w:r>
              <w:rPr>
                <w:rFonts w:hint="eastAsia"/>
                <w:kern w:val="0"/>
                <w:szCs w:val="21"/>
              </w:rPr>
              <w:t>3分</w:t>
            </w:r>
          </w:p>
        </w:tc>
        <w:tc>
          <w:tcPr>
            <w:tcW w:w="3473" w:type="dxa"/>
            <w:vAlign w:val="center"/>
          </w:tcPr>
          <w:p>
            <w:pPr>
              <w:pStyle w:val="152"/>
              <w:spacing w:line="240" w:lineRule="auto"/>
              <w:ind w:firstLine="0" w:firstLineChars="0"/>
              <w:rPr>
                <w:kern w:val="0"/>
                <w:szCs w:val="21"/>
              </w:rPr>
            </w:pPr>
            <w:r>
              <w:rPr>
                <w:rFonts w:hint="eastAsia"/>
                <w:kern w:val="0"/>
                <w:szCs w:val="21"/>
              </w:rPr>
              <w:t>对员工的相关技能和礼仪培训不到位,一次扣1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restart"/>
            <w:vAlign w:val="center"/>
          </w:tcPr>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r>
              <w:rPr>
                <w:rFonts w:hint="eastAsia"/>
                <w:kern w:val="0"/>
                <w:szCs w:val="21"/>
              </w:rPr>
              <w:t>安全保卫管理</w:t>
            </w:r>
          </w:p>
          <w:p>
            <w:pPr>
              <w:pStyle w:val="152"/>
              <w:spacing w:line="240" w:lineRule="auto"/>
              <w:ind w:firstLine="0" w:firstLineChars="0"/>
              <w:rPr>
                <w:kern w:val="0"/>
                <w:szCs w:val="21"/>
              </w:rPr>
            </w:pPr>
            <w:r>
              <w:rPr>
                <w:rFonts w:hint="eastAsia"/>
                <w:kern w:val="0"/>
                <w:szCs w:val="21"/>
              </w:rPr>
              <w:t>（20分）</w:t>
            </w:r>
          </w:p>
        </w:tc>
        <w:tc>
          <w:tcPr>
            <w:tcW w:w="3456" w:type="dxa"/>
            <w:vAlign w:val="center"/>
          </w:tcPr>
          <w:p>
            <w:pPr>
              <w:pStyle w:val="152"/>
              <w:spacing w:line="240" w:lineRule="auto"/>
              <w:ind w:firstLine="0" w:firstLineChars="0"/>
              <w:rPr>
                <w:kern w:val="0"/>
                <w:szCs w:val="21"/>
              </w:rPr>
            </w:pPr>
            <w:r>
              <w:rPr>
                <w:rFonts w:hint="eastAsia"/>
                <w:kern w:val="0"/>
                <w:szCs w:val="21"/>
              </w:rPr>
              <w:t>所聘用的秩序维护人员必须训练有素，有秩序维护队全管理制度和职责，安全防患措施，确秩序维护全稳定。</w:t>
            </w:r>
          </w:p>
        </w:tc>
        <w:tc>
          <w:tcPr>
            <w:tcW w:w="791" w:type="dxa"/>
            <w:vAlign w:val="center"/>
          </w:tcPr>
          <w:p>
            <w:pPr>
              <w:pStyle w:val="152"/>
              <w:spacing w:line="240" w:lineRule="auto"/>
              <w:ind w:firstLine="0" w:firstLineChars="0"/>
              <w:rPr>
                <w:kern w:val="0"/>
                <w:szCs w:val="21"/>
              </w:rPr>
            </w:pPr>
            <w:r>
              <w:rPr>
                <w:rFonts w:hint="eastAsia"/>
                <w:kern w:val="0"/>
                <w:szCs w:val="21"/>
              </w:rPr>
              <w:t>2分</w:t>
            </w:r>
          </w:p>
        </w:tc>
        <w:tc>
          <w:tcPr>
            <w:tcW w:w="3473" w:type="dxa"/>
            <w:vAlign w:val="center"/>
          </w:tcPr>
          <w:p>
            <w:pPr>
              <w:pStyle w:val="152"/>
              <w:spacing w:line="240" w:lineRule="auto"/>
              <w:ind w:firstLine="0" w:firstLineChars="0"/>
              <w:rPr>
                <w:kern w:val="0"/>
                <w:szCs w:val="21"/>
              </w:rPr>
            </w:pPr>
            <w:r>
              <w:rPr>
                <w:rFonts w:hint="eastAsia"/>
                <w:kern w:val="0"/>
                <w:szCs w:val="21"/>
              </w:rPr>
              <w:t>管理制度、职责、措施不健全每项扣 分，发生安全事故一次扣</w:t>
            </w:r>
            <w:r>
              <w:rPr>
                <w:kern w:val="0"/>
                <w:szCs w:val="21"/>
              </w:rPr>
              <w:t>0.5</w:t>
            </w:r>
            <w:r>
              <w:rPr>
                <w:rFonts w:hint="eastAsia"/>
                <w:kern w:val="0"/>
                <w:szCs w:val="21"/>
              </w:rPr>
              <w:t>分，发生重大安全事故扣</w:t>
            </w:r>
            <w:r>
              <w:rPr>
                <w:kern w:val="0"/>
                <w:szCs w:val="21"/>
              </w:rPr>
              <w:t>2</w:t>
            </w:r>
            <w:r>
              <w:rPr>
                <w:rFonts w:hint="eastAsia"/>
                <w:kern w:val="0"/>
                <w:szCs w:val="21"/>
              </w:rPr>
              <w:t>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秩序维护队员必须熟悉物业环境，上班时按规定着装和佩戴装备，文明值勤，不与职工、到访人员发生矛盾和冲突。</w:t>
            </w:r>
          </w:p>
        </w:tc>
        <w:tc>
          <w:tcPr>
            <w:tcW w:w="791" w:type="dxa"/>
            <w:vAlign w:val="center"/>
          </w:tcPr>
          <w:p>
            <w:pPr>
              <w:pStyle w:val="152"/>
              <w:spacing w:line="240" w:lineRule="auto"/>
              <w:ind w:firstLine="0" w:firstLineChars="0"/>
              <w:rPr>
                <w:kern w:val="0"/>
                <w:szCs w:val="21"/>
              </w:rPr>
            </w:pPr>
            <w:r>
              <w:rPr>
                <w:rFonts w:hint="eastAsia"/>
                <w:kern w:val="0"/>
                <w:szCs w:val="21"/>
              </w:rPr>
              <w:t>2分</w:t>
            </w:r>
          </w:p>
        </w:tc>
        <w:tc>
          <w:tcPr>
            <w:tcW w:w="3473" w:type="dxa"/>
            <w:vAlign w:val="center"/>
          </w:tcPr>
          <w:p>
            <w:pPr>
              <w:pStyle w:val="152"/>
              <w:spacing w:line="240" w:lineRule="auto"/>
              <w:ind w:firstLine="0" w:firstLineChars="0"/>
              <w:rPr>
                <w:kern w:val="0"/>
                <w:szCs w:val="21"/>
              </w:rPr>
            </w:pPr>
            <w:r>
              <w:rPr>
                <w:rFonts w:hint="eastAsia"/>
                <w:kern w:val="0"/>
                <w:szCs w:val="21"/>
              </w:rPr>
              <w:t>发现一名队员着装不整齐扣0.5分，不礼貌扣0.5分，无理与他人发生冲突一次扣0.5分，发生两次建议辞退。直至该项分值扣完为止。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秩序维护必须实行24小时值班巡逻，认真履行职责，机动灵活，加强重点区域和人少到的部位巡逻。</w:t>
            </w:r>
          </w:p>
        </w:tc>
        <w:tc>
          <w:tcPr>
            <w:tcW w:w="791" w:type="dxa"/>
            <w:vAlign w:val="center"/>
          </w:tcPr>
          <w:p>
            <w:pPr>
              <w:pStyle w:val="152"/>
              <w:spacing w:line="240" w:lineRule="auto"/>
              <w:ind w:firstLine="0" w:firstLineChars="0"/>
              <w:rPr>
                <w:kern w:val="0"/>
                <w:szCs w:val="21"/>
              </w:rPr>
            </w:pPr>
            <w:r>
              <w:rPr>
                <w:rFonts w:hint="eastAsia"/>
                <w:kern w:val="0"/>
                <w:szCs w:val="21"/>
              </w:rPr>
              <w:t>2分</w:t>
            </w:r>
          </w:p>
        </w:tc>
        <w:tc>
          <w:tcPr>
            <w:tcW w:w="3473" w:type="dxa"/>
            <w:vAlign w:val="center"/>
          </w:tcPr>
          <w:p>
            <w:pPr>
              <w:pStyle w:val="152"/>
              <w:spacing w:line="240" w:lineRule="auto"/>
              <w:ind w:firstLine="0" w:firstLineChars="0"/>
              <w:rPr>
                <w:kern w:val="0"/>
                <w:szCs w:val="21"/>
              </w:rPr>
            </w:pPr>
            <w:r>
              <w:rPr>
                <w:rFonts w:hint="eastAsia"/>
                <w:kern w:val="0"/>
                <w:szCs w:val="21"/>
              </w:rPr>
              <w:t>查值班巡逻日志，当值发生事件无记录扣0.5分，记录不规范扣分，如反映巡逻不到位一次扣0.5分，巡逻乘座电梯一次扣0.5分。直至该项分值扣完为止。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做好重大活动会议的安全保卫工作，圆满完成交办的任务。</w:t>
            </w:r>
          </w:p>
        </w:tc>
        <w:tc>
          <w:tcPr>
            <w:tcW w:w="791" w:type="dxa"/>
            <w:vAlign w:val="center"/>
          </w:tcPr>
          <w:p>
            <w:pPr>
              <w:pStyle w:val="152"/>
              <w:spacing w:line="240" w:lineRule="auto"/>
              <w:ind w:firstLine="0" w:firstLineChars="0"/>
              <w:rPr>
                <w:kern w:val="0"/>
                <w:szCs w:val="21"/>
              </w:rPr>
            </w:pPr>
            <w:r>
              <w:rPr>
                <w:rFonts w:hint="eastAsia"/>
                <w:kern w:val="0"/>
                <w:szCs w:val="21"/>
              </w:rPr>
              <w:t>1分</w:t>
            </w:r>
          </w:p>
        </w:tc>
        <w:tc>
          <w:tcPr>
            <w:tcW w:w="3473" w:type="dxa"/>
            <w:vAlign w:val="center"/>
          </w:tcPr>
          <w:p>
            <w:pPr>
              <w:pStyle w:val="152"/>
              <w:spacing w:line="240" w:lineRule="auto"/>
              <w:ind w:firstLine="0" w:firstLineChars="0"/>
              <w:rPr>
                <w:kern w:val="0"/>
                <w:szCs w:val="21"/>
              </w:rPr>
            </w:pPr>
            <w:r>
              <w:rPr>
                <w:rFonts w:hint="eastAsia"/>
                <w:kern w:val="0"/>
                <w:szCs w:val="21"/>
              </w:rPr>
              <w:t>因安全保卫工作失误，造成不良影响扣0.5分。直至该项分值扣完为止。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严格执行登记制度，凡进入机关办公楼的外来人员应询问来访目的，查验有关证件，并进行登记。</w:t>
            </w:r>
          </w:p>
        </w:tc>
        <w:tc>
          <w:tcPr>
            <w:tcW w:w="791" w:type="dxa"/>
            <w:vAlign w:val="center"/>
          </w:tcPr>
          <w:p>
            <w:pPr>
              <w:pStyle w:val="152"/>
              <w:spacing w:line="240" w:lineRule="auto"/>
              <w:ind w:firstLine="0" w:firstLineChars="0"/>
              <w:rPr>
                <w:kern w:val="0"/>
                <w:szCs w:val="21"/>
              </w:rPr>
            </w:pPr>
            <w:r>
              <w:rPr>
                <w:kern w:val="0"/>
                <w:szCs w:val="21"/>
              </w:rPr>
              <w:t>2</w:t>
            </w:r>
            <w:r>
              <w:rPr>
                <w:rFonts w:hint="eastAsia"/>
                <w:kern w:val="0"/>
                <w:szCs w:val="21"/>
              </w:rPr>
              <w:t>分</w:t>
            </w:r>
          </w:p>
        </w:tc>
        <w:tc>
          <w:tcPr>
            <w:tcW w:w="3473" w:type="dxa"/>
            <w:vAlign w:val="center"/>
          </w:tcPr>
          <w:p>
            <w:pPr>
              <w:pStyle w:val="152"/>
              <w:spacing w:line="240" w:lineRule="auto"/>
              <w:ind w:firstLine="0" w:firstLineChars="0"/>
              <w:rPr>
                <w:kern w:val="0"/>
                <w:szCs w:val="21"/>
              </w:rPr>
            </w:pPr>
            <w:r>
              <w:rPr>
                <w:rFonts w:hint="eastAsia"/>
                <w:kern w:val="0"/>
                <w:szCs w:val="21"/>
              </w:rPr>
              <w:t>未登记每人扣0.5分，扣完为止。直至该项分值扣完为止。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定期组织安全教育；积时发现各类安全隐患，确保不发生物品被盗和各类案件及安全事故。</w:t>
            </w:r>
          </w:p>
        </w:tc>
        <w:tc>
          <w:tcPr>
            <w:tcW w:w="791" w:type="dxa"/>
            <w:vAlign w:val="center"/>
          </w:tcPr>
          <w:p>
            <w:pPr>
              <w:pStyle w:val="152"/>
              <w:spacing w:line="240" w:lineRule="auto"/>
              <w:ind w:firstLine="0" w:firstLineChars="0"/>
              <w:rPr>
                <w:kern w:val="0"/>
                <w:szCs w:val="21"/>
              </w:rPr>
            </w:pPr>
            <w:r>
              <w:rPr>
                <w:rFonts w:hint="eastAsia"/>
                <w:kern w:val="0"/>
                <w:szCs w:val="21"/>
              </w:rPr>
              <w:t>1分</w:t>
            </w:r>
          </w:p>
        </w:tc>
        <w:tc>
          <w:tcPr>
            <w:tcW w:w="3473" w:type="dxa"/>
            <w:vAlign w:val="center"/>
          </w:tcPr>
          <w:p>
            <w:pPr>
              <w:pStyle w:val="152"/>
              <w:spacing w:line="240" w:lineRule="auto"/>
              <w:ind w:firstLine="0" w:firstLineChars="0"/>
              <w:rPr>
                <w:kern w:val="0"/>
                <w:szCs w:val="21"/>
              </w:rPr>
            </w:pPr>
            <w:r>
              <w:rPr>
                <w:rFonts w:hint="eastAsia"/>
                <w:kern w:val="0"/>
                <w:szCs w:val="21"/>
              </w:rPr>
              <w:t>无安全教育（查记录）扣0.5分，发生手机钱包被盗事件一次扣0.5分。发生财产被盗案或秩序维护员内部自盗一次扣1分，并追究管理管理人员的责任。直至该项分值扣完为止。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协助搬运家具时，必须轻移轻放，无损坏家具和地板。</w:t>
            </w:r>
          </w:p>
        </w:tc>
        <w:tc>
          <w:tcPr>
            <w:tcW w:w="791" w:type="dxa"/>
            <w:vAlign w:val="center"/>
          </w:tcPr>
          <w:p>
            <w:pPr>
              <w:pStyle w:val="152"/>
              <w:spacing w:line="240" w:lineRule="auto"/>
              <w:ind w:firstLine="0" w:firstLineChars="0"/>
              <w:rPr>
                <w:kern w:val="0"/>
                <w:szCs w:val="21"/>
              </w:rPr>
            </w:pPr>
            <w:r>
              <w:rPr>
                <w:rFonts w:hint="eastAsia"/>
                <w:kern w:val="0"/>
                <w:szCs w:val="21"/>
              </w:rPr>
              <w:t>1分</w:t>
            </w:r>
          </w:p>
        </w:tc>
        <w:tc>
          <w:tcPr>
            <w:tcW w:w="3473" w:type="dxa"/>
            <w:vAlign w:val="center"/>
          </w:tcPr>
          <w:p>
            <w:pPr>
              <w:pStyle w:val="152"/>
              <w:spacing w:line="240" w:lineRule="auto"/>
              <w:ind w:firstLine="0" w:firstLineChars="0"/>
              <w:rPr>
                <w:kern w:val="0"/>
                <w:szCs w:val="21"/>
              </w:rPr>
            </w:pPr>
            <w:r>
              <w:rPr>
                <w:rFonts w:hint="eastAsia"/>
                <w:kern w:val="0"/>
                <w:szCs w:val="21"/>
              </w:rPr>
              <w:t>造成家具或地板损坏扣0.5分，并承担10%维修费用。直至该项分值扣完为止。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做好停车场的管理，正确疏导机动车辆进出、泊车，提醒车主关好车辆门窗，上锁，防止车辆碰撞、损坏等问题发生。</w:t>
            </w:r>
          </w:p>
        </w:tc>
        <w:tc>
          <w:tcPr>
            <w:tcW w:w="791" w:type="dxa"/>
            <w:vAlign w:val="center"/>
          </w:tcPr>
          <w:p>
            <w:pPr>
              <w:pStyle w:val="152"/>
              <w:spacing w:line="240" w:lineRule="auto"/>
              <w:ind w:firstLine="0" w:firstLineChars="0"/>
              <w:rPr>
                <w:kern w:val="0"/>
                <w:szCs w:val="21"/>
              </w:rPr>
            </w:pPr>
            <w:r>
              <w:rPr>
                <w:rFonts w:hint="eastAsia"/>
                <w:kern w:val="0"/>
                <w:szCs w:val="21"/>
              </w:rPr>
              <w:t>1分</w:t>
            </w:r>
          </w:p>
        </w:tc>
        <w:tc>
          <w:tcPr>
            <w:tcW w:w="3473" w:type="dxa"/>
            <w:vAlign w:val="center"/>
          </w:tcPr>
          <w:p>
            <w:pPr>
              <w:pStyle w:val="152"/>
              <w:spacing w:line="240" w:lineRule="auto"/>
              <w:ind w:firstLine="0" w:firstLineChars="0"/>
              <w:rPr>
                <w:kern w:val="0"/>
                <w:szCs w:val="21"/>
              </w:rPr>
            </w:pPr>
            <w:r>
              <w:rPr>
                <w:rFonts w:hint="eastAsia"/>
                <w:kern w:val="0"/>
                <w:szCs w:val="21"/>
              </w:rPr>
              <w:t>发现乱停放车辆，一辆扣0.5分；发生车辆碰撞，碰撞、损坏一次扣0.5分，并由管理公司承担相应责任。直至该项分值扣完为止。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引导非机动车辆集中停放，停放整齐，场地洁净，落实管理制度，确秩序维护全，严防损坏与丢失。</w:t>
            </w:r>
          </w:p>
        </w:tc>
        <w:tc>
          <w:tcPr>
            <w:tcW w:w="791" w:type="dxa"/>
            <w:vAlign w:val="center"/>
          </w:tcPr>
          <w:p>
            <w:pPr>
              <w:pStyle w:val="152"/>
              <w:spacing w:line="240" w:lineRule="auto"/>
              <w:ind w:firstLine="0" w:firstLineChars="0"/>
              <w:rPr>
                <w:kern w:val="0"/>
                <w:szCs w:val="21"/>
              </w:rPr>
            </w:pPr>
            <w:r>
              <w:rPr>
                <w:rFonts w:hint="eastAsia"/>
                <w:kern w:val="0"/>
                <w:szCs w:val="21"/>
              </w:rPr>
              <w:t>1分</w:t>
            </w:r>
          </w:p>
        </w:tc>
        <w:tc>
          <w:tcPr>
            <w:tcW w:w="3473" w:type="dxa"/>
            <w:vAlign w:val="center"/>
          </w:tcPr>
          <w:p>
            <w:pPr>
              <w:pStyle w:val="152"/>
              <w:spacing w:line="240" w:lineRule="auto"/>
              <w:ind w:firstLine="0" w:firstLineChars="0"/>
              <w:rPr>
                <w:kern w:val="0"/>
                <w:szCs w:val="21"/>
              </w:rPr>
            </w:pPr>
            <w:r>
              <w:rPr>
                <w:rFonts w:hint="eastAsia"/>
                <w:kern w:val="0"/>
                <w:szCs w:val="21"/>
              </w:rPr>
              <w:t>一项不符合扣0.5分；发生损坏或丢失一次扣0.5分，并由管理公司承担相应责任。直至该项分值扣完为止。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门卫岗位，严格执勤，维护进出车辆秩序，不与车主发生冲突。</w:t>
            </w:r>
          </w:p>
        </w:tc>
        <w:tc>
          <w:tcPr>
            <w:tcW w:w="791" w:type="dxa"/>
            <w:vAlign w:val="center"/>
          </w:tcPr>
          <w:p>
            <w:pPr>
              <w:pStyle w:val="152"/>
              <w:spacing w:line="240" w:lineRule="auto"/>
              <w:ind w:firstLine="0" w:firstLineChars="0"/>
              <w:rPr>
                <w:kern w:val="0"/>
                <w:szCs w:val="21"/>
              </w:rPr>
            </w:pPr>
            <w:r>
              <w:rPr>
                <w:rFonts w:hint="eastAsia"/>
                <w:kern w:val="0"/>
                <w:szCs w:val="21"/>
              </w:rPr>
              <w:t>1分</w:t>
            </w:r>
          </w:p>
        </w:tc>
        <w:tc>
          <w:tcPr>
            <w:tcW w:w="3473" w:type="dxa"/>
            <w:vAlign w:val="center"/>
          </w:tcPr>
          <w:p>
            <w:pPr>
              <w:pStyle w:val="152"/>
              <w:spacing w:line="240" w:lineRule="auto"/>
              <w:ind w:firstLine="0" w:firstLineChars="0"/>
              <w:rPr>
                <w:kern w:val="0"/>
                <w:szCs w:val="21"/>
              </w:rPr>
            </w:pPr>
            <w:r>
              <w:rPr>
                <w:rFonts w:hint="eastAsia"/>
                <w:kern w:val="0"/>
                <w:szCs w:val="21"/>
              </w:rPr>
              <w:t>发生一起扣0.5分，直至该项分值扣完为止。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能熟练掌握消防设施设备的使用方法。</w:t>
            </w:r>
          </w:p>
        </w:tc>
        <w:tc>
          <w:tcPr>
            <w:tcW w:w="791" w:type="dxa"/>
            <w:vAlign w:val="center"/>
          </w:tcPr>
          <w:p>
            <w:pPr>
              <w:pStyle w:val="152"/>
              <w:spacing w:line="240" w:lineRule="auto"/>
              <w:ind w:firstLine="0" w:firstLineChars="0"/>
              <w:rPr>
                <w:kern w:val="0"/>
                <w:szCs w:val="21"/>
              </w:rPr>
            </w:pPr>
            <w:r>
              <w:rPr>
                <w:rFonts w:hint="eastAsia"/>
                <w:kern w:val="0"/>
                <w:szCs w:val="21"/>
              </w:rPr>
              <w:t>2分</w:t>
            </w:r>
          </w:p>
        </w:tc>
        <w:tc>
          <w:tcPr>
            <w:tcW w:w="3473" w:type="dxa"/>
            <w:vAlign w:val="center"/>
          </w:tcPr>
          <w:p>
            <w:pPr>
              <w:pStyle w:val="152"/>
              <w:spacing w:line="240" w:lineRule="auto"/>
              <w:ind w:firstLine="0" w:firstLineChars="0"/>
              <w:rPr>
                <w:kern w:val="0"/>
                <w:szCs w:val="21"/>
              </w:rPr>
            </w:pPr>
            <w:r>
              <w:rPr>
                <w:rFonts w:hint="eastAsia"/>
                <w:kern w:val="0"/>
                <w:szCs w:val="21"/>
              </w:rPr>
              <w:t>不会使用操作扣0.5分，不熟练扣0.5分，直至该项分值扣完为止。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能正确果断处理各种火险、火灾以及救护程序。</w:t>
            </w:r>
          </w:p>
        </w:tc>
        <w:tc>
          <w:tcPr>
            <w:tcW w:w="791" w:type="dxa"/>
            <w:vAlign w:val="center"/>
          </w:tcPr>
          <w:p>
            <w:pPr>
              <w:pStyle w:val="152"/>
              <w:spacing w:line="240" w:lineRule="auto"/>
              <w:ind w:firstLine="0" w:firstLineChars="0"/>
              <w:rPr>
                <w:kern w:val="0"/>
                <w:szCs w:val="21"/>
              </w:rPr>
            </w:pPr>
            <w:r>
              <w:rPr>
                <w:rFonts w:hint="eastAsia"/>
                <w:kern w:val="0"/>
                <w:szCs w:val="21"/>
              </w:rPr>
              <w:t>1分</w:t>
            </w:r>
          </w:p>
        </w:tc>
        <w:tc>
          <w:tcPr>
            <w:tcW w:w="3473" w:type="dxa"/>
            <w:vAlign w:val="center"/>
          </w:tcPr>
          <w:p>
            <w:pPr>
              <w:pStyle w:val="152"/>
              <w:spacing w:line="240" w:lineRule="auto"/>
              <w:ind w:firstLine="0" w:firstLineChars="0"/>
              <w:rPr>
                <w:kern w:val="0"/>
                <w:szCs w:val="21"/>
              </w:rPr>
            </w:pPr>
            <w:r>
              <w:rPr>
                <w:rFonts w:hint="eastAsia"/>
                <w:kern w:val="0"/>
                <w:szCs w:val="21"/>
              </w:rPr>
              <w:t>不会扣0.5分，直至该项分值扣完为止。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严格消防管理制度，认真巡查火险隐患，确保无火灾事故发生。</w:t>
            </w:r>
          </w:p>
        </w:tc>
        <w:tc>
          <w:tcPr>
            <w:tcW w:w="791" w:type="dxa"/>
            <w:vAlign w:val="center"/>
          </w:tcPr>
          <w:p>
            <w:pPr>
              <w:pStyle w:val="152"/>
              <w:spacing w:line="240" w:lineRule="auto"/>
              <w:ind w:firstLine="0" w:firstLineChars="0"/>
              <w:rPr>
                <w:kern w:val="0"/>
                <w:szCs w:val="21"/>
              </w:rPr>
            </w:pPr>
            <w:r>
              <w:rPr>
                <w:rFonts w:hint="eastAsia"/>
                <w:kern w:val="0"/>
                <w:szCs w:val="21"/>
              </w:rPr>
              <w:t>1分</w:t>
            </w:r>
          </w:p>
        </w:tc>
        <w:tc>
          <w:tcPr>
            <w:tcW w:w="3473" w:type="dxa"/>
            <w:vAlign w:val="center"/>
          </w:tcPr>
          <w:p>
            <w:pPr>
              <w:pStyle w:val="152"/>
              <w:spacing w:line="240" w:lineRule="auto"/>
              <w:ind w:firstLine="0" w:firstLineChars="0"/>
              <w:rPr>
                <w:kern w:val="0"/>
                <w:szCs w:val="21"/>
              </w:rPr>
            </w:pPr>
            <w:r>
              <w:rPr>
                <w:rFonts w:hint="eastAsia"/>
                <w:kern w:val="0"/>
                <w:szCs w:val="21"/>
              </w:rPr>
              <w:t>检查一处有隐患扣0.5分，发生火灾事故1分，并追究责任。直至该项分值扣完为止。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各种消防设施定期检查保养、维护，确保无缺损，保障正常运行。</w:t>
            </w:r>
          </w:p>
        </w:tc>
        <w:tc>
          <w:tcPr>
            <w:tcW w:w="791" w:type="dxa"/>
            <w:vAlign w:val="center"/>
          </w:tcPr>
          <w:p>
            <w:pPr>
              <w:pStyle w:val="152"/>
              <w:spacing w:line="240" w:lineRule="auto"/>
              <w:ind w:firstLine="0" w:firstLineChars="0"/>
              <w:rPr>
                <w:kern w:val="0"/>
                <w:szCs w:val="21"/>
              </w:rPr>
            </w:pPr>
            <w:r>
              <w:rPr>
                <w:rFonts w:hint="eastAsia"/>
                <w:kern w:val="0"/>
                <w:szCs w:val="21"/>
              </w:rPr>
              <w:t>1分</w:t>
            </w:r>
          </w:p>
        </w:tc>
        <w:tc>
          <w:tcPr>
            <w:tcW w:w="3473" w:type="dxa"/>
            <w:vAlign w:val="center"/>
          </w:tcPr>
          <w:p>
            <w:pPr>
              <w:pStyle w:val="152"/>
              <w:spacing w:line="240" w:lineRule="auto"/>
              <w:ind w:firstLine="0" w:firstLineChars="0"/>
              <w:rPr>
                <w:kern w:val="0"/>
                <w:szCs w:val="21"/>
              </w:rPr>
            </w:pPr>
            <w:r>
              <w:rPr>
                <w:rFonts w:hint="eastAsia"/>
                <w:kern w:val="0"/>
                <w:szCs w:val="21"/>
              </w:rPr>
              <w:t>无保养扣0.5分，一处运行障碍扣0.5分，一处缺或损坏扣0.5分。直至该项分值扣完为止。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严格消防管理制度，认真巡查火险隐患，确保无火灾事故发生。</w:t>
            </w:r>
          </w:p>
        </w:tc>
        <w:tc>
          <w:tcPr>
            <w:tcW w:w="791" w:type="dxa"/>
            <w:vAlign w:val="center"/>
          </w:tcPr>
          <w:p>
            <w:pPr>
              <w:pStyle w:val="152"/>
              <w:spacing w:line="240" w:lineRule="auto"/>
              <w:ind w:firstLine="0" w:firstLineChars="0"/>
              <w:rPr>
                <w:kern w:val="0"/>
                <w:szCs w:val="21"/>
              </w:rPr>
            </w:pPr>
            <w:r>
              <w:rPr>
                <w:rFonts w:hint="eastAsia"/>
                <w:kern w:val="0"/>
                <w:szCs w:val="21"/>
              </w:rPr>
              <w:t>1分</w:t>
            </w:r>
          </w:p>
        </w:tc>
        <w:tc>
          <w:tcPr>
            <w:tcW w:w="3473" w:type="dxa"/>
            <w:vAlign w:val="center"/>
          </w:tcPr>
          <w:p>
            <w:pPr>
              <w:pStyle w:val="152"/>
              <w:spacing w:line="240" w:lineRule="auto"/>
              <w:ind w:firstLine="0" w:firstLineChars="0"/>
              <w:rPr>
                <w:kern w:val="0"/>
                <w:szCs w:val="21"/>
              </w:rPr>
            </w:pPr>
            <w:r>
              <w:rPr>
                <w:rFonts w:hint="eastAsia"/>
                <w:kern w:val="0"/>
                <w:szCs w:val="21"/>
              </w:rPr>
              <w:t>检查一处有隐患扣分，发生火灾事故1分，并追究责任。直至该项分值扣完为止。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jc w:val="center"/>
        </w:trPr>
        <w:tc>
          <w:tcPr>
            <w:tcW w:w="635" w:type="dxa"/>
            <w:vMerge w:val="restart"/>
            <w:vAlign w:val="center"/>
          </w:tcPr>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r>
              <w:rPr>
                <w:rFonts w:hint="eastAsia"/>
                <w:kern w:val="0"/>
                <w:szCs w:val="21"/>
              </w:rPr>
              <w:t>清洁卫生管理</w:t>
            </w:r>
          </w:p>
          <w:p>
            <w:pPr>
              <w:pStyle w:val="152"/>
              <w:spacing w:line="240" w:lineRule="auto"/>
              <w:ind w:firstLine="0" w:firstLineChars="0"/>
              <w:rPr>
                <w:kern w:val="0"/>
                <w:szCs w:val="21"/>
              </w:rPr>
            </w:pPr>
            <w:r>
              <w:rPr>
                <w:rFonts w:hint="eastAsia"/>
                <w:kern w:val="0"/>
                <w:szCs w:val="21"/>
              </w:rPr>
              <w:t>（10分）</w:t>
            </w:r>
          </w:p>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清洁保洁责任划分到人，责任范围清洁达到标准化。清洁员着装统一，工作细致，形象良好。</w:t>
            </w:r>
          </w:p>
        </w:tc>
        <w:tc>
          <w:tcPr>
            <w:tcW w:w="791" w:type="dxa"/>
            <w:vAlign w:val="center"/>
          </w:tcPr>
          <w:p>
            <w:pPr>
              <w:pStyle w:val="152"/>
              <w:spacing w:line="240" w:lineRule="auto"/>
              <w:ind w:firstLine="0" w:firstLineChars="0"/>
              <w:rPr>
                <w:kern w:val="0"/>
                <w:szCs w:val="21"/>
              </w:rPr>
            </w:pPr>
            <w:r>
              <w:rPr>
                <w:rFonts w:hint="eastAsia"/>
                <w:kern w:val="0"/>
                <w:szCs w:val="21"/>
              </w:rPr>
              <w:t>1分</w:t>
            </w:r>
          </w:p>
        </w:tc>
        <w:tc>
          <w:tcPr>
            <w:tcW w:w="3473" w:type="dxa"/>
            <w:vAlign w:val="center"/>
          </w:tcPr>
          <w:p>
            <w:pPr>
              <w:pStyle w:val="152"/>
              <w:spacing w:line="240" w:lineRule="auto"/>
              <w:ind w:firstLine="0" w:firstLineChars="0"/>
              <w:rPr>
                <w:kern w:val="0"/>
                <w:szCs w:val="21"/>
              </w:rPr>
            </w:pPr>
            <w:r>
              <w:rPr>
                <w:rFonts w:hint="eastAsia"/>
                <w:kern w:val="0"/>
                <w:szCs w:val="21"/>
              </w:rPr>
              <w:t>未明确责任到人，一处扣0.5分。一处未达到标准保洁扣0.5分。直至该项分值扣完为止。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各责任区域门窗干净明亮、清爽；地面无纸屑、果皮、灰尘、杂物和污渍；垃圾筒纸篓内的垃圾不能超过三分之二。</w:t>
            </w:r>
          </w:p>
        </w:tc>
        <w:tc>
          <w:tcPr>
            <w:tcW w:w="791" w:type="dxa"/>
            <w:vAlign w:val="center"/>
          </w:tcPr>
          <w:p>
            <w:pPr>
              <w:pStyle w:val="152"/>
              <w:spacing w:line="240" w:lineRule="auto"/>
              <w:ind w:firstLine="0" w:firstLineChars="0"/>
              <w:rPr>
                <w:kern w:val="0"/>
                <w:szCs w:val="21"/>
              </w:rPr>
            </w:pPr>
            <w:r>
              <w:rPr>
                <w:rFonts w:hint="eastAsia"/>
                <w:kern w:val="0"/>
                <w:szCs w:val="21"/>
              </w:rPr>
              <w:t>1分</w:t>
            </w:r>
          </w:p>
        </w:tc>
        <w:tc>
          <w:tcPr>
            <w:tcW w:w="3473" w:type="dxa"/>
            <w:vAlign w:val="center"/>
          </w:tcPr>
          <w:p>
            <w:pPr>
              <w:pStyle w:val="152"/>
              <w:spacing w:line="240" w:lineRule="auto"/>
              <w:ind w:firstLine="0" w:firstLineChars="0"/>
              <w:rPr>
                <w:kern w:val="0"/>
                <w:szCs w:val="21"/>
              </w:rPr>
            </w:pPr>
            <w:r>
              <w:rPr>
                <w:rFonts w:hint="eastAsia"/>
                <w:kern w:val="0"/>
                <w:szCs w:val="21"/>
              </w:rPr>
              <w:t>一个责任区域一项未做到扣0.5分，直至该项分值扣完为止。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各洗手间清洁明亮，无积水，无污渍，无异味。</w:t>
            </w:r>
          </w:p>
        </w:tc>
        <w:tc>
          <w:tcPr>
            <w:tcW w:w="791" w:type="dxa"/>
            <w:vAlign w:val="center"/>
          </w:tcPr>
          <w:p>
            <w:pPr>
              <w:pStyle w:val="152"/>
              <w:spacing w:line="240" w:lineRule="auto"/>
              <w:ind w:firstLine="0" w:firstLineChars="0"/>
              <w:rPr>
                <w:kern w:val="0"/>
                <w:szCs w:val="21"/>
              </w:rPr>
            </w:pPr>
            <w:r>
              <w:rPr>
                <w:rFonts w:hint="eastAsia"/>
                <w:kern w:val="0"/>
                <w:szCs w:val="21"/>
              </w:rPr>
              <w:t>1分</w:t>
            </w:r>
          </w:p>
        </w:tc>
        <w:tc>
          <w:tcPr>
            <w:tcW w:w="3473" w:type="dxa"/>
            <w:vAlign w:val="center"/>
          </w:tcPr>
          <w:p>
            <w:pPr>
              <w:pStyle w:val="152"/>
              <w:spacing w:line="240" w:lineRule="auto"/>
              <w:ind w:firstLine="0" w:firstLineChars="0"/>
              <w:rPr>
                <w:kern w:val="0"/>
                <w:szCs w:val="21"/>
              </w:rPr>
            </w:pPr>
            <w:r>
              <w:rPr>
                <w:rFonts w:hint="eastAsia"/>
                <w:kern w:val="0"/>
                <w:szCs w:val="21"/>
              </w:rPr>
              <w:t>一个洗手间一项不符合扣0.5分。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用专用清洁布擦拭饮水设备，无污渍。</w:t>
            </w:r>
          </w:p>
        </w:tc>
        <w:tc>
          <w:tcPr>
            <w:tcW w:w="791" w:type="dxa"/>
            <w:vAlign w:val="center"/>
          </w:tcPr>
          <w:p>
            <w:pPr>
              <w:pStyle w:val="152"/>
              <w:spacing w:line="240" w:lineRule="auto"/>
              <w:ind w:firstLine="0" w:firstLineChars="0"/>
              <w:rPr>
                <w:kern w:val="0"/>
                <w:szCs w:val="21"/>
              </w:rPr>
            </w:pPr>
            <w:r>
              <w:rPr>
                <w:rFonts w:hint="eastAsia"/>
                <w:kern w:val="0"/>
                <w:szCs w:val="21"/>
              </w:rPr>
              <w:t>1分</w:t>
            </w:r>
          </w:p>
        </w:tc>
        <w:tc>
          <w:tcPr>
            <w:tcW w:w="3473" w:type="dxa"/>
            <w:vAlign w:val="center"/>
          </w:tcPr>
          <w:p>
            <w:pPr>
              <w:pStyle w:val="152"/>
              <w:spacing w:line="240" w:lineRule="auto"/>
              <w:ind w:firstLine="0" w:firstLineChars="0"/>
              <w:rPr>
                <w:kern w:val="0"/>
                <w:szCs w:val="21"/>
              </w:rPr>
            </w:pPr>
            <w:r>
              <w:rPr>
                <w:rFonts w:hint="eastAsia"/>
                <w:kern w:val="0"/>
                <w:szCs w:val="21"/>
              </w:rPr>
              <w:t>一处饮水设备不符合扣0.5分。直至该项分值扣完为止。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地面保持干燥，尤其下雨天要加强管理，入口处放置地滑警示牌，防止行人摔伤，确秩序维护全。</w:t>
            </w:r>
          </w:p>
        </w:tc>
        <w:tc>
          <w:tcPr>
            <w:tcW w:w="791" w:type="dxa"/>
            <w:vAlign w:val="center"/>
          </w:tcPr>
          <w:p>
            <w:pPr>
              <w:pStyle w:val="152"/>
              <w:spacing w:line="240" w:lineRule="auto"/>
              <w:ind w:firstLine="0" w:firstLineChars="0"/>
              <w:rPr>
                <w:kern w:val="0"/>
                <w:szCs w:val="21"/>
              </w:rPr>
            </w:pPr>
            <w:r>
              <w:rPr>
                <w:kern w:val="0"/>
                <w:szCs w:val="21"/>
              </w:rPr>
              <w:t>1分</w:t>
            </w:r>
          </w:p>
        </w:tc>
        <w:tc>
          <w:tcPr>
            <w:tcW w:w="3473" w:type="dxa"/>
            <w:vAlign w:val="center"/>
          </w:tcPr>
          <w:p>
            <w:pPr>
              <w:pStyle w:val="152"/>
              <w:spacing w:line="240" w:lineRule="auto"/>
              <w:ind w:firstLine="0" w:firstLineChars="0"/>
              <w:rPr>
                <w:kern w:val="0"/>
                <w:szCs w:val="21"/>
              </w:rPr>
            </w:pPr>
            <w:r>
              <w:rPr>
                <w:rFonts w:hint="eastAsia"/>
                <w:kern w:val="0"/>
                <w:szCs w:val="21"/>
              </w:rPr>
              <w:t>未设置警示牌，每次扣0.5分。因地面有水或其他果皮等致使人摔伤全扣，并且承担由此引发的责任。直至该项分值扣完为止。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垃圾做到日产日清，垃圾桶每三天至少清洗一次，外露面无垃圾附着。</w:t>
            </w:r>
          </w:p>
        </w:tc>
        <w:tc>
          <w:tcPr>
            <w:tcW w:w="791" w:type="dxa"/>
            <w:vAlign w:val="center"/>
          </w:tcPr>
          <w:p>
            <w:pPr>
              <w:pStyle w:val="152"/>
              <w:spacing w:line="240" w:lineRule="auto"/>
              <w:ind w:firstLine="0" w:firstLineChars="0"/>
              <w:rPr>
                <w:kern w:val="0"/>
                <w:szCs w:val="21"/>
              </w:rPr>
            </w:pPr>
            <w:r>
              <w:rPr>
                <w:kern w:val="0"/>
                <w:szCs w:val="21"/>
              </w:rPr>
              <w:t>1分</w:t>
            </w:r>
          </w:p>
        </w:tc>
        <w:tc>
          <w:tcPr>
            <w:tcW w:w="3473" w:type="dxa"/>
            <w:vAlign w:val="center"/>
          </w:tcPr>
          <w:p>
            <w:pPr>
              <w:pStyle w:val="152"/>
              <w:spacing w:line="240" w:lineRule="auto"/>
              <w:ind w:firstLine="0" w:firstLineChars="0"/>
              <w:rPr>
                <w:kern w:val="0"/>
                <w:szCs w:val="21"/>
              </w:rPr>
            </w:pPr>
            <w:r>
              <w:rPr>
                <w:rFonts w:hint="eastAsia"/>
                <w:kern w:val="0"/>
                <w:szCs w:val="21"/>
              </w:rPr>
              <w:t>一项未做到扣0.5分。直至该项分值扣完为止。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路面无明显泥沙、污垢，无1cm以上的石子，每100平方米烟头纸屑不超过3处。</w:t>
            </w:r>
          </w:p>
        </w:tc>
        <w:tc>
          <w:tcPr>
            <w:tcW w:w="791" w:type="dxa"/>
            <w:vAlign w:val="center"/>
          </w:tcPr>
          <w:p>
            <w:pPr>
              <w:pStyle w:val="152"/>
              <w:spacing w:line="240" w:lineRule="auto"/>
              <w:ind w:firstLine="0" w:firstLineChars="0"/>
              <w:rPr>
                <w:kern w:val="0"/>
                <w:szCs w:val="21"/>
              </w:rPr>
            </w:pPr>
            <w:r>
              <w:rPr>
                <w:kern w:val="0"/>
                <w:szCs w:val="21"/>
              </w:rPr>
              <w:t>1分</w:t>
            </w:r>
          </w:p>
        </w:tc>
        <w:tc>
          <w:tcPr>
            <w:tcW w:w="3473" w:type="dxa"/>
            <w:vAlign w:val="center"/>
          </w:tcPr>
          <w:p>
            <w:pPr>
              <w:pStyle w:val="152"/>
              <w:spacing w:line="240" w:lineRule="auto"/>
              <w:ind w:firstLine="0" w:firstLineChars="0"/>
              <w:rPr>
                <w:kern w:val="0"/>
                <w:szCs w:val="21"/>
              </w:rPr>
            </w:pPr>
            <w:r>
              <w:rPr>
                <w:rFonts w:hint="eastAsia"/>
                <w:kern w:val="0"/>
                <w:szCs w:val="21"/>
              </w:rPr>
              <w:t>不符合扣0.5分。直至该项分值扣完为止。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绿化丛中无烟盒、饮料瓶盒、塑料袋等垃圾。</w:t>
            </w:r>
          </w:p>
        </w:tc>
        <w:tc>
          <w:tcPr>
            <w:tcW w:w="791" w:type="dxa"/>
            <w:vAlign w:val="center"/>
          </w:tcPr>
          <w:p>
            <w:pPr>
              <w:pStyle w:val="152"/>
              <w:spacing w:line="240" w:lineRule="auto"/>
              <w:ind w:firstLine="0" w:firstLineChars="0"/>
              <w:rPr>
                <w:kern w:val="0"/>
                <w:szCs w:val="21"/>
              </w:rPr>
            </w:pPr>
            <w:r>
              <w:rPr>
                <w:kern w:val="0"/>
                <w:szCs w:val="21"/>
              </w:rPr>
              <w:t>1分</w:t>
            </w:r>
          </w:p>
        </w:tc>
        <w:tc>
          <w:tcPr>
            <w:tcW w:w="3473" w:type="dxa"/>
            <w:vAlign w:val="center"/>
          </w:tcPr>
          <w:p>
            <w:pPr>
              <w:pStyle w:val="152"/>
              <w:spacing w:line="240" w:lineRule="auto"/>
              <w:ind w:firstLine="0" w:firstLineChars="0"/>
              <w:rPr>
                <w:kern w:val="0"/>
                <w:szCs w:val="21"/>
              </w:rPr>
            </w:pPr>
            <w:r>
              <w:rPr>
                <w:rFonts w:hint="eastAsia"/>
                <w:kern w:val="0"/>
                <w:szCs w:val="21"/>
              </w:rPr>
              <w:t>发现一处扣0.5分。直至该项分值扣完为止。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滴水檐无乱堆放杂物，无垃圾、无污渍、无青苔、无积水。</w:t>
            </w:r>
          </w:p>
        </w:tc>
        <w:tc>
          <w:tcPr>
            <w:tcW w:w="791" w:type="dxa"/>
            <w:vAlign w:val="center"/>
          </w:tcPr>
          <w:p>
            <w:pPr>
              <w:pStyle w:val="152"/>
              <w:spacing w:line="240" w:lineRule="auto"/>
              <w:ind w:firstLine="0" w:firstLineChars="0"/>
              <w:rPr>
                <w:kern w:val="0"/>
                <w:szCs w:val="21"/>
              </w:rPr>
            </w:pPr>
            <w:r>
              <w:rPr>
                <w:kern w:val="0"/>
                <w:szCs w:val="21"/>
              </w:rPr>
              <w:t>1分</w:t>
            </w:r>
          </w:p>
        </w:tc>
        <w:tc>
          <w:tcPr>
            <w:tcW w:w="3473" w:type="dxa"/>
            <w:vAlign w:val="center"/>
          </w:tcPr>
          <w:p>
            <w:pPr>
              <w:pStyle w:val="152"/>
              <w:spacing w:line="240" w:lineRule="auto"/>
              <w:ind w:firstLine="0" w:firstLineChars="0"/>
              <w:rPr>
                <w:kern w:val="0"/>
                <w:szCs w:val="21"/>
              </w:rPr>
            </w:pPr>
            <w:r>
              <w:rPr>
                <w:rFonts w:hint="eastAsia"/>
                <w:kern w:val="0"/>
                <w:szCs w:val="21"/>
              </w:rPr>
              <w:t>发现一处扣0.5分。直至该项分值扣完为止。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各明沟无垃圾、无青苔，畅通。确保无卫生死角。</w:t>
            </w:r>
          </w:p>
        </w:tc>
        <w:tc>
          <w:tcPr>
            <w:tcW w:w="791" w:type="dxa"/>
            <w:vAlign w:val="center"/>
          </w:tcPr>
          <w:p>
            <w:pPr>
              <w:pStyle w:val="152"/>
              <w:spacing w:line="240" w:lineRule="auto"/>
              <w:ind w:firstLine="0" w:firstLineChars="0"/>
              <w:rPr>
                <w:kern w:val="0"/>
                <w:szCs w:val="21"/>
              </w:rPr>
            </w:pPr>
            <w:r>
              <w:rPr>
                <w:kern w:val="0"/>
                <w:szCs w:val="21"/>
              </w:rPr>
              <w:t>1分</w:t>
            </w:r>
          </w:p>
        </w:tc>
        <w:tc>
          <w:tcPr>
            <w:tcW w:w="3473" w:type="dxa"/>
            <w:vAlign w:val="center"/>
          </w:tcPr>
          <w:p>
            <w:pPr>
              <w:pStyle w:val="152"/>
              <w:spacing w:line="240" w:lineRule="auto"/>
              <w:ind w:firstLine="0" w:firstLineChars="0"/>
              <w:rPr>
                <w:kern w:val="0"/>
                <w:szCs w:val="21"/>
              </w:rPr>
            </w:pPr>
            <w:r>
              <w:rPr>
                <w:rFonts w:hint="eastAsia"/>
                <w:kern w:val="0"/>
                <w:szCs w:val="21"/>
              </w:rPr>
              <w:t>一条沟不符合扣0.5分，直至该项分值扣完为止。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restart"/>
            <w:vAlign w:val="center"/>
          </w:tcPr>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r>
              <w:rPr>
                <w:rFonts w:hint="eastAsia"/>
                <w:kern w:val="0"/>
                <w:szCs w:val="21"/>
              </w:rPr>
              <w:t>水电 (维修、锅炉)工作</w:t>
            </w:r>
          </w:p>
          <w:p>
            <w:pPr>
              <w:pStyle w:val="152"/>
              <w:spacing w:line="240" w:lineRule="auto"/>
              <w:ind w:firstLine="0" w:firstLineChars="0"/>
              <w:rPr>
                <w:kern w:val="0"/>
                <w:szCs w:val="21"/>
              </w:rPr>
            </w:pPr>
            <w:r>
              <w:rPr>
                <w:rFonts w:hint="eastAsia"/>
                <w:kern w:val="0"/>
                <w:szCs w:val="21"/>
              </w:rPr>
              <w:t>（10分）</w:t>
            </w:r>
          </w:p>
        </w:tc>
        <w:tc>
          <w:tcPr>
            <w:tcW w:w="3456" w:type="dxa"/>
            <w:vAlign w:val="center"/>
          </w:tcPr>
          <w:p>
            <w:pPr>
              <w:pStyle w:val="152"/>
              <w:spacing w:line="240" w:lineRule="auto"/>
              <w:ind w:firstLine="0" w:firstLineChars="0"/>
              <w:rPr>
                <w:kern w:val="0"/>
                <w:szCs w:val="21"/>
              </w:rPr>
            </w:pPr>
            <w:r>
              <w:rPr>
                <w:rFonts w:hint="eastAsia"/>
                <w:kern w:val="0"/>
                <w:szCs w:val="21"/>
              </w:rPr>
              <w:t>做好设备其附属设施的保养，协助做好维修工作。</w:t>
            </w:r>
          </w:p>
        </w:tc>
        <w:tc>
          <w:tcPr>
            <w:tcW w:w="791" w:type="dxa"/>
            <w:vAlign w:val="center"/>
          </w:tcPr>
          <w:p>
            <w:pPr>
              <w:pStyle w:val="152"/>
              <w:spacing w:line="240" w:lineRule="auto"/>
              <w:ind w:firstLine="0" w:firstLineChars="0"/>
              <w:rPr>
                <w:kern w:val="0"/>
                <w:szCs w:val="21"/>
              </w:rPr>
            </w:pPr>
            <w:r>
              <w:rPr>
                <w:kern w:val="0"/>
                <w:szCs w:val="21"/>
              </w:rPr>
              <w:t>2</w:t>
            </w:r>
            <w:r>
              <w:rPr>
                <w:rFonts w:hint="eastAsia"/>
                <w:kern w:val="0"/>
                <w:szCs w:val="21"/>
              </w:rPr>
              <w:t>分</w:t>
            </w:r>
          </w:p>
        </w:tc>
        <w:tc>
          <w:tcPr>
            <w:tcW w:w="3473" w:type="dxa"/>
            <w:vAlign w:val="center"/>
          </w:tcPr>
          <w:p>
            <w:pPr>
              <w:pStyle w:val="152"/>
              <w:spacing w:line="240" w:lineRule="auto"/>
              <w:ind w:firstLine="0" w:firstLineChars="0"/>
              <w:rPr>
                <w:kern w:val="0"/>
                <w:szCs w:val="21"/>
              </w:rPr>
            </w:pPr>
            <w:r>
              <w:rPr>
                <w:rFonts w:hint="eastAsia"/>
                <w:kern w:val="0"/>
                <w:szCs w:val="21"/>
              </w:rPr>
              <w:t>因设备损坏，未及时维修影响工作，扣0.5分/次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做好煤气、水电的计量记录，降低消耗，保持设备的正常运行。</w:t>
            </w:r>
          </w:p>
        </w:tc>
        <w:tc>
          <w:tcPr>
            <w:tcW w:w="791" w:type="dxa"/>
            <w:vAlign w:val="center"/>
          </w:tcPr>
          <w:p>
            <w:pPr>
              <w:pStyle w:val="152"/>
              <w:spacing w:line="240" w:lineRule="auto"/>
              <w:ind w:firstLine="0" w:firstLineChars="0"/>
              <w:rPr>
                <w:kern w:val="0"/>
                <w:szCs w:val="21"/>
              </w:rPr>
            </w:pPr>
            <w:r>
              <w:rPr>
                <w:rFonts w:hint="eastAsia"/>
                <w:kern w:val="0"/>
                <w:szCs w:val="21"/>
              </w:rPr>
              <w:t>1分</w:t>
            </w:r>
          </w:p>
        </w:tc>
        <w:tc>
          <w:tcPr>
            <w:tcW w:w="3473" w:type="dxa"/>
            <w:vAlign w:val="center"/>
          </w:tcPr>
          <w:p>
            <w:pPr>
              <w:pStyle w:val="152"/>
              <w:spacing w:line="240" w:lineRule="auto"/>
              <w:ind w:firstLine="0" w:firstLineChars="0"/>
              <w:rPr>
                <w:kern w:val="0"/>
                <w:szCs w:val="21"/>
              </w:rPr>
            </w:pPr>
            <w:r>
              <w:rPr>
                <w:rFonts w:hint="eastAsia"/>
                <w:kern w:val="0"/>
                <w:szCs w:val="21"/>
              </w:rPr>
              <w:t>浪费水电、煤气，扣</w:t>
            </w:r>
            <w:r>
              <w:rPr>
                <w:kern w:val="0"/>
                <w:szCs w:val="21"/>
              </w:rPr>
              <w:t>0.5</w:t>
            </w:r>
            <w:r>
              <w:rPr>
                <w:rFonts w:hint="eastAsia"/>
                <w:kern w:val="0"/>
                <w:szCs w:val="21"/>
              </w:rPr>
              <w:t>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保证各项设备清洁，仪表显示清晰准确，工具摆放整齐，锅炉房整洁卫生。</w:t>
            </w:r>
          </w:p>
        </w:tc>
        <w:tc>
          <w:tcPr>
            <w:tcW w:w="791" w:type="dxa"/>
            <w:vAlign w:val="center"/>
          </w:tcPr>
          <w:p>
            <w:pPr>
              <w:pStyle w:val="152"/>
              <w:spacing w:line="240" w:lineRule="auto"/>
              <w:ind w:firstLine="0" w:firstLineChars="0"/>
              <w:rPr>
                <w:kern w:val="0"/>
                <w:szCs w:val="21"/>
              </w:rPr>
            </w:pPr>
            <w:r>
              <w:rPr>
                <w:rFonts w:hint="eastAsia"/>
                <w:kern w:val="0"/>
                <w:szCs w:val="21"/>
              </w:rPr>
              <w:t>1分</w:t>
            </w:r>
          </w:p>
        </w:tc>
        <w:tc>
          <w:tcPr>
            <w:tcW w:w="3473" w:type="dxa"/>
            <w:vAlign w:val="center"/>
          </w:tcPr>
          <w:p>
            <w:pPr>
              <w:pStyle w:val="152"/>
              <w:spacing w:line="240" w:lineRule="auto"/>
              <w:ind w:firstLine="0" w:firstLineChars="0"/>
              <w:rPr>
                <w:kern w:val="0"/>
                <w:szCs w:val="21"/>
              </w:rPr>
            </w:pPr>
            <w:r>
              <w:rPr>
                <w:rFonts w:hint="eastAsia"/>
                <w:kern w:val="0"/>
                <w:szCs w:val="21"/>
              </w:rPr>
              <w:t>未达到要求，扣</w:t>
            </w:r>
            <w:r>
              <w:rPr>
                <w:kern w:val="0"/>
                <w:szCs w:val="21"/>
              </w:rPr>
              <w:t>0.5</w:t>
            </w:r>
            <w:r>
              <w:rPr>
                <w:rFonts w:hint="eastAsia"/>
                <w:kern w:val="0"/>
                <w:szCs w:val="21"/>
              </w:rPr>
              <w:t>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认真学习各项有关法规，努力钻研业务，提高技术水平。</w:t>
            </w:r>
          </w:p>
        </w:tc>
        <w:tc>
          <w:tcPr>
            <w:tcW w:w="791" w:type="dxa"/>
            <w:vAlign w:val="center"/>
          </w:tcPr>
          <w:p>
            <w:pPr>
              <w:pStyle w:val="152"/>
              <w:spacing w:line="240" w:lineRule="auto"/>
              <w:ind w:firstLine="0" w:firstLineChars="0"/>
              <w:rPr>
                <w:kern w:val="0"/>
                <w:szCs w:val="21"/>
              </w:rPr>
            </w:pPr>
            <w:r>
              <w:rPr>
                <w:rFonts w:hint="eastAsia"/>
                <w:kern w:val="0"/>
                <w:szCs w:val="21"/>
              </w:rPr>
              <w:t>2分</w:t>
            </w:r>
          </w:p>
        </w:tc>
        <w:tc>
          <w:tcPr>
            <w:tcW w:w="3473" w:type="dxa"/>
            <w:vAlign w:val="center"/>
          </w:tcPr>
          <w:p>
            <w:pPr>
              <w:pStyle w:val="152"/>
              <w:spacing w:line="240" w:lineRule="auto"/>
              <w:ind w:firstLine="0" w:firstLineChars="0"/>
              <w:rPr>
                <w:kern w:val="0"/>
                <w:szCs w:val="21"/>
              </w:rPr>
            </w:pPr>
            <w:r>
              <w:rPr>
                <w:rFonts w:hint="eastAsia"/>
                <w:kern w:val="0"/>
                <w:szCs w:val="21"/>
              </w:rPr>
              <w:t>未达到要求，扣</w:t>
            </w:r>
            <w:r>
              <w:rPr>
                <w:kern w:val="0"/>
                <w:szCs w:val="21"/>
              </w:rPr>
              <w:t>0.5</w:t>
            </w:r>
            <w:r>
              <w:rPr>
                <w:rFonts w:hint="eastAsia"/>
                <w:kern w:val="0"/>
                <w:szCs w:val="21"/>
              </w:rPr>
              <w:t>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配合锅炉年检，事前做好清灰等准备工作。</w:t>
            </w:r>
          </w:p>
        </w:tc>
        <w:tc>
          <w:tcPr>
            <w:tcW w:w="791" w:type="dxa"/>
            <w:vAlign w:val="center"/>
          </w:tcPr>
          <w:p>
            <w:pPr>
              <w:pStyle w:val="152"/>
              <w:spacing w:line="240" w:lineRule="auto"/>
              <w:ind w:firstLine="0" w:firstLineChars="0"/>
              <w:rPr>
                <w:kern w:val="0"/>
                <w:szCs w:val="21"/>
              </w:rPr>
            </w:pPr>
            <w:r>
              <w:rPr>
                <w:rFonts w:hint="eastAsia"/>
                <w:kern w:val="0"/>
                <w:szCs w:val="21"/>
              </w:rPr>
              <w:t>1分</w:t>
            </w:r>
          </w:p>
        </w:tc>
        <w:tc>
          <w:tcPr>
            <w:tcW w:w="3473" w:type="dxa"/>
            <w:vAlign w:val="center"/>
          </w:tcPr>
          <w:p>
            <w:pPr>
              <w:pStyle w:val="152"/>
              <w:spacing w:line="240" w:lineRule="auto"/>
              <w:ind w:firstLine="0" w:firstLineChars="0"/>
              <w:rPr>
                <w:kern w:val="0"/>
                <w:szCs w:val="21"/>
              </w:rPr>
            </w:pPr>
            <w:r>
              <w:rPr>
                <w:rFonts w:hint="eastAsia"/>
                <w:kern w:val="0"/>
                <w:szCs w:val="21"/>
              </w:rPr>
              <w:t>未达到要求，扣</w:t>
            </w:r>
            <w:r>
              <w:rPr>
                <w:kern w:val="0"/>
                <w:szCs w:val="21"/>
              </w:rPr>
              <w:t>0.5</w:t>
            </w:r>
            <w:r>
              <w:rPr>
                <w:rFonts w:hint="eastAsia"/>
                <w:kern w:val="0"/>
                <w:szCs w:val="21"/>
              </w:rPr>
              <w:t>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对相关设备及其附属设备经常进行巡回检查；认真填写各种记录发现故障应及时处置，并报告学校主管部门。</w:t>
            </w:r>
          </w:p>
        </w:tc>
        <w:tc>
          <w:tcPr>
            <w:tcW w:w="791" w:type="dxa"/>
            <w:vAlign w:val="center"/>
          </w:tcPr>
          <w:p>
            <w:pPr>
              <w:pStyle w:val="152"/>
              <w:spacing w:line="240" w:lineRule="auto"/>
              <w:ind w:firstLine="0" w:firstLineChars="0"/>
              <w:rPr>
                <w:kern w:val="0"/>
                <w:szCs w:val="21"/>
              </w:rPr>
            </w:pPr>
            <w:r>
              <w:rPr>
                <w:rFonts w:hint="eastAsia"/>
                <w:kern w:val="0"/>
                <w:szCs w:val="21"/>
              </w:rPr>
              <w:t>2分</w:t>
            </w:r>
          </w:p>
        </w:tc>
        <w:tc>
          <w:tcPr>
            <w:tcW w:w="3473" w:type="dxa"/>
            <w:vAlign w:val="center"/>
          </w:tcPr>
          <w:p>
            <w:pPr>
              <w:pStyle w:val="152"/>
              <w:spacing w:line="240" w:lineRule="auto"/>
              <w:ind w:firstLine="0" w:firstLineChars="0"/>
              <w:rPr>
                <w:kern w:val="0"/>
                <w:szCs w:val="21"/>
              </w:rPr>
            </w:pPr>
            <w:r>
              <w:rPr>
                <w:rFonts w:hint="eastAsia"/>
                <w:kern w:val="0"/>
                <w:szCs w:val="21"/>
              </w:rPr>
              <w:t>因检查、记录不及时，影响工作，扣</w:t>
            </w:r>
            <w:r>
              <w:rPr>
                <w:kern w:val="0"/>
                <w:szCs w:val="21"/>
              </w:rPr>
              <w:t>0.5</w:t>
            </w:r>
            <w:r>
              <w:rPr>
                <w:rFonts w:hint="eastAsia"/>
                <w:kern w:val="0"/>
                <w:szCs w:val="21"/>
              </w:rPr>
              <w:t>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严格执行安全操作规程，严格遵守劳动纪律，不做与本职工作无关的事。</w:t>
            </w:r>
          </w:p>
        </w:tc>
        <w:tc>
          <w:tcPr>
            <w:tcW w:w="791" w:type="dxa"/>
            <w:vAlign w:val="center"/>
          </w:tcPr>
          <w:p>
            <w:pPr>
              <w:pStyle w:val="152"/>
              <w:spacing w:line="240" w:lineRule="auto"/>
              <w:ind w:firstLine="0" w:firstLineChars="0"/>
              <w:rPr>
                <w:kern w:val="0"/>
                <w:szCs w:val="21"/>
              </w:rPr>
            </w:pPr>
            <w:r>
              <w:rPr>
                <w:rFonts w:hint="eastAsia"/>
                <w:kern w:val="0"/>
                <w:szCs w:val="21"/>
              </w:rPr>
              <w:t>1分</w:t>
            </w:r>
          </w:p>
        </w:tc>
        <w:tc>
          <w:tcPr>
            <w:tcW w:w="3473" w:type="dxa"/>
            <w:vAlign w:val="center"/>
          </w:tcPr>
          <w:p>
            <w:pPr>
              <w:pStyle w:val="152"/>
              <w:spacing w:line="240" w:lineRule="auto"/>
              <w:ind w:firstLine="0" w:firstLineChars="0"/>
              <w:rPr>
                <w:kern w:val="0"/>
                <w:szCs w:val="21"/>
              </w:rPr>
            </w:pPr>
            <w:r>
              <w:rPr>
                <w:rFonts w:hint="eastAsia"/>
                <w:kern w:val="0"/>
                <w:szCs w:val="21"/>
              </w:rPr>
              <w:t>不遵守纪律和不按规定操作，造成损失和影响的，扣</w:t>
            </w:r>
            <w:r>
              <w:rPr>
                <w:kern w:val="0"/>
                <w:szCs w:val="21"/>
              </w:rPr>
              <w:t>0.5</w:t>
            </w:r>
            <w:r>
              <w:rPr>
                <w:rFonts w:hint="eastAsia"/>
                <w:kern w:val="0"/>
                <w:szCs w:val="21"/>
              </w:rPr>
              <w:t>分/次，损失严重的还要赔偿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restart"/>
          </w:tcPr>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r>
              <w:rPr>
                <w:rFonts w:hint="eastAsia"/>
                <w:kern w:val="0"/>
                <w:szCs w:val="21"/>
              </w:rPr>
              <w:t>绿化养护工作</w:t>
            </w:r>
          </w:p>
          <w:p>
            <w:pPr>
              <w:pStyle w:val="152"/>
              <w:spacing w:line="240" w:lineRule="auto"/>
              <w:ind w:firstLine="0" w:firstLineChars="0"/>
              <w:rPr>
                <w:kern w:val="0"/>
                <w:szCs w:val="21"/>
              </w:rPr>
            </w:pPr>
            <w:r>
              <w:rPr>
                <w:kern w:val="0"/>
                <w:szCs w:val="21"/>
              </w:rPr>
              <w:t>（</w:t>
            </w:r>
            <w:r>
              <w:rPr>
                <w:rFonts w:hint="eastAsia"/>
                <w:kern w:val="0"/>
                <w:szCs w:val="21"/>
              </w:rPr>
              <w:t>10分</w:t>
            </w:r>
            <w:r>
              <w:rPr>
                <w:kern w:val="0"/>
                <w:szCs w:val="21"/>
              </w:rPr>
              <w:t>）</w:t>
            </w:r>
          </w:p>
        </w:tc>
        <w:tc>
          <w:tcPr>
            <w:tcW w:w="3456" w:type="dxa"/>
            <w:vAlign w:val="center"/>
          </w:tcPr>
          <w:p>
            <w:pPr>
              <w:pStyle w:val="152"/>
              <w:spacing w:line="240" w:lineRule="auto"/>
              <w:ind w:firstLine="0" w:firstLineChars="0"/>
              <w:rPr>
                <w:kern w:val="0"/>
                <w:szCs w:val="21"/>
              </w:rPr>
            </w:pPr>
            <w:r>
              <w:rPr>
                <w:rFonts w:hint="eastAsia"/>
                <w:kern w:val="0"/>
                <w:szCs w:val="21"/>
              </w:rPr>
              <w:t>按生长习性定期完成灌溉、施肥、修剪，及时处理枯枝。</w:t>
            </w:r>
          </w:p>
        </w:tc>
        <w:tc>
          <w:tcPr>
            <w:tcW w:w="791" w:type="dxa"/>
            <w:vAlign w:val="center"/>
          </w:tcPr>
          <w:p>
            <w:pPr>
              <w:pStyle w:val="152"/>
              <w:spacing w:line="240" w:lineRule="auto"/>
              <w:ind w:firstLine="0" w:firstLineChars="0"/>
              <w:rPr>
                <w:kern w:val="0"/>
                <w:szCs w:val="21"/>
              </w:rPr>
            </w:pPr>
            <w:r>
              <w:rPr>
                <w:kern w:val="0"/>
                <w:szCs w:val="21"/>
              </w:rPr>
              <w:t>2</w:t>
            </w:r>
            <w:r>
              <w:rPr>
                <w:rFonts w:hint="eastAsia"/>
                <w:kern w:val="0"/>
                <w:szCs w:val="21"/>
              </w:rPr>
              <w:t>分</w:t>
            </w:r>
          </w:p>
        </w:tc>
        <w:tc>
          <w:tcPr>
            <w:tcW w:w="3473" w:type="dxa"/>
            <w:vAlign w:val="center"/>
          </w:tcPr>
          <w:p>
            <w:pPr>
              <w:pStyle w:val="152"/>
              <w:spacing w:line="240" w:lineRule="auto"/>
              <w:ind w:firstLine="0" w:firstLineChars="0"/>
              <w:rPr>
                <w:kern w:val="0"/>
                <w:szCs w:val="21"/>
              </w:rPr>
            </w:pPr>
            <w:r>
              <w:rPr>
                <w:rFonts w:hint="eastAsia"/>
                <w:kern w:val="0"/>
                <w:szCs w:val="21"/>
              </w:rPr>
              <w:t>灌溉、施肥、修剪不及时，造成植物生长不良，杂乱，扣分0.5分/次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爬藤植物及时牵引、上架，无杂草和植物同生现象。</w:t>
            </w:r>
          </w:p>
        </w:tc>
        <w:tc>
          <w:tcPr>
            <w:tcW w:w="791" w:type="dxa"/>
            <w:vAlign w:val="center"/>
          </w:tcPr>
          <w:p>
            <w:pPr>
              <w:pStyle w:val="152"/>
              <w:spacing w:line="240" w:lineRule="auto"/>
              <w:ind w:firstLine="0" w:firstLineChars="0"/>
              <w:rPr>
                <w:kern w:val="0"/>
                <w:szCs w:val="21"/>
              </w:rPr>
            </w:pPr>
            <w:r>
              <w:rPr>
                <w:rFonts w:hint="eastAsia"/>
                <w:kern w:val="0"/>
                <w:szCs w:val="21"/>
              </w:rPr>
              <w:t>2分</w:t>
            </w:r>
          </w:p>
        </w:tc>
        <w:tc>
          <w:tcPr>
            <w:tcW w:w="3473" w:type="dxa"/>
            <w:vAlign w:val="center"/>
          </w:tcPr>
          <w:p>
            <w:pPr>
              <w:pStyle w:val="152"/>
              <w:spacing w:line="240" w:lineRule="auto"/>
              <w:ind w:firstLine="0" w:firstLineChars="0"/>
              <w:rPr>
                <w:kern w:val="0"/>
                <w:szCs w:val="21"/>
              </w:rPr>
            </w:pPr>
            <w:r>
              <w:rPr>
                <w:rFonts w:hint="eastAsia"/>
                <w:kern w:val="0"/>
                <w:szCs w:val="21"/>
              </w:rPr>
              <w:t>不及时除杂草，发现一次扣0.5分/次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周边无废纸、无砖头瓦砾，绿化垃圾当天清除。</w:t>
            </w:r>
          </w:p>
        </w:tc>
        <w:tc>
          <w:tcPr>
            <w:tcW w:w="791" w:type="dxa"/>
            <w:vAlign w:val="center"/>
          </w:tcPr>
          <w:p>
            <w:pPr>
              <w:pStyle w:val="152"/>
              <w:spacing w:line="240" w:lineRule="auto"/>
              <w:ind w:firstLine="0" w:firstLineChars="0"/>
              <w:rPr>
                <w:kern w:val="0"/>
                <w:szCs w:val="21"/>
              </w:rPr>
            </w:pPr>
            <w:r>
              <w:rPr>
                <w:rFonts w:hint="eastAsia"/>
                <w:kern w:val="0"/>
                <w:szCs w:val="21"/>
              </w:rPr>
              <w:t>1分</w:t>
            </w:r>
          </w:p>
        </w:tc>
        <w:tc>
          <w:tcPr>
            <w:tcW w:w="3473" w:type="dxa"/>
            <w:vAlign w:val="center"/>
          </w:tcPr>
          <w:p>
            <w:pPr>
              <w:pStyle w:val="152"/>
              <w:spacing w:line="240" w:lineRule="auto"/>
              <w:ind w:firstLine="0" w:firstLineChars="0"/>
              <w:rPr>
                <w:kern w:val="0"/>
                <w:szCs w:val="21"/>
              </w:rPr>
            </w:pPr>
            <w:r>
              <w:rPr>
                <w:rFonts w:hint="eastAsia"/>
                <w:kern w:val="0"/>
                <w:szCs w:val="21"/>
              </w:rPr>
              <w:t>有垃圾杂物，未及时清理，发现一次扣0.5分/次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盆花摆放整齐、造型美观、花色不协调；残花及时更换</w:t>
            </w:r>
          </w:p>
        </w:tc>
        <w:tc>
          <w:tcPr>
            <w:tcW w:w="791" w:type="dxa"/>
            <w:vAlign w:val="center"/>
          </w:tcPr>
          <w:p>
            <w:pPr>
              <w:pStyle w:val="152"/>
              <w:spacing w:line="240" w:lineRule="auto"/>
              <w:ind w:firstLine="0" w:firstLineChars="0"/>
              <w:rPr>
                <w:kern w:val="0"/>
                <w:szCs w:val="21"/>
              </w:rPr>
            </w:pPr>
            <w:r>
              <w:rPr>
                <w:rFonts w:hint="eastAsia"/>
                <w:kern w:val="0"/>
                <w:szCs w:val="21"/>
              </w:rPr>
              <w:t>2分</w:t>
            </w:r>
          </w:p>
        </w:tc>
        <w:tc>
          <w:tcPr>
            <w:tcW w:w="3473" w:type="dxa"/>
            <w:vAlign w:val="center"/>
          </w:tcPr>
          <w:p>
            <w:pPr>
              <w:pStyle w:val="152"/>
              <w:spacing w:line="240" w:lineRule="auto"/>
              <w:ind w:firstLine="0" w:firstLineChars="0"/>
              <w:rPr>
                <w:kern w:val="0"/>
                <w:szCs w:val="21"/>
              </w:rPr>
            </w:pPr>
            <w:r>
              <w:rPr>
                <w:rFonts w:hint="eastAsia"/>
                <w:kern w:val="0"/>
                <w:szCs w:val="21"/>
              </w:rPr>
              <w:t>摆放杂乱或未及时更换，发现一次扣0.5分/次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爱护维护绿化工具，摆放整齐</w:t>
            </w:r>
          </w:p>
        </w:tc>
        <w:tc>
          <w:tcPr>
            <w:tcW w:w="791" w:type="dxa"/>
            <w:vAlign w:val="center"/>
          </w:tcPr>
          <w:p>
            <w:pPr>
              <w:pStyle w:val="152"/>
              <w:spacing w:line="240" w:lineRule="auto"/>
              <w:ind w:firstLine="0" w:firstLineChars="0"/>
              <w:rPr>
                <w:kern w:val="0"/>
                <w:szCs w:val="21"/>
              </w:rPr>
            </w:pPr>
            <w:r>
              <w:rPr>
                <w:rFonts w:hint="eastAsia"/>
                <w:kern w:val="0"/>
                <w:szCs w:val="21"/>
              </w:rPr>
              <w:t>2分</w:t>
            </w:r>
          </w:p>
        </w:tc>
        <w:tc>
          <w:tcPr>
            <w:tcW w:w="3473" w:type="dxa"/>
            <w:vAlign w:val="center"/>
          </w:tcPr>
          <w:p>
            <w:pPr>
              <w:pStyle w:val="152"/>
              <w:spacing w:line="240" w:lineRule="auto"/>
              <w:ind w:firstLine="0" w:firstLineChars="0"/>
              <w:rPr>
                <w:kern w:val="0"/>
                <w:szCs w:val="21"/>
              </w:rPr>
            </w:pPr>
            <w:r>
              <w:rPr>
                <w:rFonts w:hint="eastAsia"/>
                <w:kern w:val="0"/>
                <w:szCs w:val="21"/>
              </w:rPr>
              <w:t>未按要求发现一次扣0.5分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配合学校教育，对花木挂牌</w:t>
            </w:r>
          </w:p>
        </w:tc>
        <w:tc>
          <w:tcPr>
            <w:tcW w:w="791" w:type="dxa"/>
            <w:vAlign w:val="center"/>
          </w:tcPr>
          <w:p>
            <w:pPr>
              <w:pStyle w:val="152"/>
              <w:spacing w:line="240" w:lineRule="auto"/>
              <w:ind w:firstLine="0" w:firstLineChars="0"/>
              <w:rPr>
                <w:kern w:val="0"/>
                <w:szCs w:val="21"/>
              </w:rPr>
            </w:pPr>
            <w:r>
              <w:rPr>
                <w:rFonts w:hint="eastAsia"/>
                <w:kern w:val="0"/>
                <w:szCs w:val="21"/>
              </w:rPr>
              <w:t>1分</w:t>
            </w:r>
          </w:p>
        </w:tc>
        <w:tc>
          <w:tcPr>
            <w:tcW w:w="3473" w:type="dxa"/>
            <w:vAlign w:val="center"/>
          </w:tcPr>
          <w:p>
            <w:pPr>
              <w:pStyle w:val="152"/>
              <w:spacing w:line="240" w:lineRule="auto"/>
              <w:ind w:firstLine="0" w:firstLineChars="0"/>
              <w:rPr>
                <w:kern w:val="0"/>
                <w:szCs w:val="21"/>
              </w:rPr>
            </w:pPr>
            <w:r>
              <w:rPr>
                <w:rFonts w:hint="eastAsia"/>
                <w:kern w:val="0"/>
                <w:szCs w:val="21"/>
              </w:rPr>
              <w:t>未按要求及时挂牌，发现一次扣</w:t>
            </w:r>
          </w:p>
          <w:p>
            <w:pPr>
              <w:pStyle w:val="152"/>
              <w:spacing w:line="240" w:lineRule="auto"/>
              <w:ind w:firstLine="0" w:firstLineChars="0"/>
              <w:rPr>
                <w:kern w:val="0"/>
                <w:szCs w:val="21"/>
              </w:rPr>
            </w:pPr>
            <w:r>
              <w:rPr>
                <w:rFonts w:hint="eastAsia"/>
                <w:kern w:val="0"/>
                <w:szCs w:val="21"/>
              </w:rPr>
              <w:t>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restart"/>
          </w:tcPr>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r>
              <w:rPr>
                <w:rFonts w:hint="eastAsia"/>
                <w:kern w:val="0"/>
                <w:szCs w:val="21"/>
              </w:rPr>
              <w:t>宿舍管理工作（10分）</w:t>
            </w:r>
          </w:p>
        </w:tc>
        <w:tc>
          <w:tcPr>
            <w:tcW w:w="3456" w:type="dxa"/>
            <w:vAlign w:val="center"/>
          </w:tcPr>
          <w:p>
            <w:pPr>
              <w:pStyle w:val="152"/>
              <w:spacing w:line="240" w:lineRule="auto"/>
              <w:ind w:firstLine="0" w:firstLineChars="0"/>
              <w:rPr>
                <w:kern w:val="0"/>
                <w:szCs w:val="21"/>
              </w:rPr>
            </w:pPr>
            <w:r>
              <w:rPr>
                <w:rFonts w:hint="eastAsia"/>
                <w:kern w:val="0"/>
                <w:szCs w:val="21"/>
              </w:rPr>
              <w:t xml:space="preserve">服务态度好，善于沟通，注重服务质量， </w:t>
            </w:r>
          </w:p>
          <w:p>
            <w:pPr>
              <w:pStyle w:val="152"/>
              <w:spacing w:line="240" w:lineRule="auto"/>
              <w:ind w:firstLine="0" w:firstLineChars="0"/>
              <w:rPr>
                <w:kern w:val="0"/>
                <w:szCs w:val="21"/>
              </w:rPr>
            </w:pPr>
          </w:p>
        </w:tc>
        <w:tc>
          <w:tcPr>
            <w:tcW w:w="791" w:type="dxa"/>
            <w:vAlign w:val="center"/>
          </w:tcPr>
          <w:p>
            <w:pPr>
              <w:pStyle w:val="152"/>
              <w:spacing w:line="240" w:lineRule="auto"/>
              <w:ind w:firstLine="0" w:firstLineChars="0"/>
              <w:rPr>
                <w:kern w:val="0"/>
                <w:szCs w:val="21"/>
              </w:rPr>
            </w:pPr>
            <w:r>
              <w:rPr>
                <w:rFonts w:hint="eastAsia"/>
                <w:kern w:val="0"/>
                <w:szCs w:val="21"/>
              </w:rPr>
              <w:t>1分</w:t>
            </w:r>
          </w:p>
        </w:tc>
        <w:tc>
          <w:tcPr>
            <w:tcW w:w="3473" w:type="dxa"/>
            <w:vAlign w:val="center"/>
          </w:tcPr>
          <w:p>
            <w:pPr>
              <w:pStyle w:val="152"/>
              <w:spacing w:line="240" w:lineRule="auto"/>
              <w:ind w:firstLine="0" w:firstLineChars="0"/>
              <w:rPr>
                <w:kern w:val="0"/>
                <w:szCs w:val="21"/>
              </w:rPr>
            </w:pPr>
            <w:r>
              <w:rPr>
                <w:rFonts w:hint="eastAsia"/>
                <w:kern w:val="0"/>
                <w:szCs w:val="21"/>
              </w:rPr>
              <w:t>因服务态度差、工作失职、在师生、家长中造成不良影响，被举报投诉经查实，视情节每次扣</w:t>
            </w:r>
            <w:r>
              <w:rPr>
                <w:kern w:val="0"/>
                <w:szCs w:val="21"/>
              </w:rPr>
              <w:t>0.5</w:t>
            </w:r>
            <w:r>
              <w:rPr>
                <w:rFonts w:hint="eastAsia"/>
                <w:kern w:val="0"/>
                <w:szCs w:val="21"/>
              </w:rPr>
              <w:t>分以上，严重者予以解聘。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同事间团结、协作， 办事效率高</w:t>
            </w:r>
          </w:p>
          <w:p>
            <w:pPr>
              <w:pStyle w:val="152"/>
              <w:spacing w:line="240" w:lineRule="auto"/>
              <w:ind w:firstLine="0" w:firstLineChars="0"/>
              <w:rPr>
                <w:kern w:val="0"/>
                <w:szCs w:val="21"/>
              </w:rPr>
            </w:pPr>
          </w:p>
        </w:tc>
        <w:tc>
          <w:tcPr>
            <w:tcW w:w="791" w:type="dxa"/>
            <w:vAlign w:val="center"/>
          </w:tcPr>
          <w:p>
            <w:pPr>
              <w:pStyle w:val="152"/>
              <w:spacing w:line="240" w:lineRule="auto"/>
              <w:ind w:firstLine="0" w:firstLineChars="0"/>
              <w:rPr>
                <w:kern w:val="0"/>
                <w:szCs w:val="21"/>
              </w:rPr>
            </w:pPr>
            <w:r>
              <w:rPr>
                <w:rFonts w:hint="eastAsia"/>
                <w:kern w:val="0"/>
                <w:szCs w:val="21"/>
              </w:rPr>
              <w:t>1分</w:t>
            </w:r>
          </w:p>
        </w:tc>
        <w:tc>
          <w:tcPr>
            <w:tcW w:w="3473" w:type="dxa"/>
            <w:vAlign w:val="center"/>
          </w:tcPr>
          <w:p>
            <w:pPr>
              <w:pStyle w:val="152"/>
              <w:spacing w:line="240" w:lineRule="auto"/>
              <w:ind w:firstLine="0" w:firstLineChars="0"/>
              <w:rPr>
                <w:kern w:val="0"/>
                <w:szCs w:val="21"/>
              </w:rPr>
            </w:pPr>
            <w:r>
              <w:rPr>
                <w:rFonts w:hint="eastAsia"/>
                <w:kern w:val="0"/>
                <w:szCs w:val="21"/>
              </w:rPr>
              <w:t>不得发生争吵等现象，发生争吵每人次扣</w:t>
            </w:r>
            <w:r>
              <w:rPr>
                <w:kern w:val="0"/>
                <w:szCs w:val="21"/>
              </w:rPr>
              <w:t>0.5</w:t>
            </w:r>
            <w:r>
              <w:rPr>
                <w:rFonts w:hint="eastAsia"/>
                <w:kern w:val="0"/>
                <w:szCs w:val="21"/>
              </w:rPr>
              <w:t>分，打架每人次扣</w:t>
            </w:r>
            <w:r>
              <w:rPr>
                <w:kern w:val="0"/>
                <w:szCs w:val="21"/>
              </w:rPr>
              <w:t>1</w:t>
            </w:r>
            <w:r>
              <w:rPr>
                <w:rFonts w:hint="eastAsia"/>
                <w:kern w:val="0"/>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 xml:space="preserve">认真完成学校领导交办的各项任务，不拖延、不推诿、不敷衍、不顶撞，更不准暗中对抗， </w:t>
            </w:r>
          </w:p>
        </w:tc>
        <w:tc>
          <w:tcPr>
            <w:tcW w:w="791" w:type="dxa"/>
            <w:vAlign w:val="center"/>
          </w:tcPr>
          <w:p>
            <w:pPr>
              <w:pStyle w:val="152"/>
              <w:spacing w:line="240" w:lineRule="auto"/>
              <w:ind w:firstLine="0" w:firstLineChars="0"/>
              <w:rPr>
                <w:kern w:val="0"/>
                <w:szCs w:val="21"/>
              </w:rPr>
            </w:pPr>
            <w:r>
              <w:rPr>
                <w:rFonts w:hint="eastAsia"/>
                <w:kern w:val="0"/>
                <w:szCs w:val="21"/>
              </w:rPr>
              <w:t>1分</w:t>
            </w:r>
          </w:p>
        </w:tc>
        <w:tc>
          <w:tcPr>
            <w:tcW w:w="3473" w:type="dxa"/>
            <w:vAlign w:val="center"/>
          </w:tcPr>
          <w:p>
            <w:pPr>
              <w:pStyle w:val="152"/>
              <w:spacing w:line="240" w:lineRule="auto"/>
              <w:ind w:firstLine="0" w:firstLineChars="0"/>
              <w:rPr>
                <w:kern w:val="0"/>
                <w:szCs w:val="21"/>
              </w:rPr>
            </w:pPr>
            <w:r>
              <w:rPr>
                <w:rFonts w:hint="eastAsia"/>
                <w:kern w:val="0"/>
                <w:szCs w:val="21"/>
              </w:rPr>
              <w:t>如发现，视情节每次扣</w:t>
            </w:r>
            <w:r>
              <w:rPr>
                <w:kern w:val="0"/>
                <w:szCs w:val="21"/>
              </w:rPr>
              <w:t>0.5</w:t>
            </w:r>
            <w:r>
              <w:rPr>
                <w:rFonts w:hint="eastAsia"/>
                <w:kern w:val="0"/>
                <w:szCs w:val="21"/>
              </w:rPr>
              <w:t>分以上。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室内外卫生：要求室内外地面干净（走廊、过道、楼梯等每天拖地一次）、整洁，无垃圾，室内卫生间无异味、无积水，墙角、门角无蜘蛛网，所有垃圾即时清理</w:t>
            </w:r>
          </w:p>
        </w:tc>
        <w:tc>
          <w:tcPr>
            <w:tcW w:w="791" w:type="dxa"/>
            <w:vAlign w:val="center"/>
          </w:tcPr>
          <w:p>
            <w:pPr>
              <w:pStyle w:val="152"/>
              <w:spacing w:line="240" w:lineRule="auto"/>
              <w:ind w:firstLine="0" w:firstLineChars="0"/>
              <w:rPr>
                <w:kern w:val="0"/>
                <w:szCs w:val="21"/>
              </w:rPr>
            </w:pPr>
            <w:r>
              <w:rPr>
                <w:rFonts w:hint="eastAsia"/>
                <w:kern w:val="0"/>
                <w:szCs w:val="21"/>
              </w:rPr>
              <w:t>1分</w:t>
            </w:r>
          </w:p>
        </w:tc>
        <w:tc>
          <w:tcPr>
            <w:tcW w:w="3473" w:type="dxa"/>
            <w:vAlign w:val="center"/>
          </w:tcPr>
          <w:p>
            <w:pPr>
              <w:pStyle w:val="152"/>
              <w:spacing w:line="240" w:lineRule="auto"/>
              <w:ind w:firstLine="0" w:firstLineChars="0"/>
              <w:rPr>
                <w:kern w:val="0"/>
                <w:szCs w:val="21"/>
              </w:rPr>
            </w:pPr>
            <w:r>
              <w:rPr>
                <w:rFonts w:hint="eastAsia"/>
                <w:kern w:val="0"/>
                <w:szCs w:val="21"/>
              </w:rPr>
              <w:t>未达到要求，每处扣</w:t>
            </w:r>
            <w:r>
              <w:rPr>
                <w:kern w:val="0"/>
                <w:szCs w:val="21"/>
              </w:rPr>
              <w:t>0.5</w:t>
            </w:r>
            <w:r>
              <w:rPr>
                <w:rFonts w:hint="eastAsia"/>
                <w:kern w:val="0"/>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 xml:space="preserve">物品摆放及保管：室内所有用品摆放整齐，鞋子、毛巾、洗漱用品等摆放成线，衣物、箱包摆放有序；被褥、枕头、床单、衣物等床上用品叠放成形、统一整齐， </w:t>
            </w:r>
          </w:p>
        </w:tc>
        <w:tc>
          <w:tcPr>
            <w:tcW w:w="791" w:type="dxa"/>
            <w:vAlign w:val="center"/>
          </w:tcPr>
          <w:p>
            <w:pPr>
              <w:pStyle w:val="152"/>
              <w:spacing w:line="240" w:lineRule="auto"/>
              <w:ind w:firstLine="0" w:firstLineChars="0"/>
              <w:rPr>
                <w:kern w:val="0"/>
                <w:szCs w:val="21"/>
              </w:rPr>
            </w:pPr>
            <w:r>
              <w:rPr>
                <w:rFonts w:hint="eastAsia"/>
                <w:kern w:val="0"/>
                <w:szCs w:val="21"/>
              </w:rPr>
              <w:t>1分</w:t>
            </w:r>
          </w:p>
        </w:tc>
        <w:tc>
          <w:tcPr>
            <w:tcW w:w="3473" w:type="dxa"/>
            <w:vAlign w:val="center"/>
          </w:tcPr>
          <w:p>
            <w:pPr>
              <w:pStyle w:val="152"/>
              <w:spacing w:line="240" w:lineRule="auto"/>
              <w:ind w:firstLine="0" w:firstLineChars="0"/>
              <w:rPr>
                <w:kern w:val="0"/>
                <w:szCs w:val="21"/>
              </w:rPr>
            </w:pPr>
            <w:r>
              <w:rPr>
                <w:rFonts w:hint="eastAsia"/>
                <w:kern w:val="0"/>
                <w:szCs w:val="21"/>
              </w:rPr>
              <w:t>未达到要求，每处扣</w:t>
            </w:r>
            <w:r>
              <w:rPr>
                <w:kern w:val="0"/>
                <w:szCs w:val="21"/>
              </w:rPr>
              <w:t>0.5</w:t>
            </w:r>
            <w:r>
              <w:rPr>
                <w:rFonts w:hint="eastAsia"/>
                <w:kern w:val="0"/>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财产管理：室内外水、电设施、门窗、床铺、风扇等设施要经常检查，发现损坏即时报告督促维修，发现人为破坏要及时报告，追究责任和赔偿，要及时关水、关电、关风扇，。</w:t>
            </w:r>
          </w:p>
        </w:tc>
        <w:tc>
          <w:tcPr>
            <w:tcW w:w="791" w:type="dxa"/>
            <w:vAlign w:val="center"/>
          </w:tcPr>
          <w:p>
            <w:pPr>
              <w:pStyle w:val="152"/>
              <w:spacing w:line="240" w:lineRule="auto"/>
              <w:ind w:firstLine="0" w:firstLineChars="0"/>
              <w:rPr>
                <w:kern w:val="0"/>
                <w:szCs w:val="21"/>
              </w:rPr>
            </w:pPr>
            <w:r>
              <w:rPr>
                <w:rFonts w:hint="eastAsia"/>
                <w:kern w:val="0"/>
                <w:szCs w:val="21"/>
              </w:rPr>
              <w:t>1分</w:t>
            </w:r>
          </w:p>
        </w:tc>
        <w:tc>
          <w:tcPr>
            <w:tcW w:w="3473" w:type="dxa"/>
            <w:vAlign w:val="center"/>
          </w:tcPr>
          <w:p>
            <w:pPr>
              <w:pStyle w:val="152"/>
              <w:spacing w:line="240" w:lineRule="auto"/>
              <w:ind w:firstLine="0" w:firstLineChars="0"/>
              <w:rPr>
                <w:kern w:val="0"/>
                <w:szCs w:val="21"/>
              </w:rPr>
            </w:pPr>
            <w:r>
              <w:rPr>
                <w:rFonts w:hint="eastAsia"/>
                <w:kern w:val="0"/>
                <w:szCs w:val="21"/>
              </w:rPr>
              <w:t>未及时报告公物损坏情况，有浪费行为，发现一次扣0.5分/次。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按照学校作息时间，督促学生按时起床、离寝，按时就寝、熄灯；做到起床迅速、离寝及时，静寝快速。对滞留寝室学生进行登记并报告班主任或德育处。</w:t>
            </w:r>
          </w:p>
        </w:tc>
        <w:tc>
          <w:tcPr>
            <w:tcW w:w="791" w:type="dxa"/>
            <w:vAlign w:val="center"/>
          </w:tcPr>
          <w:p>
            <w:pPr>
              <w:pStyle w:val="152"/>
              <w:spacing w:line="240" w:lineRule="auto"/>
              <w:ind w:firstLine="0" w:firstLineChars="0"/>
              <w:rPr>
                <w:kern w:val="0"/>
                <w:szCs w:val="21"/>
              </w:rPr>
            </w:pPr>
            <w:r>
              <w:rPr>
                <w:rFonts w:hint="eastAsia"/>
                <w:kern w:val="0"/>
                <w:szCs w:val="21"/>
              </w:rPr>
              <w:t>1分</w:t>
            </w:r>
          </w:p>
        </w:tc>
        <w:tc>
          <w:tcPr>
            <w:tcW w:w="3473" w:type="dxa"/>
            <w:vAlign w:val="center"/>
          </w:tcPr>
          <w:p>
            <w:pPr>
              <w:pStyle w:val="152"/>
              <w:spacing w:line="240" w:lineRule="auto"/>
              <w:ind w:firstLine="0" w:firstLineChars="0"/>
              <w:rPr>
                <w:kern w:val="0"/>
                <w:szCs w:val="21"/>
              </w:rPr>
            </w:pPr>
            <w:r>
              <w:rPr>
                <w:rFonts w:hint="eastAsia"/>
                <w:kern w:val="0"/>
                <w:szCs w:val="21"/>
              </w:rPr>
              <w:t>未按作息要求管理学生，未及时上报违纪行为，发现一次扣</w:t>
            </w:r>
            <w:r>
              <w:rPr>
                <w:kern w:val="0"/>
                <w:szCs w:val="21"/>
              </w:rPr>
              <w:t>0.5</w:t>
            </w:r>
            <w:r>
              <w:rPr>
                <w:rFonts w:hint="eastAsia"/>
                <w:kern w:val="0"/>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非就寝时间要及时锁好寝室门及宿舍大门，学生有特殊情况在非就寝时间进入寝室须持有班主任批准的请假条方可进入。滞留寝室的学生要分班登记并报告班主任或德育处处理。</w:t>
            </w:r>
          </w:p>
        </w:tc>
        <w:tc>
          <w:tcPr>
            <w:tcW w:w="791" w:type="dxa"/>
            <w:vAlign w:val="center"/>
          </w:tcPr>
          <w:p>
            <w:pPr>
              <w:pStyle w:val="152"/>
              <w:spacing w:line="240" w:lineRule="auto"/>
              <w:ind w:firstLine="0" w:firstLineChars="0"/>
              <w:rPr>
                <w:kern w:val="0"/>
                <w:szCs w:val="21"/>
              </w:rPr>
            </w:pPr>
            <w:r>
              <w:rPr>
                <w:rFonts w:hint="eastAsia"/>
                <w:kern w:val="0"/>
                <w:szCs w:val="21"/>
              </w:rPr>
              <w:t>1分</w:t>
            </w:r>
          </w:p>
        </w:tc>
        <w:tc>
          <w:tcPr>
            <w:tcW w:w="3473" w:type="dxa"/>
            <w:vAlign w:val="center"/>
          </w:tcPr>
          <w:p>
            <w:pPr>
              <w:pStyle w:val="152"/>
              <w:spacing w:line="240" w:lineRule="auto"/>
              <w:ind w:firstLine="0" w:firstLineChars="0"/>
              <w:rPr>
                <w:kern w:val="0"/>
                <w:szCs w:val="21"/>
              </w:rPr>
            </w:pPr>
            <w:r>
              <w:rPr>
                <w:rFonts w:hint="eastAsia"/>
                <w:kern w:val="0"/>
                <w:szCs w:val="21"/>
              </w:rPr>
              <w:t>未按时开门、锁门每次扣</w:t>
            </w:r>
            <w:r>
              <w:rPr>
                <w:kern w:val="0"/>
                <w:szCs w:val="21"/>
              </w:rPr>
              <w:t>0.5</w:t>
            </w:r>
            <w:r>
              <w:rPr>
                <w:rFonts w:hint="eastAsia"/>
                <w:kern w:val="0"/>
                <w:szCs w:val="21"/>
              </w:rPr>
              <w:t>分，没有请假条让学生进入寝室每人次扣</w:t>
            </w:r>
            <w:r>
              <w:rPr>
                <w:kern w:val="0"/>
                <w:szCs w:val="21"/>
              </w:rPr>
              <w:t>0.5</w:t>
            </w:r>
            <w:r>
              <w:rPr>
                <w:rFonts w:hint="eastAsia"/>
                <w:kern w:val="0"/>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学生晚寝后加强巡视，配合值班行政、班主任查寝，清点人数，防止学生就寝后离寝外出。</w:t>
            </w:r>
          </w:p>
        </w:tc>
        <w:tc>
          <w:tcPr>
            <w:tcW w:w="791" w:type="dxa"/>
            <w:vAlign w:val="center"/>
          </w:tcPr>
          <w:p>
            <w:pPr>
              <w:pStyle w:val="152"/>
              <w:spacing w:line="240" w:lineRule="auto"/>
              <w:ind w:firstLine="0" w:firstLineChars="0"/>
              <w:rPr>
                <w:kern w:val="0"/>
                <w:szCs w:val="21"/>
              </w:rPr>
            </w:pPr>
            <w:r>
              <w:rPr>
                <w:rFonts w:hint="eastAsia"/>
                <w:kern w:val="0"/>
                <w:szCs w:val="21"/>
              </w:rPr>
              <w:t>1分</w:t>
            </w:r>
          </w:p>
        </w:tc>
        <w:tc>
          <w:tcPr>
            <w:tcW w:w="3473" w:type="dxa"/>
            <w:vAlign w:val="center"/>
          </w:tcPr>
          <w:p>
            <w:pPr>
              <w:pStyle w:val="152"/>
              <w:spacing w:line="240" w:lineRule="auto"/>
              <w:ind w:firstLine="0" w:firstLineChars="0"/>
              <w:rPr>
                <w:kern w:val="0"/>
                <w:szCs w:val="21"/>
              </w:rPr>
            </w:pPr>
            <w:r>
              <w:rPr>
                <w:rFonts w:hint="eastAsia"/>
                <w:kern w:val="0"/>
                <w:szCs w:val="21"/>
              </w:rPr>
              <w:t>未严格考勤，未达到要求每次扣</w:t>
            </w:r>
            <w:r>
              <w:rPr>
                <w:kern w:val="0"/>
                <w:szCs w:val="21"/>
              </w:rPr>
              <w:t>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要及时制止学生在室内抽烟、喝酒、打闹、喧哗、打牌、串寝室等不良行为，根据规定及时向学校反映 。</w:t>
            </w:r>
          </w:p>
        </w:tc>
        <w:tc>
          <w:tcPr>
            <w:tcW w:w="791" w:type="dxa"/>
            <w:vAlign w:val="center"/>
          </w:tcPr>
          <w:p>
            <w:pPr>
              <w:pStyle w:val="152"/>
              <w:spacing w:line="240" w:lineRule="auto"/>
              <w:ind w:firstLine="0" w:firstLineChars="0"/>
              <w:rPr>
                <w:kern w:val="0"/>
                <w:szCs w:val="21"/>
              </w:rPr>
            </w:pPr>
            <w:r>
              <w:rPr>
                <w:rFonts w:hint="eastAsia"/>
                <w:kern w:val="0"/>
                <w:szCs w:val="21"/>
              </w:rPr>
              <w:t>1分</w:t>
            </w:r>
          </w:p>
        </w:tc>
        <w:tc>
          <w:tcPr>
            <w:tcW w:w="3473" w:type="dxa"/>
            <w:vAlign w:val="center"/>
          </w:tcPr>
          <w:p>
            <w:pPr>
              <w:pStyle w:val="152"/>
              <w:spacing w:line="240" w:lineRule="auto"/>
              <w:ind w:firstLine="0" w:firstLineChars="0"/>
              <w:rPr>
                <w:kern w:val="0"/>
                <w:szCs w:val="21"/>
              </w:rPr>
            </w:pPr>
            <w:r>
              <w:rPr>
                <w:rFonts w:hint="eastAsia"/>
                <w:kern w:val="0"/>
                <w:szCs w:val="21"/>
              </w:rPr>
              <w:t xml:space="preserve">没及时制止违纪行为或不报告每次扣 </w:t>
            </w:r>
            <w:r>
              <w:rPr>
                <w:kern w:val="0"/>
                <w:szCs w:val="21"/>
              </w:rPr>
              <w:t>0.5</w:t>
            </w:r>
            <w:r>
              <w:rPr>
                <w:rFonts w:hint="eastAsia"/>
                <w:kern w:val="0"/>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restart"/>
          </w:tcPr>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r>
              <w:rPr>
                <w:rFonts w:hint="eastAsia"/>
                <w:kern w:val="0"/>
                <w:szCs w:val="21"/>
              </w:rPr>
              <w:t>晚自习管理（10分）</w:t>
            </w:r>
          </w:p>
        </w:tc>
        <w:tc>
          <w:tcPr>
            <w:tcW w:w="3456" w:type="dxa"/>
          </w:tcPr>
          <w:p>
            <w:pPr>
              <w:pStyle w:val="152"/>
              <w:spacing w:line="240" w:lineRule="auto"/>
              <w:ind w:firstLine="0" w:firstLineChars="0"/>
              <w:rPr>
                <w:kern w:val="0"/>
                <w:szCs w:val="21"/>
              </w:rPr>
            </w:pPr>
            <w:r>
              <w:rPr>
                <w:rFonts w:hint="eastAsia"/>
                <w:kern w:val="0"/>
                <w:szCs w:val="21"/>
              </w:rPr>
              <w:t>个人规范，服装整洁，语言文明，为人师表</w:t>
            </w:r>
          </w:p>
        </w:tc>
        <w:tc>
          <w:tcPr>
            <w:tcW w:w="791" w:type="dxa"/>
            <w:vAlign w:val="center"/>
          </w:tcPr>
          <w:p>
            <w:pPr>
              <w:pStyle w:val="152"/>
              <w:spacing w:line="240" w:lineRule="auto"/>
              <w:ind w:firstLine="0" w:firstLineChars="0"/>
              <w:rPr>
                <w:kern w:val="0"/>
                <w:szCs w:val="21"/>
              </w:rPr>
            </w:pPr>
            <w:r>
              <w:rPr>
                <w:rFonts w:hint="eastAsia"/>
                <w:kern w:val="0"/>
                <w:szCs w:val="21"/>
              </w:rPr>
              <w:t>2分</w:t>
            </w:r>
          </w:p>
        </w:tc>
        <w:tc>
          <w:tcPr>
            <w:tcW w:w="3473" w:type="dxa"/>
            <w:vAlign w:val="center"/>
          </w:tcPr>
          <w:p>
            <w:pPr>
              <w:pStyle w:val="152"/>
              <w:spacing w:line="240" w:lineRule="auto"/>
              <w:ind w:firstLine="0" w:firstLineChars="0"/>
              <w:rPr>
                <w:kern w:val="0"/>
                <w:szCs w:val="21"/>
              </w:rPr>
            </w:pPr>
            <w:r>
              <w:rPr>
                <w:rFonts w:hint="eastAsia"/>
                <w:kern w:val="0"/>
                <w:szCs w:val="21"/>
              </w:rPr>
              <w:t>着装不规范，穿背心、拖鞋在教室内走动，违者1次</w:t>
            </w:r>
            <w:r>
              <w:rPr>
                <w:kern w:val="0"/>
                <w:szCs w:val="21"/>
              </w:rPr>
              <w:t>0.5</w:t>
            </w:r>
            <w:r>
              <w:rPr>
                <w:rFonts w:hint="eastAsia"/>
                <w:kern w:val="0"/>
                <w:szCs w:val="21"/>
              </w:rPr>
              <w:t>分；语言不文明违者1次</w:t>
            </w:r>
            <w:r>
              <w:rPr>
                <w:kern w:val="0"/>
                <w:szCs w:val="21"/>
              </w:rPr>
              <w:t>0.5</w:t>
            </w:r>
            <w:r>
              <w:rPr>
                <w:rFonts w:hint="eastAsia"/>
                <w:kern w:val="0"/>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tcPr>
          <w:p>
            <w:pPr>
              <w:pStyle w:val="152"/>
              <w:spacing w:line="240" w:lineRule="auto"/>
              <w:ind w:firstLine="0" w:firstLineChars="0"/>
              <w:rPr>
                <w:kern w:val="0"/>
                <w:szCs w:val="21"/>
              </w:rPr>
            </w:pPr>
            <w:r>
              <w:rPr>
                <w:rFonts w:hint="eastAsia"/>
                <w:kern w:val="0"/>
                <w:szCs w:val="21"/>
              </w:rPr>
              <w:t>按学校作息时间安排，上班准时， 不擅自脱岗</w:t>
            </w:r>
          </w:p>
        </w:tc>
        <w:tc>
          <w:tcPr>
            <w:tcW w:w="791" w:type="dxa"/>
            <w:vAlign w:val="center"/>
          </w:tcPr>
          <w:p>
            <w:pPr>
              <w:pStyle w:val="152"/>
              <w:spacing w:line="240" w:lineRule="auto"/>
              <w:ind w:firstLine="0" w:firstLineChars="0"/>
              <w:rPr>
                <w:kern w:val="0"/>
                <w:szCs w:val="21"/>
              </w:rPr>
            </w:pPr>
            <w:r>
              <w:rPr>
                <w:rFonts w:hint="eastAsia"/>
                <w:kern w:val="0"/>
                <w:szCs w:val="21"/>
              </w:rPr>
              <w:t>2分</w:t>
            </w:r>
          </w:p>
        </w:tc>
        <w:tc>
          <w:tcPr>
            <w:tcW w:w="3473" w:type="dxa"/>
            <w:vAlign w:val="center"/>
          </w:tcPr>
          <w:p>
            <w:pPr>
              <w:pStyle w:val="152"/>
              <w:spacing w:line="240" w:lineRule="auto"/>
              <w:ind w:firstLine="0" w:firstLineChars="0"/>
              <w:rPr>
                <w:kern w:val="0"/>
                <w:szCs w:val="21"/>
              </w:rPr>
            </w:pPr>
            <w:r>
              <w:rPr>
                <w:rFonts w:hint="eastAsia"/>
                <w:kern w:val="0"/>
                <w:szCs w:val="21"/>
              </w:rPr>
              <w:t>迟到1次扣</w:t>
            </w:r>
            <w:r>
              <w:rPr>
                <w:kern w:val="0"/>
                <w:szCs w:val="21"/>
              </w:rPr>
              <w:t>0.5</w:t>
            </w:r>
            <w:r>
              <w:rPr>
                <w:rFonts w:hint="eastAsia"/>
                <w:kern w:val="0"/>
                <w:szCs w:val="21"/>
              </w:rPr>
              <w:t>分，擅自脱岗或没有按时到岗发现第三次取消劳动合同或劳务协议。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tcPr>
          <w:p>
            <w:pPr>
              <w:pStyle w:val="152"/>
              <w:spacing w:line="240" w:lineRule="auto"/>
              <w:ind w:firstLine="0" w:firstLineChars="0"/>
              <w:rPr>
                <w:kern w:val="0"/>
                <w:szCs w:val="21"/>
              </w:rPr>
            </w:pPr>
            <w:r>
              <w:rPr>
                <w:rFonts w:hint="eastAsia"/>
                <w:kern w:val="0"/>
                <w:szCs w:val="21"/>
              </w:rPr>
              <w:t>晚自习后，主动安排学生做好教室清洁卫生</w:t>
            </w:r>
          </w:p>
        </w:tc>
        <w:tc>
          <w:tcPr>
            <w:tcW w:w="791" w:type="dxa"/>
            <w:vAlign w:val="center"/>
          </w:tcPr>
          <w:p>
            <w:pPr>
              <w:pStyle w:val="152"/>
              <w:spacing w:line="240" w:lineRule="auto"/>
              <w:ind w:firstLine="0" w:firstLineChars="0"/>
              <w:rPr>
                <w:kern w:val="0"/>
                <w:szCs w:val="21"/>
              </w:rPr>
            </w:pPr>
            <w:r>
              <w:rPr>
                <w:rFonts w:hint="eastAsia"/>
                <w:kern w:val="0"/>
                <w:szCs w:val="21"/>
              </w:rPr>
              <w:t>1分</w:t>
            </w:r>
          </w:p>
        </w:tc>
        <w:tc>
          <w:tcPr>
            <w:tcW w:w="3473" w:type="dxa"/>
            <w:vAlign w:val="center"/>
          </w:tcPr>
          <w:p>
            <w:pPr>
              <w:pStyle w:val="152"/>
              <w:spacing w:line="240" w:lineRule="auto"/>
              <w:ind w:firstLine="0" w:firstLineChars="0"/>
              <w:rPr>
                <w:kern w:val="0"/>
                <w:szCs w:val="21"/>
              </w:rPr>
            </w:pPr>
            <w:r>
              <w:rPr>
                <w:rFonts w:hint="eastAsia"/>
                <w:kern w:val="0"/>
                <w:szCs w:val="21"/>
              </w:rPr>
              <w:t>不主动安排学生做好教室清洁卫生1次扣</w:t>
            </w:r>
            <w:r>
              <w:rPr>
                <w:kern w:val="0"/>
                <w:szCs w:val="21"/>
              </w:rPr>
              <w:t>0.5</w:t>
            </w:r>
            <w:r>
              <w:rPr>
                <w:rFonts w:hint="eastAsia"/>
                <w:kern w:val="0"/>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tcPr>
          <w:p>
            <w:pPr>
              <w:pStyle w:val="152"/>
              <w:spacing w:line="240" w:lineRule="auto"/>
              <w:ind w:firstLine="0" w:firstLineChars="0"/>
              <w:rPr>
                <w:kern w:val="0"/>
                <w:szCs w:val="21"/>
              </w:rPr>
            </w:pPr>
            <w:r>
              <w:rPr>
                <w:rFonts w:hint="eastAsia"/>
                <w:kern w:val="0"/>
                <w:szCs w:val="21"/>
              </w:rPr>
              <w:t>善于沟通，对学生的违纪行为及时制止</w:t>
            </w:r>
          </w:p>
        </w:tc>
        <w:tc>
          <w:tcPr>
            <w:tcW w:w="791" w:type="dxa"/>
            <w:vAlign w:val="center"/>
          </w:tcPr>
          <w:p>
            <w:pPr>
              <w:pStyle w:val="152"/>
              <w:spacing w:line="240" w:lineRule="auto"/>
              <w:ind w:firstLine="0" w:firstLineChars="0"/>
              <w:rPr>
                <w:kern w:val="0"/>
                <w:szCs w:val="21"/>
              </w:rPr>
            </w:pPr>
            <w:r>
              <w:rPr>
                <w:rFonts w:hint="eastAsia"/>
                <w:kern w:val="0"/>
                <w:szCs w:val="21"/>
              </w:rPr>
              <w:t>1分</w:t>
            </w:r>
          </w:p>
        </w:tc>
        <w:tc>
          <w:tcPr>
            <w:tcW w:w="3473" w:type="dxa"/>
            <w:vAlign w:val="center"/>
          </w:tcPr>
          <w:p>
            <w:pPr>
              <w:pStyle w:val="152"/>
              <w:spacing w:line="240" w:lineRule="auto"/>
              <w:ind w:firstLine="0" w:firstLineChars="0"/>
              <w:rPr>
                <w:kern w:val="0"/>
                <w:szCs w:val="21"/>
              </w:rPr>
            </w:pPr>
            <w:r>
              <w:rPr>
                <w:rFonts w:hint="eastAsia"/>
                <w:kern w:val="0"/>
                <w:szCs w:val="21"/>
              </w:rPr>
              <w:t>对学生的违纪视而不见不教育、不干预或者干预不到位1次扣</w:t>
            </w:r>
            <w:r>
              <w:rPr>
                <w:kern w:val="0"/>
                <w:szCs w:val="21"/>
              </w:rPr>
              <w:t>0.5</w:t>
            </w:r>
            <w:r>
              <w:rPr>
                <w:rFonts w:hint="eastAsia"/>
                <w:kern w:val="0"/>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tcPr>
          <w:p>
            <w:pPr>
              <w:pStyle w:val="152"/>
              <w:spacing w:line="240" w:lineRule="auto"/>
              <w:ind w:firstLine="0" w:firstLineChars="0"/>
              <w:rPr>
                <w:kern w:val="0"/>
                <w:szCs w:val="21"/>
              </w:rPr>
            </w:pPr>
            <w:r>
              <w:rPr>
                <w:rFonts w:hint="eastAsia"/>
                <w:kern w:val="0"/>
                <w:szCs w:val="21"/>
              </w:rPr>
              <w:t>根据学校规定的作息时间，每日定时对学生考勤</w:t>
            </w:r>
          </w:p>
        </w:tc>
        <w:tc>
          <w:tcPr>
            <w:tcW w:w="791" w:type="dxa"/>
            <w:vAlign w:val="center"/>
          </w:tcPr>
          <w:p>
            <w:pPr>
              <w:pStyle w:val="152"/>
              <w:spacing w:line="240" w:lineRule="auto"/>
              <w:ind w:firstLine="0" w:firstLineChars="0"/>
              <w:rPr>
                <w:kern w:val="0"/>
                <w:szCs w:val="21"/>
              </w:rPr>
            </w:pPr>
            <w:r>
              <w:rPr>
                <w:rFonts w:hint="eastAsia"/>
                <w:kern w:val="0"/>
                <w:szCs w:val="21"/>
              </w:rPr>
              <w:t>1分</w:t>
            </w:r>
          </w:p>
        </w:tc>
        <w:tc>
          <w:tcPr>
            <w:tcW w:w="3473" w:type="dxa"/>
            <w:vAlign w:val="center"/>
          </w:tcPr>
          <w:p>
            <w:pPr>
              <w:pStyle w:val="152"/>
              <w:spacing w:line="240" w:lineRule="auto"/>
              <w:ind w:firstLine="0" w:firstLineChars="0"/>
              <w:rPr>
                <w:kern w:val="0"/>
                <w:szCs w:val="21"/>
              </w:rPr>
            </w:pPr>
            <w:r>
              <w:rPr>
                <w:rFonts w:hint="eastAsia"/>
                <w:kern w:val="0"/>
                <w:szCs w:val="21"/>
              </w:rPr>
              <w:t>缺席1次扣</w:t>
            </w:r>
            <w:r>
              <w:rPr>
                <w:kern w:val="0"/>
                <w:szCs w:val="21"/>
              </w:rPr>
              <w:t>0.5</w:t>
            </w:r>
            <w:r>
              <w:rPr>
                <w:rFonts w:hint="eastAsia"/>
                <w:kern w:val="0"/>
                <w:szCs w:val="21"/>
              </w:rPr>
              <w:t>分。造成重大事故的直接取消劳动合同或者劳务协议。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tcPr>
          <w:p>
            <w:pPr>
              <w:pStyle w:val="152"/>
              <w:spacing w:line="240" w:lineRule="auto"/>
              <w:ind w:firstLine="0" w:firstLineChars="0"/>
              <w:rPr>
                <w:kern w:val="0"/>
                <w:szCs w:val="21"/>
              </w:rPr>
            </w:pPr>
            <w:r>
              <w:rPr>
                <w:rFonts w:hint="eastAsia"/>
                <w:kern w:val="0"/>
                <w:szCs w:val="21"/>
              </w:rPr>
              <w:t>与班主任、德育处分管干部和老师沟通</w:t>
            </w:r>
          </w:p>
        </w:tc>
        <w:tc>
          <w:tcPr>
            <w:tcW w:w="791" w:type="dxa"/>
            <w:vAlign w:val="center"/>
          </w:tcPr>
          <w:p>
            <w:pPr>
              <w:pStyle w:val="152"/>
              <w:spacing w:line="240" w:lineRule="auto"/>
              <w:ind w:firstLine="0" w:firstLineChars="0"/>
              <w:rPr>
                <w:kern w:val="0"/>
                <w:szCs w:val="21"/>
              </w:rPr>
            </w:pPr>
            <w:r>
              <w:rPr>
                <w:rFonts w:hint="eastAsia"/>
                <w:kern w:val="0"/>
                <w:szCs w:val="21"/>
              </w:rPr>
              <w:t>1分</w:t>
            </w:r>
          </w:p>
        </w:tc>
        <w:tc>
          <w:tcPr>
            <w:tcW w:w="3473" w:type="dxa"/>
            <w:vAlign w:val="center"/>
          </w:tcPr>
          <w:p>
            <w:pPr>
              <w:pStyle w:val="152"/>
              <w:spacing w:line="240" w:lineRule="auto"/>
              <w:ind w:firstLine="0" w:firstLineChars="0"/>
              <w:rPr>
                <w:kern w:val="0"/>
                <w:szCs w:val="21"/>
              </w:rPr>
            </w:pPr>
            <w:r>
              <w:rPr>
                <w:rFonts w:hint="eastAsia"/>
                <w:kern w:val="0"/>
                <w:szCs w:val="21"/>
              </w:rPr>
              <w:t>每周定时汇报工作，按时参加活动，缺席1次扣</w:t>
            </w:r>
            <w:r>
              <w:rPr>
                <w:kern w:val="0"/>
                <w:szCs w:val="21"/>
              </w:rPr>
              <w:t>0.5</w:t>
            </w:r>
            <w:r>
              <w:rPr>
                <w:rFonts w:hint="eastAsia"/>
                <w:kern w:val="0"/>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tcPr>
          <w:p>
            <w:pPr>
              <w:pStyle w:val="152"/>
              <w:spacing w:line="240" w:lineRule="auto"/>
              <w:ind w:firstLine="0" w:firstLineChars="0"/>
              <w:rPr>
                <w:kern w:val="0"/>
                <w:szCs w:val="21"/>
              </w:rPr>
            </w:pPr>
            <w:r>
              <w:rPr>
                <w:rFonts w:hint="eastAsia"/>
                <w:kern w:val="0"/>
                <w:szCs w:val="21"/>
              </w:rPr>
              <w:t>每日填写住校生晚自习记录</w:t>
            </w:r>
          </w:p>
        </w:tc>
        <w:tc>
          <w:tcPr>
            <w:tcW w:w="791" w:type="dxa"/>
            <w:vAlign w:val="center"/>
          </w:tcPr>
          <w:p>
            <w:pPr>
              <w:pStyle w:val="152"/>
              <w:spacing w:line="240" w:lineRule="auto"/>
              <w:ind w:firstLine="0" w:firstLineChars="0"/>
              <w:rPr>
                <w:kern w:val="0"/>
                <w:szCs w:val="21"/>
              </w:rPr>
            </w:pPr>
            <w:r>
              <w:rPr>
                <w:rFonts w:hint="eastAsia"/>
                <w:kern w:val="0"/>
                <w:szCs w:val="21"/>
              </w:rPr>
              <w:t>1分</w:t>
            </w:r>
          </w:p>
        </w:tc>
        <w:tc>
          <w:tcPr>
            <w:tcW w:w="3473" w:type="dxa"/>
            <w:vAlign w:val="center"/>
          </w:tcPr>
          <w:p>
            <w:pPr>
              <w:pStyle w:val="152"/>
              <w:spacing w:line="240" w:lineRule="auto"/>
              <w:ind w:firstLine="0" w:firstLineChars="0"/>
              <w:rPr>
                <w:kern w:val="0"/>
                <w:szCs w:val="21"/>
              </w:rPr>
            </w:pPr>
            <w:r>
              <w:rPr>
                <w:rFonts w:hint="eastAsia"/>
                <w:kern w:val="0"/>
                <w:szCs w:val="21"/>
              </w:rPr>
              <w:t>缺席1次扣</w:t>
            </w:r>
            <w:r>
              <w:rPr>
                <w:kern w:val="0"/>
                <w:szCs w:val="21"/>
              </w:rPr>
              <w:t>0.5</w:t>
            </w:r>
            <w:r>
              <w:rPr>
                <w:rFonts w:hint="eastAsia"/>
                <w:kern w:val="0"/>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tcPr>
          <w:p>
            <w:pPr>
              <w:pStyle w:val="152"/>
              <w:spacing w:line="240" w:lineRule="auto"/>
              <w:ind w:firstLine="0" w:firstLineChars="0"/>
              <w:rPr>
                <w:kern w:val="0"/>
                <w:szCs w:val="21"/>
              </w:rPr>
            </w:pPr>
            <w:r>
              <w:rPr>
                <w:rFonts w:hint="eastAsia"/>
                <w:kern w:val="0"/>
                <w:szCs w:val="21"/>
              </w:rPr>
              <w:t>按时上交总结</w:t>
            </w:r>
          </w:p>
        </w:tc>
        <w:tc>
          <w:tcPr>
            <w:tcW w:w="791" w:type="dxa"/>
            <w:vAlign w:val="center"/>
          </w:tcPr>
          <w:p>
            <w:pPr>
              <w:pStyle w:val="152"/>
              <w:spacing w:line="240" w:lineRule="auto"/>
              <w:ind w:firstLine="0" w:firstLineChars="0"/>
              <w:rPr>
                <w:kern w:val="0"/>
                <w:szCs w:val="21"/>
              </w:rPr>
            </w:pPr>
            <w:r>
              <w:rPr>
                <w:rFonts w:hint="eastAsia"/>
                <w:kern w:val="0"/>
                <w:szCs w:val="21"/>
              </w:rPr>
              <w:t>1分</w:t>
            </w:r>
          </w:p>
        </w:tc>
        <w:tc>
          <w:tcPr>
            <w:tcW w:w="3473" w:type="dxa"/>
            <w:vAlign w:val="center"/>
          </w:tcPr>
          <w:p>
            <w:pPr>
              <w:pStyle w:val="152"/>
              <w:spacing w:line="240" w:lineRule="auto"/>
              <w:ind w:firstLine="0" w:firstLineChars="0"/>
              <w:rPr>
                <w:kern w:val="0"/>
                <w:szCs w:val="21"/>
              </w:rPr>
            </w:pPr>
            <w:r>
              <w:rPr>
                <w:rFonts w:hint="eastAsia"/>
                <w:kern w:val="0"/>
                <w:szCs w:val="21"/>
              </w:rPr>
              <w:t>未及时上交总结1次扣</w:t>
            </w:r>
            <w:r>
              <w:rPr>
                <w:kern w:val="0"/>
                <w:szCs w:val="21"/>
              </w:rPr>
              <w:t>0.5</w:t>
            </w:r>
            <w:r>
              <w:rPr>
                <w:rFonts w:hint="eastAsia"/>
                <w:kern w:val="0"/>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restart"/>
          </w:tcPr>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r>
              <w:rPr>
                <w:rFonts w:hint="eastAsia"/>
                <w:kern w:val="0"/>
                <w:szCs w:val="21"/>
              </w:rPr>
              <w:t>司机兼事务（10分）</w:t>
            </w:r>
          </w:p>
        </w:tc>
        <w:tc>
          <w:tcPr>
            <w:tcW w:w="3456" w:type="dxa"/>
            <w:vAlign w:val="center"/>
          </w:tcPr>
          <w:p>
            <w:pPr>
              <w:pStyle w:val="152"/>
              <w:spacing w:line="240" w:lineRule="auto"/>
              <w:ind w:firstLine="0" w:firstLineChars="0"/>
              <w:rPr>
                <w:kern w:val="0"/>
                <w:szCs w:val="21"/>
              </w:rPr>
            </w:pPr>
            <w:r>
              <w:rPr>
                <w:rFonts w:hint="eastAsia"/>
                <w:kern w:val="0"/>
                <w:szCs w:val="21"/>
              </w:rPr>
              <w:t>车辆按时保养维护</w:t>
            </w:r>
          </w:p>
        </w:tc>
        <w:tc>
          <w:tcPr>
            <w:tcW w:w="791" w:type="dxa"/>
            <w:vAlign w:val="center"/>
          </w:tcPr>
          <w:p>
            <w:pPr>
              <w:pStyle w:val="152"/>
              <w:spacing w:line="240" w:lineRule="auto"/>
              <w:ind w:firstLine="0" w:firstLineChars="0"/>
              <w:rPr>
                <w:kern w:val="0"/>
                <w:szCs w:val="21"/>
              </w:rPr>
            </w:pPr>
            <w:r>
              <w:rPr>
                <w:rFonts w:hint="eastAsia"/>
                <w:kern w:val="0"/>
                <w:szCs w:val="21"/>
              </w:rPr>
              <w:t>2分</w:t>
            </w:r>
          </w:p>
        </w:tc>
        <w:tc>
          <w:tcPr>
            <w:tcW w:w="3473" w:type="dxa"/>
            <w:vAlign w:val="center"/>
          </w:tcPr>
          <w:p>
            <w:pPr>
              <w:pStyle w:val="152"/>
              <w:spacing w:line="240" w:lineRule="auto"/>
              <w:ind w:firstLine="0" w:firstLineChars="0"/>
              <w:rPr>
                <w:kern w:val="0"/>
                <w:szCs w:val="21"/>
              </w:rPr>
            </w:pPr>
            <w:r>
              <w:rPr>
                <w:rFonts w:hint="eastAsia"/>
                <w:kern w:val="0"/>
                <w:szCs w:val="21"/>
              </w:rPr>
              <w:t>及时处理车辆的维护、保养及年审。违者1次扣</w:t>
            </w:r>
            <w:r>
              <w:rPr>
                <w:kern w:val="0"/>
                <w:szCs w:val="21"/>
              </w:rPr>
              <w:t>0.5</w:t>
            </w:r>
            <w:r>
              <w:rPr>
                <w:rFonts w:hint="eastAsia"/>
                <w:kern w:val="0"/>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遵守交通规则，行车安全</w:t>
            </w:r>
          </w:p>
        </w:tc>
        <w:tc>
          <w:tcPr>
            <w:tcW w:w="791" w:type="dxa"/>
            <w:vAlign w:val="center"/>
          </w:tcPr>
          <w:p>
            <w:pPr>
              <w:pStyle w:val="152"/>
              <w:spacing w:line="240" w:lineRule="auto"/>
              <w:ind w:firstLine="0" w:firstLineChars="0"/>
              <w:rPr>
                <w:kern w:val="0"/>
                <w:szCs w:val="21"/>
              </w:rPr>
            </w:pPr>
            <w:r>
              <w:rPr>
                <w:rFonts w:hint="eastAsia"/>
                <w:kern w:val="0"/>
                <w:szCs w:val="21"/>
              </w:rPr>
              <w:t>3分</w:t>
            </w:r>
          </w:p>
        </w:tc>
        <w:tc>
          <w:tcPr>
            <w:tcW w:w="3473" w:type="dxa"/>
            <w:vAlign w:val="center"/>
          </w:tcPr>
          <w:p>
            <w:pPr>
              <w:pStyle w:val="152"/>
              <w:spacing w:line="240" w:lineRule="auto"/>
              <w:ind w:firstLine="0" w:firstLineChars="0"/>
              <w:rPr>
                <w:kern w:val="0"/>
                <w:szCs w:val="21"/>
              </w:rPr>
            </w:pPr>
            <w:r>
              <w:rPr>
                <w:rFonts w:hint="eastAsia"/>
                <w:kern w:val="0"/>
                <w:szCs w:val="21"/>
              </w:rPr>
              <w:t>因驾驶员个人违法或违纪等原因造成交通事故的，1次扣</w:t>
            </w:r>
            <w:r>
              <w:rPr>
                <w:kern w:val="0"/>
                <w:szCs w:val="21"/>
              </w:rPr>
              <w:t>1</w:t>
            </w:r>
            <w:r>
              <w:rPr>
                <w:rFonts w:hint="eastAsia"/>
                <w:kern w:val="0"/>
                <w:szCs w:val="21"/>
              </w:rPr>
              <w:t>分，造成重大交通事故由交管部门处理，公司需更换司机。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爱惜车辆，及时清洁</w:t>
            </w:r>
          </w:p>
        </w:tc>
        <w:tc>
          <w:tcPr>
            <w:tcW w:w="791" w:type="dxa"/>
            <w:vAlign w:val="center"/>
          </w:tcPr>
          <w:p>
            <w:pPr>
              <w:pStyle w:val="152"/>
              <w:spacing w:line="240" w:lineRule="auto"/>
              <w:ind w:firstLine="0" w:firstLineChars="0"/>
              <w:rPr>
                <w:kern w:val="0"/>
                <w:szCs w:val="21"/>
              </w:rPr>
            </w:pPr>
            <w:r>
              <w:rPr>
                <w:rFonts w:hint="eastAsia"/>
                <w:kern w:val="0"/>
                <w:szCs w:val="21"/>
              </w:rPr>
              <w:t>1分</w:t>
            </w:r>
          </w:p>
        </w:tc>
        <w:tc>
          <w:tcPr>
            <w:tcW w:w="3473" w:type="dxa"/>
            <w:vAlign w:val="center"/>
          </w:tcPr>
          <w:p>
            <w:pPr>
              <w:pStyle w:val="152"/>
              <w:spacing w:line="240" w:lineRule="auto"/>
              <w:ind w:firstLine="0" w:firstLineChars="0"/>
              <w:rPr>
                <w:kern w:val="0"/>
                <w:szCs w:val="21"/>
              </w:rPr>
            </w:pPr>
            <w:r>
              <w:rPr>
                <w:rFonts w:hint="eastAsia"/>
                <w:kern w:val="0"/>
                <w:szCs w:val="21"/>
              </w:rPr>
              <w:t>车辆清洁卫生不到位的，1次扣</w:t>
            </w:r>
            <w:r>
              <w:rPr>
                <w:kern w:val="0"/>
                <w:szCs w:val="21"/>
              </w:rPr>
              <w:t>0.5</w:t>
            </w:r>
            <w:r>
              <w:rPr>
                <w:rFonts w:hint="eastAsia"/>
                <w:kern w:val="0"/>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服务态度好，待人文明礼貌</w:t>
            </w:r>
          </w:p>
        </w:tc>
        <w:tc>
          <w:tcPr>
            <w:tcW w:w="791" w:type="dxa"/>
            <w:vAlign w:val="center"/>
          </w:tcPr>
          <w:p>
            <w:pPr>
              <w:pStyle w:val="152"/>
              <w:spacing w:line="240" w:lineRule="auto"/>
              <w:ind w:firstLine="0" w:firstLineChars="0"/>
              <w:rPr>
                <w:kern w:val="0"/>
                <w:szCs w:val="21"/>
              </w:rPr>
            </w:pPr>
            <w:r>
              <w:rPr>
                <w:rFonts w:hint="eastAsia"/>
                <w:kern w:val="0"/>
                <w:szCs w:val="21"/>
              </w:rPr>
              <w:t>2分</w:t>
            </w:r>
          </w:p>
        </w:tc>
        <w:tc>
          <w:tcPr>
            <w:tcW w:w="3473" w:type="dxa"/>
            <w:vAlign w:val="center"/>
          </w:tcPr>
          <w:p>
            <w:pPr>
              <w:pStyle w:val="152"/>
              <w:spacing w:line="240" w:lineRule="auto"/>
              <w:ind w:firstLine="0" w:firstLineChars="0"/>
              <w:rPr>
                <w:kern w:val="0"/>
                <w:szCs w:val="21"/>
              </w:rPr>
            </w:pPr>
            <w:r>
              <w:rPr>
                <w:rFonts w:hint="eastAsia"/>
                <w:kern w:val="0"/>
                <w:szCs w:val="21"/>
              </w:rPr>
              <w:t>听从统一调度，服从工作安排。违者1次扣</w:t>
            </w:r>
            <w:r>
              <w:rPr>
                <w:kern w:val="0"/>
                <w:szCs w:val="21"/>
              </w:rPr>
              <w:t>1</w:t>
            </w:r>
            <w:r>
              <w:rPr>
                <w:rFonts w:hint="eastAsia"/>
                <w:kern w:val="0"/>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协助学校的安全工作</w:t>
            </w:r>
          </w:p>
        </w:tc>
        <w:tc>
          <w:tcPr>
            <w:tcW w:w="791" w:type="dxa"/>
            <w:vAlign w:val="center"/>
          </w:tcPr>
          <w:p>
            <w:pPr>
              <w:pStyle w:val="152"/>
              <w:spacing w:line="240" w:lineRule="auto"/>
              <w:ind w:firstLine="0" w:firstLineChars="0"/>
              <w:rPr>
                <w:kern w:val="0"/>
                <w:szCs w:val="21"/>
              </w:rPr>
            </w:pPr>
            <w:r>
              <w:rPr>
                <w:rFonts w:hint="eastAsia"/>
                <w:kern w:val="0"/>
                <w:szCs w:val="21"/>
              </w:rPr>
              <w:t>2分</w:t>
            </w:r>
          </w:p>
        </w:tc>
        <w:tc>
          <w:tcPr>
            <w:tcW w:w="3473" w:type="dxa"/>
            <w:vAlign w:val="center"/>
          </w:tcPr>
          <w:p>
            <w:pPr>
              <w:pStyle w:val="152"/>
              <w:spacing w:line="240" w:lineRule="auto"/>
              <w:ind w:firstLine="0" w:firstLineChars="0"/>
              <w:rPr>
                <w:kern w:val="0"/>
                <w:szCs w:val="21"/>
              </w:rPr>
            </w:pPr>
            <w:r>
              <w:rPr>
                <w:rFonts w:hint="eastAsia"/>
                <w:kern w:val="0"/>
                <w:szCs w:val="21"/>
              </w:rPr>
              <w:t>安全工作不到位，一次扣0.5分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restart"/>
          </w:tcPr>
          <w:p>
            <w:pPr>
              <w:pStyle w:val="152"/>
              <w:spacing w:line="240" w:lineRule="auto"/>
              <w:ind w:firstLine="0" w:firstLineChars="0"/>
              <w:rPr>
                <w:kern w:val="0"/>
                <w:szCs w:val="21"/>
              </w:rPr>
            </w:pPr>
            <w:r>
              <w:rPr>
                <w:rFonts w:hint="eastAsia"/>
                <w:kern w:val="0"/>
                <w:szCs w:val="21"/>
              </w:rPr>
              <w:t>体育用品保管（</w:t>
            </w:r>
            <w:r>
              <w:rPr>
                <w:kern w:val="0"/>
                <w:szCs w:val="21"/>
              </w:rPr>
              <w:t>5</w:t>
            </w:r>
            <w:r>
              <w:rPr>
                <w:rFonts w:hint="eastAsia"/>
                <w:kern w:val="0"/>
                <w:szCs w:val="21"/>
              </w:rPr>
              <w:t>分）</w:t>
            </w:r>
          </w:p>
        </w:tc>
        <w:tc>
          <w:tcPr>
            <w:tcW w:w="3456" w:type="dxa"/>
            <w:vAlign w:val="center"/>
          </w:tcPr>
          <w:p>
            <w:pPr>
              <w:pStyle w:val="152"/>
              <w:spacing w:line="240" w:lineRule="auto"/>
              <w:ind w:firstLine="0" w:firstLineChars="0"/>
              <w:rPr>
                <w:kern w:val="0"/>
                <w:szCs w:val="21"/>
              </w:rPr>
            </w:pPr>
            <w:r>
              <w:rPr>
                <w:rFonts w:hint="eastAsia"/>
                <w:kern w:val="0"/>
                <w:szCs w:val="21"/>
              </w:rPr>
              <w:t>借还登记明确</w:t>
            </w:r>
          </w:p>
        </w:tc>
        <w:tc>
          <w:tcPr>
            <w:tcW w:w="791" w:type="dxa"/>
            <w:vAlign w:val="center"/>
          </w:tcPr>
          <w:p>
            <w:pPr>
              <w:pStyle w:val="152"/>
              <w:spacing w:line="240" w:lineRule="auto"/>
              <w:ind w:firstLine="0" w:firstLineChars="0"/>
              <w:rPr>
                <w:kern w:val="0"/>
                <w:szCs w:val="21"/>
              </w:rPr>
            </w:pPr>
            <w:r>
              <w:rPr>
                <w:rFonts w:hint="eastAsia"/>
                <w:kern w:val="0"/>
                <w:szCs w:val="21"/>
              </w:rPr>
              <w:t>2分</w:t>
            </w:r>
          </w:p>
        </w:tc>
        <w:tc>
          <w:tcPr>
            <w:tcW w:w="3473" w:type="dxa"/>
            <w:vAlign w:val="center"/>
          </w:tcPr>
          <w:p>
            <w:pPr>
              <w:pStyle w:val="152"/>
              <w:spacing w:line="240" w:lineRule="auto"/>
              <w:ind w:firstLine="0" w:firstLineChars="0"/>
              <w:rPr>
                <w:kern w:val="0"/>
                <w:szCs w:val="21"/>
              </w:rPr>
            </w:pPr>
            <w:r>
              <w:rPr>
                <w:rFonts w:hint="eastAsia"/>
                <w:kern w:val="0"/>
                <w:szCs w:val="21"/>
              </w:rPr>
              <w:t>未登记或有遗失，一次扣0.5分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器材保养，损坏率小</w:t>
            </w:r>
          </w:p>
        </w:tc>
        <w:tc>
          <w:tcPr>
            <w:tcW w:w="791" w:type="dxa"/>
            <w:vAlign w:val="center"/>
          </w:tcPr>
          <w:p>
            <w:pPr>
              <w:pStyle w:val="152"/>
              <w:spacing w:line="240" w:lineRule="auto"/>
              <w:ind w:firstLine="0" w:firstLineChars="0"/>
              <w:rPr>
                <w:kern w:val="0"/>
                <w:szCs w:val="21"/>
              </w:rPr>
            </w:pPr>
            <w:r>
              <w:rPr>
                <w:rFonts w:hint="eastAsia"/>
                <w:kern w:val="0"/>
                <w:szCs w:val="21"/>
              </w:rPr>
              <w:t>2分</w:t>
            </w:r>
          </w:p>
        </w:tc>
        <w:tc>
          <w:tcPr>
            <w:tcW w:w="3473" w:type="dxa"/>
            <w:vAlign w:val="center"/>
          </w:tcPr>
          <w:p>
            <w:pPr>
              <w:pStyle w:val="152"/>
              <w:spacing w:line="240" w:lineRule="auto"/>
              <w:ind w:firstLine="0" w:firstLineChars="0"/>
              <w:rPr>
                <w:kern w:val="0"/>
                <w:szCs w:val="21"/>
              </w:rPr>
            </w:pPr>
            <w:r>
              <w:rPr>
                <w:rFonts w:hint="eastAsia"/>
                <w:kern w:val="0"/>
                <w:szCs w:val="21"/>
              </w:rPr>
              <w:t>保养不及时，有损坏，一次扣0.5分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户外体育设施器材定时巡查</w:t>
            </w:r>
          </w:p>
        </w:tc>
        <w:tc>
          <w:tcPr>
            <w:tcW w:w="791" w:type="dxa"/>
            <w:vAlign w:val="center"/>
          </w:tcPr>
          <w:p>
            <w:pPr>
              <w:pStyle w:val="152"/>
              <w:spacing w:line="240" w:lineRule="auto"/>
              <w:ind w:firstLine="0" w:firstLineChars="0"/>
              <w:rPr>
                <w:kern w:val="0"/>
                <w:szCs w:val="21"/>
              </w:rPr>
            </w:pPr>
            <w:r>
              <w:rPr>
                <w:rFonts w:hint="eastAsia"/>
                <w:kern w:val="0"/>
                <w:szCs w:val="21"/>
              </w:rPr>
              <w:t>1分</w:t>
            </w:r>
          </w:p>
        </w:tc>
        <w:tc>
          <w:tcPr>
            <w:tcW w:w="3473" w:type="dxa"/>
            <w:vAlign w:val="center"/>
          </w:tcPr>
          <w:p>
            <w:pPr>
              <w:pStyle w:val="152"/>
              <w:spacing w:line="240" w:lineRule="auto"/>
              <w:ind w:firstLine="0" w:firstLineChars="0"/>
              <w:rPr>
                <w:kern w:val="0"/>
                <w:szCs w:val="21"/>
              </w:rPr>
            </w:pPr>
            <w:r>
              <w:rPr>
                <w:rFonts w:hint="eastAsia"/>
                <w:kern w:val="0"/>
                <w:szCs w:val="21"/>
              </w:rPr>
              <w:t>巡查不及时，发现安全隐患不上报，一次扣0.5分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restart"/>
          </w:tcPr>
          <w:p>
            <w:pPr>
              <w:pStyle w:val="152"/>
              <w:spacing w:line="240" w:lineRule="auto"/>
              <w:ind w:firstLine="0" w:firstLineChars="0"/>
              <w:rPr>
                <w:kern w:val="0"/>
                <w:szCs w:val="21"/>
              </w:rPr>
            </w:pPr>
            <w:r>
              <w:rPr>
                <w:rFonts w:hint="eastAsia"/>
                <w:kern w:val="0"/>
                <w:szCs w:val="21"/>
              </w:rPr>
              <w:t>其它（5分）</w:t>
            </w:r>
          </w:p>
        </w:tc>
        <w:tc>
          <w:tcPr>
            <w:tcW w:w="3456" w:type="dxa"/>
            <w:vAlign w:val="center"/>
          </w:tcPr>
          <w:p>
            <w:pPr>
              <w:pStyle w:val="152"/>
              <w:spacing w:line="240" w:lineRule="auto"/>
              <w:ind w:firstLine="0" w:firstLineChars="0"/>
              <w:rPr>
                <w:kern w:val="0"/>
                <w:szCs w:val="21"/>
              </w:rPr>
            </w:pPr>
            <w:r>
              <w:rPr>
                <w:rFonts w:hint="eastAsia"/>
                <w:kern w:val="0"/>
                <w:szCs w:val="21"/>
              </w:rPr>
              <w:t>临时工作</w:t>
            </w:r>
          </w:p>
        </w:tc>
        <w:tc>
          <w:tcPr>
            <w:tcW w:w="791" w:type="dxa"/>
            <w:vAlign w:val="center"/>
          </w:tcPr>
          <w:p>
            <w:pPr>
              <w:pStyle w:val="152"/>
              <w:spacing w:line="240" w:lineRule="auto"/>
              <w:ind w:firstLine="0" w:firstLineChars="0"/>
              <w:rPr>
                <w:kern w:val="0"/>
                <w:szCs w:val="21"/>
              </w:rPr>
            </w:pPr>
            <w:r>
              <w:rPr>
                <w:rFonts w:hint="eastAsia"/>
                <w:kern w:val="0"/>
                <w:szCs w:val="21"/>
              </w:rPr>
              <w:t>2分</w:t>
            </w:r>
          </w:p>
        </w:tc>
        <w:tc>
          <w:tcPr>
            <w:tcW w:w="3473" w:type="dxa"/>
            <w:vAlign w:val="center"/>
          </w:tcPr>
          <w:p>
            <w:pPr>
              <w:pStyle w:val="152"/>
              <w:spacing w:line="240" w:lineRule="auto"/>
              <w:ind w:firstLine="0" w:firstLineChars="0"/>
              <w:rPr>
                <w:kern w:val="0"/>
                <w:szCs w:val="21"/>
              </w:rPr>
            </w:pPr>
            <w:r>
              <w:rPr>
                <w:rFonts w:hint="eastAsia"/>
                <w:kern w:val="0"/>
                <w:szCs w:val="21"/>
              </w:rPr>
              <w:t>不服从学校安排，无端推诿、拖延，敷衍等，一次扣1分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服务团队的稳定性</w:t>
            </w:r>
          </w:p>
        </w:tc>
        <w:tc>
          <w:tcPr>
            <w:tcW w:w="791" w:type="dxa"/>
            <w:vAlign w:val="center"/>
          </w:tcPr>
          <w:p>
            <w:pPr>
              <w:pStyle w:val="152"/>
              <w:spacing w:line="240" w:lineRule="auto"/>
              <w:ind w:firstLine="0" w:firstLineChars="0"/>
              <w:rPr>
                <w:kern w:val="0"/>
                <w:szCs w:val="21"/>
              </w:rPr>
            </w:pPr>
            <w:r>
              <w:rPr>
                <w:rFonts w:hint="eastAsia"/>
                <w:kern w:val="0"/>
                <w:szCs w:val="21"/>
              </w:rPr>
              <w:t>3分</w:t>
            </w:r>
          </w:p>
        </w:tc>
        <w:tc>
          <w:tcPr>
            <w:tcW w:w="3473" w:type="dxa"/>
            <w:vAlign w:val="center"/>
          </w:tcPr>
          <w:p>
            <w:pPr>
              <w:pStyle w:val="152"/>
              <w:spacing w:line="240" w:lineRule="auto"/>
              <w:ind w:firstLine="0" w:firstLineChars="0"/>
              <w:rPr>
                <w:kern w:val="0"/>
                <w:szCs w:val="21"/>
              </w:rPr>
            </w:pPr>
            <w:r>
              <w:rPr>
                <w:rFonts w:hint="eastAsia"/>
                <w:kern w:val="0"/>
                <w:szCs w:val="21"/>
              </w:rPr>
              <w:t>服务期每月调离或更换服务人员不得超过</w:t>
            </w:r>
            <w:r>
              <w:rPr>
                <w:kern w:val="0"/>
                <w:szCs w:val="21"/>
              </w:rPr>
              <w:t>20</w:t>
            </w:r>
            <w:r>
              <w:rPr>
                <w:rFonts w:hint="eastAsia"/>
                <w:kern w:val="0"/>
                <w:szCs w:val="21"/>
              </w:rPr>
              <w:t>%，超出</w:t>
            </w:r>
            <w:r>
              <w:rPr>
                <w:kern w:val="0"/>
                <w:szCs w:val="21"/>
              </w:rPr>
              <w:t>5%</w:t>
            </w:r>
            <w:r>
              <w:rPr>
                <w:rFonts w:hint="eastAsia"/>
                <w:kern w:val="0"/>
                <w:szCs w:val="21"/>
              </w:rPr>
              <w:t>次扣1分</w:t>
            </w:r>
          </w:p>
        </w:tc>
      </w:tr>
    </w:tbl>
    <w:p>
      <w:pPr>
        <w:rPr>
          <w:szCs w:val="21"/>
        </w:rPr>
      </w:pPr>
    </w:p>
    <w:p>
      <w:pPr>
        <w:pStyle w:val="152"/>
        <w:spacing w:line="240" w:lineRule="auto"/>
        <w:ind w:firstLine="0" w:firstLineChars="0"/>
        <w:rPr>
          <w:szCs w:val="21"/>
        </w:rPr>
      </w:pPr>
      <w:r>
        <w:rPr>
          <w:rFonts w:hint="eastAsia"/>
          <w:szCs w:val="21"/>
        </w:rPr>
        <w:t>4.成飞中学</w:t>
      </w:r>
    </w:p>
    <w:p>
      <w:pPr>
        <w:pStyle w:val="152"/>
        <w:spacing w:line="240" w:lineRule="auto"/>
        <w:ind w:firstLine="0" w:firstLineChars="0"/>
        <w:rPr>
          <w:szCs w:val="21"/>
        </w:rPr>
      </w:pPr>
    </w:p>
    <w:tbl>
      <w:tblPr>
        <w:tblStyle w:val="43"/>
        <w:tblW w:w="83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5"/>
        <w:gridCol w:w="3456"/>
        <w:gridCol w:w="791"/>
        <w:gridCol w:w="3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Align w:val="center"/>
          </w:tcPr>
          <w:p>
            <w:pPr>
              <w:pStyle w:val="152"/>
              <w:spacing w:line="240" w:lineRule="auto"/>
              <w:ind w:firstLine="0" w:firstLineChars="0"/>
              <w:rPr>
                <w:kern w:val="0"/>
                <w:szCs w:val="21"/>
              </w:rPr>
            </w:pPr>
            <w:r>
              <w:rPr>
                <w:rFonts w:hint="eastAsia"/>
                <w:kern w:val="0"/>
                <w:szCs w:val="21"/>
              </w:rPr>
              <w:t>项目</w:t>
            </w:r>
          </w:p>
        </w:tc>
        <w:tc>
          <w:tcPr>
            <w:tcW w:w="3456" w:type="dxa"/>
            <w:vAlign w:val="center"/>
          </w:tcPr>
          <w:p>
            <w:pPr>
              <w:pStyle w:val="152"/>
              <w:spacing w:line="240" w:lineRule="auto"/>
              <w:ind w:firstLine="0" w:firstLineChars="0"/>
              <w:rPr>
                <w:kern w:val="0"/>
                <w:szCs w:val="21"/>
              </w:rPr>
            </w:pPr>
            <w:r>
              <w:rPr>
                <w:rFonts w:hint="eastAsia"/>
                <w:kern w:val="0"/>
                <w:szCs w:val="21"/>
              </w:rPr>
              <w:t>服务质量标准</w:t>
            </w:r>
          </w:p>
        </w:tc>
        <w:tc>
          <w:tcPr>
            <w:tcW w:w="791" w:type="dxa"/>
            <w:vAlign w:val="center"/>
          </w:tcPr>
          <w:p>
            <w:pPr>
              <w:pStyle w:val="152"/>
              <w:spacing w:line="240" w:lineRule="auto"/>
              <w:ind w:firstLine="0" w:firstLineChars="0"/>
              <w:rPr>
                <w:kern w:val="0"/>
                <w:szCs w:val="21"/>
              </w:rPr>
            </w:pPr>
            <w:r>
              <w:rPr>
                <w:rFonts w:hint="eastAsia"/>
                <w:kern w:val="0"/>
                <w:szCs w:val="21"/>
              </w:rPr>
              <w:t>单项</w:t>
            </w:r>
          </w:p>
          <w:p>
            <w:pPr>
              <w:pStyle w:val="152"/>
              <w:spacing w:line="240" w:lineRule="auto"/>
              <w:ind w:firstLine="0" w:firstLineChars="0"/>
              <w:rPr>
                <w:kern w:val="0"/>
                <w:szCs w:val="21"/>
              </w:rPr>
            </w:pPr>
            <w:r>
              <w:rPr>
                <w:rFonts w:hint="eastAsia"/>
                <w:kern w:val="0"/>
                <w:szCs w:val="21"/>
              </w:rPr>
              <w:t>分值</w:t>
            </w:r>
          </w:p>
        </w:tc>
        <w:tc>
          <w:tcPr>
            <w:tcW w:w="3473" w:type="dxa"/>
            <w:vAlign w:val="center"/>
          </w:tcPr>
          <w:p>
            <w:pPr>
              <w:pStyle w:val="152"/>
              <w:spacing w:line="240" w:lineRule="auto"/>
              <w:ind w:firstLine="0" w:firstLineChars="0"/>
              <w:rPr>
                <w:kern w:val="0"/>
                <w:szCs w:val="21"/>
              </w:rPr>
            </w:pPr>
            <w:r>
              <w:rPr>
                <w:rFonts w:hint="eastAsia"/>
                <w:kern w:val="0"/>
                <w:szCs w:val="21"/>
              </w:rPr>
              <w:t>监督考评扣分标准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restart"/>
            <w:vAlign w:val="center"/>
          </w:tcPr>
          <w:p>
            <w:pPr>
              <w:pStyle w:val="152"/>
              <w:spacing w:line="240" w:lineRule="auto"/>
              <w:ind w:firstLine="0" w:firstLineChars="0"/>
              <w:rPr>
                <w:kern w:val="0"/>
                <w:szCs w:val="21"/>
              </w:rPr>
            </w:pPr>
            <w:r>
              <w:rPr>
                <w:rFonts w:hint="eastAsia"/>
                <w:kern w:val="0"/>
                <w:szCs w:val="21"/>
              </w:rPr>
              <w:t>主管</w:t>
            </w:r>
          </w:p>
          <w:p>
            <w:pPr>
              <w:pStyle w:val="152"/>
              <w:spacing w:line="240" w:lineRule="auto"/>
              <w:ind w:firstLine="0" w:firstLineChars="0"/>
              <w:rPr>
                <w:kern w:val="0"/>
                <w:szCs w:val="21"/>
              </w:rPr>
            </w:pPr>
            <w:r>
              <w:rPr>
                <w:rFonts w:hint="eastAsia"/>
                <w:kern w:val="0"/>
                <w:szCs w:val="21"/>
              </w:rPr>
              <w:t>(4分）</w:t>
            </w:r>
          </w:p>
        </w:tc>
        <w:tc>
          <w:tcPr>
            <w:tcW w:w="3456" w:type="dxa"/>
            <w:vAlign w:val="center"/>
          </w:tcPr>
          <w:p>
            <w:pPr>
              <w:pStyle w:val="152"/>
              <w:spacing w:line="240" w:lineRule="auto"/>
              <w:ind w:firstLine="0" w:firstLineChars="0"/>
              <w:rPr>
                <w:kern w:val="0"/>
                <w:szCs w:val="21"/>
              </w:rPr>
            </w:pPr>
            <w:r>
              <w:rPr>
                <w:rFonts w:hint="eastAsia"/>
                <w:kern w:val="0"/>
                <w:szCs w:val="21"/>
              </w:rPr>
              <w:t>工作日在岗情况</w:t>
            </w:r>
          </w:p>
        </w:tc>
        <w:tc>
          <w:tcPr>
            <w:tcW w:w="791" w:type="dxa"/>
            <w:vAlign w:val="center"/>
          </w:tcPr>
          <w:p>
            <w:pPr>
              <w:pStyle w:val="152"/>
              <w:spacing w:line="240" w:lineRule="auto"/>
              <w:ind w:firstLine="0" w:firstLineChars="0"/>
              <w:rPr>
                <w:kern w:val="0"/>
                <w:szCs w:val="21"/>
              </w:rPr>
            </w:pPr>
            <w:r>
              <w:rPr>
                <w:rFonts w:hint="eastAsia"/>
                <w:kern w:val="0"/>
                <w:szCs w:val="21"/>
              </w:rPr>
              <w:t>2分</w:t>
            </w:r>
          </w:p>
        </w:tc>
        <w:tc>
          <w:tcPr>
            <w:tcW w:w="3473" w:type="dxa"/>
            <w:vAlign w:val="center"/>
          </w:tcPr>
          <w:p>
            <w:pPr>
              <w:pStyle w:val="152"/>
              <w:spacing w:line="240" w:lineRule="auto"/>
              <w:ind w:firstLine="0" w:firstLineChars="0"/>
              <w:rPr>
                <w:kern w:val="0"/>
                <w:szCs w:val="21"/>
              </w:rPr>
            </w:pPr>
            <w:r>
              <w:rPr>
                <w:rFonts w:hint="eastAsia"/>
                <w:kern w:val="0"/>
                <w:szCs w:val="21"/>
              </w:rPr>
              <w:t>缺岗一次扣2分,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vAlign w:val="center"/>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对位点员工的日常工作督促和检查情况</w:t>
            </w:r>
          </w:p>
        </w:tc>
        <w:tc>
          <w:tcPr>
            <w:tcW w:w="791" w:type="dxa"/>
            <w:vAlign w:val="center"/>
          </w:tcPr>
          <w:p>
            <w:pPr>
              <w:pStyle w:val="152"/>
              <w:spacing w:line="240" w:lineRule="auto"/>
              <w:ind w:firstLine="0" w:firstLineChars="0"/>
              <w:rPr>
                <w:kern w:val="0"/>
                <w:szCs w:val="21"/>
              </w:rPr>
            </w:pPr>
            <w:r>
              <w:rPr>
                <w:rFonts w:hint="eastAsia"/>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 xml:space="preserve">对员工疏于管理\检查不到位,一次扣 </w:t>
            </w:r>
            <w:r>
              <w:rPr>
                <w:kern w:val="0"/>
                <w:szCs w:val="21"/>
              </w:rPr>
              <w:t xml:space="preserve"> </w:t>
            </w:r>
            <w:r>
              <w:rPr>
                <w:rFonts w:hint="eastAsia"/>
                <w:kern w:val="0"/>
                <w:szCs w:val="21"/>
              </w:rPr>
              <w:t>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vAlign w:val="center"/>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对员工的培训</w:t>
            </w:r>
          </w:p>
        </w:tc>
        <w:tc>
          <w:tcPr>
            <w:tcW w:w="791" w:type="dxa"/>
            <w:vAlign w:val="center"/>
          </w:tcPr>
          <w:p>
            <w:pPr>
              <w:pStyle w:val="152"/>
              <w:spacing w:line="240" w:lineRule="auto"/>
              <w:ind w:firstLine="0" w:firstLineChars="0"/>
              <w:rPr>
                <w:kern w:val="0"/>
                <w:szCs w:val="21"/>
              </w:rPr>
            </w:pPr>
            <w:r>
              <w:rPr>
                <w:rFonts w:hint="eastAsia"/>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对员工的相关技能和礼仪培训不到位,一次扣分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restart"/>
            <w:vAlign w:val="center"/>
          </w:tcPr>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r>
              <w:rPr>
                <w:rFonts w:hint="eastAsia"/>
                <w:kern w:val="0"/>
                <w:szCs w:val="21"/>
              </w:rPr>
              <w:t>安全保卫管理</w:t>
            </w:r>
          </w:p>
          <w:p>
            <w:pPr>
              <w:pStyle w:val="152"/>
              <w:spacing w:line="240" w:lineRule="auto"/>
              <w:ind w:firstLine="0" w:firstLineChars="0"/>
              <w:rPr>
                <w:kern w:val="0"/>
                <w:szCs w:val="21"/>
              </w:rPr>
            </w:pPr>
            <w:r>
              <w:rPr>
                <w:rFonts w:hint="eastAsia"/>
                <w:kern w:val="0"/>
                <w:szCs w:val="21"/>
              </w:rPr>
              <w:t>42</w:t>
            </w:r>
          </w:p>
        </w:tc>
        <w:tc>
          <w:tcPr>
            <w:tcW w:w="3456" w:type="dxa"/>
            <w:vAlign w:val="center"/>
          </w:tcPr>
          <w:p>
            <w:pPr>
              <w:pStyle w:val="152"/>
              <w:spacing w:line="240" w:lineRule="auto"/>
              <w:ind w:firstLine="0" w:firstLineChars="0"/>
              <w:rPr>
                <w:kern w:val="0"/>
                <w:szCs w:val="21"/>
              </w:rPr>
            </w:pPr>
            <w:r>
              <w:rPr>
                <w:rFonts w:hint="eastAsia"/>
                <w:kern w:val="0"/>
                <w:szCs w:val="21"/>
              </w:rPr>
              <w:t>所聘用的秩序维护人员必须训练有素，有秩序维护队全管理制度和职责，安全防患措施，确秩序维护全稳定。</w:t>
            </w:r>
          </w:p>
        </w:tc>
        <w:tc>
          <w:tcPr>
            <w:tcW w:w="791" w:type="dxa"/>
            <w:vAlign w:val="center"/>
          </w:tcPr>
          <w:p>
            <w:pPr>
              <w:pStyle w:val="152"/>
              <w:spacing w:line="240" w:lineRule="auto"/>
              <w:ind w:firstLine="0" w:firstLineChars="0"/>
              <w:rPr>
                <w:kern w:val="0"/>
                <w:szCs w:val="21"/>
              </w:rPr>
            </w:pPr>
            <w:r>
              <w:rPr>
                <w:rFonts w:hint="eastAsia"/>
                <w:kern w:val="0"/>
                <w:szCs w:val="21"/>
              </w:rPr>
              <w:t>7</w:t>
            </w:r>
          </w:p>
        </w:tc>
        <w:tc>
          <w:tcPr>
            <w:tcW w:w="3473" w:type="dxa"/>
            <w:vAlign w:val="center"/>
          </w:tcPr>
          <w:p>
            <w:pPr>
              <w:pStyle w:val="152"/>
              <w:spacing w:line="240" w:lineRule="auto"/>
              <w:ind w:firstLine="0" w:firstLineChars="0"/>
              <w:rPr>
                <w:kern w:val="0"/>
                <w:szCs w:val="21"/>
              </w:rPr>
            </w:pPr>
            <w:r>
              <w:rPr>
                <w:rFonts w:hint="eastAsia"/>
                <w:kern w:val="0"/>
                <w:szCs w:val="21"/>
              </w:rPr>
              <w:t>管理制度、职责、措施不健全每项扣 分，发生安全事故一次扣2分，发生重大安全事故扣5分。直至该项分值扣完为止。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秩序维护队员必须熟悉物业环境，上班时按规定着装和佩戴装备，文明值勤，不与职工、到访人员发生矛盾和冲突。</w:t>
            </w:r>
          </w:p>
        </w:tc>
        <w:tc>
          <w:tcPr>
            <w:tcW w:w="791" w:type="dxa"/>
            <w:vAlign w:val="center"/>
          </w:tcPr>
          <w:p>
            <w:pPr>
              <w:pStyle w:val="152"/>
              <w:spacing w:line="240" w:lineRule="auto"/>
              <w:ind w:firstLine="0" w:firstLineChars="0"/>
              <w:rPr>
                <w:kern w:val="0"/>
                <w:szCs w:val="21"/>
              </w:rPr>
            </w:pPr>
            <w:r>
              <w:rPr>
                <w:rFonts w:hint="eastAsia"/>
                <w:kern w:val="0"/>
                <w:szCs w:val="21"/>
              </w:rPr>
              <w:t>4</w:t>
            </w:r>
          </w:p>
        </w:tc>
        <w:tc>
          <w:tcPr>
            <w:tcW w:w="3473" w:type="dxa"/>
            <w:vAlign w:val="center"/>
          </w:tcPr>
          <w:p>
            <w:pPr>
              <w:pStyle w:val="152"/>
              <w:spacing w:line="240" w:lineRule="auto"/>
              <w:ind w:firstLine="0" w:firstLineChars="0"/>
              <w:rPr>
                <w:kern w:val="0"/>
                <w:szCs w:val="21"/>
              </w:rPr>
            </w:pPr>
            <w:r>
              <w:rPr>
                <w:rFonts w:hint="eastAsia"/>
                <w:kern w:val="0"/>
                <w:szCs w:val="21"/>
              </w:rPr>
              <w:t>发现一名队员着装不整齐扣1分，不礼貌扣1分，无理与他人发生冲突一次扣2分，发生两次建议辞退。直至该项分值扣完为止。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秩序维护必须实行24小时值班巡逻，认真履行职责，机动灵活，加强重点区域和人少到的部位巡逻。</w:t>
            </w:r>
          </w:p>
        </w:tc>
        <w:tc>
          <w:tcPr>
            <w:tcW w:w="791" w:type="dxa"/>
            <w:vAlign w:val="center"/>
          </w:tcPr>
          <w:p>
            <w:pPr>
              <w:pStyle w:val="152"/>
              <w:spacing w:line="240" w:lineRule="auto"/>
              <w:ind w:firstLine="0" w:firstLineChars="0"/>
              <w:rPr>
                <w:kern w:val="0"/>
                <w:szCs w:val="21"/>
              </w:rPr>
            </w:pPr>
            <w:r>
              <w:rPr>
                <w:rFonts w:hint="eastAsia"/>
                <w:kern w:val="0"/>
                <w:szCs w:val="21"/>
              </w:rPr>
              <w:t>4</w:t>
            </w:r>
          </w:p>
        </w:tc>
        <w:tc>
          <w:tcPr>
            <w:tcW w:w="3473" w:type="dxa"/>
            <w:vAlign w:val="center"/>
          </w:tcPr>
          <w:p>
            <w:pPr>
              <w:pStyle w:val="152"/>
              <w:spacing w:line="240" w:lineRule="auto"/>
              <w:ind w:firstLine="0" w:firstLineChars="0"/>
              <w:rPr>
                <w:kern w:val="0"/>
                <w:szCs w:val="21"/>
              </w:rPr>
            </w:pPr>
            <w:r>
              <w:rPr>
                <w:rFonts w:hint="eastAsia"/>
                <w:kern w:val="0"/>
                <w:szCs w:val="21"/>
              </w:rPr>
              <w:t>查值班巡逻日志，当值发生事件无记录扣1分，记录不规范扣1分，如反映巡逻不到位一次扣1分，巡逻乘座电梯一次扣1分。直至该项分值扣完为止。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做好重大活动会议的安全保卫工作，圆满完成交办的任务。</w:t>
            </w:r>
          </w:p>
        </w:tc>
        <w:tc>
          <w:tcPr>
            <w:tcW w:w="791" w:type="dxa"/>
            <w:vAlign w:val="center"/>
          </w:tcPr>
          <w:p>
            <w:pPr>
              <w:pStyle w:val="152"/>
              <w:spacing w:line="240" w:lineRule="auto"/>
              <w:ind w:firstLine="0" w:firstLineChars="0"/>
              <w:rPr>
                <w:kern w:val="0"/>
                <w:szCs w:val="21"/>
              </w:rPr>
            </w:pPr>
            <w:r>
              <w:rPr>
                <w:rFonts w:hint="eastAsia"/>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因安全保卫工作失误，造成不良影响扣2分。直至该项分值扣完为止。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p>
          <w:p>
            <w:pPr>
              <w:pStyle w:val="152"/>
              <w:spacing w:line="240" w:lineRule="auto"/>
              <w:ind w:firstLine="0" w:firstLineChars="0"/>
              <w:rPr>
                <w:kern w:val="0"/>
                <w:szCs w:val="21"/>
              </w:rPr>
            </w:pPr>
            <w:r>
              <w:rPr>
                <w:rFonts w:hint="eastAsia"/>
                <w:kern w:val="0"/>
                <w:szCs w:val="21"/>
              </w:rPr>
              <w:t>严格执行登记制度，凡进入机关办公楼的外来人员应询问来访目的，查验有关证件，并进行登记。</w:t>
            </w:r>
          </w:p>
        </w:tc>
        <w:tc>
          <w:tcPr>
            <w:tcW w:w="791" w:type="dxa"/>
            <w:vAlign w:val="center"/>
          </w:tcPr>
          <w:p>
            <w:pPr>
              <w:pStyle w:val="152"/>
              <w:spacing w:line="240" w:lineRule="auto"/>
              <w:ind w:firstLine="0" w:firstLineChars="0"/>
              <w:rPr>
                <w:kern w:val="0"/>
                <w:szCs w:val="21"/>
              </w:rPr>
            </w:pPr>
          </w:p>
          <w:p>
            <w:pPr>
              <w:pStyle w:val="152"/>
              <w:spacing w:line="240" w:lineRule="auto"/>
              <w:ind w:firstLine="0" w:firstLineChars="0"/>
              <w:rPr>
                <w:kern w:val="0"/>
                <w:szCs w:val="21"/>
              </w:rPr>
            </w:pPr>
            <w:r>
              <w:rPr>
                <w:rFonts w:hint="eastAsia"/>
                <w:kern w:val="0"/>
                <w:szCs w:val="21"/>
              </w:rPr>
              <w:t>1</w:t>
            </w:r>
          </w:p>
        </w:tc>
        <w:tc>
          <w:tcPr>
            <w:tcW w:w="3473" w:type="dxa"/>
            <w:vAlign w:val="center"/>
          </w:tcPr>
          <w:p>
            <w:pPr>
              <w:pStyle w:val="152"/>
              <w:spacing w:line="240" w:lineRule="auto"/>
              <w:ind w:firstLine="0" w:firstLineChars="0"/>
              <w:rPr>
                <w:kern w:val="0"/>
                <w:szCs w:val="21"/>
              </w:rPr>
            </w:pPr>
          </w:p>
          <w:p>
            <w:pPr>
              <w:pStyle w:val="152"/>
              <w:spacing w:line="240" w:lineRule="auto"/>
              <w:ind w:firstLine="0" w:firstLineChars="0"/>
              <w:rPr>
                <w:kern w:val="0"/>
                <w:szCs w:val="21"/>
              </w:rPr>
            </w:pPr>
            <w:r>
              <w:rPr>
                <w:rFonts w:hint="eastAsia"/>
                <w:kern w:val="0"/>
                <w:szCs w:val="21"/>
              </w:rPr>
              <w:t>未登记每人扣1分，扣完为止。直至该项分值扣完为止。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定期组织安全教育；积时发现各类安全隐患，确保不发生物品被盗和各类案件及安全事故。</w:t>
            </w:r>
          </w:p>
        </w:tc>
        <w:tc>
          <w:tcPr>
            <w:tcW w:w="791" w:type="dxa"/>
            <w:vAlign w:val="center"/>
          </w:tcPr>
          <w:p>
            <w:pPr>
              <w:pStyle w:val="152"/>
              <w:spacing w:line="240" w:lineRule="auto"/>
              <w:ind w:firstLine="0" w:firstLineChars="0"/>
              <w:rPr>
                <w:kern w:val="0"/>
                <w:szCs w:val="21"/>
              </w:rPr>
            </w:pPr>
            <w:r>
              <w:rPr>
                <w:rFonts w:hint="eastAsia"/>
                <w:kern w:val="0"/>
                <w:szCs w:val="21"/>
              </w:rPr>
              <w:t>3</w:t>
            </w:r>
          </w:p>
        </w:tc>
        <w:tc>
          <w:tcPr>
            <w:tcW w:w="3473" w:type="dxa"/>
            <w:vAlign w:val="center"/>
          </w:tcPr>
          <w:p>
            <w:pPr>
              <w:pStyle w:val="152"/>
              <w:spacing w:line="240" w:lineRule="auto"/>
              <w:ind w:firstLine="0" w:firstLineChars="0"/>
              <w:rPr>
                <w:kern w:val="0"/>
                <w:szCs w:val="21"/>
              </w:rPr>
            </w:pPr>
            <w:r>
              <w:rPr>
                <w:rFonts w:hint="eastAsia"/>
                <w:kern w:val="0"/>
                <w:szCs w:val="21"/>
              </w:rPr>
              <w:t>无安全教育（查记录）扣1分，发生手机钱包被盗事件一次扣分。发生财产被盗案或秩序维护员内部自盗一次扣2分，并追究管理管理人员的责任。直至该项分值扣完为止。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协助搬运家具时，必须轻移轻放，无损坏家具和地板。</w:t>
            </w:r>
          </w:p>
        </w:tc>
        <w:tc>
          <w:tcPr>
            <w:tcW w:w="791" w:type="dxa"/>
            <w:vAlign w:val="center"/>
          </w:tcPr>
          <w:p>
            <w:pPr>
              <w:pStyle w:val="152"/>
              <w:spacing w:line="240" w:lineRule="auto"/>
              <w:ind w:firstLine="0" w:firstLineChars="0"/>
              <w:rPr>
                <w:kern w:val="0"/>
                <w:szCs w:val="21"/>
              </w:rPr>
            </w:pPr>
            <w:r>
              <w:rPr>
                <w:rFonts w:hint="eastAsia"/>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造成家具或地板损坏扣2分，并承担10%维修费用。直至该项分值扣完为止。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做好停车场的管理，正确疏导机动车辆进出、泊车，提醒车主关好车辆门窗，上锁，防止车辆碰撞、损坏等问题发生。</w:t>
            </w:r>
          </w:p>
        </w:tc>
        <w:tc>
          <w:tcPr>
            <w:tcW w:w="791" w:type="dxa"/>
            <w:vAlign w:val="center"/>
          </w:tcPr>
          <w:p>
            <w:pPr>
              <w:pStyle w:val="152"/>
              <w:spacing w:line="240" w:lineRule="auto"/>
              <w:ind w:firstLine="0" w:firstLineChars="0"/>
              <w:rPr>
                <w:kern w:val="0"/>
                <w:szCs w:val="21"/>
              </w:rPr>
            </w:pPr>
            <w:r>
              <w:rPr>
                <w:rFonts w:hint="eastAsia"/>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发现乱停放车辆，一辆扣1分；发生车辆碰撞，碰撞、损坏一次扣1分，并由管理公司承担相应责任。直至该项分值扣完为止。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引导非机动车辆集中停放，停放整齐，场地洁净，落实管理制度，确秩序维护全，严防损坏与丢失。</w:t>
            </w:r>
          </w:p>
        </w:tc>
        <w:tc>
          <w:tcPr>
            <w:tcW w:w="791" w:type="dxa"/>
            <w:vAlign w:val="center"/>
          </w:tcPr>
          <w:p>
            <w:pPr>
              <w:pStyle w:val="152"/>
              <w:spacing w:line="240" w:lineRule="auto"/>
              <w:ind w:firstLine="0" w:firstLineChars="0"/>
              <w:rPr>
                <w:kern w:val="0"/>
                <w:szCs w:val="21"/>
              </w:rPr>
            </w:pPr>
            <w:r>
              <w:rPr>
                <w:rFonts w:hint="eastAsia"/>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一项不符合扣1分；发生损坏或丢失一次扣1分，并由管理公司承担相应责任。直至该项分值扣完为止。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门卫岗位，严格执勤，维护进出车辆秩序，不与车主发生冲突。</w:t>
            </w:r>
          </w:p>
        </w:tc>
        <w:tc>
          <w:tcPr>
            <w:tcW w:w="791" w:type="dxa"/>
            <w:vAlign w:val="center"/>
          </w:tcPr>
          <w:p>
            <w:pPr>
              <w:pStyle w:val="152"/>
              <w:spacing w:line="240" w:lineRule="auto"/>
              <w:ind w:firstLine="0" w:firstLineChars="0"/>
              <w:rPr>
                <w:kern w:val="0"/>
                <w:szCs w:val="21"/>
              </w:rPr>
            </w:pPr>
            <w:r>
              <w:rPr>
                <w:rFonts w:hint="eastAsia"/>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发生一起扣1分，直至该项分值扣完为止。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能熟练掌握消防设施设备的使用方法。</w:t>
            </w:r>
          </w:p>
        </w:tc>
        <w:tc>
          <w:tcPr>
            <w:tcW w:w="791" w:type="dxa"/>
            <w:vAlign w:val="center"/>
          </w:tcPr>
          <w:p>
            <w:pPr>
              <w:pStyle w:val="152"/>
              <w:spacing w:line="240" w:lineRule="auto"/>
              <w:ind w:firstLine="0" w:firstLineChars="0"/>
              <w:rPr>
                <w:kern w:val="0"/>
                <w:szCs w:val="21"/>
              </w:rPr>
            </w:pPr>
            <w:r>
              <w:rPr>
                <w:rFonts w:hint="eastAsia"/>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不会使用操作扣2分，不熟练扣分，直至该项分值扣完为止。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能正确果断处理各种火险、火灾以及救护程序。</w:t>
            </w:r>
          </w:p>
        </w:tc>
        <w:tc>
          <w:tcPr>
            <w:tcW w:w="791" w:type="dxa"/>
            <w:vAlign w:val="center"/>
          </w:tcPr>
          <w:p>
            <w:pPr>
              <w:pStyle w:val="152"/>
              <w:spacing w:line="240" w:lineRule="auto"/>
              <w:ind w:firstLine="0" w:firstLineChars="0"/>
              <w:rPr>
                <w:kern w:val="0"/>
                <w:szCs w:val="21"/>
              </w:rPr>
            </w:pPr>
            <w:r>
              <w:rPr>
                <w:rFonts w:hint="eastAsia"/>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不会扣2分，直至该项分值扣完为止。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严格消防管理制度，认真巡查火险隐患，确保无火灾事故发生。</w:t>
            </w:r>
          </w:p>
        </w:tc>
        <w:tc>
          <w:tcPr>
            <w:tcW w:w="791" w:type="dxa"/>
            <w:vAlign w:val="center"/>
          </w:tcPr>
          <w:p>
            <w:pPr>
              <w:pStyle w:val="152"/>
              <w:spacing w:line="240" w:lineRule="auto"/>
              <w:ind w:firstLine="0" w:firstLineChars="0"/>
              <w:rPr>
                <w:kern w:val="0"/>
                <w:szCs w:val="21"/>
              </w:rPr>
            </w:pPr>
            <w:r>
              <w:rPr>
                <w:rFonts w:hint="eastAsia"/>
                <w:kern w:val="0"/>
                <w:szCs w:val="21"/>
              </w:rPr>
              <w:t>5</w:t>
            </w:r>
          </w:p>
        </w:tc>
        <w:tc>
          <w:tcPr>
            <w:tcW w:w="3473" w:type="dxa"/>
            <w:vAlign w:val="center"/>
          </w:tcPr>
          <w:p>
            <w:pPr>
              <w:pStyle w:val="152"/>
              <w:spacing w:line="240" w:lineRule="auto"/>
              <w:ind w:firstLine="0" w:firstLineChars="0"/>
              <w:rPr>
                <w:kern w:val="0"/>
                <w:szCs w:val="21"/>
              </w:rPr>
            </w:pPr>
            <w:r>
              <w:rPr>
                <w:rFonts w:hint="eastAsia"/>
                <w:kern w:val="0"/>
                <w:szCs w:val="21"/>
              </w:rPr>
              <w:t>检查一处有隐患扣2分，发生火灾事故3分，并追究责任。直至该项分值扣完为止。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各种消防设施定期检查保养、维护，确保无缺损，保障正常运行。</w:t>
            </w:r>
          </w:p>
        </w:tc>
        <w:tc>
          <w:tcPr>
            <w:tcW w:w="791" w:type="dxa"/>
            <w:vAlign w:val="center"/>
          </w:tcPr>
          <w:p>
            <w:pPr>
              <w:pStyle w:val="152"/>
              <w:spacing w:line="240" w:lineRule="auto"/>
              <w:ind w:firstLine="0" w:firstLineChars="0"/>
              <w:rPr>
                <w:kern w:val="0"/>
                <w:szCs w:val="21"/>
              </w:rPr>
            </w:pPr>
            <w:r>
              <w:rPr>
                <w:rFonts w:hint="eastAsia"/>
                <w:kern w:val="0"/>
                <w:szCs w:val="21"/>
              </w:rPr>
              <w:t>3</w:t>
            </w:r>
          </w:p>
        </w:tc>
        <w:tc>
          <w:tcPr>
            <w:tcW w:w="3473" w:type="dxa"/>
            <w:vAlign w:val="center"/>
          </w:tcPr>
          <w:p>
            <w:pPr>
              <w:pStyle w:val="152"/>
              <w:spacing w:line="240" w:lineRule="auto"/>
              <w:ind w:firstLine="0" w:firstLineChars="0"/>
              <w:rPr>
                <w:kern w:val="0"/>
                <w:szCs w:val="21"/>
              </w:rPr>
            </w:pPr>
            <w:r>
              <w:rPr>
                <w:rFonts w:hint="eastAsia"/>
                <w:kern w:val="0"/>
                <w:szCs w:val="21"/>
              </w:rPr>
              <w:t>无保养扣1分，一处运行障碍扣1分，一处缺或损坏扣1分。直至该项分值扣完为止。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5"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负责校园灯光开启和关闭，负责各个功能室、会议室、楼栋门窗开关，每天学生放学后清场。</w:t>
            </w:r>
          </w:p>
        </w:tc>
        <w:tc>
          <w:tcPr>
            <w:tcW w:w="791" w:type="dxa"/>
            <w:vAlign w:val="center"/>
          </w:tcPr>
          <w:p>
            <w:pPr>
              <w:pStyle w:val="152"/>
              <w:spacing w:line="240" w:lineRule="auto"/>
              <w:ind w:firstLine="0" w:firstLineChars="0"/>
              <w:rPr>
                <w:kern w:val="0"/>
                <w:szCs w:val="21"/>
              </w:rPr>
            </w:pPr>
            <w:r>
              <w:rPr>
                <w:rFonts w:hint="eastAsia"/>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未明确责任到人，一处扣1分。一处未达到扣1分。直至该项分值扣完为止。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jc w:val="center"/>
        </w:trPr>
        <w:tc>
          <w:tcPr>
            <w:tcW w:w="635" w:type="dxa"/>
            <w:vMerge w:val="restart"/>
            <w:vAlign w:val="center"/>
          </w:tcPr>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r>
              <w:rPr>
                <w:rFonts w:hint="eastAsia"/>
                <w:kern w:val="0"/>
                <w:szCs w:val="21"/>
              </w:rPr>
              <w:t>清洁卫生管理13</w:t>
            </w:r>
          </w:p>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清洁保洁责任划分到人，责任范围清洁达到标准化。清洁员着装统一，工作细致，形象良好。</w:t>
            </w:r>
          </w:p>
        </w:tc>
        <w:tc>
          <w:tcPr>
            <w:tcW w:w="791" w:type="dxa"/>
            <w:vAlign w:val="center"/>
          </w:tcPr>
          <w:p>
            <w:pPr>
              <w:pStyle w:val="152"/>
              <w:spacing w:line="240" w:lineRule="auto"/>
              <w:ind w:firstLine="0" w:firstLineChars="0"/>
              <w:rPr>
                <w:kern w:val="0"/>
                <w:szCs w:val="21"/>
              </w:rPr>
            </w:pPr>
            <w:r>
              <w:rPr>
                <w:rFonts w:hint="eastAsia"/>
                <w:kern w:val="0"/>
                <w:szCs w:val="21"/>
              </w:rPr>
              <w:t>2</w:t>
            </w:r>
          </w:p>
        </w:tc>
        <w:tc>
          <w:tcPr>
            <w:tcW w:w="3473" w:type="dxa"/>
            <w:vAlign w:val="center"/>
          </w:tcPr>
          <w:p>
            <w:pPr>
              <w:pStyle w:val="152"/>
              <w:spacing w:line="240" w:lineRule="auto"/>
              <w:ind w:firstLine="0" w:firstLineChars="0"/>
              <w:rPr>
                <w:kern w:val="0"/>
                <w:szCs w:val="21"/>
              </w:rPr>
            </w:pPr>
          </w:p>
          <w:p>
            <w:pPr>
              <w:pStyle w:val="152"/>
              <w:spacing w:line="240" w:lineRule="auto"/>
              <w:ind w:firstLine="0" w:firstLineChars="0"/>
              <w:rPr>
                <w:kern w:val="0"/>
                <w:szCs w:val="21"/>
              </w:rPr>
            </w:pPr>
            <w:r>
              <w:rPr>
                <w:rFonts w:hint="eastAsia"/>
                <w:kern w:val="0"/>
                <w:szCs w:val="21"/>
              </w:rPr>
              <w:t>未明确责任到人，一处扣1分。一处未达到标准保洁扣1分。直至该项分值扣完为止。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各责任区域门窗干净明亮、清爽；地面无纸屑、果皮、灰尘、杂物和污渍；垃圾筒纸篓内的垃圾不能超过三分之二。</w:t>
            </w:r>
          </w:p>
        </w:tc>
        <w:tc>
          <w:tcPr>
            <w:tcW w:w="791" w:type="dxa"/>
            <w:vAlign w:val="center"/>
          </w:tcPr>
          <w:p>
            <w:pPr>
              <w:pStyle w:val="152"/>
              <w:spacing w:line="240" w:lineRule="auto"/>
              <w:ind w:firstLine="0" w:firstLineChars="0"/>
              <w:rPr>
                <w:kern w:val="0"/>
                <w:szCs w:val="21"/>
              </w:rPr>
            </w:pPr>
            <w:r>
              <w:rPr>
                <w:rFonts w:hint="eastAsia"/>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一个责任区域一项未做到扣1分，直至该项分值扣完为止。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各洗手间清洁明亮，无积水，无污渍，无异味。</w:t>
            </w:r>
          </w:p>
        </w:tc>
        <w:tc>
          <w:tcPr>
            <w:tcW w:w="791" w:type="dxa"/>
            <w:vAlign w:val="center"/>
          </w:tcPr>
          <w:p>
            <w:pPr>
              <w:pStyle w:val="152"/>
              <w:spacing w:line="240" w:lineRule="auto"/>
              <w:ind w:firstLine="0" w:firstLineChars="0"/>
              <w:rPr>
                <w:kern w:val="0"/>
                <w:szCs w:val="21"/>
              </w:rPr>
            </w:pPr>
            <w:r>
              <w:rPr>
                <w:rFonts w:hint="eastAsia"/>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一个洗手间一项不符合扣1分。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用专用清洁布擦拭饮水设备，无污渍。</w:t>
            </w:r>
          </w:p>
        </w:tc>
        <w:tc>
          <w:tcPr>
            <w:tcW w:w="791" w:type="dxa"/>
            <w:vAlign w:val="center"/>
          </w:tcPr>
          <w:p>
            <w:pPr>
              <w:pStyle w:val="152"/>
              <w:spacing w:line="240" w:lineRule="auto"/>
              <w:ind w:firstLine="0" w:firstLineChars="0"/>
              <w:rPr>
                <w:kern w:val="0"/>
                <w:szCs w:val="21"/>
              </w:rPr>
            </w:pPr>
            <w:r>
              <w:rPr>
                <w:rFonts w:hint="eastAsia"/>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一处饮水设备不符合扣1分。直至该项分值扣完为止。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地面保持干燥，尤其下雨天要加强管理，入口处放置地滑警示牌，防止行人摔伤，确秩序维护全。</w:t>
            </w:r>
          </w:p>
        </w:tc>
        <w:tc>
          <w:tcPr>
            <w:tcW w:w="791" w:type="dxa"/>
            <w:vAlign w:val="center"/>
          </w:tcPr>
          <w:p>
            <w:pPr>
              <w:pStyle w:val="152"/>
              <w:spacing w:line="240" w:lineRule="auto"/>
              <w:ind w:firstLine="0" w:firstLineChars="0"/>
              <w:rPr>
                <w:kern w:val="0"/>
                <w:szCs w:val="21"/>
              </w:rPr>
            </w:pPr>
            <w:r>
              <w:rPr>
                <w:rFonts w:hint="eastAsia"/>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未设置警示牌，每次扣1分。因地面有水或其他果皮等致使人摔伤全扣，并且承担由此引发的责任。直至该项分值扣完为止。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垃圾做到日产日清，垃圾桶每三天至少清洗一次，外露面无垃圾附着。</w:t>
            </w:r>
          </w:p>
        </w:tc>
        <w:tc>
          <w:tcPr>
            <w:tcW w:w="791" w:type="dxa"/>
            <w:vAlign w:val="center"/>
          </w:tcPr>
          <w:p>
            <w:pPr>
              <w:pStyle w:val="152"/>
              <w:spacing w:line="240" w:lineRule="auto"/>
              <w:ind w:firstLine="0" w:firstLineChars="0"/>
              <w:rPr>
                <w:kern w:val="0"/>
                <w:szCs w:val="21"/>
              </w:rPr>
            </w:pPr>
            <w:r>
              <w:rPr>
                <w:rFonts w:hint="eastAsia"/>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一项未做到扣2分。直至该项分值扣完为止。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路面无明显泥沙、污垢，无1cm以上的石子，每100平方米烟头纸屑不超过3处。</w:t>
            </w:r>
          </w:p>
        </w:tc>
        <w:tc>
          <w:tcPr>
            <w:tcW w:w="791" w:type="dxa"/>
            <w:vAlign w:val="center"/>
          </w:tcPr>
          <w:p>
            <w:pPr>
              <w:pStyle w:val="152"/>
              <w:spacing w:line="240" w:lineRule="auto"/>
              <w:ind w:firstLine="0" w:firstLineChars="0"/>
              <w:rPr>
                <w:kern w:val="0"/>
                <w:szCs w:val="21"/>
              </w:rPr>
            </w:pPr>
            <w:r>
              <w:rPr>
                <w:rFonts w:hint="eastAsia"/>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不符合扣1分。直至该项分值扣完为止。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绿化丛中无烟盒、饮料瓶盒、塑料袋等垃圾。</w:t>
            </w:r>
          </w:p>
        </w:tc>
        <w:tc>
          <w:tcPr>
            <w:tcW w:w="791" w:type="dxa"/>
            <w:vAlign w:val="center"/>
          </w:tcPr>
          <w:p>
            <w:pPr>
              <w:pStyle w:val="152"/>
              <w:spacing w:line="240" w:lineRule="auto"/>
              <w:ind w:firstLine="0" w:firstLineChars="0"/>
              <w:rPr>
                <w:kern w:val="0"/>
                <w:szCs w:val="21"/>
              </w:rPr>
            </w:pPr>
            <w:r>
              <w:rPr>
                <w:rFonts w:hint="eastAsia"/>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发现一处扣1分。直至该项分值扣完为止。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滴水檐无乱堆放杂物，无垃圾、无污渍、无青苔、无积水。</w:t>
            </w:r>
          </w:p>
        </w:tc>
        <w:tc>
          <w:tcPr>
            <w:tcW w:w="791" w:type="dxa"/>
            <w:vAlign w:val="center"/>
          </w:tcPr>
          <w:p>
            <w:pPr>
              <w:pStyle w:val="152"/>
              <w:spacing w:line="240" w:lineRule="auto"/>
              <w:ind w:firstLine="0" w:firstLineChars="0"/>
              <w:rPr>
                <w:kern w:val="0"/>
                <w:szCs w:val="21"/>
              </w:rPr>
            </w:pPr>
            <w:r>
              <w:rPr>
                <w:rFonts w:hint="eastAsia"/>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发现一处扣1分。直至该项分值扣完为止。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各明沟无垃圾、无青苔，畅通。</w:t>
            </w:r>
          </w:p>
        </w:tc>
        <w:tc>
          <w:tcPr>
            <w:tcW w:w="791" w:type="dxa"/>
            <w:vAlign w:val="center"/>
          </w:tcPr>
          <w:p>
            <w:pPr>
              <w:pStyle w:val="152"/>
              <w:spacing w:line="240" w:lineRule="auto"/>
              <w:ind w:firstLine="0" w:firstLineChars="0"/>
              <w:rPr>
                <w:kern w:val="0"/>
                <w:szCs w:val="21"/>
              </w:rPr>
            </w:pPr>
            <w:r>
              <w:rPr>
                <w:rFonts w:hint="eastAsia"/>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一条沟不符合扣分，直至该项分值扣完为止。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确保无卫生死角。</w:t>
            </w:r>
          </w:p>
        </w:tc>
        <w:tc>
          <w:tcPr>
            <w:tcW w:w="791" w:type="dxa"/>
            <w:vAlign w:val="center"/>
          </w:tcPr>
          <w:p>
            <w:pPr>
              <w:pStyle w:val="152"/>
              <w:spacing w:line="240" w:lineRule="auto"/>
              <w:ind w:firstLine="0" w:firstLineChars="0"/>
              <w:rPr>
                <w:kern w:val="0"/>
                <w:szCs w:val="21"/>
              </w:rPr>
            </w:pPr>
            <w:r>
              <w:rPr>
                <w:rFonts w:hint="eastAsia"/>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一处扣分，直至该项分值扣完为止。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restart"/>
            <w:vAlign w:val="center"/>
          </w:tcPr>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r>
              <w:rPr>
                <w:rFonts w:hint="eastAsia"/>
                <w:kern w:val="0"/>
                <w:szCs w:val="21"/>
              </w:rPr>
              <w:t>水电 (维修、锅炉)工作13</w:t>
            </w:r>
          </w:p>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做好设备其附属设施的保养，协助做好维修工作。</w:t>
            </w:r>
          </w:p>
        </w:tc>
        <w:tc>
          <w:tcPr>
            <w:tcW w:w="791" w:type="dxa"/>
            <w:vAlign w:val="center"/>
          </w:tcPr>
          <w:p>
            <w:pPr>
              <w:pStyle w:val="152"/>
              <w:spacing w:line="240" w:lineRule="auto"/>
              <w:ind w:firstLine="0" w:firstLineChars="0"/>
              <w:rPr>
                <w:kern w:val="0"/>
                <w:szCs w:val="21"/>
              </w:rPr>
            </w:pPr>
            <w:r>
              <w:rPr>
                <w:rFonts w:hint="eastAsia"/>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因设备损坏，未及时维修影响工作，扣 2分/次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做好煤气、水电的计量记录，降低消耗，保持设备的正常运行。</w:t>
            </w:r>
          </w:p>
        </w:tc>
        <w:tc>
          <w:tcPr>
            <w:tcW w:w="791" w:type="dxa"/>
            <w:vAlign w:val="center"/>
          </w:tcPr>
          <w:p>
            <w:pPr>
              <w:pStyle w:val="152"/>
              <w:spacing w:line="240" w:lineRule="auto"/>
              <w:ind w:firstLine="0" w:firstLineChars="0"/>
              <w:rPr>
                <w:kern w:val="0"/>
                <w:szCs w:val="21"/>
              </w:rPr>
            </w:pPr>
            <w:r>
              <w:rPr>
                <w:rFonts w:hint="eastAsia"/>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浪费水电、煤气，扣1分/次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保证各项设备清洁，仪表显示清晰准确，工具摆放整齐，锅炉房整洁卫生。</w:t>
            </w:r>
          </w:p>
        </w:tc>
        <w:tc>
          <w:tcPr>
            <w:tcW w:w="791" w:type="dxa"/>
            <w:vAlign w:val="center"/>
          </w:tcPr>
          <w:p>
            <w:pPr>
              <w:pStyle w:val="152"/>
              <w:spacing w:line="240" w:lineRule="auto"/>
              <w:ind w:firstLine="0" w:firstLineChars="0"/>
              <w:rPr>
                <w:kern w:val="0"/>
                <w:szCs w:val="21"/>
              </w:rPr>
            </w:pPr>
          </w:p>
          <w:p>
            <w:pPr>
              <w:pStyle w:val="152"/>
              <w:spacing w:line="240" w:lineRule="auto"/>
              <w:ind w:firstLine="0" w:firstLineChars="0"/>
              <w:rPr>
                <w:kern w:val="0"/>
                <w:szCs w:val="21"/>
              </w:rPr>
            </w:pPr>
            <w:r>
              <w:rPr>
                <w:rFonts w:hint="eastAsia"/>
                <w:kern w:val="0"/>
                <w:szCs w:val="21"/>
              </w:rPr>
              <w:t>1</w:t>
            </w:r>
          </w:p>
        </w:tc>
        <w:tc>
          <w:tcPr>
            <w:tcW w:w="3473" w:type="dxa"/>
            <w:vAlign w:val="center"/>
          </w:tcPr>
          <w:p>
            <w:pPr>
              <w:pStyle w:val="152"/>
              <w:spacing w:line="240" w:lineRule="auto"/>
              <w:ind w:firstLine="0" w:firstLineChars="0"/>
              <w:rPr>
                <w:kern w:val="0"/>
                <w:szCs w:val="21"/>
              </w:rPr>
            </w:pPr>
          </w:p>
          <w:p>
            <w:pPr>
              <w:pStyle w:val="152"/>
              <w:spacing w:line="240" w:lineRule="auto"/>
              <w:ind w:firstLine="0" w:firstLineChars="0"/>
              <w:rPr>
                <w:kern w:val="0"/>
                <w:szCs w:val="21"/>
              </w:rPr>
            </w:pPr>
            <w:r>
              <w:rPr>
                <w:rFonts w:hint="eastAsia"/>
                <w:kern w:val="0"/>
                <w:szCs w:val="21"/>
              </w:rPr>
              <w:t>未达到要求，扣 1分/次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认真学习各项有关法规，努力钻研业务，提高技术水平。</w:t>
            </w:r>
          </w:p>
        </w:tc>
        <w:tc>
          <w:tcPr>
            <w:tcW w:w="791" w:type="dxa"/>
            <w:vAlign w:val="center"/>
          </w:tcPr>
          <w:p>
            <w:pPr>
              <w:pStyle w:val="152"/>
              <w:spacing w:line="240" w:lineRule="auto"/>
              <w:ind w:firstLine="0" w:firstLineChars="0"/>
              <w:rPr>
                <w:kern w:val="0"/>
                <w:szCs w:val="21"/>
              </w:rPr>
            </w:pPr>
            <w:r>
              <w:rPr>
                <w:rFonts w:hint="eastAsia"/>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未达到要求，扣 1分/次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做好锅炉日常维护工作，配合锅炉年检，事前做好清灰等准备工作。</w:t>
            </w:r>
          </w:p>
        </w:tc>
        <w:tc>
          <w:tcPr>
            <w:tcW w:w="791" w:type="dxa"/>
            <w:vAlign w:val="center"/>
          </w:tcPr>
          <w:p>
            <w:pPr>
              <w:pStyle w:val="152"/>
              <w:spacing w:line="240" w:lineRule="auto"/>
              <w:ind w:firstLine="0" w:firstLineChars="0"/>
              <w:rPr>
                <w:kern w:val="0"/>
                <w:szCs w:val="21"/>
              </w:rPr>
            </w:pPr>
            <w:r>
              <w:rPr>
                <w:rFonts w:hint="eastAsia"/>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未达到要求，扣2分/次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对相关设备及其附属设备经常进行巡回检查；认真填写各种记录发现故障应及时处置，并报告学校主管部门。</w:t>
            </w:r>
          </w:p>
        </w:tc>
        <w:tc>
          <w:tcPr>
            <w:tcW w:w="791" w:type="dxa"/>
            <w:vAlign w:val="center"/>
          </w:tcPr>
          <w:p>
            <w:pPr>
              <w:pStyle w:val="152"/>
              <w:spacing w:line="240" w:lineRule="auto"/>
              <w:ind w:firstLine="0" w:firstLineChars="0"/>
              <w:rPr>
                <w:kern w:val="0"/>
                <w:szCs w:val="21"/>
              </w:rPr>
            </w:pPr>
            <w:r>
              <w:rPr>
                <w:rFonts w:hint="eastAsia"/>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因检查、记录不及时，影响工作，扣2 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严格执行安全操作规程，严格遵守劳动纪律，不做与本职工作无关的事。</w:t>
            </w:r>
          </w:p>
        </w:tc>
        <w:tc>
          <w:tcPr>
            <w:tcW w:w="791" w:type="dxa"/>
            <w:vAlign w:val="center"/>
          </w:tcPr>
          <w:p>
            <w:pPr>
              <w:pStyle w:val="152"/>
              <w:spacing w:line="240" w:lineRule="auto"/>
              <w:ind w:firstLine="0" w:firstLineChars="0"/>
              <w:rPr>
                <w:kern w:val="0"/>
                <w:szCs w:val="21"/>
              </w:rPr>
            </w:pPr>
            <w:r>
              <w:rPr>
                <w:rFonts w:hint="eastAsia"/>
                <w:kern w:val="0"/>
                <w:szCs w:val="21"/>
              </w:rPr>
              <w:t>4</w:t>
            </w:r>
          </w:p>
        </w:tc>
        <w:tc>
          <w:tcPr>
            <w:tcW w:w="3473" w:type="dxa"/>
            <w:vAlign w:val="center"/>
          </w:tcPr>
          <w:p>
            <w:pPr>
              <w:pStyle w:val="152"/>
              <w:spacing w:line="240" w:lineRule="auto"/>
              <w:ind w:firstLine="0" w:firstLineChars="0"/>
              <w:rPr>
                <w:kern w:val="0"/>
                <w:szCs w:val="21"/>
              </w:rPr>
            </w:pPr>
            <w:r>
              <w:rPr>
                <w:rFonts w:hint="eastAsia"/>
                <w:kern w:val="0"/>
                <w:szCs w:val="21"/>
              </w:rPr>
              <w:t>不遵守纪律和不按规定操作，造成损失和影响的，扣 4分/次，损失严重的还要赔偿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restart"/>
          </w:tcPr>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r>
              <w:rPr>
                <w:rFonts w:hint="eastAsia"/>
                <w:kern w:val="0"/>
                <w:szCs w:val="21"/>
              </w:rPr>
              <w:t>绿化养护工作6</w:t>
            </w:r>
          </w:p>
        </w:tc>
        <w:tc>
          <w:tcPr>
            <w:tcW w:w="3456" w:type="dxa"/>
            <w:vAlign w:val="center"/>
          </w:tcPr>
          <w:p>
            <w:pPr>
              <w:pStyle w:val="152"/>
              <w:spacing w:line="240" w:lineRule="auto"/>
              <w:ind w:firstLine="0" w:firstLineChars="0"/>
              <w:rPr>
                <w:kern w:val="0"/>
                <w:szCs w:val="21"/>
              </w:rPr>
            </w:pPr>
            <w:r>
              <w:rPr>
                <w:rFonts w:hint="eastAsia"/>
                <w:kern w:val="0"/>
                <w:szCs w:val="21"/>
              </w:rPr>
              <w:t>按生长习性定期完成灌溉、施肥、修剪，及时处理枯枝。</w:t>
            </w:r>
          </w:p>
        </w:tc>
        <w:tc>
          <w:tcPr>
            <w:tcW w:w="791" w:type="dxa"/>
            <w:vAlign w:val="center"/>
          </w:tcPr>
          <w:p>
            <w:pPr>
              <w:pStyle w:val="152"/>
              <w:spacing w:line="240" w:lineRule="auto"/>
              <w:ind w:firstLine="0" w:firstLineChars="0"/>
              <w:rPr>
                <w:kern w:val="0"/>
                <w:szCs w:val="21"/>
              </w:rPr>
            </w:pPr>
            <w:r>
              <w:rPr>
                <w:rFonts w:hint="eastAsia"/>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灌溉、施肥、修剪不及时，造成植物生长不良，杂乱，扣1分/次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爬藤植物及时牵引、上架，无杂草和植物同生现象。</w:t>
            </w:r>
          </w:p>
        </w:tc>
        <w:tc>
          <w:tcPr>
            <w:tcW w:w="791" w:type="dxa"/>
            <w:vAlign w:val="center"/>
          </w:tcPr>
          <w:p>
            <w:pPr>
              <w:pStyle w:val="152"/>
              <w:spacing w:line="240" w:lineRule="auto"/>
              <w:ind w:firstLine="0" w:firstLineChars="0"/>
              <w:rPr>
                <w:kern w:val="0"/>
                <w:szCs w:val="21"/>
              </w:rPr>
            </w:pPr>
            <w:r>
              <w:rPr>
                <w:rFonts w:hint="eastAsia"/>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不及时除杂草，发现一次扣1分/次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周边无废纸、无砖头瓦砾，绿化垃圾当天清除。</w:t>
            </w:r>
          </w:p>
        </w:tc>
        <w:tc>
          <w:tcPr>
            <w:tcW w:w="791" w:type="dxa"/>
            <w:vAlign w:val="center"/>
          </w:tcPr>
          <w:p>
            <w:pPr>
              <w:pStyle w:val="152"/>
              <w:spacing w:line="240" w:lineRule="auto"/>
              <w:ind w:firstLine="0" w:firstLineChars="0"/>
              <w:rPr>
                <w:kern w:val="0"/>
                <w:szCs w:val="21"/>
              </w:rPr>
            </w:pPr>
            <w:r>
              <w:rPr>
                <w:rFonts w:hint="eastAsia"/>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有垃圾杂物，未及时清理，发现一次扣1分/次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盆花摆放整齐、造型美观、花色不协调；残花及时更换</w:t>
            </w:r>
          </w:p>
        </w:tc>
        <w:tc>
          <w:tcPr>
            <w:tcW w:w="791" w:type="dxa"/>
            <w:vAlign w:val="center"/>
          </w:tcPr>
          <w:p>
            <w:pPr>
              <w:pStyle w:val="152"/>
              <w:spacing w:line="240" w:lineRule="auto"/>
              <w:ind w:firstLine="0" w:firstLineChars="0"/>
              <w:rPr>
                <w:kern w:val="0"/>
                <w:szCs w:val="21"/>
              </w:rPr>
            </w:pPr>
            <w:r>
              <w:rPr>
                <w:rFonts w:hint="eastAsia"/>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摆放杂乱或未及时更换，发现一次扣1分/次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爱护维护绿化工具，摆放整齐</w:t>
            </w:r>
          </w:p>
        </w:tc>
        <w:tc>
          <w:tcPr>
            <w:tcW w:w="791" w:type="dxa"/>
            <w:vAlign w:val="center"/>
          </w:tcPr>
          <w:p>
            <w:pPr>
              <w:pStyle w:val="152"/>
              <w:spacing w:line="240" w:lineRule="auto"/>
              <w:ind w:firstLine="0" w:firstLineChars="0"/>
              <w:rPr>
                <w:kern w:val="0"/>
                <w:szCs w:val="21"/>
              </w:rPr>
            </w:pPr>
            <w:r>
              <w:rPr>
                <w:rFonts w:hint="eastAsia"/>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未按要求发现一次扣1分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配合学校教育，对花木挂牌</w:t>
            </w:r>
          </w:p>
          <w:p>
            <w:pPr>
              <w:pStyle w:val="152"/>
              <w:spacing w:line="240" w:lineRule="auto"/>
              <w:ind w:firstLine="0" w:firstLineChars="0"/>
              <w:rPr>
                <w:kern w:val="0"/>
                <w:szCs w:val="21"/>
              </w:rPr>
            </w:pPr>
          </w:p>
        </w:tc>
        <w:tc>
          <w:tcPr>
            <w:tcW w:w="791" w:type="dxa"/>
            <w:vAlign w:val="center"/>
          </w:tcPr>
          <w:p>
            <w:pPr>
              <w:pStyle w:val="152"/>
              <w:spacing w:line="240" w:lineRule="auto"/>
              <w:ind w:firstLine="0" w:firstLineChars="0"/>
              <w:rPr>
                <w:kern w:val="0"/>
                <w:szCs w:val="21"/>
              </w:rPr>
            </w:pPr>
            <w:r>
              <w:rPr>
                <w:rFonts w:hint="eastAsia"/>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未按要求及时挂牌，发现一次扣</w:t>
            </w:r>
          </w:p>
          <w:p>
            <w:pPr>
              <w:pStyle w:val="152"/>
              <w:spacing w:line="240" w:lineRule="auto"/>
              <w:ind w:firstLine="0" w:firstLineChars="0"/>
              <w:rPr>
                <w:kern w:val="0"/>
                <w:szCs w:val="21"/>
              </w:rPr>
            </w:pPr>
            <w:r>
              <w:rPr>
                <w:rFonts w:hint="eastAsia"/>
                <w:kern w:val="0"/>
                <w:szCs w:val="21"/>
              </w:rPr>
              <w:t>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restart"/>
          </w:tcPr>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r>
              <w:rPr>
                <w:rFonts w:hint="eastAsia"/>
                <w:kern w:val="0"/>
                <w:szCs w:val="21"/>
              </w:rPr>
              <w:t>宿舍管理工作15</w:t>
            </w:r>
          </w:p>
        </w:tc>
        <w:tc>
          <w:tcPr>
            <w:tcW w:w="3456" w:type="dxa"/>
            <w:vAlign w:val="center"/>
          </w:tcPr>
          <w:p>
            <w:pPr>
              <w:pStyle w:val="152"/>
              <w:spacing w:line="240" w:lineRule="auto"/>
              <w:ind w:firstLine="0" w:firstLineChars="0"/>
              <w:rPr>
                <w:kern w:val="0"/>
                <w:szCs w:val="21"/>
              </w:rPr>
            </w:pPr>
            <w:r>
              <w:rPr>
                <w:rFonts w:hint="eastAsia"/>
                <w:kern w:val="0"/>
                <w:szCs w:val="21"/>
              </w:rPr>
              <w:t xml:space="preserve">服务态度好，善于沟通，注重服务质量， </w:t>
            </w:r>
          </w:p>
          <w:p>
            <w:pPr>
              <w:pStyle w:val="152"/>
              <w:spacing w:line="240" w:lineRule="auto"/>
              <w:ind w:firstLine="0" w:firstLineChars="0"/>
              <w:rPr>
                <w:kern w:val="0"/>
                <w:szCs w:val="21"/>
              </w:rPr>
            </w:pPr>
          </w:p>
        </w:tc>
        <w:tc>
          <w:tcPr>
            <w:tcW w:w="791" w:type="dxa"/>
            <w:vAlign w:val="center"/>
          </w:tcPr>
          <w:p>
            <w:pPr>
              <w:pStyle w:val="152"/>
              <w:spacing w:line="240" w:lineRule="auto"/>
              <w:ind w:firstLine="0" w:firstLineChars="0"/>
              <w:rPr>
                <w:kern w:val="0"/>
                <w:szCs w:val="21"/>
              </w:rPr>
            </w:pPr>
          </w:p>
          <w:p>
            <w:pPr>
              <w:pStyle w:val="152"/>
              <w:spacing w:line="240" w:lineRule="auto"/>
              <w:ind w:firstLine="0" w:firstLineChars="0"/>
              <w:rPr>
                <w:kern w:val="0"/>
                <w:szCs w:val="21"/>
              </w:rPr>
            </w:pPr>
            <w:r>
              <w:rPr>
                <w:rFonts w:hint="eastAsia"/>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 xml:space="preserve">因服务态度差、工作失职、在师生、家长中造成不良影响，被举报投诉经查实，视情节每次扣 </w:t>
            </w:r>
            <w:r>
              <w:rPr>
                <w:kern w:val="0"/>
                <w:szCs w:val="21"/>
              </w:rPr>
              <w:t xml:space="preserve"> </w:t>
            </w:r>
            <w:r>
              <w:rPr>
                <w:rFonts w:hint="eastAsia"/>
                <w:kern w:val="0"/>
                <w:szCs w:val="21"/>
              </w:rPr>
              <w:t>1分以上，严重者予以解聘。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同事间团结、协作， 办事效率高</w:t>
            </w:r>
          </w:p>
          <w:p>
            <w:pPr>
              <w:pStyle w:val="152"/>
              <w:spacing w:line="240" w:lineRule="auto"/>
              <w:ind w:firstLine="0" w:firstLineChars="0"/>
              <w:rPr>
                <w:kern w:val="0"/>
                <w:szCs w:val="21"/>
              </w:rPr>
            </w:pPr>
          </w:p>
        </w:tc>
        <w:tc>
          <w:tcPr>
            <w:tcW w:w="791" w:type="dxa"/>
            <w:vAlign w:val="center"/>
          </w:tcPr>
          <w:p>
            <w:pPr>
              <w:pStyle w:val="152"/>
              <w:spacing w:line="240" w:lineRule="auto"/>
              <w:ind w:firstLine="0" w:firstLineChars="0"/>
              <w:rPr>
                <w:kern w:val="0"/>
                <w:szCs w:val="21"/>
              </w:rPr>
            </w:pPr>
            <w:r>
              <w:rPr>
                <w:rFonts w:hint="eastAsia"/>
                <w:kern w:val="0"/>
                <w:szCs w:val="21"/>
              </w:rPr>
              <w:t>4</w:t>
            </w:r>
          </w:p>
        </w:tc>
        <w:tc>
          <w:tcPr>
            <w:tcW w:w="3473" w:type="dxa"/>
            <w:vAlign w:val="center"/>
          </w:tcPr>
          <w:p>
            <w:pPr>
              <w:pStyle w:val="152"/>
              <w:spacing w:line="240" w:lineRule="auto"/>
              <w:ind w:firstLine="0" w:firstLineChars="0"/>
              <w:rPr>
                <w:kern w:val="0"/>
                <w:szCs w:val="21"/>
              </w:rPr>
            </w:pPr>
            <w:r>
              <w:rPr>
                <w:rFonts w:hint="eastAsia"/>
                <w:kern w:val="0"/>
                <w:szCs w:val="21"/>
              </w:rPr>
              <w:t>不得发生争吵等现象，发生争吵每人次扣 1分，打架每人次扣3分。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 xml:space="preserve">认真完成学校领导交办的各项任务，不拖延、不推诿、不敷衍、不顶撞，更不准暗中对抗， </w:t>
            </w:r>
          </w:p>
        </w:tc>
        <w:tc>
          <w:tcPr>
            <w:tcW w:w="791" w:type="dxa"/>
            <w:vAlign w:val="center"/>
          </w:tcPr>
          <w:p>
            <w:pPr>
              <w:pStyle w:val="152"/>
              <w:spacing w:line="240" w:lineRule="auto"/>
              <w:ind w:firstLine="0" w:firstLineChars="0"/>
              <w:rPr>
                <w:kern w:val="0"/>
                <w:szCs w:val="21"/>
              </w:rPr>
            </w:pPr>
          </w:p>
          <w:p>
            <w:pPr>
              <w:pStyle w:val="152"/>
              <w:spacing w:line="240" w:lineRule="auto"/>
              <w:ind w:firstLine="0" w:firstLineChars="0"/>
              <w:rPr>
                <w:kern w:val="0"/>
                <w:szCs w:val="21"/>
              </w:rPr>
            </w:pPr>
            <w:r>
              <w:rPr>
                <w:rFonts w:hint="eastAsia"/>
                <w:kern w:val="0"/>
                <w:szCs w:val="21"/>
              </w:rPr>
              <w:t>1</w:t>
            </w:r>
          </w:p>
        </w:tc>
        <w:tc>
          <w:tcPr>
            <w:tcW w:w="3473" w:type="dxa"/>
            <w:vAlign w:val="center"/>
          </w:tcPr>
          <w:p>
            <w:pPr>
              <w:pStyle w:val="152"/>
              <w:spacing w:line="240" w:lineRule="auto"/>
              <w:ind w:firstLine="0" w:firstLineChars="0"/>
              <w:rPr>
                <w:kern w:val="0"/>
                <w:szCs w:val="21"/>
              </w:rPr>
            </w:pPr>
          </w:p>
          <w:p>
            <w:pPr>
              <w:pStyle w:val="152"/>
              <w:spacing w:line="240" w:lineRule="auto"/>
              <w:ind w:firstLine="0" w:firstLineChars="0"/>
              <w:rPr>
                <w:kern w:val="0"/>
                <w:szCs w:val="21"/>
              </w:rPr>
            </w:pPr>
            <w:r>
              <w:rPr>
                <w:rFonts w:hint="eastAsia"/>
                <w:kern w:val="0"/>
                <w:szCs w:val="21"/>
              </w:rPr>
              <w:t>如发现，视情节每次扣 1分以上。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室内外卫生：要求室内外地面干净（走廊、过道、楼梯等每天拖地一次）、整洁，无垃圾，室内卫生间无异味、无积水，墙角、门角无蜘蛛网，所有垃圾即时清理</w:t>
            </w:r>
          </w:p>
        </w:tc>
        <w:tc>
          <w:tcPr>
            <w:tcW w:w="791" w:type="dxa"/>
            <w:vAlign w:val="center"/>
          </w:tcPr>
          <w:p>
            <w:pPr>
              <w:pStyle w:val="152"/>
              <w:spacing w:line="240" w:lineRule="auto"/>
              <w:ind w:firstLine="0" w:firstLineChars="0"/>
              <w:rPr>
                <w:kern w:val="0"/>
                <w:szCs w:val="21"/>
              </w:rPr>
            </w:pPr>
            <w:r>
              <w:rPr>
                <w:rFonts w:hint="eastAsia"/>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未达到要求，每处扣21分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 xml:space="preserve">物品摆放及保管：室内所有用品摆放整齐，鞋子、毛巾、洗漱用品等摆放成线，衣物、箱包摆放有序；被褥、枕头、床单、衣物等床上用品叠放成形、统一整齐， </w:t>
            </w:r>
          </w:p>
        </w:tc>
        <w:tc>
          <w:tcPr>
            <w:tcW w:w="791" w:type="dxa"/>
            <w:vAlign w:val="center"/>
          </w:tcPr>
          <w:p>
            <w:pPr>
              <w:pStyle w:val="152"/>
              <w:spacing w:line="240" w:lineRule="auto"/>
              <w:ind w:firstLine="0" w:firstLineChars="0"/>
              <w:rPr>
                <w:kern w:val="0"/>
                <w:szCs w:val="21"/>
              </w:rPr>
            </w:pPr>
            <w:r>
              <w:rPr>
                <w:rFonts w:hint="eastAsia"/>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未达到要求，每处扣 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财产管理：室内外水、电设施、门窗、床铺、风扇等设施要经常检查，发现损坏即时报告督促维修，发现人为破坏要及时报告，追究责任和赔偿，要及时关水、关电、关风扇，。</w:t>
            </w:r>
          </w:p>
        </w:tc>
        <w:tc>
          <w:tcPr>
            <w:tcW w:w="791" w:type="dxa"/>
            <w:vAlign w:val="center"/>
          </w:tcPr>
          <w:p>
            <w:pPr>
              <w:pStyle w:val="152"/>
              <w:spacing w:line="240" w:lineRule="auto"/>
              <w:ind w:firstLine="0" w:firstLineChars="0"/>
              <w:rPr>
                <w:kern w:val="0"/>
                <w:szCs w:val="21"/>
              </w:rPr>
            </w:pPr>
            <w:r>
              <w:rPr>
                <w:rFonts w:hint="eastAsia"/>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未及时报告公物损坏情况，有浪费行为，发现一次扣1分/次。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按照学校作息时间，督促学生按时起床、离寝，按时就寝、熄灯；做到起床迅速、离寝及时，静寝快速。对滞留寝室学生进行登记并报告班主任或德育处。</w:t>
            </w:r>
          </w:p>
        </w:tc>
        <w:tc>
          <w:tcPr>
            <w:tcW w:w="791" w:type="dxa"/>
            <w:vAlign w:val="center"/>
          </w:tcPr>
          <w:p>
            <w:pPr>
              <w:pStyle w:val="152"/>
              <w:spacing w:line="240" w:lineRule="auto"/>
              <w:ind w:firstLine="0" w:firstLineChars="0"/>
              <w:rPr>
                <w:kern w:val="0"/>
                <w:szCs w:val="21"/>
              </w:rPr>
            </w:pPr>
            <w:r>
              <w:rPr>
                <w:rFonts w:hint="eastAsia"/>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未按作息要求管理学生，未及时上报违纪行为，发现一次扣 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非就寝时间要及时锁好寝室门及宿舍大门，学生有特殊情况在非就寝时间进入寝室须持有班主任批准的请假条方可进入。滞留寝室的学生要分班登记并报告班主任或德育处处理。</w:t>
            </w:r>
          </w:p>
        </w:tc>
        <w:tc>
          <w:tcPr>
            <w:tcW w:w="791" w:type="dxa"/>
            <w:vAlign w:val="center"/>
          </w:tcPr>
          <w:p>
            <w:pPr>
              <w:pStyle w:val="152"/>
              <w:spacing w:line="240" w:lineRule="auto"/>
              <w:ind w:firstLine="0" w:firstLineChars="0"/>
              <w:rPr>
                <w:kern w:val="0"/>
                <w:szCs w:val="21"/>
              </w:rPr>
            </w:pPr>
            <w:r>
              <w:rPr>
                <w:rFonts w:hint="eastAsia"/>
                <w:kern w:val="0"/>
                <w:szCs w:val="21"/>
              </w:rPr>
              <w:t>3</w:t>
            </w:r>
          </w:p>
        </w:tc>
        <w:tc>
          <w:tcPr>
            <w:tcW w:w="3473" w:type="dxa"/>
            <w:vAlign w:val="center"/>
          </w:tcPr>
          <w:p>
            <w:pPr>
              <w:pStyle w:val="152"/>
              <w:spacing w:line="240" w:lineRule="auto"/>
              <w:ind w:firstLine="0" w:firstLineChars="0"/>
              <w:rPr>
                <w:kern w:val="0"/>
                <w:szCs w:val="21"/>
              </w:rPr>
            </w:pPr>
            <w:r>
              <w:rPr>
                <w:rFonts w:hint="eastAsia"/>
                <w:kern w:val="0"/>
                <w:szCs w:val="21"/>
              </w:rPr>
              <w:t>未按时开门、锁门每次扣 1分，没有请假条让学生进入寝室每人次扣2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学生晚寝后加强巡视，配合值班行政、班主任查寝，清点人数，防止学生就寝后离寝外出。</w:t>
            </w:r>
          </w:p>
        </w:tc>
        <w:tc>
          <w:tcPr>
            <w:tcW w:w="791" w:type="dxa"/>
            <w:vAlign w:val="center"/>
          </w:tcPr>
          <w:p>
            <w:pPr>
              <w:pStyle w:val="152"/>
              <w:spacing w:line="240" w:lineRule="auto"/>
              <w:ind w:firstLine="0" w:firstLineChars="0"/>
              <w:rPr>
                <w:kern w:val="0"/>
                <w:szCs w:val="21"/>
              </w:rPr>
            </w:pPr>
            <w:r>
              <w:rPr>
                <w:rFonts w:hint="eastAsia"/>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未严格考勤，未达到要求每次扣1分。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要及时制止学生在室内抽烟、喝酒、打闹、喧哗、打牌、串寝室等不良行为，根据规定及时向学校反映 。</w:t>
            </w:r>
          </w:p>
        </w:tc>
        <w:tc>
          <w:tcPr>
            <w:tcW w:w="791" w:type="dxa"/>
            <w:vAlign w:val="center"/>
          </w:tcPr>
          <w:p>
            <w:pPr>
              <w:pStyle w:val="152"/>
              <w:spacing w:line="240" w:lineRule="auto"/>
              <w:ind w:firstLine="0" w:firstLineChars="0"/>
              <w:rPr>
                <w:kern w:val="0"/>
                <w:szCs w:val="21"/>
              </w:rPr>
            </w:pPr>
            <w:r>
              <w:rPr>
                <w:rFonts w:hint="eastAsia"/>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没及时制止违纪行为或不报告每次扣 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restart"/>
          </w:tcPr>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p>
          <w:p>
            <w:pPr>
              <w:pStyle w:val="152"/>
              <w:spacing w:line="240" w:lineRule="auto"/>
              <w:ind w:firstLine="0" w:firstLineChars="0"/>
              <w:rPr>
                <w:kern w:val="0"/>
                <w:szCs w:val="21"/>
              </w:rPr>
            </w:pPr>
            <w:r>
              <w:rPr>
                <w:rFonts w:hint="eastAsia"/>
                <w:kern w:val="0"/>
                <w:szCs w:val="21"/>
              </w:rPr>
              <w:t>其它7</w:t>
            </w:r>
          </w:p>
        </w:tc>
        <w:tc>
          <w:tcPr>
            <w:tcW w:w="3456" w:type="dxa"/>
          </w:tcPr>
          <w:p>
            <w:pPr>
              <w:pStyle w:val="152"/>
              <w:spacing w:line="240" w:lineRule="auto"/>
              <w:ind w:firstLine="0" w:firstLineChars="0"/>
              <w:rPr>
                <w:kern w:val="0"/>
                <w:szCs w:val="21"/>
              </w:rPr>
            </w:pPr>
            <w:r>
              <w:rPr>
                <w:rFonts w:hint="eastAsia"/>
                <w:kern w:val="0"/>
                <w:szCs w:val="21"/>
              </w:rPr>
              <w:t>个人规范，服装整洁，语言文明，为人师表</w:t>
            </w:r>
          </w:p>
        </w:tc>
        <w:tc>
          <w:tcPr>
            <w:tcW w:w="791" w:type="dxa"/>
            <w:vAlign w:val="center"/>
          </w:tcPr>
          <w:p>
            <w:pPr>
              <w:pStyle w:val="152"/>
              <w:spacing w:line="240" w:lineRule="auto"/>
              <w:ind w:firstLine="0" w:firstLineChars="0"/>
              <w:rPr>
                <w:kern w:val="0"/>
                <w:szCs w:val="21"/>
              </w:rPr>
            </w:pPr>
            <w:r>
              <w:rPr>
                <w:rFonts w:hint="eastAsia"/>
                <w:kern w:val="0"/>
                <w:szCs w:val="21"/>
              </w:rPr>
              <w:t>2</w:t>
            </w:r>
          </w:p>
        </w:tc>
        <w:tc>
          <w:tcPr>
            <w:tcW w:w="3473" w:type="dxa"/>
            <w:vAlign w:val="center"/>
          </w:tcPr>
          <w:p>
            <w:pPr>
              <w:pStyle w:val="152"/>
              <w:spacing w:line="240" w:lineRule="auto"/>
              <w:ind w:firstLine="0" w:firstLineChars="0"/>
              <w:rPr>
                <w:kern w:val="0"/>
                <w:szCs w:val="21"/>
              </w:rPr>
            </w:pPr>
            <w:r>
              <w:rPr>
                <w:rFonts w:hint="eastAsia"/>
                <w:kern w:val="0"/>
                <w:szCs w:val="21"/>
              </w:rPr>
              <w:t>着装不规范，穿背心、拖鞋在教室内走动，违者1次 1分；语言不文明违者1次 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tcPr>
          <w:p>
            <w:pPr>
              <w:pStyle w:val="152"/>
              <w:spacing w:line="240" w:lineRule="auto"/>
              <w:ind w:firstLine="0" w:firstLineChars="0"/>
              <w:rPr>
                <w:kern w:val="0"/>
                <w:szCs w:val="21"/>
              </w:rPr>
            </w:pPr>
            <w:r>
              <w:rPr>
                <w:rFonts w:hint="eastAsia"/>
                <w:kern w:val="0"/>
                <w:szCs w:val="21"/>
              </w:rPr>
              <w:t>按学校作息时间安排，上班准时， 不擅自脱岗</w:t>
            </w:r>
          </w:p>
        </w:tc>
        <w:tc>
          <w:tcPr>
            <w:tcW w:w="791" w:type="dxa"/>
            <w:vAlign w:val="center"/>
          </w:tcPr>
          <w:p>
            <w:pPr>
              <w:pStyle w:val="152"/>
              <w:spacing w:line="240" w:lineRule="auto"/>
              <w:ind w:firstLine="0" w:firstLineChars="0"/>
              <w:rPr>
                <w:kern w:val="0"/>
                <w:szCs w:val="21"/>
              </w:rPr>
            </w:pPr>
            <w:r>
              <w:rPr>
                <w:rFonts w:hint="eastAsia"/>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迟到1次扣1分，擅自脱岗或没有按时到岗发现第三次取消劳动合同或劳务协议。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临时工作</w:t>
            </w:r>
          </w:p>
        </w:tc>
        <w:tc>
          <w:tcPr>
            <w:tcW w:w="791" w:type="dxa"/>
            <w:vAlign w:val="center"/>
          </w:tcPr>
          <w:p>
            <w:pPr>
              <w:pStyle w:val="152"/>
              <w:spacing w:line="240" w:lineRule="auto"/>
              <w:ind w:firstLine="0" w:firstLineChars="0"/>
              <w:rPr>
                <w:kern w:val="0"/>
                <w:szCs w:val="21"/>
              </w:rPr>
            </w:pPr>
            <w:r>
              <w:rPr>
                <w:rFonts w:hint="eastAsia"/>
                <w:kern w:val="0"/>
                <w:szCs w:val="21"/>
              </w:rPr>
              <w:t>3</w:t>
            </w:r>
          </w:p>
        </w:tc>
        <w:tc>
          <w:tcPr>
            <w:tcW w:w="3473" w:type="dxa"/>
            <w:vAlign w:val="center"/>
          </w:tcPr>
          <w:p>
            <w:pPr>
              <w:pStyle w:val="152"/>
              <w:spacing w:line="240" w:lineRule="auto"/>
              <w:ind w:firstLine="0" w:firstLineChars="0"/>
              <w:rPr>
                <w:kern w:val="0"/>
                <w:szCs w:val="21"/>
              </w:rPr>
            </w:pPr>
            <w:r>
              <w:rPr>
                <w:rFonts w:hint="eastAsia"/>
                <w:kern w:val="0"/>
                <w:szCs w:val="21"/>
              </w:rPr>
              <w:t>不服从学校安排，无端推诿、拖延，敷衍等，一次扣3分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5" w:type="dxa"/>
            <w:vMerge w:val="continue"/>
          </w:tcPr>
          <w:p>
            <w:pPr>
              <w:pStyle w:val="152"/>
              <w:spacing w:line="240" w:lineRule="auto"/>
              <w:ind w:firstLine="0" w:firstLineChars="0"/>
              <w:rPr>
                <w:kern w:val="0"/>
                <w:szCs w:val="21"/>
              </w:rPr>
            </w:pPr>
          </w:p>
        </w:tc>
        <w:tc>
          <w:tcPr>
            <w:tcW w:w="3456" w:type="dxa"/>
            <w:vAlign w:val="center"/>
          </w:tcPr>
          <w:p>
            <w:pPr>
              <w:pStyle w:val="152"/>
              <w:spacing w:line="240" w:lineRule="auto"/>
              <w:ind w:firstLine="0" w:firstLineChars="0"/>
              <w:rPr>
                <w:kern w:val="0"/>
                <w:szCs w:val="21"/>
              </w:rPr>
            </w:pPr>
            <w:r>
              <w:rPr>
                <w:rFonts w:hint="eastAsia"/>
                <w:kern w:val="0"/>
                <w:szCs w:val="21"/>
              </w:rPr>
              <w:t>服务团队的稳定性</w:t>
            </w:r>
          </w:p>
        </w:tc>
        <w:tc>
          <w:tcPr>
            <w:tcW w:w="791" w:type="dxa"/>
            <w:vAlign w:val="center"/>
          </w:tcPr>
          <w:p>
            <w:pPr>
              <w:pStyle w:val="152"/>
              <w:spacing w:line="240" w:lineRule="auto"/>
              <w:ind w:firstLine="0" w:firstLineChars="0"/>
              <w:rPr>
                <w:kern w:val="0"/>
                <w:szCs w:val="21"/>
              </w:rPr>
            </w:pPr>
            <w:r>
              <w:rPr>
                <w:rFonts w:hint="eastAsia"/>
                <w:kern w:val="0"/>
                <w:szCs w:val="21"/>
              </w:rPr>
              <w:t>1</w:t>
            </w:r>
          </w:p>
        </w:tc>
        <w:tc>
          <w:tcPr>
            <w:tcW w:w="3473" w:type="dxa"/>
            <w:vAlign w:val="center"/>
          </w:tcPr>
          <w:p>
            <w:pPr>
              <w:pStyle w:val="152"/>
              <w:spacing w:line="240" w:lineRule="auto"/>
              <w:ind w:firstLine="0" w:firstLineChars="0"/>
              <w:rPr>
                <w:kern w:val="0"/>
                <w:szCs w:val="21"/>
              </w:rPr>
            </w:pPr>
            <w:r>
              <w:rPr>
                <w:rFonts w:hint="eastAsia"/>
                <w:kern w:val="0"/>
                <w:szCs w:val="21"/>
              </w:rPr>
              <w:t>服务期每月调离或更换服务人员不得超过</w:t>
            </w:r>
            <w:r>
              <w:rPr>
                <w:kern w:val="0"/>
                <w:szCs w:val="21"/>
              </w:rPr>
              <w:t>20</w:t>
            </w:r>
            <w:r>
              <w:rPr>
                <w:rFonts w:hint="eastAsia"/>
                <w:kern w:val="0"/>
                <w:szCs w:val="21"/>
              </w:rPr>
              <w:t>%，超出</w:t>
            </w:r>
            <w:r>
              <w:rPr>
                <w:kern w:val="0"/>
                <w:szCs w:val="21"/>
              </w:rPr>
              <w:t>5%</w:t>
            </w:r>
            <w:r>
              <w:rPr>
                <w:rFonts w:hint="eastAsia"/>
                <w:kern w:val="0"/>
                <w:szCs w:val="21"/>
              </w:rPr>
              <w:t>次扣1分</w:t>
            </w:r>
          </w:p>
        </w:tc>
      </w:tr>
    </w:tbl>
    <w:p>
      <w:pPr>
        <w:rPr>
          <w:szCs w:val="21"/>
        </w:rPr>
      </w:pPr>
    </w:p>
    <w:p>
      <w:pPr>
        <w:pStyle w:val="4"/>
        <w:numPr>
          <w:ilvl w:val="2"/>
          <w:numId w:val="3"/>
        </w:numPr>
        <w:spacing w:after="200" w:line="520" w:lineRule="exact"/>
        <w:rPr>
          <w:rFonts w:cstheme="minorEastAsia"/>
          <w:color w:val="000000" w:themeColor="text1"/>
          <w14:textFill>
            <w14:solidFill>
              <w14:schemeClr w14:val="tx1"/>
            </w14:solidFill>
          </w14:textFill>
        </w:rPr>
      </w:pPr>
      <w:r>
        <w:rPr>
          <w:rFonts w:hint="eastAsia" w:cstheme="minorEastAsia"/>
          <w:color w:val="000000" w:themeColor="text1"/>
          <w14:textFill>
            <w14:solidFill>
              <w14:schemeClr w14:val="tx1"/>
            </w14:solidFill>
          </w14:textFill>
        </w:rPr>
        <w:t>付款方式</w:t>
      </w:r>
    </w:p>
    <w:p>
      <w:pPr>
        <w:tabs>
          <w:tab w:val="left" w:pos="0"/>
        </w:tabs>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根据学校考核方案，进行考核，实行奖惩，根据考核结果付款，一季度结算一次（每季度末次月支付）。</w:t>
      </w:r>
    </w:p>
    <w:p>
      <w:pPr>
        <w:pStyle w:val="4"/>
        <w:numPr>
          <w:ilvl w:val="2"/>
          <w:numId w:val="3"/>
        </w:numPr>
        <w:spacing w:after="200"/>
        <w:rPr>
          <w:rFonts w:cstheme="minorEastAsia"/>
          <w:color w:val="000000" w:themeColor="text1"/>
          <w14:textFill>
            <w14:solidFill>
              <w14:schemeClr w14:val="tx1"/>
            </w14:solidFill>
          </w14:textFill>
        </w:rPr>
      </w:pPr>
      <w:r>
        <w:rPr>
          <w:rFonts w:hint="eastAsia" w:cstheme="minorEastAsia"/>
          <w:color w:val="000000" w:themeColor="text1"/>
          <w14:textFill>
            <w14:solidFill>
              <w14:schemeClr w14:val="tx1"/>
            </w14:solidFill>
          </w14:textFill>
        </w:rPr>
        <w:t>★处罚办法（同辉（国际）小学详见考核表，其它学校均按照4.3.5执行）</w:t>
      </w:r>
    </w:p>
    <w:p>
      <w:pPr>
        <w:spacing w:line="360" w:lineRule="auto"/>
        <w:ind w:firstLine="560" w:firstLineChars="200"/>
        <w:rPr>
          <w:rFonts w:cstheme="minorEastAsia"/>
          <w:color w:val="000000" w:themeColor="text1"/>
          <w:sz w:val="28"/>
          <w:szCs w:val="28"/>
          <w14:textFill>
            <w14:solidFill>
              <w14:schemeClr w14:val="tx1"/>
            </w14:solidFill>
          </w14:textFill>
        </w:rPr>
      </w:pPr>
      <w:r>
        <w:rPr>
          <w:rFonts w:cstheme="minorEastAsia"/>
          <w:color w:val="000000" w:themeColor="text1"/>
          <w:sz w:val="28"/>
          <w:szCs w:val="28"/>
          <w14:textFill>
            <w14:solidFill>
              <w14:schemeClr w14:val="tx1"/>
            </w14:solidFill>
          </w14:textFill>
        </w:rPr>
        <w:t>由学校相关部门进行每周一次的定期检查和每月不少于1次不定期抽查，检查结果由供应商相关当事人签字，对学校职工、学生及家长、社会人员举报的相关违规行为核实后记入考核。</w:t>
      </w:r>
    </w:p>
    <w:p>
      <w:pPr>
        <w:spacing w:line="360" w:lineRule="auto"/>
        <w:ind w:firstLine="280" w:firstLineChars="100"/>
        <w:rPr>
          <w:rFonts w:cstheme="minorEastAsia"/>
          <w:color w:val="000000" w:themeColor="text1"/>
          <w:sz w:val="28"/>
          <w:szCs w:val="28"/>
          <w14:textFill>
            <w14:solidFill>
              <w14:schemeClr w14:val="tx1"/>
            </w14:solidFill>
          </w14:textFill>
        </w:rPr>
      </w:pPr>
      <w:r>
        <w:rPr>
          <w:rFonts w:cstheme="minorEastAsia"/>
          <w:color w:val="000000" w:themeColor="text1"/>
          <w:sz w:val="28"/>
          <w:szCs w:val="28"/>
          <w14:textFill>
            <w14:solidFill>
              <w14:schemeClr w14:val="tx1"/>
            </w14:solidFill>
          </w14:textFill>
        </w:rPr>
        <w:t>（1）当月得分不满80分，但大于70分（含70分）的，对人员及所在公司提出书面批评，责令其改正错误，并要求其写出书面整改报告。出现连续两次，约谈公司负责人。</w:t>
      </w:r>
    </w:p>
    <w:p>
      <w:pPr>
        <w:spacing w:line="360" w:lineRule="auto"/>
        <w:ind w:firstLine="280" w:firstLineChars="100"/>
        <w:rPr>
          <w:rFonts w:cstheme="minorEastAsia"/>
          <w:color w:val="000000" w:themeColor="text1"/>
          <w:sz w:val="28"/>
          <w:szCs w:val="28"/>
          <w14:textFill>
            <w14:solidFill>
              <w14:schemeClr w14:val="tx1"/>
            </w14:solidFill>
          </w14:textFill>
        </w:rPr>
      </w:pPr>
      <w:r>
        <w:rPr>
          <w:rFonts w:cstheme="minorEastAsia"/>
          <w:color w:val="000000" w:themeColor="text1"/>
          <w:sz w:val="28"/>
          <w:szCs w:val="28"/>
          <w14:textFill>
            <w14:solidFill>
              <w14:schemeClr w14:val="tx1"/>
            </w14:solidFill>
          </w14:textFill>
        </w:rPr>
        <w:t>（2）当月得分不满70分，但大于60分（含60分）的，除了责令其改正错误，并写出书面整改报告之外。应扣除当月物业管理费用的5%。一年合同期内累计三个月不满60分的，校方有权终止与投标人的合同。</w:t>
      </w:r>
    </w:p>
    <w:p>
      <w:pPr>
        <w:spacing w:line="360" w:lineRule="auto"/>
        <w:ind w:firstLine="280" w:firstLineChars="100"/>
        <w:rPr>
          <w:rFonts w:cstheme="minorEastAsia"/>
          <w:color w:val="000000" w:themeColor="text1"/>
          <w:sz w:val="28"/>
          <w:szCs w:val="28"/>
          <w14:textFill>
            <w14:solidFill>
              <w14:schemeClr w14:val="tx1"/>
            </w14:solidFill>
          </w14:textFill>
        </w:rPr>
      </w:pPr>
      <w:r>
        <w:rPr>
          <w:rFonts w:cstheme="minorEastAsia"/>
          <w:color w:val="000000" w:themeColor="text1"/>
          <w:sz w:val="28"/>
          <w:szCs w:val="28"/>
          <w14:textFill>
            <w14:solidFill>
              <w14:schemeClr w14:val="tx1"/>
            </w14:solidFill>
          </w14:textFill>
        </w:rPr>
        <w:t>（3）当月得分不满60分，但大于50分（含50分）的；除了责令其改正错误，并写出书面整改报告之外。应扣除当月物业管理费用的10%。一年合同期内累计两个月不满60分的校方有权随时终止合同。</w:t>
      </w:r>
    </w:p>
    <w:p>
      <w:pPr>
        <w:spacing w:line="360" w:lineRule="auto"/>
        <w:ind w:firstLine="280" w:firstLineChars="100"/>
        <w:rPr>
          <w:rFonts w:cstheme="minorEastAsia"/>
          <w:color w:val="000000" w:themeColor="text1"/>
          <w:sz w:val="28"/>
          <w:szCs w:val="28"/>
          <w14:textFill>
            <w14:solidFill>
              <w14:schemeClr w14:val="tx1"/>
            </w14:solidFill>
          </w14:textFill>
        </w:rPr>
      </w:pPr>
      <w:r>
        <w:rPr>
          <w:rFonts w:cstheme="minorEastAsia"/>
          <w:color w:val="000000" w:themeColor="text1"/>
          <w:sz w:val="28"/>
          <w:szCs w:val="28"/>
          <w14:textFill>
            <w14:solidFill>
              <w14:schemeClr w14:val="tx1"/>
            </w14:solidFill>
          </w14:textFill>
        </w:rPr>
        <w:t>（4）当月得分不满50分的，应扣除当月物业管理费用的20%。校方有权随时终止与投标人的合同。</w:t>
      </w:r>
    </w:p>
    <w:p>
      <w:pPr>
        <w:pStyle w:val="4"/>
        <w:numPr>
          <w:ilvl w:val="2"/>
          <w:numId w:val="3"/>
        </w:numPr>
        <w:spacing w:after="200" w:line="56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报价要求</w:t>
      </w:r>
    </w:p>
    <w:p>
      <w:pPr>
        <w:pStyle w:val="5"/>
        <w:numPr>
          <w:ilvl w:val="3"/>
          <w:numId w:val="3"/>
        </w:numPr>
        <w:spacing w:line="560" w:lineRule="exac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最高限价</w:t>
      </w:r>
    </w:p>
    <w:p>
      <w:pPr>
        <w:pStyle w:val="84"/>
        <w:tabs>
          <w:tab w:val="left" w:pos="993"/>
          <w:tab w:val="left" w:pos="1134"/>
        </w:tabs>
        <w:spacing w:line="560" w:lineRule="exact"/>
        <w:ind w:firstLine="565" w:firstLineChars="201"/>
        <w:rPr>
          <w:rFonts w:ascii="宋体" w:hAnsi="宋体" w:eastAsia="宋体"/>
          <w:b/>
          <w:color w:val="000000" w:themeColor="text1"/>
          <w:sz w:val="28"/>
          <w:szCs w:val="28"/>
          <w:lang w:val="zh-CN"/>
          <w14:textFill>
            <w14:solidFill>
              <w14:schemeClr w14:val="tx1"/>
            </w14:solidFill>
          </w14:textFill>
        </w:rPr>
      </w:pPr>
      <w:r>
        <w:rPr>
          <w:rFonts w:hint="eastAsia" w:ascii="宋体" w:hAnsi="宋体" w:eastAsia="宋体"/>
          <w:b/>
          <w:color w:val="000000" w:themeColor="text1"/>
          <w:sz w:val="28"/>
          <w:szCs w:val="28"/>
          <w14:textFill>
            <w14:solidFill>
              <w14:schemeClr w14:val="tx1"/>
            </w14:solidFill>
          </w14:textFill>
        </w:rPr>
        <w:t>★</w:t>
      </w:r>
      <w:r>
        <w:rPr>
          <w:rFonts w:hint="eastAsia" w:ascii="宋体" w:hAnsi="宋体" w:eastAsia="宋体"/>
          <w:b/>
          <w:color w:val="000000" w:themeColor="text1"/>
          <w:sz w:val="28"/>
          <w:szCs w:val="28"/>
          <w:lang w:val="zh-CN"/>
          <w14:textFill>
            <w14:solidFill>
              <w14:schemeClr w14:val="tx1"/>
            </w14:solidFill>
          </w14:textFill>
        </w:rPr>
        <w:t>本项目最高限价为人民币 11260480.00元/年，各包件和点位具体最高限价如下：</w:t>
      </w:r>
    </w:p>
    <w:p>
      <w:pPr>
        <w:pStyle w:val="84"/>
        <w:tabs>
          <w:tab w:val="left" w:pos="993"/>
          <w:tab w:val="left" w:pos="1134"/>
        </w:tabs>
        <w:spacing w:line="560" w:lineRule="exact"/>
        <w:ind w:firstLine="565" w:firstLineChars="201"/>
        <w:rPr>
          <w:rFonts w:ascii="宋体" w:hAnsi="宋体" w:eastAsia="宋体"/>
          <w:b/>
          <w:color w:val="000000" w:themeColor="text1"/>
          <w:sz w:val="28"/>
          <w:szCs w:val="28"/>
          <w:lang w:val="zh-CN"/>
          <w14:textFill>
            <w14:solidFill>
              <w14:schemeClr w14:val="tx1"/>
            </w14:solidFill>
          </w14:textFill>
        </w:rPr>
      </w:pPr>
      <w:r>
        <w:rPr>
          <w:rFonts w:hint="eastAsia" w:ascii="宋体" w:hAnsi="宋体" w:eastAsia="宋体"/>
          <w:b/>
          <w:color w:val="000000" w:themeColor="text1"/>
          <w:sz w:val="28"/>
          <w:szCs w:val="28"/>
          <w14:textFill>
            <w14:solidFill>
              <w14:schemeClr w14:val="tx1"/>
            </w14:solidFill>
          </w14:textFill>
        </w:rPr>
        <w:t>1.</w:t>
      </w:r>
      <w:r>
        <w:rPr>
          <w:rFonts w:hint="eastAsia" w:ascii="宋体" w:hAnsi="宋体" w:eastAsia="宋体"/>
          <w:b/>
          <w:color w:val="000000" w:themeColor="text1"/>
          <w:sz w:val="28"/>
          <w:szCs w:val="28"/>
          <w:lang w:val="zh-CN"/>
          <w14:textFill>
            <w14:solidFill>
              <w14:schemeClr w14:val="tx1"/>
            </w14:solidFill>
          </w14:textFill>
        </w:rPr>
        <w:t>包件</w:t>
      </w:r>
      <w:r>
        <w:rPr>
          <w:rFonts w:hint="eastAsia" w:ascii="宋体" w:hAnsi="宋体" w:eastAsia="宋体"/>
          <w:b/>
          <w:color w:val="000000" w:themeColor="text1"/>
          <w:sz w:val="28"/>
          <w:szCs w:val="28"/>
          <w14:textFill>
            <w14:solidFill>
              <w14:schemeClr w14:val="tx1"/>
            </w14:solidFill>
          </w14:textFill>
        </w:rPr>
        <w:t>1最高限价为3688000.00元/年（其中第五幼儿园最高限价为1831200.00元/年；实验小学附属幼儿园最高限价为856800.00元/年；同辉(国际)小学最高限价为550000.00/年；实验小学明道分校最高限价为450000.00/年）</w:t>
      </w:r>
      <w:r>
        <w:rPr>
          <w:rFonts w:hint="eastAsia" w:ascii="宋体" w:hAnsi="宋体" w:eastAsia="宋体"/>
          <w:b/>
          <w:color w:val="000000" w:themeColor="text1"/>
          <w:sz w:val="28"/>
          <w:szCs w:val="28"/>
          <w:lang w:val="zh-CN"/>
          <w14:textFill>
            <w14:solidFill>
              <w14:schemeClr w14:val="tx1"/>
            </w14:solidFill>
          </w14:textFill>
        </w:rPr>
        <w:t>。</w:t>
      </w:r>
    </w:p>
    <w:p>
      <w:pPr>
        <w:pStyle w:val="84"/>
        <w:tabs>
          <w:tab w:val="left" w:pos="993"/>
          <w:tab w:val="left" w:pos="1134"/>
        </w:tabs>
        <w:spacing w:line="560" w:lineRule="exact"/>
        <w:ind w:firstLine="565" w:firstLineChars="201"/>
        <w:rPr>
          <w:rFonts w:ascii="宋体" w:hAnsi="宋体" w:eastAsia="宋体"/>
          <w:b/>
          <w:color w:val="000000" w:themeColor="text1"/>
          <w:sz w:val="28"/>
          <w:szCs w:val="28"/>
          <w14:textFill>
            <w14:solidFill>
              <w14:schemeClr w14:val="tx1"/>
            </w14:solidFill>
          </w14:textFill>
        </w:rPr>
      </w:pPr>
      <w:r>
        <w:rPr>
          <w:rFonts w:hint="eastAsia" w:ascii="宋体" w:hAnsi="宋体" w:eastAsia="宋体"/>
          <w:b/>
          <w:color w:val="000000" w:themeColor="text1"/>
          <w:sz w:val="28"/>
          <w:szCs w:val="28"/>
          <w14:textFill>
            <w14:solidFill>
              <w14:schemeClr w14:val="tx1"/>
            </w14:solidFill>
          </w14:textFill>
        </w:rPr>
        <w:t>2.</w:t>
      </w:r>
      <w:r>
        <w:rPr>
          <w:rFonts w:hint="eastAsia" w:ascii="宋体" w:hAnsi="宋体" w:eastAsia="宋体"/>
          <w:b/>
          <w:color w:val="000000" w:themeColor="text1"/>
          <w:sz w:val="28"/>
          <w:szCs w:val="28"/>
          <w:lang w:val="zh-CN"/>
          <w14:textFill>
            <w14:solidFill>
              <w14:schemeClr w14:val="tx1"/>
            </w14:solidFill>
          </w14:textFill>
        </w:rPr>
        <w:t>包件</w:t>
      </w:r>
      <w:r>
        <w:rPr>
          <w:rFonts w:hint="eastAsia" w:ascii="宋体" w:hAnsi="宋体" w:eastAsia="宋体"/>
          <w:b/>
          <w:color w:val="000000" w:themeColor="text1"/>
          <w:sz w:val="28"/>
          <w:szCs w:val="28"/>
          <w14:textFill>
            <w14:solidFill>
              <w14:schemeClr w14:val="tx1"/>
            </w14:solidFill>
          </w14:textFill>
        </w:rPr>
        <w:t>2最高限价为3432880.00元/年（其中石室联中蜀华分校最高限价为650000.00元/年；泡桐树中学最高限价为1782960.00/年；石室联中西区分校最高限价为349920.00元/年，青羊区教育科学研究院最高限价为650000.00元/年）。</w:t>
      </w:r>
    </w:p>
    <w:p>
      <w:pPr>
        <w:pStyle w:val="84"/>
        <w:tabs>
          <w:tab w:val="left" w:pos="993"/>
          <w:tab w:val="left" w:pos="1134"/>
        </w:tabs>
        <w:spacing w:line="560" w:lineRule="exact"/>
        <w:ind w:firstLine="565" w:firstLineChars="201"/>
        <w:rPr>
          <w:rFonts w:ascii="宋体" w:hAnsi="宋体" w:eastAsia="宋体"/>
          <w:b/>
          <w:color w:val="000000" w:themeColor="text1"/>
          <w:sz w:val="28"/>
          <w:szCs w:val="28"/>
          <w:lang w:val="zh-CN"/>
          <w14:textFill>
            <w14:solidFill>
              <w14:schemeClr w14:val="tx1"/>
            </w14:solidFill>
          </w14:textFill>
        </w:rPr>
      </w:pPr>
      <w:r>
        <w:rPr>
          <w:rFonts w:hint="eastAsia" w:ascii="宋体" w:hAnsi="宋体" w:eastAsia="宋体"/>
          <w:b/>
          <w:color w:val="000000" w:themeColor="text1"/>
          <w:sz w:val="28"/>
          <w:szCs w:val="28"/>
          <w14:textFill>
            <w14:solidFill>
              <w14:schemeClr w14:val="tx1"/>
            </w14:solidFill>
          </w14:textFill>
        </w:rPr>
        <w:t>3.包件3最高限价为4139600.00元/年（其中第11中学最高限价为633600.00元/年；成飞中学最高限价为1100000.00元/年；第37中学最高限价为1218000.00元/年；树德协进中学最高限价为1188000.00/年）</w:t>
      </w:r>
    </w:p>
    <w:p>
      <w:pPr>
        <w:pStyle w:val="84"/>
        <w:tabs>
          <w:tab w:val="left" w:pos="993"/>
          <w:tab w:val="left" w:pos="1134"/>
        </w:tabs>
        <w:spacing w:line="560" w:lineRule="exact"/>
        <w:ind w:firstLine="565" w:firstLineChars="201"/>
        <w:rPr>
          <w:rFonts w:ascii="宋体" w:hAnsi="宋体" w:eastAsia="宋体"/>
          <w:b/>
          <w:color w:val="000000" w:themeColor="text1"/>
          <w:sz w:val="28"/>
          <w:szCs w:val="28"/>
          <w14:textFill>
            <w14:solidFill>
              <w14:schemeClr w14:val="tx1"/>
            </w14:solidFill>
          </w14:textFill>
        </w:rPr>
      </w:pPr>
      <w:r>
        <w:rPr>
          <w:rFonts w:hint="eastAsia" w:ascii="宋体" w:hAnsi="宋体" w:eastAsia="宋体"/>
          <w:b/>
          <w:color w:val="000000" w:themeColor="text1"/>
          <w:sz w:val="28"/>
          <w:szCs w:val="28"/>
          <w:lang w:val="zh-CN"/>
          <w14:textFill>
            <w14:solidFill>
              <w14:schemeClr w14:val="tx1"/>
            </w14:solidFill>
          </w14:textFill>
        </w:rPr>
        <w:t>投标人投标报价高于以上任一最高限价的则其投标文件将按无效投标文件处理。</w:t>
      </w:r>
    </w:p>
    <w:p>
      <w:pPr>
        <w:pStyle w:val="5"/>
        <w:numPr>
          <w:ilvl w:val="3"/>
          <w:numId w:val="3"/>
        </w:numPr>
        <w:spacing w:line="560" w:lineRule="exac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其他要求</w:t>
      </w:r>
    </w:p>
    <w:p>
      <w:pPr>
        <w:pStyle w:val="84"/>
        <w:tabs>
          <w:tab w:val="left" w:pos="993"/>
          <w:tab w:val="left" w:pos="1134"/>
        </w:tabs>
        <w:spacing w:line="560" w:lineRule="exact"/>
        <w:ind w:firstLine="568" w:firstLineChars="202"/>
        <w:rPr>
          <w:rFonts w:ascii="宋体" w:hAnsi="宋体" w:eastAsia="宋体"/>
          <w:b/>
          <w:color w:val="000000" w:themeColor="text1"/>
          <w:sz w:val="28"/>
          <w:szCs w:val="28"/>
          <w:lang w:val="zh-CN"/>
          <w14:textFill>
            <w14:solidFill>
              <w14:schemeClr w14:val="tx1"/>
            </w14:solidFill>
          </w14:textFill>
        </w:rPr>
      </w:pPr>
      <w:r>
        <w:rPr>
          <w:rFonts w:hint="eastAsia" w:ascii="宋体" w:hAnsi="宋体" w:eastAsia="宋体"/>
          <w:b/>
          <w:color w:val="000000" w:themeColor="text1"/>
          <w:sz w:val="28"/>
          <w:szCs w:val="28"/>
          <w:lang w:val="zh-CN"/>
          <w14:textFill>
            <w14:solidFill>
              <w14:schemeClr w14:val="tx1"/>
            </w14:solidFill>
          </w14:textFill>
        </w:rPr>
        <w:t>★</w:t>
      </w:r>
      <w:r>
        <w:rPr>
          <w:rFonts w:hint="eastAsia" w:ascii="宋体" w:hAnsi="宋体" w:eastAsia="宋体"/>
          <w:b/>
          <w:color w:val="000000" w:themeColor="text1"/>
          <w:sz w:val="28"/>
          <w:szCs w:val="28"/>
          <w14:textFill>
            <w14:solidFill>
              <w14:schemeClr w14:val="tx1"/>
            </w14:solidFill>
          </w14:textFill>
        </w:rPr>
        <w:t>1.</w:t>
      </w:r>
      <w:r>
        <w:rPr>
          <w:rFonts w:hint="eastAsia" w:ascii="宋体" w:hAnsi="宋体" w:eastAsia="宋体"/>
          <w:b/>
          <w:color w:val="000000" w:themeColor="text1"/>
          <w:sz w:val="28"/>
          <w:szCs w:val="28"/>
          <w:lang w:val="zh-CN"/>
          <w14:textFill>
            <w14:solidFill>
              <w14:schemeClr w14:val="tx1"/>
            </w14:solidFill>
          </w14:textFill>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p>
      <w:pPr>
        <w:pStyle w:val="152"/>
        <w:ind w:firstLine="560"/>
        <w:rPr>
          <w:rFonts w:ascii="宋体" w:hAnsi="宋体" w:cs="Calibri"/>
          <w:bCs/>
          <w:color w:val="000000" w:themeColor="text1"/>
          <w:sz w:val="28"/>
          <w:szCs w:val="28"/>
          <w:lang w:val="zh-CN"/>
          <w14:textFill>
            <w14:solidFill>
              <w14:schemeClr w14:val="tx1"/>
            </w14:solidFill>
          </w14:textFill>
        </w:rPr>
      </w:pPr>
      <w:r>
        <w:rPr>
          <w:rFonts w:hint="eastAsia" w:ascii="宋体" w:hAnsi="宋体" w:cs="Calibri"/>
          <w:bCs/>
          <w:color w:val="000000" w:themeColor="text1"/>
          <w:sz w:val="28"/>
          <w:szCs w:val="28"/>
          <w:lang w:val="zh-CN"/>
          <w14:textFill>
            <w14:solidFill>
              <w14:schemeClr w14:val="tx1"/>
            </w14:solidFill>
          </w14:textFill>
        </w:rPr>
        <w:t>★</w:t>
      </w:r>
      <w:r>
        <w:rPr>
          <w:rFonts w:ascii="宋体" w:hAnsi="宋体" w:cs="Calibri"/>
          <w:bCs/>
          <w:color w:val="000000" w:themeColor="text1"/>
          <w:sz w:val="28"/>
          <w:szCs w:val="28"/>
          <w14:textFill>
            <w14:solidFill>
              <w14:schemeClr w14:val="tx1"/>
            </w14:solidFill>
          </w14:textFill>
        </w:rPr>
        <w:t>2</w:t>
      </w:r>
      <w:r>
        <w:rPr>
          <w:rFonts w:hint="eastAsia" w:ascii="宋体" w:hAnsi="宋体" w:cs="Calibri"/>
          <w:bCs/>
          <w:color w:val="000000" w:themeColor="text1"/>
          <w:sz w:val="28"/>
          <w:szCs w:val="28"/>
          <w:lang w:val="zh-CN"/>
          <w14:textFill>
            <w14:solidFill>
              <w14:schemeClr w14:val="tx1"/>
            </w14:solidFill>
          </w14:textFill>
        </w:rPr>
        <w:t>、为保证学校工作的正常有序，中标供应商应保证服务团队人员的稳定，供应商人员的</w:t>
      </w:r>
      <w:r>
        <w:rPr>
          <w:rFonts w:hint="eastAsia" w:ascii="宋体" w:hAnsi="宋体" w:cs="宋体"/>
          <w:sz w:val="28"/>
          <w:szCs w:val="28"/>
          <w:lang w:val="zh-CN"/>
        </w:rPr>
        <w:t>离职、调换、新聘必须书面报采购人，经采购人审核后方可进行。定期向监管单位书面报告从业人员情况。</w:t>
      </w:r>
      <w:r>
        <w:rPr>
          <w:rFonts w:hint="eastAsia" w:ascii="宋体" w:hAnsi="宋体" w:cs="Calibri"/>
          <w:bCs/>
          <w:color w:val="000000" w:themeColor="text1"/>
          <w:sz w:val="28"/>
          <w:szCs w:val="28"/>
          <w:lang w:val="zh-CN"/>
          <w14:textFill>
            <w14:solidFill>
              <w14:schemeClr w14:val="tx1"/>
            </w14:solidFill>
          </w14:textFill>
        </w:rPr>
        <w:t>员工自动离职的，须有本人情况说明。（提供承诺函）。</w:t>
      </w:r>
    </w:p>
    <w:p>
      <w:pPr>
        <w:pStyle w:val="152"/>
        <w:ind w:firstLine="560"/>
        <w:rPr>
          <w:rFonts w:ascii="宋体" w:hAnsi="宋体" w:cs="Calibri"/>
          <w:bCs/>
          <w:color w:val="000000" w:themeColor="text1"/>
          <w:sz w:val="28"/>
          <w:szCs w:val="28"/>
          <w:lang w:val="zh-CN"/>
          <w14:textFill>
            <w14:solidFill>
              <w14:schemeClr w14:val="tx1"/>
            </w14:solidFill>
          </w14:textFill>
        </w:rPr>
      </w:pPr>
      <w:r>
        <w:rPr>
          <w:rFonts w:ascii="宋体" w:hAnsi="宋体" w:cs="Calibri"/>
          <w:bCs/>
          <w:color w:val="000000" w:themeColor="text1"/>
          <w:sz w:val="28"/>
          <w:szCs w:val="28"/>
          <w14:textFill>
            <w14:solidFill>
              <w14:schemeClr w14:val="tx1"/>
            </w14:solidFill>
          </w14:textFill>
        </w:rPr>
        <w:t>3</w:t>
      </w:r>
      <w:r>
        <w:rPr>
          <w:rFonts w:hint="eastAsia" w:ascii="宋体" w:hAnsi="宋体" w:cs="Calibri"/>
          <w:bCs/>
          <w:color w:val="000000" w:themeColor="text1"/>
          <w:sz w:val="28"/>
          <w:szCs w:val="28"/>
          <w:lang w:val="zh-CN"/>
          <w14:textFill>
            <w14:solidFill>
              <w14:schemeClr w14:val="tx1"/>
            </w14:solidFill>
          </w14:textFill>
        </w:rPr>
        <w:t>、除清洁卫生用的垃圾箱、垃圾车、水电维修工具、疫情消杀药品、警用器械（除对讲机）外，服务期间的服装、垃圾袋、对讲机、清洁工具等由供应商负责提供。</w:t>
      </w:r>
    </w:p>
    <w:p>
      <w:pPr>
        <w:pStyle w:val="152"/>
        <w:ind w:firstLine="560"/>
        <w:rPr>
          <w:rFonts w:ascii="宋体" w:hAnsi="宋体" w:cs="Calibri"/>
          <w:bCs/>
          <w:color w:val="000000" w:themeColor="text1"/>
          <w:sz w:val="28"/>
          <w:szCs w:val="28"/>
          <w:lang w:val="zh-CN"/>
          <w14:textFill>
            <w14:solidFill>
              <w14:schemeClr w14:val="tx1"/>
            </w14:solidFill>
          </w14:textFill>
        </w:rPr>
      </w:pPr>
      <w:r>
        <w:rPr>
          <w:rFonts w:ascii="宋体" w:hAnsi="宋体" w:cs="Calibri"/>
          <w:bCs/>
          <w:color w:val="000000" w:themeColor="text1"/>
          <w:sz w:val="28"/>
          <w:szCs w:val="28"/>
          <w14:textFill>
            <w14:solidFill>
              <w14:schemeClr w14:val="tx1"/>
            </w14:solidFill>
          </w14:textFill>
        </w:rPr>
        <w:t>4</w:t>
      </w:r>
      <w:r>
        <w:rPr>
          <w:rFonts w:hint="eastAsia" w:ascii="宋体" w:hAnsi="宋体" w:cs="Calibri"/>
          <w:bCs/>
          <w:color w:val="000000" w:themeColor="text1"/>
          <w:sz w:val="28"/>
          <w:szCs w:val="28"/>
          <w:lang w:val="zh-CN"/>
          <w14:textFill>
            <w14:solidFill>
              <w14:schemeClr w14:val="tx1"/>
            </w14:solidFill>
          </w14:textFill>
        </w:rPr>
        <w:t>、除值班室和工具室外，学校对物业管理服务人员不提供住宿。学校正常开课期间，人员的就餐由学校和供应商自行商定。</w:t>
      </w:r>
    </w:p>
    <w:p>
      <w:pPr>
        <w:spacing w:line="560" w:lineRule="exact"/>
        <w:ind w:firstLine="560" w:firstLineChars="200"/>
        <w:rPr>
          <w:rFonts w:ascii="宋体" w:hAnsi="宋体" w:cs="宋体"/>
          <w:sz w:val="28"/>
          <w:szCs w:val="28"/>
          <w:lang w:val="zh-CN"/>
        </w:rPr>
      </w:pPr>
      <w:r>
        <w:rPr>
          <w:rFonts w:hint="eastAsia" w:ascii="宋体" w:hAnsi="宋体" w:cs="Calibri"/>
          <w:bCs/>
          <w:color w:val="000000" w:themeColor="text1"/>
          <w:sz w:val="28"/>
          <w:szCs w:val="28"/>
          <w:lang w:val="zh-CN"/>
          <w14:textFill>
            <w14:solidFill>
              <w14:schemeClr w14:val="tx1"/>
            </w14:solidFill>
          </w14:textFill>
        </w:rPr>
        <w:t>★</w:t>
      </w:r>
      <w:r>
        <w:rPr>
          <w:rFonts w:ascii="宋体" w:hAnsi="宋体" w:cs="Calibri"/>
          <w:bCs/>
          <w:color w:val="000000" w:themeColor="text1"/>
          <w:sz w:val="28"/>
          <w:szCs w:val="28"/>
          <w14:textFill>
            <w14:solidFill>
              <w14:schemeClr w14:val="tx1"/>
            </w14:solidFill>
          </w14:textFill>
        </w:rPr>
        <w:t>5</w:t>
      </w:r>
      <w:r>
        <w:rPr>
          <w:rFonts w:hint="eastAsia" w:ascii="宋体" w:hAnsi="宋体" w:cs="Calibri"/>
          <w:bCs/>
          <w:color w:val="000000" w:themeColor="text1"/>
          <w:sz w:val="28"/>
          <w:szCs w:val="28"/>
          <w:lang w:val="zh-CN"/>
          <w14:textFill>
            <w14:solidFill>
              <w14:schemeClr w14:val="tx1"/>
            </w14:solidFill>
          </w14:textFill>
        </w:rPr>
        <w:t>、供应商须按照劳动法和当地政策规定，与派遣的员工签订劳动合同，</w:t>
      </w:r>
      <w:r>
        <w:rPr>
          <w:rFonts w:hint="eastAsia" w:ascii="宋体" w:hAnsi="宋体" w:cs="宋体"/>
          <w:sz w:val="28"/>
          <w:szCs w:val="28"/>
          <w:lang w:val="zh-CN"/>
        </w:rPr>
        <w:t>员工薪资不得低于当地最低薪酬标准，在职期间为其购买劳动法规定的各项保险，其人员工资标准、劳保、福利等应执行国家和地方政府的相关法律、法规和部门规章。</w:t>
      </w:r>
      <w:r>
        <w:rPr>
          <w:rFonts w:hint="eastAsia" w:ascii="宋体" w:hAnsi="宋体" w:cs="Calibri"/>
          <w:bCs/>
          <w:color w:val="000000" w:themeColor="text1"/>
          <w:sz w:val="28"/>
          <w:szCs w:val="28"/>
          <w:lang w:val="zh-CN"/>
          <w14:textFill>
            <w14:solidFill>
              <w14:schemeClr w14:val="tx1"/>
            </w14:solidFill>
          </w14:textFill>
        </w:rPr>
        <w:t xml:space="preserve"> (提供承诺函)</w:t>
      </w:r>
      <w:r>
        <w:rPr>
          <w:rFonts w:hint="eastAsia" w:ascii="宋体" w:hAnsi="宋体" w:cs="宋体"/>
          <w:sz w:val="28"/>
          <w:szCs w:val="28"/>
          <w:lang w:val="zh-CN"/>
        </w:rPr>
        <w:t xml:space="preserve"> </w:t>
      </w:r>
    </w:p>
    <w:p>
      <w:pPr>
        <w:pStyle w:val="152"/>
        <w:ind w:firstLine="560"/>
        <w:rPr>
          <w:rFonts w:ascii="宋体" w:hAnsi="宋体" w:cs="Calibri"/>
          <w:bCs/>
          <w:color w:val="000000" w:themeColor="text1"/>
          <w:sz w:val="28"/>
          <w:szCs w:val="28"/>
          <w:lang w:val="zh-CN"/>
          <w14:textFill>
            <w14:solidFill>
              <w14:schemeClr w14:val="tx1"/>
            </w14:solidFill>
          </w14:textFill>
        </w:rPr>
      </w:pPr>
      <w:r>
        <w:rPr>
          <w:rFonts w:hint="eastAsia" w:ascii="宋体" w:hAnsi="宋体" w:cs="Calibri"/>
          <w:bCs/>
          <w:color w:val="000000" w:themeColor="text1"/>
          <w:sz w:val="28"/>
          <w:szCs w:val="28"/>
          <w:lang w:val="zh-CN"/>
          <w14:textFill>
            <w14:solidFill>
              <w14:schemeClr w14:val="tx1"/>
            </w14:solidFill>
          </w14:textFill>
        </w:rPr>
        <w:t>★</w:t>
      </w:r>
      <w:r>
        <w:rPr>
          <w:rFonts w:ascii="宋体" w:hAnsi="宋体" w:cs="Calibri"/>
          <w:bCs/>
          <w:color w:val="000000" w:themeColor="text1"/>
          <w:sz w:val="28"/>
          <w:szCs w:val="28"/>
          <w14:textFill>
            <w14:solidFill>
              <w14:schemeClr w14:val="tx1"/>
            </w14:solidFill>
          </w14:textFill>
        </w:rPr>
        <w:t>6</w:t>
      </w:r>
      <w:r>
        <w:rPr>
          <w:rFonts w:hint="eastAsia" w:ascii="宋体" w:hAnsi="宋体" w:cs="Calibri"/>
          <w:bCs/>
          <w:color w:val="000000" w:themeColor="text1"/>
          <w:sz w:val="28"/>
          <w:szCs w:val="28"/>
          <w:lang w:val="zh-CN"/>
          <w14:textFill>
            <w14:solidFill>
              <w14:schemeClr w14:val="tx1"/>
            </w14:solidFill>
          </w14:textFill>
        </w:rPr>
        <w:t>、员工在校期间应遵照安全工作规程，注重自身生命和财产安全，投标人须对其物业从业人员的伤病和人身安全等负责，采购人对此不承担任何的责任和义务。供应商应根据情况为员工购买相应的安全责任险。(提供承诺函)</w:t>
      </w:r>
    </w:p>
    <w:p>
      <w:pPr>
        <w:pStyle w:val="84"/>
        <w:tabs>
          <w:tab w:val="left" w:pos="993"/>
          <w:tab w:val="left" w:pos="1134"/>
        </w:tabs>
        <w:spacing w:line="360" w:lineRule="auto"/>
        <w:ind w:firstLine="560"/>
        <w:rPr>
          <w:rFonts w:ascii="宋体" w:hAnsi="宋体" w:eastAsia="宋体"/>
          <w:bCs/>
          <w:color w:val="000000" w:themeColor="text1"/>
          <w:sz w:val="28"/>
          <w:szCs w:val="28"/>
          <w14:textFill>
            <w14:solidFill>
              <w14:schemeClr w14:val="tx1"/>
            </w14:solidFill>
          </w14:textFill>
        </w:rPr>
      </w:pPr>
      <w:bookmarkStart w:id="272" w:name="_Hlk88472146"/>
      <w:r>
        <w:rPr>
          <w:rFonts w:hint="eastAsia" w:ascii="宋体" w:hAnsi="宋体" w:eastAsia="宋体"/>
          <w:bCs/>
          <w:color w:val="000000" w:themeColor="text1"/>
          <w:sz w:val="28"/>
          <w:szCs w:val="28"/>
          <w:lang w:val="zh-CN"/>
          <w14:textFill>
            <w14:solidFill>
              <w14:schemeClr w14:val="tx1"/>
            </w14:solidFill>
          </w14:textFill>
        </w:rPr>
        <w:t>★</w:t>
      </w:r>
      <w:bookmarkEnd w:id="272"/>
      <w:r>
        <w:rPr>
          <w:rFonts w:ascii="宋体" w:hAnsi="宋体" w:eastAsia="宋体"/>
          <w:bCs/>
          <w:color w:val="000000" w:themeColor="text1"/>
          <w:sz w:val="28"/>
          <w:szCs w:val="28"/>
          <w14:textFill>
            <w14:solidFill>
              <w14:schemeClr w14:val="tx1"/>
            </w14:solidFill>
          </w14:textFill>
        </w:rPr>
        <w:t>7</w:t>
      </w:r>
      <w:r>
        <w:rPr>
          <w:rFonts w:hint="eastAsia" w:ascii="宋体" w:hAnsi="宋体" w:eastAsia="宋体"/>
          <w:bCs/>
          <w:color w:val="000000" w:themeColor="text1"/>
          <w:sz w:val="28"/>
          <w:szCs w:val="28"/>
          <w:lang w:val="zh-CN"/>
          <w14:textFill>
            <w14:solidFill>
              <w14:schemeClr w14:val="tx1"/>
            </w14:solidFill>
          </w14:textFill>
        </w:rPr>
        <w:t>、因投标人工作的原因出现重大安全责任事故，致使师生生命安全受到伤害、财产受到损失时，除无条件中止合同外，还应承担相应的法律责任、民事责任(提供承诺函)。</w:t>
      </w:r>
    </w:p>
    <w:p>
      <w:pPr>
        <w:pStyle w:val="84"/>
        <w:tabs>
          <w:tab w:val="left" w:pos="993"/>
          <w:tab w:val="left" w:pos="1134"/>
        </w:tabs>
        <w:spacing w:line="360" w:lineRule="auto"/>
        <w:ind w:firstLine="560"/>
        <w:rPr>
          <w:rFonts w:ascii="宋体" w:hAnsi="宋体" w:eastAsia="宋体"/>
          <w:bCs/>
          <w:color w:val="000000" w:themeColor="text1"/>
          <w:sz w:val="28"/>
          <w:szCs w:val="28"/>
          <w14:textFill>
            <w14:solidFill>
              <w14:schemeClr w14:val="tx1"/>
            </w14:solidFill>
          </w14:textFill>
        </w:rPr>
      </w:pPr>
      <w:r>
        <w:rPr>
          <w:rFonts w:hint="eastAsia" w:ascii="宋体" w:hAnsi="宋体" w:eastAsia="宋体"/>
          <w:bCs/>
          <w:color w:val="000000" w:themeColor="text1"/>
          <w:sz w:val="28"/>
          <w:szCs w:val="28"/>
          <w:lang w:val="zh-CN"/>
          <w14:textFill>
            <w14:solidFill>
              <w14:schemeClr w14:val="tx1"/>
            </w14:solidFill>
          </w14:textFill>
        </w:rPr>
        <w:t>★</w:t>
      </w:r>
      <w:r>
        <w:rPr>
          <w:rFonts w:ascii="宋体" w:hAnsi="宋体"/>
          <w:bCs/>
          <w:color w:val="000000" w:themeColor="text1"/>
          <w:sz w:val="28"/>
          <w:szCs w:val="28"/>
          <w14:textFill>
            <w14:solidFill>
              <w14:schemeClr w14:val="tx1"/>
            </w14:solidFill>
          </w14:textFill>
        </w:rPr>
        <w:t>8</w:t>
      </w:r>
      <w:r>
        <w:rPr>
          <w:rFonts w:hint="eastAsia" w:ascii="宋体" w:hAnsi="宋体"/>
          <w:bCs/>
          <w:color w:val="000000" w:themeColor="text1"/>
          <w:sz w:val="28"/>
          <w:szCs w:val="28"/>
          <w14:textFill>
            <w14:solidFill>
              <w14:schemeClr w14:val="tx1"/>
            </w14:solidFill>
          </w14:textFill>
        </w:rPr>
        <w:t>、供应商</w:t>
      </w:r>
      <w:r>
        <w:rPr>
          <w:rFonts w:hint="eastAsia" w:ascii="宋体" w:hAnsi="宋体"/>
          <w:sz w:val="30"/>
          <w:szCs w:val="30"/>
        </w:rPr>
        <w:t>在领取中标通知书后签订合同前，将投标文件中响</w:t>
      </w:r>
      <w:r>
        <w:rPr>
          <w:rFonts w:hint="eastAsia" w:ascii="宋体" w:hAnsi="宋体" w:cs="宋体"/>
          <w:sz w:val="28"/>
          <w:szCs w:val="28"/>
          <w:lang w:val="zh-CN"/>
        </w:rPr>
        <w:t>应招标文件人员配置要求的所有证明材料原件交由采购人审查，如出现原件存在提供虚假材料、与投标文件中提供的材料不符、实际入场人员与投标文件中配备的人员不符的情况，采购人有权取消供应商中标资格。如在规定时限内供应商未能递交材料原件，视为供应商拒绝与采购人签订合同</w:t>
      </w:r>
      <w:r>
        <w:rPr>
          <w:rFonts w:hint="eastAsia" w:ascii="宋体" w:hAnsi="宋体" w:eastAsia="宋体"/>
          <w:bCs/>
          <w:color w:val="000000" w:themeColor="text1"/>
          <w:sz w:val="28"/>
          <w:szCs w:val="28"/>
          <w:lang w:val="zh-CN"/>
          <w14:textFill>
            <w14:solidFill>
              <w14:schemeClr w14:val="tx1"/>
            </w14:solidFill>
          </w14:textFill>
        </w:rPr>
        <w:t>(提供承诺函)。</w:t>
      </w:r>
    </w:p>
    <w:p>
      <w:pPr>
        <w:spacing w:line="560" w:lineRule="exact"/>
        <w:ind w:firstLine="560" w:firstLineChars="200"/>
        <w:rPr>
          <w:rFonts w:ascii="宋体" w:hAnsi="宋体"/>
          <w:bCs/>
          <w:color w:val="000000" w:themeColor="text1"/>
          <w:sz w:val="28"/>
          <w:szCs w:val="28"/>
          <w:lang w:val="zh-CN"/>
          <w14:textFill>
            <w14:solidFill>
              <w14:schemeClr w14:val="tx1"/>
            </w14:solidFill>
          </w14:textFill>
        </w:rPr>
      </w:pPr>
      <w:r>
        <w:rPr>
          <w:rFonts w:hint="eastAsia" w:ascii="宋体" w:hAnsi="宋体"/>
          <w:bCs/>
          <w:color w:val="000000" w:themeColor="text1"/>
          <w:sz w:val="28"/>
          <w:szCs w:val="28"/>
          <w:lang w:val="zh-CN"/>
          <w14:textFill>
            <w14:solidFill>
              <w14:schemeClr w14:val="tx1"/>
            </w14:solidFill>
          </w14:textFill>
        </w:rPr>
        <w:t>★</w:t>
      </w:r>
      <w:r>
        <w:rPr>
          <w:rFonts w:cs="宋体" w:asciiTheme="minorEastAsia" w:hAnsiTheme="minorEastAsia"/>
          <w:sz w:val="28"/>
          <w:szCs w:val="28"/>
        </w:rPr>
        <w:t>9</w:t>
      </w:r>
      <w:r>
        <w:rPr>
          <w:rFonts w:hint="eastAsia" w:cs="宋体" w:asciiTheme="minorEastAsia" w:hAnsiTheme="minorEastAsia"/>
          <w:sz w:val="28"/>
          <w:szCs w:val="28"/>
        </w:rPr>
        <w:t>、供应商</w:t>
      </w:r>
      <w:r>
        <w:rPr>
          <w:rFonts w:cs="宋体" w:asciiTheme="minorEastAsia" w:hAnsiTheme="minorEastAsia"/>
          <w:sz w:val="28"/>
          <w:szCs w:val="28"/>
        </w:rPr>
        <w:t>为</w:t>
      </w:r>
      <w:r>
        <w:rPr>
          <w:rFonts w:hint="eastAsia" w:cs="宋体" w:asciiTheme="minorEastAsia" w:hAnsiTheme="minorEastAsia"/>
          <w:sz w:val="28"/>
          <w:szCs w:val="28"/>
        </w:rPr>
        <w:t>本</w:t>
      </w:r>
      <w:r>
        <w:rPr>
          <w:rFonts w:cs="宋体" w:asciiTheme="minorEastAsia" w:hAnsiTheme="minorEastAsia"/>
          <w:sz w:val="28"/>
          <w:szCs w:val="28"/>
        </w:rPr>
        <w:t>项目提供的所有</w:t>
      </w:r>
      <w:r>
        <w:rPr>
          <w:rFonts w:hint="eastAsia" w:cs="宋体" w:asciiTheme="minorEastAsia" w:hAnsiTheme="minorEastAsia"/>
          <w:sz w:val="28"/>
          <w:szCs w:val="28"/>
        </w:rPr>
        <w:t>服务</w:t>
      </w:r>
      <w:r>
        <w:rPr>
          <w:rFonts w:hint="eastAsia" w:asciiTheme="minorEastAsia" w:hAnsiTheme="minorEastAsia"/>
          <w:sz w:val="28"/>
          <w:szCs w:val="28"/>
        </w:rPr>
        <w:t>符合现行的强制性国家相关标准、行业标准。</w:t>
      </w:r>
      <w:r>
        <w:rPr>
          <w:rFonts w:hint="eastAsia" w:ascii="宋体" w:hAnsi="宋体"/>
          <w:bCs/>
          <w:color w:val="000000" w:themeColor="text1"/>
          <w:sz w:val="28"/>
          <w:szCs w:val="28"/>
          <w:lang w:val="zh-CN"/>
          <w14:textFill>
            <w14:solidFill>
              <w14:schemeClr w14:val="tx1"/>
            </w14:solidFill>
          </w14:textFill>
        </w:rPr>
        <w:t>(提供承诺函)</w:t>
      </w:r>
    </w:p>
    <w:p>
      <w:pPr>
        <w:spacing w:line="560" w:lineRule="exact"/>
        <w:ind w:firstLine="560" w:firstLineChars="200"/>
        <w:rPr>
          <w:rFonts w:ascii="宋体" w:hAnsi="宋体"/>
          <w:bCs/>
          <w:sz w:val="28"/>
          <w:szCs w:val="28"/>
        </w:rPr>
      </w:pPr>
      <w:r>
        <w:rPr>
          <w:rFonts w:hint="eastAsia" w:ascii="宋体" w:hAnsi="宋体"/>
          <w:bCs/>
          <w:sz w:val="28"/>
          <w:szCs w:val="28"/>
          <w:lang w:val="zh-CN"/>
        </w:rPr>
        <w:t>★</w:t>
      </w:r>
      <w:r>
        <w:rPr>
          <w:rFonts w:hint="eastAsia" w:ascii="宋体" w:hAnsi="宋体"/>
          <w:bCs/>
          <w:sz w:val="28"/>
          <w:szCs w:val="28"/>
        </w:rPr>
        <w:t>1</w:t>
      </w:r>
      <w:r>
        <w:rPr>
          <w:rFonts w:ascii="宋体" w:hAnsi="宋体"/>
          <w:bCs/>
          <w:sz w:val="28"/>
          <w:szCs w:val="28"/>
        </w:rPr>
        <w:t>0</w:t>
      </w:r>
      <w:r>
        <w:rPr>
          <w:rFonts w:hint="eastAsia" w:ascii="宋体" w:hAnsi="宋体"/>
          <w:bCs/>
          <w:sz w:val="28"/>
          <w:szCs w:val="28"/>
        </w:rPr>
        <w:t>.若供应商参与多个包件的投标，各包件的服务团队不能重复。（提供承诺函）</w:t>
      </w:r>
    </w:p>
    <w:p>
      <w:pPr>
        <w:spacing w:line="360" w:lineRule="auto"/>
        <w:rPr>
          <w:rFonts w:asciiTheme="minorEastAsia" w:hAnsiTheme="minorEastAsia" w:eastAsiaTheme="minorEastAsia"/>
          <w:color w:val="000000" w:themeColor="text1"/>
          <w:sz w:val="28"/>
          <w:szCs w:val="28"/>
          <w14:textFill>
            <w14:solidFill>
              <w14:schemeClr w14:val="tx1"/>
            </w14:solidFill>
          </w14:textFill>
        </w:rPr>
      </w:pPr>
    </w:p>
    <w:p>
      <w:pPr>
        <w:spacing w:line="360" w:lineRule="auto"/>
        <w:rPr>
          <w:rFonts w:asciiTheme="minorEastAsia" w:hAnsiTheme="minorEastAsia" w:eastAsiaTheme="minorEastAsia"/>
          <w:color w:val="000000" w:themeColor="text1"/>
          <w:sz w:val="28"/>
          <w:szCs w:val="28"/>
          <w14:textFill>
            <w14:solidFill>
              <w14:schemeClr w14:val="tx1"/>
            </w14:solidFill>
          </w14:textFill>
        </w:rPr>
      </w:pPr>
    </w:p>
    <w:p>
      <w:pPr>
        <w:spacing w:line="360" w:lineRule="auto"/>
        <w:rPr>
          <w:rFonts w:asciiTheme="minorEastAsia" w:hAnsiTheme="minorEastAsia" w:eastAsiaTheme="minorEastAsia"/>
          <w:color w:val="000000" w:themeColor="text1"/>
          <w:sz w:val="28"/>
          <w:szCs w:val="28"/>
          <w14:textFill>
            <w14:solidFill>
              <w14:schemeClr w14:val="tx1"/>
            </w14:solidFill>
          </w14:textFill>
        </w:rPr>
      </w:pPr>
    </w:p>
    <w:p>
      <w:pPr>
        <w:spacing w:line="360" w:lineRule="auto"/>
        <w:rPr>
          <w:rFonts w:asciiTheme="minorEastAsia" w:hAnsiTheme="minorEastAsia" w:eastAsiaTheme="minorEastAsia"/>
          <w:color w:val="000000" w:themeColor="text1"/>
          <w:sz w:val="28"/>
          <w:szCs w:val="28"/>
          <w14:textFill>
            <w14:solidFill>
              <w14:schemeClr w14:val="tx1"/>
            </w14:solidFill>
          </w14:textFill>
        </w:rPr>
      </w:pPr>
    </w:p>
    <w:p>
      <w:pPr>
        <w:spacing w:line="360" w:lineRule="auto"/>
        <w:rPr>
          <w:rFonts w:asciiTheme="minorEastAsia" w:hAnsiTheme="minorEastAsia" w:eastAsiaTheme="minorEastAsia"/>
          <w:color w:val="000000" w:themeColor="text1"/>
          <w:sz w:val="28"/>
          <w:szCs w:val="28"/>
          <w14:textFill>
            <w14:solidFill>
              <w14:schemeClr w14:val="tx1"/>
            </w14:solidFill>
          </w14:textFill>
        </w:rPr>
      </w:pPr>
    </w:p>
    <w:p>
      <w:pPr>
        <w:spacing w:line="360" w:lineRule="auto"/>
        <w:rPr>
          <w:rFonts w:asciiTheme="minorEastAsia" w:hAnsiTheme="minorEastAsia" w:eastAsiaTheme="minorEastAsia"/>
          <w:color w:val="000000" w:themeColor="text1"/>
          <w:sz w:val="28"/>
          <w:szCs w:val="28"/>
          <w14:textFill>
            <w14:solidFill>
              <w14:schemeClr w14:val="tx1"/>
            </w14:solidFill>
          </w14:textFill>
        </w:rPr>
      </w:pPr>
    </w:p>
    <w:p>
      <w:pPr>
        <w:spacing w:line="360" w:lineRule="auto"/>
        <w:rPr>
          <w:rFonts w:asciiTheme="minorEastAsia" w:hAnsiTheme="minorEastAsia" w:eastAsiaTheme="minorEastAsia"/>
          <w:color w:val="000000" w:themeColor="text1"/>
          <w:sz w:val="28"/>
          <w:szCs w:val="28"/>
          <w14:textFill>
            <w14:solidFill>
              <w14:schemeClr w14:val="tx1"/>
            </w14:solidFill>
          </w14:textFill>
        </w:rPr>
      </w:pPr>
    </w:p>
    <w:p>
      <w:pPr>
        <w:spacing w:line="360" w:lineRule="auto"/>
        <w:rPr>
          <w:rFonts w:asciiTheme="minorEastAsia" w:hAnsiTheme="minorEastAsia" w:eastAsiaTheme="minorEastAsia"/>
          <w:color w:val="000000" w:themeColor="text1"/>
          <w:sz w:val="28"/>
          <w:szCs w:val="28"/>
          <w14:textFill>
            <w14:solidFill>
              <w14:schemeClr w14:val="tx1"/>
            </w14:solidFill>
          </w14:textFill>
        </w:rPr>
      </w:pPr>
    </w:p>
    <w:p>
      <w:pPr>
        <w:spacing w:line="360" w:lineRule="auto"/>
        <w:rPr>
          <w:rFonts w:asciiTheme="minorEastAsia" w:hAnsiTheme="minorEastAsia" w:eastAsiaTheme="minorEastAsia"/>
          <w:color w:val="000000" w:themeColor="text1"/>
          <w:sz w:val="28"/>
          <w:szCs w:val="28"/>
          <w14:textFill>
            <w14:solidFill>
              <w14:schemeClr w14:val="tx1"/>
            </w14:solidFill>
          </w14:textFill>
        </w:rPr>
      </w:pPr>
    </w:p>
    <w:p>
      <w:pPr>
        <w:spacing w:line="360" w:lineRule="auto"/>
        <w:rPr>
          <w:rFonts w:asciiTheme="minorEastAsia" w:hAnsiTheme="minorEastAsia" w:eastAsiaTheme="minorEastAsia"/>
          <w:color w:val="000000" w:themeColor="text1"/>
          <w:sz w:val="28"/>
          <w:szCs w:val="28"/>
          <w14:textFill>
            <w14:solidFill>
              <w14:schemeClr w14:val="tx1"/>
            </w14:solidFill>
          </w14:textFill>
        </w:rPr>
      </w:pPr>
    </w:p>
    <w:p>
      <w:pPr>
        <w:spacing w:line="360" w:lineRule="auto"/>
        <w:rPr>
          <w:rFonts w:asciiTheme="minorEastAsia" w:hAnsiTheme="minorEastAsia" w:eastAsiaTheme="minorEastAsia"/>
          <w:color w:val="000000" w:themeColor="text1"/>
          <w:sz w:val="28"/>
          <w:szCs w:val="28"/>
          <w14:textFill>
            <w14:solidFill>
              <w14:schemeClr w14:val="tx1"/>
            </w14:solidFill>
          </w14:textFill>
        </w:rPr>
      </w:pPr>
    </w:p>
    <w:p>
      <w:pPr>
        <w:spacing w:line="360" w:lineRule="auto"/>
        <w:rPr>
          <w:rFonts w:asciiTheme="minorEastAsia" w:hAnsiTheme="minorEastAsia" w:eastAsiaTheme="minorEastAsia"/>
          <w:color w:val="000000" w:themeColor="text1"/>
          <w:sz w:val="28"/>
          <w:szCs w:val="28"/>
          <w14:textFill>
            <w14:solidFill>
              <w14:schemeClr w14:val="tx1"/>
            </w14:solidFill>
          </w14:textFill>
        </w:rPr>
      </w:pPr>
    </w:p>
    <w:p>
      <w:pPr>
        <w:spacing w:line="360" w:lineRule="auto"/>
        <w:rPr>
          <w:rFonts w:asciiTheme="minorEastAsia" w:hAnsiTheme="minorEastAsia" w:eastAsiaTheme="minorEastAsia"/>
          <w:color w:val="000000" w:themeColor="text1"/>
          <w:sz w:val="28"/>
          <w:szCs w:val="28"/>
          <w14:textFill>
            <w14:solidFill>
              <w14:schemeClr w14:val="tx1"/>
            </w14:solidFill>
          </w14:textFill>
        </w:rPr>
      </w:pPr>
    </w:p>
    <w:p>
      <w:pPr>
        <w:spacing w:line="360" w:lineRule="auto"/>
        <w:rPr>
          <w:rFonts w:asciiTheme="minorEastAsia" w:hAnsiTheme="minorEastAsia" w:eastAsiaTheme="minorEastAsia"/>
          <w:color w:val="000000" w:themeColor="text1"/>
          <w:sz w:val="28"/>
          <w:szCs w:val="28"/>
          <w14:textFill>
            <w14:solidFill>
              <w14:schemeClr w14:val="tx1"/>
            </w14:solidFill>
          </w14:textFill>
        </w:rPr>
      </w:pPr>
    </w:p>
    <w:bookmarkEnd w:id="236"/>
    <w:bookmarkEnd w:id="237"/>
    <w:bookmarkEnd w:id="238"/>
    <w:bookmarkEnd w:id="239"/>
    <w:bookmarkEnd w:id="240"/>
    <w:p>
      <w:pPr>
        <w:pStyle w:val="2"/>
        <w:numPr>
          <w:ilvl w:val="0"/>
          <w:numId w:val="3"/>
        </w:numPr>
        <w:spacing w:before="0" w:after="0" w:line="360" w:lineRule="auto"/>
        <w:ind w:left="0" w:firstLine="0"/>
        <w:rPr>
          <w:color w:val="000000" w:themeColor="text1"/>
          <w14:textFill>
            <w14:solidFill>
              <w14:schemeClr w14:val="tx1"/>
            </w14:solidFill>
          </w14:textFill>
        </w:rPr>
      </w:pPr>
      <w:bookmarkStart w:id="273" w:name="_Toc10524"/>
      <w:bookmarkStart w:id="274" w:name="_Toc7093"/>
      <w:bookmarkStart w:id="275" w:name="_Toc7800"/>
      <w:bookmarkStart w:id="276" w:name="_Toc77584658"/>
      <w:bookmarkStart w:id="277" w:name="_Toc1676"/>
      <w:r>
        <w:rPr>
          <w:rFonts w:hint="eastAsia"/>
          <w:color w:val="000000" w:themeColor="text1"/>
          <w14:textFill>
            <w14:solidFill>
              <w14:schemeClr w14:val="tx1"/>
            </w14:solidFill>
          </w14:textFill>
        </w:rPr>
        <w:t>资格性审查</w:t>
      </w:r>
      <w:bookmarkEnd w:id="273"/>
      <w:bookmarkEnd w:id="274"/>
      <w:bookmarkEnd w:id="275"/>
      <w:bookmarkEnd w:id="276"/>
      <w:bookmarkEnd w:id="277"/>
    </w:p>
    <w:p>
      <w:pPr>
        <w:tabs>
          <w:tab w:val="left" w:pos="851"/>
        </w:tabs>
        <w:spacing w:line="360" w:lineRule="auto"/>
        <w:ind w:firstLine="565" w:firstLineChars="202"/>
        <w:rPr>
          <w:rFonts w:ascii="宋体" w:hAnsi="宋体"/>
          <w:sz w:val="28"/>
          <w:szCs w:val="28"/>
        </w:rPr>
      </w:pPr>
      <w:r>
        <w:rPr>
          <w:rFonts w:hint="eastAsia" w:ascii="宋体" w:hAnsi="宋体"/>
          <w:sz w:val="28"/>
          <w:szCs w:val="28"/>
        </w:rPr>
        <w:t>资格性审查由采购人组建的资格审查小组依据法律法规和招标文件的规定，对投标文件中的资格证明等进行审查，以确定投标人是否具备投标资格，并出具资格性审查报告。</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资格性审查时因断电、断网、系统故障或其他不可抗力等因素，导致资格审查小组无法通过系统阅读投标文件进行审查的，待系统恢复后继续审查。出现上述情况时，区采购中心将以电子邮件形式通知各投标人。资格性审查标准见下表：</w:t>
      </w:r>
    </w:p>
    <w:tbl>
      <w:tblPr>
        <w:tblStyle w:val="43"/>
        <w:tblW w:w="503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8"/>
        <w:gridCol w:w="700"/>
        <w:gridCol w:w="1197"/>
        <w:gridCol w:w="5939"/>
        <w:gridCol w:w="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3" w:type="dxa"/>
        </w:trPr>
        <w:tc>
          <w:tcPr>
            <w:tcW w:w="2585" w:type="dxa"/>
            <w:gridSpan w:val="3"/>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b/>
                <w:color w:val="000000" w:themeColor="text1"/>
                <w:sz w:val="20"/>
                <w14:textFill>
                  <w14:solidFill>
                    <w14:schemeClr w14:val="tx1"/>
                  </w14:solidFill>
                </w14:textFill>
              </w:rPr>
            </w:pPr>
            <w:r>
              <w:rPr>
                <w:b/>
                <w:color w:val="000000" w:themeColor="text1"/>
                <w:sz w:val="20"/>
                <w14:textFill>
                  <w14:solidFill>
                    <w14:schemeClr w14:val="tx1"/>
                  </w14:solidFill>
                </w14:textFill>
              </w:rPr>
              <w:t>资格性审查项</w:t>
            </w:r>
          </w:p>
        </w:tc>
        <w:tc>
          <w:tcPr>
            <w:tcW w:w="594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color w:val="000000" w:themeColor="text1"/>
                <w:sz w:val="20"/>
                <w14:textFill>
                  <w14:solidFill>
                    <w14:schemeClr w14:val="tx1"/>
                  </w14:solidFill>
                </w14:textFill>
              </w:rPr>
            </w:pPr>
            <w:r>
              <w:rPr>
                <w:b/>
                <w:color w:val="000000" w:themeColor="text1"/>
                <w:sz w:val="20"/>
                <w14:textFill>
                  <w14:solidFill>
                    <w14:schemeClr w14:val="tx1"/>
                  </w14:solidFill>
                </w14:textFill>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3" w:type="dxa"/>
        </w:trPr>
        <w:tc>
          <w:tcPr>
            <w:tcW w:w="688"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1</w:t>
            </w:r>
          </w:p>
        </w:tc>
        <w:tc>
          <w:tcPr>
            <w:tcW w:w="1897"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在中华人民共和国境内依法登记注册，并有效存续具有独立法人资格的</w:t>
            </w:r>
            <w:r>
              <w:rPr>
                <w:rFonts w:hint="eastAsia"/>
                <w:color w:val="000000" w:themeColor="text1"/>
                <w:sz w:val="20"/>
                <w14:textFill>
                  <w14:solidFill>
                    <w14:schemeClr w14:val="tx1"/>
                  </w14:solidFill>
                </w14:textFill>
              </w:rPr>
              <w:t>供应商</w:t>
            </w:r>
          </w:p>
        </w:tc>
        <w:tc>
          <w:tcPr>
            <w:tcW w:w="594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营业执照复印件（正本或副本）或法人证书复印件（正本或副本）</w:t>
            </w:r>
            <w:r>
              <w:rPr>
                <w:rFonts w:hint="eastAsia"/>
                <w:color w:val="000000" w:themeColor="text1"/>
                <w:sz w:val="20"/>
                <w14:textFill>
                  <w14:solidFill>
                    <w14:schemeClr w14:val="tx1"/>
                  </w14:solidFill>
                </w14:textFill>
              </w:rPr>
              <w:t>。</w:t>
            </w:r>
            <w:r>
              <w:rPr>
                <w:color w:val="000000" w:themeColor="text1"/>
                <w:sz w:val="20"/>
                <w14:textFill>
                  <w14:solidFill>
                    <w14:schemeClr w14:val="tx1"/>
                  </w14:solidFill>
                </w14:textFill>
              </w:rPr>
              <w:t>【说明：</w:t>
            </w:r>
            <w:r>
              <w:rPr>
                <w:rFonts w:hint="eastAsia" w:ascii="宋体" w:hAnsi="宋体"/>
                <w:color w:val="000000" w:themeColor="text1"/>
                <w:sz w:val="20"/>
                <w:szCs w:val="28"/>
                <w14:textFill>
                  <w14:solidFill>
                    <w14:schemeClr w14:val="tx1"/>
                  </w14:solidFill>
                </w14:textFill>
              </w:rPr>
              <w:t>①</w:t>
            </w:r>
            <w:r>
              <w:rPr>
                <w:color w:val="000000" w:themeColor="text1"/>
                <w:sz w:val="20"/>
                <w14:textFill>
                  <w14:solidFill>
                    <w14:schemeClr w14:val="tx1"/>
                  </w14:solidFill>
                </w14:textFill>
              </w:rPr>
              <w:t>营业执照或法人证书载明有期限的，应在有效期限内；</w:t>
            </w:r>
            <w:r>
              <w:rPr>
                <w:rFonts w:hint="eastAsia" w:ascii="宋体" w:hAnsi="宋体"/>
                <w:color w:val="000000" w:themeColor="text1"/>
                <w:sz w:val="20"/>
                <w:szCs w:val="28"/>
                <w14:textFill>
                  <w14:solidFill>
                    <w14:schemeClr w14:val="tx1"/>
                  </w14:solidFill>
                </w14:textFill>
              </w:rPr>
              <w:t>②</w:t>
            </w:r>
            <w:r>
              <w:rPr>
                <w:color w:val="000000" w:themeColor="text1"/>
                <w:sz w:val="20"/>
                <w14:textFill>
                  <w14:solidFill>
                    <w14:schemeClr w14:val="tx1"/>
                  </w14:solidFill>
                </w14:textFill>
              </w:rPr>
              <w:t>在中华人民共和国境内注册，具有独立法人资格。】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vMerge w:val="restart"/>
            <w:tcBorders>
              <w:top w:val="single" w:color="auto" w:sz="2" w:space="0"/>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2</w:t>
            </w:r>
          </w:p>
        </w:tc>
        <w:tc>
          <w:tcPr>
            <w:tcW w:w="700" w:type="dxa"/>
            <w:vMerge w:val="restart"/>
            <w:tcBorders>
              <w:top w:val="single" w:color="auto" w:sz="2" w:space="0"/>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书面声明材料</w:t>
            </w:r>
          </w:p>
        </w:tc>
        <w:tc>
          <w:tcPr>
            <w:tcW w:w="1197"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具有良好的商业信誉的证明材料</w:t>
            </w:r>
          </w:p>
        </w:tc>
        <w:tc>
          <w:tcPr>
            <w:tcW w:w="5993"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投标人具有良好的商业信誉的书面声明材料。【说明：</w:t>
            </w:r>
            <w:r>
              <w:rPr>
                <w:rFonts w:hint="eastAsia" w:ascii="宋体" w:hAnsi="宋体"/>
                <w:color w:val="000000" w:themeColor="text1"/>
                <w:sz w:val="20"/>
                <w:szCs w:val="28"/>
                <w14:textFill>
                  <w14:solidFill>
                    <w14:schemeClr w14:val="tx1"/>
                  </w14:solidFill>
                </w14:textFill>
              </w:rPr>
              <w:t>①</w:t>
            </w:r>
            <w:r>
              <w:rPr>
                <w:rFonts w:hint="eastAsia"/>
                <w:color w:val="000000" w:themeColor="text1"/>
                <w:sz w:val="20"/>
                <w14:textFill>
                  <w14:solidFill>
                    <w14:schemeClr w14:val="tx1"/>
                  </w14:solidFill>
                </w14:textFill>
              </w:rPr>
              <w:t>按招标文件第</w:t>
            </w:r>
            <w:r>
              <w:rPr>
                <w:color w:val="000000" w:themeColor="text1"/>
                <w:sz w:val="20"/>
                <w14:textFill>
                  <w14:solidFill>
                    <w14:schemeClr w14:val="tx1"/>
                  </w14:solidFill>
                </w14:textFill>
              </w:rPr>
              <w:t>3</w:t>
            </w:r>
            <w:r>
              <w:rPr>
                <w:rFonts w:hint="eastAsia"/>
                <w:color w:val="000000" w:themeColor="text1"/>
                <w:sz w:val="20"/>
                <w14:textFill>
                  <w14:solidFill>
                    <w14:schemeClr w14:val="tx1"/>
                  </w14:solidFill>
                </w14:textFill>
              </w:rPr>
              <w:t>章的内容及要求提供书面声明材料</w:t>
            </w:r>
            <w:r>
              <w:rPr>
                <w:rFonts w:hint="eastAsia" w:ascii="宋体" w:hAnsi="宋体"/>
                <w:color w:val="000000" w:themeColor="text1"/>
                <w:sz w:val="20"/>
                <w:szCs w:val="28"/>
                <w14:textFill>
                  <w14:solidFill>
                    <w14:schemeClr w14:val="tx1"/>
                  </w14:solidFill>
                </w14:textFill>
              </w:rPr>
              <w:t>；②供应商具有良好的商业信誉</w:t>
            </w:r>
            <w:r>
              <w:rPr>
                <w:rFonts w:hint="eastAsia"/>
                <w:color w:val="000000" w:themeColor="text1"/>
                <w:sz w:val="20"/>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700"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7"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参加政府采购活动前三年内，在经营活动中没有重大违法记录</w:t>
            </w:r>
          </w:p>
        </w:tc>
        <w:tc>
          <w:tcPr>
            <w:tcW w:w="5993"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1.</w:t>
            </w:r>
            <w:r>
              <w:rPr>
                <w:rFonts w:hint="eastAsia"/>
                <w:color w:val="000000" w:themeColor="text1"/>
                <w:sz w:val="20"/>
                <w14:textFill>
                  <w14:solidFill>
                    <w14:schemeClr w14:val="tx1"/>
                  </w14:solidFill>
                </w14:textFill>
              </w:rPr>
              <w:t>投标人参加政府采购活动前三年内，在经营活动中没有重大违法记录的书面声明材料。【说明：</w:t>
            </w:r>
            <w:r>
              <w:rPr>
                <w:rFonts w:hint="eastAsia" w:ascii="宋体" w:hAnsi="宋体"/>
                <w:color w:val="000000" w:themeColor="text1"/>
                <w:sz w:val="20"/>
                <w:szCs w:val="28"/>
                <w14:textFill>
                  <w14:solidFill>
                    <w14:schemeClr w14:val="tx1"/>
                  </w14:solidFill>
                </w14:textFill>
              </w:rPr>
              <w:t>①</w:t>
            </w:r>
            <w:r>
              <w:rPr>
                <w:rFonts w:hint="eastAsia"/>
                <w:color w:val="000000" w:themeColor="text1"/>
                <w:sz w:val="20"/>
                <w14:textFill>
                  <w14:solidFill>
                    <w14:schemeClr w14:val="tx1"/>
                  </w14:solidFill>
                </w14:textFill>
              </w:rPr>
              <w:t>按第</w:t>
            </w:r>
            <w:r>
              <w:rPr>
                <w:color w:val="000000" w:themeColor="text1"/>
                <w:sz w:val="20"/>
                <w14:textFill>
                  <w14:solidFill>
                    <w14:schemeClr w14:val="tx1"/>
                  </w14:solidFill>
                </w14:textFill>
              </w:rPr>
              <w:t>3</w:t>
            </w:r>
            <w:r>
              <w:rPr>
                <w:rFonts w:hint="eastAsia"/>
                <w:color w:val="000000" w:themeColor="text1"/>
                <w:sz w:val="20"/>
                <w14:textFill>
                  <w14:solidFill>
                    <w14:schemeClr w14:val="tx1"/>
                  </w14:solidFill>
                </w14:textFill>
              </w:rPr>
              <w:t>章的内容及要求提供书面声明材料；</w:t>
            </w:r>
            <w:r>
              <w:rPr>
                <w:rFonts w:hint="eastAsia" w:ascii="宋体" w:hAnsi="宋体"/>
                <w:color w:val="000000" w:themeColor="text1"/>
                <w:sz w:val="20"/>
                <w:szCs w:val="28"/>
                <w14:textFill>
                  <w14:solidFill>
                    <w14:schemeClr w14:val="tx1"/>
                  </w14:solidFill>
                </w14:textFill>
              </w:rPr>
              <w:t>②供应商参加政府采购活动前三年内，在经营活动中没有重大违法记录</w:t>
            </w:r>
            <w:r>
              <w:rPr>
                <w:rFonts w:hint="eastAsia"/>
                <w:color w:val="000000" w:themeColor="text1"/>
                <w:sz w:val="20"/>
                <w14:textFill>
                  <w14:solidFill>
                    <w14:schemeClr w14:val="tx1"/>
                  </w14:solidFill>
                </w14:textFill>
              </w:rPr>
              <w:t>。】</w:t>
            </w:r>
          </w:p>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 xml:space="preserve">2. </w:t>
            </w:r>
            <w:r>
              <w:rPr>
                <w:rFonts w:hint="eastAsia"/>
                <w:color w:val="000000" w:themeColor="text1"/>
                <w:sz w:val="20"/>
                <w14:textFill>
                  <w14:solidFill>
                    <w14:schemeClr w14:val="tx1"/>
                  </w14:solidFill>
                </w14:textFill>
              </w:rPr>
              <w:t>资格审查小组根据</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信用中国</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和</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中国政府采购网</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网站的查询结果，在资格审查期间对投标人在参加政府采购活动前三年内，在经营活动中是否有重大违法记录进行审查。【说明：投标人参加政府采购活动前三年内，在经营活动中没有重大违法记录。】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3" w:type="dxa"/>
        </w:trPr>
        <w:tc>
          <w:tcPr>
            <w:tcW w:w="688"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700"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7"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未被列入失信被执行人、重大税收违法案件当事人名单、政府采购严重违法失信行为记录名单</w:t>
            </w:r>
          </w:p>
        </w:tc>
        <w:tc>
          <w:tcPr>
            <w:tcW w:w="594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1.</w:t>
            </w:r>
            <w:r>
              <w:rPr>
                <w:rFonts w:hint="eastAsia"/>
                <w:color w:val="000000" w:themeColor="text1"/>
                <w:sz w:val="20"/>
                <w14:textFill>
                  <w14:solidFill>
                    <w14:schemeClr w14:val="tx1"/>
                  </w14:solidFill>
                </w14:textFill>
              </w:rPr>
              <w:t>投标人未列入失信被执行人、重大税收违法案件当事人名单、政府采购严重违法失信行为记录名单的书面声明材料。【说明：</w:t>
            </w:r>
            <w:r>
              <w:rPr>
                <w:rFonts w:hint="eastAsia" w:ascii="宋体" w:hAnsi="宋体"/>
                <w:color w:val="000000" w:themeColor="text1"/>
                <w:sz w:val="20"/>
                <w:szCs w:val="28"/>
                <w14:textFill>
                  <w14:solidFill>
                    <w14:schemeClr w14:val="tx1"/>
                  </w14:solidFill>
                </w14:textFill>
              </w:rPr>
              <w:t>①</w:t>
            </w:r>
            <w:r>
              <w:rPr>
                <w:rFonts w:hint="eastAsia"/>
                <w:color w:val="000000" w:themeColor="text1"/>
                <w:sz w:val="20"/>
                <w14:textFill>
                  <w14:solidFill>
                    <w14:schemeClr w14:val="tx1"/>
                  </w14:solidFill>
                </w14:textFill>
              </w:rPr>
              <w:t>投标人未列入失信被执行人、重大税收违法案件当事人名单、政府采购严重违法失信行为记录名单；</w:t>
            </w:r>
            <w:r>
              <w:rPr>
                <w:rFonts w:hint="eastAsia" w:ascii="宋体" w:hAnsi="宋体"/>
                <w:color w:val="000000" w:themeColor="text1"/>
                <w:sz w:val="20"/>
                <w:szCs w:val="28"/>
                <w14:textFill>
                  <w14:solidFill>
                    <w14:schemeClr w14:val="tx1"/>
                  </w14:solidFill>
                </w14:textFill>
              </w:rPr>
              <w:t>②</w:t>
            </w:r>
            <w:r>
              <w:rPr>
                <w:rFonts w:hint="eastAsia"/>
                <w:color w:val="000000" w:themeColor="text1"/>
                <w:sz w:val="20"/>
                <w14:textFill>
                  <w14:solidFill>
                    <w14:schemeClr w14:val="tx1"/>
                  </w14:solidFill>
                </w14:textFill>
              </w:rPr>
              <w:t>按第</w:t>
            </w:r>
            <w:r>
              <w:rPr>
                <w:color w:val="000000" w:themeColor="text1"/>
                <w:sz w:val="20"/>
                <w14:textFill>
                  <w14:solidFill>
                    <w14:schemeClr w14:val="tx1"/>
                  </w14:solidFill>
                </w14:textFill>
              </w:rPr>
              <w:t>3</w:t>
            </w:r>
            <w:r>
              <w:rPr>
                <w:rFonts w:hint="eastAsia"/>
                <w:color w:val="000000" w:themeColor="text1"/>
                <w:sz w:val="20"/>
                <w14:textFill>
                  <w14:solidFill>
                    <w14:schemeClr w14:val="tx1"/>
                  </w14:solidFill>
                </w14:textFill>
              </w:rPr>
              <w:t>章的内容及要求提供书面声明材料。】</w:t>
            </w:r>
          </w:p>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 xml:space="preserve">2. </w:t>
            </w:r>
            <w:r>
              <w:rPr>
                <w:rFonts w:hint="eastAsia"/>
                <w:color w:val="000000" w:themeColor="text1"/>
                <w:sz w:val="20"/>
                <w14:textFill>
                  <w14:solidFill>
                    <w14:schemeClr w14:val="tx1"/>
                  </w14:solidFill>
                </w14:textFill>
              </w:rPr>
              <w:t>资格审查小组根据</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信用中国</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和</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中国政府采购网</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网站的查询结果，在资格审查期间对投标人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3" w:type="dxa"/>
        </w:trPr>
        <w:tc>
          <w:tcPr>
            <w:tcW w:w="688"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700"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7"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未处于被行政部门禁止参与政府采购活动的期限内</w:t>
            </w:r>
          </w:p>
        </w:tc>
        <w:tc>
          <w:tcPr>
            <w:tcW w:w="594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投标人未处于被行政部门禁止参与政府采购活动的期限内。【说明：</w:t>
            </w:r>
            <w:r>
              <w:rPr>
                <w:rFonts w:hint="eastAsia" w:ascii="宋体" w:hAnsi="宋体"/>
                <w:color w:val="000000" w:themeColor="text1"/>
                <w:sz w:val="20"/>
                <w:szCs w:val="28"/>
                <w14:textFill>
                  <w14:solidFill>
                    <w14:schemeClr w14:val="tx1"/>
                  </w14:solidFill>
                </w14:textFill>
              </w:rPr>
              <w:t>①</w:t>
            </w:r>
            <w:r>
              <w:rPr>
                <w:rFonts w:hint="eastAsia"/>
                <w:color w:val="000000" w:themeColor="text1"/>
                <w:sz w:val="20"/>
                <w14:textFill>
                  <w14:solidFill>
                    <w14:schemeClr w14:val="tx1"/>
                  </w14:solidFill>
                </w14:textFill>
              </w:rPr>
              <w:t>按招标文件第</w:t>
            </w:r>
            <w:r>
              <w:rPr>
                <w:color w:val="000000" w:themeColor="text1"/>
                <w:sz w:val="20"/>
                <w14:textFill>
                  <w14:solidFill>
                    <w14:schemeClr w14:val="tx1"/>
                  </w14:solidFill>
                </w14:textFill>
              </w:rPr>
              <w:t>3</w:t>
            </w:r>
            <w:r>
              <w:rPr>
                <w:rFonts w:hint="eastAsia"/>
                <w:color w:val="000000" w:themeColor="text1"/>
                <w:sz w:val="20"/>
                <w14:textFill>
                  <w14:solidFill>
                    <w14:schemeClr w14:val="tx1"/>
                  </w14:solidFill>
                </w14:textFill>
              </w:rPr>
              <w:t>章的内容及要求提供书面声明材料</w:t>
            </w:r>
            <w:r>
              <w:rPr>
                <w:rFonts w:hint="eastAsia" w:ascii="宋体" w:hAnsi="宋体"/>
                <w:color w:val="000000" w:themeColor="text1"/>
                <w:sz w:val="20"/>
                <w:szCs w:val="28"/>
                <w14:textFill>
                  <w14:solidFill>
                    <w14:schemeClr w14:val="tx1"/>
                  </w14:solidFill>
                </w14:textFill>
              </w:rPr>
              <w:t>；②供应商未处于被行政部门禁止参与政府采购活动的期限内。</w:t>
            </w:r>
            <w:r>
              <w:rPr>
                <w:rFonts w:hint="eastAsia"/>
                <w:color w:val="000000" w:themeColor="text1"/>
                <w:sz w:val="20"/>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3" w:type="dxa"/>
        </w:trPr>
        <w:tc>
          <w:tcPr>
            <w:tcW w:w="688"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700"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7"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行贿犯罪记录</w:t>
            </w:r>
          </w:p>
        </w:tc>
        <w:tc>
          <w:tcPr>
            <w:tcW w:w="594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在行贿犯罪信息查询期限内，投标人及其现任法定代表人、主要负责人没有行贿犯罪记录的书面声明材料。【说明：</w:t>
            </w:r>
            <w:r>
              <w:rPr>
                <w:rFonts w:hint="eastAsia" w:ascii="宋体" w:hAnsi="宋体"/>
                <w:color w:val="000000" w:themeColor="text1"/>
                <w:sz w:val="20"/>
                <w:szCs w:val="28"/>
                <w14:textFill>
                  <w14:solidFill>
                    <w14:schemeClr w14:val="tx1"/>
                  </w14:solidFill>
                </w14:textFill>
              </w:rPr>
              <w:t>①</w:t>
            </w:r>
            <w:r>
              <w:rPr>
                <w:rFonts w:hint="eastAsia"/>
                <w:color w:val="000000" w:themeColor="text1"/>
                <w:sz w:val="20"/>
                <w14:textFill>
                  <w14:solidFill>
                    <w14:schemeClr w14:val="tx1"/>
                  </w14:solidFill>
                </w14:textFill>
              </w:rPr>
              <w:t>按招标文件第</w:t>
            </w:r>
            <w:r>
              <w:rPr>
                <w:color w:val="000000" w:themeColor="text1"/>
                <w:sz w:val="20"/>
                <w14:textFill>
                  <w14:solidFill>
                    <w14:schemeClr w14:val="tx1"/>
                  </w14:solidFill>
                </w14:textFill>
              </w:rPr>
              <w:t>3</w:t>
            </w:r>
            <w:r>
              <w:rPr>
                <w:rFonts w:hint="eastAsia"/>
                <w:color w:val="000000" w:themeColor="text1"/>
                <w:sz w:val="20"/>
                <w14:textFill>
                  <w14:solidFill>
                    <w14:schemeClr w14:val="tx1"/>
                  </w14:solidFill>
                </w14:textFill>
              </w:rPr>
              <w:t>章的内容及要求提供书面声明材料，投标文件中不需提供中国裁判文书网（</w:t>
            </w:r>
            <w:r>
              <w:rPr>
                <w:color w:val="000000" w:themeColor="text1"/>
                <w:sz w:val="20"/>
                <w14:textFill>
                  <w14:solidFill>
                    <w14:schemeClr w14:val="tx1"/>
                  </w14:solidFill>
                </w14:textFill>
              </w:rPr>
              <w:t>https://wenshu.court.gov.cn</w:t>
            </w:r>
            <w:r>
              <w:rPr>
                <w:rFonts w:hint="eastAsia"/>
                <w:color w:val="000000" w:themeColor="text1"/>
                <w:sz w:val="20"/>
                <w14:textFill>
                  <w14:solidFill>
                    <w14:schemeClr w14:val="tx1"/>
                  </w14:solidFill>
                </w14:textFill>
              </w:rPr>
              <w:t>）查询结果的证明材料；</w:t>
            </w:r>
            <w:r>
              <w:rPr>
                <w:rFonts w:hint="eastAsia" w:ascii="宋体" w:hAnsi="宋体"/>
                <w:color w:val="000000" w:themeColor="text1"/>
                <w:sz w:val="20"/>
                <w:szCs w:val="28"/>
                <w14:textFill>
                  <w14:solidFill>
                    <w14:schemeClr w14:val="tx1"/>
                  </w14:solidFill>
                </w14:textFill>
              </w:rPr>
              <w:t>②在行贿犯罪信息查询期限内，供应商及其现任法定代表人、主要负责人没有行贿犯罪记录</w:t>
            </w:r>
            <w:r>
              <w:rPr>
                <w:rFonts w:hint="eastAsia"/>
                <w:color w:val="000000" w:themeColor="text1"/>
                <w:sz w:val="20"/>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3" w:type="dxa"/>
        </w:trPr>
        <w:tc>
          <w:tcPr>
            <w:tcW w:w="688"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700" w:type="dxa"/>
            <w:vMerge w:val="continue"/>
            <w:tcBorders>
              <w:left w:val="single" w:color="auto" w:sz="2" w:space="0"/>
              <w:bottom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7"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单位负责人为同一人或者存在直接控股、管理关系的不同供应商，不得参加同一项目的投标</w:t>
            </w:r>
          </w:p>
        </w:tc>
        <w:tc>
          <w:tcPr>
            <w:tcW w:w="594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与投标人负责人为同一人或者存在直接控股、管理关系的相关供应商的书面声明材料。【说明：①按招标文件第</w:t>
            </w:r>
            <w:r>
              <w:rPr>
                <w:color w:val="000000" w:themeColor="text1"/>
                <w:sz w:val="20"/>
                <w14:textFill>
                  <w14:solidFill>
                    <w14:schemeClr w14:val="tx1"/>
                  </w14:solidFill>
                </w14:textFill>
              </w:rPr>
              <w:t>3</w:t>
            </w:r>
            <w:r>
              <w:rPr>
                <w:rFonts w:hint="eastAsia"/>
                <w:color w:val="000000" w:themeColor="text1"/>
                <w:sz w:val="20"/>
                <w14:textFill>
                  <w14:solidFill>
                    <w14:schemeClr w14:val="tx1"/>
                  </w14:solidFill>
                </w14:textFill>
              </w:rPr>
              <w:t>章的内容及要求提供书面声明材料；②参加投标的供应商中无与投标人的负责人为同一人或者存在直接控股、管理关系的供应商。】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3" w:type="dxa"/>
        </w:trPr>
        <w:tc>
          <w:tcPr>
            <w:tcW w:w="688" w:type="dxa"/>
            <w:vMerge w:val="restart"/>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3</w:t>
            </w:r>
          </w:p>
        </w:tc>
        <w:tc>
          <w:tcPr>
            <w:tcW w:w="700" w:type="dxa"/>
            <w:vMerge w:val="restart"/>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其他</w:t>
            </w:r>
          </w:p>
        </w:tc>
        <w:tc>
          <w:tcPr>
            <w:tcW w:w="1197"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具有履行合同所必须的设备和专业技术能力</w:t>
            </w:r>
          </w:p>
        </w:tc>
        <w:tc>
          <w:tcPr>
            <w:tcW w:w="594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采购人对投标人履行合同所必须的设备和专业技术能力无其他特殊要求，投标人具有有效的营业执照或法人证书</w:t>
            </w:r>
            <w:r>
              <w:rPr>
                <w:rFonts w:hint="eastAsia" w:ascii="宋体" w:hAnsi="宋体"/>
                <w:color w:val="000000" w:themeColor="text1"/>
                <w:sz w:val="20"/>
                <w:szCs w:val="28"/>
                <w14:textFill>
                  <w14:solidFill>
                    <w14:schemeClr w14:val="tx1"/>
                  </w14:solidFill>
                </w14:textFill>
              </w:rPr>
              <w:t>即可，可不提供其他证明材料</w:t>
            </w:r>
            <w:r>
              <w:rPr>
                <w:rFonts w:hint="eastAsia"/>
                <w:color w:val="000000" w:themeColor="text1"/>
                <w:sz w:val="20"/>
                <w14:textFill>
                  <w14:solidFill>
                    <w14:schemeClr w14:val="tx1"/>
                  </w14:solidFill>
                </w14:textFill>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3" w:type="dxa"/>
        </w:trPr>
        <w:tc>
          <w:tcPr>
            <w:tcW w:w="688"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700"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7"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法律、行政法规规定的其他条件</w:t>
            </w:r>
          </w:p>
        </w:tc>
        <w:tc>
          <w:tcPr>
            <w:tcW w:w="594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采购人对法律、行政法规规定的其他条件无其他特殊要求，投标人具有有效的营业执照或法人证书</w:t>
            </w:r>
            <w:r>
              <w:rPr>
                <w:rFonts w:hint="eastAsia" w:ascii="宋体" w:hAnsi="宋体"/>
                <w:color w:val="000000" w:themeColor="text1"/>
                <w:sz w:val="20"/>
                <w:szCs w:val="28"/>
                <w14:textFill>
                  <w14:solidFill>
                    <w14:schemeClr w14:val="tx1"/>
                  </w14:solidFill>
                </w14:textFill>
              </w:rPr>
              <w:t>即可，可不提供其他证明材料</w:t>
            </w:r>
            <w:r>
              <w:rPr>
                <w:rFonts w:hint="eastAsia"/>
                <w:color w:val="000000" w:themeColor="text1"/>
                <w:sz w:val="20"/>
                <w14:textFill>
                  <w14:solidFill>
                    <w14:schemeClr w14:val="tx1"/>
                  </w14:solidFill>
                </w14:textFill>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3" w:type="dxa"/>
        </w:trPr>
        <w:tc>
          <w:tcPr>
            <w:tcW w:w="688"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700"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7"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不属于其他国家相关法律法规规定的禁止参加投标的供应商</w:t>
            </w:r>
          </w:p>
        </w:tc>
        <w:tc>
          <w:tcPr>
            <w:tcW w:w="594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1</w:t>
            </w:r>
            <w:r>
              <w:rPr>
                <w:rFonts w:hint="eastAsia"/>
                <w:color w:val="000000" w:themeColor="text1"/>
                <w:sz w:val="20"/>
                <w14:textFill>
                  <w14:solidFill>
                    <w14:schemeClr w14:val="tx1"/>
                  </w14:solidFill>
                </w14:textFill>
              </w:rPr>
              <w:t>、根据招标文件的要求不属于禁止参加投标或投标无效的供应商；</w:t>
            </w:r>
          </w:p>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2</w:t>
            </w:r>
            <w:r>
              <w:rPr>
                <w:rFonts w:hint="eastAsia"/>
                <w:color w:val="000000" w:themeColor="text1"/>
                <w:sz w:val="20"/>
                <w14:textFill>
                  <w14:solidFill>
                    <w14:schemeClr w14:val="tx1"/>
                  </w14:solidFill>
                </w14:textFill>
              </w:rPr>
              <w:t>、资格审查小组未发现或者未知晓投标人存在属于国家相关法律法规规定的禁止参加投标或投标无效的供应商。</w:t>
            </w:r>
          </w:p>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3" w:type="dxa"/>
        </w:trPr>
        <w:tc>
          <w:tcPr>
            <w:tcW w:w="688"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700"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7"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联合体投标</w:t>
            </w:r>
          </w:p>
        </w:tc>
        <w:tc>
          <w:tcPr>
            <w:tcW w:w="594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非联合体投标。【说明：无须提供证明材料，上传空白页即可，不对本项上传的材料作资格审查】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3" w:type="dxa"/>
        </w:trPr>
        <w:tc>
          <w:tcPr>
            <w:tcW w:w="688"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700"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7"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资质要求</w:t>
            </w:r>
          </w:p>
        </w:tc>
        <w:tc>
          <w:tcPr>
            <w:tcW w:w="594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3" w:type="dxa"/>
        </w:trPr>
        <w:tc>
          <w:tcPr>
            <w:tcW w:w="688"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700"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7"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投标保证金</w:t>
            </w:r>
          </w:p>
        </w:tc>
        <w:tc>
          <w:tcPr>
            <w:tcW w:w="594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3" w:type="dxa"/>
        </w:trPr>
        <w:tc>
          <w:tcPr>
            <w:tcW w:w="688"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700"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7"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投标文件解密情况</w:t>
            </w:r>
          </w:p>
        </w:tc>
        <w:tc>
          <w:tcPr>
            <w:tcW w:w="594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ascii="宋体" w:hAnsi="宋体"/>
                <w:color w:val="000000" w:themeColor="text1"/>
                <w:sz w:val="20"/>
                <w:szCs w:val="28"/>
                <w14:textFill>
                  <w14:solidFill>
                    <w14:schemeClr w14:val="tx1"/>
                  </w14:solidFill>
                </w14:textFill>
              </w:rPr>
              <w:t>除因断电、断网、系统故障或其他不可抗力等因素，导致系统无法使用外，投标文件已成功解密。</w:t>
            </w:r>
            <w:r>
              <w:rPr>
                <w:rFonts w:hint="eastAsia"/>
                <w:color w:val="000000" w:themeColor="text1"/>
                <w:sz w:val="20"/>
                <w14:textFill>
                  <w14:solidFill>
                    <w14:schemeClr w14:val="tx1"/>
                  </w14:solidFill>
                </w14:textFill>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3" w:type="dxa"/>
        </w:trPr>
        <w:tc>
          <w:tcPr>
            <w:tcW w:w="688"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700"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7"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投标文件签章</w:t>
            </w:r>
          </w:p>
        </w:tc>
        <w:tc>
          <w:tcPr>
            <w:tcW w:w="594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sz w:val="20"/>
              </w:rPr>
              <w:t>投标文件加盖有投标人（法定名称）电子签章。【说明：无须提供证明材料，上传空白页即可，不对本项上传的材料作资格审查】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3" w:type="dxa"/>
        </w:trPr>
        <w:tc>
          <w:tcPr>
            <w:tcW w:w="688"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700"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7"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投标文件资格响应文件的语言</w:t>
            </w:r>
          </w:p>
        </w:tc>
        <w:tc>
          <w:tcPr>
            <w:tcW w:w="594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语言符合招标文件的要求。【说明：无须提供证明材料，上传空白页即可，不对本项上传的材料作资格审查】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3" w:type="dxa"/>
        </w:trPr>
        <w:tc>
          <w:tcPr>
            <w:tcW w:w="688" w:type="dxa"/>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4</w:t>
            </w:r>
          </w:p>
        </w:tc>
        <w:tc>
          <w:tcPr>
            <w:tcW w:w="1897" w:type="dxa"/>
            <w:gridSpan w:val="2"/>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投标文件资格响应</w:t>
            </w:r>
            <w:r>
              <w:rPr>
                <w:color w:val="000000" w:themeColor="text1"/>
                <w:sz w:val="20"/>
                <w14:textFill>
                  <w14:solidFill>
                    <w14:schemeClr w14:val="tx1"/>
                  </w14:solidFill>
                </w14:textFill>
              </w:rPr>
              <w:t>文件</w:t>
            </w:r>
            <w:r>
              <w:rPr>
                <w:rFonts w:hint="eastAsia"/>
                <w:color w:val="000000" w:themeColor="text1"/>
                <w:sz w:val="20"/>
                <w14:textFill>
                  <w14:solidFill>
                    <w14:schemeClr w14:val="tx1"/>
                  </w14:solidFill>
                </w14:textFill>
              </w:rPr>
              <w:t>组成</w:t>
            </w:r>
          </w:p>
        </w:tc>
        <w:tc>
          <w:tcPr>
            <w:tcW w:w="594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ascii="宋体" w:hAnsi="宋体"/>
                <w:sz w:val="20"/>
                <w:szCs w:val="28"/>
              </w:rPr>
              <w:t>符合招标文件“</w:t>
            </w:r>
            <w:r>
              <w:rPr>
                <w:rFonts w:ascii="宋体" w:hAnsi="宋体"/>
                <w:sz w:val="20"/>
                <w:szCs w:val="28"/>
              </w:rPr>
              <w:t>2.4.</w:t>
            </w:r>
            <w:r>
              <w:rPr>
                <w:rFonts w:hint="eastAsia" w:ascii="宋体" w:hAnsi="宋体"/>
                <w:sz w:val="20"/>
                <w:szCs w:val="28"/>
              </w:rPr>
              <w:t>6投标</w:t>
            </w:r>
            <w:r>
              <w:rPr>
                <w:rFonts w:ascii="宋体" w:hAnsi="宋体"/>
                <w:sz w:val="20"/>
                <w:szCs w:val="28"/>
              </w:rPr>
              <w:t>文件的组成”规定要求。</w:t>
            </w:r>
            <w:r>
              <w:rPr>
                <w:rFonts w:hint="eastAsia" w:ascii="宋体" w:hAnsi="宋体"/>
                <w:sz w:val="20"/>
                <w:szCs w:val="28"/>
              </w:rPr>
              <w:t>【说明：投标人按招标文件3.2.1关于投标人资格申明的</w:t>
            </w:r>
            <w:r>
              <w:rPr>
                <w:rFonts w:hint="eastAsia"/>
                <w:sz w:val="20"/>
              </w:rPr>
              <w:t>内容</w:t>
            </w:r>
            <w:r>
              <w:rPr>
                <w:rFonts w:hint="eastAsia" w:ascii="宋体" w:hAnsi="宋体"/>
                <w:sz w:val="20"/>
                <w:szCs w:val="28"/>
              </w:rPr>
              <w:t>提供关于投标人资格申明的函。】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3" w:type="dxa"/>
        </w:trPr>
        <w:tc>
          <w:tcPr>
            <w:tcW w:w="688"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5</w:t>
            </w:r>
          </w:p>
        </w:tc>
        <w:tc>
          <w:tcPr>
            <w:tcW w:w="1897"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具有健全的财务会计制度的证明材料</w:t>
            </w:r>
          </w:p>
        </w:tc>
        <w:tc>
          <w:tcPr>
            <w:tcW w:w="594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2019</w:t>
            </w:r>
            <w:r>
              <w:rPr>
                <w:rFonts w:hint="eastAsia"/>
                <w:color w:val="000000" w:themeColor="text1"/>
                <w:sz w:val="20"/>
                <w14:textFill>
                  <w14:solidFill>
                    <w14:schemeClr w14:val="tx1"/>
                  </w14:solidFill>
                </w14:textFill>
              </w:rPr>
              <w:t>或</w:t>
            </w:r>
            <w:r>
              <w:rPr>
                <w:color w:val="000000" w:themeColor="text1"/>
                <w:sz w:val="20"/>
                <w14:textFill>
                  <w14:solidFill>
                    <w14:schemeClr w14:val="tx1"/>
                  </w14:solidFill>
                </w14:textFill>
              </w:rPr>
              <w:t>2020</w:t>
            </w:r>
            <w:r>
              <w:rPr>
                <w:rFonts w:hint="eastAsia"/>
                <w:color w:val="000000" w:themeColor="text1"/>
                <w:sz w:val="20"/>
                <w14:textFill>
                  <w14:solidFill>
                    <w14:schemeClr w14:val="tx1"/>
                  </w14:solidFill>
                </w14:textFill>
              </w:rPr>
              <w:t>会计年度资产负债表复印件。【说明：投标人成立时间至投标截止时间止不足一年的，提供成立后任意时段的资产负债表复印件。】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3" w:type="dxa"/>
        </w:trPr>
        <w:tc>
          <w:tcPr>
            <w:tcW w:w="688"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6</w:t>
            </w:r>
          </w:p>
        </w:tc>
        <w:tc>
          <w:tcPr>
            <w:tcW w:w="1897"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缴纳社会保障资金的证明材料</w:t>
            </w:r>
          </w:p>
        </w:tc>
        <w:tc>
          <w:tcPr>
            <w:tcW w:w="594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投标人缴纳</w:t>
            </w:r>
            <w:r>
              <w:rPr>
                <w:color w:val="000000" w:themeColor="text1"/>
                <w:sz w:val="20"/>
                <w14:textFill>
                  <w14:solidFill>
                    <w14:schemeClr w14:val="tx1"/>
                  </w14:solidFill>
                </w14:textFill>
              </w:rPr>
              <w:t>2020</w:t>
            </w:r>
            <w:r>
              <w:rPr>
                <w:rFonts w:hint="eastAsia"/>
                <w:color w:val="000000" w:themeColor="text1"/>
                <w:sz w:val="20"/>
                <w14:textFill>
                  <w14:solidFill>
                    <w14:schemeClr w14:val="tx1"/>
                  </w14:solidFill>
                </w14:textFill>
              </w:rPr>
              <w:t>或</w:t>
            </w:r>
            <w:r>
              <w:rPr>
                <w:color w:val="000000" w:themeColor="text1"/>
                <w:sz w:val="20"/>
                <w14:textFill>
                  <w14:solidFill>
                    <w14:schemeClr w14:val="tx1"/>
                  </w14:solidFill>
                </w14:textFill>
              </w:rPr>
              <w:t>2021</w:t>
            </w:r>
            <w:r>
              <w:rPr>
                <w:rFonts w:hint="eastAsia"/>
                <w:color w:val="000000" w:themeColor="text1"/>
                <w:sz w:val="20"/>
                <w14:textFill>
                  <w14:solidFill>
                    <w14:schemeClr w14:val="tx1"/>
                  </w14:solidFill>
                </w14:textFill>
              </w:rPr>
              <w:t>年任意时段的社保的银行电子回单或行政部门出具的社保缴纳证明材料复印件。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3" w:type="dxa"/>
        </w:trPr>
        <w:tc>
          <w:tcPr>
            <w:tcW w:w="688"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7</w:t>
            </w:r>
          </w:p>
        </w:tc>
        <w:tc>
          <w:tcPr>
            <w:tcW w:w="1897"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缴纳税收的证明材料</w:t>
            </w:r>
          </w:p>
        </w:tc>
        <w:tc>
          <w:tcPr>
            <w:tcW w:w="594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投标人缴纳</w:t>
            </w:r>
            <w:r>
              <w:rPr>
                <w:color w:val="000000" w:themeColor="text1"/>
                <w:sz w:val="20"/>
                <w14:textFill>
                  <w14:solidFill>
                    <w14:schemeClr w14:val="tx1"/>
                  </w14:solidFill>
                </w14:textFill>
              </w:rPr>
              <w:t>2020</w:t>
            </w:r>
            <w:r>
              <w:rPr>
                <w:rFonts w:hint="eastAsia"/>
                <w:color w:val="000000" w:themeColor="text1"/>
                <w:sz w:val="20"/>
                <w14:textFill>
                  <w14:solidFill>
                    <w14:schemeClr w14:val="tx1"/>
                  </w14:solidFill>
                </w14:textFill>
              </w:rPr>
              <w:t>或</w:t>
            </w:r>
            <w:r>
              <w:rPr>
                <w:color w:val="000000" w:themeColor="text1"/>
                <w:sz w:val="20"/>
                <w14:textFill>
                  <w14:solidFill>
                    <w14:schemeClr w14:val="tx1"/>
                  </w14:solidFill>
                </w14:textFill>
              </w:rPr>
              <w:t>2021</w:t>
            </w:r>
            <w:r>
              <w:rPr>
                <w:rFonts w:hint="eastAsia"/>
                <w:color w:val="000000" w:themeColor="text1"/>
                <w:sz w:val="20"/>
                <w14:textFill>
                  <w14:solidFill>
                    <w14:schemeClr w14:val="tx1"/>
                  </w14:solidFill>
                </w14:textFill>
              </w:rPr>
              <w:t>年任意时段的税收的银行电子回单或者行政部门出具的纳税证明或完税证明的复印件。</w:t>
            </w:r>
          </w:p>
        </w:tc>
      </w:tr>
    </w:tbl>
    <w:p>
      <w:pPr>
        <w:tabs>
          <w:tab w:val="left" w:pos="851"/>
        </w:tabs>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注：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pPr>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二、“信用中国”和“中国政府采购网”网站查询结果，将以纸质截图或将截图保存至电子介质的形式留存。</w:t>
      </w:r>
    </w:p>
    <w:p>
      <w:pPr>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投标人的投标文件资格性审查时被判定为无效的，区采购中心将通知投标人（以短信、现场公示、电话、“政府采购云平台”等任一方式）。投标人如对资格审查结论有异议的，应及时向区采购中心反馈意见。区采购中心将及时告知资格审查小组。（说明：无论投标人是否收到通知或提供反馈意见，均不影响资格审查和评标工作，且区采购中心对此将不承担任何的责任。投标人对资格审查结论有异议的，其反馈意见仅限于资格审查小组对资格审查结论的正确性进行复核，避免出现审查错误。）</w:t>
      </w:r>
    </w:p>
    <w:p>
      <w:pPr>
        <w:ind w:firstLine="565" w:firstLineChars="202"/>
        <w:rPr>
          <w:color w:val="000000" w:themeColor="text1"/>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四、通过资格性审查的供应商＜3名，采购失败。</w:t>
      </w:r>
    </w:p>
    <w:p>
      <w:pPr>
        <w:rPr>
          <w:color w:val="000000" w:themeColor="text1"/>
          <w14:textFill>
            <w14:solidFill>
              <w14:schemeClr w14:val="tx1"/>
            </w14:solidFill>
          </w14:textFill>
        </w:rPr>
      </w:pPr>
    </w:p>
    <w:p>
      <w:pPr>
        <w:pStyle w:val="17"/>
        <w:rPr>
          <w:color w:val="000000" w:themeColor="text1"/>
          <w14:textFill>
            <w14:solidFill>
              <w14:schemeClr w14:val="tx1"/>
            </w14:solidFill>
          </w14:textFill>
        </w:rPr>
      </w:pPr>
    </w:p>
    <w:p>
      <w:pPr>
        <w:pStyle w:val="17"/>
        <w:rPr>
          <w:color w:val="000000" w:themeColor="text1"/>
          <w14:textFill>
            <w14:solidFill>
              <w14:schemeClr w14:val="tx1"/>
            </w14:solidFill>
          </w14:textFill>
        </w:rPr>
      </w:pPr>
    </w:p>
    <w:p>
      <w:pPr>
        <w:pStyle w:val="17"/>
        <w:rPr>
          <w:color w:val="000000" w:themeColor="text1"/>
          <w14:textFill>
            <w14:solidFill>
              <w14:schemeClr w14:val="tx1"/>
            </w14:solidFill>
          </w14:textFill>
        </w:rPr>
      </w:pPr>
    </w:p>
    <w:p>
      <w:pPr>
        <w:pStyle w:val="17"/>
        <w:rPr>
          <w:color w:val="000000" w:themeColor="text1"/>
          <w14:textFill>
            <w14:solidFill>
              <w14:schemeClr w14:val="tx1"/>
            </w14:solidFill>
          </w14:textFill>
        </w:rPr>
      </w:pPr>
    </w:p>
    <w:p>
      <w:pPr>
        <w:pStyle w:val="17"/>
        <w:rPr>
          <w:color w:val="000000" w:themeColor="text1"/>
          <w14:textFill>
            <w14:solidFill>
              <w14:schemeClr w14:val="tx1"/>
            </w14:solidFill>
          </w14:textFill>
        </w:rPr>
      </w:pPr>
    </w:p>
    <w:p>
      <w:pPr>
        <w:pStyle w:val="17"/>
        <w:rPr>
          <w:color w:val="000000" w:themeColor="text1"/>
          <w14:textFill>
            <w14:solidFill>
              <w14:schemeClr w14:val="tx1"/>
            </w14:solidFill>
          </w14:textFill>
        </w:rPr>
      </w:pPr>
    </w:p>
    <w:p>
      <w:pPr>
        <w:pStyle w:val="17"/>
        <w:rPr>
          <w:color w:val="000000" w:themeColor="text1"/>
          <w14:textFill>
            <w14:solidFill>
              <w14:schemeClr w14:val="tx1"/>
            </w14:solidFill>
          </w14:textFill>
        </w:rPr>
      </w:pPr>
    </w:p>
    <w:p>
      <w:pPr>
        <w:pStyle w:val="17"/>
        <w:rPr>
          <w:color w:val="000000" w:themeColor="text1"/>
          <w14:textFill>
            <w14:solidFill>
              <w14:schemeClr w14:val="tx1"/>
            </w14:solidFill>
          </w14:textFill>
        </w:rPr>
      </w:pPr>
    </w:p>
    <w:p>
      <w:pPr>
        <w:pStyle w:val="17"/>
        <w:rPr>
          <w:color w:val="000000" w:themeColor="text1"/>
          <w14:textFill>
            <w14:solidFill>
              <w14:schemeClr w14:val="tx1"/>
            </w14:solidFill>
          </w14:textFill>
        </w:rPr>
      </w:pPr>
    </w:p>
    <w:p>
      <w:pPr>
        <w:pStyle w:val="17"/>
        <w:rPr>
          <w:color w:val="000000" w:themeColor="text1"/>
          <w14:textFill>
            <w14:solidFill>
              <w14:schemeClr w14:val="tx1"/>
            </w14:solidFill>
          </w14:textFill>
        </w:rPr>
      </w:pPr>
    </w:p>
    <w:p>
      <w:pPr>
        <w:pStyle w:val="17"/>
        <w:rPr>
          <w:color w:val="000000" w:themeColor="text1"/>
          <w14:textFill>
            <w14:solidFill>
              <w14:schemeClr w14:val="tx1"/>
            </w14:solidFill>
          </w14:textFill>
        </w:rPr>
      </w:pPr>
    </w:p>
    <w:p>
      <w:pPr>
        <w:pStyle w:val="17"/>
        <w:rPr>
          <w:color w:val="000000" w:themeColor="text1"/>
          <w14:textFill>
            <w14:solidFill>
              <w14:schemeClr w14:val="tx1"/>
            </w14:solidFill>
          </w14:textFill>
        </w:rPr>
      </w:pPr>
    </w:p>
    <w:p>
      <w:pPr>
        <w:pStyle w:val="17"/>
        <w:rPr>
          <w:color w:val="000000" w:themeColor="text1"/>
          <w14:textFill>
            <w14:solidFill>
              <w14:schemeClr w14:val="tx1"/>
            </w14:solidFill>
          </w14:textFill>
        </w:rPr>
      </w:pPr>
    </w:p>
    <w:p>
      <w:pPr>
        <w:pStyle w:val="17"/>
        <w:rPr>
          <w:color w:val="000000" w:themeColor="text1"/>
          <w14:textFill>
            <w14:solidFill>
              <w14:schemeClr w14:val="tx1"/>
            </w14:solidFill>
          </w14:textFill>
        </w:rPr>
      </w:pPr>
    </w:p>
    <w:p>
      <w:pPr>
        <w:pStyle w:val="17"/>
        <w:rPr>
          <w:color w:val="000000" w:themeColor="text1"/>
          <w14:textFill>
            <w14:solidFill>
              <w14:schemeClr w14:val="tx1"/>
            </w14:solidFill>
          </w14:textFill>
        </w:rPr>
      </w:pPr>
    </w:p>
    <w:p>
      <w:pPr>
        <w:pStyle w:val="17"/>
        <w:rPr>
          <w:color w:val="000000" w:themeColor="text1"/>
          <w14:textFill>
            <w14:solidFill>
              <w14:schemeClr w14:val="tx1"/>
            </w14:solidFill>
          </w14:textFill>
        </w:rPr>
      </w:pPr>
    </w:p>
    <w:p>
      <w:pPr>
        <w:pStyle w:val="17"/>
        <w:rPr>
          <w:color w:val="000000" w:themeColor="text1"/>
          <w14:textFill>
            <w14:solidFill>
              <w14:schemeClr w14:val="tx1"/>
            </w14:solidFill>
          </w14:textFill>
        </w:rPr>
      </w:pPr>
    </w:p>
    <w:p>
      <w:pPr>
        <w:pStyle w:val="17"/>
        <w:rPr>
          <w:color w:val="000000" w:themeColor="text1"/>
          <w14:textFill>
            <w14:solidFill>
              <w14:schemeClr w14:val="tx1"/>
            </w14:solidFill>
          </w14:textFill>
        </w:rPr>
      </w:pPr>
    </w:p>
    <w:p>
      <w:pPr>
        <w:pStyle w:val="17"/>
        <w:rPr>
          <w:color w:val="000000" w:themeColor="text1"/>
          <w14:textFill>
            <w14:solidFill>
              <w14:schemeClr w14:val="tx1"/>
            </w14:solidFill>
          </w14:textFill>
        </w:rPr>
      </w:pPr>
    </w:p>
    <w:p>
      <w:pPr>
        <w:pStyle w:val="17"/>
        <w:rPr>
          <w:color w:val="000000" w:themeColor="text1"/>
          <w14:textFill>
            <w14:solidFill>
              <w14:schemeClr w14:val="tx1"/>
            </w14:solidFill>
          </w14:textFill>
        </w:rPr>
      </w:pPr>
    </w:p>
    <w:p>
      <w:pPr>
        <w:pStyle w:val="17"/>
        <w:rPr>
          <w:color w:val="000000" w:themeColor="text1"/>
          <w14:textFill>
            <w14:solidFill>
              <w14:schemeClr w14:val="tx1"/>
            </w14:solidFill>
          </w14:textFill>
        </w:rPr>
      </w:pPr>
    </w:p>
    <w:p>
      <w:pPr>
        <w:pStyle w:val="17"/>
        <w:rPr>
          <w:color w:val="000000" w:themeColor="text1"/>
          <w14:textFill>
            <w14:solidFill>
              <w14:schemeClr w14:val="tx1"/>
            </w14:solidFill>
          </w14:textFill>
        </w:rPr>
      </w:pPr>
    </w:p>
    <w:p>
      <w:pPr>
        <w:pStyle w:val="17"/>
        <w:rPr>
          <w:color w:val="000000" w:themeColor="text1"/>
          <w14:textFill>
            <w14:solidFill>
              <w14:schemeClr w14:val="tx1"/>
            </w14:solidFill>
          </w14:textFill>
        </w:rPr>
      </w:pPr>
    </w:p>
    <w:p>
      <w:pPr>
        <w:pStyle w:val="17"/>
        <w:rPr>
          <w:color w:val="000000" w:themeColor="text1"/>
          <w14:textFill>
            <w14:solidFill>
              <w14:schemeClr w14:val="tx1"/>
            </w14:solidFill>
          </w14:textFill>
        </w:rPr>
      </w:pPr>
    </w:p>
    <w:p>
      <w:pPr>
        <w:pStyle w:val="17"/>
        <w:rPr>
          <w:color w:val="000000" w:themeColor="text1"/>
          <w14:textFill>
            <w14:solidFill>
              <w14:schemeClr w14:val="tx1"/>
            </w14:solidFill>
          </w14:textFill>
        </w:rPr>
      </w:pPr>
    </w:p>
    <w:p>
      <w:pPr>
        <w:pStyle w:val="2"/>
        <w:numPr>
          <w:ilvl w:val="0"/>
          <w:numId w:val="3"/>
        </w:numPr>
        <w:spacing w:before="0" w:after="0" w:line="360" w:lineRule="auto"/>
        <w:ind w:left="0" w:firstLine="0"/>
        <w:rPr>
          <w:color w:val="000000" w:themeColor="text1"/>
          <w14:textFill>
            <w14:solidFill>
              <w14:schemeClr w14:val="tx1"/>
            </w14:solidFill>
          </w14:textFill>
        </w:rPr>
      </w:pPr>
      <w:bookmarkStart w:id="278" w:name="_Toc29184"/>
      <w:bookmarkStart w:id="279" w:name="_Toc11596"/>
      <w:bookmarkStart w:id="280" w:name="_Toc18121"/>
      <w:bookmarkStart w:id="281" w:name="_Toc16118"/>
      <w:bookmarkStart w:id="282" w:name="_Toc77584659"/>
      <w:r>
        <w:rPr>
          <w:rFonts w:hint="eastAsia"/>
          <w:color w:val="000000" w:themeColor="text1"/>
          <w14:textFill>
            <w14:solidFill>
              <w14:schemeClr w14:val="tx1"/>
            </w14:solidFill>
          </w14:textFill>
        </w:rPr>
        <w:t>评标办法</w:t>
      </w:r>
      <w:bookmarkEnd w:id="278"/>
      <w:bookmarkEnd w:id="279"/>
      <w:bookmarkEnd w:id="280"/>
      <w:bookmarkEnd w:id="281"/>
      <w:bookmarkEnd w:id="282"/>
      <w:bookmarkStart w:id="283" w:name="_Toc183682415"/>
      <w:bookmarkStart w:id="284" w:name="_Toc208849007"/>
      <w:bookmarkStart w:id="285" w:name="_Toc217446097"/>
      <w:bookmarkStart w:id="286" w:name="_Toc183582280"/>
    </w:p>
    <w:p>
      <w:pPr>
        <w:pStyle w:val="3"/>
        <w:numPr>
          <w:ilvl w:val="1"/>
          <w:numId w:val="3"/>
        </w:numPr>
        <w:spacing w:before="0" w:after="0" w:line="560" w:lineRule="exact"/>
        <w:ind w:left="2269" w:hanging="2269"/>
        <w:rPr>
          <w:color w:val="000000" w:themeColor="text1"/>
          <w14:textFill>
            <w14:solidFill>
              <w14:schemeClr w14:val="tx1"/>
            </w14:solidFill>
          </w14:textFill>
        </w:rPr>
      </w:pPr>
      <w:bookmarkStart w:id="287" w:name="_Toc10788"/>
      <w:bookmarkStart w:id="288" w:name="_Toc13609"/>
      <w:bookmarkStart w:id="289" w:name="_Toc316292248"/>
      <w:bookmarkStart w:id="290" w:name="_Toc12005"/>
      <w:bookmarkStart w:id="291" w:name="_Toc315871642"/>
      <w:bookmarkStart w:id="292" w:name="_Toc77584660"/>
      <w:bookmarkStart w:id="293" w:name="_Toc30790"/>
      <w:r>
        <w:rPr>
          <w:rFonts w:hint="eastAsia"/>
          <w:color w:val="000000" w:themeColor="text1"/>
          <w14:textFill>
            <w14:solidFill>
              <w14:schemeClr w14:val="tx1"/>
            </w14:solidFill>
          </w14:textFill>
        </w:rPr>
        <w:t>总则</w:t>
      </w:r>
      <w:bookmarkEnd w:id="283"/>
      <w:bookmarkEnd w:id="284"/>
      <w:bookmarkEnd w:id="285"/>
      <w:bookmarkEnd w:id="286"/>
      <w:bookmarkEnd w:id="287"/>
      <w:bookmarkEnd w:id="288"/>
      <w:bookmarkEnd w:id="289"/>
      <w:bookmarkEnd w:id="290"/>
      <w:bookmarkEnd w:id="291"/>
      <w:bookmarkEnd w:id="292"/>
      <w:bookmarkEnd w:id="293"/>
    </w:p>
    <w:p>
      <w:pPr>
        <w:numPr>
          <w:ilvl w:val="0"/>
          <w:numId w:val="38"/>
        </w:numPr>
        <w:tabs>
          <w:tab w:val="left" w:pos="1134"/>
        </w:tabs>
        <w:spacing w:after="200" w:line="560" w:lineRule="exact"/>
        <w:ind w:left="0" w:firstLine="565" w:firstLineChars="202"/>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根据《中华人民共和国政府采购法》、《中华人民共和国政府采购法实施条例》和《政府采购货物和服务招标投标管理办法》等法律规章，结合采购项目特点制定本评标办法。</w:t>
      </w:r>
    </w:p>
    <w:p>
      <w:pPr>
        <w:numPr>
          <w:ilvl w:val="0"/>
          <w:numId w:val="38"/>
        </w:numPr>
        <w:tabs>
          <w:tab w:val="left" w:pos="1134"/>
        </w:tabs>
        <w:spacing w:after="200" w:line="560" w:lineRule="exact"/>
        <w:ind w:left="0" w:firstLine="565" w:firstLineChars="202"/>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评标工作由区采购中心负责组织，具体评标事务由采购人或区采购中心依法组建的评标委员会负责。评标委员会由采购人代表和评审专家组成。</w:t>
      </w:r>
    </w:p>
    <w:p>
      <w:pPr>
        <w:numPr>
          <w:ilvl w:val="0"/>
          <w:numId w:val="38"/>
        </w:numPr>
        <w:tabs>
          <w:tab w:val="left" w:pos="1134"/>
        </w:tabs>
        <w:spacing w:after="200" w:line="560" w:lineRule="exact"/>
        <w:ind w:left="0" w:firstLine="565" w:firstLineChars="202"/>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评标工作应遵循公平、公正、科学及择优的原则，并以相同的评标程序和标准对待所有的投标人。</w:t>
      </w:r>
    </w:p>
    <w:p>
      <w:pPr>
        <w:numPr>
          <w:ilvl w:val="0"/>
          <w:numId w:val="38"/>
        </w:numPr>
        <w:tabs>
          <w:tab w:val="left" w:pos="1134"/>
        </w:tabs>
        <w:spacing w:after="200" w:line="560" w:lineRule="exact"/>
        <w:ind w:left="0" w:firstLine="565" w:firstLineChars="202"/>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评标委员会按照招标文件规定的评标程序、评标方法和标准进行独立评审，并独立履行下列职责：</w:t>
      </w:r>
    </w:p>
    <w:p>
      <w:pPr>
        <w:numPr>
          <w:ilvl w:val="1"/>
          <w:numId w:val="39"/>
        </w:numPr>
        <w:spacing w:after="200"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熟悉和理解招标文件；</w:t>
      </w:r>
    </w:p>
    <w:p>
      <w:pPr>
        <w:numPr>
          <w:ilvl w:val="1"/>
          <w:numId w:val="39"/>
        </w:numPr>
        <w:spacing w:after="200"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审查、评价投标文件是否符合招标文件的商务、技术等实质性要求；</w:t>
      </w:r>
    </w:p>
    <w:p>
      <w:pPr>
        <w:numPr>
          <w:ilvl w:val="1"/>
          <w:numId w:val="39"/>
        </w:numPr>
        <w:spacing w:after="200"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对投标文件进行比较和评价；</w:t>
      </w:r>
    </w:p>
    <w:p>
      <w:pPr>
        <w:numPr>
          <w:ilvl w:val="1"/>
          <w:numId w:val="39"/>
        </w:numPr>
        <w:spacing w:after="200"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根据需要要求采购人对招标文件作出解释；根据需要要求投标人对投标文件有关事项作出解释或者澄清；</w:t>
      </w:r>
    </w:p>
    <w:p>
      <w:pPr>
        <w:numPr>
          <w:ilvl w:val="1"/>
          <w:numId w:val="39"/>
        </w:numPr>
        <w:spacing w:after="200"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确定中标候选人名单，以及根据采购人委托直接确定中标人；</w:t>
      </w:r>
    </w:p>
    <w:p>
      <w:pPr>
        <w:numPr>
          <w:ilvl w:val="1"/>
          <w:numId w:val="39"/>
        </w:numPr>
        <w:spacing w:after="200"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起草评标报告并进行签署；</w:t>
      </w:r>
    </w:p>
    <w:p>
      <w:pPr>
        <w:numPr>
          <w:ilvl w:val="1"/>
          <w:numId w:val="39"/>
        </w:numPr>
        <w:spacing w:after="200"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向采购人、区采购中心或者财政、监察等有关部门报告或举报非法干预评标工作的行为；</w:t>
      </w:r>
    </w:p>
    <w:p>
      <w:pPr>
        <w:numPr>
          <w:ilvl w:val="1"/>
          <w:numId w:val="39"/>
        </w:numPr>
        <w:spacing w:after="200"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向采购人、区采购</w:t>
      </w:r>
      <w:r>
        <w:rPr>
          <w:rFonts w:hint="eastAsia" w:cs="Arial"/>
          <w:color w:val="000000" w:themeColor="text1"/>
          <w:sz w:val="28"/>
          <w:szCs w:val="28"/>
          <w14:textFill>
            <w14:solidFill>
              <w14:schemeClr w14:val="tx1"/>
            </w14:solidFill>
          </w14:textFill>
        </w:rPr>
        <w:t>中心</w:t>
      </w:r>
      <w:r>
        <w:rPr>
          <w:rFonts w:hint="eastAsia" w:ascii="宋体" w:hAnsi="宋体"/>
          <w:color w:val="000000" w:themeColor="text1"/>
          <w:sz w:val="28"/>
          <w:szCs w:val="28"/>
          <w14:textFill>
            <w14:solidFill>
              <w14:schemeClr w14:val="tx1"/>
            </w14:solidFill>
          </w14:textFill>
        </w:rPr>
        <w:t>或者有关部门报告评标中发现的违法行为。</w:t>
      </w:r>
    </w:p>
    <w:p>
      <w:pPr>
        <w:numPr>
          <w:ilvl w:val="1"/>
          <w:numId w:val="39"/>
        </w:numPr>
        <w:spacing w:after="200"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法律、法规和规章规定的其他职责。</w:t>
      </w:r>
    </w:p>
    <w:p>
      <w:pPr>
        <w:numPr>
          <w:ilvl w:val="0"/>
          <w:numId w:val="38"/>
        </w:numPr>
        <w:tabs>
          <w:tab w:val="left" w:pos="1134"/>
        </w:tabs>
        <w:spacing w:after="200" w:line="560" w:lineRule="exact"/>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评标过程独立、保密。投标人非法干预评标过程的行为将导致其投标文件作为无效处理。</w:t>
      </w:r>
    </w:p>
    <w:p>
      <w:pPr>
        <w:numPr>
          <w:ilvl w:val="0"/>
          <w:numId w:val="38"/>
        </w:numPr>
        <w:tabs>
          <w:tab w:val="left" w:pos="1134"/>
        </w:tabs>
        <w:spacing w:after="200" w:line="560" w:lineRule="exact"/>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评标委员会决定投标文件的响应性依据投标文件本身的内容，而不寻求外部的证据，招标文件有明确约定的除外。</w:t>
      </w:r>
    </w:p>
    <w:p>
      <w:pPr>
        <w:tabs>
          <w:tab w:val="left" w:pos="1134"/>
        </w:tabs>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七、评标委员会发现招标文件表述不明确或需要说明的事项，可提请采购人和区采购中心书面解释说明。</w:t>
      </w:r>
    </w:p>
    <w:p>
      <w:pPr>
        <w:pStyle w:val="3"/>
        <w:numPr>
          <w:ilvl w:val="1"/>
          <w:numId w:val="3"/>
        </w:numPr>
        <w:spacing w:before="0" w:after="0" w:line="560" w:lineRule="exact"/>
        <w:ind w:left="2269" w:hanging="2269"/>
        <w:rPr>
          <w:color w:val="000000" w:themeColor="text1"/>
          <w14:textFill>
            <w14:solidFill>
              <w14:schemeClr w14:val="tx1"/>
            </w14:solidFill>
          </w14:textFill>
        </w:rPr>
      </w:pPr>
      <w:bookmarkStart w:id="294" w:name="_Toc29481"/>
      <w:bookmarkStart w:id="295" w:name="_Toc7423"/>
      <w:bookmarkStart w:id="296" w:name="_Toc28274"/>
      <w:bookmarkStart w:id="297" w:name="_Toc77584661"/>
      <w:bookmarkStart w:id="298" w:name="_Toc3818"/>
      <w:bookmarkStart w:id="299" w:name="_Toc315871644"/>
      <w:bookmarkStart w:id="300" w:name="_Toc217446098"/>
      <w:bookmarkStart w:id="301" w:name="_Toc316292250"/>
      <w:r>
        <w:rPr>
          <w:rFonts w:hint="eastAsia"/>
          <w:color w:val="000000" w:themeColor="text1"/>
          <w14:textFill>
            <w14:solidFill>
              <w14:schemeClr w14:val="tx1"/>
            </w14:solidFill>
          </w14:textFill>
        </w:rPr>
        <w:t>评标方法</w:t>
      </w:r>
      <w:bookmarkEnd w:id="294"/>
      <w:bookmarkEnd w:id="295"/>
      <w:bookmarkEnd w:id="296"/>
      <w:bookmarkEnd w:id="297"/>
      <w:bookmarkEnd w:id="298"/>
    </w:p>
    <w:p>
      <w:pPr>
        <w:spacing w:line="560" w:lineRule="exact"/>
        <w:rPr>
          <w:color w:val="000000" w:themeColor="text1"/>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  综合评分法。</w:t>
      </w:r>
    </w:p>
    <w:p>
      <w:pPr>
        <w:pStyle w:val="3"/>
        <w:numPr>
          <w:ilvl w:val="1"/>
          <w:numId w:val="3"/>
        </w:numPr>
        <w:spacing w:before="0" w:after="0" w:line="560" w:lineRule="exact"/>
        <w:ind w:left="2269" w:hanging="2269"/>
        <w:rPr>
          <w:color w:val="000000" w:themeColor="text1"/>
          <w14:textFill>
            <w14:solidFill>
              <w14:schemeClr w14:val="tx1"/>
            </w14:solidFill>
          </w14:textFill>
        </w:rPr>
      </w:pPr>
      <w:bookmarkStart w:id="302" w:name="_Toc30741"/>
      <w:bookmarkStart w:id="303" w:name="_Toc77584662"/>
      <w:bookmarkStart w:id="304" w:name="_Toc3207"/>
      <w:bookmarkStart w:id="305" w:name="_Toc10678"/>
      <w:bookmarkStart w:id="306" w:name="_Toc6803"/>
      <w:r>
        <w:rPr>
          <w:rFonts w:hint="eastAsia"/>
          <w:color w:val="000000" w:themeColor="text1"/>
          <w14:textFill>
            <w14:solidFill>
              <w14:schemeClr w14:val="tx1"/>
            </w14:solidFill>
          </w14:textFill>
        </w:rPr>
        <w:t>评标程序</w:t>
      </w:r>
      <w:bookmarkEnd w:id="299"/>
      <w:bookmarkEnd w:id="300"/>
      <w:bookmarkEnd w:id="301"/>
      <w:bookmarkEnd w:id="302"/>
      <w:bookmarkEnd w:id="303"/>
      <w:bookmarkEnd w:id="304"/>
      <w:bookmarkEnd w:id="305"/>
      <w:bookmarkEnd w:id="306"/>
    </w:p>
    <w:p>
      <w:pPr>
        <w:pStyle w:val="4"/>
        <w:numPr>
          <w:ilvl w:val="2"/>
          <w:numId w:val="3"/>
        </w:numPr>
        <w:spacing w:after="200" w:line="560" w:lineRule="exact"/>
        <w:ind w:left="0" w:firstLine="0"/>
        <w:rPr>
          <w:color w:val="000000" w:themeColor="text1"/>
          <w14:textFill>
            <w14:solidFill>
              <w14:schemeClr w14:val="tx1"/>
            </w14:solidFill>
          </w14:textFill>
        </w:rPr>
      </w:pPr>
      <w:bookmarkStart w:id="307" w:name="_Toc316475650"/>
      <w:bookmarkEnd w:id="307"/>
      <w:bookmarkStart w:id="308" w:name="_Toc217446099"/>
      <w:r>
        <w:rPr>
          <w:rFonts w:hint="eastAsia"/>
          <w:color w:val="000000" w:themeColor="text1"/>
          <w14:textFill>
            <w14:solidFill>
              <w14:schemeClr w14:val="tx1"/>
            </w14:solidFill>
          </w14:textFill>
        </w:rPr>
        <w:t>符合性审查</w:t>
      </w:r>
    </w:p>
    <w:p>
      <w:pPr>
        <w:tabs>
          <w:tab w:val="left" w:pos="851"/>
        </w:tabs>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符合性审查由评标委员会依据招标文件的规定，从投标文件的有效性、完整性和对招标文件的响应程度进行审查，以确定是否对招标文件的实质性要求作出响应。在投标文件符合性审查过程中，如果出现评标委员会成员意见不一致的情况，按照少数服从多数的原则确定，但不得违背政府采购基本原则和招标文件规定。</w:t>
      </w:r>
    </w:p>
    <w:p>
      <w:pPr>
        <w:tabs>
          <w:tab w:val="left" w:pos="851"/>
        </w:tabs>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符合性审查标准见下表（按以下顺序审查）：</w:t>
      </w:r>
    </w:p>
    <w:tbl>
      <w:tblPr>
        <w:tblStyle w:val="43"/>
        <w:tblW w:w="5179" w:type="pct"/>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0"/>
        <w:gridCol w:w="1956"/>
        <w:gridCol w:w="60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b/>
                <w:sz w:val="24"/>
                <w:szCs w:val="28"/>
              </w:rPr>
            </w:pPr>
            <w:r>
              <w:rPr>
                <w:rFonts w:hint="eastAsia" w:ascii="宋体" w:hAnsi="宋体"/>
                <w:b/>
                <w:sz w:val="24"/>
                <w:szCs w:val="28"/>
              </w:rPr>
              <w:t>序号</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b/>
                <w:sz w:val="24"/>
                <w:szCs w:val="28"/>
              </w:rPr>
            </w:pPr>
            <w:r>
              <w:rPr>
                <w:rFonts w:hint="eastAsia" w:ascii="宋体" w:hAnsi="宋体"/>
                <w:b/>
                <w:sz w:val="24"/>
                <w:szCs w:val="28"/>
              </w:rPr>
              <w:t>符合性审查项</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ind w:firstLine="487" w:firstLineChars="202"/>
              <w:rPr>
                <w:rFonts w:ascii="宋体" w:hAnsi="宋体"/>
                <w:sz w:val="24"/>
                <w:szCs w:val="28"/>
              </w:rPr>
            </w:pPr>
            <w:r>
              <w:rPr>
                <w:rFonts w:hint="eastAsia" w:ascii="宋体" w:hAnsi="宋体"/>
                <w:b/>
                <w:sz w:val="24"/>
                <w:szCs w:val="28"/>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 w:val="24"/>
                <w:szCs w:val="28"/>
              </w:rPr>
            </w:pPr>
            <w:r>
              <w:rPr>
                <w:rFonts w:hint="eastAsia" w:ascii="宋体" w:hAnsi="宋体"/>
                <w:sz w:val="24"/>
                <w:szCs w:val="28"/>
              </w:rPr>
              <w:t>1</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商务</w:t>
            </w:r>
            <w:r>
              <w:rPr>
                <w:rFonts w:ascii="宋体" w:hAnsi="宋体"/>
                <w:sz w:val="24"/>
                <w:szCs w:val="28"/>
              </w:rPr>
              <w:t>技术响应文件和报价要求响应文件</w:t>
            </w:r>
            <w:r>
              <w:rPr>
                <w:rFonts w:hint="eastAsia" w:ascii="宋体" w:hAnsi="宋体"/>
                <w:sz w:val="24"/>
                <w:szCs w:val="28"/>
              </w:rPr>
              <w:t>组成</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符合招标文件“2.4.6投标文件的组成”规定要求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 w:val="24"/>
                <w:szCs w:val="28"/>
              </w:rPr>
            </w:pPr>
            <w:r>
              <w:rPr>
                <w:rFonts w:ascii="宋体" w:hAnsi="宋体"/>
                <w:sz w:val="24"/>
                <w:szCs w:val="28"/>
              </w:rPr>
              <w:t>2</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商务</w:t>
            </w:r>
            <w:r>
              <w:rPr>
                <w:rFonts w:ascii="宋体" w:hAnsi="宋体"/>
                <w:sz w:val="24"/>
                <w:szCs w:val="28"/>
              </w:rPr>
              <w:t>技术响应文件和报价要求响应文件</w:t>
            </w:r>
            <w:r>
              <w:rPr>
                <w:rFonts w:hint="eastAsia" w:ascii="宋体" w:hAnsi="宋体"/>
                <w:sz w:val="24"/>
                <w:szCs w:val="28"/>
              </w:rPr>
              <w:t>的计量单位、语言、报价货币、投标有效期</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计量单位、语言、报价货币、投标有效期均符合招标文件的要求。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 w:val="24"/>
                <w:szCs w:val="28"/>
              </w:rPr>
            </w:pPr>
            <w:r>
              <w:rPr>
                <w:rFonts w:hint="eastAsia" w:ascii="宋体" w:hAnsi="宋体"/>
                <w:sz w:val="24"/>
                <w:szCs w:val="28"/>
              </w:rPr>
              <w:t>3</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第4章打★号的技术、服务、商务和其他要求</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投标文件均实质性响应招标文件中加★号的技术、服务、商务和其他要求。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 w:val="24"/>
                <w:szCs w:val="28"/>
              </w:rPr>
            </w:pPr>
            <w:r>
              <w:rPr>
                <w:rFonts w:hint="eastAsia" w:ascii="宋体" w:hAnsi="宋体"/>
                <w:sz w:val="24"/>
                <w:szCs w:val="28"/>
              </w:rPr>
              <w:t>4</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进口产品</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招标文件中未载明“允许采购进口产品”的产品，投标产品为国产产品。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 w:val="24"/>
                <w:szCs w:val="28"/>
              </w:rPr>
            </w:pPr>
            <w:r>
              <w:rPr>
                <w:rFonts w:hint="eastAsia" w:ascii="宋体" w:hAnsi="宋体"/>
                <w:sz w:val="24"/>
                <w:szCs w:val="28"/>
              </w:rPr>
              <w:t>5</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不属于禁止参加投标或投标无效的供应商</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（1）根据招标文件的要求不属于禁止参加投标或投标无效的供应商；</w:t>
            </w:r>
          </w:p>
          <w:p>
            <w:pPr>
              <w:tabs>
                <w:tab w:val="left" w:pos="851"/>
              </w:tabs>
              <w:spacing w:line="360" w:lineRule="auto"/>
              <w:rPr>
                <w:rFonts w:ascii="宋体" w:hAnsi="宋体"/>
                <w:sz w:val="24"/>
                <w:szCs w:val="28"/>
              </w:rPr>
            </w:pPr>
            <w:r>
              <w:rPr>
                <w:rFonts w:hint="eastAsia" w:ascii="宋体" w:hAnsi="宋体"/>
                <w:sz w:val="24"/>
                <w:szCs w:val="28"/>
              </w:rPr>
              <w:t>（2）评标委员会未发现或者未知晓投标人存在属于国家相关法律法规规定的禁止参加投标或投标无效的供应商。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 w:val="24"/>
                <w:szCs w:val="28"/>
              </w:rPr>
            </w:pPr>
            <w:r>
              <w:rPr>
                <w:rFonts w:hint="eastAsia" w:ascii="宋体" w:hAnsi="宋体"/>
                <w:sz w:val="24"/>
                <w:szCs w:val="28"/>
              </w:rPr>
              <w:t>6</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法定代表人身份证复印件或护照复印件</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身份证复印件或护照复印件【注：法定代表人身份证复印件（身份证两面均应复印，在有效期内）或护照复印件（法定代表人为外籍人士的，按此提供）。】。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 w:val="24"/>
                <w:szCs w:val="28"/>
              </w:rPr>
            </w:pPr>
            <w:r>
              <w:rPr>
                <w:rFonts w:hint="eastAsia" w:ascii="宋体" w:hAnsi="宋体"/>
                <w:sz w:val="24"/>
                <w:szCs w:val="28"/>
              </w:rPr>
              <w:t>7</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除资格性审查要求的证明材料外，招标文件要求提供的其他证明材料</w:t>
            </w:r>
          </w:p>
        </w:tc>
        <w:tc>
          <w:tcPr>
            <w:tcW w:w="0" w:type="auto"/>
            <w:tcBorders>
              <w:top w:val="single" w:color="auto" w:sz="2" w:space="0"/>
              <w:left w:val="single" w:color="auto" w:sz="2" w:space="0"/>
              <w:bottom w:val="single" w:color="auto" w:sz="2" w:space="0"/>
              <w:right w:val="single" w:color="auto" w:sz="2" w:space="0"/>
            </w:tcBorders>
            <w:vAlign w:val="center"/>
          </w:tcPr>
          <w:p>
            <w:pPr>
              <w:pStyle w:val="208"/>
              <w:spacing w:line="360" w:lineRule="auto"/>
              <w:ind w:firstLine="420"/>
              <w:rPr>
                <w:rFonts w:hAnsi="宋体" w:cs="Times New Roman"/>
                <w:color w:val="auto"/>
                <w:kern w:val="2"/>
                <w:szCs w:val="28"/>
              </w:rPr>
            </w:pPr>
            <w:r>
              <w:rPr>
                <w:rFonts w:hint="eastAsia" w:hAnsi="宋体" w:cs="Times New Roman"/>
                <w:color w:val="auto"/>
                <w:kern w:val="2"/>
                <w:szCs w:val="28"/>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 w:val="24"/>
                <w:szCs w:val="28"/>
              </w:rPr>
            </w:pPr>
            <w:r>
              <w:rPr>
                <w:rFonts w:hint="eastAsia" w:ascii="宋体" w:hAnsi="宋体"/>
                <w:sz w:val="24"/>
                <w:szCs w:val="28"/>
              </w:rPr>
              <w:t>8</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报价</w:t>
            </w:r>
            <w:r>
              <w:rPr>
                <w:rFonts w:ascii="宋体" w:hAnsi="宋体"/>
                <w:sz w:val="24"/>
                <w:szCs w:val="28"/>
              </w:rPr>
              <w:t>要求响应文件的</w:t>
            </w:r>
            <w:r>
              <w:rPr>
                <w:rFonts w:hint="eastAsia" w:ascii="宋体" w:hAnsi="宋体"/>
                <w:sz w:val="24"/>
                <w:szCs w:val="28"/>
              </w:rPr>
              <w:t>投标报价</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4"/>
              </w:rPr>
            </w:pPr>
            <w:r>
              <w:rPr>
                <w:rFonts w:hint="eastAsia" w:ascii="宋体" w:hAnsi="宋体"/>
                <w:sz w:val="24"/>
                <w:szCs w:val="28"/>
              </w:rPr>
              <w:t>开标一览表、报价</w:t>
            </w:r>
            <w:r>
              <w:rPr>
                <w:rFonts w:ascii="宋体" w:hAnsi="宋体"/>
                <w:sz w:val="24"/>
                <w:szCs w:val="28"/>
              </w:rPr>
              <w:t>明细表</w:t>
            </w:r>
            <w:r>
              <w:rPr>
                <w:rFonts w:hint="eastAsia" w:ascii="宋体" w:hAnsi="宋体"/>
                <w:sz w:val="24"/>
                <w:szCs w:val="28"/>
              </w:rPr>
              <w:t>、</w:t>
            </w:r>
            <w:r>
              <w:rPr>
                <w:rFonts w:ascii="宋体" w:hAnsi="宋体"/>
                <w:sz w:val="24"/>
                <w:szCs w:val="28"/>
              </w:rPr>
              <w:t>投标文件</w:t>
            </w:r>
            <w:r>
              <w:rPr>
                <w:rFonts w:hint="eastAsia" w:ascii="宋体" w:hAnsi="宋体"/>
                <w:sz w:val="24"/>
                <w:szCs w:val="28"/>
              </w:rPr>
              <w:t>【注：（1）报价唯一（说明：投标报价出现下列情况的，按以下原则处理，并以修正后的价格作为投标人的投标报价：①投标文件中的大写金额和小写金额不一致的，以大写金额为准，但大写金额出现文字错误，导致金额无法判断的除外；</w:t>
            </w:r>
            <w:r>
              <w:rPr>
                <w:rFonts w:hint="eastAsia" w:ascii="宋体" w:hAnsi="宋体" w:cs="宋体"/>
                <w:sz w:val="24"/>
                <w:szCs w:val="28"/>
              </w:rPr>
              <w:t>②</w:t>
            </w:r>
            <w:r>
              <w:rPr>
                <w:rFonts w:hint="eastAsia" w:ascii="宋体" w:hAnsi="宋体"/>
                <w:sz w:val="24"/>
                <w:szCs w:val="28"/>
              </w:rPr>
              <w:t>单价金额小数点或者百分比有明显错位的，以总价为准，并修改单价；</w:t>
            </w:r>
            <w:r>
              <w:rPr>
                <w:rFonts w:hint="eastAsia" w:ascii="宋体" w:hAnsi="宋体" w:cs="宋体"/>
                <w:sz w:val="24"/>
                <w:szCs w:val="28"/>
              </w:rPr>
              <w:t>③</w:t>
            </w:r>
            <w:r>
              <w:rPr>
                <w:rFonts w:hint="eastAsia" w:ascii="宋体" w:hAnsi="宋体"/>
                <w:sz w:val="24"/>
                <w:szCs w:val="28"/>
              </w:rPr>
              <w:t>总价金额与按单价汇总金额不一致的，以单价金额计算结果为准；同时出现两种以上不一致的，按照前款规定的顺序修正。修正后的报价经投标人以书面形式通过政府采购云平台进行确认，并加盖投标人（法定名称）电子签章，投标人逾时确认的，其投标无效。（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府采购云平台进行递交；②投标人提供了书面说明、相关证明材料（如涉及），且能证明其投标报价合理性）。（</w:t>
            </w:r>
            <w:r>
              <w:rPr>
                <w:rFonts w:ascii="宋体" w:hAnsi="宋体"/>
                <w:sz w:val="24"/>
                <w:szCs w:val="28"/>
              </w:rPr>
              <w:t>5）如因断电、断网、系统故障或其他不可抗力等因素，导致系统无法使用的，由投标人按评标委员会的要求进行澄清或者说明</w:t>
            </w:r>
            <w:r>
              <w:rPr>
                <w:rFonts w:hint="eastAsia" w:ascii="宋体" w:hAnsi="宋体"/>
                <w:sz w:val="24"/>
                <w:szCs w:val="28"/>
              </w:rPr>
              <w:t>。】</w:t>
            </w:r>
          </w:p>
        </w:tc>
      </w:tr>
    </w:tbl>
    <w:p>
      <w:pPr>
        <w:tabs>
          <w:tab w:val="left" w:pos="851"/>
        </w:tabs>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pPr>
        <w:tabs>
          <w:tab w:val="left" w:pos="851"/>
        </w:tabs>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投标人的投标文件符合性审查时被判定为无效投标文件的，区采购中心将通知投标人（以短信、现场公示、电话、“政府采购云平台”等任一方式）。投标人如对评审结论有异议的，应及时向区采购中心反馈意见。区采购中心在评审结束前将收到的反馈意见及时告知评标委员会。（说明：无论投标人是否收到通知或提供反馈意见，均不影响评标委员会的评标工作，且区采购中心对此将不承担任何的责任。投标人对评审结论有异议的，其反馈意见仅限于评标委员会对评审结论的正确性进行复核，避免出现评审错误。）</w:t>
      </w:r>
    </w:p>
    <w:p>
      <w:pPr>
        <w:tabs>
          <w:tab w:val="left" w:pos="851"/>
        </w:tabs>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三、通过符合性审查的供应商＜3名，本项目采购失败。</w:t>
      </w:r>
    </w:p>
    <w:p>
      <w:pPr>
        <w:pStyle w:val="4"/>
        <w:numPr>
          <w:ilvl w:val="2"/>
          <w:numId w:val="3"/>
        </w:numPr>
        <w:spacing w:after="200" w:line="560" w:lineRule="exact"/>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解释、澄清有关问题</w:t>
      </w:r>
    </w:p>
    <w:p>
      <w:pPr>
        <w:numPr>
          <w:ilvl w:val="0"/>
          <w:numId w:val="40"/>
        </w:numPr>
        <w:tabs>
          <w:tab w:val="left" w:pos="1134"/>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过程中，评标委员会认为招标文件有关事项表述不明确或需要说明的，可以提请区采购中心书面解释。区采购中心的解释不得改变招标文件的原义或者影响公平、公正，解释事项如果涉及投标人权益的以有利于投标人的原则进行解释。</w:t>
      </w:r>
    </w:p>
    <w:p>
      <w:pPr>
        <w:numPr>
          <w:ilvl w:val="0"/>
          <w:numId w:val="40"/>
        </w:numPr>
        <w:tabs>
          <w:tab w:val="left" w:pos="1134"/>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对投标文件中含义不明确、同类问题表述不一致或者有明显文字和计算错误的内容，评标委员会应当要求投标人作出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pPr>
        <w:numPr>
          <w:ilvl w:val="0"/>
          <w:numId w:val="40"/>
        </w:numPr>
        <w:tabs>
          <w:tab w:val="left" w:pos="1134"/>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澄清应当不超出投标文件的范围、不实质性改变投标文件的内容、不影响投标人的公平竞争、不导致投标文件从不响应招标文件变为响应招标文件的条件。下列内容不得澄清：</w:t>
      </w:r>
    </w:p>
    <w:p>
      <w:pPr>
        <w:pStyle w:val="156"/>
        <w:numPr>
          <w:ilvl w:val="0"/>
          <w:numId w:val="41"/>
        </w:numPr>
        <w:tabs>
          <w:tab w:val="left" w:pos="1260"/>
        </w:tabs>
        <w:spacing w:after="200" w:line="560" w:lineRule="exact"/>
        <w:ind w:left="0" w:firstLine="525"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投标人投标文件中不响应招标文件规定的技术参数指标和商务应答；</w:t>
      </w:r>
    </w:p>
    <w:p>
      <w:pPr>
        <w:pStyle w:val="156"/>
        <w:numPr>
          <w:ilvl w:val="0"/>
          <w:numId w:val="41"/>
        </w:numPr>
        <w:tabs>
          <w:tab w:val="left" w:pos="1260"/>
        </w:tabs>
        <w:spacing w:after="200" w:line="560" w:lineRule="exact"/>
        <w:ind w:left="0" w:firstLine="525"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投标人投标文件中未提供的证明其是否符合招标文件资格性、符合性规定要求的相关材料。</w:t>
      </w:r>
    </w:p>
    <w:p>
      <w:pPr>
        <w:pStyle w:val="156"/>
        <w:numPr>
          <w:ilvl w:val="0"/>
          <w:numId w:val="41"/>
        </w:numPr>
        <w:tabs>
          <w:tab w:val="left" w:pos="1260"/>
        </w:tabs>
        <w:spacing w:after="200" w:line="560" w:lineRule="exact"/>
        <w:ind w:left="0" w:firstLine="525"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投标人投标文件中的材料因印刷、影印等不清晰而难以辨认的。</w:t>
      </w:r>
    </w:p>
    <w:p>
      <w:pPr>
        <w:numPr>
          <w:ilvl w:val="0"/>
          <w:numId w:val="40"/>
        </w:numPr>
        <w:tabs>
          <w:tab w:val="left" w:pos="1134"/>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投标文件报价出现下列情况的，不需要投标人澄清，按以下原则处理：</w:t>
      </w:r>
    </w:p>
    <w:p>
      <w:pPr>
        <w:pStyle w:val="156"/>
        <w:numPr>
          <w:ilvl w:val="0"/>
          <w:numId w:val="42"/>
        </w:numPr>
        <w:tabs>
          <w:tab w:val="left" w:pos="1050"/>
        </w:tabs>
        <w:spacing w:after="200" w:line="560" w:lineRule="exact"/>
        <w:ind w:left="0" w:firstLine="525"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大写金额和小写金额不一致的，以大写金额为准，但大写金额出现文字错误，导致金额无法判断的除外；</w:t>
      </w:r>
    </w:p>
    <w:p>
      <w:pPr>
        <w:pStyle w:val="156"/>
        <w:numPr>
          <w:ilvl w:val="0"/>
          <w:numId w:val="42"/>
        </w:numPr>
        <w:tabs>
          <w:tab w:val="left" w:pos="1050"/>
        </w:tabs>
        <w:spacing w:after="200" w:line="560" w:lineRule="exact"/>
        <w:ind w:left="0" w:firstLine="525"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单价金额小数点或者百分比有明显错位的，以总价为准，并修改单价；</w:t>
      </w:r>
    </w:p>
    <w:p>
      <w:pPr>
        <w:pStyle w:val="156"/>
        <w:numPr>
          <w:ilvl w:val="0"/>
          <w:numId w:val="42"/>
        </w:numPr>
        <w:tabs>
          <w:tab w:val="left" w:pos="1050"/>
        </w:tabs>
        <w:spacing w:after="200" w:line="560" w:lineRule="exact"/>
        <w:ind w:left="0" w:firstLine="525"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总价金额与按单价汇总金额不一致的，以单价金额计算结果为准。</w:t>
      </w:r>
    </w:p>
    <w:p>
      <w:pPr>
        <w:spacing w:line="560" w:lineRule="exact"/>
        <w:ind w:firstLine="56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同时出现两种以上不一致的，按照前款规定的顺序修正。修正后的报价经投标人确认后产生约束力，投标人不确认的，其投标无效。</w:t>
      </w:r>
    </w:p>
    <w:p>
      <w:pPr>
        <w:spacing w:line="56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五、对不同语言文本投标文件的解释发生异议的，以中文文本为准。</w:t>
      </w:r>
    </w:p>
    <w:p>
      <w:pPr>
        <w:tabs>
          <w:tab w:val="left" w:pos="720"/>
        </w:tabs>
        <w:spacing w:line="56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六、评标结束之前，投标人应随时关注系统提示，及时通过“政府采购云平台”在线响应评标委员会发出的澄清、说明或补正要求，签章并确认提交成功。逾时回复将不能提交，视为投标人自行放弃，其损失由投标人承担。</w:t>
      </w:r>
    </w:p>
    <w:p>
      <w:pPr>
        <w:tabs>
          <w:tab w:val="left" w:pos="851"/>
        </w:tabs>
        <w:spacing w:line="560" w:lineRule="exact"/>
        <w:ind w:firstLine="551" w:firstLineChars="196"/>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评标委员会应当积极履行澄清、说明或者更正的职责，不得滥用权力。</w:t>
      </w:r>
    </w:p>
    <w:p>
      <w:pPr>
        <w:pStyle w:val="4"/>
        <w:numPr>
          <w:ilvl w:val="2"/>
          <w:numId w:val="3"/>
        </w:numPr>
        <w:spacing w:after="200" w:line="560" w:lineRule="exact"/>
        <w:rPr>
          <w:color w:val="000000" w:themeColor="text1"/>
          <w14:textFill>
            <w14:solidFill>
              <w14:schemeClr w14:val="tx1"/>
            </w14:solidFill>
          </w14:textFill>
        </w:rPr>
      </w:pPr>
      <w:bookmarkStart w:id="309" w:name="_Toc315871652"/>
      <w:bookmarkEnd w:id="309"/>
      <w:bookmarkStart w:id="310" w:name="_Toc315871651"/>
      <w:bookmarkEnd w:id="310"/>
      <w:bookmarkStart w:id="311" w:name="_Toc315871650"/>
      <w:bookmarkEnd w:id="311"/>
      <w:bookmarkStart w:id="312" w:name="_Toc315871649"/>
      <w:bookmarkEnd w:id="312"/>
      <w:bookmarkStart w:id="313" w:name="_Toc315871647"/>
      <w:bookmarkStart w:id="314" w:name="_Toc316292253"/>
      <w:bookmarkStart w:id="315" w:name="_Toc315871653"/>
      <w:bookmarkStart w:id="316" w:name="_Toc316292255"/>
      <w:r>
        <w:rPr>
          <w:rFonts w:hint="eastAsia"/>
          <w:color w:val="000000" w:themeColor="text1"/>
          <w14:textFill>
            <w14:solidFill>
              <w14:schemeClr w14:val="tx1"/>
            </w14:solidFill>
          </w14:textFill>
        </w:rPr>
        <w:t>比较与评价</w:t>
      </w:r>
      <w:bookmarkEnd w:id="313"/>
      <w:bookmarkEnd w:id="314"/>
    </w:p>
    <w:p>
      <w:pPr>
        <w:tabs>
          <w:tab w:val="left" w:pos="851"/>
        </w:tabs>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按招标文件中规定的评标细则及标准，对符合性检查合格的投标文件进行商务和服务评估，综合比较与评价。</w:t>
      </w:r>
    </w:p>
    <w:p>
      <w:pPr>
        <w:pStyle w:val="4"/>
        <w:numPr>
          <w:ilvl w:val="2"/>
          <w:numId w:val="3"/>
        </w:numPr>
        <w:spacing w:after="200" w:line="560" w:lineRule="exact"/>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复核</w:t>
      </w:r>
    </w:p>
    <w:p>
      <w:pPr>
        <w:tabs>
          <w:tab w:val="left" w:pos="851"/>
        </w:tabs>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评分汇总结束后，评标委员会应当进行复核，特别要对拟推荐为中标候选供应商的、报价最低的、投标文件被认定为无效的进行重点复核。</w:t>
      </w:r>
    </w:p>
    <w:p>
      <w:pPr>
        <w:tabs>
          <w:tab w:val="left" w:pos="851"/>
        </w:tabs>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评标结果汇总完成后，评标委员会拟出具评审报告前，区采购</w:t>
      </w:r>
      <w:r>
        <w:rPr>
          <w:rFonts w:hint="eastAsia" w:cs="Arial"/>
          <w:color w:val="000000" w:themeColor="text1"/>
          <w:sz w:val="28"/>
          <w:szCs w:val="28"/>
          <w14:textFill>
            <w14:solidFill>
              <w14:schemeClr w14:val="tx1"/>
            </w14:solidFill>
          </w14:textFill>
        </w:rPr>
        <w:t>中心</w:t>
      </w:r>
      <w:r>
        <w:rPr>
          <w:rFonts w:hint="eastAsia" w:ascii="宋体" w:hAnsi="宋体"/>
          <w:color w:val="000000" w:themeColor="text1"/>
          <w:sz w:val="28"/>
          <w:szCs w:val="28"/>
          <w14:textFill>
            <w14:solidFill>
              <w14:schemeClr w14:val="tx1"/>
            </w14:solidFill>
          </w14:textFill>
        </w:rPr>
        <w:t>应当组织2名以上的工作人员，在采购现场监督人员的监督之下，依据有关的法律制度和采购文件对评审结果进行复核，出具复核报告。</w:t>
      </w:r>
    </w:p>
    <w:p>
      <w:pPr>
        <w:tabs>
          <w:tab w:val="left" w:pos="851"/>
        </w:tabs>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评标结果汇总完成后，除下列情形外，任何人不得修改评标结果：</w:t>
      </w:r>
    </w:p>
    <w:p>
      <w:pPr>
        <w:pStyle w:val="84"/>
        <w:numPr>
          <w:ilvl w:val="0"/>
          <w:numId w:val="43"/>
        </w:numPr>
        <w:tabs>
          <w:tab w:val="left" w:pos="851"/>
          <w:tab w:val="left" w:pos="1276"/>
        </w:tabs>
        <w:spacing w:after="200" w:line="560" w:lineRule="exact"/>
        <w:ind w:left="0" w:firstLine="424"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分值汇总计算错误的；</w:t>
      </w:r>
    </w:p>
    <w:p>
      <w:pPr>
        <w:pStyle w:val="84"/>
        <w:numPr>
          <w:ilvl w:val="0"/>
          <w:numId w:val="43"/>
        </w:numPr>
        <w:tabs>
          <w:tab w:val="left" w:pos="851"/>
          <w:tab w:val="left" w:pos="1276"/>
        </w:tabs>
        <w:spacing w:after="200" w:line="560" w:lineRule="exact"/>
        <w:ind w:left="0" w:firstLine="424"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分项评分超出评分标准范围的；</w:t>
      </w:r>
    </w:p>
    <w:p>
      <w:pPr>
        <w:pStyle w:val="84"/>
        <w:numPr>
          <w:ilvl w:val="0"/>
          <w:numId w:val="43"/>
        </w:numPr>
        <w:tabs>
          <w:tab w:val="left" w:pos="851"/>
          <w:tab w:val="left" w:pos="1276"/>
          <w:tab w:val="left" w:pos="1418"/>
        </w:tabs>
        <w:spacing w:after="200" w:line="560" w:lineRule="exact"/>
        <w:ind w:left="0" w:firstLine="424"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评标委员会成员对客观评审因素评分不一致的；</w:t>
      </w:r>
    </w:p>
    <w:p>
      <w:pPr>
        <w:pStyle w:val="84"/>
        <w:numPr>
          <w:ilvl w:val="0"/>
          <w:numId w:val="43"/>
        </w:numPr>
        <w:tabs>
          <w:tab w:val="left" w:pos="851"/>
          <w:tab w:val="left" w:pos="1276"/>
        </w:tabs>
        <w:spacing w:after="200" w:line="560" w:lineRule="exact"/>
        <w:ind w:left="0" w:firstLine="426"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经评标委员会认定评分畸高、畸低的。</w:t>
      </w:r>
    </w:p>
    <w:p>
      <w:pPr>
        <w:tabs>
          <w:tab w:val="left" w:pos="851"/>
        </w:tabs>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pPr>
        <w:pStyle w:val="4"/>
        <w:numPr>
          <w:ilvl w:val="2"/>
          <w:numId w:val="3"/>
        </w:numPr>
        <w:spacing w:after="200" w:line="560" w:lineRule="exact"/>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确定中标候选人名单</w:t>
      </w:r>
    </w:p>
    <w:p>
      <w:pPr>
        <w:tabs>
          <w:tab w:val="left" w:pos="851"/>
        </w:tabs>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各包件按投标人综合得分从高到低进行排序，确定1至3名中标候选人。综合得分相同的，按投标报价由低到高顺序排列，得分且投标报价相同的并列。</w:t>
      </w:r>
      <w:r>
        <w:rPr>
          <w:rFonts w:hint="eastAsia" w:ascii="Helvetica" w:hAnsi="Helvetica" w:cs="Helvetica"/>
          <w:color w:val="000000" w:themeColor="text1"/>
          <w:kern w:val="0"/>
          <w:sz w:val="28"/>
          <w:szCs w:val="28"/>
          <w14:textFill>
            <w14:solidFill>
              <w14:schemeClr w14:val="tx1"/>
            </w14:solidFill>
          </w14:textFill>
        </w:rPr>
        <w:t>投标文件满足招标文件全部实质性要求，且按照评审因素的量化指标评审得分最高的投标人为排名第一的中标候选人。</w:t>
      </w:r>
    </w:p>
    <w:p>
      <w:pPr>
        <w:pStyle w:val="4"/>
        <w:numPr>
          <w:ilvl w:val="2"/>
          <w:numId w:val="3"/>
        </w:numPr>
        <w:spacing w:after="200" w:line="560" w:lineRule="exact"/>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编写评标报告</w:t>
      </w:r>
      <w:bookmarkEnd w:id="315"/>
      <w:bookmarkEnd w:id="316"/>
    </w:p>
    <w:p>
      <w:pPr>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评标报告是评标委员会根据全体评标成员签字的原始评标记录和评标结果编写的报告，其主要内容包括：</w:t>
      </w:r>
    </w:p>
    <w:p>
      <w:pPr>
        <w:numPr>
          <w:ilvl w:val="0"/>
          <w:numId w:val="44"/>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招标公告刊登的媒体名称、开标日期和地点；</w:t>
      </w:r>
    </w:p>
    <w:p>
      <w:pPr>
        <w:numPr>
          <w:ilvl w:val="0"/>
          <w:numId w:val="44"/>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投标人名单和评标委员会成员名单；</w:t>
      </w:r>
    </w:p>
    <w:p>
      <w:pPr>
        <w:numPr>
          <w:ilvl w:val="0"/>
          <w:numId w:val="44"/>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评标方法和标准；</w:t>
      </w:r>
    </w:p>
    <w:p>
      <w:pPr>
        <w:numPr>
          <w:ilvl w:val="0"/>
          <w:numId w:val="44"/>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开标记录和评标情况及说明，包括投标无效投标人名单及原因；</w:t>
      </w:r>
    </w:p>
    <w:p>
      <w:pPr>
        <w:numPr>
          <w:ilvl w:val="0"/>
          <w:numId w:val="44"/>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评标结果，确定的中标候选人名单或者经采购人委托直接确定的中标人；</w:t>
      </w:r>
    </w:p>
    <w:p>
      <w:pPr>
        <w:numPr>
          <w:ilvl w:val="0"/>
          <w:numId w:val="44"/>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其他需要说明的情况，包括评标过程中投标人根据评标委员会要求进行的澄清、说明或者补正，评标委员会成员的更换等； </w:t>
      </w:r>
    </w:p>
    <w:p>
      <w:pPr>
        <w:numPr>
          <w:ilvl w:val="0"/>
          <w:numId w:val="44"/>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报价最高的投标人为中标候选人的，评标委员会应当对其报价的合理性予以特别说明。</w:t>
      </w:r>
    </w:p>
    <w:p>
      <w:pPr>
        <w:tabs>
          <w:tab w:val="left" w:pos="1155"/>
        </w:tabs>
        <w:spacing w:line="560" w:lineRule="exact"/>
        <w:ind w:firstLine="523" w:firstLineChars="18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pStyle w:val="3"/>
        <w:numPr>
          <w:ilvl w:val="1"/>
          <w:numId w:val="3"/>
        </w:numPr>
        <w:spacing w:line="560" w:lineRule="exact"/>
        <w:ind w:left="2269" w:hanging="2269"/>
        <w:rPr>
          <w:color w:val="000000" w:themeColor="text1"/>
          <w14:textFill>
            <w14:solidFill>
              <w14:schemeClr w14:val="tx1"/>
            </w14:solidFill>
          </w14:textFill>
        </w:rPr>
      </w:pPr>
      <w:bookmarkStart w:id="317" w:name="_Toc479753445"/>
      <w:bookmarkStart w:id="318" w:name="_Toc30340"/>
      <w:bookmarkStart w:id="319" w:name="_Toc7609"/>
      <w:bookmarkStart w:id="320" w:name="_Toc11482"/>
      <w:bookmarkStart w:id="321" w:name="_Toc77584663"/>
      <w:bookmarkStart w:id="322" w:name="_Toc27797"/>
      <w:bookmarkStart w:id="323" w:name="_Toc316292256"/>
      <w:bookmarkStart w:id="324" w:name="_Toc315871654"/>
      <w:bookmarkStart w:id="325" w:name="_Toc217446103"/>
      <w:r>
        <w:rPr>
          <w:rFonts w:hint="eastAsia"/>
          <w:color w:val="000000" w:themeColor="text1"/>
          <w14:textFill>
            <w14:solidFill>
              <w14:schemeClr w14:val="tx1"/>
            </w14:solidFill>
          </w14:textFill>
        </w:rPr>
        <w:t>评标争议处理规则</w:t>
      </w:r>
      <w:bookmarkEnd w:id="317"/>
      <w:bookmarkEnd w:id="318"/>
      <w:bookmarkEnd w:id="319"/>
      <w:bookmarkEnd w:id="320"/>
      <w:bookmarkEnd w:id="321"/>
      <w:bookmarkEnd w:id="322"/>
    </w:p>
    <w:p>
      <w:pPr>
        <w:tabs>
          <w:tab w:val="left" w:pos="1155"/>
        </w:tabs>
        <w:spacing w:line="560" w:lineRule="exact"/>
        <w:ind w:firstLine="523" w:firstLineChars="18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评标委员会在评审过程中，对于符合性审查、对投标人文件做无效投标处理及其他需要共同认定的事项存在争议的，应当以少数服从多数的原则做出结论，但不得违背法律法规和招标文件规定。</w:t>
      </w:r>
      <w:r>
        <w:rPr>
          <w:rFonts w:hint="eastAsia" w:cs="Arial"/>
          <w:color w:val="000000" w:themeColor="text1"/>
          <w:sz w:val="28"/>
          <w:szCs w:val="28"/>
          <w14:textFill>
            <w14:solidFill>
              <w14:schemeClr w14:val="tx1"/>
            </w14:solidFill>
          </w14:textFill>
        </w:rPr>
        <w:t>持不同意见的评标委员会成员应当在评标报告上签署不同意见及理由，否则视为同意评标报告。</w:t>
      </w:r>
      <w:r>
        <w:rPr>
          <w:rFonts w:hint="eastAsia" w:ascii="宋体" w:hAnsi="宋体"/>
          <w:color w:val="000000" w:themeColor="text1"/>
          <w:sz w:val="28"/>
          <w:szCs w:val="28"/>
          <w14:textFill>
            <w14:solidFill>
              <w14:schemeClr w14:val="tx1"/>
            </w14:solidFill>
          </w14:textFill>
        </w:rPr>
        <w:t>持不同意见的评标委员会成员认为认定过程和结果不符合法律法规或者招标文件规定的，应当及时向采购人或区采购</w:t>
      </w:r>
      <w:r>
        <w:rPr>
          <w:rFonts w:hint="eastAsia" w:cs="Arial"/>
          <w:color w:val="000000" w:themeColor="text1"/>
          <w:sz w:val="28"/>
          <w:szCs w:val="28"/>
          <w14:textFill>
            <w14:solidFill>
              <w14:schemeClr w14:val="tx1"/>
            </w14:solidFill>
          </w14:textFill>
        </w:rPr>
        <w:t>中心</w:t>
      </w:r>
      <w:r>
        <w:rPr>
          <w:rFonts w:hint="eastAsia" w:ascii="宋体" w:hAnsi="宋体"/>
          <w:color w:val="000000" w:themeColor="text1"/>
          <w:sz w:val="28"/>
          <w:szCs w:val="28"/>
          <w14:textFill>
            <w14:solidFill>
              <w14:schemeClr w14:val="tx1"/>
            </w14:solidFill>
          </w14:textFill>
        </w:rPr>
        <w:t>书面反映。采购人或区采购</w:t>
      </w:r>
      <w:r>
        <w:rPr>
          <w:rFonts w:hint="eastAsia" w:cs="Arial"/>
          <w:color w:val="000000" w:themeColor="text1"/>
          <w:sz w:val="28"/>
          <w:szCs w:val="28"/>
          <w14:textFill>
            <w14:solidFill>
              <w14:schemeClr w14:val="tx1"/>
            </w14:solidFill>
          </w14:textFill>
        </w:rPr>
        <w:t>中心</w:t>
      </w:r>
      <w:r>
        <w:rPr>
          <w:rFonts w:hint="eastAsia" w:ascii="宋体" w:hAnsi="宋体"/>
          <w:color w:val="000000" w:themeColor="text1"/>
          <w:sz w:val="28"/>
          <w:szCs w:val="28"/>
          <w14:textFill>
            <w14:solidFill>
              <w14:schemeClr w14:val="tx1"/>
            </w14:solidFill>
          </w14:textFill>
        </w:rPr>
        <w:t>收到书面反映后，应当书面报告采购项目同级财政部门依法处理。</w:t>
      </w:r>
    </w:p>
    <w:p>
      <w:pPr>
        <w:pStyle w:val="3"/>
        <w:numPr>
          <w:ilvl w:val="1"/>
          <w:numId w:val="3"/>
        </w:numPr>
        <w:spacing w:before="0" w:after="0" w:line="560" w:lineRule="exact"/>
        <w:ind w:left="2269" w:hanging="2269"/>
        <w:rPr>
          <w:color w:val="000000" w:themeColor="text1"/>
          <w14:textFill>
            <w14:solidFill>
              <w14:schemeClr w14:val="tx1"/>
            </w14:solidFill>
          </w14:textFill>
        </w:rPr>
      </w:pPr>
      <w:bookmarkStart w:id="326" w:name="_Toc18642"/>
      <w:bookmarkStart w:id="327" w:name="_Toc6600"/>
      <w:bookmarkStart w:id="328" w:name="_Toc23552"/>
      <w:bookmarkStart w:id="329" w:name="_Toc25222"/>
      <w:bookmarkStart w:id="330" w:name="_Toc77584664"/>
      <w:r>
        <w:rPr>
          <w:rFonts w:hint="eastAsia"/>
          <w:color w:val="000000" w:themeColor="text1"/>
          <w14:textFill>
            <w14:solidFill>
              <w14:schemeClr w14:val="tx1"/>
            </w14:solidFill>
          </w14:textFill>
        </w:rPr>
        <w:t>评标细则及标准</w:t>
      </w:r>
      <w:bookmarkEnd w:id="323"/>
      <w:bookmarkEnd w:id="324"/>
      <w:bookmarkEnd w:id="325"/>
      <w:bookmarkEnd w:id="326"/>
      <w:bookmarkEnd w:id="327"/>
      <w:bookmarkEnd w:id="328"/>
      <w:bookmarkEnd w:id="329"/>
      <w:bookmarkEnd w:id="330"/>
    </w:p>
    <w:p>
      <w:pPr>
        <w:numPr>
          <w:ilvl w:val="0"/>
          <w:numId w:val="45"/>
        </w:numPr>
        <w:tabs>
          <w:tab w:val="left" w:pos="1155"/>
        </w:tabs>
        <w:spacing w:after="200"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评标委员会只对通过初审的投标文件，根据招标文件的要求采用相同的评标程序、评分办法及标准进行评价和比较。</w:t>
      </w:r>
    </w:p>
    <w:p>
      <w:pPr>
        <w:numPr>
          <w:ilvl w:val="0"/>
          <w:numId w:val="45"/>
        </w:numPr>
        <w:tabs>
          <w:tab w:val="left" w:pos="1155"/>
        </w:tabs>
        <w:spacing w:after="200"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本次综合评分的因素是：价格、服务、商务等。</w:t>
      </w:r>
    </w:p>
    <w:p>
      <w:pPr>
        <w:numPr>
          <w:ilvl w:val="0"/>
          <w:numId w:val="45"/>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bookmarkStart w:id="331" w:name="_Toc217102344"/>
      <w:bookmarkStart w:id="332" w:name="_Toc218498587"/>
      <w:bookmarkStart w:id="333" w:name="_Toc310176995"/>
      <w:r>
        <w:rPr>
          <w:rFonts w:hint="eastAsia" w:ascii="宋体" w:hAnsi="宋体"/>
          <w:color w:val="000000" w:themeColor="text1"/>
          <w:sz w:val="28"/>
          <w:szCs w:val="28"/>
          <w14:textFill>
            <w14:solidFill>
              <w14:schemeClr w14:val="tx1"/>
            </w14:solidFill>
          </w14:textFill>
        </w:rPr>
        <w:t>评标委员会成员应依据招标文件规定的评分标准和方法独立打分。</w:t>
      </w:r>
    </w:p>
    <w:p>
      <w:pPr>
        <w:pStyle w:val="4"/>
        <w:numPr>
          <w:ilvl w:val="2"/>
          <w:numId w:val="3"/>
        </w:numPr>
        <w:spacing w:after="200" w:line="560" w:lineRule="exact"/>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评分办法</w:t>
      </w:r>
      <w:bookmarkEnd w:id="331"/>
      <w:bookmarkEnd w:id="332"/>
      <w:bookmarkEnd w:id="333"/>
    </w:p>
    <w:p>
      <w:pPr>
        <w:spacing w:line="560" w:lineRule="exact"/>
        <w:ind w:firstLine="630" w:firstLineChars="2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本次评标采用综合评分法，由评标委员会各成员独立对通过初审（资格检查和符合性检查）的投标人的投标文件进行评审和打分，    </w:t>
      </w:r>
    </w:p>
    <w:p>
      <w:pPr>
        <w:spacing w:line="560" w:lineRule="exact"/>
        <w:ind w:firstLine="630" w:firstLineChars="2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评标得分＝（A</w:t>
      </w:r>
      <w:r>
        <w:rPr>
          <w:rFonts w:hint="eastAsia" w:ascii="宋体" w:hAnsi="宋体"/>
          <w:color w:val="000000" w:themeColor="text1"/>
          <w:sz w:val="28"/>
          <w:szCs w:val="28"/>
          <w:vertAlign w:val="subscript"/>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＋A</w:t>
      </w:r>
      <w:r>
        <w:rPr>
          <w:rFonts w:hint="eastAsia" w:ascii="宋体" w:hAnsi="宋体"/>
          <w:color w:val="000000" w:themeColor="text1"/>
          <w:sz w:val="28"/>
          <w:szCs w:val="28"/>
          <w:vertAlign w:val="subscript"/>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＋……＋A</w:t>
      </w:r>
      <w:r>
        <w:rPr>
          <w:rFonts w:hint="eastAsia" w:ascii="宋体" w:hAnsi="宋体"/>
          <w:color w:val="000000" w:themeColor="text1"/>
          <w:sz w:val="28"/>
          <w:szCs w:val="28"/>
          <w:vertAlign w:val="subscript"/>
          <w14:textFill>
            <w14:solidFill>
              <w14:schemeClr w14:val="tx1"/>
            </w14:solidFill>
          </w14:textFill>
        </w:rPr>
        <w:t>n</w:t>
      </w:r>
      <w:r>
        <w:rPr>
          <w:rFonts w:hint="eastAsia" w:ascii="宋体" w:hAnsi="宋体"/>
          <w:color w:val="000000" w:themeColor="text1"/>
          <w:sz w:val="28"/>
          <w:szCs w:val="28"/>
          <w14:textFill>
            <w14:solidFill>
              <w14:schemeClr w14:val="tx1"/>
            </w14:solidFill>
          </w14:textFill>
        </w:rPr>
        <w:t>）/n</w:t>
      </w:r>
      <w:r>
        <w:rPr>
          <w:rFonts w:hint="eastAsia" w:ascii="宋体" w:hAnsi="宋体"/>
          <w:color w:val="000000" w:themeColor="text1"/>
          <w:sz w:val="28"/>
          <w:szCs w:val="28"/>
          <w:vertAlign w:val="subscript"/>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+（B</w:t>
      </w:r>
      <w:r>
        <w:rPr>
          <w:rFonts w:hint="eastAsia" w:ascii="宋体" w:hAnsi="宋体"/>
          <w:color w:val="000000" w:themeColor="text1"/>
          <w:sz w:val="28"/>
          <w:szCs w:val="28"/>
          <w:vertAlign w:val="subscript"/>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＋B</w:t>
      </w:r>
      <w:r>
        <w:rPr>
          <w:rFonts w:hint="eastAsia" w:ascii="宋体" w:hAnsi="宋体"/>
          <w:color w:val="000000" w:themeColor="text1"/>
          <w:sz w:val="28"/>
          <w:szCs w:val="28"/>
          <w:vertAlign w:val="subscript"/>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＋……＋B</w:t>
      </w:r>
      <w:r>
        <w:rPr>
          <w:rFonts w:hint="eastAsia" w:ascii="宋体" w:hAnsi="宋体"/>
          <w:color w:val="000000" w:themeColor="text1"/>
          <w:sz w:val="28"/>
          <w:szCs w:val="28"/>
          <w:vertAlign w:val="subscript"/>
          <w14:textFill>
            <w14:solidFill>
              <w14:schemeClr w14:val="tx1"/>
            </w14:solidFill>
          </w14:textFill>
        </w:rPr>
        <w:t>n</w:t>
      </w:r>
      <w:r>
        <w:rPr>
          <w:rFonts w:hint="eastAsia" w:ascii="宋体" w:hAnsi="宋体"/>
          <w:color w:val="000000" w:themeColor="text1"/>
          <w:sz w:val="28"/>
          <w:szCs w:val="28"/>
          <w14:textFill>
            <w14:solidFill>
              <w14:schemeClr w14:val="tx1"/>
            </w14:solidFill>
          </w14:textFill>
        </w:rPr>
        <w:t>）/ n</w:t>
      </w:r>
      <w:r>
        <w:rPr>
          <w:rFonts w:hint="eastAsia" w:ascii="宋体" w:hAnsi="宋体"/>
          <w:color w:val="000000" w:themeColor="text1"/>
          <w:sz w:val="28"/>
          <w:szCs w:val="28"/>
          <w:vertAlign w:val="subscript"/>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+（C</w:t>
      </w:r>
      <w:r>
        <w:rPr>
          <w:rFonts w:hint="eastAsia" w:ascii="宋体" w:hAnsi="宋体"/>
          <w:color w:val="000000" w:themeColor="text1"/>
          <w:sz w:val="28"/>
          <w:szCs w:val="28"/>
          <w:vertAlign w:val="subscript"/>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＋C</w:t>
      </w:r>
      <w:r>
        <w:rPr>
          <w:rFonts w:hint="eastAsia" w:ascii="宋体" w:hAnsi="宋体"/>
          <w:color w:val="000000" w:themeColor="text1"/>
          <w:sz w:val="28"/>
          <w:szCs w:val="28"/>
          <w:vertAlign w:val="subscript"/>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＋……＋C</w:t>
      </w:r>
      <w:r>
        <w:rPr>
          <w:rFonts w:hint="eastAsia" w:ascii="宋体" w:hAnsi="宋体"/>
          <w:color w:val="000000" w:themeColor="text1"/>
          <w:sz w:val="28"/>
          <w:szCs w:val="28"/>
          <w:vertAlign w:val="subscript"/>
          <w14:textFill>
            <w14:solidFill>
              <w14:schemeClr w14:val="tx1"/>
            </w14:solidFill>
          </w14:textFill>
        </w:rPr>
        <w:t>n</w:t>
      </w:r>
      <w:r>
        <w:rPr>
          <w:rFonts w:hint="eastAsia" w:ascii="宋体" w:hAnsi="宋体"/>
          <w:color w:val="000000" w:themeColor="text1"/>
          <w:sz w:val="28"/>
          <w:szCs w:val="28"/>
          <w14:textFill>
            <w14:solidFill>
              <w14:schemeClr w14:val="tx1"/>
            </w14:solidFill>
          </w14:textFill>
        </w:rPr>
        <w:t>）/ n</w:t>
      </w:r>
      <w:r>
        <w:rPr>
          <w:rFonts w:hint="eastAsia" w:ascii="宋体" w:hAnsi="宋体"/>
          <w:color w:val="000000" w:themeColor="text1"/>
          <w:sz w:val="28"/>
          <w:szCs w:val="28"/>
          <w:vertAlign w:val="subscript"/>
          <w14:textFill>
            <w14:solidFill>
              <w14:schemeClr w14:val="tx1"/>
            </w14:solidFill>
          </w14:textFill>
        </w:rPr>
        <w:t>3</w:t>
      </w:r>
    </w:p>
    <w:p>
      <w:pPr>
        <w:widowControl/>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A</w:t>
      </w:r>
      <w:r>
        <w:rPr>
          <w:rFonts w:hint="eastAsia" w:ascii="宋体" w:hAnsi="宋体"/>
          <w:color w:val="000000" w:themeColor="text1"/>
          <w:sz w:val="28"/>
          <w:szCs w:val="28"/>
          <w:vertAlign w:val="subscript"/>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、A</w:t>
      </w:r>
      <w:r>
        <w:rPr>
          <w:rFonts w:hint="eastAsia" w:ascii="宋体" w:hAnsi="宋体"/>
          <w:color w:val="000000" w:themeColor="text1"/>
          <w:sz w:val="28"/>
          <w:szCs w:val="28"/>
          <w:vertAlign w:val="subscript"/>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……A</w:t>
      </w:r>
      <w:r>
        <w:rPr>
          <w:rFonts w:hint="eastAsia" w:ascii="宋体" w:hAnsi="宋体"/>
          <w:color w:val="000000" w:themeColor="text1"/>
          <w:sz w:val="28"/>
          <w:szCs w:val="28"/>
          <w:vertAlign w:val="subscript"/>
          <w14:textFill>
            <w14:solidFill>
              <w14:schemeClr w14:val="tx1"/>
            </w14:solidFill>
          </w14:textFill>
        </w:rPr>
        <w:t>n</w:t>
      </w:r>
      <w:r>
        <w:rPr>
          <w:rFonts w:hint="eastAsia" w:ascii="宋体" w:hAnsi="宋体"/>
          <w:color w:val="000000" w:themeColor="text1"/>
          <w:sz w:val="28"/>
          <w:szCs w:val="28"/>
          <w14:textFill>
            <w14:solidFill>
              <w14:schemeClr w14:val="tx1"/>
            </w14:solidFill>
          </w14:textFill>
        </w:rPr>
        <w:t>分别为每个</w:t>
      </w:r>
      <w:r>
        <w:rPr>
          <w:rFonts w:hint="eastAsia" w:ascii="宋体" w:hAnsi="宋体" w:cs="宋体"/>
          <w:color w:val="000000" w:themeColor="text1"/>
          <w:kern w:val="0"/>
          <w:sz w:val="28"/>
          <w:szCs w:val="28"/>
          <w14:textFill>
            <w14:solidFill>
              <w14:schemeClr w14:val="tx1"/>
            </w14:solidFill>
          </w14:textFill>
        </w:rPr>
        <w:t>经济类</w:t>
      </w:r>
      <w:r>
        <w:rPr>
          <w:rFonts w:hint="eastAsia" w:ascii="宋体" w:hAnsi="宋体"/>
          <w:color w:val="000000" w:themeColor="text1"/>
          <w:sz w:val="28"/>
          <w:szCs w:val="28"/>
          <w14:textFill>
            <w14:solidFill>
              <w14:schemeClr w14:val="tx1"/>
            </w14:solidFill>
          </w14:textFill>
        </w:rPr>
        <w:t>评委的打分，n</w:t>
      </w:r>
      <w:r>
        <w:rPr>
          <w:rFonts w:hint="eastAsia" w:ascii="宋体" w:hAnsi="宋体"/>
          <w:color w:val="000000" w:themeColor="text1"/>
          <w:sz w:val="28"/>
          <w:szCs w:val="28"/>
          <w:vertAlign w:val="subscript"/>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为</w:t>
      </w:r>
      <w:r>
        <w:rPr>
          <w:rFonts w:hint="eastAsia" w:ascii="宋体" w:hAnsi="宋体" w:cs="宋体"/>
          <w:color w:val="000000" w:themeColor="text1"/>
          <w:kern w:val="0"/>
          <w:sz w:val="28"/>
          <w:szCs w:val="28"/>
          <w14:textFill>
            <w14:solidFill>
              <w14:schemeClr w14:val="tx1"/>
            </w14:solidFill>
          </w14:textFill>
        </w:rPr>
        <w:t>经济类</w:t>
      </w:r>
      <w:r>
        <w:rPr>
          <w:rFonts w:hint="eastAsia" w:ascii="宋体" w:hAnsi="宋体"/>
          <w:color w:val="000000" w:themeColor="text1"/>
          <w:sz w:val="28"/>
          <w:szCs w:val="28"/>
          <w14:textFill>
            <w14:solidFill>
              <w14:schemeClr w14:val="tx1"/>
            </w14:solidFill>
          </w14:textFill>
        </w:rPr>
        <w:t>评委人数；B</w:t>
      </w:r>
      <w:r>
        <w:rPr>
          <w:rFonts w:hint="eastAsia" w:ascii="宋体" w:hAnsi="宋体"/>
          <w:color w:val="000000" w:themeColor="text1"/>
          <w:sz w:val="28"/>
          <w:szCs w:val="28"/>
          <w:vertAlign w:val="subscript"/>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、B</w:t>
      </w:r>
      <w:r>
        <w:rPr>
          <w:rFonts w:hint="eastAsia" w:ascii="宋体" w:hAnsi="宋体"/>
          <w:color w:val="000000" w:themeColor="text1"/>
          <w:sz w:val="28"/>
          <w:szCs w:val="28"/>
          <w:vertAlign w:val="subscript"/>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＋……B</w:t>
      </w:r>
      <w:r>
        <w:rPr>
          <w:rFonts w:hint="eastAsia" w:ascii="宋体" w:hAnsi="宋体"/>
          <w:color w:val="000000" w:themeColor="text1"/>
          <w:sz w:val="28"/>
          <w:szCs w:val="28"/>
          <w:vertAlign w:val="subscript"/>
          <w14:textFill>
            <w14:solidFill>
              <w14:schemeClr w14:val="tx1"/>
            </w14:solidFill>
          </w14:textFill>
        </w:rPr>
        <w:t>n</w:t>
      </w:r>
      <w:r>
        <w:rPr>
          <w:rFonts w:hint="eastAsia" w:ascii="宋体" w:hAnsi="宋体"/>
          <w:color w:val="000000" w:themeColor="text1"/>
          <w:sz w:val="28"/>
          <w:szCs w:val="28"/>
          <w14:textFill>
            <w14:solidFill>
              <w14:schemeClr w14:val="tx1"/>
            </w14:solidFill>
          </w14:textFill>
        </w:rPr>
        <w:t xml:space="preserve"> 分别为每个技术类评委（含采购人代表）的打分，n</w:t>
      </w:r>
      <w:r>
        <w:rPr>
          <w:rFonts w:hint="eastAsia" w:ascii="宋体" w:hAnsi="宋体"/>
          <w:color w:val="000000" w:themeColor="text1"/>
          <w:sz w:val="28"/>
          <w:szCs w:val="28"/>
          <w:vertAlign w:val="subscript"/>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为</w:t>
      </w:r>
      <w:r>
        <w:rPr>
          <w:rFonts w:hint="eastAsia" w:ascii="宋体" w:hAnsi="宋体" w:cs="宋体"/>
          <w:color w:val="000000" w:themeColor="text1"/>
          <w:kern w:val="0"/>
          <w:sz w:val="28"/>
          <w:szCs w:val="28"/>
          <w14:textFill>
            <w14:solidFill>
              <w14:schemeClr w14:val="tx1"/>
            </w14:solidFill>
          </w14:textFill>
        </w:rPr>
        <w:t>技术类</w:t>
      </w:r>
      <w:r>
        <w:rPr>
          <w:rFonts w:hint="eastAsia" w:ascii="宋体" w:hAnsi="宋体"/>
          <w:color w:val="000000" w:themeColor="text1"/>
          <w:sz w:val="28"/>
          <w:szCs w:val="28"/>
          <w14:textFill>
            <w14:solidFill>
              <w14:schemeClr w14:val="tx1"/>
            </w14:solidFill>
          </w14:textFill>
        </w:rPr>
        <w:t>评委（含采购人代表）人数；C</w:t>
      </w:r>
      <w:r>
        <w:rPr>
          <w:rFonts w:hint="eastAsia" w:ascii="宋体" w:hAnsi="宋体"/>
          <w:color w:val="000000" w:themeColor="text1"/>
          <w:sz w:val="28"/>
          <w:szCs w:val="28"/>
          <w:vertAlign w:val="subscript"/>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、C</w:t>
      </w:r>
      <w:r>
        <w:rPr>
          <w:rFonts w:hint="eastAsia" w:ascii="宋体" w:hAnsi="宋体"/>
          <w:color w:val="000000" w:themeColor="text1"/>
          <w:sz w:val="28"/>
          <w:szCs w:val="28"/>
          <w:vertAlign w:val="subscript"/>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……C</w:t>
      </w:r>
      <w:r>
        <w:rPr>
          <w:rFonts w:hint="eastAsia" w:ascii="宋体" w:hAnsi="宋体"/>
          <w:color w:val="000000" w:themeColor="text1"/>
          <w:sz w:val="28"/>
          <w:szCs w:val="28"/>
          <w:vertAlign w:val="subscript"/>
          <w14:textFill>
            <w14:solidFill>
              <w14:schemeClr w14:val="tx1"/>
            </w14:solidFill>
          </w14:textFill>
        </w:rPr>
        <w:t>n</w:t>
      </w:r>
      <w:r>
        <w:rPr>
          <w:rFonts w:hint="eastAsia" w:ascii="宋体" w:hAnsi="宋体"/>
          <w:color w:val="000000" w:themeColor="text1"/>
          <w:sz w:val="28"/>
          <w:szCs w:val="28"/>
          <w14:textFill>
            <w14:solidFill>
              <w14:schemeClr w14:val="tx1"/>
            </w14:solidFill>
          </w14:textFill>
        </w:rPr>
        <w:t xml:space="preserve"> 分别为评审委员会每个成员的打分，n</w:t>
      </w:r>
      <w:r>
        <w:rPr>
          <w:rFonts w:hint="eastAsia" w:ascii="宋体" w:hAnsi="宋体"/>
          <w:color w:val="000000" w:themeColor="text1"/>
          <w:sz w:val="28"/>
          <w:szCs w:val="28"/>
          <w:vertAlign w:val="subscript"/>
          <w14:textFill>
            <w14:solidFill>
              <w14:schemeClr w14:val="tx1"/>
            </w14:solidFill>
          </w14:textFill>
        </w:rPr>
        <w:t>3</w:t>
      </w:r>
      <w:r>
        <w:rPr>
          <w:rFonts w:hint="eastAsia" w:ascii="宋体" w:hAnsi="宋体"/>
          <w:color w:val="000000" w:themeColor="text1"/>
          <w:sz w:val="28"/>
          <w:szCs w:val="28"/>
          <w14:textFill>
            <w14:solidFill>
              <w14:schemeClr w14:val="tx1"/>
            </w14:solidFill>
          </w14:textFill>
        </w:rPr>
        <w:t>为评委人数。</w:t>
      </w:r>
    </w:p>
    <w:p>
      <w:pPr>
        <w:pStyle w:val="4"/>
        <w:numPr>
          <w:ilvl w:val="2"/>
          <w:numId w:val="3"/>
        </w:numPr>
        <w:spacing w:after="200"/>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评分标准</w:t>
      </w:r>
    </w:p>
    <w:p>
      <w:pPr>
        <w:rPr>
          <w:b/>
          <w:bCs/>
          <w:sz w:val="28"/>
          <w:szCs w:val="28"/>
        </w:rPr>
      </w:pPr>
      <w:r>
        <w:rPr>
          <w:rFonts w:hint="eastAsia"/>
          <w:b/>
          <w:bCs/>
          <w:sz w:val="28"/>
          <w:szCs w:val="28"/>
        </w:rPr>
        <w:t>包件1：</w:t>
      </w:r>
    </w:p>
    <w:tbl>
      <w:tblPr>
        <w:tblStyle w:val="4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1478"/>
        <w:gridCol w:w="5644"/>
        <w:gridCol w:w="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 w:type="pct"/>
            <w:tcBorders>
              <w:top w:val="single" w:color="auto" w:sz="2" w:space="0"/>
              <w:left w:val="single" w:color="auto" w:sz="2" w:space="0"/>
              <w:bottom w:val="single" w:color="auto" w:sz="2" w:space="0"/>
              <w:right w:val="single" w:color="auto" w:sz="2" w:space="0"/>
            </w:tcBorders>
            <w:vAlign w:val="center"/>
          </w:tcPr>
          <w:p>
            <w:pPr>
              <w:pStyle w:val="152"/>
              <w:ind w:firstLine="0" w:firstLineChars="0"/>
              <w:rPr>
                <w:bCs/>
                <w:szCs w:val="21"/>
              </w:rPr>
            </w:pPr>
            <w:r>
              <w:rPr>
                <w:rFonts w:hint="eastAsia"/>
                <w:bCs/>
                <w:szCs w:val="21"/>
              </w:rPr>
              <w:t>评委类别</w:t>
            </w:r>
          </w:p>
        </w:tc>
        <w:tc>
          <w:tcPr>
            <w:tcW w:w="867" w:type="pct"/>
            <w:tcBorders>
              <w:top w:val="single" w:color="auto" w:sz="2" w:space="0"/>
              <w:left w:val="single" w:color="auto" w:sz="2" w:space="0"/>
              <w:bottom w:val="single" w:color="auto" w:sz="2" w:space="0"/>
              <w:right w:val="single" w:color="auto" w:sz="2" w:space="0"/>
            </w:tcBorders>
            <w:vAlign w:val="center"/>
          </w:tcPr>
          <w:p>
            <w:pPr>
              <w:pStyle w:val="152"/>
              <w:ind w:firstLine="0" w:firstLineChars="0"/>
              <w:rPr>
                <w:bCs/>
                <w:szCs w:val="21"/>
              </w:rPr>
            </w:pPr>
            <w:r>
              <w:rPr>
                <w:bCs/>
                <w:szCs w:val="21"/>
              </w:rPr>
              <w:t>评审项目</w:t>
            </w:r>
          </w:p>
        </w:tc>
        <w:tc>
          <w:tcPr>
            <w:tcW w:w="3312" w:type="pct"/>
            <w:tcBorders>
              <w:top w:val="single" w:color="auto" w:sz="2" w:space="0"/>
              <w:left w:val="single" w:color="auto" w:sz="2" w:space="0"/>
              <w:bottom w:val="single" w:color="auto" w:sz="2" w:space="0"/>
              <w:right w:val="single" w:color="auto" w:sz="2" w:space="0"/>
            </w:tcBorders>
            <w:vAlign w:val="center"/>
          </w:tcPr>
          <w:p>
            <w:pPr>
              <w:pStyle w:val="152"/>
              <w:ind w:firstLine="174" w:firstLineChars="83"/>
              <w:rPr>
                <w:bCs/>
                <w:szCs w:val="21"/>
              </w:rPr>
            </w:pPr>
            <w:r>
              <w:rPr>
                <w:bCs/>
                <w:szCs w:val="21"/>
              </w:rPr>
              <w:t>评分标准</w:t>
            </w:r>
          </w:p>
        </w:tc>
        <w:tc>
          <w:tcPr>
            <w:tcW w:w="397" w:type="pct"/>
            <w:tcBorders>
              <w:top w:val="single" w:color="auto" w:sz="2" w:space="0"/>
              <w:left w:val="single" w:color="auto" w:sz="2" w:space="0"/>
              <w:bottom w:val="single" w:color="auto" w:sz="2" w:space="0"/>
              <w:right w:val="single" w:color="auto" w:sz="2" w:space="0"/>
            </w:tcBorders>
            <w:vAlign w:val="center"/>
          </w:tcPr>
          <w:p>
            <w:pPr>
              <w:pStyle w:val="152"/>
              <w:ind w:firstLine="0" w:firstLineChars="0"/>
              <w:rPr>
                <w:bCs/>
                <w:szCs w:val="21"/>
              </w:rPr>
            </w:pPr>
            <w:r>
              <w:rPr>
                <w:bCs/>
                <w:szCs w:val="21"/>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 w:type="pct"/>
            <w:tcBorders>
              <w:top w:val="single" w:color="auto" w:sz="2" w:space="0"/>
              <w:left w:val="single" w:color="auto" w:sz="2" w:space="0"/>
              <w:bottom w:val="single" w:color="auto" w:sz="2" w:space="0"/>
              <w:right w:val="single" w:color="auto" w:sz="2" w:space="0"/>
            </w:tcBorders>
            <w:vAlign w:val="center"/>
          </w:tcPr>
          <w:p>
            <w:pPr>
              <w:pStyle w:val="152"/>
              <w:ind w:firstLine="0" w:firstLineChars="0"/>
              <w:rPr>
                <w:bCs/>
                <w:szCs w:val="21"/>
              </w:rPr>
            </w:pPr>
            <w:r>
              <w:rPr>
                <w:rFonts w:hint="eastAsia"/>
                <w:bCs/>
                <w:szCs w:val="21"/>
              </w:rPr>
              <w:t>评审委员会成员</w:t>
            </w:r>
          </w:p>
        </w:tc>
        <w:tc>
          <w:tcPr>
            <w:tcW w:w="867" w:type="pct"/>
            <w:tcBorders>
              <w:top w:val="single" w:color="auto" w:sz="2" w:space="0"/>
              <w:left w:val="single" w:color="auto" w:sz="2" w:space="0"/>
              <w:bottom w:val="single" w:color="auto" w:sz="2" w:space="0"/>
              <w:right w:val="single" w:color="auto" w:sz="2" w:space="0"/>
            </w:tcBorders>
            <w:vAlign w:val="center"/>
          </w:tcPr>
          <w:p>
            <w:pPr>
              <w:pStyle w:val="152"/>
              <w:ind w:firstLine="0" w:firstLineChars="0"/>
              <w:rPr>
                <w:bCs/>
                <w:szCs w:val="21"/>
              </w:rPr>
            </w:pPr>
            <w:r>
              <w:rPr>
                <w:bCs/>
                <w:szCs w:val="21"/>
              </w:rPr>
              <w:t>投标报价得分</w:t>
            </w:r>
          </w:p>
        </w:tc>
        <w:tc>
          <w:tcPr>
            <w:tcW w:w="3312" w:type="pct"/>
            <w:tcBorders>
              <w:top w:val="single" w:color="auto" w:sz="2" w:space="0"/>
              <w:left w:val="single" w:color="auto" w:sz="2" w:space="0"/>
              <w:bottom w:val="single" w:color="auto" w:sz="2" w:space="0"/>
              <w:right w:val="single" w:color="auto" w:sz="2" w:space="0"/>
            </w:tcBorders>
            <w:vAlign w:val="center"/>
          </w:tcPr>
          <w:p>
            <w:pPr>
              <w:spacing w:line="360" w:lineRule="auto"/>
              <w:rPr>
                <w:rFonts w:ascii="宋体" w:hAnsi="宋体" w:cs="宋体"/>
                <w:bCs/>
                <w:szCs w:val="21"/>
              </w:rPr>
            </w:pPr>
            <w:r>
              <w:rPr>
                <w:rFonts w:hint="eastAsia" w:ascii="宋体" w:hAnsi="宋体" w:cs="宋体"/>
                <w:bCs/>
                <w:szCs w:val="21"/>
              </w:rPr>
              <w:t>1、投标人如为监狱企业、小型和微型企业、残疾人福利性企业的，则给予其投标报价10%的价格扣除，用扣除后的价格参与评审；[说明：投标人为监狱企业的，提供由省级以上监狱管理局、戒毒管理局（含新疆生产建设兵团）出具的投标人属于监狱企业的证明文件复印件。]</w:t>
            </w:r>
          </w:p>
          <w:p>
            <w:pPr>
              <w:spacing w:line="360" w:lineRule="auto"/>
              <w:rPr>
                <w:rFonts w:ascii="宋体" w:hAnsi="宋体" w:cs="宋体"/>
                <w:bCs/>
                <w:szCs w:val="21"/>
              </w:rPr>
            </w:pPr>
            <w:r>
              <w:rPr>
                <w:rFonts w:hint="eastAsia" w:ascii="宋体" w:hAnsi="宋体" w:cs="宋体"/>
                <w:bCs/>
                <w:szCs w:val="21"/>
              </w:rPr>
              <w:t>2、经评标委员会评审，通过资格性和符合性审查，且投标报价最低的投标人的投标报价作为评标基准价；</w:t>
            </w:r>
          </w:p>
          <w:p>
            <w:pPr>
              <w:pStyle w:val="152"/>
              <w:ind w:firstLine="0" w:firstLineChars="0"/>
              <w:rPr>
                <w:bCs/>
                <w:szCs w:val="21"/>
              </w:rPr>
            </w:pPr>
            <w:r>
              <w:rPr>
                <w:rFonts w:hint="eastAsia" w:ascii="宋体" w:hAnsi="宋体" w:cs="宋体"/>
                <w:bCs/>
                <w:szCs w:val="21"/>
              </w:rPr>
              <w:t>3、投标报价得分=(评标基准价／投标报价)×</w:t>
            </w:r>
            <w:r>
              <w:rPr>
                <w:rFonts w:hint="eastAsia" w:ascii="宋体" w:hAnsi="宋体" w:cs="宋体"/>
                <w:bCs/>
                <w:szCs w:val="21"/>
                <w:lang w:val="en-US" w:eastAsia="zh-CN"/>
              </w:rPr>
              <w:t>31</w:t>
            </w:r>
            <w:bookmarkStart w:id="422" w:name="_GoBack"/>
            <w:bookmarkEnd w:id="422"/>
            <w:r>
              <w:rPr>
                <w:rFonts w:hint="eastAsia" w:ascii="宋体" w:hAnsi="宋体" w:cs="宋体"/>
                <w:bCs/>
                <w:szCs w:val="21"/>
              </w:rPr>
              <w:t>。</w:t>
            </w:r>
          </w:p>
        </w:tc>
        <w:tc>
          <w:tcPr>
            <w:tcW w:w="397" w:type="pct"/>
            <w:tcBorders>
              <w:top w:val="single" w:color="auto" w:sz="2" w:space="0"/>
              <w:left w:val="single" w:color="auto" w:sz="2" w:space="0"/>
              <w:bottom w:val="single" w:color="auto" w:sz="2" w:space="0"/>
              <w:right w:val="single" w:color="auto" w:sz="2" w:space="0"/>
            </w:tcBorders>
            <w:vAlign w:val="center"/>
          </w:tcPr>
          <w:p>
            <w:pPr>
              <w:pStyle w:val="152"/>
              <w:ind w:firstLine="0" w:firstLineChars="0"/>
              <w:rPr>
                <w:bCs/>
                <w:szCs w:val="21"/>
              </w:rPr>
            </w:pPr>
            <w:r>
              <w:rPr>
                <w:rFonts w:hint="eastAsia"/>
                <w:bCs/>
                <w:szCs w:val="21"/>
                <w:lang w:val="en-US" w:eastAsia="zh-CN"/>
              </w:rPr>
              <w:t>31</w:t>
            </w:r>
            <w:r>
              <w:rPr>
                <w:bCs/>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 w:type="pct"/>
            <w:tcBorders>
              <w:top w:val="single" w:color="auto" w:sz="2" w:space="0"/>
              <w:left w:val="single" w:color="auto" w:sz="2" w:space="0"/>
              <w:bottom w:val="single" w:color="auto" w:sz="2" w:space="0"/>
              <w:right w:val="single" w:color="auto" w:sz="2" w:space="0"/>
            </w:tcBorders>
            <w:vAlign w:val="center"/>
          </w:tcPr>
          <w:p>
            <w:pPr>
              <w:pStyle w:val="152"/>
              <w:ind w:firstLine="0" w:firstLineChars="0"/>
              <w:rPr>
                <w:bCs/>
                <w:szCs w:val="21"/>
              </w:rPr>
            </w:pPr>
            <w:r>
              <w:rPr>
                <w:rFonts w:hint="eastAsia"/>
                <w:bCs/>
                <w:szCs w:val="21"/>
              </w:rPr>
              <w:t>评审委员会成员</w:t>
            </w:r>
          </w:p>
        </w:tc>
        <w:tc>
          <w:tcPr>
            <w:tcW w:w="867" w:type="pct"/>
            <w:tcBorders>
              <w:top w:val="single" w:color="auto" w:sz="2" w:space="0"/>
              <w:left w:val="single" w:color="auto" w:sz="2" w:space="0"/>
              <w:bottom w:val="single" w:color="auto" w:sz="2" w:space="0"/>
              <w:right w:val="single" w:color="auto" w:sz="2" w:space="0"/>
            </w:tcBorders>
            <w:vAlign w:val="center"/>
          </w:tcPr>
          <w:p>
            <w:pPr>
              <w:pStyle w:val="152"/>
              <w:ind w:firstLine="0" w:firstLineChars="0"/>
              <w:rPr>
                <w:bCs/>
                <w:szCs w:val="21"/>
              </w:rPr>
            </w:pPr>
            <w:r>
              <w:rPr>
                <w:rFonts w:hint="eastAsia"/>
                <w:bCs/>
                <w:szCs w:val="21"/>
              </w:rPr>
              <w:t>总体方案及目标达成</w:t>
            </w:r>
          </w:p>
        </w:tc>
        <w:tc>
          <w:tcPr>
            <w:tcW w:w="3312" w:type="pct"/>
            <w:tcBorders>
              <w:top w:val="single" w:color="auto" w:sz="2" w:space="0"/>
              <w:left w:val="single" w:color="auto" w:sz="2" w:space="0"/>
              <w:bottom w:val="single" w:color="auto" w:sz="2" w:space="0"/>
              <w:right w:val="single" w:color="auto" w:sz="2" w:space="0"/>
            </w:tcBorders>
            <w:vAlign w:val="center"/>
          </w:tcPr>
          <w:p>
            <w:pPr>
              <w:pStyle w:val="152"/>
              <w:ind w:firstLine="0" w:firstLineChars="0"/>
              <w:rPr>
                <w:bCs/>
                <w:szCs w:val="21"/>
              </w:rPr>
            </w:pPr>
            <w:r>
              <w:rPr>
                <w:bCs/>
                <w:szCs w:val="21"/>
              </w:rPr>
              <w:t>方案中</w:t>
            </w:r>
            <w:r>
              <w:rPr>
                <w:rFonts w:hint="eastAsia"/>
                <w:bCs/>
                <w:szCs w:val="21"/>
              </w:rPr>
              <w:t>提供：（1）针对本项目的实际提出整体服务方案；（2）针对项目学校的实际情况要达成的</w:t>
            </w:r>
            <w:r>
              <w:rPr>
                <w:bCs/>
                <w:szCs w:val="21"/>
              </w:rPr>
              <w:t>服务目标</w:t>
            </w:r>
            <w:r>
              <w:rPr>
                <w:rFonts w:hint="eastAsia"/>
                <w:bCs/>
                <w:szCs w:val="21"/>
              </w:rPr>
              <w:t>；</w:t>
            </w:r>
            <w:r>
              <w:rPr>
                <w:bCs/>
                <w:szCs w:val="21"/>
              </w:rPr>
              <w:t>进行评分，每一项内容描述符合本项目实际需要得</w:t>
            </w:r>
            <w:r>
              <w:rPr>
                <w:rFonts w:hint="eastAsia"/>
                <w:bCs/>
                <w:szCs w:val="21"/>
              </w:rPr>
              <w:t>5</w:t>
            </w:r>
            <w:r>
              <w:rPr>
                <w:bCs/>
                <w:szCs w:val="21"/>
              </w:rPr>
              <w:t>分，最高</w:t>
            </w:r>
            <w:r>
              <w:rPr>
                <w:rFonts w:hint="eastAsia"/>
                <w:bCs/>
                <w:szCs w:val="21"/>
              </w:rPr>
              <w:t>10</w:t>
            </w:r>
            <w:r>
              <w:rPr>
                <w:bCs/>
                <w:szCs w:val="21"/>
              </w:rPr>
              <w:t>分；每有一处内容缺失或</w:t>
            </w:r>
            <w:r>
              <w:rPr>
                <w:rFonts w:hint="eastAsia"/>
                <w:bCs/>
                <w:szCs w:val="21"/>
              </w:rPr>
              <w:t>完全</w:t>
            </w:r>
            <w:r>
              <w:rPr>
                <w:bCs/>
                <w:szCs w:val="21"/>
              </w:rPr>
              <w:t>不符合项目实际需要该项不得分。</w:t>
            </w:r>
            <w:r>
              <w:rPr>
                <w:rFonts w:hint="eastAsia"/>
                <w:bCs/>
                <w:szCs w:val="21"/>
              </w:rPr>
              <w:t>每有一处存在缺陷或者与部分内容本项目不相符扣1分，直至该项分值扣完为止；</w:t>
            </w:r>
          </w:p>
          <w:p>
            <w:pPr>
              <w:pStyle w:val="152"/>
              <w:ind w:firstLine="0" w:firstLineChars="0"/>
              <w:rPr>
                <w:bCs/>
                <w:color w:val="FF0000"/>
                <w:szCs w:val="21"/>
              </w:rPr>
            </w:pPr>
            <w:r>
              <w:rPr>
                <w:rFonts w:hint="eastAsia"/>
                <w:bCs/>
                <w:szCs w:val="21"/>
              </w:rPr>
              <w:t>注：缺陷或者部分内容本项目不相符是指:项目针对的服务对象或服务内容或实施地点或涉及的规范和标准与本项目要求不完全一致或内容不完整或进度计划超期或描述有歧义或逻辑错误或表述不清等。</w:t>
            </w:r>
          </w:p>
        </w:tc>
        <w:tc>
          <w:tcPr>
            <w:tcW w:w="397" w:type="pct"/>
            <w:tcBorders>
              <w:top w:val="single" w:color="auto" w:sz="2" w:space="0"/>
              <w:left w:val="single" w:color="auto" w:sz="2" w:space="0"/>
              <w:bottom w:val="single" w:color="auto" w:sz="2" w:space="0"/>
              <w:right w:val="single" w:color="auto" w:sz="2" w:space="0"/>
            </w:tcBorders>
            <w:vAlign w:val="center"/>
          </w:tcPr>
          <w:p>
            <w:pPr>
              <w:pStyle w:val="152"/>
              <w:ind w:firstLine="0" w:firstLineChars="0"/>
              <w:rPr>
                <w:bCs/>
                <w:szCs w:val="21"/>
              </w:rPr>
            </w:pPr>
            <w:r>
              <w:rPr>
                <w:rFonts w:hint="eastAsia"/>
                <w:bCs/>
                <w:szCs w:val="21"/>
              </w:rPr>
              <w:t>10</w:t>
            </w:r>
            <w:r>
              <w:rPr>
                <w:bCs/>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 w:type="pct"/>
            <w:tcBorders>
              <w:top w:val="single" w:color="auto" w:sz="2" w:space="0"/>
              <w:left w:val="single" w:color="auto" w:sz="2" w:space="0"/>
              <w:bottom w:val="single" w:color="auto" w:sz="2" w:space="0"/>
              <w:right w:val="single" w:color="auto" w:sz="2" w:space="0"/>
            </w:tcBorders>
            <w:vAlign w:val="center"/>
          </w:tcPr>
          <w:p>
            <w:pPr>
              <w:pStyle w:val="152"/>
              <w:ind w:firstLine="0" w:firstLineChars="0"/>
              <w:rPr>
                <w:bCs/>
                <w:szCs w:val="21"/>
              </w:rPr>
            </w:pPr>
            <w:r>
              <w:rPr>
                <w:rFonts w:hint="eastAsia"/>
                <w:bCs/>
                <w:szCs w:val="21"/>
              </w:rPr>
              <w:t>评审委员会成员</w:t>
            </w:r>
          </w:p>
        </w:tc>
        <w:tc>
          <w:tcPr>
            <w:tcW w:w="867" w:type="pct"/>
            <w:tcBorders>
              <w:top w:val="single" w:color="auto" w:sz="2" w:space="0"/>
              <w:left w:val="single" w:color="auto" w:sz="2" w:space="0"/>
              <w:bottom w:val="single" w:color="auto" w:sz="2" w:space="0"/>
              <w:right w:val="single" w:color="auto" w:sz="2" w:space="0"/>
            </w:tcBorders>
            <w:vAlign w:val="center"/>
          </w:tcPr>
          <w:p>
            <w:pPr>
              <w:pStyle w:val="152"/>
              <w:ind w:firstLine="0" w:firstLineChars="0"/>
              <w:rPr>
                <w:bCs/>
                <w:szCs w:val="21"/>
              </w:rPr>
            </w:pPr>
            <w:r>
              <w:rPr>
                <w:rFonts w:hint="eastAsia"/>
                <w:bCs/>
                <w:szCs w:val="21"/>
              </w:rPr>
              <w:t>详细服务</w:t>
            </w:r>
            <w:r>
              <w:rPr>
                <w:bCs/>
                <w:szCs w:val="21"/>
              </w:rPr>
              <w:t>方案</w:t>
            </w:r>
          </w:p>
        </w:tc>
        <w:tc>
          <w:tcPr>
            <w:tcW w:w="3312" w:type="pct"/>
            <w:tcBorders>
              <w:top w:val="single" w:color="auto" w:sz="2" w:space="0"/>
              <w:left w:val="single" w:color="auto" w:sz="2" w:space="0"/>
              <w:bottom w:val="single" w:color="auto" w:sz="2" w:space="0"/>
              <w:right w:val="single" w:color="auto" w:sz="2" w:space="0"/>
            </w:tcBorders>
            <w:vAlign w:val="center"/>
          </w:tcPr>
          <w:p>
            <w:pPr>
              <w:pStyle w:val="152"/>
              <w:ind w:firstLine="0" w:firstLineChars="0"/>
              <w:rPr>
                <w:bCs/>
                <w:szCs w:val="21"/>
              </w:rPr>
            </w:pPr>
            <w:r>
              <w:rPr>
                <w:rFonts w:hint="eastAsia"/>
                <w:bCs/>
                <w:szCs w:val="21"/>
              </w:rPr>
              <w:t>详细</w:t>
            </w:r>
            <w:r>
              <w:rPr>
                <w:bCs/>
                <w:szCs w:val="21"/>
              </w:rPr>
              <w:t>服务方案中对</w:t>
            </w:r>
            <w:r>
              <w:rPr>
                <w:rFonts w:hint="eastAsia"/>
                <w:bCs/>
                <w:szCs w:val="21"/>
              </w:rPr>
              <w:t>：（1）</w:t>
            </w:r>
            <w:r>
              <w:rPr>
                <w:bCs/>
                <w:szCs w:val="21"/>
              </w:rPr>
              <w:t>投标人提供</w:t>
            </w:r>
            <w:r>
              <w:rPr>
                <w:rFonts w:hint="eastAsia"/>
                <w:bCs/>
                <w:szCs w:val="21"/>
              </w:rPr>
              <w:t>本</w:t>
            </w:r>
            <w:r>
              <w:rPr>
                <w:bCs/>
                <w:szCs w:val="21"/>
              </w:rPr>
              <w:t>项目管理组织机构的工作职能运行图</w:t>
            </w:r>
            <w:r>
              <w:rPr>
                <w:rFonts w:hint="eastAsia"/>
                <w:bCs/>
                <w:szCs w:val="21"/>
              </w:rPr>
              <w:t>；（2）根据本项目服务内容的</w:t>
            </w:r>
            <w:r>
              <w:rPr>
                <w:bCs/>
                <w:szCs w:val="21"/>
              </w:rPr>
              <w:t>人员安排</w:t>
            </w:r>
            <w:r>
              <w:rPr>
                <w:rFonts w:hint="eastAsia"/>
                <w:bCs/>
                <w:szCs w:val="21"/>
              </w:rPr>
              <w:t>；（3）根据本项目服务对象确立的各岗位工作职责；（5）针对本项目的</w:t>
            </w:r>
            <w:r>
              <w:rPr>
                <w:bCs/>
                <w:szCs w:val="21"/>
              </w:rPr>
              <w:t>人员培训</w:t>
            </w:r>
            <w:r>
              <w:rPr>
                <w:rFonts w:hint="eastAsia"/>
                <w:bCs/>
                <w:szCs w:val="21"/>
              </w:rPr>
              <w:t>方案；（6）各岗位的内部</w:t>
            </w:r>
            <w:r>
              <w:rPr>
                <w:bCs/>
                <w:szCs w:val="21"/>
              </w:rPr>
              <w:t>考核办法</w:t>
            </w:r>
            <w:r>
              <w:rPr>
                <w:rFonts w:hint="eastAsia"/>
                <w:bCs/>
                <w:szCs w:val="21"/>
              </w:rPr>
              <w:t>；（7）</w:t>
            </w:r>
            <w:r>
              <w:rPr>
                <w:bCs/>
                <w:szCs w:val="21"/>
              </w:rPr>
              <w:t>重大活动</w:t>
            </w:r>
            <w:r>
              <w:rPr>
                <w:rFonts w:hint="eastAsia"/>
                <w:bCs/>
                <w:szCs w:val="21"/>
              </w:rPr>
              <w:t>如何与学校密切</w:t>
            </w:r>
            <w:r>
              <w:rPr>
                <w:bCs/>
                <w:szCs w:val="21"/>
              </w:rPr>
              <w:t>配合</w:t>
            </w:r>
            <w:r>
              <w:rPr>
                <w:rFonts w:hint="eastAsia"/>
                <w:bCs/>
                <w:szCs w:val="21"/>
              </w:rPr>
              <w:t>的方案</w:t>
            </w:r>
            <w:r>
              <w:rPr>
                <w:bCs/>
                <w:szCs w:val="21"/>
              </w:rPr>
              <w:t>等进行评分，每有一项描述完全满足项目实际需求的得</w:t>
            </w:r>
            <w:r>
              <w:rPr>
                <w:rFonts w:hint="eastAsia"/>
                <w:bCs/>
                <w:szCs w:val="21"/>
              </w:rPr>
              <w:t>3</w:t>
            </w:r>
            <w:r>
              <w:rPr>
                <w:bCs/>
                <w:szCs w:val="21"/>
              </w:rPr>
              <w:t>分，最多得</w:t>
            </w:r>
            <w:r>
              <w:rPr>
                <w:rFonts w:hint="eastAsia"/>
                <w:bCs/>
                <w:szCs w:val="21"/>
              </w:rPr>
              <w:t>21</w:t>
            </w:r>
            <w:r>
              <w:rPr>
                <w:bCs/>
                <w:szCs w:val="21"/>
              </w:rPr>
              <w:t>分；每有一项内容缺失或内容描述不能完全满足项目实际需求的，该项不得分。</w:t>
            </w:r>
            <w:r>
              <w:rPr>
                <w:rFonts w:hint="eastAsia"/>
                <w:bCs/>
                <w:szCs w:val="21"/>
              </w:rPr>
              <w:t>每有一处存在缺陷或者与部分内容本项目不相符扣1分，直至该项分值扣完为止；</w:t>
            </w:r>
          </w:p>
          <w:p>
            <w:pPr>
              <w:pStyle w:val="152"/>
              <w:ind w:firstLine="0" w:firstLineChars="0"/>
              <w:rPr>
                <w:rFonts w:hint="eastAsia" w:eastAsia="宋体"/>
                <w:bCs/>
                <w:color w:val="FF0000"/>
                <w:szCs w:val="21"/>
                <w:lang w:eastAsia="zh-CN"/>
              </w:rPr>
            </w:pPr>
            <w:r>
              <w:rPr>
                <w:rFonts w:hint="eastAsia"/>
                <w:bCs/>
                <w:szCs w:val="21"/>
              </w:rPr>
              <w:t>注：缺陷或者与部分内容本项目不相符是指:项目针对的内容或实施地点或涉及的规范和标准与本项目要求不一致或内容不完整或进度计划超期等或描述有歧义或逻辑错误或表述不清等</w:t>
            </w:r>
            <w:r>
              <w:rPr>
                <w:rFonts w:hint="eastAsia"/>
                <w:bCs/>
                <w:szCs w:val="21"/>
                <w:lang w:eastAsia="zh-CN"/>
              </w:rPr>
              <w:t>。</w:t>
            </w:r>
          </w:p>
        </w:tc>
        <w:tc>
          <w:tcPr>
            <w:tcW w:w="397" w:type="pct"/>
            <w:tcBorders>
              <w:top w:val="single" w:color="auto" w:sz="2" w:space="0"/>
              <w:left w:val="single" w:color="auto" w:sz="2" w:space="0"/>
              <w:bottom w:val="single" w:color="auto" w:sz="2" w:space="0"/>
              <w:right w:val="single" w:color="auto" w:sz="2" w:space="0"/>
            </w:tcBorders>
            <w:vAlign w:val="center"/>
          </w:tcPr>
          <w:p>
            <w:pPr>
              <w:pStyle w:val="152"/>
              <w:ind w:firstLine="0" w:firstLineChars="0"/>
              <w:rPr>
                <w:bCs/>
                <w:szCs w:val="21"/>
              </w:rPr>
            </w:pPr>
            <w:r>
              <w:rPr>
                <w:rFonts w:hint="eastAsia"/>
                <w:bCs/>
                <w:szCs w:val="21"/>
              </w:rPr>
              <w:t>21</w:t>
            </w:r>
            <w:r>
              <w:rPr>
                <w:bCs/>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 w:type="pct"/>
            <w:tcBorders>
              <w:top w:val="single" w:color="auto" w:sz="2" w:space="0"/>
              <w:left w:val="single" w:color="auto" w:sz="2" w:space="0"/>
              <w:bottom w:val="single" w:color="auto" w:sz="2" w:space="0"/>
              <w:right w:val="single" w:color="auto" w:sz="2" w:space="0"/>
            </w:tcBorders>
            <w:vAlign w:val="center"/>
          </w:tcPr>
          <w:p>
            <w:pPr>
              <w:pStyle w:val="152"/>
              <w:ind w:firstLine="0" w:firstLineChars="0"/>
              <w:rPr>
                <w:bCs/>
                <w:szCs w:val="21"/>
              </w:rPr>
            </w:pPr>
            <w:r>
              <w:rPr>
                <w:rFonts w:hint="eastAsia"/>
                <w:bCs/>
                <w:szCs w:val="21"/>
              </w:rPr>
              <w:t>评审委员会成员</w:t>
            </w:r>
          </w:p>
        </w:tc>
        <w:tc>
          <w:tcPr>
            <w:tcW w:w="867" w:type="pct"/>
            <w:tcBorders>
              <w:top w:val="single" w:color="auto" w:sz="2" w:space="0"/>
              <w:left w:val="single" w:color="auto" w:sz="2" w:space="0"/>
              <w:bottom w:val="single" w:color="auto" w:sz="2" w:space="0"/>
              <w:right w:val="single" w:color="auto" w:sz="2" w:space="0"/>
            </w:tcBorders>
            <w:vAlign w:val="center"/>
          </w:tcPr>
          <w:p>
            <w:pPr>
              <w:pStyle w:val="152"/>
              <w:ind w:firstLine="0" w:firstLineChars="0"/>
              <w:rPr>
                <w:bCs/>
                <w:szCs w:val="21"/>
              </w:rPr>
            </w:pPr>
            <w:r>
              <w:rPr>
                <w:bCs/>
                <w:szCs w:val="21"/>
              </w:rPr>
              <w:t>应急处理预案</w:t>
            </w:r>
          </w:p>
        </w:tc>
        <w:tc>
          <w:tcPr>
            <w:tcW w:w="3312" w:type="pct"/>
            <w:tcBorders>
              <w:top w:val="single" w:color="auto" w:sz="2" w:space="0"/>
              <w:left w:val="single" w:color="auto" w:sz="2" w:space="0"/>
              <w:bottom w:val="single" w:color="auto" w:sz="2" w:space="0"/>
              <w:right w:val="single" w:color="auto" w:sz="2" w:space="0"/>
            </w:tcBorders>
            <w:vAlign w:val="center"/>
          </w:tcPr>
          <w:p>
            <w:pPr>
              <w:pStyle w:val="152"/>
              <w:ind w:firstLine="0" w:firstLineChars="0"/>
              <w:rPr>
                <w:bCs/>
                <w:szCs w:val="21"/>
              </w:rPr>
            </w:pPr>
            <w:r>
              <w:rPr>
                <w:rFonts w:hint="eastAsia"/>
                <w:bCs/>
                <w:szCs w:val="21"/>
              </w:rPr>
              <w:t>应急处理预案中针对：（1）火灾、（2）地震、（3）公共卫生、（4）治安、（5）暴雨、（6）医疗急救、（7）反恐防爆、（8）停水、（9）停电的预防处置内容进行评分，每有一项描述完全满足项目实际需求的得</w:t>
            </w:r>
            <w:r>
              <w:rPr>
                <w:bCs/>
                <w:szCs w:val="21"/>
              </w:rPr>
              <w:t>1</w:t>
            </w:r>
            <w:r>
              <w:rPr>
                <w:rFonts w:hint="eastAsia"/>
                <w:bCs/>
                <w:szCs w:val="21"/>
              </w:rPr>
              <w:t>分，最多得</w:t>
            </w:r>
            <w:r>
              <w:rPr>
                <w:rFonts w:hint="eastAsia"/>
                <w:bCs/>
                <w:szCs w:val="21"/>
                <w:lang w:val="en-US" w:eastAsia="zh-CN"/>
              </w:rPr>
              <w:t>9</w:t>
            </w:r>
            <w:r>
              <w:rPr>
                <w:rFonts w:hint="eastAsia"/>
                <w:bCs/>
                <w:szCs w:val="21"/>
              </w:rPr>
              <w:t>分；每有一项内容缺失或内容描述不能完全满足项目实际需求的，该项扣除1分。</w:t>
            </w:r>
          </w:p>
        </w:tc>
        <w:tc>
          <w:tcPr>
            <w:tcW w:w="397" w:type="pct"/>
            <w:tcBorders>
              <w:top w:val="single" w:color="auto" w:sz="2" w:space="0"/>
              <w:left w:val="single" w:color="auto" w:sz="2" w:space="0"/>
              <w:bottom w:val="single" w:color="auto" w:sz="2" w:space="0"/>
              <w:right w:val="single" w:color="auto" w:sz="2" w:space="0"/>
            </w:tcBorders>
            <w:vAlign w:val="center"/>
          </w:tcPr>
          <w:p>
            <w:pPr>
              <w:pStyle w:val="152"/>
              <w:ind w:firstLine="0" w:firstLineChars="0"/>
              <w:rPr>
                <w:bCs/>
                <w:szCs w:val="21"/>
              </w:rPr>
            </w:pPr>
            <w:r>
              <w:rPr>
                <w:rFonts w:hint="eastAsia"/>
                <w:bCs/>
                <w:szCs w:val="21"/>
                <w:lang w:val="en-US" w:eastAsia="zh-CN"/>
              </w:rPr>
              <w:t>9</w:t>
            </w:r>
            <w:r>
              <w:rPr>
                <w:bCs/>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 w:type="pct"/>
            <w:tcBorders>
              <w:top w:val="single" w:color="auto" w:sz="2" w:space="0"/>
              <w:left w:val="single" w:color="auto" w:sz="2" w:space="0"/>
              <w:bottom w:val="single" w:color="auto" w:sz="2" w:space="0"/>
              <w:right w:val="single" w:color="auto" w:sz="2" w:space="0"/>
            </w:tcBorders>
            <w:vAlign w:val="center"/>
          </w:tcPr>
          <w:p>
            <w:pPr>
              <w:pStyle w:val="152"/>
              <w:ind w:firstLine="0" w:firstLineChars="0"/>
              <w:rPr>
                <w:bCs/>
                <w:szCs w:val="21"/>
              </w:rPr>
            </w:pPr>
            <w:r>
              <w:rPr>
                <w:rFonts w:hint="eastAsia"/>
                <w:bCs/>
                <w:szCs w:val="21"/>
              </w:rPr>
              <w:t>评审委员会成员</w:t>
            </w:r>
          </w:p>
        </w:tc>
        <w:tc>
          <w:tcPr>
            <w:tcW w:w="867" w:type="pct"/>
            <w:tcBorders>
              <w:top w:val="single" w:color="auto" w:sz="2" w:space="0"/>
              <w:left w:val="single" w:color="auto" w:sz="2" w:space="0"/>
              <w:bottom w:val="single" w:color="auto" w:sz="2" w:space="0"/>
              <w:right w:val="single" w:color="auto" w:sz="2" w:space="0"/>
            </w:tcBorders>
            <w:vAlign w:val="center"/>
          </w:tcPr>
          <w:p>
            <w:pPr>
              <w:pStyle w:val="152"/>
              <w:ind w:firstLine="0" w:firstLineChars="0"/>
              <w:rPr>
                <w:bCs/>
                <w:szCs w:val="21"/>
              </w:rPr>
            </w:pPr>
            <w:r>
              <w:rPr>
                <w:bCs/>
                <w:szCs w:val="21"/>
              </w:rPr>
              <w:t>物业管理经验、业绩</w:t>
            </w:r>
          </w:p>
        </w:tc>
        <w:tc>
          <w:tcPr>
            <w:tcW w:w="3312" w:type="pct"/>
            <w:tcBorders>
              <w:top w:val="single" w:color="auto" w:sz="2" w:space="0"/>
              <w:left w:val="single" w:color="auto" w:sz="2" w:space="0"/>
              <w:bottom w:val="single" w:color="auto" w:sz="2" w:space="0"/>
              <w:right w:val="single" w:color="auto" w:sz="2" w:space="0"/>
            </w:tcBorders>
            <w:vAlign w:val="center"/>
          </w:tcPr>
          <w:p>
            <w:pPr>
              <w:pStyle w:val="152"/>
              <w:ind w:firstLine="525" w:firstLineChars="250"/>
              <w:rPr>
                <w:bCs/>
                <w:szCs w:val="21"/>
              </w:rPr>
            </w:pPr>
            <w:r>
              <w:rPr>
                <w:rFonts w:hint="eastAsia"/>
                <w:bCs/>
                <w:szCs w:val="21"/>
              </w:rPr>
              <w:t>1．</w:t>
            </w:r>
            <w:r>
              <w:rPr>
                <w:bCs/>
                <w:szCs w:val="21"/>
              </w:rPr>
              <w:t>投标人每提供</w:t>
            </w:r>
            <w:r>
              <w:rPr>
                <w:rFonts w:hint="eastAsia"/>
                <w:bCs/>
                <w:szCs w:val="21"/>
              </w:rPr>
              <w:t>2020年1月1日（含1日）</w:t>
            </w:r>
            <w:r>
              <w:rPr>
                <w:bCs/>
                <w:szCs w:val="21"/>
              </w:rPr>
              <w:t>以</w:t>
            </w:r>
            <w:r>
              <w:rPr>
                <w:rFonts w:hint="eastAsia"/>
                <w:bCs/>
                <w:szCs w:val="21"/>
              </w:rPr>
              <w:t>来</w:t>
            </w:r>
            <w:r>
              <w:rPr>
                <w:bCs/>
                <w:szCs w:val="21"/>
              </w:rPr>
              <w:t>的类似物业服务项目业绩，</w:t>
            </w:r>
            <w:r>
              <w:rPr>
                <w:rFonts w:hint="eastAsia"/>
                <w:bCs/>
                <w:szCs w:val="21"/>
              </w:rPr>
              <w:t>每</w:t>
            </w:r>
            <w:r>
              <w:rPr>
                <w:bCs/>
                <w:szCs w:val="21"/>
              </w:rPr>
              <w:t>有1个</w:t>
            </w:r>
            <w:r>
              <w:rPr>
                <w:rFonts w:hint="eastAsia"/>
                <w:bCs/>
                <w:szCs w:val="21"/>
              </w:rPr>
              <w:t>业绩</w:t>
            </w:r>
            <w:r>
              <w:rPr>
                <w:bCs/>
                <w:szCs w:val="21"/>
              </w:rPr>
              <w:t>得</w:t>
            </w:r>
            <w:r>
              <w:rPr>
                <w:rFonts w:hint="eastAsia"/>
                <w:bCs/>
                <w:szCs w:val="21"/>
              </w:rPr>
              <w:t>3</w:t>
            </w:r>
            <w:r>
              <w:rPr>
                <w:bCs/>
                <w:szCs w:val="21"/>
              </w:rPr>
              <w:t>分，最多得</w:t>
            </w:r>
            <w:r>
              <w:rPr>
                <w:rFonts w:hint="eastAsia"/>
                <w:bCs/>
                <w:szCs w:val="21"/>
              </w:rPr>
              <w:t>6</w:t>
            </w:r>
            <w:r>
              <w:rPr>
                <w:bCs/>
                <w:szCs w:val="21"/>
              </w:rPr>
              <w:t>分，不提供不得分。</w:t>
            </w:r>
          </w:p>
          <w:p>
            <w:pPr>
              <w:pStyle w:val="152"/>
              <w:ind w:firstLine="525" w:firstLineChars="250"/>
              <w:rPr>
                <w:bCs/>
                <w:szCs w:val="21"/>
              </w:rPr>
            </w:pPr>
            <w:r>
              <w:rPr>
                <w:rFonts w:hint="eastAsia"/>
                <w:bCs/>
                <w:szCs w:val="21"/>
              </w:rPr>
              <w:t>2</w:t>
            </w:r>
            <w:r>
              <w:rPr>
                <w:bCs/>
                <w:szCs w:val="21"/>
              </w:rPr>
              <w:t>.</w:t>
            </w:r>
            <w:r>
              <w:rPr>
                <w:rFonts w:hint="eastAsia"/>
                <w:bCs/>
                <w:szCs w:val="21"/>
              </w:rPr>
              <w:t>投标人提供2020年1月1日（含1日）以来，项目业主单位出具的综合评价书面证明：每提供1个业主单位出具的书面综合评价为满意或者优秀等类似评价的证明得</w:t>
            </w:r>
            <w:r>
              <w:rPr>
                <w:bCs/>
                <w:szCs w:val="21"/>
              </w:rPr>
              <w:t>2</w:t>
            </w:r>
            <w:r>
              <w:rPr>
                <w:rFonts w:hint="eastAsia"/>
                <w:bCs/>
                <w:szCs w:val="21"/>
              </w:rPr>
              <w:t>分，最多得</w:t>
            </w:r>
            <w:r>
              <w:rPr>
                <w:bCs/>
                <w:szCs w:val="21"/>
              </w:rPr>
              <w:t>4</w:t>
            </w:r>
            <w:r>
              <w:rPr>
                <w:rFonts w:hint="eastAsia"/>
                <w:bCs/>
                <w:szCs w:val="21"/>
              </w:rPr>
              <w:t>分。</w:t>
            </w:r>
          </w:p>
          <w:p>
            <w:pPr>
              <w:pStyle w:val="152"/>
              <w:ind w:firstLine="525" w:firstLineChars="250"/>
              <w:rPr>
                <w:bCs/>
                <w:szCs w:val="21"/>
              </w:rPr>
            </w:pPr>
            <w:r>
              <w:rPr>
                <w:bCs/>
                <w:szCs w:val="21"/>
              </w:rPr>
              <w:t>（说明：①提供相应物业合同复印件</w:t>
            </w:r>
            <w:r>
              <w:rPr>
                <w:rFonts w:hint="eastAsia"/>
                <w:bCs/>
                <w:szCs w:val="21"/>
              </w:rPr>
              <w:t>、至少一次相关项目的费用支付凭证并</w:t>
            </w:r>
            <w:r>
              <w:rPr>
                <w:bCs/>
                <w:szCs w:val="21"/>
              </w:rPr>
              <w:t>加盖投标人公章；②同一个物业服务合同项目不同年度不重复得分。）</w:t>
            </w:r>
          </w:p>
        </w:tc>
        <w:tc>
          <w:tcPr>
            <w:tcW w:w="397" w:type="pct"/>
            <w:tcBorders>
              <w:top w:val="single" w:color="auto" w:sz="2" w:space="0"/>
              <w:left w:val="single" w:color="auto" w:sz="2" w:space="0"/>
              <w:bottom w:val="single" w:color="auto" w:sz="2" w:space="0"/>
              <w:right w:val="single" w:color="auto" w:sz="2" w:space="0"/>
            </w:tcBorders>
            <w:vAlign w:val="center"/>
          </w:tcPr>
          <w:p>
            <w:pPr>
              <w:pStyle w:val="152"/>
              <w:ind w:firstLine="0" w:firstLineChars="0"/>
              <w:rPr>
                <w:bCs/>
                <w:szCs w:val="21"/>
              </w:rPr>
            </w:pPr>
            <w:r>
              <w:rPr>
                <w:rFonts w:hint="eastAsia"/>
                <w:bCs/>
                <w:szCs w:val="21"/>
              </w:rPr>
              <w:t>10</w:t>
            </w:r>
            <w:r>
              <w:rPr>
                <w:bCs/>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 w:type="pct"/>
            <w:tcBorders>
              <w:top w:val="single" w:color="auto" w:sz="2" w:space="0"/>
              <w:left w:val="single" w:color="auto" w:sz="2" w:space="0"/>
              <w:bottom w:val="single" w:color="auto" w:sz="2" w:space="0"/>
              <w:right w:val="single" w:color="auto" w:sz="2" w:space="0"/>
            </w:tcBorders>
            <w:vAlign w:val="center"/>
          </w:tcPr>
          <w:p>
            <w:pPr>
              <w:pStyle w:val="152"/>
              <w:ind w:firstLine="0" w:firstLineChars="0"/>
              <w:rPr>
                <w:bCs/>
                <w:szCs w:val="21"/>
              </w:rPr>
            </w:pPr>
            <w:r>
              <w:rPr>
                <w:rFonts w:hint="eastAsia"/>
                <w:bCs/>
                <w:szCs w:val="21"/>
              </w:rPr>
              <w:t>评审委员会成员</w:t>
            </w:r>
          </w:p>
        </w:tc>
        <w:tc>
          <w:tcPr>
            <w:tcW w:w="867" w:type="pct"/>
            <w:tcBorders>
              <w:top w:val="single" w:color="auto" w:sz="2" w:space="0"/>
              <w:left w:val="single" w:color="auto" w:sz="2" w:space="0"/>
              <w:bottom w:val="single" w:color="auto" w:sz="2" w:space="0"/>
              <w:right w:val="single" w:color="auto" w:sz="2" w:space="0"/>
            </w:tcBorders>
            <w:vAlign w:val="center"/>
          </w:tcPr>
          <w:p>
            <w:pPr>
              <w:pStyle w:val="152"/>
              <w:ind w:firstLine="0" w:firstLineChars="0"/>
              <w:rPr>
                <w:bCs/>
                <w:szCs w:val="21"/>
              </w:rPr>
            </w:pPr>
            <w:r>
              <w:rPr>
                <w:bCs/>
                <w:szCs w:val="21"/>
              </w:rPr>
              <w:t>管理体系建设</w:t>
            </w:r>
          </w:p>
        </w:tc>
        <w:tc>
          <w:tcPr>
            <w:tcW w:w="3312" w:type="pct"/>
            <w:tcBorders>
              <w:top w:val="single" w:color="auto" w:sz="2" w:space="0"/>
              <w:left w:val="single" w:color="auto" w:sz="2" w:space="0"/>
              <w:bottom w:val="single" w:color="auto" w:sz="2" w:space="0"/>
              <w:right w:val="single" w:color="auto" w:sz="2" w:space="0"/>
            </w:tcBorders>
            <w:vAlign w:val="center"/>
          </w:tcPr>
          <w:p>
            <w:pPr>
              <w:pStyle w:val="152"/>
              <w:ind w:firstLine="525" w:firstLineChars="250"/>
              <w:rPr>
                <w:bCs/>
                <w:szCs w:val="21"/>
              </w:rPr>
            </w:pPr>
            <w:r>
              <w:rPr>
                <w:rFonts w:hint="eastAsia"/>
                <w:bCs/>
                <w:szCs w:val="21"/>
              </w:rPr>
              <w:t>投标人具有有效期内的质量管理体系认证证书、环境健康管理体系认证证书、职业健康安全管理体系认证证书每有</w:t>
            </w:r>
            <w:r>
              <w:rPr>
                <w:bCs/>
                <w:szCs w:val="21"/>
              </w:rPr>
              <w:t>1</w:t>
            </w:r>
            <w:r>
              <w:rPr>
                <w:rFonts w:hint="eastAsia"/>
                <w:bCs/>
                <w:szCs w:val="21"/>
              </w:rPr>
              <w:t>个得</w:t>
            </w:r>
            <w:r>
              <w:rPr>
                <w:bCs/>
                <w:szCs w:val="21"/>
              </w:rPr>
              <w:t>2</w:t>
            </w:r>
            <w:r>
              <w:rPr>
                <w:rFonts w:hint="eastAsia"/>
                <w:bCs/>
                <w:szCs w:val="21"/>
              </w:rPr>
              <w:t>分，最多得6分。（认证内容含本项目物业管理类，提供证书复印件及全</w:t>
            </w:r>
            <w:r>
              <w:rPr>
                <w:bCs/>
                <w:szCs w:val="21"/>
              </w:rPr>
              <w:t>国认证认可信息</w:t>
            </w:r>
            <w:r>
              <w:rPr>
                <w:rFonts w:hint="eastAsia"/>
                <w:bCs/>
                <w:szCs w:val="21"/>
              </w:rPr>
              <w:t>公共</w:t>
            </w:r>
            <w:r>
              <w:rPr>
                <w:bCs/>
                <w:szCs w:val="21"/>
              </w:rPr>
              <w:t>服务平台</w:t>
            </w:r>
            <w:r>
              <w:rPr>
                <w:rFonts w:hint="eastAsia"/>
                <w:bCs/>
                <w:szCs w:val="21"/>
              </w:rPr>
              <w:t>查询有效的网页截图，加盖投标人公章。）</w:t>
            </w:r>
          </w:p>
        </w:tc>
        <w:tc>
          <w:tcPr>
            <w:tcW w:w="397" w:type="pct"/>
            <w:tcBorders>
              <w:top w:val="single" w:color="auto" w:sz="2" w:space="0"/>
              <w:left w:val="single" w:color="auto" w:sz="2" w:space="0"/>
              <w:bottom w:val="single" w:color="auto" w:sz="2" w:space="0"/>
              <w:right w:val="single" w:color="auto" w:sz="2" w:space="0"/>
            </w:tcBorders>
            <w:vAlign w:val="center"/>
          </w:tcPr>
          <w:p>
            <w:pPr>
              <w:pStyle w:val="152"/>
              <w:ind w:firstLine="0" w:firstLineChars="0"/>
              <w:rPr>
                <w:bCs/>
                <w:szCs w:val="21"/>
              </w:rPr>
            </w:pPr>
            <w:r>
              <w:rPr>
                <w:rFonts w:hint="eastAsia"/>
                <w:bCs/>
                <w:szCs w:val="21"/>
              </w:rPr>
              <w:t>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trPr>
        <w:tc>
          <w:tcPr>
            <w:tcW w:w="423" w:type="pct"/>
            <w:tcBorders>
              <w:top w:val="single" w:color="auto" w:sz="2" w:space="0"/>
              <w:left w:val="single" w:color="auto" w:sz="2" w:space="0"/>
              <w:bottom w:val="single" w:color="auto" w:sz="2" w:space="0"/>
              <w:right w:val="single" w:color="auto" w:sz="2" w:space="0"/>
            </w:tcBorders>
            <w:vAlign w:val="center"/>
          </w:tcPr>
          <w:p>
            <w:pPr>
              <w:pStyle w:val="152"/>
              <w:ind w:firstLine="0" w:firstLineChars="0"/>
              <w:rPr>
                <w:bCs/>
                <w:szCs w:val="21"/>
              </w:rPr>
            </w:pPr>
            <w:r>
              <w:rPr>
                <w:rFonts w:hint="eastAsia"/>
                <w:bCs/>
                <w:szCs w:val="21"/>
              </w:rPr>
              <w:t>评审委员会成员</w:t>
            </w:r>
          </w:p>
        </w:tc>
        <w:tc>
          <w:tcPr>
            <w:tcW w:w="867" w:type="pct"/>
            <w:tcBorders>
              <w:top w:val="single" w:color="auto" w:sz="2" w:space="0"/>
              <w:left w:val="single" w:color="auto" w:sz="2" w:space="0"/>
              <w:bottom w:val="single" w:color="auto" w:sz="2" w:space="0"/>
              <w:right w:val="single" w:color="auto" w:sz="2" w:space="0"/>
            </w:tcBorders>
            <w:vAlign w:val="center"/>
          </w:tcPr>
          <w:p>
            <w:pPr>
              <w:pStyle w:val="152"/>
              <w:ind w:firstLine="0" w:firstLineChars="0"/>
              <w:rPr>
                <w:bCs/>
                <w:szCs w:val="21"/>
              </w:rPr>
            </w:pPr>
            <w:r>
              <w:rPr>
                <w:bCs/>
                <w:szCs w:val="21"/>
              </w:rPr>
              <w:t>项目人员从业经验</w:t>
            </w:r>
          </w:p>
        </w:tc>
        <w:tc>
          <w:tcPr>
            <w:tcW w:w="3312" w:type="pct"/>
            <w:tcBorders>
              <w:top w:val="single" w:color="auto" w:sz="2" w:space="0"/>
              <w:left w:val="single" w:color="auto" w:sz="2" w:space="0"/>
              <w:bottom w:val="single" w:color="auto" w:sz="2" w:space="0"/>
              <w:right w:val="single" w:color="auto" w:sz="2" w:space="0"/>
            </w:tcBorders>
            <w:vAlign w:val="center"/>
          </w:tcPr>
          <w:p>
            <w:pPr>
              <w:pStyle w:val="152"/>
              <w:ind w:firstLine="0" w:firstLineChars="0"/>
              <w:rPr>
                <w:bCs/>
                <w:szCs w:val="21"/>
              </w:rPr>
            </w:pPr>
            <w:r>
              <w:rPr>
                <w:rFonts w:hint="eastAsia"/>
                <w:bCs/>
                <w:szCs w:val="21"/>
              </w:rPr>
              <w:t>1、项目主管，具有大专（含）以上文化程度，两年以上工作经验，每有一人得1分，最多2分；</w:t>
            </w:r>
          </w:p>
          <w:p>
            <w:pPr>
              <w:pStyle w:val="152"/>
              <w:ind w:firstLine="0" w:firstLineChars="0"/>
              <w:rPr>
                <w:bCs/>
                <w:szCs w:val="21"/>
              </w:rPr>
            </w:pPr>
            <w:r>
              <w:rPr>
                <w:rFonts w:hint="eastAsia"/>
                <w:bCs/>
                <w:szCs w:val="21"/>
              </w:rPr>
              <w:t>2、拟派遣的人员具有退役军人证，每有一人得1分，最多</w:t>
            </w:r>
            <w:r>
              <w:rPr>
                <w:bCs/>
                <w:szCs w:val="21"/>
              </w:rPr>
              <w:t>4</w:t>
            </w:r>
            <w:r>
              <w:rPr>
                <w:rFonts w:hint="eastAsia"/>
                <w:bCs/>
                <w:szCs w:val="21"/>
              </w:rPr>
              <w:t>分；</w:t>
            </w:r>
          </w:p>
          <w:p>
            <w:pPr>
              <w:pStyle w:val="152"/>
              <w:ind w:firstLine="0" w:firstLineChars="0"/>
              <w:rPr>
                <w:bCs/>
                <w:szCs w:val="21"/>
              </w:rPr>
            </w:pPr>
            <w:r>
              <w:rPr>
                <w:rFonts w:hint="eastAsia"/>
                <w:bCs/>
                <w:szCs w:val="21"/>
              </w:rPr>
              <w:t>3、拟派遣人员具有电工操作(上岗)证，每有一人得1分，最多2分，如具有高压电工操作(上岗)证加</w:t>
            </w:r>
            <w:r>
              <w:rPr>
                <w:bCs/>
                <w:szCs w:val="21"/>
              </w:rPr>
              <w:t>2</w:t>
            </w:r>
            <w:r>
              <w:rPr>
                <w:rFonts w:hint="eastAsia"/>
                <w:bCs/>
                <w:szCs w:val="21"/>
              </w:rPr>
              <w:t>分，本项最多</w:t>
            </w:r>
            <w:r>
              <w:rPr>
                <w:bCs/>
                <w:szCs w:val="21"/>
              </w:rPr>
              <w:t>4</w:t>
            </w:r>
            <w:r>
              <w:rPr>
                <w:rFonts w:hint="eastAsia"/>
                <w:bCs/>
                <w:szCs w:val="21"/>
              </w:rPr>
              <w:t>分；</w:t>
            </w:r>
          </w:p>
          <w:p>
            <w:pPr>
              <w:pStyle w:val="152"/>
              <w:ind w:firstLine="0" w:firstLineChars="0"/>
              <w:rPr>
                <w:bCs/>
                <w:szCs w:val="21"/>
              </w:rPr>
            </w:pPr>
            <w:r>
              <w:rPr>
                <w:rFonts w:hint="eastAsia"/>
                <w:bCs/>
                <w:szCs w:val="21"/>
              </w:rPr>
              <w:t>4、拟派遣人员具有园艺师(或类似园林、绿化类的证书)证书，每有一人得1分，最多得2分；</w:t>
            </w:r>
          </w:p>
          <w:p>
            <w:pPr>
              <w:pStyle w:val="152"/>
              <w:ind w:firstLine="0" w:firstLineChars="0"/>
              <w:rPr>
                <w:bCs/>
                <w:szCs w:val="21"/>
              </w:rPr>
            </w:pPr>
            <w:r>
              <w:rPr>
                <w:rFonts w:hint="eastAsia"/>
                <w:bCs/>
                <w:szCs w:val="21"/>
              </w:rPr>
              <w:t>以上需提供相关证书及履职证明材料，</w:t>
            </w:r>
            <w:r>
              <w:rPr>
                <w:bCs/>
                <w:szCs w:val="21"/>
              </w:rPr>
              <w:t>不提供不得分。</w:t>
            </w:r>
          </w:p>
        </w:tc>
        <w:tc>
          <w:tcPr>
            <w:tcW w:w="397" w:type="pct"/>
            <w:tcBorders>
              <w:top w:val="single" w:color="auto" w:sz="2" w:space="0"/>
              <w:left w:val="single" w:color="auto" w:sz="2" w:space="0"/>
              <w:bottom w:val="single" w:color="auto" w:sz="2" w:space="0"/>
              <w:right w:val="single" w:color="auto" w:sz="2" w:space="0"/>
            </w:tcBorders>
            <w:vAlign w:val="center"/>
          </w:tcPr>
          <w:p>
            <w:pPr>
              <w:pStyle w:val="152"/>
              <w:ind w:firstLine="0" w:firstLineChars="0"/>
              <w:rPr>
                <w:bCs/>
                <w:szCs w:val="21"/>
              </w:rPr>
            </w:pPr>
            <w:r>
              <w:rPr>
                <w:rFonts w:hint="eastAsia"/>
                <w:bCs/>
                <w:szCs w:val="21"/>
              </w:rPr>
              <w:t>12</w:t>
            </w:r>
            <w:r>
              <w:rPr>
                <w:bCs/>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 w:type="pct"/>
            <w:tcBorders>
              <w:top w:val="single" w:color="auto" w:sz="2" w:space="0"/>
              <w:left w:val="single" w:color="auto" w:sz="2" w:space="0"/>
              <w:bottom w:val="single" w:color="auto" w:sz="2" w:space="0"/>
              <w:right w:val="single" w:color="auto" w:sz="2" w:space="0"/>
            </w:tcBorders>
            <w:vAlign w:val="center"/>
          </w:tcPr>
          <w:p>
            <w:pPr>
              <w:pStyle w:val="152"/>
              <w:ind w:firstLine="0" w:firstLineChars="0"/>
              <w:rPr>
                <w:bCs/>
                <w:szCs w:val="21"/>
              </w:rPr>
            </w:pPr>
            <w:r>
              <w:rPr>
                <w:rFonts w:hint="eastAsia"/>
                <w:bCs/>
                <w:szCs w:val="21"/>
              </w:rPr>
              <w:t>评审委员会成员</w:t>
            </w:r>
          </w:p>
        </w:tc>
        <w:tc>
          <w:tcPr>
            <w:tcW w:w="867" w:type="pct"/>
            <w:tcBorders>
              <w:top w:val="single" w:color="auto" w:sz="2" w:space="0"/>
              <w:left w:val="single" w:color="auto" w:sz="2" w:space="0"/>
              <w:bottom w:val="single" w:color="auto" w:sz="2" w:space="0"/>
              <w:right w:val="single" w:color="auto" w:sz="2" w:space="0"/>
            </w:tcBorders>
            <w:vAlign w:val="center"/>
          </w:tcPr>
          <w:p>
            <w:pPr>
              <w:pStyle w:val="152"/>
              <w:ind w:firstLine="199" w:firstLineChars="95"/>
              <w:rPr>
                <w:bCs/>
                <w:szCs w:val="21"/>
              </w:rPr>
            </w:pPr>
            <w:r>
              <w:rPr>
                <w:bCs/>
                <w:szCs w:val="21"/>
              </w:rPr>
              <w:t>保险配置</w:t>
            </w:r>
          </w:p>
        </w:tc>
        <w:tc>
          <w:tcPr>
            <w:tcW w:w="3312" w:type="pct"/>
            <w:tcBorders>
              <w:top w:val="single" w:color="auto" w:sz="2" w:space="0"/>
              <w:left w:val="single" w:color="auto" w:sz="2" w:space="0"/>
              <w:bottom w:val="single" w:color="auto" w:sz="2" w:space="0"/>
              <w:right w:val="single" w:color="auto" w:sz="2" w:space="0"/>
            </w:tcBorders>
            <w:vAlign w:val="center"/>
          </w:tcPr>
          <w:p>
            <w:pPr>
              <w:pStyle w:val="152"/>
              <w:ind w:firstLine="420"/>
              <w:rPr>
                <w:rFonts w:hint="eastAsia" w:eastAsia="宋体"/>
                <w:bCs/>
                <w:szCs w:val="21"/>
                <w:lang w:eastAsia="zh-CN"/>
              </w:rPr>
            </w:pPr>
            <w:r>
              <w:rPr>
                <w:bCs/>
                <w:szCs w:val="21"/>
              </w:rPr>
              <w:t>投标人承诺为此次服务公共区域购置的公共责任险能充分满足公共责任赔</w:t>
            </w:r>
            <w:r>
              <w:rPr>
                <w:rFonts w:hint="eastAsia"/>
                <w:bCs/>
                <w:szCs w:val="21"/>
              </w:rPr>
              <w:t>付</w:t>
            </w:r>
            <w:r>
              <w:rPr>
                <w:bCs/>
                <w:szCs w:val="21"/>
              </w:rPr>
              <w:t>责任的得1分</w:t>
            </w:r>
            <w:r>
              <w:rPr>
                <w:rFonts w:hint="eastAsia"/>
                <w:bCs/>
                <w:szCs w:val="21"/>
              </w:rPr>
              <w:t>（提供承诺函，未提供不得分）</w:t>
            </w:r>
            <w:r>
              <w:rPr>
                <w:rFonts w:hint="eastAsia"/>
                <w:bCs/>
                <w:szCs w:val="21"/>
                <w:lang w:eastAsia="zh-CN"/>
              </w:rPr>
              <w:t>。</w:t>
            </w:r>
          </w:p>
        </w:tc>
        <w:tc>
          <w:tcPr>
            <w:tcW w:w="397" w:type="pct"/>
            <w:tcBorders>
              <w:top w:val="single" w:color="auto" w:sz="2" w:space="0"/>
              <w:left w:val="single" w:color="auto" w:sz="2" w:space="0"/>
              <w:bottom w:val="single" w:color="auto" w:sz="2" w:space="0"/>
              <w:right w:val="single" w:color="auto" w:sz="2" w:space="0"/>
            </w:tcBorders>
            <w:vAlign w:val="center"/>
          </w:tcPr>
          <w:p>
            <w:pPr>
              <w:pStyle w:val="152"/>
              <w:ind w:firstLine="0" w:firstLineChars="0"/>
              <w:rPr>
                <w:bCs/>
                <w:szCs w:val="21"/>
              </w:rPr>
            </w:pPr>
            <w:r>
              <w:rPr>
                <w:rFonts w:hint="eastAsia"/>
                <w:bCs/>
                <w:szCs w:val="21"/>
              </w:rPr>
              <w:t>1</w:t>
            </w:r>
            <w:r>
              <w:rPr>
                <w:bCs/>
                <w:szCs w:val="21"/>
              </w:rPr>
              <w:t>分</w:t>
            </w:r>
          </w:p>
        </w:tc>
      </w:tr>
    </w:tbl>
    <w:p>
      <w:pPr>
        <w:spacing w:line="560" w:lineRule="exact"/>
        <w:ind w:firstLine="560" w:firstLineChars="200"/>
        <w:rPr>
          <w:rFonts w:ascii="宋体" w:hAnsi="宋体"/>
          <w:color w:val="000000" w:themeColor="text1"/>
          <w:sz w:val="28"/>
          <w14:textFill>
            <w14:solidFill>
              <w14:schemeClr w14:val="tx1"/>
            </w14:solidFill>
          </w14:textFill>
        </w:rPr>
      </w:pPr>
      <w:r>
        <w:rPr>
          <w:rFonts w:hint="eastAsia" w:ascii="宋体" w:hAnsi="宋体"/>
          <w:color w:val="000000" w:themeColor="text1"/>
          <w:sz w:val="28"/>
          <w14:textFill>
            <w14:solidFill>
              <w14:schemeClr w14:val="tx1"/>
            </w14:solidFill>
          </w14:textFill>
        </w:rPr>
        <w:t>说明：</w:t>
      </w:r>
    </w:p>
    <w:p>
      <w:pPr>
        <w:spacing w:line="560" w:lineRule="exact"/>
        <w:ind w:firstLine="560" w:firstLineChars="200"/>
        <w:rPr>
          <w:rFonts w:ascii="宋体" w:hAnsi="宋体"/>
          <w:color w:val="000000" w:themeColor="text1"/>
          <w:sz w:val="28"/>
          <w14:textFill>
            <w14:solidFill>
              <w14:schemeClr w14:val="tx1"/>
            </w14:solidFill>
          </w14:textFill>
        </w:rPr>
      </w:pPr>
      <w:r>
        <w:rPr>
          <w:rFonts w:hint="eastAsia" w:ascii="宋体" w:hAnsi="宋体"/>
          <w:color w:val="000000" w:themeColor="text1"/>
          <w:sz w:val="28"/>
          <w14:textFill>
            <w14:solidFill>
              <w14:schemeClr w14:val="tx1"/>
            </w14:solidFill>
          </w14:textFill>
        </w:rPr>
        <w:t>1、评分的取值按四舍五入法，保留小数点后两位；</w:t>
      </w:r>
    </w:p>
    <w:p>
      <w:pPr>
        <w:spacing w:line="560" w:lineRule="exact"/>
        <w:ind w:firstLine="560" w:firstLineChars="200"/>
        <w:rPr>
          <w:rFonts w:ascii="宋体" w:hAnsi="宋体"/>
          <w:color w:val="000000" w:themeColor="text1"/>
          <w:sz w:val="28"/>
          <w14:textFill>
            <w14:solidFill>
              <w14:schemeClr w14:val="tx1"/>
            </w14:solidFill>
          </w14:textFill>
        </w:rPr>
      </w:pPr>
      <w:r>
        <w:rPr>
          <w:rFonts w:hint="eastAsia" w:ascii="宋体" w:hAnsi="宋体"/>
          <w:color w:val="000000" w:themeColor="text1"/>
          <w:sz w:val="28"/>
          <w14:textFill>
            <w14:solidFill>
              <w14:schemeClr w14:val="tx1"/>
            </w14:solidFill>
          </w14:textFill>
        </w:rPr>
        <w:t>2、评分标准中要求提供复印件的证明材料须清晰可辨。</w:t>
      </w:r>
    </w:p>
    <w:p>
      <w:pPr>
        <w:spacing w:line="560" w:lineRule="exact"/>
        <w:rPr>
          <w:rFonts w:ascii="宋体" w:hAnsi="宋体"/>
          <w:color w:val="000000" w:themeColor="text1"/>
          <w:sz w:val="28"/>
          <w14:textFill>
            <w14:solidFill>
              <w14:schemeClr w14:val="tx1"/>
            </w14:solidFill>
          </w14:textFill>
        </w:rPr>
      </w:pPr>
    </w:p>
    <w:p>
      <w:pPr>
        <w:spacing w:line="560" w:lineRule="exact"/>
        <w:rPr>
          <w:rFonts w:ascii="宋体" w:hAnsi="宋体"/>
          <w:b/>
          <w:bCs/>
          <w:color w:val="000000" w:themeColor="text1"/>
          <w:sz w:val="28"/>
          <w14:textFill>
            <w14:solidFill>
              <w14:schemeClr w14:val="tx1"/>
            </w14:solidFill>
          </w14:textFill>
        </w:rPr>
      </w:pPr>
      <w:r>
        <w:rPr>
          <w:rFonts w:hint="eastAsia" w:ascii="宋体" w:hAnsi="宋体"/>
          <w:b/>
          <w:bCs/>
          <w:color w:val="000000" w:themeColor="text1"/>
          <w:sz w:val="28"/>
          <w14:textFill>
            <w14:solidFill>
              <w14:schemeClr w14:val="tx1"/>
            </w14:solidFill>
          </w14:textFill>
        </w:rPr>
        <w:t>包件2：</w:t>
      </w:r>
    </w:p>
    <w:tbl>
      <w:tblPr>
        <w:tblStyle w:val="4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9"/>
        <w:gridCol w:w="1425"/>
        <w:gridCol w:w="5642"/>
        <w:gridCol w:w="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 w:type="pct"/>
            <w:tcBorders>
              <w:top w:val="single" w:color="auto" w:sz="2" w:space="0"/>
              <w:left w:val="single" w:color="auto" w:sz="2" w:space="0"/>
              <w:bottom w:val="single" w:color="auto" w:sz="2" w:space="0"/>
              <w:right w:val="single" w:color="auto" w:sz="2" w:space="0"/>
            </w:tcBorders>
            <w:vAlign w:val="center"/>
          </w:tcPr>
          <w:p>
            <w:pPr>
              <w:pStyle w:val="152"/>
              <w:ind w:firstLine="0" w:firstLineChars="0"/>
              <w:rPr>
                <w:szCs w:val="21"/>
              </w:rPr>
            </w:pPr>
            <w:r>
              <w:rPr>
                <w:rFonts w:hint="eastAsia"/>
                <w:bCs/>
                <w:szCs w:val="21"/>
              </w:rPr>
              <w:t>评委类别</w:t>
            </w:r>
          </w:p>
        </w:tc>
        <w:tc>
          <w:tcPr>
            <w:tcW w:w="836" w:type="pct"/>
            <w:tcBorders>
              <w:top w:val="single" w:color="auto" w:sz="2" w:space="0"/>
              <w:left w:val="single" w:color="auto" w:sz="2" w:space="0"/>
              <w:bottom w:val="single" w:color="auto" w:sz="2" w:space="0"/>
              <w:right w:val="single" w:color="auto" w:sz="2" w:space="0"/>
            </w:tcBorders>
            <w:vAlign w:val="center"/>
          </w:tcPr>
          <w:p>
            <w:pPr>
              <w:pStyle w:val="152"/>
              <w:ind w:firstLine="0" w:firstLineChars="0"/>
              <w:rPr>
                <w:szCs w:val="21"/>
              </w:rPr>
            </w:pPr>
            <w:r>
              <w:rPr>
                <w:szCs w:val="21"/>
              </w:rPr>
              <w:t>评审项目</w:t>
            </w:r>
          </w:p>
        </w:tc>
        <w:tc>
          <w:tcPr>
            <w:tcW w:w="3311" w:type="pct"/>
            <w:tcBorders>
              <w:top w:val="single" w:color="auto" w:sz="2" w:space="0"/>
              <w:left w:val="single" w:color="auto" w:sz="2" w:space="0"/>
              <w:bottom w:val="single" w:color="auto" w:sz="2" w:space="0"/>
              <w:right w:val="single" w:color="auto" w:sz="2" w:space="0"/>
            </w:tcBorders>
            <w:vAlign w:val="center"/>
          </w:tcPr>
          <w:p>
            <w:pPr>
              <w:pStyle w:val="152"/>
              <w:ind w:firstLine="174" w:firstLineChars="83"/>
              <w:rPr>
                <w:szCs w:val="21"/>
              </w:rPr>
            </w:pPr>
            <w:r>
              <w:rPr>
                <w:szCs w:val="21"/>
              </w:rPr>
              <w:t>评分标准</w:t>
            </w:r>
          </w:p>
        </w:tc>
        <w:tc>
          <w:tcPr>
            <w:tcW w:w="412" w:type="pct"/>
            <w:tcBorders>
              <w:top w:val="single" w:color="auto" w:sz="2" w:space="0"/>
              <w:left w:val="single" w:color="auto" w:sz="2" w:space="0"/>
              <w:bottom w:val="single" w:color="auto" w:sz="2" w:space="0"/>
              <w:right w:val="single" w:color="auto" w:sz="2" w:space="0"/>
            </w:tcBorders>
            <w:vAlign w:val="center"/>
          </w:tcPr>
          <w:p>
            <w:pPr>
              <w:pStyle w:val="152"/>
              <w:ind w:firstLine="0" w:firstLineChars="0"/>
              <w:rPr>
                <w:szCs w:val="21"/>
              </w:rPr>
            </w:pPr>
            <w:r>
              <w:rPr>
                <w:szCs w:val="21"/>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 w:type="pct"/>
            <w:tcBorders>
              <w:top w:val="single" w:color="auto" w:sz="2" w:space="0"/>
              <w:left w:val="single" w:color="auto" w:sz="2" w:space="0"/>
              <w:bottom w:val="single" w:color="auto" w:sz="2" w:space="0"/>
              <w:right w:val="single" w:color="auto" w:sz="2" w:space="0"/>
            </w:tcBorders>
            <w:vAlign w:val="center"/>
          </w:tcPr>
          <w:p>
            <w:pPr>
              <w:pStyle w:val="152"/>
              <w:ind w:firstLine="0" w:firstLineChars="0"/>
              <w:rPr>
                <w:szCs w:val="21"/>
              </w:rPr>
            </w:pPr>
            <w:r>
              <w:rPr>
                <w:rFonts w:hint="eastAsia"/>
                <w:bCs/>
                <w:szCs w:val="21"/>
              </w:rPr>
              <w:t>评审委员会成员</w:t>
            </w:r>
          </w:p>
        </w:tc>
        <w:tc>
          <w:tcPr>
            <w:tcW w:w="836" w:type="pct"/>
            <w:tcBorders>
              <w:top w:val="single" w:color="auto" w:sz="2" w:space="0"/>
              <w:left w:val="single" w:color="auto" w:sz="2" w:space="0"/>
              <w:bottom w:val="single" w:color="auto" w:sz="2" w:space="0"/>
              <w:right w:val="single" w:color="auto" w:sz="2" w:space="0"/>
            </w:tcBorders>
            <w:vAlign w:val="center"/>
          </w:tcPr>
          <w:p>
            <w:pPr>
              <w:pStyle w:val="152"/>
              <w:ind w:firstLine="0" w:firstLineChars="0"/>
              <w:rPr>
                <w:szCs w:val="21"/>
              </w:rPr>
            </w:pPr>
            <w:r>
              <w:rPr>
                <w:szCs w:val="21"/>
              </w:rPr>
              <w:t>投标报价得分</w:t>
            </w:r>
          </w:p>
        </w:tc>
        <w:tc>
          <w:tcPr>
            <w:tcW w:w="3311" w:type="pct"/>
            <w:tcBorders>
              <w:top w:val="single" w:color="auto" w:sz="2" w:space="0"/>
              <w:left w:val="single" w:color="auto" w:sz="2" w:space="0"/>
              <w:bottom w:val="single" w:color="auto" w:sz="2" w:space="0"/>
              <w:right w:val="single" w:color="auto" w:sz="2" w:space="0"/>
            </w:tcBorders>
            <w:vAlign w:val="center"/>
          </w:tcPr>
          <w:p>
            <w:pPr>
              <w:spacing w:line="360" w:lineRule="auto"/>
              <w:rPr>
                <w:rFonts w:ascii="宋体" w:hAnsi="宋体" w:cs="宋体"/>
                <w:bCs/>
                <w:szCs w:val="21"/>
              </w:rPr>
            </w:pPr>
            <w:r>
              <w:rPr>
                <w:rFonts w:hint="eastAsia" w:ascii="宋体" w:hAnsi="宋体" w:cs="宋体"/>
                <w:bCs/>
                <w:szCs w:val="21"/>
              </w:rPr>
              <w:t>1、投标人如为监狱企业、小型和微型企业、残疾人福利性企业的，则给予其投标报价10%的价格扣除，用扣除后的价格参与评审；[说明：投标人为监狱企业的，提供由省级以上监狱管理局、戒毒管理局（含新疆生产建设兵团）出具的投标人属于监狱企业的证明文件复印件。]</w:t>
            </w:r>
          </w:p>
          <w:p>
            <w:pPr>
              <w:spacing w:line="360" w:lineRule="auto"/>
              <w:rPr>
                <w:rFonts w:ascii="宋体" w:hAnsi="宋体" w:cs="宋体"/>
                <w:bCs/>
                <w:szCs w:val="21"/>
              </w:rPr>
            </w:pPr>
            <w:r>
              <w:rPr>
                <w:rFonts w:hint="eastAsia" w:ascii="宋体" w:hAnsi="宋体" w:cs="宋体"/>
                <w:bCs/>
                <w:szCs w:val="21"/>
              </w:rPr>
              <w:t>2、经评标委员会评审，通过资格性和符合性审查，且投标报价最低的投标人的投标报价作为评标基准价；</w:t>
            </w:r>
          </w:p>
          <w:p>
            <w:pPr>
              <w:pStyle w:val="152"/>
              <w:ind w:firstLine="0" w:firstLineChars="0"/>
              <w:rPr>
                <w:szCs w:val="21"/>
              </w:rPr>
            </w:pPr>
            <w:r>
              <w:rPr>
                <w:rFonts w:hint="eastAsia" w:ascii="宋体" w:hAnsi="宋体" w:cs="宋体"/>
                <w:bCs/>
                <w:szCs w:val="21"/>
              </w:rPr>
              <w:t>3、投标报价得分=(评标基准价／投标报价)×2</w:t>
            </w:r>
            <w:r>
              <w:rPr>
                <w:rFonts w:hint="eastAsia" w:ascii="宋体" w:hAnsi="宋体" w:cs="宋体"/>
                <w:bCs/>
                <w:szCs w:val="21"/>
                <w:lang w:val="en-US" w:eastAsia="zh-CN"/>
              </w:rPr>
              <w:t>9</w:t>
            </w:r>
            <w:r>
              <w:rPr>
                <w:rFonts w:hint="eastAsia" w:ascii="宋体" w:hAnsi="宋体" w:cs="宋体"/>
                <w:bCs/>
                <w:szCs w:val="21"/>
              </w:rPr>
              <w:t>。</w:t>
            </w:r>
          </w:p>
        </w:tc>
        <w:tc>
          <w:tcPr>
            <w:tcW w:w="412" w:type="pct"/>
            <w:tcBorders>
              <w:top w:val="single" w:color="auto" w:sz="2" w:space="0"/>
              <w:left w:val="single" w:color="auto" w:sz="2" w:space="0"/>
              <w:bottom w:val="single" w:color="auto" w:sz="2" w:space="0"/>
              <w:right w:val="single" w:color="auto" w:sz="2" w:space="0"/>
            </w:tcBorders>
            <w:vAlign w:val="center"/>
          </w:tcPr>
          <w:p>
            <w:pPr>
              <w:pStyle w:val="152"/>
              <w:ind w:firstLine="0" w:firstLineChars="0"/>
              <w:rPr>
                <w:szCs w:val="21"/>
              </w:rPr>
            </w:pPr>
            <w:r>
              <w:rPr>
                <w:rFonts w:hint="eastAsia"/>
                <w:szCs w:val="21"/>
              </w:rPr>
              <w:t>2</w:t>
            </w:r>
            <w:r>
              <w:rPr>
                <w:rFonts w:hint="eastAsia"/>
                <w:szCs w:val="21"/>
                <w:lang w:val="en-US" w:eastAsia="zh-CN"/>
              </w:rPr>
              <w:t>9</w:t>
            </w:r>
            <w:r>
              <w:rPr>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 w:type="pct"/>
            <w:tcBorders>
              <w:top w:val="single" w:color="auto" w:sz="2" w:space="0"/>
              <w:left w:val="single" w:color="auto" w:sz="2" w:space="0"/>
              <w:bottom w:val="single" w:color="auto" w:sz="2" w:space="0"/>
              <w:right w:val="single" w:color="auto" w:sz="2" w:space="0"/>
            </w:tcBorders>
            <w:vAlign w:val="center"/>
          </w:tcPr>
          <w:p>
            <w:pPr>
              <w:pStyle w:val="152"/>
              <w:ind w:firstLine="0" w:firstLineChars="0"/>
              <w:rPr>
                <w:szCs w:val="21"/>
              </w:rPr>
            </w:pPr>
            <w:r>
              <w:rPr>
                <w:rFonts w:hint="eastAsia"/>
                <w:szCs w:val="21"/>
              </w:rPr>
              <w:t>评审委员会成员</w:t>
            </w:r>
          </w:p>
        </w:tc>
        <w:tc>
          <w:tcPr>
            <w:tcW w:w="836" w:type="pct"/>
            <w:tcBorders>
              <w:top w:val="single" w:color="auto" w:sz="2" w:space="0"/>
              <w:left w:val="single" w:color="auto" w:sz="2" w:space="0"/>
              <w:bottom w:val="single" w:color="auto" w:sz="2" w:space="0"/>
              <w:right w:val="single" w:color="auto" w:sz="2" w:space="0"/>
            </w:tcBorders>
            <w:vAlign w:val="center"/>
          </w:tcPr>
          <w:p>
            <w:pPr>
              <w:pStyle w:val="152"/>
              <w:ind w:firstLine="0" w:firstLineChars="0"/>
              <w:rPr>
                <w:szCs w:val="21"/>
              </w:rPr>
            </w:pPr>
            <w:r>
              <w:rPr>
                <w:rFonts w:hint="eastAsia"/>
                <w:szCs w:val="21"/>
              </w:rPr>
              <w:t>总体方案及目标达成</w:t>
            </w:r>
          </w:p>
        </w:tc>
        <w:tc>
          <w:tcPr>
            <w:tcW w:w="3311" w:type="pct"/>
            <w:tcBorders>
              <w:top w:val="single" w:color="auto" w:sz="2" w:space="0"/>
              <w:left w:val="single" w:color="auto" w:sz="2" w:space="0"/>
              <w:bottom w:val="single" w:color="auto" w:sz="2" w:space="0"/>
              <w:right w:val="single" w:color="auto" w:sz="2" w:space="0"/>
            </w:tcBorders>
            <w:vAlign w:val="center"/>
          </w:tcPr>
          <w:p>
            <w:pPr>
              <w:pStyle w:val="152"/>
              <w:ind w:firstLine="0" w:firstLineChars="0"/>
              <w:rPr>
                <w:szCs w:val="21"/>
              </w:rPr>
            </w:pPr>
            <w:r>
              <w:rPr>
                <w:szCs w:val="21"/>
              </w:rPr>
              <w:t>方案中</w:t>
            </w:r>
            <w:r>
              <w:rPr>
                <w:rFonts w:hint="eastAsia"/>
                <w:szCs w:val="21"/>
              </w:rPr>
              <w:t>提供：（1）针对本项目的实际提出整体服务方案；（2）针对项目学校的实际情况要达成的</w:t>
            </w:r>
            <w:r>
              <w:rPr>
                <w:szCs w:val="21"/>
              </w:rPr>
              <w:t>服务目标</w:t>
            </w:r>
            <w:r>
              <w:rPr>
                <w:rFonts w:hint="eastAsia"/>
                <w:szCs w:val="21"/>
              </w:rPr>
              <w:t>；</w:t>
            </w:r>
            <w:r>
              <w:rPr>
                <w:szCs w:val="21"/>
              </w:rPr>
              <w:t>进行评分，每一项内容描述符合本项目实际需要得</w:t>
            </w:r>
            <w:r>
              <w:rPr>
                <w:rFonts w:hint="eastAsia"/>
                <w:szCs w:val="21"/>
              </w:rPr>
              <w:t>5</w:t>
            </w:r>
            <w:r>
              <w:rPr>
                <w:szCs w:val="21"/>
              </w:rPr>
              <w:t>分，最高</w:t>
            </w:r>
            <w:r>
              <w:rPr>
                <w:rFonts w:hint="eastAsia"/>
                <w:szCs w:val="21"/>
              </w:rPr>
              <w:t>10</w:t>
            </w:r>
            <w:r>
              <w:rPr>
                <w:szCs w:val="21"/>
              </w:rPr>
              <w:t>分；每有一处内容缺失或</w:t>
            </w:r>
            <w:r>
              <w:rPr>
                <w:rFonts w:hint="eastAsia"/>
                <w:szCs w:val="21"/>
              </w:rPr>
              <w:t>完全</w:t>
            </w:r>
            <w:r>
              <w:rPr>
                <w:szCs w:val="21"/>
              </w:rPr>
              <w:t>不符合项目实际需要该项不得分。</w:t>
            </w:r>
            <w:r>
              <w:rPr>
                <w:rFonts w:hint="eastAsia"/>
                <w:szCs w:val="21"/>
              </w:rPr>
              <w:t>每有一处存在缺陷或者与部分内容本项目不相符扣1分，直至该项分值扣完为止；</w:t>
            </w:r>
          </w:p>
          <w:p>
            <w:pPr>
              <w:pStyle w:val="152"/>
              <w:ind w:firstLine="0" w:firstLineChars="0"/>
              <w:rPr>
                <w:szCs w:val="21"/>
              </w:rPr>
            </w:pPr>
            <w:r>
              <w:rPr>
                <w:rFonts w:hint="eastAsia"/>
                <w:szCs w:val="21"/>
              </w:rPr>
              <w:t>注：缺陷或者部分内容本项目不相符是指:项目针对的服务对象或服务内容或实施地点或涉及的规范和标准与本项目要求不完全一致或内容不完整或进度计划超期或描述有歧义或逻辑错误或表述不清等。</w:t>
            </w:r>
          </w:p>
        </w:tc>
        <w:tc>
          <w:tcPr>
            <w:tcW w:w="412" w:type="pct"/>
            <w:tcBorders>
              <w:top w:val="single" w:color="auto" w:sz="2" w:space="0"/>
              <w:left w:val="single" w:color="auto" w:sz="2" w:space="0"/>
              <w:bottom w:val="single" w:color="auto" w:sz="2" w:space="0"/>
              <w:right w:val="single" w:color="auto" w:sz="2" w:space="0"/>
            </w:tcBorders>
            <w:vAlign w:val="center"/>
          </w:tcPr>
          <w:p>
            <w:pPr>
              <w:pStyle w:val="152"/>
              <w:ind w:firstLine="0" w:firstLineChars="0"/>
              <w:rPr>
                <w:szCs w:val="21"/>
              </w:rPr>
            </w:pPr>
            <w:r>
              <w:rPr>
                <w:rFonts w:hint="eastAsia"/>
                <w:szCs w:val="21"/>
              </w:rPr>
              <w:t>10</w:t>
            </w:r>
            <w:r>
              <w:rPr>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 w:type="pct"/>
            <w:tcBorders>
              <w:top w:val="single" w:color="auto" w:sz="2" w:space="0"/>
              <w:left w:val="single" w:color="auto" w:sz="2" w:space="0"/>
              <w:bottom w:val="single" w:color="auto" w:sz="2" w:space="0"/>
              <w:right w:val="single" w:color="auto" w:sz="2" w:space="0"/>
            </w:tcBorders>
            <w:vAlign w:val="center"/>
          </w:tcPr>
          <w:p>
            <w:pPr>
              <w:pStyle w:val="152"/>
              <w:ind w:firstLine="0" w:firstLineChars="0"/>
              <w:rPr>
                <w:szCs w:val="21"/>
              </w:rPr>
            </w:pPr>
            <w:r>
              <w:rPr>
                <w:rFonts w:hint="eastAsia"/>
                <w:szCs w:val="21"/>
              </w:rPr>
              <w:t>评审委员会成员</w:t>
            </w:r>
          </w:p>
        </w:tc>
        <w:tc>
          <w:tcPr>
            <w:tcW w:w="836" w:type="pct"/>
            <w:tcBorders>
              <w:top w:val="single" w:color="auto" w:sz="2" w:space="0"/>
              <w:left w:val="single" w:color="auto" w:sz="2" w:space="0"/>
              <w:bottom w:val="single" w:color="auto" w:sz="2" w:space="0"/>
              <w:right w:val="single" w:color="auto" w:sz="2" w:space="0"/>
            </w:tcBorders>
            <w:vAlign w:val="center"/>
          </w:tcPr>
          <w:p>
            <w:pPr>
              <w:pStyle w:val="152"/>
              <w:ind w:firstLine="0" w:firstLineChars="0"/>
              <w:rPr>
                <w:szCs w:val="21"/>
              </w:rPr>
            </w:pPr>
            <w:r>
              <w:rPr>
                <w:rFonts w:hint="eastAsia"/>
                <w:szCs w:val="21"/>
              </w:rPr>
              <w:t>详细服务</w:t>
            </w:r>
            <w:r>
              <w:rPr>
                <w:szCs w:val="21"/>
              </w:rPr>
              <w:t>方案</w:t>
            </w:r>
          </w:p>
        </w:tc>
        <w:tc>
          <w:tcPr>
            <w:tcW w:w="3311" w:type="pct"/>
            <w:tcBorders>
              <w:top w:val="single" w:color="auto" w:sz="2" w:space="0"/>
              <w:left w:val="single" w:color="auto" w:sz="2" w:space="0"/>
              <w:bottom w:val="single" w:color="auto" w:sz="2" w:space="0"/>
              <w:right w:val="single" w:color="auto" w:sz="2" w:space="0"/>
            </w:tcBorders>
            <w:vAlign w:val="center"/>
          </w:tcPr>
          <w:p>
            <w:pPr>
              <w:pStyle w:val="152"/>
              <w:ind w:firstLine="0" w:firstLineChars="0"/>
              <w:rPr>
                <w:szCs w:val="21"/>
              </w:rPr>
            </w:pPr>
            <w:r>
              <w:rPr>
                <w:rFonts w:hint="eastAsia"/>
                <w:szCs w:val="21"/>
              </w:rPr>
              <w:t>详细</w:t>
            </w:r>
            <w:r>
              <w:rPr>
                <w:szCs w:val="21"/>
              </w:rPr>
              <w:t>服务方案中对</w:t>
            </w:r>
            <w:r>
              <w:rPr>
                <w:rFonts w:hint="eastAsia"/>
                <w:szCs w:val="21"/>
              </w:rPr>
              <w:t>：（1）</w:t>
            </w:r>
            <w:r>
              <w:rPr>
                <w:szCs w:val="21"/>
              </w:rPr>
              <w:t>投标人提供</w:t>
            </w:r>
            <w:r>
              <w:rPr>
                <w:rFonts w:hint="eastAsia"/>
                <w:szCs w:val="21"/>
              </w:rPr>
              <w:t>本</w:t>
            </w:r>
            <w:r>
              <w:rPr>
                <w:szCs w:val="21"/>
              </w:rPr>
              <w:t>项目管理组织机构的工作职能运行图</w:t>
            </w:r>
            <w:r>
              <w:rPr>
                <w:rFonts w:hint="eastAsia"/>
                <w:szCs w:val="21"/>
              </w:rPr>
              <w:t>；（2）根据本项目服务内容的</w:t>
            </w:r>
            <w:r>
              <w:rPr>
                <w:szCs w:val="21"/>
              </w:rPr>
              <w:t>人员安排</w:t>
            </w:r>
            <w:r>
              <w:rPr>
                <w:rFonts w:hint="eastAsia"/>
                <w:szCs w:val="21"/>
              </w:rPr>
              <w:t>；（3）根据本项目服务对象确立的各岗位工作职责；（5）针对本项目的</w:t>
            </w:r>
            <w:r>
              <w:rPr>
                <w:szCs w:val="21"/>
              </w:rPr>
              <w:t>人员培训</w:t>
            </w:r>
            <w:r>
              <w:rPr>
                <w:rFonts w:hint="eastAsia"/>
                <w:szCs w:val="21"/>
              </w:rPr>
              <w:t>方案；（6）各岗位的内部</w:t>
            </w:r>
            <w:r>
              <w:rPr>
                <w:szCs w:val="21"/>
              </w:rPr>
              <w:t>考核办法</w:t>
            </w:r>
            <w:r>
              <w:rPr>
                <w:rFonts w:hint="eastAsia"/>
                <w:szCs w:val="21"/>
              </w:rPr>
              <w:t>；（7）</w:t>
            </w:r>
            <w:r>
              <w:rPr>
                <w:szCs w:val="21"/>
              </w:rPr>
              <w:t>重大活动</w:t>
            </w:r>
            <w:r>
              <w:rPr>
                <w:rFonts w:hint="eastAsia"/>
                <w:szCs w:val="21"/>
              </w:rPr>
              <w:t>如何与学校密切</w:t>
            </w:r>
            <w:r>
              <w:rPr>
                <w:szCs w:val="21"/>
              </w:rPr>
              <w:t>配合</w:t>
            </w:r>
            <w:r>
              <w:rPr>
                <w:rFonts w:hint="eastAsia"/>
                <w:szCs w:val="21"/>
              </w:rPr>
              <w:t>的方案</w:t>
            </w:r>
            <w:r>
              <w:rPr>
                <w:szCs w:val="21"/>
              </w:rPr>
              <w:t>等进行评分，每有一项描述完全满足项目实际需求的得</w:t>
            </w:r>
            <w:r>
              <w:rPr>
                <w:rFonts w:hint="eastAsia"/>
                <w:szCs w:val="21"/>
              </w:rPr>
              <w:t>3</w:t>
            </w:r>
            <w:r>
              <w:rPr>
                <w:szCs w:val="21"/>
              </w:rPr>
              <w:t>分，最多得</w:t>
            </w:r>
            <w:r>
              <w:rPr>
                <w:rFonts w:hint="eastAsia"/>
                <w:szCs w:val="21"/>
              </w:rPr>
              <w:t>21</w:t>
            </w:r>
            <w:r>
              <w:rPr>
                <w:szCs w:val="21"/>
              </w:rPr>
              <w:t>分；每有一项内容缺失或内容描述不能完全满足项目实际需求的，该项不得分。</w:t>
            </w:r>
            <w:r>
              <w:rPr>
                <w:rFonts w:hint="eastAsia"/>
                <w:szCs w:val="21"/>
              </w:rPr>
              <w:t>每有一处存在缺陷或者与部分内容本项目不相符扣1分，直至该项分值扣完为止；</w:t>
            </w:r>
          </w:p>
          <w:p>
            <w:pPr>
              <w:pStyle w:val="152"/>
              <w:ind w:firstLine="0" w:firstLineChars="0"/>
              <w:rPr>
                <w:szCs w:val="21"/>
              </w:rPr>
            </w:pPr>
            <w:r>
              <w:rPr>
                <w:rFonts w:hint="eastAsia"/>
                <w:szCs w:val="21"/>
              </w:rPr>
              <w:t>注：缺陷或者与部分内容本项目不相符是指:项目针对的内容或实施地点或涉及的规范和标准与本项目要求不一致或内容不完整或进度计划超期等或描述有歧义或逻辑错误或表述不清等</w:t>
            </w:r>
          </w:p>
        </w:tc>
        <w:tc>
          <w:tcPr>
            <w:tcW w:w="412" w:type="pct"/>
            <w:tcBorders>
              <w:top w:val="single" w:color="auto" w:sz="2" w:space="0"/>
              <w:left w:val="single" w:color="auto" w:sz="2" w:space="0"/>
              <w:bottom w:val="single" w:color="auto" w:sz="2" w:space="0"/>
              <w:right w:val="single" w:color="auto" w:sz="2" w:space="0"/>
            </w:tcBorders>
            <w:vAlign w:val="center"/>
          </w:tcPr>
          <w:p>
            <w:pPr>
              <w:pStyle w:val="152"/>
              <w:ind w:firstLine="0" w:firstLineChars="0"/>
              <w:rPr>
                <w:szCs w:val="21"/>
              </w:rPr>
            </w:pPr>
            <w:r>
              <w:rPr>
                <w:rFonts w:hint="eastAsia"/>
                <w:szCs w:val="21"/>
              </w:rPr>
              <w:t>21</w:t>
            </w:r>
            <w:r>
              <w:rPr>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 w:type="pct"/>
            <w:tcBorders>
              <w:top w:val="single" w:color="auto" w:sz="2" w:space="0"/>
              <w:left w:val="single" w:color="auto" w:sz="2" w:space="0"/>
              <w:bottom w:val="single" w:color="auto" w:sz="2" w:space="0"/>
              <w:right w:val="single" w:color="auto" w:sz="2" w:space="0"/>
            </w:tcBorders>
            <w:vAlign w:val="center"/>
          </w:tcPr>
          <w:p>
            <w:pPr>
              <w:pStyle w:val="152"/>
              <w:ind w:firstLine="0" w:firstLineChars="0"/>
              <w:rPr>
                <w:szCs w:val="21"/>
              </w:rPr>
            </w:pPr>
            <w:r>
              <w:rPr>
                <w:rFonts w:hint="eastAsia"/>
                <w:szCs w:val="21"/>
              </w:rPr>
              <w:t>评审委员会成员</w:t>
            </w:r>
          </w:p>
        </w:tc>
        <w:tc>
          <w:tcPr>
            <w:tcW w:w="836" w:type="pct"/>
            <w:tcBorders>
              <w:top w:val="single" w:color="auto" w:sz="2" w:space="0"/>
              <w:left w:val="single" w:color="auto" w:sz="2" w:space="0"/>
              <w:bottom w:val="single" w:color="auto" w:sz="2" w:space="0"/>
              <w:right w:val="single" w:color="auto" w:sz="2" w:space="0"/>
            </w:tcBorders>
            <w:vAlign w:val="center"/>
          </w:tcPr>
          <w:p>
            <w:pPr>
              <w:pStyle w:val="152"/>
              <w:ind w:firstLine="0" w:firstLineChars="0"/>
              <w:rPr>
                <w:szCs w:val="21"/>
              </w:rPr>
            </w:pPr>
            <w:r>
              <w:rPr>
                <w:szCs w:val="21"/>
              </w:rPr>
              <w:t>应急处理预案</w:t>
            </w:r>
          </w:p>
        </w:tc>
        <w:tc>
          <w:tcPr>
            <w:tcW w:w="3311" w:type="pct"/>
            <w:tcBorders>
              <w:top w:val="single" w:color="auto" w:sz="2" w:space="0"/>
              <w:left w:val="single" w:color="auto" w:sz="2" w:space="0"/>
              <w:bottom w:val="single" w:color="auto" w:sz="2" w:space="0"/>
              <w:right w:val="single" w:color="auto" w:sz="2" w:space="0"/>
            </w:tcBorders>
            <w:vAlign w:val="center"/>
          </w:tcPr>
          <w:p>
            <w:pPr>
              <w:pStyle w:val="152"/>
              <w:ind w:firstLine="0" w:firstLineChars="0"/>
              <w:rPr>
                <w:szCs w:val="21"/>
              </w:rPr>
            </w:pPr>
            <w:r>
              <w:rPr>
                <w:rFonts w:hint="eastAsia"/>
                <w:szCs w:val="21"/>
              </w:rPr>
              <w:t>应急处理预案中针对：（1）火灾、（2）地震、（3）公共卫生、（4）治安、（5）暴雨、（6）医疗急救、（7）反恐防爆、（8）停水、（9）停电的预防处置内容进行评分，每有一项描述完全满足项目实际需求的得</w:t>
            </w:r>
            <w:r>
              <w:rPr>
                <w:szCs w:val="21"/>
              </w:rPr>
              <w:t>1</w:t>
            </w:r>
            <w:r>
              <w:rPr>
                <w:rFonts w:hint="eastAsia"/>
                <w:szCs w:val="21"/>
              </w:rPr>
              <w:t>分，最多得</w:t>
            </w:r>
            <w:r>
              <w:rPr>
                <w:rFonts w:hint="eastAsia"/>
                <w:szCs w:val="21"/>
                <w:lang w:val="en-US" w:eastAsia="zh-CN"/>
              </w:rPr>
              <w:t>9</w:t>
            </w:r>
            <w:r>
              <w:rPr>
                <w:rFonts w:hint="eastAsia"/>
                <w:szCs w:val="21"/>
              </w:rPr>
              <w:t>分；每有一项内容缺失或内容描述不能完全满足项目实际需求的，该项扣除1分。</w:t>
            </w:r>
          </w:p>
        </w:tc>
        <w:tc>
          <w:tcPr>
            <w:tcW w:w="412" w:type="pct"/>
            <w:tcBorders>
              <w:top w:val="single" w:color="auto" w:sz="2" w:space="0"/>
              <w:left w:val="single" w:color="auto" w:sz="2" w:space="0"/>
              <w:bottom w:val="single" w:color="auto" w:sz="2" w:space="0"/>
              <w:right w:val="single" w:color="auto" w:sz="2" w:space="0"/>
            </w:tcBorders>
            <w:vAlign w:val="center"/>
          </w:tcPr>
          <w:p>
            <w:pPr>
              <w:pStyle w:val="152"/>
              <w:ind w:firstLine="0" w:firstLineChars="0"/>
              <w:rPr>
                <w:szCs w:val="21"/>
              </w:rPr>
            </w:pPr>
            <w:r>
              <w:rPr>
                <w:rFonts w:hint="eastAsia"/>
                <w:szCs w:val="21"/>
                <w:lang w:val="en-US" w:eastAsia="zh-CN"/>
              </w:rPr>
              <w:t>9</w:t>
            </w:r>
            <w:r>
              <w:rPr>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 w:type="pct"/>
            <w:tcBorders>
              <w:top w:val="single" w:color="auto" w:sz="2" w:space="0"/>
              <w:left w:val="single" w:color="auto" w:sz="2" w:space="0"/>
              <w:bottom w:val="single" w:color="auto" w:sz="2" w:space="0"/>
              <w:right w:val="single" w:color="auto" w:sz="2" w:space="0"/>
            </w:tcBorders>
            <w:vAlign w:val="center"/>
          </w:tcPr>
          <w:p>
            <w:pPr>
              <w:pStyle w:val="152"/>
              <w:ind w:firstLine="0" w:firstLineChars="0"/>
              <w:rPr>
                <w:szCs w:val="21"/>
              </w:rPr>
            </w:pPr>
            <w:r>
              <w:rPr>
                <w:rFonts w:hint="eastAsia"/>
                <w:szCs w:val="21"/>
              </w:rPr>
              <w:t>评审委员会成员</w:t>
            </w:r>
          </w:p>
        </w:tc>
        <w:tc>
          <w:tcPr>
            <w:tcW w:w="836" w:type="pct"/>
            <w:tcBorders>
              <w:top w:val="single" w:color="auto" w:sz="2" w:space="0"/>
              <w:left w:val="single" w:color="auto" w:sz="2" w:space="0"/>
              <w:bottom w:val="single" w:color="auto" w:sz="2" w:space="0"/>
              <w:right w:val="single" w:color="auto" w:sz="2" w:space="0"/>
            </w:tcBorders>
            <w:vAlign w:val="center"/>
          </w:tcPr>
          <w:p>
            <w:pPr>
              <w:pStyle w:val="152"/>
              <w:ind w:firstLine="0" w:firstLineChars="0"/>
              <w:rPr>
                <w:szCs w:val="21"/>
              </w:rPr>
            </w:pPr>
            <w:r>
              <w:rPr>
                <w:szCs w:val="21"/>
              </w:rPr>
              <w:t>物业管理经验、业绩</w:t>
            </w:r>
          </w:p>
        </w:tc>
        <w:tc>
          <w:tcPr>
            <w:tcW w:w="3311" w:type="pct"/>
            <w:tcBorders>
              <w:top w:val="single" w:color="auto" w:sz="2" w:space="0"/>
              <w:left w:val="single" w:color="auto" w:sz="2" w:space="0"/>
              <w:bottom w:val="single" w:color="auto" w:sz="2" w:space="0"/>
              <w:right w:val="single" w:color="auto" w:sz="2" w:space="0"/>
            </w:tcBorders>
            <w:vAlign w:val="center"/>
          </w:tcPr>
          <w:p>
            <w:pPr>
              <w:pStyle w:val="152"/>
              <w:ind w:firstLine="525" w:firstLineChars="250"/>
              <w:rPr>
                <w:szCs w:val="21"/>
              </w:rPr>
            </w:pPr>
            <w:r>
              <w:rPr>
                <w:rFonts w:hint="eastAsia"/>
                <w:szCs w:val="21"/>
              </w:rPr>
              <w:t>1．</w:t>
            </w:r>
            <w:r>
              <w:rPr>
                <w:szCs w:val="21"/>
              </w:rPr>
              <w:t>投标人每提供</w:t>
            </w:r>
            <w:r>
              <w:rPr>
                <w:rFonts w:hint="eastAsia"/>
                <w:szCs w:val="21"/>
              </w:rPr>
              <w:t>2020年1月1日（含1日）</w:t>
            </w:r>
            <w:r>
              <w:rPr>
                <w:szCs w:val="21"/>
              </w:rPr>
              <w:t>以</w:t>
            </w:r>
            <w:r>
              <w:rPr>
                <w:rFonts w:hint="eastAsia"/>
                <w:szCs w:val="21"/>
              </w:rPr>
              <w:t>来</w:t>
            </w:r>
            <w:r>
              <w:rPr>
                <w:szCs w:val="21"/>
              </w:rPr>
              <w:t>的类似物业服务项目业绩，</w:t>
            </w:r>
            <w:r>
              <w:rPr>
                <w:rFonts w:hint="eastAsia"/>
                <w:szCs w:val="21"/>
              </w:rPr>
              <w:t>每</w:t>
            </w:r>
            <w:r>
              <w:rPr>
                <w:szCs w:val="21"/>
              </w:rPr>
              <w:t>有1个</w:t>
            </w:r>
            <w:r>
              <w:rPr>
                <w:rFonts w:hint="eastAsia"/>
                <w:szCs w:val="21"/>
              </w:rPr>
              <w:t>业绩</w:t>
            </w:r>
            <w:r>
              <w:rPr>
                <w:szCs w:val="21"/>
              </w:rPr>
              <w:t>得</w:t>
            </w:r>
            <w:r>
              <w:rPr>
                <w:rFonts w:hint="eastAsia"/>
                <w:szCs w:val="21"/>
              </w:rPr>
              <w:t>3</w:t>
            </w:r>
            <w:r>
              <w:rPr>
                <w:szCs w:val="21"/>
              </w:rPr>
              <w:t>分，最多得</w:t>
            </w:r>
            <w:r>
              <w:rPr>
                <w:rFonts w:hint="eastAsia"/>
                <w:szCs w:val="21"/>
              </w:rPr>
              <w:t>6</w:t>
            </w:r>
            <w:r>
              <w:rPr>
                <w:szCs w:val="21"/>
              </w:rPr>
              <w:t>分，不提供不得分。</w:t>
            </w:r>
          </w:p>
          <w:p>
            <w:pPr>
              <w:pStyle w:val="152"/>
              <w:ind w:firstLine="525" w:firstLineChars="250"/>
              <w:rPr>
                <w:szCs w:val="21"/>
              </w:rPr>
            </w:pPr>
            <w:r>
              <w:rPr>
                <w:rFonts w:hint="eastAsia"/>
                <w:szCs w:val="21"/>
              </w:rPr>
              <w:t>2</w:t>
            </w:r>
            <w:r>
              <w:rPr>
                <w:szCs w:val="21"/>
              </w:rPr>
              <w:t>.</w:t>
            </w:r>
            <w:r>
              <w:rPr>
                <w:rFonts w:hint="eastAsia"/>
                <w:szCs w:val="21"/>
              </w:rPr>
              <w:t>投标人提供2020年1月1日（含1日）以来，项目业主单位出具的综合评价书面证明：每提供1个业主单位出具的书面综合评价为满意或者优秀等类似评价的证明得</w:t>
            </w:r>
            <w:r>
              <w:rPr>
                <w:szCs w:val="21"/>
              </w:rPr>
              <w:t>2</w:t>
            </w:r>
            <w:r>
              <w:rPr>
                <w:rFonts w:hint="eastAsia"/>
                <w:szCs w:val="21"/>
              </w:rPr>
              <w:t>分，最多得</w:t>
            </w:r>
            <w:r>
              <w:rPr>
                <w:szCs w:val="21"/>
              </w:rPr>
              <w:t>4</w:t>
            </w:r>
            <w:r>
              <w:rPr>
                <w:rFonts w:hint="eastAsia"/>
                <w:szCs w:val="21"/>
              </w:rPr>
              <w:t>分。</w:t>
            </w:r>
          </w:p>
          <w:p>
            <w:pPr>
              <w:pStyle w:val="152"/>
              <w:ind w:firstLine="525" w:firstLineChars="250"/>
              <w:rPr>
                <w:szCs w:val="21"/>
              </w:rPr>
            </w:pPr>
            <w:r>
              <w:rPr>
                <w:szCs w:val="21"/>
              </w:rPr>
              <w:t>（说明：①提供相应物业合同复印件</w:t>
            </w:r>
            <w:r>
              <w:rPr>
                <w:rFonts w:hint="eastAsia"/>
                <w:szCs w:val="21"/>
              </w:rPr>
              <w:t>、至少一次相关项目的费用支付凭证并</w:t>
            </w:r>
            <w:r>
              <w:rPr>
                <w:szCs w:val="21"/>
              </w:rPr>
              <w:t>加盖投标人公章；②同一个物业服务合同项目不同年度不重复得分。）</w:t>
            </w:r>
          </w:p>
        </w:tc>
        <w:tc>
          <w:tcPr>
            <w:tcW w:w="412" w:type="pct"/>
            <w:tcBorders>
              <w:top w:val="single" w:color="auto" w:sz="2" w:space="0"/>
              <w:left w:val="single" w:color="auto" w:sz="2" w:space="0"/>
              <w:bottom w:val="single" w:color="auto" w:sz="2" w:space="0"/>
              <w:right w:val="single" w:color="auto" w:sz="2" w:space="0"/>
            </w:tcBorders>
            <w:vAlign w:val="center"/>
          </w:tcPr>
          <w:p>
            <w:pPr>
              <w:pStyle w:val="152"/>
              <w:ind w:firstLine="0" w:firstLineChars="0"/>
              <w:rPr>
                <w:szCs w:val="21"/>
              </w:rPr>
            </w:pPr>
            <w:r>
              <w:rPr>
                <w:rFonts w:hint="eastAsia"/>
                <w:szCs w:val="21"/>
              </w:rPr>
              <w:t>10</w:t>
            </w:r>
            <w:r>
              <w:rPr>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 w:type="pct"/>
            <w:tcBorders>
              <w:top w:val="single" w:color="auto" w:sz="2" w:space="0"/>
              <w:left w:val="single" w:color="auto" w:sz="2" w:space="0"/>
              <w:bottom w:val="single" w:color="auto" w:sz="2" w:space="0"/>
              <w:right w:val="single" w:color="auto" w:sz="2" w:space="0"/>
            </w:tcBorders>
            <w:vAlign w:val="center"/>
          </w:tcPr>
          <w:p>
            <w:pPr>
              <w:pStyle w:val="152"/>
              <w:ind w:firstLine="0" w:firstLineChars="0"/>
              <w:rPr>
                <w:szCs w:val="21"/>
              </w:rPr>
            </w:pPr>
            <w:r>
              <w:rPr>
                <w:rFonts w:hint="eastAsia"/>
                <w:szCs w:val="21"/>
              </w:rPr>
              <w:t>评审委员会成员</w:t>
            </w:r>
          </w:p>
        </w:tc>
        <w:tc>
          <w:tcPr>
            <w:tcW w:w="836" w:type="pct"/>
            <w:tcBorders>
              <w:top w:val="single" w:color="auto" w:sz="2" w:space="0"/>
              <w:left w:val="single" w:color="auto" w:sz="2" w:space="0"/>
              <w:bottom w:val="single" w:color="auto" w:sz="2" w:space="0"/>
              <w:right w:val="single" w:color="auto" w:sz="2" w:space="0"/>
            </w:tcBorders>
            <w:vAlign w:val="center"/>
          </w:tcPr>
          <w:p>
            <w:pPr>
              <w:pStyle w:val="152"/>
              <w:ind w:firstLine="0" w:firstLineChars="0"/>
              <w:rPr>
                <w:szCs w:val="21"/>
              </w:rPr>
            </w:pPr>
            <w:r>
              <w:rPr>
                <w:szCs w:val="21"/>
              </w:rPr>
              <w:t>管理体系建设</w:t>
            </w:r>
          </w:p>
        </w:tc>
        <w:tc>
          <w:tcPr>
            <w:tcW w:w="3311" w:type="pct"/>
            <w:tcBorders>
              <w:top w:val="single" w:color="auto" w:sz="2" w:space="0"/>
              <w:left w:val="single" w:color="auto" w:sz="2" w:space="0"/>
              <w:bottom w:val="single" w:color="auto" w:sz="2" w:space="0"/>
              <w:right w:val="single" w:color="auto" w:sz="2" w:space="0"/>
            </w:tcBorders>
            <w:vAlign w:val="center"/>
          </w:tcPr>
          <w:p>
            <w:pPr>
              <w:pStyle w:val="152"/>
              <w:ind w:firstLine="525" w:firstLineChars="250"/>
              <w:rPr>
                <w:szCs w:val="21"/>
              </w:rPr>
            </w:pPr>
            <w:r>
              <w:rPr>
                <w:rFonts w:hint="eastAsia"/>
                <w:szCs w:val="21"/>
              </w:rPr>
              <w:t>投标人具有有效期内的质量管理体系认证证书、环境健康管理体系认证证书、职业健康安全管理体系认证证书，每有</w:t>
            </w:r>
            <w:r>
              <w:rPr>
                <w:szCs w:val="21"/>
              </w:rPr>
              <w:t>1</w:t>
            </w:r>
            <w:r>
              <w:rPr>
                <w:rFonts w:hint="eastAsia"/>
                <w:szCs w:val="21"/>
              </w:rPr>
              <w:t>个得</w:t>
            </w:r>
            <w:r>
              <w:rPr>
                <w:szCs w:val="21"/>
              </w:rPr>
              <w:t>2</w:t>
            </w:r>
            <w:r>
              <w:rPr>
                <w:rFonts w:hint="eastAsia"/>
                <w:szCs w:val="21"/>
              </w:rPr>
              <w:t>分，最多得6分。（认证内容含本项目物业管理类，提供证书复印件及全</w:t>
            </w:r>
            <w:r>
              <w:rPr>
                <w:szCs w:val="21"/>
              </w:rPr>
              <w:t>国认证认可信息</w:t>
            </w:r>
            <w:r>
              <w:rPr>
                <w:rFonts w:hint="eastAsia"/>
                <w:szCs w:val="21"/>
              </w:rPr>
              <w:t>公共</w:t>
            </w:r>
            <w:r>
              <w:rPr>
                <w:szCs w:val="21"/>
              </w:rPr>
              <w:t>服务平台</w:t>
            </w:r>
            <w:r>
              <w:rPr>
                <w:rFonts w:hint="eastAsia"/>
                <w:szCs w:val="21"/>
              </w:rPr>
              <w:t>查询有效的网页截图，加盖投标人公章。）</w:t>
            </w:r>
          </w:p>
        </w:tc>
        <w:tc>
          <w:tcPr>
            <w:tcW w:w="412" w:type="pct"/>
            <w:tcBorders>
              <w:top w:val="single" w:color="auto" w:sz="2" w:space="0"/>
              <w:left w:val="single" w:color="auto" w:sz="2" w:space="0"/>
              <w:bottom w:val="single" w:color="auto" w:sz="2" w:space="0"/>
              <w:right w:val="single" w:color="auto" w:sz="2" w:space="0"/>
            </w:tcBorders>
            <w:vAlign w:val="center"/>
          </w:tcPr>
          <w:p>
            <w:pPr>
              <w:pStyle w:val="152"/>
              <w:ind w:firstLine="0" w:firstLineChars="0"/>
              <w:rPr>
                <w:szCs w:val="21"/>
              </w:rPr>
            </w:pPr>
            <w:r>
              <w:rPr>
                <w:szCs w:val="21"/>
              </w:rPr>
              <w:t>6</w:t>
            </w:r>
            <w:r>
              <w:rPr>
                <w:rFonts w:hint="eastAsia"/>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trPr>
        <w:tc>
          <w:tcPr>
            <w:tcW w:w="439" w:type="pct"/>
            <w:tcBorders>
              <w:top w:val="single" w:color="auto" w:sz="2" w:space="0"/>
              <w:left w:val="single" w:color="auto" w:sz="2" w:space="0"/>
              <w:bottom w:val="single" w:color="auto" w:sz="2" w:space="0"/>
              <w:right w:val="single" w:color="auto" w:sz="2" w:space="0"/>
            </w:tcBorders>
            <w:vAlign w:val="center"/>
          </w:tcPr>
          <w:p>
            <w:pPr>
              <w:pStyle w:val="152"/>
              <w:ind w:firstLine="0" w:firstLineChars="0"/>
              <w:rPr>
                <w:szCs w:val="21"/>
              </w:rPr>
            </w:pPr>
            <w:r>
              <w:rPr>
                <w:rFonts w:hint="eastAsia"/>
                <w:szCs w:val="21"/>
              </w:rPr>
              <w:t>评审委员会成员</w:t>
            </w:r>
          </w:p>
        </w:tc>
        <w:tc>
          <w:tcPr>
            <w:tcW w:w="836" w:type="pct"/>
            <w:tcBorders>
              <w:top w:val="single" w:color="auto" w:sz="2" w:space="0"/>
              <w:left w:val="single" w:color="auto" w:sz="2" w:space="0"/>
              <w:bottom w:val="single" w:color="auto" w:sz="2" w:space="0"/>
              <w:right w:val="single" w:color="auto" w:sz="2" w:space="0"/>
            </w:tcBorders>
            <w:vAlign w:val="center"/>
          </w:tcPr>
          <w:p>
            <w:pPr>
              <w:pStyle w:val="152"/>
              <w:ind w:firstLine="0" w:firstLineChars="0"/>
              <w:rPr>
                <w:szCs w:val="21"/>
              </w:rPr>
            </w:pPr>
            <w:r>
              <w:rPr>
                <w:szCs w:val="21"/>
              </w:rPr>
              <w:t>项目人员从业经验</w:t>
            </w:r>
          </w:p>
        </w:tc>
        <w:tc>
          <w:tcPr>
            <w:tcW w:w="3311" w:type="pct"/>
            <w:tcBorders>
              <w:top w:val="single" w:color="auto" w:sz="2" w:space="0"/>
              <w:left w:val="single" w:color="auto" w:sz="2" w:space="0"/>
              <w:bottom w:val="single" w:color="auto" w:sz="2" w:space="0"/>
              <w:right w:val="single" w:color="auto" w:sz="2" w:space="0"/>
            </w:tcBorders>
            <w:vAlign w:val="center"/>
          </w:tcPr>
          <w:p>
            <w:pPr>
              <w:pStyle w:val="152"/>
              <w:ind w:firstLine="0" w:firstLineChars="0"/>
              <w:rPr>
                <w:szCs w:val="21"/>
              </w:rPr>
            </w:pPr>
            <w:r>
              <w:rPr>
                <w:rFonts w:hint="eastAsia"/>
                <w:szCs w:val="21"/>
              </w:rPr>
              <w:t>1、项目主管，具有大专（含）以上文化程度，两年以上工作经验，每有一人得1分，最多2分；</w:t>
            </w:r>
          </w:p>
          <w:p>
            <w:pPr>
              <w:pStyle w:val="152"/>
              <w:ind w:firstLine="0" w:firstLineChars="0"/>
              <w:rPr>
                <w:szCs w:val="21"/>
              </w:rPr>
            </w:pPr>
            <w:r>
              <w:rPr>
                <w:rFonts w:hint="eastAsia"/>
                <w:szCs w:val="21"/>
              </w:rPr>
              <w:t>2、拟派遣的人员具有退役军人证，每有一人得1分，最多</w:t>
            </w:r>
            <w:r>
              <w:rPr>
                <w:szCs w:val="21"/>
              </w:rPr>
              <w:t>3</w:t>
            </w:r>
            <w:r>
              <w:rPr>
                <w:rFonts w:hint="eastAsia"/>
                <w:szCs w:val="21"/>
              </w:rPr>
              <w:t>分；</w:t>
            </w:r>
          </w:p>
          <w:p>
            <w:pPr>
              <w:pStyle w:val="152"/>
              <w:ind w:firstLine="0" w:firstLineChars="0"/>
              <w:rPr>
                <w:szCs w:val="21"/>
              </w:rPr>
            </w:pPr>
            <w:r>
              <w:rPr>
                <w:rFonts w:hint="eastAsia"/>
                <w:szCs w:val="21"/>
              </w:rPr>
              <w:t>3、</w:t>
            </w:r>
            <w:r>
              <w:rPr>
                <w:rFonts w:hint="eastAsia"/>
                <w:bCs/>
                <w:szCs w:val="21"/>
              </w:rPr>
              <w:t>拟派遣人员具有电工操作(上岗)证，每有一人得1分，最多2分，如具有高压电工操作(上岗)证加</w:t>
            </w:r>
            <w:r>
              <w:rPr>
                <w:bCs/>
                <w:szCs w:val="21"/>
              </w:rPr>
              <w:t>2</w:t>
            </w:r>
            <w:r>
              <w:rPr>
                <w:rFonts w:hint="eastAsia"/>
                <w:bCs/>
                <w:szCs w:val="21"/>
              </w:rPr>
              <w:t>分，本项最多</w:t>
            </w:r>
            <w:r>
              <w:rPr>
                <w:bCs/>
                <w:szCs w:val="21"/>
              </w:rPr>
              <w:t>4</w:t>
            </w:r>
            <w:r>
              <w:rPr>
                <w:rFonts w:hint="eastAsia"/>
                <w:bCs/>
                <w:szCs w:val="21"/>
              </w:rPr>
              <w:t>分</w:t>
            </w:r>
            <w:r>
              <w:rPr>
                <w:rFonts w:hint="eastAsia"/>
                <w:szCs w:val="21"/>
              </w:rPr>
              <w:t>；</w:t>
            </w:r>
          </w:p>
          <w:p>
            <w:pPr>
              <w:pStyle w:val="152"/>
              <w:ind w:firstLine="0" w:firstLineChars="0"/>
              <w:rPr>
                <w:szCs w:val="21"/>
              </w:rPr>
            </w:pPr>
            <w:r>
              <w:rPr>
                <w:rFonts w:hint="eastAsia"/>
                <w:szCs w:val="21"/>
              </w:rPr>
              <w:t>4、</w:t>
            </w:r>
            <w:r>
              <w:rPr>
                <w:rFonts w:hint="eastAsia"/>
                <w:bCs/>
                <w:szCs w:val="21"/>
              </w:rPr>
              <w:t>拟</w:t>
            </w:r>
            <w:r>
              <w:rPr>
                <w:rFonts w:hint="eastAsia"/>
                <w:szCs w:val="21"/>
              </w:rPr>
              <w:t>派遣人员具有园艺师(或类似园林、绿化类的证书)证书，每有一人得1分，最多得2分；</w:t>
            </w:r>
          </w:p>
          <w:p>
            <w:pPr>
              <w:pStyle w:val="152"/>
              <w:ind w:firstLine="0" w:firstLineChars="0"/>
              <w:rPr>
                <w:szCs w:val="21"/>
              </w:rPr>
            </w:pPr>
            <w:r>
              <w:rPr>
                <w:rFonts w:hint="eastAsia"/>
                <w:szCs w:val="21"/>
              </w:rPr>
              <w:t>5、</w:t>
            </w:r>
            <w:r>
              <w:rPr>
                <w:rFonts w:hint="eastAsia"/>
                <w:bCs/>
                <w:szCs w:val="21"/>
              </w:rPr>
              <w:t>拟</w:t>
            </w:r>
            <w:r>
              <w:rPr>
                <w:rFonts w:hint="eastAsia"/>
                <w:szCs w:val="21"/>
              </w:rPr>
              <w:t>派遣的宿管具有教师资格证或心理咨询师证，有一人得1分，最多</w:t>
            </w:r>
            <w:r>
              <w:rPr>
                <w:szCs w:val="21"/>
              </w:rPr>
              <w:t>3</w:t>
            </w:r>
            <w:r>
              <w:rPr>
                <w:rFonts w:hint="eastAsia"/>
                <w:szCs w:val="21"/>
              </w:rPr>
              <w:t>分；</w:t>
            </w:r>
          </w:p>
          <w:p>
            <w:pPr>
              <w:pStyle w:val="152"/>
              <w:ind w:firstLine="0" w:firstLineChars="0"/>
              <w:rPr>
                <w:szCs w:val="21"/>
              </w:rPr>
            </w:pPr>
            <w:r>
              <w:rPr>
                <w:rFonts w:hint="eastAsia"/>
                <w:szCs w:val="21"/>
              </w:rPr>
              <w:t>以上需提供相关证书及履职证明材料，</w:t>
            </w:r>
            <w:r>
              <w:rPr>
                <w:szCs w:val="21"/>
              </w:rPr>
              <w:t>不提供不得分。</w:t>
            </w:r>
          </w:p>
        </w:tc>
        <w:tc>
          <w:tcPr>
            <w:tcW w:w="412" w:type="pct"/>
            <w:tcBorders>
              <w:top w:val="single" w:color="auto" w:sz="2" w:space="0"/>
              <w:left w:val="single" w:color="auto" w:sz="2" w:space="0"/>
              <w:bottom w:val="single" w:color="auto" w:sz="2" w:space="0"/>
              <w:right w:val="single" w:color="auto" w:sz="2" w:space="0"/>
            </w:tcBorders>
            <w:vAlign w:val="center"/>
          </w:tcPr>
          <w:p>
            <w:pPr>
              <w:pStyle w:val="152"/>
              <w:ind w:firstLine="0" w:firstLineChars="0"/>
              <w:rPr>
                <w:szCs w:val="21"/>
              </w:rPr>
            </w:pPr>
            <w:r>
              <w:rPr>
                <w:rFonts w:hint="eastAsia"/>
                <w:szCs w:val="21"/>
              </w:rPr>
              <w:t>1</w:t>
            </w:r>
            <w:r>
              <w:rPr>
                <w:szCs w:val="21"/>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 w:type="pct"/>
            <w:tcBorders>
              <w:top w:val="single" w:color="auto" w:sz="2" w:space="0"/>
              <w:left w:val="single" w:color="auto" w:sz="2" w:space="0"/>
              <w:bottom w:val="single" w:color="auto" w:sz="2" w:space="0"/>
              <w:right w:val="single" w:color="auto" w:sz="2" w:space="0"/>
            </w:tcBorders>
            <w:vAlign w:val="center"/>
          </w:tcPr>
          <w:p>
            <w:pPr>
              <w:pStyle w:val="152"/>
              <w:ind w:firstLine="0" w:firstLineChars="0"/>
              <w:rPr>
                <w:szCs w:val="21"/>
              </w:rPr>
            </w:pPr>
            <w:r>
              <w:rPr>
                <w:rFonts w:hint="eastAsia"/>
                <w:szCs w:val="21"/>
              </w:rPr>
              <w:t>评审委员会成员</w:t>
            </w:r>
          </w:p>
        </w:tc>
        <w:tc>
          <w:tcPr>
            <w:tcW w:w="836" w:type="pct"/>
            <w:tcBorders>
              <w:top w:val="single" w:color="auto" w:sz="2" w:space="0"/>
              <w:left w:val="single" w:color="auto" w:sz="2" w:space="0"/>
              <w:bottom w:val="single" w:color="auto" w:sz="2" w:space="0"/>
              <w:right w:val="single" w:color="auto" w:sz="2" w:space="0"/>
            </w:tcBorders>
            <w:vAlign w:val="center"/>
          </w:tcPr>
          <w:p>
            <w:pPr>
              <w:pStyle w:val="152"/>
              <w:ind w:firstLine="0" w:firstLineChars="0"/>
              <w:rPr>
                <w:szCs w:val="21"/>
              </w:rPr>
            </w:pPr>
            <w:r>
              <w:rPr>
                <w:szCs w:val="21"/>
              </w:rPr>
              <w:t>保险配置</w:t>
            </w:r>
          </w:p>
        </w:tc>
        <w:tc>
          <w:tcPr>
            <w:tcW w:w="3311" w:type="pct"/>
            <w:tcBorders>
              <w:top w:val="single" w:color="auto" w:sz="2" w:space="0"/>
              <w:left w:val="single" w:color="auto" w:sz="2" w:space="0"/>
              <w:bottom w:val="single" w:color="auto" w:sz="2" w:space="0"/>
              <w:right w:val="single" w:color="auto" w:sz="2" w:space="0"/>
            </w:tcBorders>
            <w:vAlign w:val="center"/>
          </w:tcPr>
          <w:p>
            <w:pPr>
              <w:pStyle w:val="152"/>
              <w:ind w:firstLine="420"/>
              <w:rPr>
                <w:szCs w:val="21"/>
              </w:rPr>
            </w:pPr>
            <w:r>
              <w:rPr>
                <w:szCs w:val="21"/>
              </w:rPr>
              <w:t>投标人承诺为此次服务公共区域购置的公共责任险能充分满足公共责任赔</w:t>
            </w:r>
            <w:r>
              <w:rPr>
                <w:rFonts w:hint="eastAsia"/>
                <w:szCs w:val="21"/>
              </w:rPr>
              <w:t>付</w:t>
            </w:r>
            <w:r>
              <w:rPr>
                <w:szCs w:val="21"/>
              </w:rPr>
              <w:t>责任的得1分</w:t>
            </w:r>
            <w:r>
              <w:rPr>
                <w:rFonts w:hint="eastAsia"/>
                <w:szCs w:val="21"/>
              </w:rPr>
              <w:t>（提供承诺函，未提供不得分）</w:t>
            </w:r>
            <w:r>
              <w:rPr>
                <w:szCs w:val="21"/>
              </w:rPr>
              <w:t>；</w:t>
            </w:r>
          </w:p>
        </w:tc>
        <w:tc>
          <w:tcPr>
            <w:tcW w:w="412" w:type="pct"/>
            <w:tcBorders>
              <w:top w:val="single" w:color="auto" w:sz="2" w:space="0"/>
              <w:left w:val="single" w:color="auto" w:sz="2" w:space="0"/>
              <w:bottom w:val="single" w:color="auto" w:sz="2" w:space="0"/>
              <w:right w:val="single" w:color="auto" w:sz="2" w:space="0"/>
            </w:tcBorders>
            <w:vAlign w:val="center"/>
          </w:tcPr>
          <w:p>
            <w:pPr>
              <w:pStyle w:val="152"/>
              <w:ind w:firstLine="0" w:firstLineChars="0"/>
              <w:rPr>
                <w:szCs w:val="21"/>
              </w:rPr>
            </w:pPr>
            <w:r>
              <w:rPr>
                <w:rFonts w:hint="eastAsia"/>
                <w:szCs w:val="21"/>
              </w:rPr>
              <w:t>1</w:t>
            </w:r>
            <w:r>
              <w:rPr>
                <w:szCs w:val="21"/>
              </w:rPr>
              <w:t>分</w:t>
            </w:r>
          </w:p>
        </w:tc>
      </w:tr>
    </w:tbl>
    <w:p>
      <w:pPr>
        <w:spacing w:line="560" w:lineRule="exact"/>
        <w:rPr>
          <w:rFonts w:ascii="宋体" w:hAnsi="宋体"/>
          <w:b/>
          <w:bCs/>
          <w:color w:val="000000" w:themeColor="text1"/>
          <w:sz w:val="28"/>
          <w14:textFill>
            <w14:solidFill>
              <w14:schemeClr w14:val="tx1"/>
            </w14:solidFill>
          </w14:textFill>
        </w:rPr>
      </w:pPr>
    </w:p>
    <w:p>
      <w:pPr>
        <w:spacing w:line="560" w:lineRule="exact"/>
        <w:rPr>
          <w:rFonts w:ascii="宋体" w:hAnsi="宋体"/>
          <w:b/>
          <w:bCs/>
          <w:color w:val="000000" w:themeColor="text1"/>
          <w:sz w:val="28"/>
          <w14:textFill>
            <w14:solidFill>
              <w14:schemeClr w14:val="tx1"/>
            </w14:solidFill>
          </w14:textFill>
        </w:rPr>
      </w:pPr>
      <w:r>
        <w:rPr>
          <w:rFonts w:hint="eastAsia" w:ascii="宋体" w:hAnsi="宋体"/>
          <w:b/>
          <w:bCs/>
          <w:color w:val="000000" w:themeColor="text1"/>
          <w:sz w:val="28"/>
          <w14:textFill>
            <w14:solidFill>
              <w14:schemeClr w14:val="tx1"/>
            </w14:solidFill>
          </w14:textFill>
        </w:rPr>
        <w:t>包件3：</w:t>
      </w:r>
    </w:p>
    <w:tbl>
      <w:tblPr>
        <w:tblStyle w:val="4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2"/>
        <w:gridCol w:w="1440"/>
        <w:gridCol w:w="5632"/>
        <w:gridCol w:w="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tcBorders>
              <w:top w:val="single" w:color="auto" w:sz="2" w:space="0"/>
              <w:left w:val="single" w:color="auto" w:sz="2" w:space="0"/>
              <w:bottom w:val="single" w:color="auto" w:sz="2" w:space="0"/>
              <w:right w:val="single" w:color="auto" w:sz="2" w:space="0"/>
            </w:tcBorders>
            <w:vAlign w:val="center"/>
          </w:tcPr>
          <w:p>
            <w:pPr>
              <w:pStyle w:val="152"/>
              <w:spacing w:line="420" w:lineRule="exact"/>
              <w:ind w:firstLine="0" w:firstLineChars="0"/>
              <w:rPr>
                <w:sz w:val="24"/>
              </w:rPr>
            </w:pPr>
            <w:r>
              <w:rPr>
                <w:rFonts w:hint="eastAsia"/>
                <w:sz w:val="24"/>
              </w:rPr>
              <w:t>评委类别</w:t>
            </w:r>
          </w:p>
        </w:tc>
        <w:tc>
          <w:tcPr>
            <w:tcW w:w="845" w:type="pct"/>
            <w:tcBorders>
              <w:top w:val="single" w:color="auto" w:sz="2" w:space="0"/>
              <w:left w:val="single" w:color="auto" w:sz="2" w:space="0"/>
              <w:bottom w:val="single" w:color="auto" w:sz="2" w:space="0"/>
              <w:right w:val="single" w:color="auto" w:sz="2" w:space="0"/>
            </w:tcBorders>
            <w:vAlign w:val="center"/>
          </w:tcPr>
          <w:p>
            <w:pPr>
              <w:pStyle w:val="152"/>
              <w:spacing w:line="420" w:lineRule="exact"/>
              <w:ind w:firstLine="0" w:firstLineChars="0"/>
              <w:rPr>
                <w:sz w:val="24"/>
              </w:rPr>
            </w:pPr>
            <w:r>
              <w:rPr>
                <w:sz w:val="24"/>
              </w:rPr>
              <w:t>评审项目</w:t>
            </w:r>
          </w:p>
        </w:tc>
        <w:tc>
          <w:tcPr>
            <w:tcW w:w="3305" w:type="pct"/>
            <w:tcBorders>
              <w:top w:val="single" w:color="auto" w:sz="2" w:space="0"/>
              <w:left w:val="single" w:color="auto" w:sz="2" w:space="0"/>
              <w:bottom w:val="single" w:color="auto" w:sz="2" w:space="0"/>
              <w:right w:val="single" w:color="auto" w:sz="2" w:space="0"/>
            </w:tcBorders>
            <w:vAlign w:val="center"/>
          </w:tcPr>
          <w:p>
            <w:pPr>
              <w:pStyle w:val="152"/>
              <w:spacing w:line="420" w:lineRule="exact"/>
              <w:ind w:firstLine="199" w:firstLineChars="83"/>
              <w:rPr>
                <w:sz w:val="24"/>
              </w:rPr>
            </w:pPr>
            <w:r>
              <w:rPr>
                <w:sz w:val="24"/>
              </w:rPr>
              <w:t>评分标准</w:t>
            </w:r>
          </w:p>
        </w:tc>
        <w:tc>
          <w:tcPr>
            <w:tcW w:w="402" w:type="pct"/>
            <w:tcBorders>
              <w:top w:val="single" w:color="auto" w:sz="2" w:space="0"/>
              <w:left w:val="single" w:color="auto" w:sz="2" w:space="0"/>
              <w:bottom w:val="single" w:color="auto" w:sz="2" w:space="0"/>
              <w:right w:val="single" w:color="auto" w:sz="2" w:space="0"/>
            </w:tcBorders>
            <w:vAlign w:val="center"/>
          </w:tcPr>
          <w:p>
            <w:pPr>
              <w:pStyle w:val="152"/>
              <w:spacing w:line="420" w:lineRule="exact"/>
              <w:ind w:firstLine="0" w:firstLineChars="0"/>
              <w:rPr>
                <w:sz w:val="24"/>
              </w:rPr>
            </w:pPr>
            <w:r>
              <w:rPr>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tcBorders>
              <w:top w:val="single" w:color="auto" w:sz="2" w:space="0"/>
              <w:left w:val="single" w:color="auto" w:sz="2" w:space="0"/>
              <w:bottom w:val="single" w:color="auto" w:sz="2" w:space="0"/>
              <w:right w:val="single" w:color="auto" w:sz="2" w:space="0"/>
            </w:tcBorders>
            <w:vAlign w:val="center"/>
          </w:tcPr>
          <w:p>
            <w:pPr>
              <w:pStyle w:val="152"/>
              <w:spacing w:line="420" w:lineRule="exact"/>
              <w:ind w:firstLine="0" w:firstLineChars="0"/>
              <w:rPr>
                <w:szCs w:val="21"/>
              </w:rPr>
            </w:pPr>
            <w:r>
              <w:rPr>
                <w:rFonts w:hint="eastAsia"/>
                <w:szCs w:val="21"/>
              </w:rPr>
              <w:t>评审委员会成员</w:t>
            </w:r>
          </w:p>
        </w:tc>
        <w:tc>
          <w:tcPr>
            <w:tcW w:w="845" w:type="pct"/>
            <w:tcBorders>
              <w:top w:val="single" w:color="auto" w:sz="2" w:space="0"/>
              <w:left w:val="single" w:color="auto" w:sz="2" w:space="0"/>
              <w:bottom w:val="single" w:color="auto" w:sz="2" w:space="0"/>
              <w:right w:val="single" w:color="auto" w:sz="2" w:space="0"/>
            </w:tcBorders>
            <w:vAlign w:val="center"/>
          </w:tcPr>
          <w:p>
            <w:pPr>
              <w:pStyle w:val="152"/>
              <w:spacing w:line="420" w:lineRule="exact"/>
              <w:ind w:firstLine="0" w:firstLineChars="0"/>
              <w:rPr>
                <w:szCs w:val="21"/>
              </w:rPr>
            </w:pPr>
            <w:r>
              <w:rPr>
                <w:szCs w:val="21"/>
              </w:rPr>
              <w:t>投标报价得分</w:t>
            </w:r>
          </w:p>
        </w:tc>
        <w:tc>
          <w:tcPr>
            <w:tcW w:w="3305" w:type="pct"/>
            <w:tcBorders>
              <w:top w:val="single" w:color="auto" w:sz="2" w:space="0"/>
              <w:left w:val="single" w:color="auto" w:sz="2" w:space="0"/>
              <w:bottom w:val="single" w:color="auto" w:sz="2" w:space="0"/>
              <w:right w:val="single" w:color="auto" w:sz="2" w:space="0"/>
            </w:tcBorders>
            <w:vAlign w:val="center"/>
          </w:tcPr>
          <w:p>
            <w:pPr>
              <w:spacing w:line="360" w:lineRule="auto"/>
              <w:rPr>
                <w:rFonts w:ascii="宋体" w:hAnsi="宋体" w:cs="宋体"/>
                <w:bCs/>
                <w:szCs w:val="21"/>
              </w:rPr>
            </w:pPr>
            <w:r>
              <w:rPr>
                <w:rFonts w:hint="eastAsia" w:ascii="宋体" w:hAnsi="宋体" w:cs="宋体"/>
                <w:bCs/>
                <w:szCs w:val="21"/>
              </w:rPr>
              <w:t>1、投标人如为监狱企业、小型和微型企业、残疾人福利性企业的，则给予其投标报价10%的价格扣除，用扣除后的价格参与评审；[说明：投标人为监狱企业的，提供由省级以上监狱管理局、戒毒管理局（含新疆生产建设兵团）出具的投标人属于监狱企业的证明文件复印件。]</w:t>
            </w:r>
          </w:p>
          <w:p>
            <w:pPr>
              <w:spacing w:line="360" w:lineRule="auto"/>
              <w:rPr>
                <w:rFonts w:ascii="宋体" w:hAnsi="宋体" w:cs="宋体"/>
                <w:bCs/>
                <w:szCs w:val="21"/>
              </w:rPr>
            </w:pPr>
            <w:r>
              <w:rPr>
                <w:rFonts w:hint="eastAsia" w:ascii="宋体" w:hAnsi="宋体" w:cs="宋体"/>
                <w:bCs/>
                <w:szCs w:val="21"/>
              </w:rPr>
              <w:t>2、经评标委员会评审，通过资格性和符合性审查，且投标报价最低的投标人的投标报价作为评标基准价；</w:t>
            </w:r>
          </w:p>
          <w:p>
            <w:pPr>
              <w:pStyle w:val="152"/>
              <w:spacing w:line="420" w:lineRule="exact"/>
              <w:ind w:firstLine="0" w:firstLineChars="0"/>
              <w:rPr>
                <w:szCs w:val="21"/>
              </w:rPr>
            </w:pPr>
            <w:r>
              <w:rPr>
                <w:rFonts w:hint="eastAsia" w:ascii="宋体" w:hAnsi="宋体" w:cs="宋体"/>
                <w:bCs/>
                <w:szCs w:val="21"/>
              </w:rPr>
              <w:t>3、投标报价得分=(评标基准价／投标报价)×2</w:t>
            </w:r>
            <w:r>
              <w:rPr>
                <w:rFonts w:hint="eastAsia" w:ascii="宋体" w:hAnsi="宋体" w:cs="宋体"/>
                <w:bCs/>
                <w:szCs w:val="21"/>
                <w:lang w:val="en-US" w:eastAsia="zh-CN"/>
              </w:rPr>
              <w:t>7</w:t>
            </w:r>
            <w:r>
              <w:rPr>
                <w:rFonts w:hint="eastAsia" w:ascii="宋体" w:hAnsi="宋体" w:cs="宋体"/>
                <w:bCs/>
                <w:szCs w:val="21"/>
              </w:rPr>
              <w:t>。</w:t>
            </w:r>
          </w:p>
        </w:tc>
        <w:tc>
          <w:tcPr>
            <w:tcW w:w="402" w:type="pct"/>
            <w:tcBorders>
              <w:top w:val="single" w:color="auto" w:sz="2" w:space="0"/>
              <w:left w:val="single" w:color="auto" w:sz="2" w:space="0"/>
              <w:bottom w:val="single" w:color="auto" w:sz="2" w:space="0"/>
              <w:right w:val="single" w:color="auto" w:sz="2" w:space="0"/>
            </w:tcBorders>
            <w:vAlign w:val="center"/>
          </w:tcPr>
          <w:p>
            <w:pPr>
              <w:pStyle w:val="152"/>
              <w:spacing w:line="420" w:lineRule="exact"/>
              <w:ind w:firstLine="0" w:firstLineChars="0"/>
              <w:rPr>
                <w:szCs w:val="21"/>
              </w:rPr>
            </w:pPr>
            <w:r>
              <w:rPr>
                <w:rFonts w:hint="eastAsia"/>
                <w:szCs w:val="21"/>
              </w:rPr>
              <w:t>2</w:t>
            </w:r>
            <w:r>
              <w:rPr>
                <w:rFonts w:hint="eastAsia"/>
                <w:szCs w:val="21"/>
                <w:lang w:val="en-US" w:eastAsia="zh-CN"/>
              </w:rPr>
              <w:t>7</w:t>
            </w:r>
            <w:r>
              <w:rPr>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tcBorders>
              <w:top w:val="single" w:color="auto" w:sz="2" w:space="0"/>
              <w:left w:val="single" w:color="auto" w:sz="2" w:space="0"/>
              <w:bottom w:val="single" w:color="auto" w:sz="2" w:space="0"/>
              <w:right w:val="single" w:color="auto" w:sz="2" w:space="0"/>
            </w:tcBorders>
            <w:vAlign w:val="center"/>
          </w:tcPr>
          <w:p>
            <w:pPr>
              <w:pStyle w:val="152"/>
              <w:spacing w:line="420" w:lineRule="exact"/>
              <w:ind w:firstLine="0" w:firstLineChars="0"/>
              <w:rPr>
                <w:szCs w:val="21"/>
              </w:rPr>
            </w:pPr>
            <w:r>
              <w:rPr>
                <w:rFonts w:hint="eastAsia"/>
                <w:szCs w:val="21"/>
              </w:rPr>
              <w:t>评审委员会成员</w:t>
            </w:r>
          </w:p>
        </w:tc>
        <w:tc>
          <w:tcPr>
            <w:tcW w:w="845" w:type="pct"/>
            <w:tcBorders>
              <w:top w:val="single" w:color="auto" w:sz="2" w:space="0"/>
              <w:left w:val="single" w:color="auto" w:sz="2" w:space="0"/>
              <w:bottom w:val="single" w:color="auto" w:sz="2" w:space="0"/>
              <w:right w:val="single" w:color="auto" w:sz="2" w:space="0"/>
            </w:tcBorders>
            <w:vAlign w:val="center"/>
          </w:tcPr>
          <w:p>
            <w:pPr>
              <w:pStyle w:val="152"/>
              <w:spacing w:line="420" w:lineRule="exact"/>
              <w:ind w:firstLine="0" w:firstLineChars="0"/>
              <w:rPr>
                <w:szCs w:val="21"/>
              </w:rPr>
            </w:pPr>
            <w:r>
              <w:rPr>
                <w:rFonts w:hint="eastAsia"/>
                <w:szCs w:val="21"/>
              </w:rPr>
              <w:t>总体方案及目标达成</w:t>
            </w:r>
          </w:p>
        </w:tc>
        <w:tc>
          <w:tcPr>
            <w:tcW w:w="3305" w:type="pct"/>
            <w:tcBorders>
              <w:top w:val="single" w:color="auto" w:sz="2" w:space="0"/>
              <w:left w:val="single" w:color="auto" w:sz="2" w:space="0"/>
              <w:bottom w:val="single" w:color="auto" w:sz="2" w:space="0"/>
              <w:right w:val="single" w:color="auto" w:sz="2" w:space="0"/>
            </w:tcBorders>
            <w:vAlign w:val="center"/>
          </w:tcPr>
          <w:p>
            <w:pPr>
              <w:pStyle w:val="152"/>
              <w:spacing w:line="420" w:lineRule="exact"/>
              <w:ind w:firstLine="0" w:firstLineChars="0"/>
              <w:rPr>
                <w:szCs w:val="21"/>
              </w:rPr>
            </w:pPr>
            <w:r>
              <w:rPr>
                <w:szCs w:val="21"/>
              </w:rPr>
              <w:t>方案中</w:t>
            </w:r>
            <w:r>
              <w:rPr>
                <w:rFonts w:hint="eastAsia"/>
                <w:szCs w:val="21"/>
              </w:rPr>
              <w:t>提供：（1）针对本项目的实际提出整体服务方案；（2）针对项目学校的实际情况要达成的</w:t>
            </w:r>
            <w:r>
              <w:rPr>
                <w:szCs w:val="21"/>
              </w:rPr>
              <w:t>服务目标</w:t>
            </w:r>
            <w:r>
              <w:rPr>
                <w:rFonts w:hint="eastAsia"/>
                <w:szCs w:val="21"/>
              </w:rPr>
              <w:t>；</w:t>
            </w:r>
            <w:r>
              <w:rPr>
                <w:szCs w:val="21"/>
              </w:rPr>
              <w:t>进行评分，每一项内容描述符合本项目实际需要得</w:t>
            </w:r>
            <w:r>
              <w:rPr>
                <w:rFonts w:hint="eastAsia"/>
                <w:szCs w:val="21"/>
              </w:rPr>
              <w:t>5</w:t>
            </w:r>
            <w:r>
              <w:rPr>
                <w:szCs w:val="21"/>
              </w:rPr>
              <w:t>分，最高</w:t>
            </w:r>
            <w:r>
              <w:rPr>
                <w:rFonts w:hint="eastAsia"/>
                <w:szCs w:val="21"/>
              </w:rPr>
              <w:t>10</w:t>
            </w:r>
            <w:r>
              <w:rPr>
                <w:szCs w:val="21"/>
              </w:rPr>
              <w:t>分；每有一处内容缺失或</w:t>
            </w:r>
            <w:r>
              <w:rPr>
                <w:rFonts w:hint="eastAsia"/>
                <w:szCs w:val="21"/>
              </w:rPr>
              <w:t>完全</w:t>
            </w:r>
            <w:r>
              <w:rPr>
                <w:szCs w:val="21"/>
              </w:rPr>
              <w:t>不符合项目实际需要该项不得分。</w:t>
            </w:r>
            <w:r>
              <w:rPr>
                <w:rFonts w:hint="eastAsia"/>
                <w:szCs w:val="21"/>
              </w:rPr>
              <w:t>每有一处存在缺陷或者与部分内容本项目不相符扣1分，直至该项分值扣完为止；</w:t>
            </w:r>
          </w:p>
          <w:p>
            <w:pPr>
              <w:pStyle w:val="152"/>
              <w:spacing w:line="420" w:lineRule="exact"/>
              <w:ind w:firstLine="0" w:firstLineChars="0"/>
              <w:rPr>
                <w:szCs w:val="21"/>
              </w:rPr>
            </w:pPr>
            <w:r>
              <w:rPr>
                <w:rFonts w:hint="eastAsia"/>
                <w:szCs w:val="21"/>
              </w:rPr>
              <w:t>注：缺陷或者部分内容本项目不相符是指:项目针对的服务对象或服务内容或实施地点或涉及的规范和标准与本项目要求不完全一致或内容不完整或进度计划超期或描述有歧义或逻辑错误或表述不清等。</w:t>
            </w:r>
          </w:p>
        </w:tc>
        <w:tc>
          <w:tcPr>
            <w:tcW w:w="402" w:type="pct"/>
            <w:tcBorders>
              <w:top w:val="single" w:color="auto" w:sz="2" w:space="0"/>
              <w:left w:val="single" w:color="auto" w:sz="2" w:space="0"/>
              <w:bottom w:val="single" w:color="auto" w:sz="2" w:space="0"/>
              <w:right w:val="single" w:color="auto" w:sz="2" w:space="0"/>
            </w:tcBorders>
            <w:vAlign w:val="center"/>
          </w:tcPr>
          <w:p>
            <w:pPr>
              <w:pStyle w:val="152"/>
              <w:spacing w:line="420" w:lineRule="exact"/>
              <w:ind w:firstLine="0" w:firstLineChars="0"/>
              <w:rPr>
                <w:szCs w:val="21"/>
              </w:rPr>
            </w:pPr>
            <w:r>
              <w:rPr>
                <w:rFonts w:hint="eastAsia"/>
                <w:szCs w:val="21"/>
              </w:rPr>
              <w:t>10</w:t>
            </w:r>
            <w:r>
              <w:rPr>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tcBorders>
              <w:top w:val="single" w:color="auto" w:sz="2" w:space="0"/>
              <w:left w:val="single" w:color="auto" w:sz="2" w:space="0"/>
              <w:bottom w:val="single" w:color="auto" w:sz="2" w:space="0"/>
              <w:right w:val="single" w:color="auto" w:sz="2" w:space="0"/>
            </w:tcBorders>
            <w:vAlign w:val="center"/>
          </w:tcPr>
          <w:p>
            <w:pPr>
              <w:pStyle w:val="152"/>
              <w:spacing w:line="420" w:lineRule="exact"/>
              <w:ind w:firstLine="0" w:firstLineChars="0"/>
              <w:rPr>
                <w:szCs w:val="21"/>
              </w:rPr>
            </w:pPr>
            <w:r>
              <w:rPr>
                <w:rFonts w:hint="eastAsia"/>
                <w:szCs w:val="21"/>
              </w:rPr>
              <w:t>评审委员会成员</w:t>
            </w:r>
          </w:p>
        </w:tc>
        <w:tc>
          <w:tcPr>
            <w:tcW w:w="845" w:type="pct"/>
            <w:tcBorders>
              <w:top w:val="single" w:color="auto" w:sz="2" w:space="0"/>
              <w:left w:val="single" w:color="auto" w:sz="2" w:space="0"/>
              <w:bottom w:val="single" w:color="auto" w:sz="2" w:space="0"/>
              <w:right w:val="single" w:color="auto" w:sz="2" w:space="0"/>
            </w:tcBorders>
            <w:vAlign w:val="center"/>
          </w:tcPr>
          <w:p>
            <w:pPr>
              <w:pStyle w:val="152"/>
              <w:spacing w:line="420" w:lineRule="exact"/>
              <w:ind w:firstLine="0" w:firstLineChars="0"/>
              <w:rPr>
                <w:szCs w:val="21"/>
              </w:rPr>
            </w:pPr>
            <w:r>
              <w:rPr>
                <w:rFonts w:hint="eastAsia"/>
                <w:szCs w:val="21"/>
              </w:rPr>
              <w:t>详细服务</w:t>
            </w:r>
            <w:r>
              <w:rPr>
                <w:szCs w:val="21"/>
              </w:rPr>
              <w:t>方案</w:t>
            </w:r>
          </w:p>
        </w:tc>
        <w:tc>
          <w:tcPr>
            <w:tcW w:w="3305" w:type="pct"/>
            <w:tcBorders>
              <w:top w:val="single" w:color="auto" w:sz="2" w:space="0"/>
              <w:left w:val="single" w:color="auto" w:sz="2" w:space="0"/>
              <w:bottom w:val="single" w:color="auto" w:sz="2" w:space="0"/>
              <w:right w:val="single" w:color="auto" w:sz="2" w:space="0"/>
            </w:tcBorders>
            <w:vAlign w:val="center"/>
          </w:tcPr>
          <w:p>
            <w:pPr>
              <w:pStyle w:val="152"/>
              <w:spacing w:line="420" w:lineRule="exact"/>
              <w:ind w:firstLine="0" w:firstLineChars="0"/>
              <w:rPr>
                <w:szCs w:val="21"/>
              </w:rPr>
            </w:pPr>
            <w:r>
              <w:rPr>
                <w:rFonts w:hint="eastAsia"/>
                <w:szCs w:val="21"/>
              </w:rPr>
              <w:t>详细</w:t>
            </w:r>
            <w:r>
              <w:rPr>
                <w:szCs w:val="21"/>
              </w:rPr>
              <w:t>服务方案中对</w:t>
            </w:r>
            <w:r>
              <w:rPr>
                <w:rFonts w:hint="eastAsia"/>
                <w:szCs w:val="21"/>
              </w:rPr>
              <w:t>：（1）</w:t>
            </w:r>
            <w:r>
              <w:rPr>
                <w:szCs w:val="21"/>
              </w:rPr>
              <w:t>投标人提供</w:t>
            </w:r>
            <w:r>
              <w:rPr>
                <w:rFonts w:hint="eastAsia"/>
                <w:szCs w:val="21"/>
              </w:rPr>
              <w:t>本</w:t>
            </w:r>
            <w:r>
              <w:rPr>
                <w:szCs w:val="21"/>
              </w:rPr>
              <w:t>项目管理组织机构的工作职能运行图</w:t>
            </w:r>
            <w:r>
              <w:rPr>
                <w:rFonts w:hint="eastAsia"/>
                <w:szCs w:val="21"/>
              </w:rPr>
              <w:t>；（2）根据本项目服务内容的</w:t>
            </w:r>
            <w:r>
              <w:rPr>
                <w:szCs w:val="21"/>
              </w:rPr>
              <w:t>人员安排</w:t>
            </w:r>
            <w:r>
              <w:rPr>
                <w:rFonts w:hint="eastAsia"/>
                <w:szCs w:val="21"/>
              </w:rPr>
              <w:t>；（3）根据本项目服务对象确立的各岗位工作职责；（5）针对本项目的</w:t>
            </w:r>
            <w:r>
              <w:rPr>
                <w:szCs w:val="21"/>
              </w:rPr>
              <w:t>人员培训</w:t>
            </w:r>
            <w:r>
              <w:rPr>
                <w:rFonts w:hint="eastAsia"/>
                <w:szCs w:val="21"/>
              </w:rPr>
              <w:t>方案；（6）各岗位的内部</w:t>
            </w:r>
            <w:r>
              <w:rPr>
                <w:szCs w:val="21"/>
              </w:rPr>
              <w:t>考核办法</w:t>
            </w:r>
            <w:r>
              <w:rPr>
                <w:rFonts w:hint="eastAsia"/>
                <w:szCs w:val="21"/>
              </w:rPr>
              <w:t>；（7）</w:t>
            </w:r>
            <w:r>
              <w:rPr>
                <w:szCs w:val="21"/>
              </w:rPr>
              <w:t>重大活动</w:t>
            </w:r>
            <w:r>
              <w:rPr>
                <w:rFonts w:hint="eastAsia"/>
                <w:szCs w:val="21"/>
              </w:rPr>
              <w:t>如何与学校密切</w:t>
            </w:r>
            <w:r>
              <w:rPr>
                <w:szCs w:val="21"/>
              </w:rPr>
              <w:t>配合</w:t>
            </w:r>
            <w:r>
              <w:rPr>
                <w:rFonts w:hint="eastAsia"/>
                <w:szCs w:val="21"/>
              </w:rPr>
              <w:t>的方案</w:t>
            </w:r>
            <w:r>
              <w:rPr>
                <w:szCs w:val="21"/>
              </w:rPr>
              <w:t>等进行评分，每有一项描述完全满足项目实际需求的得</w:t>
            </w:r>
            <w:r>
              <w:rPr>
                <w:rFonts w:hint="eastAsia"/>
                <w:szCs w:val="21"/>
              </w:rPr>
              <w:t>3</w:t>
            </w:r>
            <w:r>
              <w:rPr>
                <w:szCs w:val="21"/>
              </w:rPr>
              <w:t>分，最多得</w:t>
            </w:r>
            <w:r>
              <w:rPr>
                <w:rFonts w:hint="eastAsia"/>
                <w:szCs w:val="21"/>
              </w:rPr>
              <w:t>21分</w:t>
            </w:r>
            <w:r>
              <w:rPr>
                <w:szCs w:val="21"/>
              </w:rPr>
              <w:t>；每有一项内容缺失或内容描述不能完全满足项目实际需求的，该项不得分。</w:t>
            </w:r>
            <w:r>
              <w:rPr>
                <w:rFonts w:hint="eastAsia"/>
                <w:szCs w:val="21"/>
              </w:rPr>
              <w:t>每有一处存在缺陷或者与部分内容本项目不相符扣1分，直至该项分值扣完为止；</w:t>
            </w:r>
          </w:p>
          <w:p>
            <w:pPr>
              <w:pStyle w:val="152"/>
              <w:spacing w:line="420" w:lineRule="exact"/>
              <w:ind w:firstLine="0" w:firstLineChars="0"/>
              <w:rPr>
                <w:szCs w:val="21"/>
              </w:rPr>
            </w:pPr>
            <w:r>
              <w:rPr>
                <w:rFonts w:hint="eastAsia"/>
                <w:szCs w:val="21"/>
              </w:rPr>
              <w:t>注：缺陷或者与部分内容本项目不相符是指:项目针对的内容或实施地点或涉及的规范和标准与本项目要求不一致或内容不完整或进度计划超期等或描述有歧义或逻辑错误或表述不清等</w:t>
            </w:r>
          </w:p>
        </w:tc>
        <w:tc>
          <w:tcPr>
            <w:tcW w:w="402" w:type="pct"/>
            <w:tcBorders>
              <w:top w:val="single" w:color="auto" w:sz="2" w:space="0"/>
              <w:left w:val="single" w:color="auto" w:sz="2" w:space="0"/>
              <w:bottom w:val="single" w:color="auto" w:sz="2" w:space="0"/>
              <w:right w:val="single" w:color="auto" w:sz="2" w:space="0"/>
            </w:tcBorders>
            <w:vAlign w:val="center"/>
          </w:tcPr>
          <w:p>
            <w:pPr>
              <w:pStyle w:val="152"/>
              <w:spacing w:line="420" w:lineRule="exact"/>
              <w:ind w:firstLine="0" w:firstLineChars="0"/>
              <w:rPr>
                <w:szCs w:val="21"/>
              </w:rPr>
            </w:pPr>
            <w:r>
              <w:rPr>
                <w:rFonts w:hint="eastAsia"/>
                <w:szCs w:val="21"/>
              </w:rPr>
              <w:t>21</w:t>
            </w:r>
            <w:r>
              <w:rPr>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tcBorders>
              <w:top w:val="single" w:color="auto" w:sz="2" w:space="0"/>
              <w:left w:val="single" w:color="auto" w:sz="2" w:space="0"/>
              <w:bottom w:val="single" w:color="auto" w:sz="2" w:space="0"/>
              <w:right w:val="single" w:color="auto" w:sz="2" w:space="0"/>
            </w:tcBorders>
            <w:vAlign w:val="center"/>
          </w:tcPr>
          <w:p>
            <w:pPr>
              <w:pStyle w:val="152"/>
              <w:spacing w:line="420" w:lineRule="exact"/>
              <w:ind w:firstLine="0" w:firstLineChars="0"/>
              <w:rPr>
                <w:szCs w:val="21"/>
              </w:rPr>
            </w:pPr>
            <w:r>
              <w:rPr>
                <w:rFonts w:hint="eastAsia"/>
                <w:szCs w:val="21"/>
              </w:rPr>
              <w:t>评审委员会成员</w:t>
            </w:r>
          </w:p>
        </w:tc>
        <w:tc>
          <w:tcPr>
            <w:tcW w:w="845" w:type="pct"/>
            <w:tcBorders>
              <w:top w:val="single" w:color="auto" w:sz="2" w:space="0"/>
              <w:left w:val="single" w:color="auto" w:sz="2" w:space="0"/>
              <w:bottom w:val="single" w:color="auto" w:sz="2" w:space="0"/>
              <w:right w:val="single" w:color="auto" w:sz="2" w:space="0"/>
            </w:tcBorders>
            <w:vAlign w:val="center"/>
          </w:tcPr>
          <w:p>
            <w:pPr>
              <w:pStyle w:val="152"/>
              <w:spacing w:line="420" w:lineRule="exact"/>
              <w:ind w:firstLine="0" w:firstLineChars="0"/>
              <w:rPr>
                <w:szCs w:val="21"/>
              </w:rPr>
            </w:pPr>
            <w:r>
              <w:rPr>
                <w:szCs w:val="21"/>
              </w:rPr>
              <w:t>应急处理预案</w:t>
            </w:r>
          </w:p>
        </w:tc>
        <w:tc>
          <w:tcPr>
            <w:tcW w:w="3305" w:type="pct"/>
            <w:tcBorders>
              <w:top w:val="single" w:color="auto" w:sz="2" w:space="0"/>
              <w:left w:val="single" w:color="auto" w:sz="2" w:space="0"/>
              <w:bottom w:val="single" w:color="auto" w:sz="2" w:space="0"/>
              <w:right w:val="single" w:color="auto" w:sz="2" w:space="0"/>
            </w:tcBorders>
            <w:vAlign w:val="center"/>
          </w:tcPr>
          <w:p>
            <w:pPr>
              <w:pStyle w:val="152"/>
              <w:spacing w:line="420" w:lineRule="exact"/>
              <w:ind w:firstLine="0" w:firstLineChars="0"/>
              <w:rPr>
                <w:szCs w:val="21"/>
              </w:rPr>
            </w:pPr>
            <w:r>
              <w:rPr>
                <w:rFonts w:hint="eastAsia"/>
                <w:szCs w:val="21"/>
              </w:rPr>
              <w:t>应急处理预案中针对：（1）火灾、（2）地震、（3）公共卫生、（4）治安、（5）暴雨、（6）医疗急救、（7）反恐防爆、（8）停水、（9）停电的预防处置内容进行评分，每有一项描述完全满足项目实际需求的得</w:t>
            </w:r>
            <w:r>
              <w:rPr>
                <w:szCs w:val="21"/>
              </w:rPr>
              <w:t>1</w:t>
            </w:r>
            <w:r>
              <w:rPr>
                <w:rFonts w:hint="eastAsia"/>
                <w:szCs w:val="21"/>
              </w:rPr>
              <w:t>分，最多得</w:t>
            </w:r>
            <w:r>
              <w:rPr>
                <w:rFonts w:hint="eastAsia"/>
                <w:szCs w:val="21"/>
                <w:lang w:val="en-US" w:eastAsia="zh-CN"/>
              </w:rPr>
              <w:t>9</w:t>
            </w:r>
            <w:r>
              <w:rPr>
                <w:rFonts w:hint="eastAsia"/>
                <w:szCs w:val="21"/>
              </w:rPr>
              <w:t>分；每有一项内容缺失或内容描述不能完全满足项目实际需求的，该项扣除1分。</w:t>
            </w:r>
          </w:p>
        </w:tc>
        <w:tc>
          <w:tcPr>
            <w:tcW w:w="402" w:type="pct"/>
            <w:tcBorders>
              <w:top w:val="single" w:color="auto" w:sz="2" w:space="0"/>
              <w:left w:val="single" w:color="auto" w:sz="2" w:space="0"/>
              <w:bottom w:val="single" w:color="auto" w:sz="2" w:space="0"/>
              <w:right w:val="single" w:color="auto" w:sz="2" w:space="0"/>
            </w:tcBorders>
            <w:vAlign w:val="center"/>
          </w:tcPr>
          <w:p>
            <w:pPr>
              <w:pStyle w:val="152"/>
              <w:spacing w:line="420" w:lineRule="exact"/>
              <w:ind w:firstLine="0" w:firstLineChars="0"/>
              <w:rPr>
                <w:szCs w:val="21"/>
              </w:rPr>
            </w:pPr>
            <w:r>
              <w:rPr>
                <w:rFonts w:hint="eastAsia"/>
                <w:szCs w:val="21"/>
                <w:lang w:val="en-US" w:eastAsia="zh-CN"/>
              </w:rPr>
              <w:t>9</w:t>
            </w:r>
            <w:r>
              <w:rPr>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tcBorders>
              <w:top w:val="single" w:color="auto" w:sz="2" w:space="0"/>
              <w:left w:val="single" w:color="auto" w:sz="2" w:space="0"/>
              <w:bottom w:val="single" w:color="auto" w:sz="2" w:space="0"/>
              <w:right w:val="single" w:color="auto" w:sz="2" w:space="0"/>
            </w:tcBorders>
            <w:vAlign w:val="center"/>
          </w:tcPr>
          <w:p>
            <w:pPr>
              <w:pStyle w:val="152"/>
              <w:spacing w:line="420" w:lineRule="exact"/>
              <w:ind w:firstLine="0" w:firstLineChars="0"/>
              <w:rPr>
                <w:szCs w:val="21"/>
              </w:rPr>
            </w:pPr>
            <w:r>
              <w:rPr>
                <w:rFonts w:hint="eastAsia"/>
                <w:szCs w:val="21"/>
              </w:rPr>
              <w:t>评审委员会成员</w:t>
            </w:r>
          </w:p>
        </w:tc>
        <w:tc>
          <w:tcPr>
            <w:tcW w:w="845" w:type="pct"/>
            <w:tcBorders>
              <w:top w:val="single" w:color="auto" w:sz="2" w:space="0"/>
              <w:left w:val="single" w:color="auto" w:sz="2" w:space="0"/>
              <w:bottom w:val="single" w:color="auto" w:sz="2" w:space="0"/>
              <w:right w:val="single" w:color="auto" w:sz="2" w:space="0"/>
            </w:tcBorders>
            <w:vAlign w:val="center"/>
          </w:tcPr>
          <w:p>
            <w:pPr>
              <w:pStyle w:val="152"/>
              <w:spacing w:line="420" w:lineRule="exact"/>
              <w:ind w:firstLine="0" w:firstLineChars="0"/>
              <w:rPr>
                <w:szCs w:val="21"/>
              </w:rPr>
            </w:pPr>
            <w:r>
              <w:rPr>
                <w:szCs w:val="21"/>
              </w:rPr>
              <w:t>物业管理经验、业绩</w:t>
            </w:r>
          </w:p>
        </w:tc>
        <w:tc>
          <w:tcPr>
            <w:tcW w:w="3305" w:type="pct"/>
            <w:tcBorders>
              <w:top w:val="single" w:color="auto" w:sz="2" w:space="0"/>
              <w:left w:val="single" w:color="auto" w:sz="2" w:space="0"/>
              <w:bottom w:val="single" w:color="auto" w:sz="2" w:space="0"/>
              <w:right w:val="single" w:color="auto" w:sz="2" w:space="0"/>
            </w:tcBorders>
            <w:vAlign w:val="center"/>
          </w:tcPr>
          <w:p>
            <w:pPr>
              <w:pStyle w:val="152"/>
              <w:spacing w:line="420" w:lineRule="exact"/>
              <w:ind w:firstLine="525" w:firstLineChars="250"/>
              <w:rPr>
                <w:szCs w:val="21"/>
              </w:rPr>
            </w:pPr>
            <w:r>
              <w:rPr>
                <w:rFonts w:hint="eastAsia"/>
                <w:szCs w:val="21"/>
              </w:rPr>
              <w:t>1．</w:t>
            </w:r>
            <w:r>
              <w:rPr>
                <w:szCs w:val="21"/>
              </w:rPr>
              <w:t>投标人每提供</w:t>
            </w:r>
            <w:r>
              <w:rPr>
                <w:rFonts w:hint="eastAsia"/>
                <w:szCs w:val="21"/>
              </w:rPr>
              <w:t>2020年1月1日（含1日）</w:t>
            </w:r>
            <w:r>
              <w:rPr>
                <w:szCs w:val="21"/>
              </w:rPr>
              <w:t>以</w:t>
            </w:r>
            <w:r>
              <w:rPr>
                <w:rFonts w:hint="eastAsia"/>
                <w:szCs w:val="21"/>
              </w:rPr>
              <w:t>来</w:t>
            </w:r>
            <w:r>
              <w:rPr>
                <w:szCs w:val="21"/>
              </w:rPr>
              <w:t>的类似物业服务项目业绩，</w:t>
            </w:r>
            <w:r>
              <w:rPr>
                <w:rFonts w:hint="eastAsia"/>
                <w:szCs w:val="21"/>
              </w:rPr>
              <w:t>每</w:t>
            </w:r>
            <w:r>
              <w:rPr>
                <w:szCs w:val="21"/>
              </w:rPr>
              <w:t>有1个</w:t>
            </w:r>
            <w:r>
              <w:rPr>
                <w:rFonts w:hint="eastAsia"/>
                <w:szCs w:val="21"/>
              </w:rPr>
              <w:t>业绩</w:t>
            </w:r>
            <w:r>
              <w:rPr>
                <w:szCs w:val="21"/>
              </w:rPr>
              <w:t>得</w:t>
            </w:r>
            <w:r>
              <w:rPr>
                <w:rFonts w:hint="eastAsia"/>
                <w:szCs w:val="21"/>
              </w:rPr>
              <w:t>3</w:t>
            </w:r>
            <w:r>
              <w:rPr>
                <w:szCs w:val="21"/>
              </w:rPr>
              <w:t>分，最多得</w:t>
            </w:r>
            <w:r>
              <w:rPr>
                <w:rFonts w:hint="eastAsia"/>
                <w:szCs w:val="21"/>
              </w:rPr>
              <w:t>6</w:t>
            </w:r>
            <w:r>
              <w:rPr>
                <w:szCs w:val="21"/>
              </w:rPr>
              <w:t>分，不提供不得分。</w:t>
            </w:r>
          </w:p>
          <w:p>
            <w:pPr>
              <w:pStyle w:val="152"/>
              <w:spacing w:line="420" w:lineRule="exact"/>
              <w:ind w:firstLine="525" w:firstLineChars="250"/>
              <w:rPr>
                <w:szCs w:val="21"/>
              </w:rPr>
            </w:pPr>
            <w:r>
              <w:rPr>
                <w:rFonts w:hint="eastAsia"/>
                <w:szCs w:val="21"/>
              </w:rPr>
              <w:t>2</w:t>
            </w:r>
            <w:r>
              <w:rPr>
                <w:szCs w:val="21"/>
              </w:rPr>
              <w:t>.</w:t>
            </w:r>
            <w:r>
              <w:rPr>
                <w:rFonts w:hint="eastAsia"/>
                <w:szCs w:val="21"/>
              </w:rPr>
              <w:t>投标人提供2020年1月1日（含1日）以来，项目业主单位出具的综合评价书面证明：每提供1个业主单位出具的书面综合评价为满意或者优秀等类似评价的证明得</w:t>
            </w:r>
            <w:r>
              <w:rPr>
                <w:szCs w:val="21"/>
              </w:rPr>
              <w:t>2</w:t>
            </w:r>
            <w:r>
              <w:rPr>
                <w:rFonts w:hint="eastAsia"/>
                <w:szCs w:val="21"/>
              </w:rPr>
              <w:t>分，最多得</w:t>
            </w:r>
            <w:r>
              <w:rPr>
                <w:szCs w:val="21"/>
              </w:rPr>
              <w:t>4</w:t>
            </w:r>
            <w:r>
              <w:rPr>
                <w:rFonts w:hint="eastAsia"/>
                <w:szCs w:val="21"/>
              </w:rPr>
              <w:t>分。</w:t>
            </w:r>
          </w:p>
          <w:p>
            <w:pPr>
              <w:pStyle w:val="152"/>
              <w:spacing w:line="420" w:lineRule="exact"/>
              <w:ind w:firstLine="525" w:firstLineChars="250"/>
              <w:rPr>
                <w:szCs w:val="21"/>
              </w:rPr>
            </w:pPr>
            <w:r>
              <w:rPr>
                <w:szCs w:val="21"/>
              </w:rPr>
              <w:t>（说明：①提供相应物业合同复印件</w:t>
            </w:r>
            <w:r>
              <w:rPr>
                <w:rFonts w:hint="eastAsia"/>
                <w:szCs w:val="21"/>
              </w:rPr>
              <w:t>、至少一次相关项目的费用支付凭证并</w:t>
            </w:r>
            <w:r>
              <w:rPr>
                <w:szCs w:val="21"/>
              </w:rPr>
              <w:t>加盖投标人公章；②同一个物业服务合同项目不同年度不重复得分。）</w:t>
            </w:r>
          </w:p>
        </w:tc>
        <w:tc>
          <w:tcPr>
            <w:tcW w:w="402" w:type="pct"/>
            <w:tcBorders>
              <w:top w:val="single" w:color="auto" w:sz="2" w:space="0"/>
              <w:left w:val="single" w:color="auto" w:sz="2" w:space="0"/>
              <w:bottom w:val="single" w:color="auto" w:sz="2" w:space="0"/>
              <w:right w:val="single" w:color="auto" w:sz="2" w:space="0"/>
            </w:tcBorders>
            <w:vAlign w:val="center"/>
          </w:tcPr>
          <w:p>
            <w:pPr>
              <w:pStyle w:val="152"/>
              <w:spacing w:line="420" w:lineRule="exact"/>
              <w:ind w:firstLine="0" w:firstLineChars="0"/>
              <w:rPr>
                <w:szCs w:val="21"/>
              </w:rPr>
            </w:pPr>
            <w:r>
              <w:rPr>
                <w:rFonts w:hint="eastAsia"/>
                <w:szCs w:val="21"/>
              </w:rPr>
              <w:t>10</w:t>
            </w:r>
            <w:r>
              <w:rPr>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tcBorders>
              <w:top w:val="single" w:color="auto" w:sz="2" w:space="0"/>
              <w:left w:val="single" w:color="auto" w:sz="2" w:space="0"/>
              <w:bottom w:val="single" w:color="auto" w:sz="2" w:space="0"/>
              <w:right w:val="single" w:color="auto" w:sz="2" w:space="0"/>
            </w:tcBorders>
            <w:vAlign w:val="center"/>
          </w:tcPr>
          <w:p>
            <w:pPr>
              <w:pStyle w:val="152"/>
              <w:spacing w:line="420" w:lineRule="exact"/>
              <w:ind w:firstLine="0" w:firstLineChars="0"/>
              <w:rPr>
                <w:szCs w:val="21"/>
              </w:rPr>
            </w:pPr>
            <w:r>
              <w:rPr>
                <w:rFonts w:hint="eastAsia"/>
                <w:szCs w:val="21"/>
              </w:rPr>
              <w:t>评审委员会成员</w:t>
            </w:r>
          </w:p>
        </w:tc>
        <w:tc>
          <w:tcPr>
            <w:tcW w:w="845" w:type="pct"/>
            <w:tcBorders>
              <w:top w:val="single" w:color="auto" w:sz="2" w:space="0"/>
              <w:left w:val="single" w:color="auto" w:sz="2" w:space="0"/>
              <w:bottom w:val="single" w:color="auto" w:sz="2" w:space="0"/>
              <w:right w:val="single" w:color="auto" w:sz="2" w:space="0"/>
            </w:tcBorders>
            <w:vAlign w:val="center"/>
          </w:tcPr>
          <w:p>
            <w:pPr>
              <w:pStyle w:val="152"/>
              <w:spacing w:line="420" w:lineRule="exact"/>
              <w:ind w:firstLine="0" w:firstLineChars="0"/>
              <w:rPr>
                <w:szCs w:val="21"/>
              </w:rPr>
            </w:pPr>
            <w:r>
              <w:rPr>
                <w:szCs w:val="21"/>
              </w:rPr>
              <w:t>管理体系建设</w:t>
            </w:r>
          </w:p>
        </w:tc>
        <w:tc>
          <w:tcPr>
            <w:tcW w:w="3305" w:type="pct"/>
            <w:tcBorders>
              <w:top w:val="single" w:color="auto" w:sz="2" w:space="0"/>
              <w:left w:val="single" w:color="auto" w:sz="2" w:space="0"/>
              <w:bottom w:val="single" w:color="auto" w:sz="2" w:space="0"/>
              <w:right w:val="single" w:color="auto" w:sz="2" w:space="0"/>
            </w:tcBorders>
            <w:vAlign w:val="center"/>
          </w:tcPr>
          <w:p>
            <w:pPr>
              <w:pStyle w:val="152"/>
              <w:spacing w:line="420" w:lineRule="exact"/>
              <w:ind w:firstLine="525" w:firstLineChars="250"/>
              <w:rPr>
                <w:szCs w:val="21"/>
              </w:rPr>
            </w:pPr>
            <w:r>
              <w:rPr>
                <w:rFonts w:hint="eastAsia"/>
                <w:szCs w:val="21"/>
              </w:rPr>
              <w:t>投标人具有有效期内的质量管理体系认证证书、环境健康管理体系认证证书、职业健康安全管理体系认证证书，每有</w:t>
            </w:r>
            <w:r>
              <w:rPr>
                <w:szCs w:val="21"/>
              </w:rPr>
              <w:t>1</w:t>
            </w:r>
            <w:r>
              <w:rPr>
                <w:rFonts w:hint="eastAsia"/>
                <w:szCs w:val="21"/>
              </w:rPr>
              <w:t>个得2分，最多得6分。（认证内容含本项目物业管理类，提供证书复印件及全</w:t>
            </w:r>
            <w:r>
              <w:rPr>
                <w:szCs w:val="21"/>
              </w:rPr>
              <w:t>国认证认可信息</w:t>
            </w:r>
            <w:r>
              <w:rPr>
                <w:rFonts w:hint="eastAsia"/>
                <w:szCs w:val="21"/>
              </w:rPr>
              <w:t>公共</w:t>
            </w:r>
            <w:r>
              <w:rPr>
                <w:szCs w:val="21"/>
              </w:rPr>
              <w:t>服务平台</w:t>
            </w:r>
            <w:r>
              <w:rPr>
                <w:rFonts w:hint="eastAsia"/>
                <w:szCs w:val="21"/>
              </w:rPr>
              <w:t>查询有效的网页截图，加盖投标人公章。）</w:t>
            </w:r>
          </w:p>
        </w:tc>
        <w:tc>
          <w:tcPr>
            <w:tcW w:w="402" w:type="pct"/>
            <w:tcBorders>
              <w:top w:val="single" w:color="auto" w:sz="2" w:space="0"/>
              <w:left w:val="single" w:color="auto" w:sz="2" w:space="0"/>
              <w:bottom w:val="single" w:color="auto" w:sz="2" w:space="0"/>
              <w:right w:val="single" w:color="auto" w:sz="2" w:space="0"/>
            </w:tcBorders>
            <w:vAlign w:val="center"/>
          </w:tcPr>
          <w:p>
            <w:pPr>
              <w:pStyle w:val="152"/>
              <w:spacing w:line="420" w:lineRule="exact"/>
              <w:ind w:firstLine="0" w:firstLineChars="0"/>
              <w:rPr>
                <w:szCs w:val="21"/>
              </w:rPr>
            </w:pPr>
            <w:r>
              <w:rPr>
                <w:rFonts w:hint="eastAsia"/>
                <w:szCs w:val="21"/>
              </w:rPr>
              <w:t>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447" w:type="pct"/>
            <w:tcBorders>
              <w:top w:val="single" w:color="auto" w:sz="2" w:space="0"/>
              <w:left w:val="single" w:color="auto" w:sz="2" w:space="0"/>
              <w:bottom w:val="single" w:color="auto" w:sz="2" w:space="0"/>
              <w:right w:val="single" w:color="auto" w:sz="2" w:space="0"/>
            </w:tcBorders>
            <w:vAlign w:val="center"/>
          </w:tcPr>
          <w:p>
            <w:pPr>
              <w:pStyle w:val="152"/>
              <w:spacing w:line="420" w:lineRule="exact"/>
              <w:ind w:firstLine="0" w:firstLineChars="0"/>
              <w:rPr>
                <w:szCs w:val="21"/>
              </w:rPr>
            </w:pPr>
            <w:r>
              <w:rPr>
                <w:rFonts w:hint="eastAsia"/>
                <w:szCs w:val="21"/>
              </w:rPr>
              <w:t>评审委员会成员</w:t>
            </w:r>
          </w:p>
        </w:tc>
        <w:tc>
          <w:tcPr>
            <w:tcW w:w="845" w:type="pct"/>
            <w:tcBorders>
              <w:top w:val="single" w:color="auto" w:sz="2" w:space="0"/>
              <w:left w:val="single" w:color="auto" w:sz="2" w:space="0"/>
              <w:bottom w:val="single" w:color="auto" w:sz="2" w:space="0"/>
              <w:right w:val="single" w:color="auto" w:sz="2" w:space="0"/>
            </w:tcBorders>
            <w:vAlign w:val="center"/>
          </w:tcPr>
          <w:p>
            <w:pPr>
              <w:pStyle w:val="152"/>
              <w:spacing w:line="420" w:lineRule="exact"/>
              <w:ind w:firstLine="0" w:firstLineChars="0"/>
              <w:rPr>
                <w:szCs w:val="21"/>
              </w:rPr>
            </w:pPr>
            <w:r>
              <w:rPr>
                <w:szCs w:val="21"/>
              </w:rPr>
              <w:t>项目人员从业经验</w:t>
            </w:r>
          </w:p>
        </w:tc>
        <w:tc>
          <w:tcPr>
            <w:tcW w:w="3305" w:type="pct"/>
            <w:tcBorders>
              <w:top w:val="single" w:color="auto" w:sz="2" w:space="0"/>
              <w:left w:val="single" w:color="auto" w:sz="2" w:space="0"/>
              <w:bottom w:val="single" w:color="auto" w:sz="2" w:space="0"/>
              <w:right w:val="single" w:color="auto" w:sz="2" w:space="0"/>
            </w:tcBorders>
            <w:vAlign w:val="center"/>
          </w:tcPr>
          <w:p>
            <w:pPr>
              <w:pStyle w:val="152"/>
              <w:spacing w:line="420" w:lineRule="exact"/>
              <w:ind w:firstLine="0" w:firstLineChars="0"/>
              <w:rPr>
                <w:szCs w:val="21"/>
              </w:rPr>
            </w:pPr>
            <w:r>
              <w:rPr>
                <w:rFonts w:hint="eastAsia"/>
                <w:szCs w:val="21"/>
              </w:rPr>
              <w:t>1、项目主管，具有大专（含）以上文化程度，两年以上工作经验，每有一人得1分，最多3分；</w:t>
            </w:r>
          </w:p>
          <w:p>
            <w:pPr>
              <w:pStyle w:val="152"/>
              <w:spacing w:line="420" w:lineRule="exact"/>
              <w:ind w:firstLine="0" w:firstLineChars="0"/>
              <w:rPr>
                <w:szCs w:val="21"/>
              </w:rPr>
            </w:pPr>
            <w:r>
              <w:rPr>
                <w:rFonts w:hint="eastAsia"/>
                <w:szCs w:val="21"/>
              </w:rPr>
              <w:t>2、拟派遣的人员具有退役军人证，每有一人得1分，最多</w:t>
            </w:r>
            <w:r>
              <w:rPr>
                <w:szCs w:val="21"/>
              </w:rPr>
              <w:t>3</w:t>
            </w:r>
            <w:r>
              <w:rPr>
                <w:rFonts w:hint="eastAsia"/>
                <w:szCs w:val="21"/>
              </w:rPr>
              <w:t>分；</w:t>
            </w:r>
          </w:p>
          <w:p>
            <w:pPr>
              <w:pStyle w:val="152"/>
              <w:spacing w:line="420" w:lineRule="exact"/>
              <w:ind w:firstLine="0" w:firstLineChars="0"/>
              <w:rPr>
                <w:szCs w:val="21"/>
              </w:rPr>
            </w:pPr>
            <w:r>
              <w:rPr>
                <w:rFonts w:hint="eastAsia"/>
                <w:szCs w:val="21"/>
              </w:rPr>
              <w:t>3、</w:t>
            </w:r>
            <w:r>
              <w:rPr>
                <w:rFonts w:hint="eastAsia"/>
                <w:bCs/>
                <w:szCs w:val="21"/>
              </w:rPr>
              <w:t>拟派遣人员具有电工操作(上岗)证，每有一人得1分，最多2分，如具有高压电工操作(上岗)证加</w:t>
            </w:r>
            <w:r>
              <w:rPr>
                <w:bCs/>
                <w:szCs w:val="21"/>
              </w:rPr>
              <w:t>2</w:t>
            </w:r>
            <w:r>
              <w:rPr>
                <w:rFonts w:hint="eastAsia"/>
                <w:bCs/>
                <w:szCs w:val="21"/>
              </w:rPr>
              <w:t>分，本项最多</w:t>
            </w:r>
            <w:r>
              <w:rPr>
                <w:bCs/>
                <w:szCs w:val="21"/>
              </w:rPr>
              <w:t>4</w:t>
            </w:r>
            <w:r>
              <w:rPr>
                <w:rFonts w:hint="eastAsia"/>
                <w:bCs/>
                <w:szCs w:val="21"/>
              </w:rPr>
              <w:t>分；</w:t>
            </w:r>
          </w:p>
          <w:p>
            <w:pPr>
              <w:pStyle w:val="152"/>
              <w:spacing w:line="420" w:lineRule="exact"/>
              <w:ind w:firstLine="0" w:firstLineChars="0"/>
              <w:rPr>
                <w:szCs w:val="21"/>
              </w:rPr>
            </w:pPr>
            <w:r>
              <w:rPr>
                <w:rFonts w:hint="eastAsia"/>
                <w:szCs w:val="21"/>
              </w:rPr>
              <w:t>4、</w:t>
            </w:r>
            <w:r>
              <w:rPr>
                <w:rFonts w:hint="eastAsia"/>
                <w:bCs/>
                <w:szCs w:val="21"/>
              </w:rPr>
              <w:t>拟</w:t>
            </w:r>
            <w:r>
              <w:rPr>
                <w:rFonts w:hint="eastAsia"/>
                <w:szCs w:val="21"/>
              </w:rPr>
              <w:t>派遣人员具有园艺师(或类似园林、绿化类的证书)证书，每有一人得1分，最多得2分；</w:t>
            </w:r>
          </w:p>
          <w:p>
            <w:pPr>
              <w:pStyle w:val="152"/>
              <w:spacing w:line="420" w:lineRule="exact"/>
              <w:ind w:firstLine="0" w:firstLineChars="0"/>
              <w:rPr>
                <w:szCs w:val="21"/>
              </w:rPr>
            </w:pPr>
            <w:r>
              <w:rPr>
                <w:rFonts w:hint="eastAsia"/>
                <w:szCs w:val="21"/>
              </w:rPr>
              <w:t>5、</w:t>
            </w:r>
            <w:r>
              <w:rPr>
                <w:rFonts w:hint="eastAsia"/>
                <w:bCs/>
                <w:szCs w:val="21"/>
              </w:rPr>
              <w:t>拟</w:t>
            </w:r>
            <w:r>
              <w:rPr>
                <w:rFonts w:hint="eastAsia"/>
                <w:szCs w:val="21"/>
              </w:rPr>
              <w:t>派遣的宿管具有教师资格证或心理咨询师证，有一人得1分，最多</w:t>
            </w:r>
            <w:r>
              <w:rPr>
                <w:szCs w:val="21"/>
              </w:rPr>
              <w:t>4</w:t>
            </w:r>
            <w:r>
              <w:rPr>
                <w:rFonts w:hint="eastAsia"/>
                <w:szCs w:val="21"/>
              </w:rPr>
              <w:t>分；</w:t>
            </w:r>
          </w:p>
          <w:p>
            <w:pPr>
              <w:pStyle w:val="152"/>
              <w:spacing w:line="420" w:lineRule="exact"/>
              <w:ind w:firstLine="0" w:firstLineChars="0"/>
              <w:rPr>
                <w:szCs w:val="21"/>
              </w:rPr>
            </w:pPr>
            <w:r>
              <w:rPr>
                <w:rFonts w:hint="eastAsia"/>
                <w:szCs w:val="21"/>
              </w:rPr>
              <w:t>以上需提供相关证书及履职证明材料，</w:t>
            </w:r>
            <w:r>
              <w:rPr>
                <w:szCs w:val="21"/>
              </w:rPr>
              <w:t>不提供不得分。</w:t>
            </w:r>
          </w:p>
        </w:tc>
        <w:tc>
          <w:tcPr>
            <w:tcW w:w="402" w:type="pct"/>
            <w:tcBorders>
              <w:top w:val="single" w:color="auto" w:sz="2" w:space="0"/>
              <w:left w:val="single" w:color="auto" w:sz="2" w:space="0"/>
              <w:bottom w:val="single" w:color="auto" w:sz="2" w:space="0"/>
              <w:right w:val="single" w:color="auto" w:sz="2" w:space="0"/>
            </w:tcBorders>
            <w:vAlign w:val="center"/>
          </w:tcPr>
          <w:p>
            <w:pPr>
              <w:pStyle w:val="152"/>
              <w:spacing w:line="420" w:lineRule="exact"/>
              <w:ind w:firstLine="0" w:firstLineChars="0"/>
              <w:rPr>
                <w:szCs w:val="21"/>
              </w:rPr>
            </w:pPr>
            <w:r>
              <w:rPr>
                <w:rFonts w:hint="eastAsia"/>
                <w:szCs w:val="21"/>
              </w:rPr>
              <w:t>1</w:t>
            </w:r>
            <w:r>
              <w:rPr>
                <w:szCs w:val="21"/>
              </w:rPr>
              <w:t>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tcBorders>
              <w:top w:val="single" w:color="auto" w:sz="2" w:space="0"/>
              <w:left w:val="single" w:color="auto" w:sz="2" w:space="0"/>
              <w:bottom w:val="single" w:color="auto" w:sz="2" w:space="0"/>
              <w:right w:val="single" w:color="auto" w:sz="2" w:space="0"/>
            </w:tcBorders>
            <w:vAlign w:val="center"/>
          </w:tcPr>
          <w:p>
            <w:pPr>
              <w:pStyle w:val="152"/>
              <w:spacing w:line="420" w:lineRule="exact"/>
              <w:ind w:firstLine="0" w:firstLineChars="0"/>
              <w:rPr>
                <w:szCs w:val="21"/>
              </w:rPr>
            </w:pPr>
            <w:r>
              <w:rPr>
                <w:rFonts w:hint="eastAsia"/>
                <w:szCs w:val="21"/>
              </w:rPr>
              <w:t>评审委员会成员</w:t>
            </w:r>
          </w:p>
        </w:tc>
        <w:tc>
          <w:tcPr>
            <w:tcW w:w="845" w:type="pct"/>
            <w:tcBorders>
              <w:top w:val="single" w:color="auto" w:sz="2" w:space="0"/>
              <w:left w:val="single" w:color="auto" w:sz="2" w:space="0"/>
              <w:bottom w:val="single" w:color="auto" w:sz="2" w:space="0"/>
              <w:right w:val="single" w:color="auto" w:sz="2" w:space="0"/>
            </w:tcBorders>
            <w:vAlign w:val="center"/>
          </w:tcPr>
          <w:p>
            <w:pPr>
              <w:pStyle w:val="152"/>
              <w:spacing w:line="420" w:lineRule="exact"/>
              <w:ind w:firstLine="0" w:firstLineChars="0"/>
              <w:rPr>
                <w:szCs w:val="21"/>
              </w:rPr>
            </w:pPr>
            <w:r>
              <w:rPr>
                <w:szCs w:val="21"/>
              </w:rPr>
              <w:t>保险配置</w:t>
            </w:r>
          </w:p>
        </w:tc>
        <w:tc>
          <w:tcPr>
            <w:tcW w:w="3305" w:type="pct"/>
            <w:tcBorders>
              <w:top w:val="single" w:color="auto" w:sz="2" w:space="0"/>
              <w:left w:val="single" w:color="auto" w:sz="2" w:space="0"/>
              <w:bottom w:val="single" w:color="auto" w:sz="2" w:space="0"/>
              <w:right w:val="single" w:color="auto" w:sz="2" w:space="0"/>
            </w:tcBorders>
            <w:vAlign w:val="center"/>
          </w:tcPr>
          <w:p>
            <w:pPr>
              <w:pStyle w:val="152"/>
              <w:spacing w:line="420" w:lineRule="exact"/>
              <w:ind w:firstLine="420"/>
              <w:rPr>
                <w:szCs w:val="21"/>
              </w:rPr>
            </w:pPr>
            <w:r>
              <w:rPr>
                <w:szCs w:val="21"/>
              </w:rPr>
              <w:t>投标人承诺为此次服务公共区域购置的公共责任险能充分满足公共责任赔</w:t>
            </w:r>
            <w:r>
              <w:rPr>
                <w:rFonts w:hint="eastAsia"/>
                <w:szCs w:val="21"/>
              </w:rPr>
              <w:t>付</w:t>
            </w:r>
            <w:r>
              <w:rPr>
                <w:szCs w:val="21"/>
              </w:rPr>
              <w:t>责任的得1分</w:t>
            </w:r>
            <w:r>
              <w:rPr>
                <w:rFonts w:hint="eastAsia"/>
                <w:szCs w:val="21"/>
              </w:rPr>
              <w:t>（提供承诺函，未提供不得分）</w:t>
            </w:r>
            <w:r>
              <w:rPr>
                <w:szCs w:val="21"/>
              </w:rPr>
              <w:t>；</w:t>
            </w:r>
          </w:p>
        </w:tc>
        <w:tc>
          <w:tcPr>
            <w:tcW w:w="402" w:type="pct"/>
            <w:tcBorders>
              <w:top w:val="single" w:color="auto" w:sz="2" w:space="0"/>
              <w:left w:val="single" w:color="auto" w:sz="2" w:space="0"/>
              <w:bottom w:val="single" w:color="auto" w:sz="2" w:space="0"/>
              <w:right w:val="single" w:color="auto" w:sz="2" w:space="0"/>
            </w:tcBorders>
            <w:vAlign w:val="center"/>
          </w:tcPr>
          <w:p>
            <w:pPr>
              <w:pStyle w:val="152"/>
              <w:spacing w:line="420" w:lineRule="exact"/>
              <w:ind w:firstLine="0" w:firstLineChars="0"/>
              <w:rPr>
                <w:szCs w:val="21"/>
              </w:rPr>
            </w:pPr>
            <w:r>
              <w:rPr>
                <w:rFonts w:hint="eastAsia"/>
                <w:szCs w:val="21"/>
              </w:rPr>
              <w:t>1</w:t>
            </w:r>
            <w:r>
              <w:rPr>
                <w:szCs w:val="21"/>
              </w:rPr>
              <w:t>分</w:t>
            </w:r>
          </w:p>
        </w:tc>
      </w:tr>
    </w:tbl>
    <w:p>
      <w:pPr>
        <w:pStyle w:val="3"/>
        <w:numPr>
          <w:ilvl w:val="1"/>
          <w:numId w:val="3"/>
        </w:numPr>
        <w:spacing w:before="0" w:after="0" w:line="560" w:lineRule="exact"/>
        <w:ind w:left="2269" w:hanging="2127"/>
        <w:rPr>
          <w:color w:val="000000" w:themeColor="text1"/>
          <w14:textFill>
            <w14:solidFill>
              <w14:schemeClr w14:val="tx1"/>
            </w14:solidFill>
          </w14:textFill>
        </w:rPr>
      </w:pPr>
      <w:bookmarkStart w:id="334" w:name="_Toc320624285"/>
      <w:bookmarkEnd w:id="334"/>
      <w:bookmarkStart w:id="335" w:name="_Toc320624275"/>
      <w:bookmarkEnd w:id="335"/>
      <w:bookmarkStart w:id="336" w:name="_Toc315871658"/>
      <w:bookmarkEnd w:id="336"/>
      <w:bookmarkStart w:id="337" w:name="_Toc320624280"/>
      <w:bookmarkEnd w:id="337"/>
      <w:bookmarkStart w:id="338" w:name="_Toc315871657"/>
      <w:bookmarkEnd w:id="338"/>
      <w:bookmarkStart w:id="339" w:name="_Toc320624265"/>
      <w:bookmarkEnd w:id="339"/>
      <w:bookmarkStart w:id="340" w:name="_Toc320624295"/>
      <w:bookmarkEnd w:id="340"/>
      <w:bookmarkStart w:id="341" w:name="_Toc320624255"/>
      <w:bookmarkEnd w:id="341"/>
      <w:bookmarkStart w:id="342" w:name="_Toc318206701"/>
      <w:bookmarkEnd w:id="342"/>
      <w:bookmarkStart w:id="343" w:name="_Toc315871656"/>
      <w:bookmarkEnd w:id="343"/>
      <w:bookmarkStart w:id="344" w:name="_Toc320624260"/>
      <w:bookmarkEnd w:id="344"/>
      <w:bookmarkStart w:id="345" w:name="_Toc315871725"/>
      <w:bookmarkEnd w:id="345"/>
      <w:bookmarkStart w:id="346" w:name="_Toc320624290"/>
      <w:bookmarkEnd w:id="346"/>
      <w:bookmarkStart w:id="347" w:name="_Toc320624240"/>
      <w:bookmarkEnd w:id="347"/>
      <w:bookmarkStart w:id="348" w:name="_Toc19565"/>
      <w:bookmarkStart w:id="349" w:name="_Toc77584665"/>
      <w:bookmarkStart w:id="350" w:name="_Toc315871726"/>
      <w:bookmarkStart w:id="351" w:name="_Toc23841"/>
      <w:bookmarkStart w:id="352" w:name="_Toc15076"/>
      <w:bookmarkStart w:id="353" w:name="_Toc18803"/>
      <w:bookmarkStart w:id="354" w:name="_Toc316292258"/>
      <w:bookmarkStart w:id="355" w:name="_Toc217446060"/>
      <w:r>
        <w:rPr>
          <w:rFonts w:hint="eastAsia"/>
          <w:color w:val="000000" w:themeColor="text1"/>
          <w14:textFill>
            <w14:solidFill>
              <w14:schemeClr w14:val="tx1"/>
            </w14:solidFill>
          </w14:textFill>
        </w:rPr>
        <w:t>废标</w:t>
      </w:r>
      <w:bookmarkEnd w:id="348"/>
      <w:bookmarkEnd w:id="349"/>
      <w:bookmarkEnd w:id="350"/>
      <w:bookmarkEnd w:id="351"/>
      <w:bookmarkEnd w:id="352"/>
      <w:bookmarkEnd w:id="353"/>
      <w:bookmarkEnd w:id="354"/>
    </w:p>
    <w:p>
      <w:pPr>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本次政府采购活动中，出现下列情形之一的，予以废标：</w:t>
      </w:r>
    </w:p>
    <w:p>
      <w:pPr>
        <w:numPr>
          <w:ilvl w:val="0"/>
          <w:numId w:val="46"/>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符合专业条件的投标人或者对招标文件作实质响应的投标人不足三家的；</w:t>
      </w:r>
    </w:p>
    <w:p>
      <w:pPr>
        <w:numPr>
          <w:ilvl w:val="0"/>
          <w:numId w:val="46"/>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出现影响采购公正的违法、违规行为的；</w:t>
      </w:r>
    </w:p>
    <w:p>
      <w:pPr>
        <w:numPr>
          <w:ilvl w:val="0"/>
          <w:numId w:val="46"/>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投标人的报价均超过了采购预算，采购人不能支付的；</w:t>
      </w:r>
    </w:p>
    <w:p>
      <w:pPr>
        <w:numPr>
          <w:ilvl w:val="0"/>
          <w:numId w:val="46"/>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因重大变故，采购任务取消的；</w:t>
      </w:r>
    </w:p>
    <w:p>
      <w:pPr>
        <w:numPr>
          <w:ilvl w:val="0"/>
          <w:numId w:val="46"/>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废标后，区采购中心将在“四川政府采购网”和“成都市公共资源交易服务中心”网站上公告。</w:t>
      </w:r>
    </w:p>
    <w:p>
      <w:pPr>
        <w:pStyle w:val="3"/>
        <w:numPr>
          <w:ilvl w:val="1"/>
          <w:numId w:val="3"/>
        </w:numPr>
        <w:spacing w:before="0" w:after="0" w:line="560" w:lineRule="exact"/>
        <w:ind w:left="2269" w:hanging="2127"/>
        <w:rPr>
          <w:color w:val="000000" w:themeColor="text1"/>
          <w14:textFill>
            <w14:solidFill>
              <w14:schemeClr w14:val="tx1"/>
            </w14:solidFill>
          </w14:textFill>
        </w:rPr>
      </w:pPr>
      <w:bookmarkStart w:id="356" w:name="_Toc315871727"/>
      <w:bookmarkStart w:id="357" w:name="_Toc3782"/>
      <w:bookmarkStart w:id="358" w:name="_Toc27932"/>
      <w:bookmarkStart w:id="359" w:name="_Toc19880"/>
      <w:bookmarkStart w:id="360" w:name="_Toc77584666"/>
      <w:bookmarkStart w:id="361" w:name="_Toc8992"/>
      <w:bookmarkStart w:id="362" w:name="_Toc316292259"/>
      <w:r>
        <w:rPr>
          <w:rFonts w:hint="eastAsia"/>
          <w:color w:val="000000" w:themeColor="text1"/>
          <w14:textFill>
            <w14:solidFill>
              <w14:schemeClr w14:val="tx1"/>
            </w14:solidFill>
          </w14:textFill>
        </w:rPr>
        <w:t>定标</w:t>
      </w:r>
      <w:bookmarkEnd w:id="355"/>
      <w:bookmarkEnd w:id="356"/>
      <w:bookmarkEnd w:id="357"/>
      <w:bookmarkEnd w:id="358"/>
      <w:bookmarkEnd w:id="359"/>
      <w:bookmarkEnd w:id="360"/>
      <w:bookmarkEnd w:id="361"/>
      <w:bookmarkEnd w:id="362"/>
      <w:bookmarkStart w:id="363" w:name="_Toc217446061"/>
    </w:p>
    <w:p>
      <w:pPr>
        <w:pStyle w:val="4"/>
        <w:numPr>
          <w:ilvl w:val="2"/>
          <w:numId w:val="3"/>
        </w:numPr>
        <w:spacing w:after="200" w:line="560" w:lineRule="exact"/>
        <w:ind w:left="0" w:firstLine="0"/>
        <w:rPr>
          <w:color w:val="000000" w:themeColor="text1"/>
          <w14:textFill>
            <w14:solidFill>
              <w14:schemeClr w14:val="tx1"/>
            </w14:solidFill>
          </w14:textFill>
        </w:rPr>
      </w:pPr>
      <w:bookmarkStart w:id="364" w:name="_Toc316292260"/>
      <w:bookmarkStart w:id="365" w:name="_Toc315871728"/>
      <w:r>
        <w:rPr>
          <w:rFonts w:hint="eastAsia"/>
          <w:color w:val="000000" w:themeColor="text1"/>
          <w14:textFill>
            <w14:solidFill>
              <w14:schemeClr w14:val="tx1"/>
            </w14:solidFill>
          </w14:textFill>
        </w:rPr>
        <w:t>定标原则</w:t>
      </w:r>
      <w:bookmarkEnd w:id="363"/>
      <w:bookmarkEnd w:id="364"/>
      <w:bookmarkEnd w:id="365"/>
    </w:p>
    <w:p>
      <w:pPr>
        <w:spacing w:line="560" w:lineRule="exact"/>
        <w:ind w:firstLine="560" w:firstLineChars="200"/>
        <w:rPr>
          <w:rFonts w:ascii="宋体" w:hAnsi="宋体"/>
          <w:color w:val="000000" w:themeColor="text1"/>
          <w:sz w:val="28"/>
          <w:szCs w:val="28"/>
          <w14:textFill>
            <w14:solidFill>
              <w14:schemeClr w14:val="tx1"/>
            </w14:solidFill>
          </w14:textFill>
        </w:rPr>
      </w:pPr>
      <w:bookmarkStart w:id="366" w:name="_Toc315871729"/>
      <w:bookmarkStart w:id="367" w:name="_Toc217446062"/>
      <w:bookmarkStart w:id="368" w:name="_Toc316292261"/>
      <w:r>
        <w:rPr>
          <w:rFonts w:hint="eastAsia" w:ascii="宋体" w:hAnsi="宋体"/>
          <w:color w:val="000000" w:themeColor="text1"/>
          <w:sz w:val="28"/>
          <w:szCs w:val="28"/>
          <w14:textFill>
            <w14:solidFill>
              <w14:schemeClr w14:val="tx1"/>
            </w14:solidFill>
          </w14:textFill>
        </w:rPr>
        <w:t>本项目根据评标委员会确定的中标候选人名单，采购人在每包件中按顺序确定1名中标人。中标候选供应商并列的，</w:t>
      </w:r>
      <w:r>
        <w:rPr>
          <w:rFonts w:hint="eastAsia" w:ascii="宋体"/>
          <w:color w:val="000000" w:themeColor="text1"/>
          <w:sz w:val="28"/>
          <w:szCs w:val="28"/>
          <w14:textFill>
            <w14:solidFill>
              <w14:schemeClr w14:val="tx1"/>
            </w14:solidFill>
          </w14:textFill>
        </w:rPr>
        <w:t>由采购人采取随机抽取的方式确定中标人</w:t>
      </w:r>
      <w:r>
        <w:rPr>
          <w:rFonts w:hint="eastAsia" w:ascii="宋体" w:hAnsi="宋体"/>
          <w:color w:val="000000" w:themeColor="text1"/>
          <w:sz w:val="28"/>
          <w:szCs w:val="28"/>
          <w14:textFill>
            <w14:solidFill>
              <w14:schemeClr w14:val="tx1"/>
            </w14:solidFill>
          </w14:textFill>
        </w:rPr>
        <w:t>。</w:t>
      </w:r>
    </w:p>
    <w:p>
      <w:pPr>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cs="Helvetica" w:asciiTheme="minorEastAsia" w:hAnsiTheme="minorEastAsia" w:eastAsiaTheme="minorEastAsia"/>
          <w:color w:val="000000" w:themeColor="text1"/>
          <w:kern w:val="0"/>
          <w:sz w:val="28"/>
          <w:szCs w:val="28"/>
          <w14:textFill>
            <w14:solidFill>
              <w14:schemeClr w14:val="tx1"/>
            </w14:solidFill>
          </w14:textFill>
        </w:rPr>
        <w:t>采购人在收到评标报告</w:t>
      </w:r>
      <w:r>
        <w:rPr>
          <w:rFonts w:hint="eastAsia" w:cs="宋体" w:asciiTheme="minorEastAsia" w:hAnsiTheme="minorEastAsia" w:eastAsiaTheme="minorEastAsia"/>
          <w:color w:val="000000" w:themeColor="text1"/>
          <w:kern w:val="0"/>
          <w:sz w:val="28"/>
          <w:szCs w:val="28"/>
          <w14:textFill>
            <w14:solidFill>
              <w14:schemeClr w14:val="tx1"/>
            </w14:solidFill>
          </w14:textFill>
        </w:rPr>
        <w:t>5</w:t>
      </w:r>
      <w:r>
        <w:rPr>
          <w:rFonts w:hint="eastAsia" w:cs="Helvetica" w:asciiTheme="minorEastAsia" w:hAnsiTheme="minorEastAsia" w:eastAsiaTheme="minorEastAsia"/>
          <w:color w:val="000000" w:themeColor="text1"/>
          <w:kern w:val="0"/>
          <w:sz w:val="28"/>
          <w:szCs w:val="28"/>
          <w14:textFill>
            <w14:solidFill>
              <w14:schemeClr w14:val="tx1"/>
            </w14:solidFill>
          </w14:textFill>
        </w:rPr>
        <w:t>个工作日内未按评标报告推荐的中标候选人顺序确定中标人，又不能说明合法理由的，视同按评标报告推荐的顺序确定排名第一的中标候选人为中标人。</w:t>
      </w:r>
    </w:p>
    <w:p>
      <w:pPr>
        <w:pStyle w:val="4"/>
        <w:numPr>
          <w:ilvl w:val="2"/>
          <w:numId w:val="3"/>
        </w:numPr>
        <w:spacing w:after="200" w:line="560" w:lineRule="exact"/>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定标程序</w:t>
      </w:r>
      <w:bookmarkEnd w:id="366"/>
      <w:bookmarkEnd w:id="367"/>
      <w:bookmarkEnd w:id="368"/>
    </w:p>
    <w:bookmarkEnd w:id="308"/>
    <w:p>
      <w:pPr>
        <w:spacing w:line="560" w:lineRule="exact"/>
        <w:ind w:firstLine="560" w:firstLineChars="200"/>
        <w:rPr>
          <w:rFonts w:ascii="宋体" w:hAnsi="宋体"/>
          <w:color w:val="000000" w:themeColor="text1"/>
          <w:kern w:val="0"/>
          <w:sz w:val="28"/>
          <w:szCs w:val="28"/>
          <w14:textFill>
            <w14:solidFill>
              <w14:schemeClr w14:val="tx1"/>
            </w14:solidFill>
          </w14:textFill>
        </w:rPr>
      </w:pPr>
      <w:bookmarkStart w:id="369" w:name="_Toc316292262"/>
      <w:bookmarkStart w:id="370" w:name="_Toc315871730"/>
      <w:r>
        <w:rPr>
          <w:rFonts w:hint="eastAsia" w:ascii="宋体" w:hAnsi="宋体"/>
          <w:color w:val="000000" w:themeColor="text1"/>
          <w:kern w:val="0"/>
          <w:sz w:val="28"/>
          <w:szCs w:val="28"/>
          <w14:textFill>
            <w14:solidFill>
              <w14:schemeClr w14:val="tx1"/>
            </w14:solidFill>
          </w14:textFill>
        </w:rPr>
        <w:t>一、评审委员会将评审情况写出书面报告。</w:t>
      </w:r>
    </w:p>
    <w:p>
      <w:pPr>
        <w:spacing w:line="560" w:lineRule="exact"/>
        <w:ind w:firstLine="560" w:firstLineChars="200"/>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二、区采购中心在评审结束之日起2个工作日内将评审报告送采购人。</w:t>
      </w:r>
    </w:p>
    <w:p>
      <w:pPr>
        <w:pStyle w:val="17"/>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采购人在收到评审报告后3个工作日内，按照评审报告中推荐的中标（成交）候选人顺序确定中标（成交）人。如果中标（成交）候选人及其现任法定代表人、主要负责人存在行贿犯罪记录，采购人将不确定其为中标（成交）人。采购人在确认成交供应商前，应到中国裁判文书网（https://wenshu.court.gov.cn）查询成交候选供应商及其现任法定代表人、主要负责人是否存在行贿犯罪记录。</w:t>
      </w:r>
    </w:p>
    <w:p>
      <w:pPr>
        <w:spacing w:line="560" w:lineRule="exact"/>
        <w:ind w:firstLine="560" w:firstLineChars="200"/>
        <w:jc w:val="left"/>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四、根据采购人确定的中标（成交）人，区采购中心在“四川政府采购网”和“成都市公共资源交易服务中心”网站上发布中标（成交）公告，同时向中标（成交）人发出中标（成交）通知书。</w:t>
      </w:r>
    </w:p>
    <w:p>
      <w:pPr>
        <w:tabs>
          <w:tab w:val="left" w:pos="1155"/>
        </w:tabs>
        <w:spacing w:line="560" w:lineRule="exact"/>
        <w:ind w:firstLine="565" w:firstLineChars="202"/>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五、采购人、区采购中心不解释中标（成交）或未中标（成交）原因，不退回投标文件和其他投标资料。</w:t>
      </w:r>
    </w:p>
    <w:p>
      <w:pPr>
        <w:pStyle w:val="3"/>
        <w:numPr>
          <w:ilvl w:val="1"/>
          <w:numId w:val="3"/>
        </w:numPr>
        <w:spacing w:before="0" w:after="0" w:line="560" w:lineRule="exact"/>
        <w:ind w:left="2269" w:hanging="2269"/>
        <w:rPr>
          <w:color w:val="000000" w:themeColor="text1"/>
          <w14:textFill>
            <w14:solidFill>
              <w14:schemeClr w14:val="tx1"/>
            </w14:solidFill>
          </w14:textFill>
        </w:rPr>
      </w:pPr>
      <w:bookmarkStart w:id="371" w:name="_Toc20789"/>
      <w:bookmarkStart w:id="372" w:name="_Toc24014"/>
      <w:bookmarkStart w:id="373" w:name="_Toc77584667"/>
      <w:bookmarkStart w:id="374" w:name="_Toc1482"/>
      <w:bookmarkStart w:id="375" w:name="_Toc31963"/>
      <w:r>
        <w:rPr>
          <w:rFonts w:hint="eastAsia"/>
          <w:color w:val="000000" w:themeColor="text1"/>
          <w14:textFill>
            <w14:solidFill>
              <w14:schemeClr w14:val="tx1"/>
            </w14:solidFill>
          </w14:textFill>
        </w:rPr>
        <w:t>评标专家在政府采购活动中承担以下义务</w:t>
      </w:r>
      <w:bookmarkEnd w:id="369"/>
      <w:bookmarkEnd w:id="370"/>
      <w:bookmarkEnd w:id="371"/>
      <w:bookmarkEnd w:id="372"/>
      <w:bookmarkEnd w:id="373"/>
      <w:bookmarkEnd w:id="374"/>
      <w:bookmarkEnd w:id="375"/>
    </w:p>
    <w:p>
      <w:pPr>
        <w:numPr>
          <w:ilvl w:val="0"/>
          <w:numId w:val="47"/>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遵纪守法，客观、公正、廉洁地履行职责。</w:t>
      </w:r>
    </w:p>
    <w:p>
      <w:pPr>
        <w:numPr>
          <w:ilvl w:val="0"/>
          <w:numId w:val="47"/>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按照政府采购法律法规和采购文件的规定要求对投标人的资格条件和投标人提供的产品价格、技术、服务等方面严格进行独立评审，提供科学合理、公平公正的评审意见，参与起草评审报告，并予签字确认。</w:t>
      </w:r>
    </w:p>
    <w:p>
      <w:pPr>
        <w:numPr>
          <w:ilvl w:val="0"/>
          <w:numId w:val="47"/>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保守秘密。不得泄漏投标人的投标文件及知悉的商业秘密，不得向投标人透露评审情况。</w:t>
      </w:r>
    </w:p>
    <w:p>
      <w:pPr>
        <w:numPr>
          <w:ilvl w:val="0"/>
          <w:numId w:val="47"/>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发现投标人在政府采购活动中有不正当竞争或恶意串通等违规行为，及时向政府采购评审工作的组织者或财政部门报告并加以制止。</w:t>
      </w:r>
    </w:p>
    <w:p>
      <w:pPr>
        <w:numPr>
          <w:ilvl w:val="0"/>
          <w:numId w:val="47"/>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发现采购人、区采购中心及其工作人员在政府采购活动中有干预评审、发表倾向性和歧视性言论、受贿或者接受投标人的其他好处及其他违法违规行为，及时向财政部门报告。</w:t>
      </w:r>
    </w:p>
    <w:p>
      <w:pPr>
        <w:numPr>
          <w:ilvl w:val="0"/>
          <w:numId w:val="47"/>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解答有关方面对政府采购评审工作中有关问题的询问，配合采购人或者区采购中心答复投标人的询问、质疑，配合财政部门的投诉处理工作等事宜。</w:t>
      </w:r>
    </w:p>
    <w:p>
      <w:pPr>
        <w:numPr>
          <w:ilvl w:val="0"/>
          <w:numId w:val="47"/>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法律、法规和规章规定的其他义务。</w:t>
      </w:r>
    </w:p>
    <w:p>
      <w:pPr>
        <w:pStyle w:val="3"/>
        <w:numPr>
          <w:ilvl w:val="1"/>
          <w:numId w:val="3"/>
        </w:numPr>
        <w:spacing w:before="0" w:after="0" w:line="560" w:lineRule="exact"/>
        <w:ind w:left="2269" w:hanging="2269"/>
        <w:rPr>
          <w:color w:val="000000" w:themeColor="text1"/>
          <w14:textFill>
            <w14:solidFill>
              <w14:schemeClr w14:val="tx1"/>
            </w14:solidFill>
          </w14:textFill>
        </w:rPr>
      </w:pPr>
      <w:bookmarkStart w:id="376" w:name="_Toc7637"/>
      <w:bookmarkStart w:id="377" w:name="_Toc31664"/>
      <w:bookmarkStart w:id="378" w:name="_Toc3861"/>
      <w:bookmarkStart w:id="379" w:name="_Toc77584668"/>
      <w:bookmarkStart w:id="380" w:name="_Toc9396"/>
      <w:r>
        <w:rPr>
          <w:rFonts w:hint="eastAsia"/>
          <w:color w:val="000000" w:themeColor="text1"/>
          <w14:textFill>
            <w14:solidFill>
              <w14:schemeClr w14:val="tx1"/>
            </w14:solidFill>
          </w14:textFill>
        </w:rPr>
        <w:t>评标委员会及其成员不得有下列行为：</w:t>
      </w:r>
      <w:bookmarkEnd w:id="376"/>
      <w:bookmarkEnd w:id="377"/>
      <w:bookmarkEnd w:id="378"/>
      <w:bookmarkEnd w:id="379"/>
      <w:bookmarkEnd w:id="380"/>
    </w:p>
    <w:p>
      <w:pPr>
        <w:tabs>
          <w:tab w:val="left" w:pos="1418"/>
        </w:tabs>
        <w:spacing w:line="56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一、确定参与评标至评标结束前私自接触投标人；</w:t>
      </w:r>
    </w:p>
    <w:p>
      <w:pPr>
        <w:tabs>
          <w:tab w:val="left" w:pos="1418"/>
        </w:tabs>
        <w:spacing w:line="56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二、接受投标人提出的与投标文件不一致的澄清或者说明，除招标文件明确可以澄清的除外；</w:t>
      </w:r>
    </w:p>
    <w:p>
      <w:pPr>
        <w:tabs>
          <w:tab w:val="left" w:pos="1418"/>
        </w:tabs>
        <w:spacing w:line="56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三、违反评标纪律发表倾向性意见或者征询采购人的倾向性意见；</w:t>
      </w:r>
    </w:p>
    <w:p>
      <w:pPr>
        <w:tabs>
          <w:tab w:val="left" w:pos="1418"/>
        </w:tabs>
        <w:spacing w:line="56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四、对需要专业判断的主观评审因素协商评分；</w:t>
      </w:r>
    </w:p>
    <w:p>
      <w:pPr>
        <w:tabs>
          <w:tab w:val="left" w:pos="1418"/>
        </w:tabs>
        <w:spacing w:line="56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五、在评标过程中擅离职守，影响评标程序正常进行的；</w:t>
      </w:r>
    </w:p>
    <w:p>
      <w:pPr>
        <w:tabs>
          <w:tab w:val="left" w:pos="1276"/>
          <w:tab w:val="left" w:pos="1418"/>
        </w:tabs>
        <w:spacing w:line="56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六、记录、复制或者带走任何评标资料；</w:t>
      </w:r>
    </w:p>
    <w:p>
      <w:pPr>
        <w:tabs>
          <w:tab w:val="left" w:pos="993"/>
          <w:tab w:val="left" w:pos="1276"/>
          <w:tab w:val="left" w:pos="1418"/>
        </w:tabs>
        <w:spacing w:line="56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七、其他不遵守评标纪律的行为。</w:t>
      </w:r>
    </w:p>
    <w:p>
      <w:pPr>
        <w:tabs>
          <w:tab w:val="left" w:pos="1155"/>
        </w:tabs>
        <w:spacing w:line="560" w:lineRule="exact"/>
        <w:ind w:left="142" w:firstLine="565" w:firstLineChars="202"/>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评标委员会成员有前款第一至五项行为之一的，其评审意见无效，并不得获取评审劳务报酬和报销异地评审差旅费。</w:t>
      </w:r>
    </w:p>
    <w:p>
      <w:pPr>
        <w:pStyle w:val="3"/>
        <w:numPr>
          <w:ilvl w:val="1"/>
          <w:numId w:val="3"/>
        </w:numPr>
        <w:spacing w:before="0" w:after="0" w:line="560" w:lineRule="exact"/>
        <w:ind w:left="2269" w:hanging="2127"/>
        <w:rPr>
          <w:color w:val="000000" w:themeColor="text1"/>
          <w14:textFill>
            <w14:solidFill>
              <w14:schemeClr w14:val="tx1"/>
            </w14:solidFill>
          </w14:textFill>
        </w:rPr>
      </w:pPr>
      <w:bookmarkStart w:id="381" w:name="_Toc15267"/>
      <w:bookmarkStart w:id="382" w:name="_Toc494464930"/>
      <w:bookmarkStart w:id="383" w:name="_Toc22920"/>
      <w:bookmarkStart w:id="384" w:name="_Toc16147"/>
      <w:bookmarkStart w:id="385" w:name="_Toc6837"/>
      <w:bookmarkStart w:id="386" w:name="_Toc77584669"/>
      <w:r>
        <w:rPr>
          <w:rFonts w:hint="eastAsia"/>
          <w:color w:val="000000" w:themeColor="text1"/>
          <w14:textFill>
            <w14:solidFill>
              <w14:schemeClr w14:val="tx1"/>
            </w14:solidFill>
          </w14:textFill>
        </w:rPr>
        <w:t>评审专家在政府采购活动中应当遵守以下工作纪律</w:t>
      </w:r>
      <w:bookmarkEnd w:id="381"/>
      <w:bookmarkEnd w:id="382"/>
      <w:bookmarkEnd w:id="383"/>
      <w:bookmarkEnd w:id="384"/>
      <w:bookmarkEnd w:id="385"/>
      <w:bookmarkEnd w:id="386"/>
    </w:p>
    <w:p>
      <w:pPr>
        <w:numPr>
          <w:ilvl w:val="0"/>
          <w:numId w:val="48"/>
        </w:numPr>
        <w:tabs>
          <w:tab w:val="left" w:pos="1155"/>
        </w:tabs>
        <w:spacing w:after="200" w:line="56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遵行《政府采购法》第十二条和《政府采购法实施条例》第九条及政府采购相关法律法规关于回避的规定。</w:t>
      </w:r>
    </w:p>
    <w:p>
      <w:pPr>
        <w:numPr>
          <w:ilvl w:val="0"/>
          <w:numId w:val="48"/>
        </w:numPr>
        <w:tabs>
          <w:tab w:val="left" w:pos="1155"/>
        </w:tabs>
        <w:spacing w:after="200" w:line="56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应邀按时参加评审和咨询活动，遵守评标区管理规定。</w:t>
      </w:r>
    </w:p>
    <w:p>
      <w:pPr>
        <w:numPr>
          <w:ilvl w:val="0"/>
          <w:numId w:val="48"/>
        </w:numPr>
        <w:tabs>
          <w:tab w:val="left" w:pos="1155"/>
        </w:tabs>
        <w:spacing w:after="200" w:line="56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进入评标区之前应将所有的通信设备存入区采购中心指定的存放处。评标专家不得以任何方式将通信设备带入评标区，否则将被取消其当次项目的评标资格。遇特殊情况不能出席或途中遇阻不能按时参加评审或咨询的，应及时告知财政部门或者采购人或者区采购</w:t>
      </w:r>
      <w:r>
        <w:rPr>
          <w:rFonts w:hint="eastAsia" w:cs="Arial"/>
          <w:color w:val="000000" w:themeColor="text1"/>
          <w:sz w:val="28"/>
          <w:szCs w:val="28"/>
          <w14:textFill>
            <w14:solidFill>
              <w14:schemeClr w14:val="tx1"/>
            </w14:solidFill>
          </w14:textFill>
        </w:rPr>
        <w:t>中心</w:t>
      </w:r>
      <w:r>
        <w:rPr>
          <w:rFonts w:hint="eastAsia" w:ascii="宋体" w:hAnsi="宋体"/>
          <w:color w:val="000000" w:themeColor="text1"/>
          <w:sz w:val="28"/>
          <w:szCs w:val="28"/>
          <w14:textFill>
            <w14:solidFill>
              <w14:schemeClr w14:val="tx1"/>
            </w14:solidFill>
          </w14:textFill>
        </w:rPr>
        <w:t>，不得私自转托他人。</w:t>
      </w:r>
    </w:p>
    <w:p>
      <w:pPr>
        <w:numPr>
          <w:ilvl w:val="0"/>
          <w:numId w:val="48"/>
        </w:numPr>
        <w:tabs>
          <w:tab w:val="left" w:pos="1155"/>
        </w:tabs>
        <w:spacing w:after="200" w:line="56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不得参加与自己有利害关系的政府采购项目的评审活动。对与自己有利害关系的评审项目，如受到邀请，应主动提出回避。财政部门、采购人或区采购</w:t>
      </w:r>
      <w:r>
        <w:rPr>
          <w:rFonts w:hint="eastAsia" w:cs="Arial"/>
          <w:color w:val="000000" w:themeColor="text1"/>
          <w:sz w:val="28"/>
          <w:szCs w:val="28"/>
          <w14:textFill>
            <w14:solidFill>
              <w14:schemeClr w14:val="tx1"/>
            </w14:solidFill>
          </w14:textFill>
        </w:rPr>
        <w:t>中心</w:t>
      </w:r>
      <w:r>
        <w:rPr>
          <w:rFonts w:hint="eastAsia" w:ascii="宋体" w:hAnsi="宋体"/>
          <w:color w:val="000000" w:themeColor="text1"/>
          <w:sz w:val="28"/>
          <w:szCs w:val="28"/>
          <w14:textFill>
            <w14:solidFill>
              <w14:schemeClr w14:val="tx1"/>
            </w14:solidFill>
          </w14:textFill>
        </w:rPr>
        <w:t>也可要求该评审专家回避。</w:t>
      </w:r>
    </w:p>
    <w:p>
      <w:pPr>
        <w:numPr>
          <w:ilvl w:val="0"/>
          <w:numId w:val="48"/>
        </w:numPr>
        <w:tabs>
          <w:tab w:val="left" w:pos="1155"/>
        </w:tabs>
        <w:spacing w:after="200" w:line="56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评审过程中关闭通讯设备，不得与外界联系。因发生不可预见情况，确实需要与外界联系的，应告知评标区值守人员，使用评标区内由区采购中心提供的通信设备，在监督人员监督之下办理。</w:t>
      </w:r>
    </w:p>
    <w:p>
      <w:pPr>
        <w:numPr>
          <w:ilvl w:val="0"/>
          <w:numId w:val="48"/>
        </w:numPr>
        <w:tabs>
          <w:tab w:val="left" w:pos="1155"/>
        </w:tabs>
        <w:spacing w:after="200" w:line="56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审过程中，不得发表影响评审公正的倾向性、歧视性言论；不得征询或者接受采购人的倾向性意见；不得修改或细化招标文件确定的评标程序、评标方法、评标因素和评标标准；不得接受投标人主动提出的澄清和解释；不得协商评分；不得以任何明示或暗示的方式要求参加该采购项目的投标人以澄清、说明或补正为借口，表达与其原投标文件原意不同的新意见；不得以采购文件没有规定的方法和标准作为评审的依据；不得违反规定的评审格式评分和撰写评审意见；不得拒绝对自己的评审意见签字确认。</w:t>
      </w:r>
    </w:p>
    <w:p>
      <w:pPr>
        <w:numPr>
          <w:ilvl w:val="0"/>
          <w:numId w:val="48"/>
        </w:numPr>
        <w:tabs>
          <w:tab w:val="left" w:pos="1155"/>
        </w:tabs>
        <w:spacing w:after="200" w:line="56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在评标过程中和评标结束后，不得记录、复制或带走任何评标资料，除因规定的义务外，不得向外界透露评标内容。</w:t>
      </w:r>
    </w:p>
    <w:p>
      <w:pPr>
        <w:numPr>
          <w:ilvl w:val="0"/>
          <w:numId w:val="48"/>
        </w:numPr>
        <w:tabs>
          <w:tab w:val="left" w:pos="1155"/>
        </w:tabs>
        <w:spacing w:after="200" w:line="56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服从评标现场区采购</w:t>
      </w:r>
      <w:r>
        <w:rPr>
          <w:rFonts w:hint="eastAsia" w:cs="Arial"/>
          <w:color w:val="000000" w:themeColor="text1"/>
          <w:sz w:val="28"/>
          <w:szCs w:val="28"/>
          <w14:textFill>
            <w14:solidFill>
              <w14:schemeClr w14:val="tx1"/>
            </w14:solidFill>
          </w14:textFill>
        </w:rPr>
        <w:t>中心</w:t>
      </w:r>
      <w:r>
        <w:rPr>
          <w:rFonts w:hint="eastAsia" w:ascii="宋体" w:hAnsi="宋体"/>
          <w:color w:val="000000" w:themeColor="text1"/>
          <w:sz w:val="28"/>
          <w:szCs w:val="28"/>
          <w14:textFill>
            <w14:solidFill>
              <w14:schemeClr w14:val="tx1"/>
            </w14:solidFill>
          </w14:textFill>
        </w:rPr>
        <w:t>的现场秩序管理，接受评标现场监督人员的合法监督。</w:t>
      </w:r>
    </w:p>
    <w:p>
      <w:pPr>
        <w:numPr>
          <w:ilvl w:val="0"/>
          <w:numId w:val="48"/>
        </w:numPr>
        <w:tabs>
          <w:tab w:val="left" w:pos="1155"/>
        </w:tabs>
        <w:spacing w:after="200" w:line="56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遵守有关廉洁自律规定，不得私下接触投标人，不得收受投标人及有关业务单位和个人的财物或好处，不得接受采购组织单位的请托。</w:t>
      </w:r>
    </w:p>
    <w:p>
      <w:pPr>
        <w:numPr>
          <w:ilvl w:val="0"/>
          <w:numId w:val="48"/>
        </w:numPr>
        <w:tabs>
          <w:tab w:val="left" w:pos="1155"/>
        </w:tabs>
        <w:spacing w:after="200" w:line="56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在咨询工作中，严格执行国家产业政策和产品标准，认真听取咨询方的合理要求，提出科学合理的、无倾向性和歧视性的咨询方案，并对所提出的意见和建议承担个人责任。</w:t>
      </w:r>
    </w:p>
    <w:p>
      <w:pPr>
        <w:numPr>
          <w:ilvl w:val="0"/>
          <w:numId w:val="48"/>
        </w:numPr>
        <w:tabs>
          <w:tab w:val="left" w:pos="1155"/>
        </w:tabs>
        <w:spacing w:after="200" w:line="56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有关部门（机构）制定的其他评审工作纪律。</w:t>
      </w:r>
      <w:bookmarkEnd w:id="0"/>
      <w:bookmarkEnd w:id="1"/>
      <w:bookmarkEnd w:id="2"/>
      <w:bookmarkEnd w:id="3"/>
      <w:bookmarkStart w:id="387" w:name="_Toc19415"/>
      <w:r>
        <w:rPr>
          <w:color w:val="000000" w:themeColor="text1"/>
          <w14:textFill>
            <w14:solidFill>
              <w14:schemeClr w14:val="tx1"/>
            </w14:solidFill>
          </w14:textFill>
        </w:rPr>
        <w:br w:type="page"/>
      </w:r>
    </w:p>
    <w:p>
      <w:pPr>
        <w:pStyle w:val="2"/>
        <w:numPr>
          <w:ilvl w:val="0"/>
          <w:numId w:val="3"/>
        </w:numPr>
        <w:spacing w:before="0" w:after="0" w:line="360" w:lineRule="auto"/>
        <w:rPr>
          <w:color w:val="000000" w:themeColor="text1"/>
          <w:sz w:val="24"/>
          <w14:textFill>
            <w14:solidFill>
              <w14:schemeClr w14:val="tx1"/>
            </w14:solidFill>
          </w14:textFill>
        </w:rPr>
      </w:pPr>
      <w:bookmarkStart w:id="388" w:name="_Toc27722"/>
      <w:bookmarkStart w:id="389" w:name="_Toc20535"/>
      <w:bookmarkStart w:id="390" w:name="_Toc77584670"/>
      <w:bookmarkStart w:id="391" w:name="_Toc1640"/>
      <w:r>
        <w:rPr>
          <w:rFonts w:hint="eastAsia"/>
          <w:color w:val="000000" w:themeColor="text1"/>
          <w14:textFill>
            <w14:solidFill>
              <w14:schemeClr w14:val="tx1"/>
            </w14:solidFill>
          </w14:textFill>
        </w:rPr>
        <w:t>拟签订合同文本</w:t>
      </w:r>
      <w:bookmarkEnd w:id="387"/>
      <w:bookmarkEnd w:id="388"/>
      <w:bookmarkEnd w:id="389"/>
      <w:bookmarkEnd w:id="390"/>
      <w:bookmarkEnd w:id="391"/>
    </w:p>
    <w:p>
      <w:pPr>
        <w:spacing w:line="400" w:lineRule="exact"/>
        <w:jc w:val="center"/>
        <w:rPr>
          <w:b/>
          <w:color w:val="000000" w:themeColor="text1"/>
          <w:sz w:val="32"/>
          <w14:textFill>
            <w14:solidFill>
              <w14:schemeClr w14:val="tx1"/>
            </w14:solidFill>
          </w14:textFill>
        </w:rPr>
      </w:pPr>
      <w:bookmarkStart w:id="392" w:name="_Toc316475756"/>
      <w:bookmarkEnd w:id="392"/>
      <w:bookmarkStart w:id="393" w:name="_Toc316475676"/>
      <w:bookmarkEnd w:id="393"/>
      <w:bookmarkStart w:id="394" w:name="_Toc316475759"/>
      <w:bookmarkEnd w:id="394"/>
      <w:bookmarkStart w:id="395" w:name="_Toc316475671"/>
      <w:bookmarkEnd w:id="395"/>
      <w:bookmarkStart w:id="396" w:name="_Toc316475753"/>
      <w:bookmarkEnd w:id="396"/>
      <w:bookmarkStart w:id="397" w:name="_Toc316475666"/>
      <w:bookmarkEnd w:id="397"/>
      <w:bookmarkStart w:id="398" w:name="_Toc316475751"/>
      <w:bookmarkEnd w:id="398"/>
      <w:bookmarkStart w:id="399" w:name="_Toc316475761"/>
      <w:bookmarkEnd w:id="399"/>
      <w:bookmarkStart w:id="400" w:name="_Toc316475670"/>
      <w:bookmarkEnd w:id="400"/>
      <w:bookmarkStart w:id="401" w:name="_Toc316475673"/>
      <w:bookmarkEnd w:id="401"/>
      <w:bookmarkStart w:id="402" w:name="_Toc316475675"/>
      <w:bookmarkEnd w:id="402"/>
      <w:bookmarkStart w:id="403" w:name="_Toc316475760"/>
      <w:bookmarkEnd w:id="403"/>
      <w:bookmarkStart w:id="404" w:name="_Toc316475674"/>
      <w:bookmarkEnd w:id="404"/>
      <w:bookmarkStart w:id="405" w:name="_Toc316475664"/>
      <w:bookmarkEnd w:id="405"/>
      <w:bookmarkStart w:id="406" w:name="_Toc316475752"/>
      <w:bookmarkEnd w:id="406"/>
      <w:bookmarkStart w:id="407" w:name="_Toc316475762"/>
      <w:bookmarkEnd w:id="407"/>
      <w:bookmarkStart w:id="408" w:name="_Toc316475669"/>
      <w:bookmarkEnd w:id="408"/>
      <w:bookmarkStart w:id="409" w:name="_Toc316475754"/>
      <w:bookmarkEnd w:id="409"/>
      <w:bookmarkStart w:id="410" w:name="_Toc316475668"/>
      <w:bookmarkEnd w:id="410"/>
      <w:bookmarkStart w:id="411" w:name="_Toc316475764"/>
      <w:bookmarkEnd w:id="411"/>
      <w:bookmarkStart w:id="412" w:name="_Toc316475667"/>
      <w:bookmarkEnd w:id="412"/>
      <w:bookmarkStart w:id="413" w:name="_Toc316475763"/>
      <w:bookmarkEnd w:id="413"/>
      <w:bookmarkStart w:id="414" w:name="_Toc316475757"/>
      <w:bookmarkEnd w:id="414"/>
      <w:bookmarkStart w:id="415" w:name="_Toc316475672"/>
      <w:bookmarkEnd w:id="415"/>
      <w:bookmarkStart w:id="416" w:name="_Toc316475755"/>
      <w:bookmarkEnd w:id="416"/>
      <w:bookmarkStart w:id="417" w:name="_Toc316475677"/>
      <w:bookmarkEnd w:id="417"/>
      <w:bookmarkStart w:id="418" w:name="_Toc316475758"/>
      <w:bookmarkEnd w:id="418"/>
      <w:bookmarkStart w:id="419" w:name="_Toc316475665"/>
      <w:bookmarkEnd w:id="419"/>
      <w:bookmarkStart w:id="420" w:name="_Toc11710"/>
      <w:bookmarkStart w:id="421" w:name="_Toc3546"/>
    </w:p>
    <w:p>
      <w:r>
        <w:rPr>
          <w:rFonts w:hint="eastAsia"/>
        </w:rPr>
        <w:t>合同编号：</w:t>
      </w:r>
    </w:p>
    <w:p>
      <w:r>
        <w:rPr>
          <w:rFonts w:hint="eastAsia"/>
        </w:rPr>
        <w:t>签订地点：</w:t>
      </w:r>
    </w:p>
    <w:p>
      <w:r>
        <w:rPr>
          <w:rFonts w:hint="eastAsia"/>
        </w:rPr>
        <w:t>签订时间：   年   月  日。</w:t>
      </w:r>
    </w:p>
    <w:p>
      <w:r>
        <w:rPr>
          <w:rFonts w:hint="eastAsia"/>
        </w:rPr>
        <w:t xml:space="preserve">采购人（甲方）：                              </w:t>
      </w:r>
    </w:p>
    <w:p>
      <w:r>
        <w:rPr>
          <w:rFonts w:hint="eastAsia"/>
        </w:rPr>
        <w:t xml:space="preserve">供应商（乙方）：                                                                     </w:t>
      </w:r>
    </w:p>
    <w:p>
      <w:r>
        <w:rPr>
          <w:rFonts w:hint="eastAsia"/>
        </w:rPr>
        <w:t>根据《中华人民共和国民法典》、《中华人民共和国政府采购法》及 XXXX采购项目（项目编号：  ）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
        <w:rPr>
          <w:rFonts w:hint="eastAsia"/>
        </w:rPr>
        <w:t>一、项目基本情况</w:t>
      </w:r>
    </w:p>
    <w:p/>
    <w:p>
      <w:r>
        <w:rPr>
          <w:rFonts w:hint="eastAsia"/>
        </w:rPr>
        <w:t>二、合同期限</w:t>
      </w:r>
    </w:p>
    <w:p/>
    <w:p>
      <w:r>
        <w:rPr>
          <w:rFonts w:hint="eastAsia"/>
        </w:rPr>
        <w:t>三、服务内容与质量标准</w:t>
      </w:r>
    </w:p>
    <w:p>
      <w:r>
        <w:rPr>
          <w:rFonts w:hint="eastAsia"/>
        </w:rPr>
        <w:t>1、XXXX；</w:t>
      </w:r>
    </w:p>
    <w:p>
      <w:r>
        <w:rPr>
          <w:rFonts w:hint="eastAsia"/>
        </w:rPr>
        <w:t>2、XXXX；</w:t>
      </w:r>
    </w:p>
    <w:p>
      <w:r>
        <w:rPr>
          <w:rFonts w:hint="eastAsia"/>
        </w:rPr>
        <w:t>3、XXXX．</w:t>
      </w:r>
    </w:p>
    <w:p>
      <w:r>
        <w:rPr>
          <w:rFonts w:hint="eastAsia"/>
        </w:rPr>
        <w:t>四、服务费用及支付方式</w:t>
      </w:r>
    </w:p>
    <w:p>
      <w:r>
        <w:rPr>
          <w:rFonts w:hint="eastAsia"/>
        </w:rPr>
        <w:t>（一）本项目服务费用由以下组成：</w:t>
      </w:r>
    </w:p>
    <w:p>
      <w:r>
        <w:rPr>
          <w:rFonts w:hint="eastAsia"/>
        </w:rPr>
        <w:t>1、XX万元；</w:t>
      </w:r>
    </w:p>
    <w:p>
      <w:r>
        <w:rPr>
          <w:rFonts w:hint="eastAsia"/>
        </w:rPr>
        <w:t>2、XX万元；</w:t>
      </w:r>
    </w:p>
    <w:p>
      <w:r>
        <w:rPr>
          <w:rFonts w:hint="eastAsia"/>
        </w:rPr>
        <w:t>3、XX万元。</w:t>
      </w:r>
    </w:p>
    <w:p>
      <w:r>
        <w:rPr>
          <w:rFonts w:hint="eastAsia"/>
        </w:rPr>
        <w:t>……</w:t>
      </w:r>
    </w:p>
    <w:p>
      <w:r>
        <w:rPr>
          <w:rFonts w:hint="eastAsia"/>
        </w:rPr>
        <w:t xml:space="preserve">（二）服务费支付方式： </w:t>
      </w:r>
    </w:p>
    <w:p>
      <w:r>
        <w:rPr>
          <w:rFonts w:hint="eastAsia"/>
        </w:rPr>
        <w:t>五、知识产权</w:t>
      </w:r>
    </w:p>
    <w:p>
      <w:r>
        <w:rPr>
          <w:rFonts w:hint="eastAsia"/>
        </w:rPr>
        <w:t>乙方应保证所提供的服务或其任何一部分均不会侵犯任何第三方的专利权、商标权或著作权。</w:t>
      </w:r>
    </w:p>
    <w:p>
      <w:r>
        <w:rPr>
          <w:rFonts w:hint="eastAsia"/>
        </w:rPr>
        <w:t>六、无产权瑕疵条款</w:t>
      </w:r>
    </w:p>
    <w:p>
      <w:r>
        <w:rPr>
          <w:rFonts w:hint="eastAsia"/>
        </w:rPr>
        <w:t>乙方保证所提供的服务的所有权完全属于乙方且无任何抵押、查封等产权瑕疵。如有产权瑕疵的，视为乙方违约。乙方应负担由此而产生的一切损失。</w:t>
      </w:r>
    </w:p>
    <w:p>
      <w:r>
        <w:rPr>
          <w:rFonts w:hint="eastAsia"/>
        </w:rPr>
        <w:t>七、甲方的权利和义务</w:t>
      </w:r>
    </w:p>
    <w:p>
      <w:r>
        <w:rPr>
          <w:rFonts w:hint="eastAsia"/>
        </w:rPr>
        <w:t>1、甲方有权对合同规定范围内乙方的服务行为进行监督和检查，拥有监管权。有权定期核对乙方提供服务所配备的人员数量。对甲方认为不合理的部分有权下达整改通知书，并要求乙方限期整改。</w:t>
      </w:r>
    </w:p>
    <w:p>
      <w:r>
        <w:rPr>
          <w:rFonts w:hint="eastAsia"/>
        </w:rPr>
        <w:t>2、甲方有权依据双方签订的考评办法对乙方提供的服务进行定期考评。当考评结果未达到标准时，有权依据相关办法对乙方进行管理。</w:t>
      </w:r>
    </w:p>
    <w:p>
      <w:r>
        <w:rPr>
          <w:rFonts w:hint="eastAsia"/>
        </w:rPr>
        <w:t>3、负责检查监督乙方管理工作的实施及制度的执行情况。</w:t>
      </w:r>
    </w:p>
    <w:p>
      <w:r>
        <w:rPr>
          <w:rFonts w:hint="eastAsia"/>
        </w:rPr>
        <w:t>4、根据本合同规定，按时向乙方支付应付服务费用。</w:t>
      </w:r>
    </w:p>
    <w:p>
      <w:r>
        <w:rPr>
          <w:rFonts w:hint="eastAsia"/>
        </w:rPr>
        <w:t>5、国家法律、法规所规定由甲方承担的其它责任。</w:t>
      </w:r>
    </w:p>
    <w:p>
      <w:r>
        <w:rPr>
          <w:rFonts w:hint="eastAsia"/>
        </w:rPr>
        <w:t>八、乙方的权利和义务</w:t>
      </w:r>
    </w:p>
    <w:p>
      <w:r>
        <w:rPr>
          <w:rFonts w:hint="eastAsia"/>
        </w:rPr>
        <w:t>1、对本合同规定的委托服务范围内的项目享有管理权及服务义务。</w:t>
      </w:r>
    </w:p>
    <w:p>
      <w:r>
        <w:rPr>
          <w:rFonts w:hint="eastAsia"/>
        </w:rPr>
        <w:t>2、根据本合同的规定向甲方收取相关服务费用，并有权在本项目管理范围内管理及合理使用。</w:t>
      </w:r>
    </w:p>
    <w:p>
      <w:r>
        <w:rPr>
          <w:rFonts w:hint="eastAsia"/>
        </w:rPr>
        <w:t>3、及时向甲方通告本项目服务范围内有关服务的重大事项，及时配合处理投诉。</w:t>
      </w:r>
    </w:p>
    <w:p>
      <w:r>
        <w:rPr>
          <w:rFonts w:hint="eastAsia"/>
        </w:rPr>
        <w:t>4、接受项目行业管理部门及政府有关部门的指导，接受甲方的监督。</w:t>
      </w:r>
    </w:p>
    <w:p>
      <w:r>
        <w:rPr>
          <w:rFonts w:hint="eastAsia"/>
        </w:rPr>
        <w:t>5、国家法律、法规所规定由乙方承担的其它责任。</w:t>
      </w:r>
    </w:p>
    <w:p>
      <w:r>
        <w:rPr>
          <w:rFonts w:hint="eastAsia"/>
        </w:rPr>
        <w:t>九、违约责任</w:t>
      </w:r>
    </w:p>
    <w:p>
      <w:r>
        <w:rPr>
          <w:rFonts w:hint="eastAsia"/>
        </w:rPr>
        <w:t>1、甲乙双方必须遵守本合同并执行合同中的各项规定，保证本合同的正常履行。</w:t>
      </w:r>
    </w:p>
    <w:p>
      <w:r>
        <w:rPr>
          <w:rFonts w:hint="eastAsia"/>
        </w:rPr>
        <w:t>2、如因乙方工作人员在履行职务过程中的的疏忽、失职、过错等故意或者过失原因给甲方造成损失或侵害，包括但不限于甲方本身的财产损失、由此而导致的甲方对任何第三方的法律责任等，乙方对此均应承担全部的赔偿责任。</w:t>
      </w:r>
    </w:p>
    <w:p>
      <w:r>
        <w:rPr>
          <w:rFonts w:hint="eastAsia"/>
        </w:rPr>
        <w:t>十、不可抗力事件处理</w:t>
      </w:r>
    </w:p>
    <w:p>
      <w:r>
        <w:rPr>
          <w:rFonts w:hint="eastAsia"/>
        </w:rPr>
        <w:t>1、在合同有效期内，任何一方因不可抗力事件导致不能履行合同，则合同履行期可延长，其延长期与不可抗力影响期相同。</w:t>
      </w:r>
    </w:p>
    <w:p>
      <w:r>
        <w:rPr>
          <w:rFonts w:hint="eastAsia"/>
        </w:rPr>
        <w:t>2、不可抗力事件发生后，应立即通知对方，并寄送有关权威机构出具的证明。</w:t>
      </w:r>
    </w:p>
    <w:p>
      <w:r>
        <w:rPr>
          <w:rFonts w:hint="eastAsia"/>
        </w:rPr>
        <w:t>3、不可抗力事件延续XX天以上，双方应通过友好协商，确定是否继续履行合同。</w:t>
      </w:r>
    </w:p>
    <w:p>
      <w:r>
        <w:rPr>
          <w:rFonts w:hint="eastAsia"/>
        </w:rPr>
        <w:t>十一、解决合同纠纷的方式</w:t>
      </w:r>
    </w:p>
    <w:p>
      <w:r>
        <w:rPr>
          <w:rFonts w:hint="eastAsia"/>
        </w:rPr>
        <w:t>1、在执行本合同中发生的或与本合同有关的争端，双方应通过友好协商解决，经协商在XX天内不能达成协议时，应提交法院仲裁。</w:t>
      </w:r>
    </w:p>
    <w:p>
      <w:r>
        <w:rPr>
          <w:rFonts w:hint="eastAsia"/>
        </w:rPr>
        <w:t>2、仲裁裁决应为最终决定，并对双方具有约束力。</w:t>
      </w:r>
    </w:p>
    <w:p>
      <w:r>
        <w:rPr>
          <w:rFonts w:hint="eastAsia"/>
        </w:rPr>
        <w:t xml:space="preserve">3、除另有裁决外，仲裁费应由败诉方负担。 </w:t>
      </w:r>
    </w:p>
    <w:p>
      <w:r>
        <w:rPr>
          <w:rFonts w:hint="eastAsia"/>
        </w:rPr>
        <w:t xml:space="preserve">4、在仲裁期间，除正在进行仲裁部分外，合同其他部分继续执行。  </w:t>
      </w:r>
    </w:p>
    <w:p>
      <w:r>
        <w:rPr>
          <w:rFonts w:hint="eastAsia"/>
        </w:rPr>
        <w:t>十二、合同生效及其他</w:t>
      </w:r>
    </w:p>
    <w:p>
      <w:r>
        <w:rPr>
          <w:rFonts w:hint="eastAsia"/>
        </w:rPr>
        <w:t>1、合同经双方法定代表人或授权委托代理人签字并加盖单位公章后生效。</w:t>
      </w:r>
    </w:p>
    <w:p>
      <w:r>
        <w:rPr>
          <w:rFonts w:hint="eastAsia"/>
        </w:rPr>
        <w:t>2、合同执行中涉及采购资金和采购内容修改或补充的，须经政府采购监管部门审批，并签书面补充协议报政府采购监督管理部门备案，方可作为主合同不可分割的一部分。</w:t>
      </w:r>
    </w:p>
    <w:p>
      <w:r>
        <w:rPr>
          <w:rFonts w:hint="eastAsia"/>
        </w:rPr>
        <w:t>3、本合同一式XX份，自双方签章之日起起效。甲方XX份，乙方XX份，政府采购代理机构XX份，同级财政部门备案XX份，具有同等法律效力。</w:t>
      </w:r>
    </w:p>
    <w:p>
      <w:r>
        <w:rPr>
          <w:rFonts w:hint="eastAsia"/>
        </w:rPr>
        <w:t>十三、附件</w:t>
      </w:r>
    </w:p>
    <w:p>
      <w:r>
        <w:rPr>
          <w:rFonts w:hint="eastAsia"/>
        </w:rPr>
        <w:t>1、项目招标文件</w:t>
      </w:r>
    </w:p>
    <w:p>
      <w:r>
        <w:rPr>
          <w:rFonts w:hint="eastAsia"/>
        </w:rPr>
        <w:t>2、项目修改澄清文件</w:t>
      </w:r>
    </w:p>
    <w:p>
      <w:r>
        <w:rPr>
          <w:rFonts w:hint="eastAsia"/>
        </w:rPr>
        <w:t>3、项目投标文件</w:t>
      </w:r>
    </w:p>
    <w:p>
      <w:r>
        <w:rPr>
          <w:rFonts w:hint="eastAsia"/>
        </w:rPr>
        <w:t>4、中标通知书</w:t>
      </w:r>
    </w:p>
    <w:p>
      <w:r>
        <w:rPr>
          <w:rFonts w:hint="eastAsia"/>
        </w:rPr>
        <w:t>5、其他</w:t>
      </w:r>
    </w:p>
    <w:p>
      <w:r>
        <w:rPr>
          <w:rFonts w:hint="eastAsia"/>
        </w:rPr>
        <w:t xml:space="preserve">甲方：   (盖章)   </w:t>
      </w:r>
      <w:r>
        <w:rPr>
          <w:rFonts w:hint="eastAsia"/>
        </w:rPr>
        <w:tab/>
      </w:r>
      <w:r>
        <w:rPr>
          <w:rFonts w:hint="eastAsia"/>
        </w:rPr>
        <w:tab/>
      </w:r>
      <w:r>
        <w:rPr>
          <w:rFonts w:hint="eastAsia"/>
        </w:rPr>
        <w:tab/>
      </w:r>
      <w:r>
        <w:rPr>
          <w:rFonts w:hint="eastAsia"/>
        </w:rPr>
        <w:t xml:space="preserve">       乙方：   (盖章)</w:t>
      </w:r>
    </w:p>
    <w:p>
      <w:r>
        <w:rPr>
          <w:rFonts w:hint="eastAsia"/>
        </w:rPr>
        <w:t>法定代表人(授权代表)：            法定代表人(授权代表)：</w:t>
      </w:r>
    </w:p>
    <w:p>
      <w:r>
        <w:rPr>
          <w:rFonts w:hint="eastAsia"/>
        </w:rPr>
        <w:t>地    址：                         地    址：</w:t>
      </w:r>
    </w:p>
    <w:p>
      <w:r>
        <w:rPr>
          <w:rFonts w:hint="eastAsia"/>
        </w:rPr>
        <w:t>开户银行：                         开户银行：</w:t>
      </w:r>
    </w:p>
    <w:p>
      <w:r>
        <w:rPr>
          <w:rFonts w:hint="eastAsia"/>
        </w:rPr>
        <w:t>账号：                             账号：</w:t>
      </w:r>
    </w:p>
    <w:p>
      <w:r>
        <w:rPr>
          <w:rFonts w:hint="eastAsia"/>
        </w:rPr>
        <w:t>电    话：                         电    话：</w:t>
      </w:r>
    </w:p>
    <w:p>
      <w:r>
        <w:rPr>
          <w:rFonts w:hint="eastAsia"/>
        </w:rPr>
        <w:t>传    真：                         传    真：</w:t>
      </w:r>
    </w:p>
    <w:p>
      <w:r>
        <w:rPr>
          <w:rFonts w:hint="eastAsia"/>
        </w:rPr>
        <w:t xml:space="preserve">签约日期：XX年XX月XX日 </w:t>
      </w:r>
      <w:r>
        <w:rPr>
          <w:rFonts w:hint="eastAsia"/>
        </w:rPr>
        <w:tab/>
      </w:r>
      <w:r>
        <w:rPr>
          <w:rFonts w:hint="eastAsia"/>
        </w:rPr>
        <w:tab/>
      </w:r>
      <w:r>
        <w:rPr>
          <w:rFonts w:hint="eastAsia"/>
        </w:rPr>
        <w:tab/>
      </w:r>
      <w:r>
        <w:rPr>
          <w:rFonts w:hint="eastAsia"/>
        </w:rPr>
        <w:t>签约日期：XX年XX月XX日</w:t>
      </w:r>
    </w:p>
    <w:p>
      <w:r>
        <w:rPr>
          <w:rFonts w:hint="eastAsia"/>
        </w:rPr>
        <w:t>注：以上合同条款采购人与中标人签订合同时可根据实际情况进行调整、修改或重新起草合同条款。</w:t>
      </w:r>
    </w:p>
    <w:p/>
    <w:p>
      <w:pPr>
        <w:jc w:val="center"/>
      </w:pPr>
      <w:r>
        <w:rPr>
          <w:rFonts w:hint="eastAsia"/>
        </w:rPr>
        <w:t>保密承诺书</w:t>
      </w:r>
    </w:p>
    <w:p/>
    <w:p>
      <w:r>
        <w:rPr>
          <w:rFonts w:hint="eastAsia"/>
        </w:rPr>
        <w:t xml:space="preserve"> 我了解有关保密法规制度，知悉应当承担的保密义务和法律责任。本人庄重承诺：</w:t>
      </w:r>
    </w:p>
    <w:p>
      <w:r>
        <w:rPr>
          <w:rFonts w:hint="eastAsia"/>
        </w:rPr>
        <w:t xml:space="preserve">    一、认真遵守国家保密法律、法规和规章制度，履行保密义务。</w:t>
      </w:r>
    </w:p>
    <w:p>
      <w:r>
        <w:rPr>
          <w:rFonts w:hint="eastAsia"/>
        </w:rPr>
        <w:t xml:space="preserve">    二、不提供虚假个人信息，自愿接受保密审查，签订保密承诺。</w:t>
      </w:r>
    </w:p>
    <w:p>
      <w:r>
        <w:rPr>
          <w:rFonts w:hint="eastAsia"/>
        </w:rPr>
        <w:t xml:space="preserve">    三、不违规记录、存储、复制国家秘密信息，不违规留存国家秘密载体。如发生泄密事件应立即采取补救措施，并立即上报，绝不隐瞒。</w:t>
      </w:r>
    </w:p>
    <w:p>
      <w:r>
        <w:rPr>
          <w:rFonts w:hint="eastAsia"/>
        </w:rPr>
        <w:t xml:space="preserve">    四、不带与服务无关人员到服务场所。不在服务场所随意走动。</w:t>
      </w:r>
    </w:p>
    <w:p>
      <w:r>
        <w:rPr>
          <w:rFonts w:hint="eastAsia"/>
        </w:rPr>
        <w:t xml:space="preserve">    五、不以任何方式泄露所接触和知悉的国家秘密。不对外泄露服务单位的信息及各项服务环节。</w:t>
      </w:r>
    </w:p>
    <w:p>
      <w:r>
        <w:rPr>
          <w:rFonts w:hint="eastAsia"/>
        </w:rPr>
        <w:t xml:space="preserve">    六、未经单位审查批准，不擅自发表涉及服务单位工作的文章、照片等信息。</w:t>
      </w:r>
    </w:p>
    <w:p>
      <w:r>
        <w:rPr>
          <w:rFonts w:hint="eastAsia"/>
        </w:rPr>
        <w:t xml:space="preserve">    七、离岗时，自愿接受脱密期管理，服从有关部门的保密监管。</w:t>
      </w:r>
    </w:p>
    <w:p>
      <w:r>
        <w:rPr>
          <w:rFonts w:hint="eastAsia"/>
        </w:rPr>
        <w:t xml:space="preserve">    本承诺书未尽事宜按相关保密条例执行，如违反上述承诺，自愿承担党纪、政纪责任和法律后果。                                    </w:t>
      </w:r>
    </w:p>
    <w:p>
      <w:r>
        <w:rPr>
          <w:rFonts w:hint="eastAsia"/>
        </w:rPr>
        <w:t xml:space="preserve">    本承诺书壹式两份，在承诺人签字后生效，直至合同期满。</w:t>
      </w:r>
    </w:p>
    <w:p/>
    <w:p>
      <w:r>
        <w:rPr>
          <w:rFonts w:hint="eastAsia"/>
        </w:rPr>
        <w:t xml:space="preserve">                                      承诺人：</w:t>
      </w:r>
    </w:p>
    <w:p>
      <w:r>
        <w:rPr>
          <w:rFonts w:hint="eastAsia"/>
        </w:rPr>
        <w:t xml:space="preserve">                                      承诺单位（盖章）</w:t>
      </w:r>
    </w:p>
    <w:p>
      <w:r>
        <w:rPr>
          <w:rFonts w:hint="eastAsia"/>
        </w:rPr>
        <w:t xml:space="preserve">                                          年     月     日</w:t>
      </w:r>
    </w:p>
    <w:p/>
    <w:p/>
    <w:p/>
    <w:p/>
    <w:p/>
    <w:p/>
    <w:p/>
    <w:p/>
    <w:p/>
    <w:p/>
    <w:p/>
    <w:p/>
    <w:p/>
    <w:p/>
    <w:p/>
    <w:p/>
    <w:p/>
    <w:p/>
    <w:p/>
    <w:p/>
    <w:p/>
    <w:p/>
    <w:p/>
    <w:p/>
    <w:p>
      <w:pPr>
        <w:jc w:val="center"/>
      </w:pPr>
      <w:r>
        <w:rPr>
          <w:rFonts w:hint="eastAsia"/>
        </w:rPr>
        <w:t>中标供应商保密承诺函</w:t>
      </w:r>
    </w:p>
    <w:p/>
    <w:p>
      <w:r>
        <w:rPr>
          <w:rFonts w:hint="eastAsia"/>
        </w:rPr>
        <w:t xml:space="preserve">    我公司作为本项目的中标供应商，在此郑重承诺：</w:t>
      </w:r>
    </w:p>
    <w:p>
      <w:r>
        <w:rPr>
          <w:rFonts w:hint="eastAsia"/>
        </w:rPr>
        <w:t xml:space="preserve">    一、我了解国家相关的保密法律、法规和保密制度，严格履行保密义务，做到不探秘、不泄密。</w:t>
      </w:r>
    </w:p>
    <w:p>
      <w:r>
        <w:rPr>
          <w:rFonts w:hint="eastAsia"/>
        </w:rPr>
        <w:t xml:space="preserve">    二、我公司为本项目提供的服务人员经过严格政治审查，与我公司签订保密协议，我公司及本项目涉及的所聘人员与采购人（使用单位）签订保密协议。未经甲方同意不随意调整人员，保持本项目所聘人员相对稳定。</w:t>
      </w:r>
    </w:p>
    <w:p>
      <w:r>
        <w:rPr>
          <w:rFonts w:hint="eastAsia"/>
        </w:rPr>
        <w:t xml:space="preserve">    三、不违规记录、存储、拍摄、复制服务项目内的任何信息及服务范围内的所有办公场所、环境，不在网络进行传播。</w:t>
      </w:r>
    </w:p>
    <w:p>
      <w:r>
        <w:rPr>
          <w:rFonts w:hint="eastAsia"/>
        </w:rPr>
        <w:t xml:space="preserve">    四、不以任何方式泄露所接触和知悉的国家、机关秘密。</w:t>
      </w:r>
    </w:p>
    <w:p>
      <w:r>
        <w:rPr>
          <w:rFonts w:hint="eastAsia"/>
        </w:rPr>
        <w:t xml:space="preserve">    五、未经采购人（使用单位）批准，不擅自发表涉及未公开工作内容的图片、文章、著述等。</w:t>
      </w:r>
    </w:p>
    <w:p>
      <w:r>
        <w:rPr>
          <w:rFonts w:hint="eastAsia"/>
        </w:rPr>
        <w:t xml:space="preserve">    违反上述承诺，自愿承担法律责任，后果自负。</w:t>
      </w:r>
    </w:p>
    <w:p>
      <w:r>
        <w:rPr>
          <w:rFonts w:hint="eastAsia"/>
        </w:rPr>
        <w:t xml:space="preserve">    特此承诺。</w:t>
      </w:r>
    </w:p>
    <w:p/>
    <w:p>
      <w:r>
        <w:rPr>
          <w:rFonts w:hint="eastAsia"/>
        </w:rPr>
        <w:t xml:space="preserve">                                      供应商名称：（盖章）</w:t>
      </w:r>
    </w:p>
    <w:p>
      <w:r>
        <w:rPr>
          <w:rFonts w:hint="eastAsia"/>
        </w:rPr>
        <w:t xml:space="preserve">                              日期：       年    月    日</w:t>
      </w:r>
    </w:p>
    <w:p/>
    <w:p>
      <w:r>
        <w:br w:type="page"/>
      </w:r>
    </w:p>
    <w:p>
      <w:pPr>
        <w:rPr>
          <w:color w:val="000000" w:themeColor="text1"/>
          <w14:textFill>
            <w14:solidFill>
              <w14:schemeClr w14:val="tx1"/>
            </w14:solidFill>
          </w14:textFill>
        </w:rPr>
      </w:pPr>
      <w:r>
        <w:rPr>
          <w:rFonts w:hint="eastAsia" w:ascii="宋体" w:hAnsi="宋体" w:cs="Tahoma"/>
          <w:b/>
          <w:color w:val="000000" w:themeColor="text1"/>
          <w:sz w:val="30"/>
          <w:szCs w:val="30"/>
          <w14:textFill>
            <w14:solidFill>
              <w14:schemeClr w14:val="tx1"/>
            </w14:solidFill>
          </w14:textFill>
        </w:rPr>
        <w:t>附件：</w:t>
      </w:r>
      <w:bookmarkEnd w:id="420"/>
      <w:bookmarkEnd w:id="421"/>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3040" cy="7459980"/>
            <wp:effectExtent l="0" t="0" r="3810" b="76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3040" cy="7459980"/>
            <wp:effectExtent l="0" t="0" r="381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3040" cy="7444740"/>
            <wp:effectExtent l="0" t="0" r="3810" b="38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a:xfrm>
                      <a:off x="0" y="0"/>
                      <a:ext cx="5273040" cy="7444740"/>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3040" cy="7459980"/>
            <wp:effectExtent l="0" t="0" r="3810" b="762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80660" cy="7459980"/>
            <wp:effectExtent l="0" t="0" r="0"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5280660" cy="7459980"/>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3040" cy="7459980"/>
            <wp:effectExtent l="0" t="0" r="3810"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80660" cy="7459980"/>
            <wp:effectExtent l="0" t="0" r="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5280660" cy="7459980"/>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80660" cy="7459980"/>
            <wp:effectExtent l="0" t="0" r="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5280660" cy="7459980"/>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3040" cy="7459980"/>
            <wp:effectExtent l="0" t="0" r="381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3040" cy="7459980"/>
            <wp:effectExtent l="0" t="0" r="381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3040" cy="7459980"/>
            <wp:effectExtent l="0" t="0" r="381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80660" cy="7459980"/>
            <wp:effectExtent l="0" t="0" r="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5280660" cy="7459980"/>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3040" cy="7459980"/>
            <wp:effectExtent l="0" t="0" r="381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3040" cy="7459980"/>
            <wp:effectExtent l="0" t="0" r="381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3040" cy="7459980"/>
            <wp:effectExtent l="0" t="0" r="381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17"/>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753100" cy="8892540"/>
            <wp:effectExtent l="0" t="0" r="0" b="3810"/>
            <wp:docPr id="4" name="图片 4" descr="说明: 说明: 说明: 说明: 说明: 说明: 说明: 说明: C:\Users\yzr\Desktop\QQ截图20200424174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说明: 说明: 说明: 说明: 说明: 说明: 说明: 说明: C:\Users\yzr\Desktop\QQ截图20200424174415.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5753100" cy="8892540"/>
                    </a:xfrm>
                    <a:prstGeom prst="rect">
                      <a:avLst/>
                    </a:prstGeom>
                    <a:noFill/>
                    <a:ln>
                      <a:noFill/>
                    </a:ln>
                  </pic:spPr>
                </pic:pic>
              </a:graphicData>
            </a:graphic>
          </wp:inline>
        </w:drawing>
      </w:r>
    </w:p>
    <w:p>
      <w:pPr>
        <w:pStyle w:val="17"/>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760720" cy="8961120"/>
            <wp:effectExtent l="0" t="0" r="0" b="0"/>
            <wp:docPr id="3" name="图片 3" descr="说明: 说明: 说明: 说明: 说明: 说明: 说明: 说明: C:\Users\yzr\Desktop\QQ截图202004241744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说明: 说明: 说明: 说明: 说明: 说明: 说明: 说明: C:\Users\yzr\Desktop\QQ截图20200424174424.pn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5760720" cy="8961120"/>
                    </a:xfrm>
                    <a:prstGeom prst="rect">
                      <a:avLst/>
                    </a:prstGeom>
                    <a:noFill/>
                    <a:ln>
                      <a:noFill/>
                    </a:ln>
                  </pic:spPr>
                </pic:pic>
              </a:graphicData>
            </a:graphic>
          </wp:inline>
        </w:drawing>
      </w:r>
    </w:p>
    <w:p>
      <w:pPr>
        <w:pStyle w:val="17"/>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844540" cy="8884920"/>
            <wp:effectExtent l="0" t="0" r="3810" b="0"/>
            <wp:docPr id="2" name="图片 2" descr="说明: 说明: 说明: 说明: 说明: 说明: 说明: 说明: C:\Users\yzr\Desktop\QQ截图20200424174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说明: 说明: 说明: 说明: 说明: 说明: 说明: 说明: C:\Users\yzr\Desktop\QQ截图20200424174431.pn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5844540" cy="8884920"/>
                    </a:xfrm>
                    <a:prstGeom prst="rect">
                      <a:avLst/>
                    </a:prstGeom>
                    <a:noFill/>
                    <a:ln>
                      <a:noFill/>
                    </a:ln>
                  </pic:spPr>
                </pic:pic>
              </a:graphicData>
            </a:graphic>
          </wp:inline>
        </w:drawing>
      </w:r>
    </w:p>
    <w:p>
      <w:pPr>
        <w:pStyle w:val="17"/>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783580" cy="8663940"/>
            <wp:effectExtent l="0" t="0" r="7620" b="3810"/>
            <wp:docPr id="1" name="图片 1" descr="说明: 说明: 说明: 说明: 说明: 说明: 说明: 说明: C:\Users\yzr\Desktop\QQ截图20200424174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说明: 说明: 说明: 说明: 说明: 说明: 说明: 说明: C:\Users\yzr\Desktop\QQ截图20200424174438.p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5783580" cy="8663940"/>
                    </a:xfrm>
                    <a:prstGeom prst="rect">
                      <a:avLst/>
                    </a:prstGeom>
                    <a:noFill/>
                    <a:ln>
                      <a:noFill/>
                    </a:ln>
                  </pic:spPr>
                </pic:pic>
              </a:graphicData>
            </a:graphic>
          </wp:inline>
        </w:drawing>
      </w: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Narrow">
    <w:altName w:val="Arial"/>
    <w:panose1 w:val="020B0606020202030204"/>
    <w:charset w:val="00"/>
    <w:family w:val="swiss"/>
    <w:pitch w:val="default"/>
    <w:sig w:usb0="00000000" w:usb1="00000000" w:usb2="00000000" w:usb3="00000000" w:csb0="000000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10" w:usb3="00000000" w:csb0="000400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Times New (W1)">
    <w:altName w:val="Times New Roman"/>
    <w:panose1 w:val="00000000000000000000"/>
    <w:charset w:val="00"/>
    <w:family w:val="roman"/>
    <w:pitch w:val="default"/>
    <w:sig w:usb0="00000000" w:usb1="00000000" w:usb2="00000000" w:usb3="00000000" w:csb0="00000001" w:csb1="00000000"/>
  </w:font>
  <w:font w:name="Arial (W1)">
    <w:altName w:val="Arial"/>
    <w:panose1 w:val="00000000000000000000"/>
    <w:charset w:val="00"/>
    <w:family w:val="swiss"/>
    <w:pitch w:val="default"/>
    <w:sig w:usb0="00000000" w:usb1="00000000" w:usb2="00000008" w:usb3="00000000" w:csb0="000001F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504020202020204"/>
    <w:charset w:val="00"/>
    <w:family w:val="swiss"/>
    <w:pitch w:val="default"/>
    <w:sig w:usb0="00000000" w:usb1="00000000" w:usb2="00000009" w:usb3="00000000" w:csb0="000001FF" w:csb1="00000000"/>
  </w:font>
  <w:font w:name="PMingLiU">
    <w:panose1 w:val="02020500000000000000"/>
    <w:charset w:val="88"/>
    <w:family w:val="roman"/>
    <w:pitch w:val="default"/>
    <w:sig w:usb0="A00002FF" w:usb1="28CFFCFA" w:usb2="00000016" w:usb3="00000000" w:csb0="00100001" w:csb1="00000000"/>
  </w:font>
  <w:font w:name="等线">
    <w:altName w:val="微软雅黑"/>
    <w:panose1 w:val="02010600030101010101"/>
    <w:charset w:val="86"/>
    <w:family w:val="auto"/>
    <w:pitch w:val="default"/>
    <w:sig w:usb0="00000000" w:usb1="00000000"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35</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pPr>
                      <w:snapToGrid w:val="0"/>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35</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1"/>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FE4273"/>
    <w:multiLevelType w:val="singleLevel"/>
    <w:tmpl w:val="A4FE4273"/>
    <w:lvl w:ilvl="0" w:tentative="0">
      <w:start w:val="1"/>
      <w:numFmt w:val="chineseCounting"/>
      <w:suff w:val="nothing"/>
      <w:lvlText w:val="%1、"/>
      <w:lvlJc w:val="left"/>
      <w:rPr>
        <w:rFonts w:hint="eastAsia"/>
      </w:rPr>
    </w:lvl>
  </w:abstractNum>
  <w:abstractNum w:abstractNumId="1">
    <w:nsid w:val="00000009"/>
    <w:multiLevelType w:val="multilevel"/>
    <w:tmpl w:val="00000009"/>
    <w:lvl w:ilvl="0" w:tentative="0">
      <w:start w:val="1"/>
      <w:numFmt w:val="chineseCountingThousand"/>
      <w:lvlText w:val="%1、"/>
      <w:lvlJc w:val="left"/>
      <w:pPr>
        <w:ind w:left="1271" w:hanging="420"/>
      </w:pPr>
    </w:lvl>
    <w:lvl w:ilvl="1" w:tentative="0">
      <w:start w:val="1"/>
      <w:numFmt w:val="japaneseCounting"/>
      <w:lvlText w:val="（%2）"/>
      <w:lvlJc w:val="left"/>
      <w:pPr>
        <w:ind w:left="1830" w:hanging="885"/>
      </w:pPr>
      <w:rPr>
        <w:lang w:val="en-US"/>
      </w:rPr>
    </w:lvl>
    <w:lvl w:ilvl="2" w:tentative="0">
      <w:start w:val="1"/>
      <w:numFmt w:val="lowerRoman"/>
      <w:lvlText w:val="%3."/>
      <w:lvlJc w:val="right"/>
      <w:pPr>
        <w:ind w:left="1785" w:hanging="420"/>
      </w:pPr>
    </w:lvl>
    <w:lvl w:ilvl="3" w:tentative="0">
      <w:start w:val="1"/>
      <w:numFmt w:val="decimal"/>
      <w:lvlText w:val="%4."/>
      <w:lvlJc w:val="left"/>
      <w:pPr>
        <w:ind w:left="2205" w:hanging="420"/>
      </w:pPr>
    </w:lvl>
    <w:lvl w:ilvl="4" w:tentative="0">
      <w:start w:val="1"/>
      <w:numFmt w:val="lowerLetter"/>
      <w:lvlText w:val="%5)"/>
      <w:lvlJc w:val="left"/>
      <w:pPr>
        <w:ind w:left="2625" w:hanging="420"/>
      </w:pPr>
    </w:lvl>
    <w:lvl w:ilvl="5" w:tentative="0">
      <w:start w:val="1"/>
      <w:numFmt w:val="lowerRoman"/>
      <w:lvlText w:val="%6."/>
      <w:lvlJc w:val="right"/>
      <w:pPr>
        <w:ind w:left="3045" w:hanging="420"/>
      </w:pPr>
    </w:lvl>
    <w:lvl w:ilvl="6" w:tentative="0">
      <w:start w:val="1"/>
      <w:numFmt w:val="decimal"/>
      <w:lvlText w:val="%7."/>
      <w:lvlJc w:val="left"/>
      <w:pPr>
        <w:ind w:left="3465" w:hanging="420"/>
      </w:pPr>
    </w:lvl>
    <w:lvl w:ilvl="7" w:tentative="0">
      <w:start w:val="1"/>
      <w:numFmt w:val="lowerLetter"/>
      <w:lvlText w:val="%8)"/>
      <w:lvlJc w:val="left"/>
      <w:pPr>
        <w:ind w:left="3885" w:hanging="420"/>
      </w:pPr>
    </w:lvl>
    <w:lvl w:ilvl="8" w:tentative="0">
      <w:start w:val="1"/>
      <w:numFmt w:val="lowerRoman"/>
      <w:lvlText w:val="%9."/>
      <w:lvlJc w:val="right"/>
      <w:pPr>
        <w:ind w:left="4305" w:hanging="420"/>
      </w:pPr>
    </w:lvl>
  </w:abstractNum>
  <w:abstractNum w:abstractNumId="2">
    <w:nsid w:val="00000012"/>
    <w:multiLevelType w:val="multilevel"/>
    <w:tmpl w:val="00000012"/>
    <w:lvl w:ilvl="0" w:tentative="0">
      <w:start w:val="1"/>
      <w:numFmt w:val="chineseCountingThousand"/>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
    <w:nsid w:val="00000013"/>
    <w:multiLevelType w:val="multilevel"/>
    <w:tmpl w:val="00000013"/>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0000015"/>
    <w:multiLevelType w:val="multilevel"/>
    <w:tmpl w:val="00000015"/>
    <w:lvl w:ilvl="0" w:tentative="0">
      <w:start w:val="1"/>
      <w:numFmt w:val="chineseCountingThousand"/>
      <w:lvlText w:val="%1、"/>
      <w:lvlJc w:val="left"/>
      <w:pPr>
        <w:ind w:left="1271"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0000016"/>
    <w:multiLevelType w:val="multilevel"/>
    <w:tmpl w:val="00000016"/>
    <w:lvl w:ilvl="0" w:tentative="0">
      <w:start w:val="1"/>
      <w:numFmt w:val="decimal"/>
      <w:lvlText w:val="%1."/>
      <w:lvlJc w:val="left"/>
      <w:pPr>
        <w:tabs>
          <w:tab w:val="left" w:pos="704"/>
        </w:tabs>
        <w:ind w:left="704" w:hanging="420"/>
      </w:pPr>
    </w:lvl>
    <w:lvl w:ilvl="1" w:tentative="0">
      <w:start w:val="1"/>
      <w:numFmt w:val="lowerLetter"/>
      <w:pStyle w:val="92"/>
      <w:lvlText w:val="%2)"/>
      <w:lvlJc w:val="left"/>
      <w:pPr>
        <w:tabs>
          <w:tab w:val="left" w:pos="1124"/>
        </w:tabs>
        <w:ind w:left="1124" w:hanging="420"/>
      </w:pPr>
    </w:lvl>
    <w:lvl w:ilvl="2" w:tentative="0">
      <w:start w:val="1"/>
      <w:numFmt w:val="lowerRoman"/>
      <w:lvlText w:val="%3."/>
      <w:lvlJc w:val="right"/>
      <w:pPr>
        <w:tabs>
          <w:tab w:val="left" w:pos="1544"/>
        </w:tabs>
        <w:ind w:left="1544" w:hanging="420"/>
      </w:pPr>
    </w:lvl>
    <w:lvl w:ilvl="3" w:tentative="0">
      <w:start w:val="1"/>
      <w:numFmt w:val="decimal"/>
      <w:lvlText w:val="%4."/>
      <w:lvlJc w:val="left"/>
      <w:pPr>
        <w:tabs>
          <w:tab w:val="left" w:pos="1964"/>
        </w:tabs>
        <w:ind w:left="1964" w:hanging="420"/>
      </w:pPr>
    </w:lvl>
    <w:lvl w:ilvl="4" w:tentative="0">
      <w:start w:val="1"/>
      <w:numFmt w:val="lowerLetter"/>
      <w:lvlText w:val="%5)"/>
      <w:lvlJc w:val="left"/>
      <w:pPr>
        <w:tabs>
          <w:tab w:val="left" w:pos="2384"/>
        </w:tabs>
        <w:ind w:left="2384" w:hanging="420"/>
      </w:pPr>
    </w:lvl>
    <w:lvl w:ilvl="5" w:tentative="0">
      <w:start w:val="1"/>
      <w:numFmt w:val="lowerRoman"/>
      <w:lvlText w:val="%6."/>
      <w:lvlJc w:val="right"/>
      <w:pPr>
        <w:tabs>
          <w:tab w:val="left" w:pos="2804"/>
        </w:tabs>
        <w:ind w:left="2804" w:hanging="420"/>
      </w:pPr>
    </w:lvl>
    <w:lvl w:ilvl="6" w:tentative="0">
      <w:start w:val="1"/>
      <w:numFmt w:val="decimal"/>
      <w:lvlText w:val="%7."/>
      <w:lvlJc w:val="left"/>
      <w:pPr>
        <w:tabs>
          <w:tab w:val="left" w:pos="3224"/>
        </w:tabs>
        <w:ind w:left="3224" w:hanging="420"/>
      </w:pPr>
    </w:lvl>
    <w:lvl w:ilvl="7" w:tentative="0">
      <w:start w:val="1"/>
      <w:numFmt w:val="lowerLetter"/>
      <w:lvlText w:val="%8)"/>
      <w:lvlJc w:val="left"/>
      <w:pPr>
        <w:tabs>
          <w:tab w:val="left" w:pos="3644"/>
        </w:tabs>
        <w:ind w:left="3644" w:hanging="420"/>
      </w:pPr>
    </w:lvl>
    <w:lvl w:ilvl="8" w:tentative="0">
      <w:start w:val="1"/>
      <w:numFmt w:val="lowerRoman"/>
      <w:lvlText w:val="%9."/>
      <w:lvlJc w:val="right"/>
      <w:pPr>
        <w:tabs>
          <w:tab w:val="left" w:pos="4064"/>
        </w:tabs>
        <w:ind w:left="4064" w:hanging="420"/>
      </w:pPr>
    </w:lvl>
  </w:abstractNum>
  <w:abstractNum w:abstractNumId="6">
    <w:nsid w:val="00000018"/>
    <w:multiLevelType w:val="multilevel"/>
    <w:tmpl w:val="00000018"/>
    <w:lvl w:ilvl="0" w:tentative="0">
      <w:start w:val="1"/>
      <w:numFmt w:val="chineseCountingThousand"/>
      <w:lvlText w:val="%1、"/>
      <w:lvlJc w:val="left"/>
      <w:pPr>
        <w:ind w:left="966" w:hanging="420"/>
      </w:p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7">
    <w:nsid w:val="0000001F"/>
    <w:multiLevelType w:val="multilevel"/>
    <w:tmpl w:val="0000001F"/>
    <w:lvl w:ilvl="0" w:tentative="0">
      <w:start w:val="1"/>
      <w:numFmt w:val="chineseCountingThousand"/>
      <w:lvlText w:val="%1、"/>
      <w:lvlJc w:val="left"/>
      <w:pPr>
        <w:ind w:left="980" w:hanging="420"/>
      </w:pPr>
    </w:lvl>
    <w:lvl w:ilvl="1" w:tentative="0">
      <w:start w:val="1"/>
      <w:numFmt w:val="decimal"/>
      <w:lvlText w:val="（%2）"/>
      <w:lvlJc w:val="left"/>
      <w:pPr>
        <w:ind w:left="1700" w:hanging="7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8">
    <w:nsid w:val="00000021"/>
    <w:multiLevelType w:val="multilevel"/>
    <w:tmpl w:val="00000021"/>
    <w:lvl w:ilvl="0" w:tentative="0">
      <w:start w:val="1"/>
      <w:numFmt w:val="chineseCountingThousand"/>
      <w:lvlText w:val="(%1)"/>
      <w:lvlJc w:val="left"/>
      <w:pPr>
        <w:ind w:left="980" w:hanging="420"/>
      </w:pPr>
    </w:lvl>
    <w:lvl w:ilvl="1" w:tentative="0">
      <w:start w:val="1"/>
      <w:numFmt w:val="chineseCountingThousand"/>
      <w:lvlText w:val="(%2)"/>
      <w:lvlJc w:val="left"/>
      <w:pPr>
        <w:ind w:left="42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9">
    <w:nsid w:val="00000022"/>
    <w:multiLevelType w:val="multilevel"/>
    <w:tmpl w:val="00000022"/>
    <w:lvl w:ilvl="0" w:tentative="0">
      <w:start w:val="1"/>
      <w:numFmt w:val="decimal"/>
      <w:lvlText w:val="第%1章"/>
      <w:lvlJc w:val="left"/>
      <w:pPr>
        <w:tabs>
          <w:tab w:val="left" w:pos="2630"/>
        </w:tabs>
        <w:ind w:left="2630" w:hanging="425"/>
      </w:pPr>
      <w:rPr>
        <w:rFonts w:hint="eastAsia" w:ascii="宋体" w:hAnsi="宋体" w:eastAsia="宋体"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tentative="0">
      <w:start w:val="1"/>
      <w:numFmt w:val="decimal"/>
      <w:suff w:val="space"/>
      <w:lvlText w:val="%1.%2."/>
      <w:lvlJc w:val="left"/>
      <w:pPr>
        <w:ind w:left="4538" w:hanging="567"/>
      </w:pPr>
      <w:rPr>
        <w:rFonts w:hint="default" w:ascii="Times New Roman" w:hAnsi="Times New Roman" w:eastAsia="宋体" w:cs="Times New Roman"/>
        <w:b/>
        <w:i w:val="0"/>
        <w:sz w:val="28"/>
        <w:szCs w:val="28"/>
      </w:rPr>
    </w:lvl>
    <w:lvl w:ilvl="2" w:tentative="0">
      <w:start w:val="1"/>
      <w:numFmt w:val="decimal"/>
      <w:lvlText w:val="%1.%2.%3."/>
      <w:lvlJc w:val="left"/>
      <w:pPr>
        <w:tabs>
          <w:tab w:val="left" w:pos="709"/>
        </w:tabs>
        <w:ind w:left="709" w:hanging="709"/>
      </w:pPr>
      <w:rPr>
        <w:rFonts w:hint="default" w:ascii="Times New Roman" w:hAnsi="Times New Roman" w:cs="Times New Roman"/>
      </w:rPr>
    </w:lvl>
    <w:lvl w:ilvl="3" w:tentative="0">
      <w:start w:val="1"/>
      <w:numFmt w:val="decimal"/>
      <w:lvlText w:val="%1.%2.%3.%4."/>
      <w:lvlJc w:val="left"/>
      <w:pPr>
        <w:tabs>
          <w:tab w:val="left" w:pos="1779"/>
        </w:tabs>
        <w:ind w:left="1779" w:hanging="851"/>
      </w:pPr>
      <w:rPr>
        <w:rFonts w:hint="default" w:ascii="Times New Roman" w:hAnsi="Times New Roman"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4" w:tentative="0">
      <w:start w:val="1"/>
      <w:numFmt w:val="decimal"/>
      <w:pStyle w:val="6"/>
      <w:lvlText w:val="%1.%2.%3.%4.%5."/>
      <w:lvlJc w:val="left"/>
      <w:pPr>
        <w:tabs>
          <w:tab w:val="left" w:pos="1560"/>
        </w:tabs>
        <w:ind w:left="1560" w:hanging="992"/>
      </w:pPr>
      <w:rPr>
        <w:rFonts w:hint="default" w:ascii="Times New Roman" w:hAnsi="Times New Roman" w:eastAsia="宋体" w:cs="Times New Roman"/>
        <w:b/>
        <w:i w:val="0"/>
        <w:sz w:val="28"/>
        <w:szCs w:val="28"/>
      </w:rPr>
    </w:lvl>
    <w:lvl w:ilvl="5" w:tentative="0">
      <w:start w:val="1"/>
      <w:numFmt w:val="decimal"/>
      <w:pStyle w:val="7"/>
      <w:lvlText w:val="%1.%2.%3.%4.%5.%6."/>
      <w:lvlJc w:val="left"/>
      <w:pPr>
        <w:tabs>
          <w:tab w:val="left" w:pos="1702"/>
        </w:tabs>
        <w:ind w:left="1702" w:hanging="1134"/>
      </w:pPr>
      <w:rPr>
        <w:rFonts w:hint="default" w:ascii="Times New Roman" w:hAnsi="Times New Roman"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6" w:tentative="0">
      <w:start w:val="1"/>
      <w:numFmt w:val="decimal"/>
      <w:lvlText w:val="%1.%2.%3.%4.%5.%6.%7."/>
      <w:lvlJc w:val="left"/>
      <w:pPr>
        <w:tabs>
          <w:tab w:val="left" w:pos="1844"/>
        </w:tabs>
        <w:ind w:left="1844" w:hanging="1276"/>
      </w:pPr>
    </w:lvl>
    <w:lvl w:ilvl="7" w:tentative="0">
      <w:start w:val="1"/>
      <w:numFmt w:val="decimal"/>
      <w:lvlText w:val="%1.%2.%3.%4.%5.%6.%7.%8."/>
      <w:lvlJc w:val="left"/>
      <w:pPr>
        <w:tabs>
          <w:tab w:val="left" w:pos="1986"/>
        </w:tabs>
        <w:ind w:left="1986" w:hanging="1418"/>
      </w:pPr>
    </w:lvl>
    <w:lvl w:ilvl="8" w:tentative="0">
      <w:start w:val="1"/>
      <w:numFmt w:val="decimal"/>
      <w:lvlText w:val="%1.%2.%3.%4.%5.%6.%7.%8.%9."/>
      <w:lvlJc w:val="left"/>
      <w:pPr>
        <w:tabs>
          <w:tab w:val="left" w:pos="2127"/>
        </w:tabs>
        <w:ind w:left="2127" w:hanging="1559"/>
      </w:pPr>
    </w:lvl>
  </w:abstractNum>
  <w:abstractNum w:abstractNumId="10">
    <w:nsid w:val="00000024"/>
    <w:multiLevelType w:val="multilevel"/>
    <w:tmpl w:val="00000024"/>
    <w:lvl w:ilvl="0" w:tentative="0">
      <w:start w:val="1"/>
      <w:numFmt w:val="decimal"/>
      <w:lvlText w:val="%1."/>
      <w:lvlJc w:val="left"/>
      <w:pPr>
        <w:ind w:left="958" w:hanging="420"/>
      </w:pPr>
    </w:lvl>
    <w:lvl w:ilvl="1" w:tentative="0">
      <w:start w:val="1"/>
      <w:numFmt w:val="chineseCountingThousand"/>
      <w:lvlText w:val="%2、"/>
      <w:lvlJc w:val="left"/>
      <w:pPr>
        <w:ind w:left="1413"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1">
    <w:nsid w:val="00000027"/>
    <w:multiLevelType w:val="multilevel"/>
    <w:tmpl w:val="00000027"/>
    <w:lvl w:ilvl="0" w:tentative="0">
      <w:start w:val="1"/>
      <w:numFmt w:val="decimal"/>
      <w:lvlText w:val="%1."/>
      <w:lvlJc w:val="left"/>
      <w:pPr>
        <w:ind w:left="980" w:hanging="420"/>
      </w:pPr>
    </w:lvl>
    <w:lvl w:ilvl="1" w:tentative="0">
      <w:start w:val="1"/>
      <w:numFmt w:val="chineseCountingThousand"/>
      <w:lvlText w:val="%2、"/>
      <w:lvlJc w:val="left"/>
      <w:pPr>
        <w:ind w:left="988" w:hanging="420"/>
      </w:pPr>
      <w:rPr>
        <w:lang w:val="en-US"/>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2">
    <w:nsid w:val="00000029"/>
    <w:multiLevelType w:val="multilevel"/>
    <w:tmpl w:val="00000029"/>
    <w:lvl w:ilvl="0" w:tentative="0">
      <w:start w:val="1"/>
      <w:numFmt w:val="decimal"/>
      <w:lvlText w:val="%1."/>
      <w:lvlJc w:val="left"/>
      <w:pPr>
        <w:ind w:left="562" w:hanging="420"/>
      </w:pPr>
      <w:rPr>
        <w:b w:val="0"/>
        <w:sz w:val="24"/>
        <w:szCs w:val="24"/>
      </w:rPr>
    </w:lvl>
    <w:lvl w:ilvl="1" w:tentative="0">
      <w:start w:val="1"/>
      <w:numFmt w:val="decimal"/>
      <w:lvlText w:val="%2、"/>
      <w:lvlJc w:val="left"/>
      <w:pPr>
        <w:ind w:left="360" w:hanging="360"/>
      </w:pPr>
      <w:rPr>
        <w:rFonts w:ascii="宋体" w:hAnsi="宋体" w:eastAsia="宋体" w:cs="宋体"/>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0000002B"/>
    <w:multiLevelType w:val="multilevel"/>
    <w:tmpl w:val="0000002B"/>
    <w:lvl w:ilvl="0" w:tentative="0">
      <w:start w:val="1"/>
      <w:numFmt w:val="chineseCountingThousand"/>
      <w:lvlText w:val="%1、"/>
      <w:lvlJc w:val="left"/>
      <w:pPr>
        <w:ind w:left="988" w:hanging="420"/>
      </w:p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14">
    <w:nsid w:val="0000002E"/>
    <w:multiLevelType w:val="multilevel"/>
    <w:tmpl w:val="0000002E"/>
    <w:lvl w:ilvl="0" w:tentative="0">
      <w:start w:val="1"/>
      <w:numFmt w:val="decimal"/>
      <w:lvlText w:val="第%1章"/>
      <w:lvlJc w:val="left"/>
      <w:pPr>
        <w:ind w:left="283" w:hanging="425"/>
      </w:pPr>
      <w:rPr>
        <w:rFonts w:hint="default" w:ascii="Times New Roman" w:hAnsi="Times New Roman" w:eastAsia="宋体" w:cs="Times New Roman"/>
        <w:b/>
        <w:i w:val="0"/>
        <w:sz w:val="32"/>
        <w:szCs w:val="32"/>
      </w:rPr>
    </w:lvl>
    <w:lvl w:ilvl="1" w:tentative="0">
      <w:start w:val="1"/>
      <w:numFmt w:val="decimal"/>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suff w:val="space"/>
      <w:lvlText w:val="%1.%2.%3"/>
      <w:lvlJc w:val="left"/>
      <w:pPr>
        <w:ind w:left="851" w:hanging="567"/>
      </w:pPr>
      <w:rPr>
        <w:rFonts w:hint="default" w:ascii="Times New Roman" w:hAnsi="Times New Roman" w:eastAsia="宋体" w:cs="Times New Roman"/>
        <w:b/>
        <w:i w:val="0"/>
        <w:sz w:val="28"/>
      </w:rPr>
    </w:lvl>
    <w:lvl w:ilvl="3" w:tentative="0">
      <w:start w:val="1"/>
      <w:numFmt w:val="decimal"/>
      <w:suff w:val="nothing"/>
      <w:lvlText w:val="%1.%2.%3.%4"/>
      <w:lvlJc w:val="left"/>
      <w:pPr>
        <w:ind w:left="708" w:hanging="708"/>
      </w:pPr>
      <w:rPr>
        <w:rFonts w:hint="default" w:ascii="Times New Roman" w:hAnsi="Times New Roman" w:eastAsia="宋体" w:cs="Times New Roman"/>
        <w:b/>
        <w:i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lvl>
    <w:lvl w:ilvl="6" w:tentative="0">
      <w:start w:val="1"/>
      <w:numFmt w:val="decimal"/>
      <w:lvlText w:val="%1.%2.%3.%4.%5.%6.%7"/>
      <w:lvlJc w:val="left"/>
      <w:pPr>
        <w:ind w:left="3685" w:hanging="1276"/>
      </w:pPr>
    </w:lvl>
    <w:lvl w:ilvl="7" w:tentative="0">
      <w:start w:val="1"/>
      <w:numFmt w:val="decimal"/>
      <w:lvlText w:val="%1.%2.%3.%4.%5.%6.%7.%8"/>
      <w:lvlJc w:val="left"/>
      <w:pPr>
        <w:ind w:left="4252" w:hanging="1418"/>
      </w:pPr>
    </w:lvl>
    <w:lvl w:ilvl="8" w:tentative="0">
      <w:start w:val="1"/>
      <w:numFmt w:val="decimal"/>
      <w:lvlText w:val="%1.%2.%3.%4.%5.%6.%7.%8.%9"/>
      <w:lvlJc w:val="left"/>
      <w:pPr>
        <w:ind w:left="4960" w:hanging="1700"/>
      </w:pPr>
    </w:lvl>
  </w:abstractNum>
  <w:abstractNum w:abstractNumId="15">
    <w:nsid w:val="00000031"/>
    <w:multiLevelType w:val="multilevel"/>
    <w:tmpl w:val="00000031"/>
    <w:lvl w:ilvl="0" w:tentative="0">
      <w:start w:val="1"/>
      <w:numFmt w:val="chineseCountingThousand"/>
      <w:lvlText w:val="%1、"/>
      <w:lvlJc w:val="left"/>
      <w:pPr>
        <w:ind w:left="966"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6">
    <w:nsid w:val="0000003A"/>
    <w:multiLevelType w:val="multilevel"/>
    <w:tmpl w:val="0000003A"/>
    <w:lvl w:ilvl="0" w:tentative="0">
      <w:start w:val="1"/>
      <w:numFmt w:val="chineseCountingThousand"/>
      <w:lvlText w:val="%1、"/>
      <w:lvlJc w:val="left"/>
      <w:pPr>
        <w:ind w:left="1554" w:hanging="420"/>
      </w:pPr>
    </w:lvl>
    <w:lvl w:ilvl="1" w:tentative="0">
      <w:start w:val="1"/>
      <w:numFmt w:val="lowerLetter"/>
      <w:lvlText w:val="%2)"/>
      <w:lvlJc w:val="left"/>
      <w:pPr>
        <w:ind w:left="1974" w:hanging="420"/>
      </w:pPr>
    </w:lvl>
    <w:lvl w:ilvl="2" w:tentative="0">
      <w:start w:val="1"/>
      <w:numFmt w:val="lowerRoman"/>
      <w:lvlText w:val="%3."/>
      <w:lvlJc w:val="right"/>
      <w:pPr>
        <w:ind w:left="2394" w:hanging="420"/>
      </w:pPr>
    </w:lvl>
    <w:lvl w:ilvl="3" w:tentative="0">
      <w:start w:val="1"/>
      <w:numFmt w:val="decimal"/>
      <w:lvlText w:val="%4."/>
      <w:lvlJc w:val="left"/>
      <w:pPr>
        <w:ind w:left="2814" w:hanging="420"/>
      </w:pPr>
    </w:lvl>
    <w:lvl w:ilvl="4" w:tentative="0">
      <w:start w:val="1"/>
      <w:numFmt w:val="lowerLetter"/>
      <w:lvlText w:val="%5)"/>
      <w:lvlJc w:val="left"/>
      <w:pPr>
        <w:ind w:left="3234" w:hanging="420"/>
      </w:pPr>
    </w:lvl>
    <w:lvl w:ilvl="5" w:tentative="0">
      <w:start w:val="1"/>
      <w:numFmt w:val="lowerRoman"/>
      <w:lvlText w:val="%6."/>
      <w:lvlJc w:val="right"/>
      <w:pPr>
        <w:ind w:left="3654" w:hanging="420"/>
      </w:pPr>
    </w:lvl>
    <w:lvl w:ilvl="6" w:tentative="0">
      <w:start w:val="1"/>
      <w:numFmt w:val="decimal"/>
      <w:lvlText w:val="%7."/>
      <w:lvlJc w:val="left"/>
      <w:pPr>
        <w:ind w:left="4074" w:hanging="420"/>
      </w:pPr>
    </w:lvl>
    <w:lvl w:ilvl="7" w:tentative="0">
      <w:start w:val="1"/>
      <w:numFmt w:val="lowerLetter"/>
      <w:lvlText w:val="%8)"/>
      <w:lvlJc w:val="left"/>
      <w:pPr>
        <w:ind w:left="4494" w:hanging="420"/>
      </w:pPr>
    </w:lvl>
    <w:lvl w:ilvl="8" w:tentative="0">
      <w:start w:val="1"/>
      <w:numFmt w:val="lowerRoman"/>
      <w:lvlText w:val="%9."/>
      <w:lvlJc w:val="right"/>
      <w:pPr>
        <w:ind w:left="4914" w:hanging="420"/>
      </w:pPr>
    </w:lvl>
  </w:abstractNum>
  <w:abstractNum w:abstractNumId="17">
    <w:nsid w:val="0000003B"/>
    <w:multiLevelType w:val="multilevel"/>
    <w:tmpl w:val="0000003B"/>
    <w:lvl w:ilvl="0" w:tentative="0">
      <w:start w:val="1"/>
      <w:numFmt w:val="chineseCountingThousand"/>
      <w:lvlText w:val="%1、"/>
      <w:lvlJc w:val="left"/>
      <w:pPr>
        <w:ind w:left="720" w:hanging="720"/>
      </w:pPr>
      <w:rPr>
        <w:strike w:val="0"/>
        <w:dstrike w:val="0"/>
        <w:color w:val="000000"/>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0000003E"/>
    <w:multiLevelType w:val="multilevel"/>
    <w:tmpl w:val="0000003E"/>
    <w:lvl w:ilvl="0" w:tentative="0">
      <w:start w:val="1"/>
      <w:numFmt w:val="chineseCountingThousand"/>
      <w:suff w:val="nothing"/>
      <w:lvlText w:val="%1、"/>
      <w:lvlJc w:val="left"/>
      <w:pPr>
        <w:ind w:left="1272" w:hanging="420"/>
      </w:pPr>
      <w:rPr>
        <w:b/>
        <w:lang w:val="en-US"/>
      </w:rPr>
    </w:lvl>
    <w:lvl w:ilvl="1" w:tentative="0">
      <w:start w:val="1"/>
      <w:numFmt w:val="decimal"/>
      <w:lvlText w:val="%2、"/>
      <w:lvlJc w:val="left"/>
      <w:pPr>
        <w:ind w:left="1693" w:hanging="1125"/>
      </w:pPr>
    </w:lvl>
    <w:lvl w:ilvl="2" w:tentative="0">
      <w:start w:val="1"/>
      <w:numFmt w:val="lowerRoman"/>
      <w:lvlText w:val="%3."/>
      <w:lvlJc w:val="right"/>
      <w:pPr>
        <w:ind w:left="1971" w:hanging="420"/>
      </w:pPr>
    </w:lvl>
    <w:lvl w:ilvl="3" w:tentative="0">
      <w:start w:val="1"/>
      <w:numFmt w:val="decimal"/>
      <w:lvlText w:val="%4."/>
      <w:lvlJc w:val="left"/>
      <w:pPr>
        <w:ind w:left="2391" w:hanging="420"/>
      </w:pPr>
    </w:lvl>
    <w:lvl w:ilvl="4" w:tentative="0">
      <w:start w:val="1"/>
      <w:numFmt w:val="lowerLetter"/>
      <w:lvlText w:val="%5)"/>
      <w:lvlJc w:val="left"/>
      <w:pPr>
        <w:ind w:left="2811" w:hanging="420"/>
      </w:pPr>
    </w:lvl>
    <w:lvl w:ilvl="5" w:tentative="0">
      <w:start w:val="1"/>
      <w:numFmt w:val="lowerRoman"/>
      <w:lvlText w:val="%6."/>
      <w:lvlJc w:val="right"/>
      <w:pPr>
        <w:ind w:left="3231" w:hanging="420"/>
      </w:pPr>
    </w:lvl>
    <w:lvl w:ilvl="6" w:tentative="0">
      <w:start w:val="1"/>
      <w:numFmt w:val="decimal"/>
      <w:lvlText w:val="%7."/>
      <w:lvlJc w:val="left"/>
      <w:pPr>
        <w:ind w:left="3651" w:hanging="420"/>
      </w:pPr>
    </w:lvl>
    <w:lvl w:ilvl="7" w:tentative="0">
      <w:start w:val="1"/>
      <w:numFmt w:val="lowerLetter"/>
      <w:lvlText w:val="%8)"/>
      <w:lvlJc w:val="left"/>
      <w:pPr>
        <w:ind w:left="4071" w:hanging="420"/>
      </w:pPr>
    </w:lvl>
    <w:lvl w:ilvl="8" w:tentative="0">
      <w:start w:val="1"/>
      <w:numFmt w:val="lowerRoman"/>
      <w:lvlText w:val="%9."/>
      <w:lvlJc w:val="right"/>
      <w:pPr>
        <w:ind w:left="4491" w:hanging="420"/>
      </w:pPr>
    </w:lvl>
  </w:abstractNum>
  <w:abstractNum w:abstractNumId="19">
    <w:nsid w:val="00000041"/>
    <w:multiLevelType w:val="multilevel"/>
    <w:tmpl w:val="00000041"/>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00000043"/>
    <w:multiLevelType w:val="multilevel"/>
    <w:tmpl w:val="00000043"/>
    <w:lvl w:ilvl="0" w:tentative="0">
      <w:start w:val="1"/>
      <w:numFmt w:val="chineseCountingThousand"/>
      <w:lvlText w:val="%1、"/>
      <w:lvlJc w:val="left"/>
      <w:pPr>
        <w:ind w:left="1413" w:hanging="420"/>
      </w:pPr>
      <w:rPr>
        <w:sz w:val="28"/>
        <w:szCs w:val="28"/>
      </w:rPr>
    </w:lvl>
    <w:lvl w:ilvl="1" w:tentative="0">
      <w:start w:val="1"/>
      <w:numFmt w:val="decimal"/>
      <w:isLgl/>
      <w:lvlText w:val="%1.%2"/>
      <w:lvlJc w:val="left"/>
      <w:pPr>
        <w:ind w:left="1669" w:hanging="960"/>
      </w:pPr>
    </w:lvl>
    <w:lvl w:ilvl="2" w:tentative="0">
      <w:start w:val="1"/>
      <w:numFmt w:val="decimal"/>
      <w:isLgl/>
      <w:lvlText w:val="%1.%2.%3"/>
      <w:lvlJc w:val="left"/>
      <w:pPr>
        <w:ind w:left="1669" w:hanging="960"/>
      </w:pPr>
    </w:lvl>
    <w:lvl w:ilvl="3" w:tentative="0">
      <w:start w:val="1"/>
      <w:numFmt w:val="decimal"/>
      <w:isLgl/>
      <w:lvlText w:val="%1.%2.%3.%4"/>
      <w:lvlJc w:val="left"/>
      <w:pPr>
        <w:ind w:left="1789" w:hanging="1080"/>
      </w:pPr>
    </w:lvl>
    <w:lvl w:ilvl="4" w:tentative="0">
      <w:start w:val="1"/>
      <w:numFmt w:val="decimal"/>
      <w:isLgl/>
      <w:lvlText w:val="%1.%2.%3.%4.%5"/>
      <w:lvlJc w:val="left"/>
      <w:pPr>
        <w:ind w:left="1789" w:hanging="1080"/>
      </w:pPr>
    </w:lvl>
    <w:lvl w:ilvl="5" w:tentative="0">
      <w:start w:val="1"/>
      <w:numFmt w:val="decimal"/>
      <w:isLgl/>
      <w:lvlText w:val="%1.%2.%3.%4.%5.%6"/>
      <w:lvlJc w:val="left"/>
      <w:pPr>
        <w:ind w:left="2149" w:hanging="1440"/>
      </w:pPr>
    </w:lvl>
    <w:lvl w:ilvl="6" w:tentative="0">
      <w:start w:val="1"/>
      <w:numFmt w:val="decimal"/>
      <w:isLgl/>
      <w:lvlText w:val="%1.%2.%3.%4.%5.%6.%7"/>
      <w:lvlJc w:val="left"/>
      <w:pPr>
        <w:ind w:left="2509" w:hanging="1800"/>
      </w:pPr>
    </w:lvl>
    <w:lvl w:ilvl="7" w:tentative="0">
      <w:start w:val="1"/>
      <w:numFmt w:val="decimal"/>
      <w:isLgl/>
      <w:lvlText w:val="%1.%2.%3.%4.%5.%6.%7.%8"/>
      <w:lvlJc w:val="left"/>
      <w:pPr>
        <w:ind w:left="2509" w:hanging="1800"/>
      </w:pPr>
    </w:lvl>
    <w:lvl w:ilvl="8" w:tentative="0">
      <w:start w:val="1"/>
      <w:numFmt w:val="decimal"/>
      <w:isLgl/>
      <w:lvlText w:val="%1.%2.%3.%4.%5.%6.%7.%8.%9"/>
      <w:lvlJc w:val="left"/>
      <w:pPr>
        <w:ind w:left="2869" w:hanging="2160"/>
      </w:pPr>
    </w:lvl>
  </w:abstractNum>
  <w:abstractNum w:abstractNumId="21">
    <w:nsid w:val="05EAB8F4"/>
    <w:multiLevelType w:val="singleLevel"/>
    <w:tmpl w:val="05EAB8F4"/>
    <w:lvl w:ilvl="0" w:tentative="0">
      <w:start w:val="1"/>
      <w:numFmt w:val="decimal"/>
      <w:suff w:val="nothing"/>
      <w:lvlText w:val="（%1）"/>
      <w:lvlJc w:val="left"/>
    </w:lvl>
  </w:abstractNum>
  <w:abstractNum w:abstractNumId="22">
    <w:nsid w:val="06AF180E"/>
    <w:multiLevelType w:val="multilevel"/>
    <w:tmpl w:val="06AF180E"/>
    <w:lvl w:ilvl="0" w:tentative="0">
      <w:start w:val="1"/>
      <w:numFmt w:val="japaneseCounting"/>
      <w:lvlText w:val="（%1）"/>
      <w:lvlJc w:val="left"/>
      <w:pPr>
        <w:ind w:left="1421" w:hanging="855"/>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3">
    <w:nsid w:val="06C3165F"/>
    <w:multiLevelType w:val="multilevel"/>
    <w:tmpl w:val="06C3165F"/>
    <w:lvl w:ilvl="0" w:tentative="0">
      <w:start w:val="5"/>
      <w:numFmt w:val="japaneseCounting"/>
      <w:lvlText w:val="（%1）"/>
      <w:lvlJc w:val="left"/>
      <w:pPr>
        <w:ind w:left="1179" w:hanging="855"/>
      </w:pPr>
      <w:rPr>
        <w:rFonts w:cs="Helvetica"/>
        <w:color w:val="FF0000"/>
      </w:rPr>
    </w:lvl>
    <w:lvl w:ilvl="1" w:tentative="0">
      <w:start w:val="1"/>
      <w:numFmt w:val="chineseCountingThousand"/>
      <w:lvlText w:val="(%2)"/>
      <w:lvlJc w:val="left"/>
      <w:pPr>
        <w:ind w:left="1164" w:hanging="420"/>
      </w:pPr>
    </w:lvl>
    <w:lvl w:ilvl="2" w:tentative="0">
      <w:start w:val="2"/>
      <w:numFmt w:val="japaneseCounting"/>
      <w:lvlText w:val="（%3）"/>
      <w:lvlJc w:val="left"/>
      <w:pPr>
        <w:ind w:left="2019" w:hanging="855"/>
      </w:pPr>
      <w:rPr>
        <w:lang w:val="en-US"/>
      </w:rPr>
    </w:lvl>
    <w:lvl w:ilvl="3" w:tentative="0">
      <w:start w:val="3"/>
      <w:numFmt w:val="japaneseCounting"/>
      <w:lvlText w:val="%4、"/>
      <w:lvlJc w:val="left"/>
      <w:pPr>
        <w:ind w:left="2304" w:hanging="720"/>
      </w:pPr>
    </w:lvl>
    <w:lvl w:ilvl="4" w:tentative="0">
      <w:start w:val="1"/>
      <w:numFmt w:val="lowerLetter"/>
      <w:lvlText w:val="%5)"/>
      <w:lvlJc w:val="left"/>
      <w:pPr>
        <w:ind w:left="2424" w:hanging="420"/>
      </w:pPr>
    </w:lvl>
    <w:lvl w:ilvl="5" w:tentative="0">
      <w:start w:val="1"/>
      <w:numFmt w:val="lowerRoman"/>
      <w:lvlText w:val="%6."/>
      <w:lvlJc w:val="right"/>
      <w:pPr>
        <w:ind w:left="2844" w:hanging="420"/>
      </w:pPr>
    </w:lvl>
    <w:lvl w:ilvl="6" w:tentative="0">
      <w:start w:val="1"/>
      <w:numFmt w:val="decimal"/>
      <w:lvlText w:val="%7."/>
      <w:lvlJc w:val="left"/>
      <w:pPr>
        <w:ind w:left="3264" w:hanging="420"/>
      </w:pPr>
    </w:lvl>
    <w:lvl w:ilvl="7" w:tentative="0">
      <w:start w:val="1"/>
      <w:numFmt w:val="lowerLetter"/>
      <w:lvlText w:val="%8)"/>
      <w:lvlJc w:val="left"/>
      <w:pPr>
        <w:ind w:left="3684" w:hanging="420"/>
      </w:pPr>
    </w:lvl>
    <w:lvl w:ilvl="8" w:tentative="0">
      <w:start w:val="1"/>
      <w:numFmt w:val="lowerRoman"/>
      <w:lvlText w:val="%9."/>
      <w:lvlJc w:val="right"/>
      <w:pPr>
        <w:ind w:left="4104" w:hanging="420"/>
      </w:pPr>
    </w:lvl>
  </w:abstractNum>
  <w:abstractNum w:abstractNumId="24">
    <w:nsid w:val="0D6B6379"/>
    <w:multiLevelType w:val="multilevel"/>
    <w:tmpl w:val="0D6B6379"/>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25">
    <w:nsid w:val="144C623B"/>
    <w:multiLevelType w:val="multilevel"/>
    <w:tmpl w:val="144C623B"/>
    <w:lvl w:ilvl="0" w:tentative="0">
      <w:start w:val="1"/>
      <w:numFmt w:val="chineseCountingThousand"/>
      <w:lvlText w:val="%1、"/>
      <w:lvlJc w:val="left"/>
      <w:pPr>
        <w:ind w:left="966" w:hanging="420"/>
      </w:pPr>
      <w:rPr>
        <w:b w:val="0"/>
        <w:sz w:val="28"/>
        <w:szCs w:val="28"/>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6">
    <w:nsid w:val="163F29DE"/>
    <w:multiLevelType w:val="multilevel"/>
    <w:tmpl w:val="163F29DE"/>
    <w:lvl w:ilvl="0" w:tentative="0">
      <w:start w:val="1"/>
      <w:numFmt w:val="chineseCountingThousand"/>
      <w:lvlText w:val="%1、"/>
      <w:lvlJc w:val="left"/>
      <w:pPr>
        <w:ind w:left="1413" w:hanging="420"/>
      </w:pPr>
      <w:rPr>
        <w:rFonts w:ascii="宋体" w:hAnsi="宋体" w:eastAsia="宋体"/>
        <w:sz w:val="28"/>
        <w:szCs w:val="28"/>
      </w:r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27">
    <w:nsid w:val="1A032D52"/>
    <w:multiLevelType w:val="multilevel"/>
    <w:tmpl w:val="1A032D52"/>
    <w:lvl w:ilvl="0" w:tentative="0">
      <w:start w:val="1"/>
      <w:numFmt w:val="chineseCountingThousand"/>
      <w:lvlText w:val="%1、"/>
      <w:lvlJc w:val="left"/>
      <w:pPr>
        <w:ind w:left="1413" w:hanging="420"/>
      </w:pPr>
    </w:lvl>
    <w:lvl w:ilvl="1" w:tentative="0">
      <w:start w:val="1"/>
      <w:numFmt w:val="lowerLetter"/>
      <w:lvlText w:val="%2)"/>
      <w:lvlJc w:val="left"/>
      <w:pPr>
        <w:tabs>
          <w:tab w:val="left" w:pos="847"/>
        </w:tabs>
        <w:ind w:left="847" w:hanging="420"/>
      </w:pPr>
    </w:lvl>
    <w:lvl w:ilvl="2" w:tentative="0">
      <w:start w:val="1"/>
      <w:numFmt w:val="lowerRoman"/>
      <w:lvlText w:val="%3."/>
      <w:lvlJc w:val="right"/>
      <w:pPr>
        <w:tabs>
          <w:tab w:val="left" w:pos="1267"/>
        </w:tabs>
        <w:ind w:left="1267" w:hanging="420"/>
      </w:pPr>
    </w:lvl>
    <w:lvl w:ilvl="3" w:tentative="0">
      <w:start w:val="1"/>
      <w:numFmt w:val="decimal"/>
      <w:lvlText w:val="%4."/>
      <w:lvlJc w:val="left"/>
      <w:pPr>
        <w:tabs>
          <w:tab w:val="left" w:pos="1687"/>
        </w:tabs>
        <w:ind w:left="1687" w:hanging="420"/>
      </w:pPr>
    </w:lvl>
    <w:lvl w:ilvl="4" w:tentative="0">
      <w:start w:val="1"/>
      <w:numFmt w:val="lowerLetter"/>
      <w:lvlText w:val="%5)"/>
      <w:lvlJc w:val="left"/>
      <w:pPr>
        <w:tabs>
          <w:tab w:val="left" w:pos="2107"/>
        </w:tabs>
        <w:ind w:left="2107" w:hanging="420"/>
      </w:pPr>
    </w:lvl>
    <w:lvl w:ilvl="5" w:tentative="0">
      <w:start w:val="1"/>
      <w:numFmt w:val="lowerRoman"/>
      <w:lvlText w:val="%6."/>
      <w:lvlJc w:val="right"/>
      <w:pPr>
        <w:tabs>
          <w:tab w:val="left" w:pos="2527"/>
        </w:tabs>
        <w:ind w:left="2527" w:hanging="420"/>
      </w:pPr>
    </w:lvl>
    <w:lvl w:ilvl="6" w:tentative="0">
      <w:start w:val="1"/>
      <w:numFmt w:val="decimal"/>
      <w:lvlText w:val="%7."/>
      <w:lvlJc w:val="left"/>
      <w:pPr>
        <w:tabs>
          <w:tab w:val="left" w:pos="2947"/>
        </w:tabs>
        <w:ind w:left="2947" w:hanging="420"/>
      </w:pPr>
    </w:lvl>
    <w:lvl w:ilvl="7" w:tentative="0">
      <w:start w:val="1"/>
      <w:numFmt w:val="lowerLetter"/>
      <w:lvlText w:val="%8)"/>
      <w:lvlJc w:val="left"/>
      <w:pPr>
        <w:tabs>
          <w:tab w:val="left" w:pos="3367"/>
        </w:tabs>
        <w:ind w:left="3367" w:hanging="420"/>
      </w:pPr>
    </w:lvl>
    <w:lvl w:ilvl="8" w:tentative="0">
      <w:start w:val="1"/>
      <w:numFmt w:val="lowerRoman"/>
      <w:lvlText w:val="%9."/>
      <w:lvlJc w:val="right"/>
      <w:pPr>
        <w:tabs>
          <w:tab w:val="left" w:pos="3787"/>
        </w:tabs>
        <w:ind w:left="3787" w:hanging="420"/>
      </w:pPr>
    </w:lvl>
  </w:abstractNum>
  <w:abstractNum w:abstractNumId="28">
    <w:nsid w:val="1F2A386E"/>
    <w:multiLevelType w:val="multilevel"/>
    <w:tmpl w:val="1F2A386E"/>
    <w:lvl w:ilvl="0" w:tentative="0">
      <w:start w:val="1"/>
      <w:numFmt w:val="chineseCountingThousand"/>
      <w:lvlText w:val="%1、"/>
      <w:lvlJc w:val="left"/>
      <w:pPr>
        <w:ind w:left="988" w:hanging="420"/>
      </w:p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29">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0">
    <w:nsid w:val="316418D8"/>
    <w:multiLevelType w:val="multilevel"/>
    <w:tmpl w:val="316418D8"/>
    <w:lvl w:ilvl="0" w:tentative="0">
      <w:start w:val="1"/>
      <w:numFmt w:val="chineseCountingThousand"/>
      <w:lvlText w:val="%1、"/>
      <w:lvlJc w:val="left"/>
      <w:pPr>
        <w:ind w:left="846" w:hanging="420"/>
      </w:p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31">
    <w:nsid w:val="3424055C"/>
    <w:multiLevelType w:val="multilevel"/>
    <w:tmpl w:val="3424055C"/>
    <w:lvl w:ilvl="0" w:tentative="0">
      <w:start w:val="1"/>
      <w:numFmt w:val="chineseCountingThousand"/>
      <w:lvlText w:val="%1、"/>
      <w:lvlJc w:val="left"/>
      <w:pPr>
        <w:ind w:left="1413" w:hanging="420"/>
      </w:pPr>
      <w:rPr>
        <w:rFonts w:ascii="宋体" w:hAnsi="宋体" w:eastAsia="宋体"/>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2">
    <w:nsid w:val="34D50379"/>
    <w:multiLevelType w:val="multilevel"/>
    <w:tmpl w:val="34D50379"/>
    <w:lvl w:ilvl="0" w:tentative="0">
      <w:start w:val="1"/>
      <w:numFmt w:val="decimal"/>
      <w:lvlText w:val="%1."/>
      <w:lvlJc w:val="left"/>
      <w:pPr>
        <w:ind w:left="840" w:hanging="420"/>
      </w:pPr>
    </w:lvl>
    <w:lvl w:ilvl="1" w:tentative="0">
      <w:start w:val="1"/>
      <w:numFmt w:val="decimal"/>
      <w:lvlText w:val="%2）"/>
      <w:lvlJc w:val="left"/>
      <w:pPr>
        <w:ind w:left="1560" w:hanging="720"/>
      </w:pPr>
      <w:rPr>
        <w:b w:val="0"/>
        <w:color w:val="000000"/>
      </w:rPr>
    </w:lvl>
    <w:lvl w:ilvl="2" w:tentative="0">
      <w:start w:val="1"/>
      <w:numFmt w:val="chineseCountingThousand"/>
      <w:lvlText w:val="%3、"/>
      <w:lvlJc w:val="left"/>
      <w:pPr>
        <w:ind w:left="60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3">
    <w:nsid w:val="361F7C4C"/>
    <w:multiLevelType w:val="multilevel"/>
    <w:tmpl w:val="361F7C4C"/>
    <w:lvl w:ilvl="0" w:tentative="0">
      <w:start w:val="1"/>
      <w:numFmt w:val="decimal"/>
      <w:lvlText w:val="%1."/>
      <w:lvlJc w:val="left"/>
      <w:pPr>
        <w:ind w:left="138" w:hanging="420"/>
      </w:pPr>
    </w:lvl>
    <w:lvl w:ilvl="1" w:tentative="0">
      <w:start w:val="1"/>
      <w:numFmt w:val="lowerLetter"/>
      <w:lvlText w:val="%2)"/>
      <w:lvlJc w:val="left"/>
      <w:pPr>
        <w:ind w:left="558" w:hanging="420"/>
      </w:pPr>
    </w:lvl>
    <w:lvl w:ilvl="2" w:tentative="0">
      <w:start w:val="1"/>
      <w:numFmt w:val="chineseCountingThousand"/>
      <w:lvlText w:val="%3、"/>
      <w:lvlJc w:val="left"/>
      <w:pPr>
        <w:ind w:left="848" w:hanging="420"/>
      </w:pPr>
      <w:rPr>
        <w:b w:val="0"/>
        <w:sz w:val="28"/>
        <w:szCs w:val="28"/>
      </w:rPr>
    </w:lvl>
    <w:lvl w:ilvl="3" w:tentative="0">
      <w:start w:val="1"/>
      <w:numFmt w:val="decimal"/>
      <w:lvlText w:val="%4."/>
      <w:lvlJc w:val="left"/>
      <w:pPr>
        <w:ind w:left="1398" w:hanging="420"/>
      </w:pPr>
    </w:lvl>
    <w:lvl w:ilvl="4" w:tentative="0">
      <w:start w:val="1"/>
      <w:numFmt w:val="lowerLetter"/>
      <w:lvlText w:val="%5)"/>
      <w:lvlJc w:val="left"/>
      <w:pPr>
        <w:ind w:left="1818" w:hanging="420"/>
      </w:pPr>
    </w:lvl>
    <w:lvl w:ilvl="5" w:tentative="0">
      <w:start w:val="1"/>
      <w:numFmt w:val="lowerRoman"/>
      <w:lvlText w:val="%6."/>
      <w:lvlJc w:val="right"/>
      <w:pPr>
        <w:ind w:left="2238" w:hanging="420"/>
      </w:pPr>
    </w:lvl>
    <w:lvl w:ilvl="6" w:tentative="0">
      <w:start w:val="1"/>
      <w:numFmt w:val="decimal"/>
      <w:lvlText w:val="%7."/>
      <w:lvlJc w:val="left"/>
      <w:pPr>
        <w:ind w:left="2658" w:hanging="420"/>
      </w:pPr>
    </w:lvl>
    <w:lvl w:ilvl="7" w:tentative="0">
      <w:start w:val="1"/>
      <w:numFmt w:val="lowerLetter"/>
      <w:lvlText w:val="%8)"/>
      <w:lvlJc w:val="left"/>
      <w:pPr>
        <w:ind w:left="3078" w:hanging="420"/>
      </w:pPr>
    </w:lvl>
    <w:lvl w:ilvl="8" w:tentative="0">
      <w:start w:val="1"/>
      <w:numFmt w:val="lowerRoman"/>
      <w:lvlText w:val="%9."/>
      <w:lvlJc w:val="right"/>
      <w:pPr>
        <w:ind w:left="3498" w:hanging="420"/>
      </w:pPr>
    </w:lvl>
  </w:abstractNum>
  <w:abstractNum w:abstractNumId="34">
    <w:nsid w:val="4C1635C4"/>
    <w:multiLevelType w:val="multilevel"/>
    <w:tmpl w:val="4C1635C4"/>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5">
    <w:nsid w:val="4CC31705"/>
    <w:multiLevelType w:val="multilevel"/>
    <w:tmpl w:val="4CC31705"/>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6">
    <w:nsid w:val="4D3C4E8D"/>
    <w:multiLevelType w:val="multilevel"/>
    <w:tmpl w:val="4D3C4E8D"/>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37">
    <w:nsid w:val="51F311B1"/>
    <w:multiLevelType w:val="multilevel"/>
    <w:tmpl w:val="51F311B1"/>
    <w:lvl w:ilvl="0" w:tentative="0">
      <w:start w:val="1"/>
      <w:numFmt w:val="chineseCountingThousand"/>
      <w:lvlText w:val="%1、"/>
      <w:lvlJc w:val="left"/>
      <w:pPr>
        <w:ind w:left="966" w:hanging="420"/>
      </w:p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38">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9">
    <w:nsid w:val="60642B38"/>
    <w:multiLevelType w:val="multilevel"/>
    <w:tmpl w:val="60642B38"/>
    <w:lvl w:ilvl="0" w:tentative="0">
      <w:start w:val="1"/>
      <w:numFmt w:val="chineseCountingThousand"/>
      <w:lvlText w:val="%1、"/>
      <w:lvlJc w:val="left"/>
      <w:pPr>
        <w:ind w:left="840" w:hanging="420"/>
      </w:pPr>
      <w:rPr>
        <w:rFonts w:asciiTheme="minorEastAsia" w:hAnsiTheme="minorEastAsia" w:eastAsiaTheme="minorEastAsia"/>
        <w:b w:val="0"/>
        <w:sz w:val="28"/>
        <w:szCs w:val="28"/>
      </w:r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0">
    <w:nsid w:val="61FA781F"/>
    <w:multiLevelType w:val="multilevel"/>
    <w:tmpl w:val="61FA781F"/>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1">
    <w:nsid w:val="638064AA"/>
    <w:multiLevelType w:val="multilevel"/>
    <w:tmpl w:val="638064AA"/>
    <w:lvl w:ilvl="0" w:tentative="0">
      <w:start w:val="1"/>
      <w:numFmt w:val="japaneseCounting"/>
      <w:lvlText w:val="%1、"/>
      <w:lvlJc w:val="left"/>
      <w:pPr>
        <w:ind w:left="1998"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2">
    <w:nsid w:val="716F767A"/>
    <w:multiLevelType w:val="multilevel"/>
    <w:tmpl w:val="716F767A"/>
    <w:lvl w:ilvl="0" w:tentative="0">
      <w:start w:val="1"/>
      <w:numFmt w:val="chineseCountingThousand"/>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43">
    <w:nsid w:val="745ABFB8"/>
    <w:multiLevelType w:val="singleLevel"/>
    <w:tmpl w:val="745ABFB8"/>
    <w:lvl w:ilvl="0" w:tentative="0">
      <w:start w:val="1"/>
      <w:numFmt w:val="decimal"/>
      <w:suff w:val="nothing"/>
      <w:lvlText w:val="（%1）"/>
      <w:lvlJc w:val="left"/>
    </w:lvl>
  </w:abstractNum>
  <w:abstractNum w:abstractNumId="44">
    <w:nsid w:val="75656F13"/>
    <w:multiLevelType w:val="multilevel"/>
    <w:tmpl w:val="75656F13"/>
    <w:lvl w:ilvl="0" w:tentative="0">
      <w:start w:val="1"/>
      <w:numFmt w:val="chineseCountingThousand"/>
      <w:lvlText w:val="(%1)"/>
      <w:lvlJc w:val="left"/>
      <w:pPr>
        <w:tabs>
          <w:tab w:val="left" w:pos="846"/>
        </w:tabs>
        <w:ind w:left="84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5">
    <w:nsid w:val="76881124"/>
    <w:multiLevelType w:val="multilevel"/>
    <w:tmpl w:val="76881124"/>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46">
    <w:nsid w:val="789D00AF"/>
    <w:multiLevelType w:val="multilevel"/>
    <w:tmpl w:val="789D00AF"/>
    <w:lvl w:ilvl="0" w:tentative="0">
      <w:start w:val="1"/>
      <w:numFmt w:val="chineseCountingThousand"/>
      <w:lvlText w:val="(%1)"/>
      <w:lvlJc w:val="left"/>
      <w:pPr>
        <w:ind w:left="972" w:hanging="420"/>
      </w:pPr>
      <w:rPr>
        <w:b w:val="0"/>
      </w:rPr>
    </w:lvl>
    <w:lvl w:ilvl="1" w:tentative="0">
      <w:start w:val="1"/>
      <w:numFmt w:val="lowerLetter"/>
      <w:lvlText w:val="%2)"/>
      <w:lvlJc w:val="left"/>
      <w:pPr>
        <w:ind w:left="1392" w:hanging="420"/>
      </w:pPr>
    </w:lvl>
    <w:lvl w:ilvl="2" w:tentative="0">
      <w:start w:val="1"/>
      <w:numFmt w:val="lowerRoman"/>
      <w:lvlText w:val="%3."/>
      <w:lvlJc w:val="right"/>
      <w:pPr>
        <w:ind w:left="1812" w:hanging="420"/>
      </w:pPr>
    </w:lvl>
    <w:lvl w:ilvl="3" w:tentative="0">
      <w:start w:val="1"/>
      <w:numFmt w:val="decimal"/>
      <w:lvlText w:val="%4."/>
      <w:lvlJc w:val="left"/>
      <w:pPr>
        <w:ind w:left="2232" w:hanging="420"/>
      </w:pPr>
    </w:lvl>
    <w:lvl w:ilvl="4" w:tentative="0">
      <w:start w:val="1"/>
      <w:numFmt w:val="lowerLetter"/>
      <w:lvlText w:val="%5)"/>
      <w:lvlJc w:val="left"/>
      <w:pPr>
        <w:ind w:left="2652" w:hanging="420"/>
      </w:pPr>
    </w:lvl>
    <w:lvl w:ilvl="5" w:tentative="0">
      <w:start w:val="1"/>
      <w:numFmt w:val="lowerRoman"/>
      <w:lvlText w:val="%6."/>
      <w:lvlJc w:val="right"/>
      <w:pPr>
        <w:ind w:left="3072" w:hanging="420"/>
      </w:pPr>
    </w:lvl>
    <w:lvl w:ilvl="6" w:tentative="0">
      <w:start w:val="1"/>
      <w:numFmt w:val="decimal"/>
      <w:lvlText w:val="%7."/>
      <w:lvlJc w:val="left"/>
      <w:pPr>
        <w:ind w:left="3492" w:hanging="420"/>
      </w:pPr>
    </w:lvl>
    <w:lvl w:ilvl="7" w:tentative="0">
      <w:start w:val="1"/>
      <w:numFmt w:val="lowerLetter"/>
      <w:lvlText w:val="%8)"/>
      <w:lvlJc w:val="left"/>
      <w:pPr>
        <w:ind w:left="3912" w:hanging="420"/>
      </w:pPr>
    </w:lvl>
    <w:lvl w:ilvl="8" w:tentative="0">
      <w:start w:val="1"/>
      <w:numFmt w:val="lowerRoman"/>
      <w:lvlText w:val="%9."/>
      <w:lvlJc w:val="right"/>
      <w:pPr>
        <w:ind w:left="4332" w:hanging="420"/>
      </w:pPr>
    </w:lvl>
  </w:abstractNum>
  <w:abstractNum w:abstractNumId="47">
    <w:nsid w:val="7F511D7D"/>
    <w:multiLevelType w:val="multilevel"/>
    <w:tmpl w:val="7F511D7D"/>
    <w:lvl w:ilvl="0" w:tentative="0">
      <w:start w:val="1"/>
      <w:numFmt w:val="chineseCountingThousand"/>
      <w:lvlText w:val="%1、"/>
      <w:lvlJc w:val="left"/>
      <w:pPr>
        <w:ind w:left="988" w:hanging="420"/>
      </w:pPr>
      <w:rPr>
        <w:sz w:val="28"/>
        <w:szCs w:val="28"/>
      </w:rPr>
    </w:lvl>
    <w:lvl w:ilvl="1" w:tentative="0">
      <w:start w:val="1"/>
      <w:numFmt w:val="decimal"/>
      <w:isLgl/>
      <w:lvlText w:val="%1.%2"/>
      <w:lvlJc w:val="left"/>
      <w:pPr>
        <w:ind w:left="1528" w:hanging="960"/>
      </w:pPr>
    </w:lvl>
    <w:lvl w:ilvl="2" w:tentative="0">
      <w:start w:val="1"/>
      <w:numFmt w:val="decimal"/>
      <w:isLgl/>
      <w:lvlText w:val="%1.%2.%3"/>
      <w:lvlJc w:val="left"/>
      <w:pPr>
        <w:ind w:left="1528" w:hanging="960"/>
      </w:pPr>
    </w:lvl>
    <w:lvl w:ilvl="3" w:tentative="0">
      <w:start w:val="1"/>
      <w:numFmt w:val="decimal"/>
      <w:isLgl/>
      <w:lvlText w:val="%1.%2.%3.%4"/>
      <w:lvlJc w:val="left"/>
      <w:pPr>
        <w:ind w:left="1648" w:hanging="1080"/>
      </w:pPr>
    </w:lvl>
    <w:lvl w:ilvl="4" w:tentative="0">
      <w:start w:val="1"/>
      <w:numFmt w:val="decimal"/>
      <w:isLgl/>
      <w:lvlText w:val="%1.%2.%3.%4.%5"/>
      <w:lvlJc w:val="left"/>
      <w:pPr>
        <w:ind w:left="1648" w:hanging="1080"/>
      </w:pPr>
    </w:lvl>
    <w:lvl w:ilvl="5" w:tentative="0">
      <w:start w:val="1"/>
      <w:numFmt w:val="decimal"/>
      <w:isLgl/>
      <w:lvlText w:val="%1.%2.%3.%4.%5.%6"/>
      <w:lvlJc w:val="left"/>
      <w:pPr>
        <w:ind w:left="2008" w:hanging="1440"/>
      </w:pPr>
    </w:lvl>
    <w:lvl w:ilvl="6" w:tentative="0">
      <w:start w:val="1"/>
      <w:numFmt w:val="decimal"/>
      <w:isLgl/>
      <w:lvlText w:val="%1.%2.%3.%4.%5.%6.%7"/>
      <w:lvlJc w:val="left"/>
      <w:pPr>
        <w:ind w:left="2368" w:hanging="1800"/>
      </w:pPr>
    </w:lvl>
    <w:lvl w:ilvl="7" w:tentative="0">
      <w:start w:val="1"/>
      <w:numFmt w:val="decimal"/>
      <w:isLgl/>
      <w:lvlText w:val="%1.%2.%3.%4.%5.%6.%7.%8"/>
      <w:lvlJc w:val="left"/>
      <w:pPr>
        <w:ind w:left="2368" w:hanging="1800"/>
      </w:pPr>
    </w:lvl>
    <w:lvl w:ilvl="8" w:tentative="0">
      <w:start w:val="1"/>
      <w:numFmt w:val="decimal"/>
      <w:isLgl/>
      <w:lvlText w:val="%1.%2.%3.%4.%5.%6.%7.%8.%9"/>
      <w:lvlJc w:val="left"/>
      <w:pPr>
        <w:ind w:left="2728" w:hanging="2160"/>
      </w:pPr>
    </w:lvl>
  </w:abstractNum>
  <w:num w:numId="1">
    <w:abstractNumId w:val="9"/>
  </w:num>
  <w:num w:numId="2">
    <w:abstractNumId w:val="5"/>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lvlOverride w:ilvl="0">
      <w:startOverride w:val="5"/>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num>
  <w:num w:numId="36">
    <w:abstractNumId w:val="21"/>
  </w:num>
  <w:num w:numId="37">
    <w:abstractNumId w:val="43"/>
  </w:num>
  <w:num w:numId="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hideSpellingError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KGWebUrl" w:val="https://portal.cdggzy.com/iWebOffice2015/OfficeHandler.ashx?directory=/CgProject/BidFile/File/%e6%88%90%e9%83%bd%e5%b8%82%e6%94%bf%e9%87%87%e6%8b%9b%e3%80%942020%e3%80%95235%e5%8f%b7/"/>
  </w:docVars>
  <w:rsids>
    <w:rsidRoot w:val="0092431B"/>
    <w:rsid w:val="0000565F"/>
    <w:rsid w:val="0001098C"/>
    <w:rsid w:val="00011E2C"/>
    <w:rsid w:val="000139C2"/>
    <w:rsid w:val="00014041"/>
    <w:rsid w:val="00017C65"/>
    <w:rsid w:val="00031675"/>
    <w:rsid w:val="00046547"/>
    <w:rsid w:val="00054718"/>
    <w:rsid w:val="00055E66"/>
    <w:rsid w:val="00064008"/>
    <w:rsid w:val="00070D3F"/>
    <w:rsid w:val="00071173"/>
    <w:rsid w:val="00071BA9"/>
    <w:rsid w:val="00073EE7"/>
    <w:rsid w:val="00074652"/>
    <w:rsid w:val="00074CCC"/>
    <w:rsid w:val="00076F90"/>
    <w:rsid w:val="00077D91"/>
    <w:rsid w:val="0008193D"/>
    <w:rsid w:val="00082B5A"/>
    <w:rsid w:val="00086C1B"/>
    <w:rsid w:val="00094ECF"/>
    <w:rsid w:val="000A1B48"/>
    <w:rsid w:val="000A2ECC"/>
    <w:rsid w:val="000A438D"/>
    <w:rsid w:val="000C01D9"/>
    <w:rsid w:val="000E01D4"/>
    <w:rsid w:val="000E39BC"/>
    <w:rsid w:val="000E3D99"/>
    <w:rsid w:val="000E4073"/>
    <w:rsid w:val="000E4FBE"/>
    <w:rsid w:val="000F09EE"/>
    <w:rsid w:val="000F0BF5"/>
    <w:rsid w:val="000F1FED"/>
    <w:rsid w:val="000F23A2"/>
    <w:rsid w:val="000F5214"/>
    <w:rsid w:val="000F7E5B"/>
    <w:rsid w:val="00101F08"/>
    <w:rsid w:val="001061BE"/>
    <w:rsid w:val="00121915"/>
    <w:rsid w:val="00123F07"/>
    <w:rsid w:val="00130037"/>
    <w:rsid w:val="00130181"/>
    <w:rsid w:val="00131558"/>
    <w:rsid w:val="00135260"/>
    <w:rsid w:val="00136524"/>
    <w:rsid w:val="00142C44"/>
    <w:rsid w:val="001446D2"/>
    <w:rsid w:val="00147768"/>
    <w:rsid w:val="001500A4"/>
    <w:rsid w:val="0015151D"/>
    <w:rsid w:val="00152E57"/>
    <w:rsid w:val="00153915"/>
    <w:rsid w:val="0017023B"/>
    <w:rsid w:val="001713E7"/>
    <w:rsid w:val="00171DDA"/>
    <w:rsid w:val="00175DA2"/>
    <w:rsid w:val="00184A31"/>
    <w:rsid w:val="00186DC1"/>
    <w:rsid w:val="00192118"/>
    <w:rsid w:val="001922D3"/>
    <w:rsid w:val="0019619C"/>
    <w:rsid w:val="00196CFF"/>
    <w:rsid w:val="001A0D45"/>
    <w:rsid w:val="001A5D4C"/>
    <w:rsid w:val="001A6921"/>
    <w:rsid w:val="001B03EC"/>
    <w:rsid w:val="001B22B9"/>
    <w:rsid w:val="001B23DF"/>
    <w:rsid w:val="001B34A4"/>
    <w:rsid w:val="001B52CD"/>
    <w:rsid w:val="001B7AC5"/>
    <w:rsid w:val="001C2698"/>
    <w:rsid w:val="001C2C7F"/>
    <w:rsid w:val="001C4059"/>
    <w:rsid w:val="001C4169"/>
    <w:rsid w:val="001C4FFA"/>
    <w:rsid w:val="001C7182"/>
    <w:rsid w:val="001D392C"/>
    <w:rsid w:val="001D53CF"/>
    <w:rsid w:val="001E019A"/>
    <w:rsid w:val="001E0928"/>
    <w:rsid w:val="001E13EE"/>
    <w:rsid w:val="001E1E08"/>
    <w:rsid w:val="001E4BE1"/>
    <w:rsid w:val="001E7B34"/>
    <w:rsid w:val="001F41DC"/>
    <w:rsid w:val="001F66B8"/>
    <w:rsid w:val="00200D51"/>
    <w:rsid w:val="00201429"/>
    <w:rsid w:val="00206BA1"/>
    <w:rsid w:val="00207506"/>
    <w:rsid w:val="00214F93"/>
    <w:rsid w:val="00216FB4"/>
    <w:rsid w:val="00221068"/>
    <w:rsid w:val="00222E39"/>
    <w:rsid w:val="002303BC"/>
    <w:rsid w:val="002304CC"/>
    <w:rsid w:val="00231685"/>
    <w:rsid w:val="002348AD"/>
    <w:rsid w:val="00236C36"/>
    <w:rsid w:val="00243841"/>
    <w:rsid w:val="002441B7"/>
    <w:rsid w:val="0025011B"/>
    <w:rsid w:val="0025205A"/>
    <w:rsid w:val="00257EE4"/>
    <w:rsid w:val="0026015E"/>
    <w:rsid w:val="00266EFB"/>
    <w:rsid w:val="00281817"/>
    <w:rsid w:val="00283530"/>
    <w:rsid w:val="00285456"/>
    <w:rsid w:val="0028562A"/>
    <w:rsid w:val="002933F7"/>
    <w:rsid w:val="00294841"/>
    <w:rsid w:val="00295506"/>
    <w:rsid w:val="0029669E"/>
    <w:rsid w:val="002A24C4"/>
    <w:rsid w:val="002A3BE8"/>
    <w:rsid w:val="002A57DC"/>
    <w:rsid w:val="002A5802"/>
    <w:rsid w:val="002B0D01"/>
    <w:rsid w:val="002B47ED"/>
    <w:rsid w:val="002C0E6D"/>
    <w:rsid w:val="002C48A8"/>
    <w:rsid w:val="002D327D"/>
    <w:rsid w:val="002D346A"/>
    <w:rsid w:val="002D369F"/>
    <w:rsid w:val="002D506F"/>
    <w:rsid w:val="002E03EE"/>
    <w:rsid w:val="002E23CC"/>
    <w:rsid w:val="002E6714"/>
    <w:rsid w:val="002F1468"/>
    <w:rsid w:val="002F733B"/>
    <w:rsid w:val="00302D48"/>
    <w:rsid w:val="00306AF7"/>
    <w:rsid w:val="003073F1"/>
    <w:rsid w:val="003074A8"/>
    <w:rsid w:val="003123B1"/>
    <w:rsid w:val="0031432A"/>
    <w:rsid w:val="00327DC2"/>
    <w:rsid w:val="00337989"/>
    <w:rsid w:val="00337DE4"/>
    <w:rsid w:val="00340301"/>
    <w:rsid w:val="00340B9C"/>
    <w:rsid w:val="00344060"/>
    <w:rsid w:val="00354A06"/>
    <w:rsid w:val="00354C2E"/>
    <w:rsid w:val="003636DA"/>
    <w:rsid w:val="00364C97"/>
    <w:rsid w:val="00365A54"/>
    <w:rsid w:val="00373E02"/>
    <w:rsid w:val="00375733"/>
    <w:rsid w:val="00376E8D"/>
    <w:rsid w:val="00392BD7"/>
    <w:rsid w:val="0039396D"/>
    <w:rsid w:val="00394287"/>
    <w:rsid w:val="00394B3F"/>
    <w:rsid w:val="003966F1"/>
    <w:rsid w:val="00397BC3"/>
    <w:rsid w:val="003A0F3D"/>
    <w:rsid w:val="003A29C7"/>
    <w:rsid w:val="003B0684"/>
    <w:rsid w:val="003D3F9A"/>
    <w:rsid w:val="003D3FA9"/>
    <w:rsid w:val="003D6917"/>
    <w:rsid w:val="003E6501"/>
    <w:rsid w:val="003F007F"/>
    <w:rsid w:val="003F3B03"/>
    <w:rsid w:val="003F3F72"/>
    <w:rsid w:val="003F55C9"/>
    <w:rsid w:val="00401543"/>
    <w:rsid w:val="00410F3C"/>
    <w:rsid w:val="0042015A"/>
    <w:rsid w:val="0042092D"/>
    <w:rsid w:val="004215D4"/>
    <w:rsid w:val="00426F57"/>
    <w:rsid w:val="00434688"/>
    <w:rsid w:val="00443C03"/>
    <w:rsid w:val="0045547F"/>
    <w:rsid w:val="00462EE0"/>
    <w:rsid w:val="00465336"/>
    <w:rsid w:val="0047709D"/>
    <w:rsid w:val="00483D0A"/>
    <w:rsid w:val="0048607B"/>
    <w:rsid w:val="004870EE"/>
    <w:rsid w:val="00487C29"/>
    <w:rsid w:val="00493062"/>
    <w:rsid w:val="00493563"/>
    <w:rsid w:val="004979C0"/>
    <w:rsid w:val="004A0CC1"/>
    <w:rsid w:val="004A128A"/>
    <w:rsid w:val="004A421E"/>
    <w:rsid w:val="004A56A4"/>
    <w:rsid w:val="004A610A"/>
    <w:rsid w:val="004A6AF2"/>
    <w:rsid w:val="004B1F10"/>
    <w:rsid w:val="004B3E47"/>
    <w:rsid w:val="004B79CA"/>
    <w:rsid w:val="004C1B1A"/>
    <w:rsid w:val="004C3093"/>
    <w:rsid w:val="004C3859"/>
    <w:rsid w:val="004D17EE"/>
    <w:rsid w:val="004D1880"/>
    <w:rsid w:val="004D3539"/>
    <w:rsid w:val="004D49CB"/>
    <w:rsid w:val="004E0B64"/>
    <w:rsid w:val="004E1C00"/>
    <w:rsid w:val="004E344C"/>
    <w:rsid w:val="004E603E"/>
    <w:rsid w:val="004E6824"/>
    <w:rsid w:val="004F233C"/>
    <w:rsid w:val="004F4845"/>
    <w:rsid w:val="004F5882"/>
    <w:rsid w:val="00500F25"/>
    <w:rsid w:val="00503FBB"/>
    <w:rsid w:val="00506303"/>
    <w:rsid w:val="00506787"/>
    <w:rsid w:val="005118E9"/>
    <w:rsid w:val="00513D7D"/>
    <w:rsid w:val="005145AE"/>
    <w:rsid w:val="005166F2"/>
    <w:rsid w:val="00517C2B"/>
    <w:rsid w:val="00520F77"/>
    <w:rsid w:val="00525678"/>
    <w:rsid w:val="00527A66"/>
    <w:rsid w:val="00542211"/>
    <w:rsid w:val="00542C2D"/>
    <w:rsid w:val="00543DCE"/>
    <w:rsid w:val="00544FA0"/>
    <w:rsid w:val="00545144"/>
    <w:rsid w:val="00546C0F"/>
    <w:rsid w:val="00552009"/>
    <w:rsid w:val="00552300"/>
    <w:rsid w:val="00563198"/>
    <w:rsid w:val="00573F1B"/>
    <w:rsid w:val="0057488F"/>
    <w:rsid w:val="005816DE"/>
    <w:rsid w:val="0058243A"/>
    <w:rsid w:val="00592A25"/>
    <w:rsid w:val="00592D79"/>
    <w:rsid w:val="0059657B"/>
    <w:rsid w:val="005A223F"/>
    <w:rsid w:val="005A6C20"/>
    <w:rsid w:val="005B0094"/>
    <w:rsid w:val="005B4F1A"/>
    <w:rsid w:val="005B7A11"/>
    <w:rsid w:val="005D64B8"/>
    <w:rsid w:val="005E0320"/>
    <w:rsid w:val="005E4485"/>
    <w:rsid w:val="005F1DF0"/>
    <w:rsid w:val="006052AA"/>
    <w:rsid w:val="00606AFB"/>
    <w:rsid w:val="00610A61"/>
    <w:rsid w:val="00613604"/>
    <w:rsid w:val="006144EE"/>
    <w:rsid w:val="006216DE"/>
    <w:rsid w:val="0062279F"/>
    <w:rsid w:val="00626DD4"/>
    <w:rsid w:val="00634D91"/>
    <w:rsid w:val="006402CD"/>
    <w:rsid w:val="006408B0"/>
    <w:rsid w:val="00643FC7"/>
    <w:rsid w:val="00650812"/>
    <w:rsid w:val="00652875"/>
    <w:rsid w:val="00652F59"/>
    <w:rsid w:val="006623DB"/>
    <w:rsid w:val="00666C3E"/>
    <w:rsid w:val="00671E4B"/>
    <w:rsid w:val="0067211F"/>
    <w:rsid w:val="0067505B"/>
    <w:rsid w:val="006761A5"/>
    <w:rsid w:val="00681020"/>
    <w:rsid w:val="00683721"/>
    <w:rsid w:val="006848FF"/>
    <w:rsid w:val="00691584"/>
    <w:rsid w:val="00694DF2"/>
    <w:rsid w:val="006A0F25"/>
    <w:rsid w:val="006A6AAE"/>
    <w:rsid w:val="006B143B"/>
    <w:rsid w:val="006B1930"/>
    <w:rsid w:val="006B4D91"/>
    <w:rsid w:val="006C2309"/>
    <w:rsid w:val="006C47BE"/>
    <w:rsid w:val="006D0D2A"/>
    <w:rsid w:val="006D3B15"/>
    <w:rsid w:val="006E28B4"/>
    <w:rsid w:val="0070048F"/>
    <w:rsid w:val="00702324"/>
    <w:rsid w:val="00711854"/>
    <w:rsid w:val="00715E32"/>
    <w:rsid w:val="0072715A"/>
    <w:rsid w:val="00730690"/>
    <w:rsid w:val="00730CE4"/>
    <w:rsid w:val="0073282C"/>
    <w:rsid w:val="00742A5F"/>
    <w:rsid w:val="00750CAF"/>
    <w:rsid w:val="00752731"/>
    <w:rsid w:val="00754946"/>
    <w:rsid w:val="0076041A"/>
    <w:rsid w:val="007623AC"/>
    <w:rsid w:val="00764541"/>
    <w:rsid w:val="0076643C"/>
    <w:rsid w:val="007672B0"/>
    <w:rsid w:val="0077658B"/>
    <w:rsid w:val="00794228"/>
    <w:rsid w:val="007974F2"/>
    <w:rsid w:val="007A265A"/>
    <w:rsid w:val="007A4212"/>
    <w:rsid w:val="007A5C5B"/>
    <w:rsid w:val="007C103D"/>
    <w:rsid w:val="007C25BD"/>
    <w:rsid w:val="007C3748"/>
    <w:rsid w:val="007C4260"/>
    <w:rsid w:val="007C6487"/>
    <w:rsid w:val="007D031F"/>
    <w:rsid w:val="007D1688"/>
    <w:rsid w:val="007D62B3"/>
    <w:rsid w:val="007D6A58"/>
    <w:rsid w:val="007E1B96"/>
    <w:rsid w:val="007E58CF"/>
    <w:rsid w:val="007F14ED"/>
    <w:rsid w:val="007F6DFD"/>
    <w:rsid w:val="00804696"/>
    <w:rsid w:val="00804B3B"/>
    <w:rsid w:val="00804CED"/>
    <w:rsid w:val="0081056F"/>
    <w:rsid w:val="00820C8E"/>
    <w:rsid w:val="00824DA8"/>
    <w:rsid w:val="00824F2A"/>
    <w:rsid w:val="008253BA"/>
    <w:rsid w:val="00826151"/>
    <w:rsid w:val="00836FDB"/>
    <w:rsid w:val="00837D9B"/>
    <w:rsid w:val="008410FC"/>
    <w:rsid w:val="008431D8"/>
    <w:rsid w:val="00844CCC"/>
    <w:rsid w:val="00855281"/>
    <w:rsid w:val="0086125A"/>
    <w:rsid w:val="008617A7"/>
    <w:rsid w:val="00861F4B"/>
    <w:rsid w:val="00862CEA"/>
    <w:rsid w:val="00862D3A"/>
    <w:rsid w:val="00867E7F"/>
    <w:rsid w:val="008732BB"/>
    <w:rsid w:val="00873952"/>
    <w:rsid w:val="00874D79"/>
    <w:rsid w:val="00876051"/>
    <w:rsid w:val="008871B4"/>
    <w:rsid w:val="008907C8"/>
    <w:rsid w:val="00891F19"/>
    <w:rsid w:val="008A40A3"/>
    <w:rsid w:val="008B5BED"/>
    <w:rsid w:val="008B6817"/>
    <w:rsid w:val="008B75AF"/>
    <w:rsid w:val="008C04DF"/>
    <w:rsid w:val="008C449E"/>
    <w:rsid w:val="008E0BB5"/>
    <w:rsid w:val="008E5E8F"/>
    <w:rsid w:val="008F0B57"/>
    <w:rsid w:val="008F3D36"/>
    <w:rsid w:val="008F6373"/>
    <w:rsid w:val="00900488"/>
    <w:rsid w:val="00900C54"/>
    <w:rsid w:val="00912CC0"/>
    <w:rsid w:val="00914DA5"/>
    <w:rsid w:val="00916399"/>
    <w:rsid w:val="00917998"/>
    <w:rsid w:val="00923E69"/>
    <w:rsid w:val="0092431B"/>
    <w:rsid w:val="00926A77"/>
    <w:rsid w:val="00927478"/>
    <w:rsid w:val="00931816"/>
    <w:rsid w:val="00933C1C"/>
    <w:rsid w:val="009417A0"/>
    <w:rsid w:val="00941F87"/>
    <w:rsid w:val="00944068"/>
    <w:rsid w:val="0094424B"/>
    <w:rsid w:val="00950315"/>
    <w:rsid w:val="0095173F"/>
    <w:rsid w:val="0095400B"/>
    <w:rsid w:val="00955F71"/>
    <w:rsid w:val="00963021"/>
    <w:rsid w:val="00965A16"/>
    <w:rsid w:val="00965E6C"/>
    <w:rsid w:val="00966025"/>
    <w:rsid w:val="00970330"/>
    <w:rsid w:val="00970392"/>
    <w:rsid w:val="00976A7C"/>
    <w:rsid w:val="0098783A"/>
    <w:rsid w:val="00995AF8"/>
    <w:rsid w:val="009A0271"/>
    <w:rsid w:val="009A027E"/>
    <w:rsid w:val="009A0CAF"/>
    <w:rsid w:val="009A253C"/>
    <w:rsid w:val="009A3585"/>
    <w:rsid w:val="009B2163"/>
    <w:rsid w:val="009C0868"/>
    <w:rsid w:val="009C5E2E"/>
    <w:rsid w:val="009D16B0"/>
    <w:rsid w:val="009D5908"/>
    <w:rsid w:val="009E237A"/>
    <w:rsid w:val="009E383A"/>
    <w:rsid w:val="009F7F51"/>
    <w:rsid w:val="00A00871"/>
    <w:rsid w:val="00A03833"/>
    <w:rsid w:val="00A03BB5"/>
    <w:rsid w:val="00A03EA4"/>
    <w:rsid w:val="00A068BA"/>
    <w:rsid w:val="00A10608"/>
    <w:rsid w:val="00A15156"/>
    <w:rsid w:val="00A156B9"/>
    <w:rsid w:val="00A16813"/>
    <w:rsid w:val="00A2134E"/>
    <w:rsid w:val="00A254C7"/>
    <w:rsid w:val="00A300B7"/>
    <w:rsid w:val="00A305D8"/>
    <w:rsid w:val="00A36BBE"/>
    <w:rsid w:val="00A41BDF"/>
    <w:rsid w:val="00A41C5B"/>
    <w:rsid w:val="00A4727E"/>
    <w:rsid w:val="00A479BF"/>
    <w:rsid w:val="00A47F07"/>
    <w:rsid w:val="00A5235E"/>
    <w:rsid w:val="00A531AE"/>
    <w:rsid w:val="00A56917"/>
    <w:rsid w:val="00A70A00"/>
    <w:rsid w:val="00A7160C"/>
    <w:rsid w:val="00A724FE"/>
    <w:rsid w:val="00A739BA"/>
    <w:rsid w:val="00A83F8D"/>
    <w:rsid w:val="00A85722"/>
    <w:rsid w:val="00A93C9B"/>
    <w:rsid w:val="00A94D0A"/>
    <w:rsid w:val="00AA3745"/>
    <w:rsid w:val="00AA62B4"/>
    <w:rsid w:val="00AB7617"/>
    <w:rsid w:val="00AC0E68"/>
    <w:rsid w:val="00AC2869"/>
    <w:rsid w:val="00AC40E8"/>
    <w:rsid w:val="00AD025E"/>
    <w:rsid w:val="00AD0B00"/>
    <w:rsid w:val="00AD5A75"/>
    <w:rsid w:val="00AD5E60"/>
    <w:rsid w:val="00AE2B74"/>
    <w:rsid w:val="00AF35A3"/>
    <w:rsid w:val="00AF3933"/>
    <w:rsid w:val="00B05FFC"/>
    <w:rsid w:val="00B07421"/>
    <w:rsid w:val="00B11843"/>
    <w:rsid w:val="00B204BD"/>
    <w:rsid w:val="00B2194B"/>
    <w:rsid w:val="00B33666"/>
    <w:rsid w:val="00B36D21"/>
    <w:rsid w:val="00B419CE"/>
    <w:rsid w:val="00B42E90"/>
    <w:rsid w:val="00B47657"/>
    <w:rsid w:val="00B47B82"/>
    <w:rsid w:val="00B50CEA"/>
    <w:rsid w:val="00B547D5"/>
    <w:rsid w:val="00B54B9A"/>
    <w:rsid w:val="00B5769F"/>
    <w:rsid w:val="00B61C32"/>
    <w:rsid w:val="00B64E3B"/>
    <w:rsid w:val="00B65E77"/>
    <w:rsid w:val="00B74664"/>
    <w:rsid w:val="00B8122C"/>
    <w:rsid w:val="00B84FC7"/>
    <w:rsid w:val="00B85D2B"/>
    <w:rsid w:val="00B927D9"/>
    <w:rsid w:val="00B92E95"/>
    <w:rsid w:val="00B931B6"/>
    <w:rsid w:val="00BA1EB7"/>
    <w:rsid w:val="00BA6F26"/>
    <w:rsid w:val="00BB0A49"/>
    <w:rsid w:val="00BB1690"/>
    <w:rsid w:val="00BB19B2"/>
    <w:rsid w:val="00BB1D0D"/>
    <w:rsid w:val="00BB2305"/>
    <w:rsid w:val="00BB37E7"/>
    <w:rsid w:val="00BC148C"/>
    <w:rsid w:val="00BC1CDB"/>
    <w:rsid w:val="00BC3199"/>
    <w:rsid w:val="00BC59BF"/>
    <w:rsid w:val="00BC7615"/>
    <w:rsid w:val="00BD262C"/>
    <w:rsid w:val="00BD6746"/>
    <w:rsid w:val="00BD766B"/>
    <w:rsid w:val="00BE1211"/>
    <w:rsid w:val="00BE796D"/>
    <w:rsid w:val="00BF100A"/>
    <w:rsid w:val="00BF151E"/>
    <w:rsid w:val="00BF32C6"/>
    <w:rsid w:val="00BF6991"/>
    <w:rsid w:val="00BF69E9"/>
    <w:rsid w:val="00C043BA"/>
    <w:rsid w:val="00C11789"/>
    <w:rsid w:val="00C16572"/>
    <w:rsid w:val="00C21CA5"/>
    <w:rsid w:val="00C27629"/>
    <w:rsid w:val="00C27DA0"/>
    <w:rsid w:val="00C33A0C"/>
    <w:rsid w:val="00C46D48"/>
    <w:rsid w:val="00C52718"/>
    <w:rsid w:val="00C5371B"/>
    <w:rsid w:val="00C54D07"/>
    <w:rsid w:val="00C56E01"/>
    <w:rsid w:val="00C62AD4"/>
    <w:rsid w:val="00C6352C"/>
    <w:rsid w:val="00C64D7B"/>
    <w:rsid w:val="00C675B8"/>
    <w:rsid w:val="00C73F38"/>
    <w:rsid w:val="00C74FD1"/>
    <w:rsid w:val="00C832DD"/>
    <w:rsid w:val="00C85A8D"/>
    <w:rsid w:val="00C86F24"/>
    <w:rsid w:val="00C93223"/>
    <w:rsid w:val="00C93B35"/>
    <w:rsid w:val="00C96B5F"/>
    <w:rsid w:val="00CA1148"/>
    <w:rsid w:val="00CA281C"/>
    <w:rsid w:val="00CA3BDF"/>
    <w:rsid w:val="00CB0ED8"/>
    <w:rsid w:val="00CB576E"/>
    <w:rsid w:val="00CC4074"/>
    <w:rsid w:val="00CD0154"/>
    <w:rsid w:val="00CD0E71"/>
    <w:rsid w:val="00CD23E5"/>
    <w:rsid w:val="00CF2D70"/>
    <w:rsid w:val="00CF4CE4"/>
    <w:rsid w:val="00CF56C7"/>
    <w:rsid w:val="00D071EF"/>
    <w:rsid w:val="00D17428"/>
    <w:rsid w:val="00D20CB3"/>
    <w:rsid w:val="00D2142A"/>
    <w:rsid w:val="00D21969"/>
    <w:rsid w:val="00D23C3B"/>
    <w:rsid w:val="00D25957"/>
    <w:rsid w:val="00D25AFD"/>
    <w:rsid w:val="00D263EE"/>
    <w:rsid w:val="00D34B59"/>
    <w:rsid w:val="00D35F44"/>
    <w:rsid w:val="00D417AF"/>
    <w:rsid w:val="00D41F7C"/>
    <w:rsid w:val="00D5003D"/>
    <w:rsid w:val="00D50B2B"/>
    <w:rsid w:val="00D51C67"/>
    <w:rsid w:val="00D56735"/>
    <w:rsid w:val="00D5701F"/>
    <w:rsid w:val="00D623BF"/>
    <w:rsid w:val="00D623F8"/>
    <w:rsid w:val="00D63C41"/>
    <w:rsid w:val="00D740EA"/>
    <w:rsid w:val="00D77DD8"/>
    <w:rsid w:val="00D8071E"/>
    <w:rsid w:val="00D85456"/>
    <w:rsid w:val="00D87BC7"/>
    <w:rsid w:val="00D9281F"/>
    <w:rsid w:val="00DA547E"/>
    <w:rsid w:val="00DB1075"/>
    <w:rsid w:val="00DB22F1"/>
    <w:rsid w:val="00DB590E"/>
    <w:rsid w:val="00DC66B6"/>
    <w:rsid w:val="00DC697A"/>
    <w:rsid w:val="00DC7607"/>
    <w:rsid w:val="00DD1033"/>
    <w:rsid w:val="00DD16AF"/>
    <w:rsid w:val="00DD19A0"/>
    <w:rsid w:val="00DD3BAB"/>
    <w:rsid w:val="00DD67C1"/>
    <w:rsid w:val="00DE36F0"/>
    <w:rsid w:val="00DE7F5C"/>
    <w:rsid w:val="00DF2D97"/>
    <w:rsid w:val="00DF5BB0"/>
    <w:rsid w:val="00E029F6"/>
    <w:rsid w:val="00E107DE"/>
    <w:rsid w:val="00E17E77"/>
    <w:rsid w:val="00E21050"/>
    <w:rsid w:val="00E23EC4"/>
    <w:rsid w:val="00E344B5"/>
    <w:rsid w:val="00E42AA9"/>
    <w:rsid w:val="00E473C0"/>
    <w:rsid w:val="00E47E4B"/>
    <w:rsid w:val="00E52814"/>
    <w:rsid w:val="00E547E7"/>
    <w:rsid w:val="00E5519E"/>
    <w:rsid w:val="00E55D9B"/>
    <w:rsid w:val="00E602F3"/>
    <w:rsid w:val="00E615A3"/>
    <w:rsid w:val="00E618FD"/>
    <w:rsid w:val="00E632DC"/>
    <w:rsid w:val="00E63CFB"/>
    <w:rsid w:val="00E65ECA"/>
    <w:rsid w:val="00E67E2F"/>
    <w:rsid w:val="00E74077"/>
    <w:rsid w:val="00E740FB"/>
    <w:rsid w:val="00E77285"/>
    <w:rsid w:val="00E772FD"/>
    <w:rsid w:val="00E82EF9"/>
    <w:rsid w:val="00E86798"/>
    <w:rsid w:val="00E87C88"/>
    <w:rsid w:val="00E90EF6"/>
    <w:rsid w:val="00E922B6"/>
    <w:rsid w:val="00E93BF2"/>
    <w:rsid w:val="00E951E2"/>
    <w:rsid w:val="00EA45D0"/>
    <w:rsid w:val="00EB059C"/>
    <w:rsid w:val="00EB6316"/>
    <w:rsid w:val="00EB67F8"/>
    <w:rsid w:val="00EC3141"/>
    <w:rsid w:val="00EC3776"/>
    <w:rsid w:val="00EC706F"/>
    <w:rsid w:val="00EF3E9C"/>
    <w:rsid w:val="00F00D97"/>
    <w:rsid w:val="00F0121F"/>
    <w:rsid w:val="00F017F1"/>
    <w:rsid w:val="00F01CBC"/>
    <w:rsid w:val="00F04140"/>
    <w:rsid w:val="00F12EF4"/>
    <w:rsid w:val="00F1733A"/>
    <w:rsid w:val="00F24CB6"/>
    <w:rsid w:val="00F2635F"/>
    <w:rsid w:val="00F26E44"/>
    <w:rsid w:val="00F26EBF"/>
    <w:rsid w:val="00F30B44"/>
    <w:rsid w:val="00F4128E"/>
    <w:rsid w:val="00F525FC"/>
    <w:rsid w:val="00F53FBE"/>
    <w:rsid w:val="00F54CC7"/>
    <w:rsid w:val="00F55B26"/>
    <w:rsid w:val="00F57F41"/>
    <w:rsid w:val="00F64021"/>
    <w:rsid w:val="00F64E8A"/>
    <w:rsid w:val="00F67D54"/>
    <w:rsid w:val="00F71EF1"/>
    <w:rsid w:val="00F72EEB"/>
    <w:rsid w:val="00F72F9D"/>
    <w:rsid w:val="00F73B38"/>
    <w:rsid w:val="00F765D9"/>
    <w:rsid w:val="00F8165B"/>
    <w:rsid w:val="00F939A1"/>
    <w:rsid w:val="00F9507B"/>
    <w:rsid w:val="00FA2085"/>
    <w:rsid w:val="00FA324E"/>
    <w:rsid w:val="00FB4F2E"/>
    <w:rsid w:val="00FB710A"/>
    <w:rsid w:val="00FC070C"/>
    <w:rsid w:val="00FC5293"/>
    <w:rsid w:val="00FD07C1"/>
    <w:rsid w:val="00FD0C41"/>
    <w:rsid w:val="00FE00D4"/>
    <w:rsid w:val="00FE04E4"/>
    <w:rsid w:val="00FE2CCB"/>
    <w:rsid w:val="00FE39D8"/>
    <w:rsid w:val="00FE7AEF"/>
    <w:rsid w:val="00FF73D0"/>
    <w:rsid w:val="010A1653"/>
    <w:rsid w:val="025C1038"/>
    <w:rsid w:val="0283169E"/>
    <w:rsid w:val="033214B1"/>
    <w:rsid w:val="037D1487"/>
    <w:rsid w:val="045406EE"/>
    <w:rsid w:val="09AF1637"/>
    <w:rsid w:val="0AFC79B0"/>
    <w:rsid w:val="0BD62339"/>
    <w:rsid w:val="0E30434A"/>
    <w:rsid w:val="0F9C56B0"/>
    <w:rsid w:val="107B2E6C"/>
    <w:rsid w:val="10C51F86"/>
    <w:rsid w:val="115010F5"/>
    <w:rsid w:val="11DA6FEE"/>
    <w:rsid w:val="13BA5009"/>
    <w:rsid w:val="13CA54F1"/>
    <w:rsid w:val="148B3DA9"/>
    <w:rsid w:val="14ED2E2C"/>
    <w:rsid w:val="14F96EC5"/>
    <w:rsid w:val="1692519B"/>
    <w:rsid w:val="18397994"/>
    <w:rsid w:val="18FA7226"/>
    <w:rsid w:val="199A2129"/>
    <w:rsid w:val="19A74CA4"/>
    <w:rsid w:val="1BA1656B"/>
    <w:rsid w:val="1BBE58B5"/>
    <w:rsid w:val="1BE13555"/>
    <w:rsid w:val="1CF4593C"/>
    <w:rsid w:val="1D046632"/>
    <w:rsid w:val="1D446EA5"/>
    <w:rsid w:val="1E993507"/>
    <w:rsid w:val="1F625FE0"/>
    <w:rsid w:val="1FC904BD"/>
    <w:rsid w:val="201B7B88"/>
    <w:rsid w:val="21145ADC"/>
    <w:rsid w:val="24FC4195"/>
    <w:rsid w:val="24FC66AF"/>
    <w:rsid w:val="254829E3"/>
    <w:rsid w:val="264B5099"/>
    <w:rsid w:val="270325A7"/>
    <w:rsid w:val="29DF78CA"/>
    <w:rsid w:val="2A70185C"/>
    <w:rsid w:val="2BBE1D2A"/>
    <w:rsid w:val="2C564EB8"/>
    <w:rsid w:val="2C95612C"/>
    <w:rsid w:val="2D687FE2"/>
    <w:rsid w:val="2DB544B9"/>
    <w:rsid w:val="2EB83F86"/>
    <w:rsid w:val="2ED27DE6"/>
    <w:rsid w:val="2ED43A8C"/>
    <w:rsid w:val="2FC17524"/>
    <w:rsid w:val="2FDB362A"/>
    <w:rsid w:val="2FF55F6C"/>
    <w:rsid w:val="307E0DAB"/>
    <w:rsid w:val="30806B0A"/>
    <w:rsid w:val="30F739CE"/>
    <w:rsid w:val="31695B8B"/>
    <w:rsid w:val="31696E19"/>
    <w:rsid w:val="316C3D2A"/>
    <w:rsid w:val="31D52F2E"/>
    <w:rsid w:val="32D0540D"/>
    <w:rsid w:val="35314C4C"/>
    <w:rsid w:val="356E5A63"/>
    <w:rsid w:val="385525BF"/>
    <w:rsid w:val="38A02F29"/>
    <w:rsid w:val="38A64F2D"/>
    <w:rsid w:val="39E56314"/>
    <w:rsid w:val="39E66515"/>
    <w:rsid w:val="3B777C76"/>
    <w:rsid w:val="3BBC13A1"/>
    <w:rsid w:val="3C556321"/>
    <w:rsid w:val="3D373255"/>
    <w:rsid w:val="3E5C1FFF"/>
    <w:rsid w:val="3EDF71CC"/>
    <w:rsid w:val="3EF84EF5"/>
    <w:rsid w:val="400B720F"/>
    <w:rsid w:val="408472B0"/>
    <w:rsid w:val="40881B72"/>
    <w:rsid w:val="4203367A"/>
    <w:rsid w:val="426D5571"/>
    <w:rsid w:val="42EA5DAE"/>
    <w:rsid w:val="42F425C9"/>
    <w:rsid w:val="42F645DF"/>
    <w:rsid w:val="431169DD"/>
    <w:rsid w:val="432203E5"/>
    <w:rsid w:val="43EA3474"/>
    <w:rsid w:val="43F8414A"/>
    <w:rsid w:val="44053BC7"/>
    <w:rsid w:val="44AB18FE"/>
    <w:rsid w:val="44CA768F"/>
    <w:rsid w:val="463F3210"/>
    <w:rsid w:val="46A13FCA"/>
    <w:rsid w:val="46E15EF5"/>
    <w:rsid w:val="475B5070"/>
    <w:rsid w:val="482C61C7"/>
    <w:rsid w:val="48645362"/>
    <w:rsid w:val="48A62D33"/>
    <w:rsid w:val="490B11C1"/>
    <w:rsid w:val="497B1265"/>
    <w:rsid w:val="4A544AB7"/>
    <w:rsid w:val="4ADD6067"/>
    <w:rsid w:val="4B0572BF"/>
    <w:rsid w:val="4B32721B"/>
    <w:rsid w:val="4BA37A49"/>
    <w:rsid w:val="4DC414DB"/>
    <w:rsid w:val="4F171D84"/>
    <w:rsid w:val="4FD07F3D"/>
    <w:rsid w:val="503D1687"/>
    <w:rsid w:val="51B35AD4"/>
    <w:rsid w:val="533D3FEA"/>
    <w:rsid w:val="53983961"/>
    <w:rsid w:val="53DA63CD"/>
    <w:rsid w:val="54335E05"/>
    <w:rsid w:val="54506305"/>
    <w:rsid w:val="54DB7E3F"/>
    <w:rsid w:val="55DA18D0"/>
    <w:rsid w:val="55F52488"/>
    <w:rsid w:val="56137033"/>
    <w:rsid w:val="56842B75"/>
    <w:rsid w:val="57FE7BB0"/>
    <w:rsid w:val="58306AD3"/>
    <w:rsid w:val="58791243"/>
    <w:rsid w:val="58CB1F75"/>
    <w:rsid w:val="58E36695"/>
    <w:rsid w:val="59352358"/>
    <w:rsid w:val="593545D7"/>
    <w:rsid w:val="5A085877"/>
    <w:rsid w:val="5B9A1F4B"/>
    <w:rsid w:val="5BE364F3"/>
    <w:rsid w:val="5CDD2D11"/>
    <w:rsid w:val="5CEA7926"/>
    <w:rsid w:val="5D2E4B5B"/>
    <w:rsid w:val="5DF631D1"/>
    <w:rsid w:val="5DF748C4"/>
    <w:rsid w:val="5F88734A"/>
    <w:rsid w:val="5FA82B65"/>
    <w:rsid w:val="5FDC1B65"/>
    <w:rsid w:val="5FF9368B"/>
    <w:rsid w:val="60010189"/>
    <w:rsid w:val="602D5237"/>
    <w:rsid w:val="60A0038B"/>
    <w:rsid w:val="635E4925"/>
    <w:rsid w:val="638C3D00"/>
    <w:rsid w:val="64030AF4"/>
    <w:rsid w:val="64A87CC0"/>
    <w:rsid w:val="64CB174A"/>
    <w:rsid w:val="65A26939"/>
    <w:rsid w:val="680B5B51"/>
    <w:rsid w:val="68880FD9"/>
    <w:rsid w:val="6A095350"/>
    <w:rsid w:val="6A7678F7"/>
    <w:rsid w:val="6B490BE0"/>
    <w:rsid w:val="6C4E5FF7"/>
    <w:rsid w:val="6D2E7AAA"/>
    <w:rsid w:val="6D547E34"/>
    <w:rsid w:val="6D6A779B"/>
    <w:rsid w:val="6E093A6E"/>
    <w:rsid w:val="6E0A433B"/>
    <w:rsid w:val="6EFB0B0B"/>
    <w:rsid w:val="6F4656AB"/>
    <w:rsid w:val="6F8B7221"/>
    <w:rsid w:val="70834A81"/>
    <w:rsid w:val="70F77673"/>
    <w:rsid w:val="715A3132"/>
    <w:rsid w:val="71E90024"/>
    <w:rsid w:val="720B288C"/>
    <w:rsid w:val="72F70A64"/>
    <w:rsid w:val="74305710"/>
    <w:rsid w:val="759D7044"/>
    <w:rsid w:val="766A51A5"/>
    <w:rsid w:val="76B16062"/>
    <w:rsid w:val="76CD676E"/>
    <w:rsid w:val="76D949B1"/>
    <w:rsid w:val="76EF04F2"/>
    <w:rsid w:val="78563ADA"/>
    <w:rsid w:val="78D930EC"/>
    <w:rsid w:val="792A2116"/>
    <w:rsid w:val="7A150D82"/>
    <w:rsid w:val="7AC21B97"/>
    <w:rsid w:val="7B034450"/>
    <w:rsid w:val="7B291594"/>
    <w:rsid w:val="7CA66852"/>
    <w:rsid w:val="7CB863E1"/>
    <w:rsid w:val="7CE07187"/>
    <w:rsid w:val="7E0C50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 w:semiHidden="0" w:name="heading 2"/>
    <w:lsdException w:qFormat="1" w:uiPriority="99" w:semiHidden="0" w:name="heading 3"/>
    <w:lsdException w:qFormat="1" w:uiPriority="9" w:semiHidden="0" w:name="heading 4"/>
    <w:lsdException w:qFormat="1" w:uiPriority="0" w:semiHidden="0" w:name="heading 5"/>
    <w:lsdException w:qFormat="1" w:uiPriority="0" w:semiHidden="0" w:name="heading 6"/>
    <w:lsdException w:qFormat="1" w:uiPriority="0" w:semiHidden="0" w:name="heading 7"/>
    <w:lsdException w:qFormat="1" w:uiPriority="0" w:name="heading 8"/>
    <w:lsdException w:qFormat="1" w:uiPriority="0" w:name="heading 9"/>
    <w:lsdException w:qFormat="1"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0" w:name="toc 3"/>
    <w:lsdException w:qFormat="1" w:uiPriority="0" w:name="toc 4"/>
    <w:lsdException w:qFormat="1" w:uiPriority="0" w:name="toc 5"/>
    <w:lsdException w:qFormat="1" w:uiPriority="0" w:name="toc 6"/>
    <w:lsdException w:qFormat="1" w:uiPriority="0" w:name="toc 7"/>
    <w:lsdException w:qFormat="1" w:uiPriority="0" w:name="toc 8"/>
    <w:lsdException w:qFormat="1" w:uiPriority="0" w:name="toc 9"/>
    <w:lsdException w:qFormat="1" w:uiPriority="0" w:semiHidden="0" w:name="Normal Indent"/>
    <w:lsdException w:qFormat="1" w:uiPriority="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0" w:name="caption"/>
    <w:lsdException w:uiPriority="99" w:name="table of figures"/>
    <w:lsdException w:uiPriority="99" w:name="envelope address"/>
    <w:lsdException w:uiPriority="99" w:name="envelope return"/>
    <w:lsdException w:qFormat="1" w:uiPriority="0"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0" w:semiHidden="0" w:name="Body Text"/>
    <w:lsdException w:qFormat="1"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99" w:semiHidden="0" w:name="Date"/>
    <w:lsdException w:qFormat="1" w:uiPriority="0" w:name="Body Text First Indent"/>
    <w:lsdException w:uiPriority="99" w:name="Body Text First Indent 2"/>
    <w:lsdException w:unhideWhenUsed="0" w:uiPriority="99" w:semiHidden="0" w:name="Note Heading"/>
    <w:lsdException w:qFormat="1" w:uiPriority="0" w:name="Body Text 2"/>
    <w:lsdException w:qFormat="1" w:uiPriority="0" w:name="Body Text 3"/>
    <w:lsdException w:qFormat="1" w:uiPriority="0" w:semiHidden="0" w:name="Body Text Indent 2"/>
    <w:lsdException w:qFormat="1" w:uiPriority="0" w:name="Body Text Indent 3"/>
    <w:lsdException w:qFormat="1" w:uiPriority="0"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semiHidden="0" w:name="HTML Preformatted"/>
    <w:lsdException w:uiPriority="99" w:name="HTML Sample"/>
    <w:lsdException w:uiPriority="99" w:name="HTML Typewriter"/>
    <w:lsdException w:uiPriority="99" w:name="HTML Variable"/>
    <w:lsdException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50"/>
    <w:qFormat/>
    <w:uiPriority w:val="99"/>
    <w:pPr>
      <w:keepNext/>
      <w:keepLines/>
      <w:spacing w:before="340" w:after="330" w:line="400" w:lineRule="exact"/>
      <w:jc w:val="center"/>
      <w:outlineLvl w:val="0"/>
    </w:pPr>
    <w:rPr>
      <w:rFonts w:ascii="宋体" w:hAnsi="宋体" w:cs="宋体"/>
      <w:b/>
      <w:bCs/>
      <w:spacing w:val="-20"/>
      <w:kern w:val="44"/>
      <w:sz w:val="32"/>
      <w:szCs w:val="32"/>
    </w:rPr>
  </w:style>
  <w:style w:type="paragraph" w:styleId="3">
    <w:name w:val="heading 2"/>
    <w:basedOn w:val="1"/>
    <w:next w:val="1"/>
    <w:link w:val="51"/>
    <w:unhideWhenUsed/>
    <w:qFormat/>
    <w:uiPriority w:val="9"/>
    <w:pPr>
      <w:keepNext/>
      <w:keepLines/>
      <w:spacing w:before="260" w:after="260" w:line="360" w:lineRule="auto"/>
      <w:jc w:val="left"/>
      <w:outlineLvl w:val="1"/>
    </w:pPr>
    <w:rPr>
      <w:rFonts w:ascii="宋体" w:hAnsi="宋体" w:cs="宋体"/>
      <w:b/>
      <w:bCs/>
      <w:sz w:val="28"/>
      <w:szCs w:val="28"/>
    </w:rPr>
  </w:style>
  <w:style w:type="paragraph" w:styleId="4">
    <w:name w:val="heading 3"/>
    <w:basedOn w:val="1"/>
    <w:next w:val="1"/>
    <w:link w:val="52"/>
    <w:unhideWhenUsed/>
    <w:qFormat/>
    <w:uiPriority w:val="99"/>
    <w:pPr>
      <w:keepNext/>
      <w:keepLines/>
      <w:spacing w:line="360" w:lineRule="auto"/>
      <w:outlineLvl w:val="2"/>
    </w:pPr>
    <w:rPr>
      <w:rFonts w:ascii="宋体" w:hAnsi="宋体" w:cs="宋体"/>
      <w:b/>
      <w:bCs/>
      <w:color w:val="000000"/>
      <w:kern w:val="0"/>
      <w:sz w:val="28"/>
      <w:szCs w:val="28"/>
    </w:rPr>
  </w:style>
  <w:style w:type="paragraph" w:styleId="5">
    <w:name w:val="heading 4"/>
    <w:basedOn w:val="1"/>
    <w:next w:val="1"/>
    <w:link w:val="53"/>
    <w:unhideWhenUsed/>
    <w:qFormat/>
    <w:uiPriority w:val="9"/>
    <w:pPr>
      <w:keepNext/>
      <w:keepLines/>
      <w:spacing w:before="120" w:after="120" w:line="360" w:lineRule="auto"/>
      <w:jc w:val="left"/>
      <w:outlineLvl w:val="3"/>
    </w:pPr>
    <w:rPr>
      <w:rFonts w:ascii="Arial" w:hAnsi="Arial"/>
      <w:b/>
      <w:bCs/>
      <w:kern w:val="0"/>
      <w:sz w:val="28"/>
      <w:szCs w:val="28"/>
    </w:rPr>
  </w:style>
  <w:style w:type="paragraph" w:styleId="6">
    <w:name w:val="heading 5"/>
    <w:basedOn w:val="1"/>
    <w:next w:val="1"/>
    <w:link w:val="54"/>
    <w:unhideWhenUsed/>
    <w:qFormat/>
    <w:uiPriority w:val="0"/>
    <w:pPr>
      <w:numPr>
        <w:ilvl w:val="4"/>
        <w:numId w:val="1"/>
      </w:numPr>
      <w:tabs>
        <w:tab w:val="left" w:pos="1134"/>
      </w:tabs>
      <w:spacing w:before="280" w:after="290" w:line="360" w:lineRule="auto"/>
      <w:outlineLvl w:val="4"/>
    </w:pPr>
    <w:rPr>
      <w:b/>
      <w:bCs/>
      <w:kern w:val="0"/>
      <w:sz w:val="28"/>
      <w:szCs w:val="28"/>
    </w:rPr>
  </w:style>
  <w:style w:type="paragraph" w:styleId="7">
    <w:name w:val="heading 6"/>
    <w:basedOn w:val="1"/>
    <w:next w:val="1"/>
    <w:link w:val="55"/>
    <w:unhideWhenUsed/>
    <w:qFormat/>
    <w:uiPriority w:val="0"/>
    <w:pPr>
      <w:keepNext/>
      <w:keepLines/>
      <w:numPr>
        <w:ilvl w:val="5"/>
        <w:numId w:val="1"/>
      </w:numPr>
      <w:spacing w:before="240" w:after="64" w:line="314" w:lineRule="auto"/>
      <w:outlineLvl w:val="5"/>
    </w:pPr>
    <w:rPr>
      <w:rFonts w:ascii="Arial" w:hAnsi="Arial"/>
      <w:b/>
      <w:bCs/>
      <w:kern w:val="0"/>
      <w:sz w:val="28"/>
      <w:szCs w:val="18"/>
    </w:rPr>
  </w:style>
  <w:style w:type="paragraph" w:styleId="8">
    <w:name w:val="heading 7"/>
    <w:basedOn w:val="1"/>
    <w:next w:val="1"/>
    <w:link w:val="56"/>
    <w:unhideWhenUsed/>
    <w:qFormat/>
    <w:uiPriority w:val="0"/>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9">
    <w:name w:val="heading 8"/>
    <w:basedOn w:val="1"/>
    <w:next w:val="1"/>
    <w:link w:val="57"/>
    <w:semiHidden/>
    <w:unhideWhenUsed/>
    <w:qFormat/>
    <w:uiPriority w:val="0"/>
    <w:pPr>
      <w:keepNext/>
      <w:keepLines/>
      <w:spacing w:before="240" w:after="64" w:line="314" w:lineRule="auto"/>
      <w:outlineLvl w:val="7"/>
    </w:pPr>
    <w:rPr>
      <w:rFonts w:ascii="Arial" w:hAnsi="Arial" w:eastAsia="黑体"/>
      <w:kern w:val="0"/>
      <w:sz w:val="24"/>
      <w:szCs w:val="24"/>
    </w:rPr>
  </w:style>
  <w:style w:type="paragraph" w:styleId="10">
    <w:name w:val="heading 9"/>
    <w:basedOn w:val="1"/>
    <w:next w:val="1"/>
    <w:link w:val="58"/>
    <w:semiHidden/>
    <w:unhideWhenUsed/>
    <w:qFormat/>
    <w:uiPriority w:val="0"/>
    <w:pPr>
      <w:keepNext/>
      <w:keepLines/>
      <w:spacing w:before="240" w:after="64" w:line="314" w:lineRule="auto"/>
      <w:outlineLvl w:val="8"/>
    </w:pPr>
    <w:rPr>
      <w:rFonts w:ascii="Arial" w:hAnsi="Arial" w:eastAsia="黑体"/>
      <w:kern w:val="0"/>
      <w:sz w:val="20"/>
      <w:szCs w:val="21"/>
    </w:rPr>
  </w:style>
  <w:style w:type="character" w:default="1" w:styleId="45">
    <w:name w:val="Default Paragraph Font"/>
    <w:semiHidden/>
    <w:unhideWhenUsed/>
    <w:uiPriority w:val="1"/>
  </w:style>
  <w:style w:type="table" w:default="1" w:styleId="43">
    <w:name w:val="Normal Table"/>
    <w:semiHidden/>
    <w:unhideWhenUsed/>
    <w:uiPriority w:val="99"/>
    <w:tblPr>
      <w:tblCellMar>
        <w:top w:w="0" w:type="dxa"/>
        <w:left w:w="108" w:type="dxa"/>
        <w:bottom w:w="0" w:type="dxa"/>
        <w:right w:w="108" w:type="dxa"/>
      </w:tblCellMar>
    </w:tblPr>
  </w:style>
  <w:style w:type="paragraph" w:styleId="11">
    <w:name w:val="toc 7"/>
    <w:basedOn w:val="1"/>
    <w:next w:val="1"/>
    <w:semiHidden/>
    <w:unhideWhenUsed/>
    <w:qFormat/>
    <w:uiPriority w:val="0"/>
    <w:pPr>
      <w:ind w:left="2520" w:leftChars="1200"/>
    </w:pPr>
    <w:rPr>
      <w:rFonts w:ascii="Times New Roman" w:hAnsi="Times New Roman"/>
      <w:szCs w:val="24"/>
    </w:rPr>
  </w:style>
  <w:style w:type="paragraph" w:styleId="12">
    <w:name w:val="Normal Indent"/>
    <w:basedOn w:val="1"/>
    <w:link w:val="63"/>
    <w:unhideWhenUsed/>
    <w:qFormat/>
    <w:uiPriority w:val="0"/>
    <w:pPr>
      <w:spacing w:after="180" w:line="307" w:lineRule="auto"/>
      <w:ind w:firstLine="420"/>
    </w:pPr>
    <w:rPr>
      <w:rFonts w:asciiTheme="minorHAnsi" w:hAnsiTheme="minorHAnsi" w:eastAsiaTheme="minorEastAsia" w:cstheme="minorBidi"/>
    </w:rPr>
  </w:style>
  <w:style w:type="paragraph" w:styleId="13">
    <w:name w:val="caption"/>
    <w:basedOn w:val="1"/>
    <w:next w:val="1"/>
    <w:semiHidden/>
    <w:unhideWhenUsed/>
    <w:qFormat/>
    <w:uiPriority w:val="0"/>
    <w:pPr>
      <w:spacing w:before="152" w:after="160" w:line="360" w:lineRule="auto"/>
    </w:pPr>
    <w:rPr>
      <w:rFonts w:ascii="Arial" w:hAnsi="Arial" w:eastAsia="黑体" w:cs="Arial"/>
      <w:sz w:val="20"/>
      <w:szCs w:val="20"/>
    </w:rPr>
  </w:style>
  <w:style w:type="paragraph" w:styleId="14">
    <w:name w:val="Document Map"/>
    <w:basedOn w:val="1"/>
    <w:link w:val="77"/>
    <w:unhideWhenUsed/>
    <w:qFormat/>
    <w:uiPriority w:val="99"/>
    <w:pPr>
      <w:shd w:val="clear" w:color="auto" w:fill="000080"/>
    </w:pPr>
    <w:rPr>
      <w:rFonts w:ascii="Times New Roman" w:hAnsi="Times New Roman"/>
      <w:kern w:val="0"/>
      <w:sz w:val="18"/>
      <w:szCs w:val="18"/>
    </w:rPr>
  </w:style>
  <w:style w:type="paragraph" w:styleId="15">
    <w:name w:val="annotation text"/>
    <w:basedOn w:val="1"/>
    <w:link w:val="196"/>
    <w:unhideWhenUsed/>
    <w:qFormat/>
    <w:uiPriority w:val="99"/>
    <w:pPr>
      <w:jc w:val="left"/>
    </w:pPr>
  </w:style>
  <w:style w:type="paragraph" w:styleId="16">
    <w:name w:val="Body Text 3"/>
    <w:basedOn w:val="1"/>
    <w:link w:val="74"/>
    <w:semiHidden/>
    <w:unhideWhenUsed/>
    <w:qFormat/>
    <w:uiPriority w:val="0"/>
    <w:pPr>
      <w:jc w:val="center"/>
    </w:pPr>
    <w:rPr>
      <w:rFonts w:ascii="Times New Roman" w:hAnsi="Times New Roman" w:eastAsia="黑体"/>
      <w:sz w:val="44"/>
      <w:szCs w:val="24"/>
    </w:rPr>
  </w:style>
  <w:style w:type="paragraph" w:styleId="17">
    <w:name w:val="Body Text"/>
    <w:basedOn w:val="1"/>
    <w:link w:val="183"/>
    <w:unhideWhenUsed/>
    <w:qFormat/>
    <w:uiPriority w:val="0"/>
    <w:pPr>
      <w:spacing w:after="120"/>
    </w:pPr>
    <w:rPr>
      <w:rFonts w:ascii="Times New Roman" w:hAnsi="Times New Roman"/>
      <w:kern w:val="0"/>
      <w:sz w:val="20"/>
      <w:szCs w:val="20"/>
    </w:rPr>
  </w:style>
  <w:style w:type="paragraph" w:styleId="18">
    <w:name w:val="Body Text Indent"/>
    <w:basedOn w:val="1"/>
    <w:link w:val="69"/>
    <w:semiHidden/>
    <w:unhideWhenUsed/>
    <w:qFormat/>
    <w:uiPriority w:val="0"/>
    <w:pPr>
      <w:spacing w:after="120"/>
      <w:ind w:left="420" w:leftChars="200"/>
    </w:pPr>
    <w:rPr>
      <w:rFonts w:ascii="Times New Roman" w:hAnsi="Times New Roman"/>
      <w:kern w:val="0"/>
      <w:sz w:val="20"/>
      <w:szCs w:val="24"/>
    </w:rPr>
  </w:style>
  <w:style w:type="paragraph" w:styleId="19">
    <w:name w:val="Block Text"/>
    <w:basedOn w:val="1"/>
    <w:semiHidden/>
    <w:unhideWhenUsed/>
    <w:qFormat/>
    <w:uiPriority w:val="0"/>
    <w:pPr>
      <w:ind w:left="-540" w:leftChars="-257" w:right="-334" w:rightChars="-159" w:firstLine="540" w:firstLineChars="180"/>
    </w:pPr>
    <w:rPr>
      <w:rFonts w:ascii="Times New Roman" w:hAnsi="Times New Roman"/>
      <w:sz w:val="30"/>
      <w:szCs w:val="24"/>
    </w:rPr>
  </w:style>
  <w:style w:type="paragraph" w:styleId="20">
    <w:name w:val="toc 5"/>
    <w:basedOn w:val="1"/>
    <w:next w:val="1"/>
    <w:semiHidden/>
    <w:unhideWhenUsed/>
    <w:qFormat/>
    <w:uiPriority w:val="0"/>
    <w:pPr>
      <w:ind w:left="1680" w:leftChars="800"/>
    </w:pPr>
    <w:rPr>
      <w:rFonts w:ascii="Times New Roman" w:hAnsi="Times New Roman"/>
      <w:sz w:val="18"/>
      <w:szCs w:val="18"/>
    </w:rPr>
  </w:style>
  <w:style w:type="paragraph" w:styleId="21">
    <w:name w:val="toc 3"/>
    <w:basedOn w:val="1"/>
    <w:next w:val="1"/>
    <w:semiHidden/>
    <w:unhideWhenUsed/>
    <w:qFormat/>
    <w:uiPriority w:val="0"/>
    <w:pPr>
      <w:tabs>
        <w:tab w:val="left" w:pos="709"/>
        <w:tab w:val="left" w:pos="993"/>
        <w:tab w:val="right" w:leader="dot" w:pos="8364"/>
      </w:tabs>
      <w:ind w:left="360"/>
      <w:jc w:val="left"/>
    </w:pPr>
    <w:rPr>
      <w:rFonts w:ascii="Times New Roman" w:hAnsi="Times New Roman" w:eastAsia="楷体_GB2312"/>
      <w:iCs/>
      <w:sz w:val="20"/>
      <w:szCs w:val="20"/>
    </w:rPr>
  </w:style>
  <w:style w:type="paragraph" w:styleId="22">
    <w:name w:val="Plain Text"/>
    <w:basedOn w:val="1"/>
    <w:link w:val="187"/>
    <w:unhideWhenUsed/>
    <w:qFormat/>
    <w:uiPriority w:val="99"/>
    <w:rPr>
      <w:rFonts w:ascii="宋体" w:hAnsi="Courier New"/>
      <w:kern w:val="0"/>
      <w:sz w:val="20"/>
      <w:szCs w:val="18"/>
    </w:rPr>
  </w:style>
  <w:style w:type="paragraph" w:styleId="23">
    <w:name w:val="toc 8"/>
    <w:basedOn w:val="1"/>
    <w:next w:val="1"/>
    <w:semiHidden/>
    <w:unhideWhenUsed/>
    <w:qFormat/>
    <w:uiPriority w:val="0"/>
    <w:pPr>
      <w:ind w:left="2940" w:leftChars="1400"/>
    </w:pPr>
    <w:rPr>
      <w:rFonts w:ascii="Times New Roman" w:hAnsi="Times New Roman"/>
      <w:szCs w:val="24"/>
    </w:rPr>
  </w:style>
  <w:style w:type="paragraph" w:styleId="24">
    <w:name w:val="Date"/>
    <w:basedOn w:val="1"/>
    <w:next w:val="1"/>
    <w:link w:val="71"/>
    <w:unhideWhenUsed/>
    <w:qFormat/>
    <w:uiPriority w:val="99"/>
    <w:pPr>
      <w:ind w:left="100" w:leftChars="2500"/>
    </w:pPr>
    <w:rPr>
      <w:rFonts w:ascii="Times New Roman" w:hAnsi="Times New Roman"/>
      <w:kern w:val="0"/>
      <w:sz w:val="24"/>
      <w:szCs w:val="24"/>
    </w:rPr>
  </w:style>
  <w:style w:type="paragraph" w:styleId="25">
    <w:name w:val="Body Text Indent 2"/>
    <w:basedOn w:val="1"/>
    <w:link w:val="75"/>
    <w:unhideWhenUsed/>
    <w:qFormat/>
    <w:uiPriority w:val="0"/>
    <w:pPr>
      <w:spacing w:after="120" w:line="480" w:lineRule="auto"/>
      <w:ind w:left="420" w:leftChars="200"/>
    </w:pPr>
    <w:rPr>
      <w:rFonts w:ascii="Times New Roman" w:hAnsi="Times New Roman"/>
      <w:kern w:val="0"/>
      <w:sz w:val="20"/>
      <w:szCs w:val="20"/>
    </w:rPr>
  </w:style>
  <w:style w:type="paragraph" w:styleId="26">
    <w:name w:val="Balloon Text"/>
    <w:basedOn w:val="1"/>
    <w:link w:val="80"/>
    <w:unhideWhenUsed/>
    <w:qFormat/>
    <w:uiPriority w:val="99"/>
    <w:rPr>
      <w:rFonts w:ascii="Times New Roman" w:hAnsi="Times New Roman"/>
      <w:kern w:val="0"/>
      <w:sz w:val="18"/>
      <w:szCs w:val="18"/>
    </w:rPr>
  </w:style>
  <w:style w:type="paragraph" w:styleId="27">
    <w:name w:val="footer"/>
    <w:basedOn w:val="1"/>
    <w:link w:val="67"/>
    <w:unhideWhenUsed/>
    <w:qFormat/>
    <w:uiPriority w:val="99"/>
    <w:pPr>
      <w:tabs>
        <w:tab w:val="center" w:pos="4153"/>
        <w:tab w:val="right" w:pos="8306"/>
      </w:tabs>
      <w:snapToGrid w:val="0"/>
      <w:jc w:val="left"/>
    </w:pPr>
    <w:rPr>
      <w:kern w:val="0"/>
      <w:sz w:val="18"/>
      <w:szCs w:val="18"/>
    </w:rPr>
  </w:style>
  <w:style w:type="paragraph" w:styleId="28">
    <w:name w:val="header"/>
    <w:basedOn w:val="1"/>
    <w:link w:val="66"/>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29">
    <w:name w:val="toc 1"/>
    <w:basedOn w:val="1"/>
    <w:next w:val="1"/>
    <w:unhideWhenUsed/>
    <w:qFormat/>
    <w:uiPriority w:val="39"/>
    <w:pPr>
      <w:tabs>
        <w:tab w:val="left" w:pos="709"/>
        <w:tab w:val="right" w:leader="dot" w:pos="8364"/>
      </w:tabs>
      <w:spacing w:before="120" w:after="120"/>
      <w:jc w:val="left"/>
    </w:pPr>
    <w:rPr>
      <w:rFonts w:ascii="华文中宋" w:hAnsi="华文中宋" w:eastAsia="华文中宋"/>
      <w:bCs/>
      <w:caps/>
      <w:sz w:val="20"/>
      <w:szCs w:val="20"/>
    </w:rPr>
  </w:style>
  <w:style w:type="paragraph" w:styleId="30">
    <w:name w:val="toc 4"/>
    <w:basedOn w:val="1"/>
    <w:next w:val="1"/>
    <w:semiHidden/>
    <w:unhideWhenUsed/>
    <w:qFormat/>
    <w:uiPriority w:val="0"/>
    <w:pPr>
      <w:ind w:left="1260" w:leftChars="600"/>
    </w:pPr>
    <w:rPr>
      <w:rFonts w:ascii="Times New Roman" w:hAnsi="Times New Roman"/>
      <w:sz w:val="18"/>
      <w:szCs w:val="18"/>
    </w:rPr>
  </w:style>
  <w:style w:type="paragraph" w:styleId="31">
    <w:name w:val="Subtitle"/>
    <w:basedOn w:val="1"/>
    <w:next w:val="1"/>
    <w:link w:val="70"/>
    <w:qFormat/>
    <w:uiPriority w:val="0"/>
    <w:pPr>
      <w:spacing w:before="240" w:after="60" w:line="312" w:lineRule="auto"/>
      <w:jc w:val="center"/>
      <w:outlineLvl w:val="1"/>
    </w:pPr>
    <w:rPr>
      <w:rFonts w:ascii="Cambria" w:hAnsi="Cambria"/>
      <w:b/>
      <w:bCs/>
      <w:kern w:val="28"/>
      <w:sz w:val="32"/>
      <w:szCs w:val="32"/>
    </w:rPr>
  </w:style>
  <w:style w:type="paragraph" w:styleId="32">
    <w:name w:val="footnote text"/>
    <w:basedOn w:val="1"/>
    <w:link w:val="64"/>
    <w:semiHidden/>
    <w:unhideWhenUsed/>
    <w:qFormat/>
    <w:uiPriority w:val="0"/>
    <w:pPr>
      <w:snapToGrid w:val="0"/>
      <w:jc w:val="left"/>
    </w:pPr>
    <w:rPr>
      <w:sz w:val="18"/>
      <w:szCs w:val="18"/>
    </w:rPr>
  </w:style>
  <w:style w:type="paragraph" w:styleId="33">
    <w:name w:val="toc 6"/>
    <w:basedOn w:val="1"/>
    <w:next w:val="1"/>
    <w:semiHidden/>
    <w:unhideWhenUsed/>
    <w:qFormat/>
    <w:uiPriority w:val="0"/>
    <w:pPr>
      <w:ind w:left="2100" w:leftChars="1000"/>
    </w:pPr>
    <w:rPr>
      <w:rFonts w:ascii="Times New Roman" w:hAnsi="Times New Roman"/>
      <w:szCs w:val="24"/>
    </w:rPr>
  </w:style>
  <w:style w:type="paragraph" w:styleId="34">
    <w:name w:val="Body Text Indent 3"/>
    <w:basedOn w:val="1"/>
    <w:link w:val="76"/>
    <w:semiHidden/>
    <w:unhideWhenUsed/>
    <w:qFormat/>
    <w:uiPriority w:val="0"/>
    <w:pPr>
      <w:spacing w:line="360" w:lineRule="auto"/>
      <w:ind w:left="153" w:leftChars="85" w:firstLine="560" w:firstLineChars="200"/>
    </w:pPr>
    <w:rPr>
      <w:rFonts w:ascii="宋体" w:hAnsi="宋体"/>
      <w:kern w:val="0"/>
      <w:sz w:val="28"/>
      <w:szCs w:val="28"/>
    </w:rPr>
  </w:style>
  <w:style w:type="paragraph" w:styleId="35">
    <w:name w:val="toc 2"/>
    <w:basedOn w:val="1"/>
    <w:next w:val="1"/>
    <w:unhideWhenUsed/>
    <w:qFormat/>
    <w:uiPriority w:val="39"/>
    <w:pPr>
      <w:tabs>
        <w:tab w:val="left" w:pos="620"/>
        <w:tab w:val="right" w:leader="dot" w:pos="8364"/>
      </w:tabs>
      <w:ind w:left="180"/>
      <w:jc w:val="left"/>
    </w:pPr>
    <w:rPr>
      <w:rFonts w:ascii="华文中宋" w:hAnsi="华文中宋" w:eastAsia="华文中宋"/>
      <w:smallCaps/>
      <w:sz w:val="20"/>
      <w:szCs w:val="20"/>
    </w:rPr>
  </w:style>
  <w:style w:type="paragraph" w:styleId="36">
    <w:name w:val="toc 9"/>
    <w:basedOn w:val="1"/>
    <w:next w:val="1"/>
    <w:semiHidden/>
    <w:unhideWhenUsed/>
    <w:qFormat/>
    <w:uiPriority w:val="0"/>
    <w:pPr>
      <w:ind w:left="3360" w:leftChars="1600"/>
    </w:pPr>
    <w:rPr>
      <w:rFonts w:ascii="Times New Roman" w:hAnsi="Times New Roman"/>
      <w:szCs w:val="24"/>
    </w:rPr>
  </w:style>
  <w:style w:type="paragraph" w:styleId="37">
    <w:name w:val="Body Text 2"/>
    <w:basedOn w:val="1"/>
    <w:link w:val="73"/>
    <w:semiHidden/>
    <w:unhideWhenUsed/>
    <w:qFormat/>
    <w:uiPriority w:val="0"/>
    <w:pPr>
      <w:spacing w:after="120" w:line="480" w:lineRule="auto"/>
    </w:pPr>
    <w:rPr>
      <w:rFonts w:ascii="Times New Roman" w:hAnsi="Times New Roman"/>
      <w:kern w:val="0"/>
      <w:sz w:val="18"/>
      <w:szCs w:val="18"/>
    </w:rPr>
  </w:style>
  <w:style w:type="paragraph" w:styleId="38">
    <w:name w:val="HTML Preformatted"/>
    <w:basedOn w:val="1"/>
    <w:link w:val="209"/>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0" w:firstLineChars="200"/>
      <w:jc w:val="left"/>
    </w:pPr>
    <w:rPr>
      <w:rFonts w:ascii="Arial" w:hAnsi="Arial" w:cs="Arial"/>
      <w:kern w:val="0"/>
      <w:sz w:val="24"/>
      <w:szCs w:val="28"/>
    </w:rPr>
  </w:style>
  <w:style w:type="paragraph" w:styleId="39">
    <w:name w:val="Normal (Web)"/>
    <w:basedOn w:val="1"/>
    <w:unhideWhenUsed/>
    <w:qFormat/>
    <w:uiPriority w:val="99"/>
    <w:pPr>
      <w:widowControl/>
      <w:spacing w:before="100" w:beforeAutospacing="1" w:after="100" w:afterAutospacing="1"/>
      <w:jc w:val="left"/>
    </w:pPr>
    <w:rPr>
      <w:rFonts w:ascii="宋体" w:hAnsi="宋体"/>
      <w:color w:val="000000"/>
      <w:kern w:val="0"/>
      <w:sz w:val="24"/>
      <w:szCs w:val="24"/>
    </w:rPr>
  </w:style>
  <w:style w:type="paragraph" w:styleId="40">
    <w:name w:val="index 1"/>
    <w:basedOn w:val="1"/>
    <w:next w:val="1"/>
    <w:semiHidden/>
    <w:unhideWhenUsed/>
    <w:qFormat/>
    <w:uiPriority w:val="0"/>
    <w:pPr>
      <w:ind w:firstLine="560" w:firstLineChars="200"/>
    </w:pPr>
    <w:rPr>
      <w:rFonts w:ascii="宋体" w:hAnsi="宋体" w:cs="宋体"/>
      <w:sz w:val="28"/>
      <w:szCs w:val="28"/>
    </w:rPr>
  </w:style>
  <w:style w:type="paragraph" w:styleId="41">
    <w:name w:val="annotation subject"/>
    <w:basedOn w:val="15"/>
    <w:next w:val="15"/>
    <w:link w:val="79"/>
    <w:unhideWhenUsed/>
    <w:qFormat/>
    <w:uiPriority w:val="99"/>
    <w:rPr>
      <w:b/>
      <w:bCs/>
    </w:rPr>
  </w:style>
  <w:style w:type="paragraph" w:styleId="42">
    <w:name w:val="Body Text First Indent"/>
    <w:basedOn w:val="17"/>
    <w:link w:val="72"/>
    <w:semiHidden/>
    <w:unhideWhenUsed/>
    <w:qFormat/>
    <w:uiPriority w:val="0"/>
    <w:pPr>
      <w:ind w:firstLine="420" w:firstLineChars="100"/>
    </w:pPr>
    <w:rPr>
      <w:sz w:val="18"/>
      <w:szCs w:val="18"/>
    </w:rPr>
  </w:style>
  <w:style w:type="table" w:styleId="44">
    <w:name w:val="Table Grid"/>
    <w:basedOn w:val="4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6">
    <w:name w:val="FollowedHyperlink"/>
    <w:basedOn w:val="45"/>
    <w:semiHidden/>
    <w:unhideWhenUsed/>
    <w:qFormat/>
    <w:uiPriority w:val="99"/>
    <w:rPr>
      <w:color w:val="800080" w:themeColor="followedHyperlink"/>
      <w:u w:val="single"/>
      <w14:textFill>
        <w14:solidFill>
          <w14:schemeClr w14:val="folHlink"/>
        </w14:solidFill>
      </w14:textFill>
    </w:rPr>
  </w:style>
  <w:style w:type="character" w:styleId="47">
    <w:name w:val="Hyperlink"/>
    <w:unhideWhenUsed/>
    <w:qFormat/>
    <w:uiPriority w:val="99"/>
    <w:rPr>
      <w:color w:val="0000FF"/>
      <w:u w:val="single"/>
    </w:rPr>
  </w:style>
  <w:style w:type="character" w:styleId="48">
    <w:name w:val="annotation reference"/>
    <w:unhideWhenUsed/>
    <w:qFormat/>
    <w:uiPriority w:val="99"/>
    <w:rPr>
      <w:sz w:val="21"/>
      <w:szCs w:val="21"/>
    </w:rPr>
  </w:style>
  <w:style w:type="character" w:styleId="49">
    <w:name w:val="footnote reference"/>
    <w:semiHidden/>
    <w:unhideWhenUsed/>
    <w:qFormat/>
    <w:uiPriority w:val="0"/>
    <w:rPr>
      <w:vertAlign w:val="superscript"/>
    </w:rPr>
  </w:style>
  <w:style w:type="character" w:customStyle="1" w:styleId="50">
    <w:name w:val="标题 1 字符"/>
    <w:basedOn w:val="45"/>
    <w:link w:val="2"/>
    <w:qFormat/>
    <w:uiPriority w:val="99"/>
    <w:rPr>
      <w:rFonts w:ascii="宋体" w:hAnsi="宋体" w:eastAsia="宋体" w:cs="宋体"/>
      <w:b/>
      <w:bCs/>
      <w:spacing w:val="-20"/>
      <w:kern w:val="44"/>
      <w:sz w:val="32"/>
      <w:szCs w:val="32"/>
    </w:rPr>
  </w:style>
  <w:style w:type="character" w:customStyle="1" w:styleId="51">
    <w:name w:val="标题 2 字符"/>
    <w:basedOn w:val="45"/>
    <w:link w:val="3"/>
    <w:qFormat/>
    <w:uiPriority w:val="99"/>
    <w:rPr>
      <w:rFonts w:ascii="宋体" w:hAnsi="宋体" w:eastAsia="宋体" w:cs="宋体"/>
      <w:b/>
      <w:bCs/>
      <w:sz w:val="28"/>
      <w:szCs w:val="28"/>
    </w:rPr>
  </w:style>
  <w:style w:type="character" w:customStyle="1" w:styleId="52">
    <w:name w:val="标题 3 字符"/>
    <w:basedOn w:val="45"/>
    <w:link w:val="4"/>
    <w:qFormat/>
    <w:uiPriority w:val="99"/>
    <w:rPr>
      <w:rFonts w:ascii="宋体" w:hAnsi="宋体" w:eastAsia="宋体" w:cs="宋体"/>
      <w:b/>
      <w:bCs/>
      <w:color w:val="000000"/>
      <w:kern w:val="0"/>
      <w:sz w:val="28"/>
      <w:szCs w:val="28"/>
    </w:rPr>
  </w:style>
  <w:style w:type="character" w:customStyle="1" w:styleId="53">
    <w:name w:val="标题 4 字符"/>
    <w:basedOn w:val="45"/>
    <w:link w:val="5"/>
    <w:qFormat/>
    <w:uiPriority w:val="9"/>
    <w:rPr>
      <w:rFonts w:ascii="Arial" w:hAnsi="Arial" w:eastAsia="宋体" w:cs="Times New Roman"/>
      <w:b/>
      <w:bCs/>
      <w:kern w:val="0"/>
      <w:sz w:val="28"/>
      <w:szCs w:val="28"/>
    </w:rPr>
  </w:style>
  <w:style w:type="character" w:customStyle="1" w:styleId="54">
    <w:name w:val="标题 5 字符"/>
    <w:basedOn w:val="45"/>
    <w:link w:val="6"/>
    <w:qFormat/>
    <w:uiPriority w:val="0"/>
    <w:rPr>
      <w:rFonts w:ascii="Calibri" w:hAnsi="Calibri" w:eastAsia="宋体" w:cs="Times New Roman"/>
      <w:b/>
      <w:bCs/>
      <w:kern w:val="0"/>
      <w:sz w:val="28"/>
      <w:szCs w:val="28"/>
    </w:rPr>
  </w:style>
  <w:style w:type="character" w:customStyle="1" w:styleId="55">
    <w:name w:val="标题 6 字符"/>
    <w:basedOn w:val="45"/>
    <w:link w:val="7"/>
    <w:qFormat/>
    <w:uiPriority w:val="0"/>
    <w:rPr>
      <w:rFonts w:ascii="Arial" w:hAnsi="Arial" w:eastAsia="宋体" w:cs="Times New Roman"/>
      <w:b/>
      <w:bCs/>
      <w:kern w:val="0"/>
      <w:sz w:val="28"/>
      <w:szCs w:val="18"/>
    </w:rPr>
  </w:style>
  <w:style w:type="character" w:customStyle="1" w:styleId="56">
    <w:name w:val="标题 7 字符"/>
    <w:basedOn w:val="45"/>
    <w:link w:val="8"/>
    <w:qFormat/>
    <w:uiPriority w:val="0"/>
    <w:rPr>
      <w:rFonts w:ascii="Arial Narrow" w:hAnsi="Arial Narrow" w:eastAsia="宋体" w:cs="Times New Roman"/>
      <w:b/>
      <w:bCs/>
      <w:iCs/>
      <w:kern w:val="0"/>
      <w:sz w:val="20"/>
      <w:szCs w:val="24"/>
      <w:lang w:eastAsia="en-US"/>
    </w:rPr>
  </w:style>
  <w:style w:type="character" w:customStyle="1" w:styleId="57">
    <w:name w:val="标题 8 字符"/>
    <w:basedOn w:val="45"/>
    <w:link w:val="9"/>
    <w:semiHidden/>
    <w:qFormat/>
    <w:uiPriority w:val="0"/>
    <w:rPr>
      <w:rFonts w:ascii="Arial" w:hAnsi="Arial" w:eastAsia="黑体" w:cs="Times New Roman"/>
      <w:kern w:val="0"/>
      <w:sz w:val="24"/>
      <w:szCs w:val="24"/>
    </w:rPr>
  </w:style>
  <w:style w:type="character" w:customStyle="1" w:styleId="58">
    <w:name w:val="标题 9 字符"/>
    <w:basedOn w:val="45"/>
    <w:link w:val="10"/>
    <w:semiHidden/>
    <w:qFormat/>
    <w:uiPriority w:val="0"/>
    <w:rPr>
      <w:rFonts w:ascii="Arial" w:hAnsi="Arial" w:eastAsia="黑体" w:cs="Times New Roman"/>
      <w:kern w:val="0"/>
      <w:sz w:val="20"/>
      <w:szCs w:val="21"/>
    </w:rPr>
  </w:style>
  <w:style w:type="character" w:customStyle="1" w:styleId="59">
    <w:name w:val="标题 1 Char1"/>
    <w:qFormat/>
    <w:uiPriority w:val="0"/>
    <w:rPr>
      <w:b/>
      <w:bCs/>
      <w:kern w:val="44"/>
      <w:sz w:val="44"/>
      <w:szCs w:val="44"/>
    </w:rPr>
  </w:style>
  <w:style w:type="character" w:customStyle="1" w:styleId="60">
    <w:name w:val="标题 2 Char1"/>
    <w:basedOn w:val="45"/>
    <w:semiHidden/>
    <w:qFormat/>
    <w:uiPriority w:val="99"/>
    <w:rPr>
      <w:rFonts w:asciiTheme="majorHAnsi" w:hAnsiTheme="majorHAnsi" w:eastAsiaTheme="majorEastAsia" w:cstheme="majorBidi"/>
      <w:b/>
      <w:bCs/>
      <w:kern w:val="2"/>
      <w:sz w:val="32"/>
      <w:szCs w:val="32"/>
    </w:rPr>
  </w:style>
  <w:style w:type="character" w:customStyle="1" w:styleId="61">
    <w:name w:val="标题 3 Char1"/>
    <w:basedOn w:val="45"/>
    <w:semiHidden/>
    <w:qFormat/>
    <w:uiPriority w:val="99"/>
    <w:rPr>
      <w:rFonts w:ascii="Calibri" w:hAnsi="Calibri"/>
      <w:b/>
      <w:bCs/>
      <w:kern w:val="2"/>
      <w:sz w:val="32"/>
      <w:szCs w:val="32"/>
    </w:rPr>
  </w:style>
  <w:style w:type="character" w:customStyle="1" w:styleId="62">
    <w:name w:val="标题 4 Char1"/>
    <w:basedOn w:val="45"/>
    <w:semiHidden/>
    <w:qFormat/>
    <w:uiPriority w:val="9"/>
    <w:rPr>
      <w:rFonts w:asciiTheme="majorHAnsi" w:hAnsiTheme="majorHAnsi" w:eastAsiaTheme="majorEastAsia" w:cstheme="majorBidi"/>
      <w:b/>
      <w:bCs/>
      <w:kern w:val="2"/>
      <w:sz w:val="28"/>
      <w:szCs w:val="28"/>
    </w:rPr>
  </w:style>
  <w:style w:type="character" w:customStyle="1" w:styleId="63">
    <w:name w:val="正文缩进 字符"/>
    <w:link w:val="12"/>
    <w:qFormat/>
    <w:locked/>
    <w:uiPriority w:val="0"/>
  </w:style>
  <w:style w:type="character" w:customStyle="1" w:styleId="64">
    <w:name w:val="脚注文本 字符"/>
    <w:basedOn w:val="45"/>
    <w:link w:val="32"/>
    <w:semiHidden/>
    <w:qFormat/>
    <w:uiPriority w:val="0"/>
    <w:rPr>
      <w:rFonts w:ascii="Calibri" w:hAnsi="Calibri" w:eastAsia="宋体" w:cs="Times New Roman"/>
      <w:sz w:val="18"/>
      <w:szCs w:val="18"/>
    </w:rPr>
  </w:style>
  <w:style w:type="character" w:customStyle="1" w:styleId="65">
    <w:name w:val="批注文字 Char"/>
    <w:basedOn w:val="45"/>
    <w:semiHidden/>
    <w:qFormat/>
    <w:uiPriority w:val="99"/>
    <w:rPr>
      <w:rFonts w:ascii="Calibri" w:hAnsi="Calibri" w:eastAsia="宋体" w:cs="Times New Roman"/>
    </w:rPr>
  </w:style>
  <w:style w:type="character" w:customStyle="1" w:styleId="66">
    <w:name w:val="页眉 字符"/>
    <w:basedOn w:val="45"/>
    <w:link w:val="28"/>
    <w:qFormat/>
    <w:uiPriority w:val="99"/>
    <w:rPr>
      <w:rFonts w:ascii="Calibri" w:hAnsi="Calibri" w:eastAsia="宋体" w:cs="Times New Roman"/>
      <w:kern w:val="0"/>
      <w:sz w:val="18"/>
      <w:szCs w:val="18"/>
    </w:rPr>
  </w:style>
  <w:style w:type="character" w:customStyle="1" w:styleId="67">
    <w:name w:val="页脚 字符"/>
    <w:basedOn w:val="45"/>
    <w:link w:val="27"/>
    <w:qFormat/>
    <w:uiPriority w:val="99"/>
    <w:rPr>
      <w:rFonts w:ascii="Calibri" w:hAnsi="Calibri" w:eastAsia="宋体" w:cs="Times New Roman"/>
      <w:kern w:val="0"/>
      <w:sz w:val="18"/>
      <w:szCs w:val="18"/>
    </w:rPr>
  </w:style>
  <w:style w:type="character" w:customStyle="1" w:styleId="68">
    <w:name w:val="正文文本 Char"/>
    <w:basedOn w:val="45"/>
    <w:qFormat/>
    <w:uiPriority w:val="99"/>
    <w:rPr>
      <w:rFonts w:ascii="Calibri" w:hAnsi="Calibri" w:eastAsia="宋体" w:cs="Times New Roman"/>
    </w:rPr>
  </w:style>
  <w:style w:type="character" w:customStyle="1" w:styleId="69">
    <w:name w:val="正文文本缩进 字符"/>
    <w:basedOn w:val="45"/>
    <w:link w:val="18"/>
    <w:semiHidden/>
    <w:qFormat/>
    <w:uiPriority w:val="0"/>
    <w:rPr>
      <w:rFonts w:ascii="Times New Roman" w:hAnsi="Times New Roman" w:eastAsia="宋体" w:cs="Times New Roman"/>
      <w:kern w:val="0"/>
      <w:sz w:val="20"/>
      <w:szCs w:val="24"/>
    </w:rPr>
  </w:style>
  <w:style w:type="character" w:customStyle="1" w:styleId="70">
    <w:name w:val="副标题 字符"/>
    <w:basedOn w:val="45"/>
    <w:link w:val="31"/>
    <w:qFormat/>
    <w:uiPriority w:val="0"/>
    <w:rPr>
      <w:rFonts w:ascii="Cambria" w:hAnsi="Cambria" w:eastAsia="宋体" w:cs="Times New Roman"/>
      <w:b/>
      <w:bCs/>
      <w:kern w:val="28"/>
      <w:sz w:val="32"/>
      <w:szCs w:val="32"/>
    </w:rPr>
  </w:style>
  <w:style w:type="character" w:customStyle="1" w:styleId="71">
    <w:name w:val="日期 字符"/>
    <w:basedOn w:val="45"/>
    <w:link w:val="24"/>
    <w:qFormat/>
    <w:uiPriority w:val="99"/>
    <w:rPr>
      <w:rFonts w:ascii="Times New Roman" w:hAnsi="Times New Roman" w:eastAsia="宋体" w:cs="Times New Roman"/>
      <w:kern w:val="0"/>
      <w:sz w:val="24"/>
      <w:szCs w:val="24"/>
    </w:rPr>
  </w:style>
  <w:style w:type="character" w:customStyle="1" w:styleId="72">
    <w:name w:val="正文文本首行缩进 字符"/>
    <w:basedOn w:val="68"/>
    <w:link w:val="42"/>
    <w:semiHidden/>
    <w:qFormat/>
    <w:uiPriority w:val="0"/>
    <w:rPr>
      <w:rFonts w:ascii="Times New Roman" w:hAnsi="Times New Roman" w:eastAsia="宋体" w:cs="Times New Roman"/>
      <w:kern w:val="0"/>
      <w:sz w:val="18"/>
      <w:szCs w:val="18"/>
    </w:rPr>
  </w:style>
  <w:style w:type="character" w:customStyle="1" w:styleId="73">
    <w:name w:val="正文文本 2 字符"/>
    <w:basedOn w:val="45"/>
    <w:link w:val="37"/>
    <w:semiHidden/>
    <w:qFormat/>
    <w:uiPriority w:val="0"/>
    <w:rPr>
      <w:rFonts w:ascii="Times New Roman" w:hAnsi="Times New Roman" w:eastAsia="宋体" w:cs="Times New Roman"/>
      <w:kern w:val="0"/>
      <w:sz w:val="18"/>
      <w:szCs w:val="18"/>
    </w:rPr>
  </w:style>
  <w:style w:type="character" w:customStyle="1" w:styleId="74">
    <w:name w:val="正文文本 3 字符"/>
    <w:basedOn w:val="45"/>
    <w:link w:val="16"/>
    <w:semiHidden/>
    <w:qFormat/>
    <w:uiPriority w:val="0"/>
    <w:rPr>
      <w:rFonts w:ascii="Times New Roman" w:hAnsi="Times New Roman" w:eastAsia="黑体" w:cs="Times New Roman"/>
      <w:sz w:val="44"/>
      <w:szCs w:val="24"/>
    </w:rPr>
  </w:style>
  <w:style w:type="character" w:customStyle="1" w:styleId="75">
    <w:name w:val="正文文本缩进 2 字符"/>
    <w:basedOn w:val="45"/>
    <w:link w:val="25"/>
    <w:qFormat/>
    <w:uiPriority w:val="0"/>
    <w:rPr>
      <w:rFonts w:ascii="Times New Roman" w:hAnsi="Times New Roman" w:eastAsia="宋体" w:cs="Times New Roman"/>
      <w:kern w:val="0"/>
      <w:sz w:val="20"/>
      <w:szCs w:val="20"/>
    </w:rPr>
  </w:style>
  <w:style w:type="character" w:customStyle="1" w:styleId="76">
    <w:name w:val="正文文本缩进 3 字符"/>
    <w:basedOn w:val="45"/>
    <w:link w:val="34"/>
    <w:semiHidden/>
    <w:qFormat/>
    <w:uiPriority w:val="0"/>
    <w:rPr>
      <w:rFonts w:ascii="宋体" w:hAnsi="宋体" w:eastAsia="宋体" w:cs="Times New Roman"/>
      <w:kern w:val="0"/>
      <w:sz w:val="28"/>
      <w:szCs w:val="28"/>
    </w:rPr>
  </w:style>
  <w:style w:type="character" w:customStyle="1" w:styleId="77">
    <w:name w:val="文档结构图 字符"/>
    <w:basedOn w:val="45"/>
    <w:link w:val="14"/>
    <w:qFormat/>
    <w:uiPriority w:val="99"/>
    <w:rPr>
      <w:rFonts w:ascii="Times New Roman" w:hAnsi="Times New Roman" w:eastAsia="宋体" w:cs="Times New Roman"/>
      <w:kern w:val="0"/>
      <w:sz w:val="18"/>
      <w:szCs w:val="18"/>
      <w:shd w:val="clear" w:color="auto" w:fill="000080"/>
    </w:rPr>
  </w:style>
  <w:style w:type="character" w:customStyle="1" w:styleId="78">
    <w:name w:val="纯文本 Char"/>
    <w:basedOn w:val="45"/>
    <w:semiHidden/>
    <w:qFormat/>
    <w:uiPriority w:val="99"/>
    <w:rPr>
      <w:rFonts w:ascii="宋体" w:hAnsi="Courier New" w:eastAsia="宋体" w:cs="Courier New"/>
      <w:szCs w:val="21"/>
    </w:rPr>
  </w:style>
  <w:style w:type="character" w:customStyle="1" w:styleId="79">
    <w:name w:val="批注主题 字符"/>
    <w:basedOn w:val="65"/>
    <w:link w:val="41"/>
    <w:qFormat/>
    <w:uiPriority w:val="99"/>
    <w:rPr>
      <w:rFonts w:ascii="Calibri" w:hAnsi="Calibri" w:eastAsia="宋体" w:cs="Times New Roman"/>
      <w:b/>
      <w:bCs/>
    </w:rPr>
  </w:style>
  <w:style w:type="character" w:customStyle="1" w:styleId="80">
    <w:name w:val="批注框文本 字符"/>
    <w:basedOn w:val="45"/>
    <w:link w:val="26"/>
    <w:qFormat/>
    <w:uiPriority w:val="99"/>
    <w:rPr>
      <w:rFonts w:ascii="Times New Roman" w:hAnsi="Times New Roman" w:eastAsia="宋体" w:cs="Times New Roman"/>
      <w:kern w:val="0"/>
      <w:sz w:val="18"/>
      <w:szCs w:val="18"/>
    </w:rPr>
  </w:style>
  <w:style w:type="paragraph" w:styleId="81">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82">
    <w:name w:val="修订1"/>
    <w:semiHidden/>
    <w:qFormat/>
    <w:uiPriority w:val="99"/>
    <w:rPr>
      <w:rFonts w:ascii="Calibri" w:hAnsi="Calibri" w:eastAsia="宋体" w:cs="Times New Roman"/>
      <w:kern w:val="2"/>
      <w:sz w:val="21"/>
      <w:szCs w:val="22"/>
      <w:lang w:val="en-US" w:eastAsia="zh-CN" w:bidi="ar-SA"/>
    </w:rPr>
  </w:style>
  <w:style w:type="character" w:customStyle="1" w:styleId="83">
    <w:name w:val="列表段落 字符"/>
    <w:link w:val="84"/>
    <w:qFormat/>
    <w:locked/>
    <w:uiPriority w:val="0"/>
    <w:rPr>
      <w:rFonts w:ascii="Calibri" w:hAnsi="Calibri" w:cs="Calibri"/>
    </w:rPr>
  </w:style>
  <w:style w:type="paragraph" w:styleId="84">
    <w:name w:val="List Paragraph"/>
    <w:basedOn w:val="1"/>
    <w:link w:val="83"/>
    <w:qFormat/>
    <w:uiPriority w:val="0"/>
    <w:pPr>
      <w:ind w:firstLine="420" w:firstLineChars="200"/>
    </w:pPr>
    <w:rPr>
      <w:rFonts w:cs="Calibri" w:eastAsiaTheme="minorEastAsia"/>
    </w:rPr>
  </w:style>
  <w:style w:type="paragraph" w:customStyle="1" w:styleId="85">
    <w:name w:val="样式 右侧:  1 字符1"/>
    <w:basedOn w:val="1"/>
    <w:qFormat/>
    <w:uiPriority w:val="0"/>
    <w:pPr>
      <w:ind w:left="240" w:leftChars="100" w:right="240" w:rightChars="100"/>
    </w:pPr>
    <w:rPr>
      <w:rFonts w:ascii="Times New Roman" w:hAnsi="Times New Roman" w:eastAsia="仿宋_GB2312" w:cs="宋体"/>
      <w:sz w:val="28"/>
      <w:szCs w:val="20"/>
    </w:rPr>
  </w:style>
  <w:style w:type="paragraph" w:customStyle="1" w:styleId="86">
    <w:name w:val="MM Title"/>
    <w:basedOn w:val="1"/>
    <w:qFormat/>
    <w:uiPriority w:val="0"/>
    <w:pPr>
      <w:spacing w:before="240" w:after="60"/>
      <w:jc w:val="center"/>
      <w:outlineLvl w:val="0"/>
    </w:pPr>
    <w:rPr>
      <w:rFonts w:ascii="Arial" w:hAnsi="Arial" w:cs="Arial"/>
      <w:b/>
      <w:bCs/>
      <w:sz w:val="32"/>
      <w:szCs w:val="32"/>
    </w:rPr>
  </w:style>
  <w:style w:type="paragraph" w:customStyle="1" w:styleId="87">
    <w:name w:val="默认段落字体 Para Char Char Char1 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88">
    <w:name w:val="gb_master正文"/>
    <w:basedOn w:val="1"/>
    <w:qFormat/>
    <w:uiPriority w:val="0"/>
    <w:pPr>
      <w:ind w:firstLine="200" w:firstLineChars="200"/>
    </w:pPr>
    <w:rPr>
      <w:rFonts w:ascii="Times New Roman" w:hAnsi="Times New Roman"/>
      <w:szCs w:val="24"/>
    </w:rPr>
  </w:style>
  <w:style w:type="paragraph" w:customStyle="1" w:styleId="89">
    <w:name w:val="p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90">
    <w:name w:val="无间隔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91">
    <w:name w:val="Char2 Char Char Char"/>
    <w:basedOn w:val="1"/>
    <w:qFormat/>
    <w:uiPriority w:val="0"/>
    <w:rPr>
      <w:rFonts w:ascii="仿宋_GB2312" w:hAnsi="Times New Roman"/>
      <w:b/>
      <w:sz w:val="30"/>
      <w:szCs w:val="32"/>
    </w:rPr>
  </w:style>
  <w:style w:type="paragraph" w:customStyle="1" w:styleId="92">
    <w:name w:val="样式 样式 样式 标题 2 + 宋体 五号 非加粗 黑色 + 段前: 6 磅 段后: 0 磅 行距: 单倍行距 + 段前: 12..."/>
    <w:basedOn w:val="1"/>
    <w:qFormat/>
    <w:uiPriority w:val="0"/>
    <w:pPr>
      <w:keepNext/>
      <w:keepLines/>
      <w:numPr>
        <w:ilvl w:val="1"/>
        <w:numId w:val="2"/>
      </w:numPr>
      <w:adjustRightInd w:val="0"/>
      <w:spacing w:before="240"/>
      <w:jc w:val="left"/>
      <w:outlineLvl w:val="1"/>
    </w:pPr>
    <w:rPr>
      <w:rFonts w:ascii="宋体" w:hAnsi="宋体" w:cs="宋体"/>
      <w:color w:val="000000"/>
      <w:kern w:val="0"/>
      <w:szCs w:val="20"/>
    </w:rPr>
  </w:style>
  <w:style w:type="paragraph" w:customStyle="1" w:styleId="93">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szCs w:val="24"/>
    </w:rPr>
  </w:style>
  <w:style w:type="paragraph" w:customStyle="1" w:styleId="94">
    <w:name w:val="默认段落字体 Para Char"/>
    <w:basedOn w:val="1"/>
    <w:qFormat/>
    <w:uiPriority w:val="0"/>
    <w:rPr>
      <w:rFonts w:ascii="Tahoma" w:hAnsi="Tahoma"/>
      <w:sz w:val="24"/>
      <w:szCs w:val="20"/>
    </w:rPr>
  </w:style>
  <w:style w:type="paragraph" w:customStyle="1" w:styleId="95">
    <w:name w:val="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96">
    <w:name w:val="样式 行距: 1.5 倍行距 左  3.42 字符"/>
    <w:basedOn w:val="1"/>
    <w:qFormat/>
    <w:uiPriority w:val="0"/>
    <w:pPr>
      <w:spacing w:line="360" w:lineRule="auto"/>
      <w:ind w:left="200" w:leftChars="200" w:firstLine="200" w:firstLineChars="200"/>
    </w:pPr>
    <w:rPr>
      <w:rFonts w:ascii="Times New Roman" w:hAnsi="Times New Roman" w:cs="宋体"/>
      <w:szCs w:val="20"/>
    </w:rPr>
  </w:style>
  <w:style w:type="paragraph" w:customStyle="1" w:styleId="97">
    <w:name w:val="样式 正文缩进 + (中文) 仿宋_GB2312 小四 Char"/>
    <w:basedOn w:val="12"/>
    <w:qFormat/>
    <w:uiPriority w:val="0"/>
    <w:pPr>
      <w:spacing w:after="0" w:line="360" w:lineRule="auto"/>
      <w:ind w:firstLine="480" w:firstLineChars="200"/>
    </w:pPr>
    <w:rPr>
      <w:rFonts w:ascii="宋体" w:hAnsi="宋体"/>
      <w:sz w:val="24"/>
      <w:szCs w:val="24"/>
    </w:rPr>
  </w:style>
  <w:style w:type="paragraph" w:customStyle="1" w:styleId="98">
    <w:name w:val="表格文字"/>
    <w:basedOn w:val="1"/>
    <w:qFormat/>
    <w:uiPriority w:val="0"/>
    <w:pPr>
      <w:spacing w:beforeLines="25"/>
    </w:pPr>
    <w:rPr>
      <w:rFonts w:ascii="Times New (W1)" w:hAnsi="Times New (W1)"/>
      <w:spacing w:val="10"/>
      <w:szCs w:val="24"/>
    </w:rPr>
  </w:style>
  <w:style w:type="paragraph" w:customStyle="1" w:styleId="99">
    <w:name w:val="标书正文:  0.74 厘米"/>
    <w:basedOn w:val="1"/>
    <w:qFormat/>
    <w:uiPriority w:val="0"/>
    <w:pPr>
      <w:snapToGrid w:val="0"/>
      <w:spacing w:line="360" w:lineRule="auto"/>
      <w:ind w:firstLine="420"/>
    </w:pPr>
    <w:rPr>
      <w:rFonts w:ascii="Times New Roman" w:hAnsi="Times New Roman"/>
      <w:sz w:val="24"/>
      <w:szCs w:val="18"/>
    </w:rPr>
  </w:style>
  <w:style w:type="paragraph" w:customStyle="1" w:styleId="100">
    <w:name w:val="默认段落字体 Para Char Char"/>
    <w:basedOn w:val="1"/>
    <w:qFormat/>
    <w:uiPriority w:val="0"/>
    <w:rPr>
      <w:rFonts w:ascii="Times New Roman" w:hAnsi="Times New Roman"/>
      <w:szCs w:val="24"/>
    </w:rPr>
  </w:style>
  <w:style w:type="paragraph" w:customStyle="1" w:styleId="101">
    <w:name w:val="MM Topic 6"/>
    <w:basedOn w:val="7"/>
    <w:qFormat/>
    <w:uiPriority w:val="0"/>
    <w:pPr>
      <w:tabs>
        <w:tab w:val="left" w:pos="3260"/>
        <w:tab w:val="clear" w:pos="1702"/>
      </w:tabs>
    </w:pPr>
    <w:rPr>
      <w:rFonts w:eastAsia="黑体"/>
    </w:rPr>
  </w:style>
  <w:style w:type="paragraph" w:customStyle="1" w:styleId="102">
    <w:name w:val="Char1 Char Char 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03">
    <w:name w:val="样式 首行缩进:  2 字符"/>
    <w:basedOn w:val="1"/>
    <w:qFormat/>
    <w:uiPriority w:val="0"/>
    <w:pPr>
      <w:spacing w:line="400" w:lineRule="exact"/>
      <w:ind w:firstLine="200" w:firstLineChars="200"/>
    </w:pPr>
    <w:rPr>
      <w:rFonts w:ascii="Times New Roman" w:hAnsi="Times New Roman" w:cs="宋体"/>
      <w:sz w:val="24"/>
      <w:szCs w:val="24"/>
    </w:rPr>
  </w:style>
  <w:style w:type="paragraph" w:customStyle="1" w:styleId="104">
    <w:name w:val="Char1"/>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05">
    <w:name w:val="标题 5 + 首行缩进:  2 字符"/>
    <w:basedOn w:val="6"/>
    <w:next w:val="18"/>
    <w:qFormat/>
    <w:uiPriority w:val="0"/>
    <w:pPr>
      <w:tabs>
        <w:tab w:val="left" w:pos="992"/>
        <w:tab w:val="clear" w:pos="1134"/>
      </w:tabs>
      <w:snapToGrid w:val="0"/>
      <w:spacing w:before="0" w:beforeLines="50" w:after="0" w:afterLines="50"/>
      <w:ind w:left="3570" w:firstLine="482" w:firstLineChars="200"/>
    </w:pPr>
    <w:rPr>
      <w:color w:val="000000"/>
      <w:szCs w:val="20"/>
    </w:rPr>
  </w:style>
  <w:style w:type="paragraph" w:customStyle="1" w:styleId="106">
    <w:name w:val="Char2 Char Char Char Char Char Char"/>
    <w:basedOn w:val="1"/>
    <w:qFormat/>
    <w:uiPriority w:val="0"/>
    <w:rPr>
      <w:rFonts w:ascii="仿宋_GB2312" w:hAnsi="Times New Roman"/>
      <w:b/>
      <w:sz w:val="30"/>
      <w:szCs w:val="32"/>
    </w:rPr>
  </w:style>
  <w:style w:type="paragraph" w:customStyle="1" w:styleId="107">
    <w:name w:val="MM Topic 2"/>
    <w:basedOn w:val="3"/>
    <w:qFormat/>
    <w:uiPriority w:val="0"/>
    <w:pPr>
      <w:tabs>
        <w:tab w:val="left" w:pos="992"/>
      </w:tabs>
    </w:pPr>
    <w:rPr>
      <w:rFonts w:cs="Times New Roman"/>
    </w:rPr>
  </w:style>
  <w:style w:type="paragraph" w:customStyle="1" w:styleId="108">
    <w:name w:val="Style Style4 + First line:  2 ch Before:  0.5 line After:  0.5 li..."/>
    <w:basedOn w:val="1"/>
    <w:qFormat/>
    <w:uiPriority w:val="0"/>
    <w:pPr>
      <w:spacing w:beforeLines="50" w:line="276" w:lineRule="auto"/>
      <w:ind w:firstLine="480" w:firstLineChars="200"/>
    </w:pPr>
    <w:rPr>
      <w:rFonts w:ascii="Arial" w:hAnsi="Arial"/>
      <w:sz w:val="24"/>
      <w:szCs w:val="20"/>
    </w:rPr>
  </w:style>
  <w:style w:type="paragraph" w:customStyle="1" w:styleId="109">
    <w:name w:val="正文 首行缩进:  2 字符 Char Char"/>
    <w:basedOn w:val="1"/>
    <w:qFormat/>
    <w:uiPriority w:val="0"/>
    <w:pPr>
      <w:spacing w:line="360" w:lineRule="auto"/>
      <w:ind w:firstLine="480"/>
    </w:pPr>
    <w:rPr>
      <w:rFonts w:ascii="Times New Roman" w:hAnsi="Times New Roman" w:cs="宋体"/>
      <w:sz w:val="24"/>
      <w:szCs w:val="20"/>
    </w:rPr>
  </w:style>
  <w:style w:type="paragraph" w:customStyle="1" w:styleId="110">
    <w:name w:val="MM Topic 8"/>
    <w:basedOn w:val="9"/>
    <w:qFormat/>
    <w:uiPriority w:val="0"/>
    <w:pPr>
      <w:tabs>
        <w:tab w:val="left" w:pos="4394"/>
      </w:tabs>
    </w:pPr>
  </w:style>
  <w:style w:type="paragraph" w:customStyle="1" w:styleId="111">
    <w:name w:val="Char1 Char Char Char Char Char Char"/>
    <w:basedOn w:val="1"/>
    <w:qFormat/>
    <w:uiPriority w:val="0"/>
    <w:rPr>
      <w:rFonts w:ascii="Tahoma" w:hAnsi="Tahoma"/>
      <w:sz w:val="24"/>
      <w:szCs w:val="20"/>
    </w:rPr>
  </w:style>
  <w:style w:type="paragraph" w:customStyle="1" w:styleId="112">
    <w:name w:val="RFI Heading 3rd Level"/>
    <w:basedOn w:val="1"/>
    <w:qFormat/>
    <w:uiPriority w:val="0"/>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113">
    <w:name w:val="样式 小四2"/>
    <w:basedOn w:val="1"/>
    <w:qFormat/>
    <w:uiPriority w:val="0"/>
    <w:rPr>
      <w:rFonts w:ascii="宋体" w:hAnsi="宋体"/>
      <w:sz w:val="24"/>
      <w:szCs w:val="24"/>
    </w:rPr>
  </w:style>
  <w:style w:type="paragraph" w:customStyle="1" w:styleId="114">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115">
    <w:name w:val="Char Char1"/>
    <w:basedOn w:val="1"/>
    <w:next w:val="1"/>
    <w:qFormat/>
    <w:uiPriority w:val="0"/>
    <w:pPr>
      <w:spacing w:line="240" w:lineRule="atLeast"/>
      <w:ind w:left="420" w:firstLine="420"/>
      <w:jc w:val="left"/>
    </w:pPr>
    <w:rPr>
      <w:rFonts w:ascii="楷体_GB2312" w:hAnsi="宋体" w:eastAsia="楷体_GB2312"/>
      <w:bCs/>
      <w:color w:val="000000"/>
      <w:kern w:val="0"/>
      <w:sz w:val="28"/>
      <w:szCs w:val="28"/>
    </w:rPr>
  </w:style>
  <w:style w:type="paragraph" w:customStyle="1" w:styleId="116">
    <w:name w:val="1 Char"/>
    <w:basedOn w:val="1"/>
    <w:qFormat/>
    <w:uiPriority w:val="0"/>
    <w:pPr>
      <w:widowControl/>
      <w:spacing w:after="160" w:line="240" w:lineRule="exact"/>
      <w:jc w:val="left"/>
    </w:pPr>
    <w:rPr>
      <w:rFonts w:ascii="Tahoma" w:hAnsi="Tahoma" w:eastAsia="Times New Roman"/>
      <w:kern w:val="0"/>
      <w:sz w:val="24"/>
      <w:szCs w:val="24"/>
      <w:lang w:eastAsia="en-US"/>
    </w:rPr>
  </w:style>
  <w:style w:type="paragraph" w:customStyle="1" w:styleId="117">
    <w:name w:val="文章正文"/>
    <w:basedOn w:val="1"/>
    <w:qFormat/>
    <w:uiPriority w:val="0"/>
    <w:pPr>
      <w:spacing w:line="360" w:lineRule="auto"/>
      <w:ind w:firstLine="420"/>
    </w:pPr>
    <w:rPr>
      <w:rFonts w:ascii="Times New Roman" w:hAnsi="Times New Roman"/>
      <w:sz w:val="24"/>
      <w:szCs w:val="24"/>
    </w:rPr>
  </w:style>
  <w:style w:type="paragraph" w:customStyle="1" w:styleId="118">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19">
    <w:name w:val="文章正文 Char Char1"/>
    <w:basedOn w:val="1"/>
    <w:qFormat/>
    <w:uiPriority w:val="0"/>
    <w:pPr>
      <w:spacing w:line="360" w:lineRule="auto"/>
      <w:ind w:firstLine="420"/>
    </w:pPr>
    <w:rPr>
      <w:rFonts w:ascii="Times New Roman" w:hAnsi="Times New Roman"/>
      <w:sz w:val="24"/>
      <w:szCs w:val="24"/>
    </w:rPr>
  </w:style>
  <w:style w:type="paragraph" w:customStyle="1" w:styleId="120">
    <w:name w:val="标题2-1"/>
    <w:basedOn w:val="1"/>
    <w:qFormat/>
    <w:uiPriority w:val="0"/>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121">
    <w:name w:val="样式"/>
    <w:link w:val="228"/>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22">
    <w:name w:val="图"/>
    <w:basedOn w:val="1"/>
    <w:qFormat/>
    <w:uiPriority w:val="0"/>
    <w:pPr>
      <w:widowControl/>
      <w:adjustRightInd w:val="0"/>
      <w:snapToGrid w:val="0"/>
      <w:jc w:val="center"/>
    </w:pPr>
    <w:rPr>
      <w:rFonts w:ascii="宋体" w:hAnsi="宋体"/>
      <w:bCs/>
      <w:szCs w:val="24"/>
    </w:rPr>
  </w:style>
  <w:style w:type="paragraph" w:customStyle="1" w:styleId="123">
    <w:name w:val="zw1"/>
    <w:basedOn w:val="1"/>
    <w:qFormat/>
    <w:uiPriority w:val="0"/>
    <w:pPr>
      <w:widowControl/>
      <w:spacing w:line="360" w:lineRule="auto"/>
      <w:ind w:firstLine="480" w:firstLineChars="200"/>
    </w:pPr>
    <w:rPr>
      <w:rFonts w:ascii="Times New Roman" w:hAnsi="Times New Roman"/>
      <w:kern w:val="0"/>
      <w:sz w:val="24"/>
      <w:szCs w:val="20"/>
    </w:rPr>
  </w:style>
  <w:style w:type="paragraph" w:customStyle="1" w:styleId="124">
    <w:name w:val="Char Char Char Char Char Char Char"/>
    <w:basedOn w:val="1"/>
    <w:qFormat/>
    <w:uiPriority w:val="0"/>
    <w:pPr>
      <w:widowControl/>
      <w:snapToGrid w:val="0"/>
      <w:spacing w:line="240" w:lineRule="exact"/>
      <w:jc w:val="left"/>
    </w:pPr>
    <w:rPr>
      <w:rFonts w:ascii="Verdana" w:hAnsi="Verdana"/>
      <w:kern w:val="0"/>
      <w:sz w:val="20"/>
      <w:szCs w:val="20"/>
      <w:lang w:eastAsia="en-US"/>
    </w:rPr>
  </w:style>
  <w:style w:type="paragraph" w:customStyle="1" w:styleId="125">
    <w:name w:val="MM Topic 1"/>
    <w:basedOn w:val="2"/>
    <w:qFormat/>
    <w:uiPriority w:val="0"/>
    <w:pPr>
      <w:tabs>
        <w:tab w:val="left" w:pos="425"/>
      </w:tabs>
    </w:pPr>
    <w:rPr>
      <w:rFonts w:cs="Times New Roman"/>
      <w:sz w:val="44"/>
    </w:rPr>
  </w:style>
  <w:style w:type="paragraph" w:customStyle="1" w:styleId="126">
    <w:name w:val="正文格式"/>
    <w:basedOn w:val="1"/>
    <w:qFormat/>
    <w:uiPriority w:val="0"/>
    <w:pPr>
      <w:widowControl/>
      <w:adjustRightInd w:val="0"/>
      <w:snapToGrid w:val="0"/>
      <w:spacing w:beforeLines="25" w:line="360" w:lineRule="auto"/>
      <w:ind w:firstLine="480" w:firstLineChars="200"/>
    </w:pPr>
    <w:rPr>
      <w:rFonts w:ascii="宋体" w:hAnsi="宋体"/>
      <w:bCs/>
      <w:color w:val="000000"/>
      <w:kern w:val="0"/>
      <w:sz w:val="24"/>
      <w:szCs w:val="24"/>
    </w:rPr>
  </w:style>
  <w:style w:type="paragraph" w:customStyle="1" w:styleId="127">
    <w:name w:val="样式 标题 5 + 倾斜"/>
    <w:basedOn w:val="6"/>
    <w:qFormat/>
    <w:uiPriority w:val="0"/>
    <w:pPr>
      <w:widowControl/>
      <w:tabs>
        <w:tab w:val="left" w:pos="992"/>
        <w:tab w:val="clear" w:pos="1134"/>
      </w:tabs>
      <w:overflowPunct w:val="0"/>
      <w:autoSpaceDE w:val="0"/>
      <w:autoSpaceDN w:val="0"/>
      <w:adjustRightInd w:val="0"/>
      <w:snapToGrid w:val="0"/>
      <w:spacing w:before="100" w:beforeAutospacing="1" w:after="100" w:afterAutospacing="1" w:line="288" w:lineRule="auto"/>
      <w:ind w:left="0" w:firstLine="0"/>
      <w:jc w:val="left"/>
    </w:pPr>
    <w:rPr>
      <w:rFonts w:ascii="Arial" w:hAnsi="Arial"/>
      <w:bCs w:val="0"/>
      <w:iCs/>
      <w:color w:val="000000"/>
    </w:rPr>
  </w:style>
  <w:style w:type="character" w:customStyle="1" w:styleId="128">
    <w:name w:val="彩色列表 - 强调文字颜色 1 Char"/>
    <w:link w:val="129"/>
    <w:qFormat/>
    <w:locked/>
    <w:uiPriority w:val="0"/>
    <w:rPr>
      <w:rFonts w:ascii="Calibri" w:hAnsi="Calibri" w:cs="Calibri"/>
    </w:rPr>
  </w:style>
  <w:style w:type="paragraph" w:customStyle="1" w:styleId="129">
    <w:name w:val="彩色列表 - 强调文字颜色 11"/>
    <w:basedOn w:val="1"/>
    <w:link w:val="128"/>
    <w:qFormat/>
    <w:uiPriority w:val="0"/>
    <w:pPr>
      <w:ind w:firstLine="420" w:firstLineChars="200"/>
    </w:pPr>
    <w:rPr>
      <w:rFonts w:cs="Calibri" w:eastAsiaTheme="minorEastAsia"/>
    </w:rPr>
  </w:style>
  <w:style w:type="paragraph" w:customStyle="1" w:styleId="130">
    <w:name w:val="我的正文"/>
    <w:basedOn w:val="1"/>
    <w:qFormat/>
    <w:uiPriority w:val="0"/>
    <w:pPr>
      <w:spacing w:line="360" w:lineRule="auto"/>
      <w:ind w:firstLine="420" w:firstLineChars="200"/>
    </w:pPr>
    <w:rPr>
      <w:rFonts w:ascii="宋体" w:hAnsi="宋体"/>
      <w:szCs w:val="24"/>
    </w:rPr>
  </w:style>
  <w:style w:type="paragraph" w:customStyle="1" w:styleId="131">
    <w:name w:val="MM Topic 7"/>
    <w:basedOn w:val="8"/>
    <w:qFormat/>
    <w:uiPriority w:val="0"/>
    <w:pPr>
      <w:keepLines/>
      <w:widowControl w:val="0"/>
      <w:tabs>
        <w:tab w:val="left" w:pos="3827"/>
        <w:tab w:val="clear" w:pos="3600"/>
      </w:tabs>
      <w:spacing w:before="240" w:after="64" w:line="314" w:lineRule="auto"/>
      <w:jc w:val="both"/>
    </w:pPr>
    <w:rPr>
      <w:rFonts w:ascii="Times New Roman" w:hAnsi="Times New Roman"/>
      <w:iCs w:val="0"/>
      <w:kern w:val="2"/>
      <w:sz w:val="24"/>
      <w:lang w:eastAsia="zh-CN"/>
    </w:rPr>
  </w:style>
  <w:style w:type="paragraph" w:customStyle="1" w:styleId="132">
    <w:name w:val="标书（正文）"/>
    <w:basedOn w:val="1"/>
    <w:qFormat/>
    <w:uiPriority w:val="0"/>
    <w:pPr>
      <w:spacing w:line="360" w:lineRule="auto"/>
      <w:ind w:firstLine="560" w:firstLineChars="200"/>
    </w:pPr>
    <w:rPr>
      <w:rFonts w:ascii="宋体" w:hAnsi="宋体"/>
      <w:kern w:val="10"/>
      <w:sz w:val="28"/>
      <w:szCs w:val="28"/>
    </w:rPr>
  </w:style>
  <w:style w:type="paragraph" w:customStyle="1" w:styleId="133">
    <w:name w:val="样式 标题 3 + (西文) 仿宋_GB2312 (中文) 仿宋_GB2312 四号"/>
    <w:basedOn w:val="4"/>
    <w:qFormat/>
    <w:uiPriority w:val="0"/>
    <w:pPr>
      <w:tabs>
        <w:tab w:val="left" w:pos="-1991"/>
      </w:tabs>
      <w:snapToGrid w:val="0"/>
      <w:spacing w:beforeLines="50" w:line="410" w:lineRule="auto"/>
      <w:ind w:right="180" w:rightChars="100"/>
    </w:pPr>
    <w:rPr>
      <w:rFonts w:ascii="仿宋_GB2312" w:hAnsi="仿宋_GB2312" w:eastAsia="仿宋_GB2312" w:cs="Times New Roman"/>
      <w:color w:val="auto"/>
    </w:rPr>
  </w:style>
  <w:style w:type="paragraph" w:customStyle="1" w:styleId="134">
    <w:name w:val="论文正文"/>
    <w:basedOn w:val="1"/>
    <w:qFormat/>
    <w:uiPriority w:val="0"/>
    <w:pPr>
      <w:spacing w:line="360" w:lineRule="auto"/>
      <w:ind w:firstLine="700" w:firstLineChars="250"/>
    </w:pPr>
    <w:rPr>
      <w:rFonts w:ascii="宋体" w:hAnsi="宋体"/>
      <w:bCs/>
      <w:sz w:val="28"/>
      <w:szCs w:val="28"/>
    </w:rPr>
  </w:style>
  <w:style w:type="paragraph" w:customStyle="1" w:styleId="135">
    <w:name w:val="样式1"/>
    <w:basedOn w:val="1"/>
    <w:qFormat/>
    <w:uiPriority w:val="0"/>
    <w:rPr>
      <w:rFonts w:ascii="Times New Roman" w:hAnsi="Times New Roman" w:eastAsia="隶书"/>
      <w:i/>
      <w:dstrike/>
      <w:sz w:val="28"/>
      <w:szCs w:val="18"/>
    </w:rPr>
  </w:style>
  <w:style w:type="paragraph" w:customStyle="1" w:styleId="136">
    <w:name w:val="表格"/>
    <w:basedOn w:val="1"/>
    <w:qFormat/>
    <w:uiPriority w:val="0"/>
    <w:pPr>
      <w:spacing w:line="400" w:lineRule="exact"/>
    </w:pPr>
    <w:rPr>
      <w:rFonts w:ascii="Times New Roman" w:hAnsi="Times New Roman"/>
      <w:sz w:val="24"/>
      <w:szCs w:val="24"/>
    </w:rPr>
  </w:style>
  <w:style w:type="paragraph" w:customStyle="1" w:styleId="137">
    <w:name w:val="彩色底纹 - 强调文字颜色 11"/>
    <w:qFormat/>
    <w:uiPriority w:val="0"/>
    <w:rPr>
      <w:rFonts w:ascii="Calibri" w:hAnsi="Calibri" w:eastAsia="宋体" w:cs="Times New Roman"/>
      <w:kern w:val="2"/>
      <w:sz w:val="21"/>
      <w:szCs w:val="22"/>
      <w:lang w:val="en-US" w:eastAsia="zh-CN" w:bidi="ar-SA"/>
    </w:rPr>
  </w:style>
  <w:style w:type="paragraph" w:customStyle="1" w:styleId="138">
    <w:name w:val="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39">
    <w:name w:val="Char Char Char Char Char Char Char Char Char Char Char Char Char"/>
    <w:basedOn w:val="14"/>
    <w:qFormat/>
    <w:uiPriority w:val="0"/>
    <w:rPr>
      <w:rFonts w:ascii="Tahoma" w:hAnsi="Tahoma"/>
      <w:sz w:val="24"/>
      <w:szCs w:val="24"/>
    </w:rPr>
  </w:style>
  <w:style w:type="paragraph" w:customStyle="1" w:styleId="140">
    <w:name w:val="MM Topic 3"/>
    <w:basedOn w:val="4"/>
    <w:qFormat/>
    <w:uiPriority w:val="0"/>
    <w:pPr>
      <w:tabs>
        <w:tab w:val="left" w:pos="1418"/>
      </w:tabs>
    </w:pPr>
    <w:rPr>
      <w:rFonts w:cs="Times New Roman"/>
    </w:rPr>
  </w:style>
  <w:style w:type="paragraph" w:customStyle="1" w:styleId="141">
    <w:name w:val="样式 仿宋_GB2312 小四 左侧:  0.63 厘米"/>
    <w:basedOn w:val="1"/>
    <w:qFormat/>
    <w:uiPriority w:val="0"/>
    <w:pPr>
      <w:spacing w:before="120" w:after="120" w:line="360" w:lineRule="auto"/>
      <w:ind w:left="357" w:firstLine="200" w:firstLineChars="200"/>
    </w:pPr>
    <w:rPr>
      <w:rFonts w:ascii="仿宋_GB2312" w:hAnsi="仿宋_GB2312" w:eastAsia="仿宋_GB2312" w:cs="宋体"/>
      <w:sz w:val="24"/>
      <w:szCs w:val="20"/>
    </w:rPr>
  </w:style>
  <w:style w:type="paragraph" w:customStyle="1" w:styleId="142">
    <w:name w:val="样式 宋体 小四 行距: 1.5 倍行距"/>
    <w:basedOn w:val="1"/>
    <w:qFormat/>
    <w:uiPriority w:val="0"/>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143">
    <w:name w:val="Char Char Char Char"/>
    <w:basedOn w:val="1"/>
    <w:qFormat/>
    <w:uiPriority w:val="0"/>
    <w:rPr>
      <w:rFonts w:ascii="Tahoma" w:hAnsi="Tahoma"/>
      <w:sz w:val="24"/>
      <w:szCs w:val="20"/>
    </w:rPr>
  </w:style>
  <w:style w:type="paragraph" w:customStyle="1" w:styleId="144">
    <w:name w:val="Style8"/>
    <w:basedOn w:val="1"/>
    <w:qFormat/>
    <w:uiPriority w:val="0"/>
    <w:pPr>
      <w:tabs>
        <w:tab w:val="left" w:pos="1304"/>
      </w:tabs>
      <w:spacing w:beforeLines="50" w:line="276" w:lineRule="auto"/>
      <w:ind w:left="1304" w:hanging="397"/>
    </w:pPr>
    <w:rPr>
      <w:rFonts w:ascii="Arial" w:hAnsi="Arial"/>
      <w:sz w:val="24"/>
      <w:szCs w:val="24"/>
    </w:rPr>
  </w:style>
  <w:style w:type="paragraph" w:customStyle="1" w:styleId="145">
    <w:name w:val="MM Topic 9"/>
    <w:basedOn w:val="10"/>
    <w:qFormat/>
    <w:uiPriority w:val="0"/>
    <w:pPr>
      <w:tabs>
        <w:tab w:val="left" w:pos="5102"/>
      </w:tabs>
    </w:pPr>
  </w:style>
  <w:style w:type="paragraph" w:customStyle="1" w:styleId="146">
    <w:name w:val="MM Topic 5"/>
    <w:basedOn w:val="6"/>
    <w:qFormat/>
    <w:uiPriority w:val="0"/>
    <w:pPr>
      <w:tabs>
        <w:tab w:val="left" w:pos="2551"/>
        <w:tab w:val="clear" w:pos="1134"/>
        <w:tab w:val="clear" w:pos="1560"/>
      </w:tabs>
      <w:ind w:left="0" w:firstLine="0"/>
    </w:pPr>
  </w:style>
  <w:style w:type="paragraph" w:customStyle="1" w:styleId="147">
    <w:name w:val="大纲正文"/>
    <w:basedOn w:val="1"/>
    <w:qFormat/>
    <w:uiPriority w:val="0"/>
    <w:pPr>
      <w:spacing w:line="360" w:lineRule="auto"/>
      <w:ind w:firstLine="480" w:firstLineChars="200"/>
    </w:pPr>
    <w:rPr>
      <w:rFonts w:ascii="Times New Roman" w:hAnsi="Times New Roman"/>
      <w:sz w:val="24"/>
      <w:szCs w:val="20"/>
    </w:rPr>
  </w:style>
  <w:style w:type="paragraph" w:customStyle="1" w:styleId="148">
    <w:name w:val="MM Topic 4"/>
    <w:basedOn w:val="5"/>
    <w:qFormat/>
    <w:uiPriority w:val="0"/>
    <w:pPr>
      <w:tabs>
        <w:tab w:val="left" w:pos="1984"/>
      </w:tabs>
    </w:pPr>
  </w:style>
  <w:style w:type="paragraph" w:customStyle="1" w:styleId="14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50">
    <w:name w:val="样式 小四 首行缩进:  0.74 厘米"/>
    <w:basedOn w:val="1"/>
    <w:qFormat/>
    <w:uiPriority w:val="0"/>
    <w:pPr>
      <w:spacing w:before="100" w:beforeAutospacing="1" w:after="100" w:afterAutospacing="1" w:line="300" w:lineRule="auto"/>
      <w:ind w:firstLine="420" w:firstLineChars="175"/>
    </w:pPr>
    <w:rPr>
      <w:rFonts w:ascii="宋体" w:hAnsi="宋体"/>
      <w:sz w:val="24"/>
      <w:szCs w:val="24"/>
    </w:rPr>
  </w:style>
  <w:style w:type="paragraph" w:customStyle="1" w:styleId="151">
    <w:name w:val="样式 标题 2H2第一章 标题 2Heading 2 HiddenHeading 2 CCBSheading 2h2..."/>
    <w:basedOn w:val="3"/>
    <w:qFormat/>
    <w:uiPriority w:val="0"/>
    <w:pPr>
      <w:tabs>
        <w:tab w:val="left" w:pos="-2493"/>
      </w:tabs>
    </w:pPr>
    <w:rPr>
      <w:rFonts w:cs="Times New Roman"/>
      <w:szCs w:val="20"/>
    </w:rPr>
  </w:style>
  <w:style w:type="paragraph" w:customStyle="1" w:styleId="152">
    <w:name w:val="正文首行缩进两字符"/>
    <w:basedOn w:val="1"/>
    <w:qFormat/>
    <w:uiPriority w:val="0"/>
    <w:pPr>
      <w:spacing w:line="360" w:lineRule="auto"/>
      <w:ind w:firstLine="200" w:firstLineChars="200"/>
    </w:pPr>
    <w:rPr>
      <w:rFonts w:ascii="Times New Roman" w:hAnsi="Times New Roman"/>
      <w:szCs w:val="24"/>
    </w:rPr>
  </w:style>
  <w:style w:type="paragraph" w:customStyle="1" w:styleId="153">
    <w:name w:val="列出段落2"/>
    <w:basedOn w:val="1"/>
    <w:qFormat/>
    <w:uiPriority w:val="0"/>
    <w:pPr>
      <w:ind w:firstLine="420" w:firstLineChars="200"/>
    </w:pPr>
  </w:style>
  <w:style w:type="paragraph" w:customStyle="1" w:styleId="154">
    <w:name w:val="列出段落4"/>
    <w:basedOn w:val="1"/>
    <w:qFormat/>
    <w:uiPriority w:val="0"/>
    <w:pPr>
      <w:ind w:firstLine="420" w:firstLineChars="200"/>
    </w:pPr>
    <w:rPr>
      <w:rFonts w:ascii="Times New Roman" w:hAnsi="Times New Roman"/>
      <w:szCs w:val="24"/>
    </w:rPr>
  </w:style>
  <w:style w:type="paragraph" w:customStyle="1" w:styleId="155">
    <w:name w:val="列出段落1"/>
    <w:basedOn w:val="1"/>
    <w:qFormat/>
    <w:uiPriority w:val="0"/>
    <w:pPr>
      <w:ind w:firstLine="420" w:firstLineChars="200"/>
    </w:pPr>
  </w:style>
  <w:style w:type="paragraph" w:customStyle="1" w:styleId="156">
    <w:name w:val="彩色列表 - 强调文字颜色 12"/>
    <w:basedOn w:val="1"/>
    <w:qFormat/>
    <w:uiPriority w:val="0"/>
    <w:pPr>
      <w:ind w:firstLine="420" w:firstLineChars="200"/>
    </w:pPr>
  </w:style>
  <w:style w:type="character" w:customStyle="1" w:styleId="157">
    <w:name w:val="Char Char8"/>
    <w:qFormat/>
    <w:uiPriority w:val="0"/>
    <w:rPr>
      <w:rFonts w:hint="eastAsia" w:ascii="宋体" w:hAnsi="宋体" w:eastAsia="宋体"/>
      <w:kern w:val="2"/>
      <w:sz w:val="28"/>
      <w:szCs w:val="28"/>
    </w:rPr>
  </w:style>
  <w:style w:type="character" w:customStyle="1" w:styleId="158">
    <w:name w:val="Char Char5"/>
    <w:qFormat/>
    <w:uiPriority w:val="0"/>
    <w:rPr>
      <w:kern w:val="2"/>
      <w:sz w:val="21"/>
      <w:szCs w:val="24"/>
    </w:rPr>
  </w:style>
  <w:style w:type="character" w:customStyle="1" w:styleId="159">
    <w:name w:val="列出段落 Char Char"/>
    <w:qFormat/>
    <w:uiPriority w:val="0"/>
    <w:rPr>
      <w:rFonts w:hint="default" w:ascii="Calibri" w:hAnsi="Calibri" w:cs="Calibri"/>
      <w:kern w:val="2"/>
      <w:sz w:val="21"/>
      <w:szCs w:val="22"/>
    </w:rPr>
  </w:style>
  <w:style w:type="character" w:customStyle="1" w:styleId="160">
    <w:name w:val="正文文本 Char Char"/>
    <w:qFormat/>
    <w:uiPriority w:val="0"/>
    <w:rPr>
      <w:kern w:val="2"/>
      <w:sz w:val="21"/>
      <w:szCs w:val="24"/>
    </w:rPr>
  </w:style>
  <w:style w:type="character" w:customStyle="1" w:styleId="161">
    <w:name w:val="Char Char11"/>
    <w:qFormat/>
    <w:uiPriority w:val="0"/>
    <w:rPr>
      <w:rFonts w:hint="default" w:ascii="Arial Narrow" w:hAnsi="Arial Narrow"/>
      <w:b/>
      <w:bCs/>
      <w:iCs/>
      <w:szCs w:val="24"/>
      <w:lang w:eastAsia="en-US"/>
    </w:rPr>
  </w:style>
  <w:style w:type="character" w:customStyle="1" w:styleId="162">
    <w:name w:val="标书（正文） Char Char"/>
    <w:qFormat/>
    <w:uiPriority w:val="0"/>
    <w:rPr>
      <w:rFonts w:hint="eastAsia" w:ascii="宋体" w:hAnsi="宋体" w:eastAsia="宋体"/>
      <w:b/>
      <w:kern w:val="10"/>
      <w:sz w:val="21"/>
      <w:szCs w:val="21"/>
      <w:lang w:val="en-US" w:eastAsia="zh-CN" w:bidi="ar-SA"/>
    </w:rPr>
  </w:style>
  <w:style w:type="character" w:customStyle="1" w:styleId="163">
    <w:name w:val="line2"/>
    <w:basedOn w:val="45"/>
    <w:qFormat/>
    <w:uiPriority w:val="0"/>
  </w:style>
  <w:style w:type="character" w:customStyle="1" w:styleId="164">
    <w:name w:val="Char Char10"/>
    <w:qFormat/>
    <w:uiPriority w:val="0"/>
    <w:rPr>
      <w:kern w:val="2"/>
      <w:sz w:val="24"/>
      <w:szCs w:val="24"/>
    </w:rPr>
  </w:style>
  <w:style w:type="character" w:customStyle="1" w:styleId="165">
    <w:name w:val="MM Topic 4 Char Char"/>
    <w:qFormat/>
    <w:uiPriority w:val="0"/>
    <w:rPr>
      <w:rFonts w:hint="default" w:ascii="Arial" w:hAnsi="Arial" w:cs="Arial"/>
      <w:b/>
      <w:bCs/>
      <w:kern w:val="2"/>
      <w:sz w:val="28"/>
      <w:szCs w:val="28"/>
    </w:rPr>
  </w:style>
  <w:style w:type="character" w:customStyle="1" w:styleId="166">
    <w:name w:val="标书正文:  0.74 厘米 Char Char"/>
    <w:qFormat/>
    <w:uiPriority w:val="0"/>
    <w:rPr>
      <w:kern w:val="2"/>
      <w:sz w:val="24"/>
    </w:rPr>
  </w:style>
  <w:style w:type="character" w:customStyle="1" w:styleId="167">
    <w:name w:val="访问过的超链接1"/>
    <w:qFormat/>
    <w:uiPriority w:val="99"/>
    <w:rPr>
      <w:color w:val="800080"/>
      <w:u w:val="single"/>
    </w:rPr>
  </w:style>
  <w:style w:type="character" w:customStyle="1" w:styleId="168">
    <w:name w:val="标题 3 Char Char Char"/>
    <w:qFormat/>
    <w:uiPriority w:val="0"/>
    <w:rPr>
      <w:rFonts w:hint="eastAsia" w:ascii="宋体" w:hAnsi="宋体" w:eastAsia="宋体"/>
      <w:b/>
      <w:kern w:val="2"/>
      <w:sz w:val="32"/>
      <w:lang w:val="en-US" w:eastAsia="zh-CN" w:bidi="ar-SA"/>
    </w:rPr>
  </w:style>
  <w:style w:type="character" w:customStyle="1" w:styleId="169">
    <w:name w:val="（符号）邀请函中一、"/>
    <w:qFormat/>
    <w:uiPriority w:val="0"/>
    <w:rPr>
      <w:rFonts w:hint="eastAsia" w:ascii="黑体" w:hAnsi="黑体" w:eastAsia="黑体"/>
      <w:b/>
      <w:bCs/>
      <w:sz w:val="24"/>
    </w:rPr>
  </w:style>
  <w:style w:type="character" w:customStyle="1" w:styleId="170">
    <w:name w:val="tt Char"/>
    <w:qFormat/>
    <w:uiPriority w:val="0"/>
    <w:rPr>
      <w:rFonts w:hint="default" w:ascii="Arial" w:hAnsi="Arial" w:eastAsia="黑体" w:cs="Arial"/>
      <w:kern w:val="2"/>
      <w:sz w:val="21"/>
      <w:szCs w:val="21"/>
    </w:rPr>
  </w:style>
  <w:style w:type="character" w:customStyle="1" w:styleId="171">
    <w:name w:val="Char Char9"/>
    <w:qFormat/>
    <w:uiPriority w:val="0"/>
    <w:rPr>
      <w:kern w:val="2"/>
      <w:sz w:val="18"/>
      <w:szCs w:val="18"/>
    </w:rPr>
  </w:style>
  <w:style w:type="character" w:customStyle="1" w:styleId="172">
    <w:name w:val="MM Topic 3 Char Char"/>
    <w:qFormat/>
    <w:uiPriority w:val="0"/>
    <w:rPr>
      <w:rFonts w:hint="eastAsia" w:ascii="宋体" w:hAnsi="宋体" w:eastAsia="宋体"/>
      <w:b/>
      <w:bCs/>
      <w:color w:val="000000"/>
      <w:kern w:val="2"/>
      <w:sz w:val="28"/>
      <w:szCs w:val="28"/>
    </w:rPr>
  </w:style>
  <w:style w:type="character" w:customStyle="1" w:styleId="173">
    <w:name w:val="样式 小四2 Char Char"/>
    <w:qFormat/>
    <w:uiPriority w:val="0"/>
    <w:rPr>
      <w:rFonts w:hint="eastAsia" w:ascii="宋体" w:hAnsi="宋体" w:eastAsia="宋体"/>
      <w:kern w:val="2"/>
      <w:sz w:val="24"/>
      <w:szCs w:val="24"/>
    </w:rPr>
  </w:style>
  <w:style w:type="character" w:customStyle="1" w:styleId="174">
    <w:name w:val="Char Char7"/>
    <w:qFormat/>
    <w:uiPriority w:val="0"/>
    <w:rPr>
      <w:kern w:val="2"/>
      <w:sz w:val="18"/>
      <w:szCs w:val="18"/>
    </w:rPr>
  </w:style>
  <w:style w:type="character" w:customStyle="1" w:styleId="175">
    <w:name w:val="Char Char3"/>
    <w:qFormat/>
    <w:uiPriority w:val="0"/>
    <w:rPr>
      <w:b/>
      <w:bCs/>
      <w:kern w:val="2"/>
      <w:sz w:val="18"/>
      <w:szCs w:val="18"/>
    </w:rPr>
  </w:style>
  <w:style w:type="character" w:customStyle="1" w:styleId="176">
    <w:name w:val="apple-style-span"/>
    <w:basedOn w:val="45"/>
    <w:qFormat/>
    <w:uiPriority w:val="0"/>
  </w:style>
  <w:style w:type="character" w:customStyle="1" w:styleId="177">
    <w:name w:val="Char Char4"/>
    <w:qFormat/>
    <w:uiPriority w:val="0"/>
    <w:rPr>
      <w:kern w:val="2"/>
      <w:sz w:val="18"/>
      <w:szCs w:val="18"/>
    </w:rPr>
  </w:style>
  <w:style w:type="character" w:customStyle="1" w:styleId="178">
    <w:name w:val="副标题 Char1"/>
    <w:qFormat/>
    <w:uiPriority w:val="11"/>
    <w:rPr>
      <w:rFonts w:hint="default" w:ascii="Cambria" w:hAnsi="Cambria" w:cs="Times New Roman"/>
      <w:b/>
      <w:bCs/>
      <w:kern w:val="28"/>
      <w:sz w:val="32"/>
      <w:szCs w:val="32"/>
    </w:rPr>
  </w:style>
  <w:style w:type="character" w:customStyle="1" w:styleId="179">
    <w:name w:val="small"/>
    <w:basedOn w:val="45"/>
    <w:qFormat/>
    <w:uiPriority w:val="0"/>
  </w:style>
  <w:style w:type="character" w:customStyle="1" w:styleId="180">
    <w:name w:val="Legal Level 1.1.1. Char"/>
    <w:qFormat/>
    <w:uiPriority w:val="0"/>
    <w:rPr>
      <w:rFonts w:hint="default" w:ascii="Arial" w:hAnsi="Arial" w:eastAsia="黑体" w:cs="Arial"/>
      <w:kern w:val="2"/>
      <w:sz w:val="24"/>
      <w:szCs w:val="24"/>
    </w:rPr>
  </w:style>
  <w:style w:type="character" w:customStyle="1" w:styleId="181">
    <w:name w:val="文章正文 Char Char"/>
    <w:qFormat/>
    <w:uiPriority w:val="0"/>
    <w:rPr>
      <w:rFonts w:hint="eastAsia" w:ascii="宋体" w:hAnsi="宋体" w:eastAsia="宋体"/>
      <w:kern w:val="2"/>
      <w:sz w:val="24"/>
      <w:szCs w:val="24"/>
      <w:lang w:val="en-US" w:eastAsia="zh-CN" w:bidi="ar-SA"/>
    </w:rPr>
  </w:style>
  <w:style w:type="character" w:customStyle="1" w:styleId="182">
    <w:name w:val="正文文本 Char1"/>
    <w:qFormat/>
    <w:uiPriority w:val="0"/>
    <w:rPr>
      <w:rFonts w:hint="default" w:ascii="Times New Roman" w:hAnsi="Times New Roman" w:eastAsia="宋体" w:cs="Times New Roman"/>
      <w:kern w:val="0"/>
      <w:sz w:val="18"/>
      <w:szCs w:val="18"/>
    </w:rPr>
  </w:style>
  <w:style w:type="character" w:customStyle="1" w:styleId="183">
    <w:name w:val="正文文本 字符"/>
    <w:basedOn w:val="45"/>
    <w:link w:val="17"/>
    <w:qFormat/>
    <w:locked/>
    <w:uiPriority w:val="99"/>
    <w:rPr>
      <w:rFonts w:ascii="Times New Roman" w:hAnsi="Times New Roman" w:eastAsia="宋体" w:cs="Times New Roman"/>
      <w:kern w:val="0"/>
      <w:sz w:val="20"/>
      <w:szCs w:val="20"/>
    </w:rPr>
  </w:style>
  <w:style w:type="character" w:customStyle="1" w:styleId="184">
    <w:name w:val="CD正文 Char Char"/>
    <w:qFormat/>
    <w:uiPriority w:val="0"/>
    <w:rPr>
      <w:rFonts w:hint="eastAsia" w:ascii="宋体" w:hAnsi="宋体" w:eastAsia="宋体"/>
      <w:kern w:val="2"/>
      <w:sz w:val="30"/>
      <w:szCs w:val="28"/>
      <w:lang w:val="en-US" w:eastAsia="zh-CN" w:bidi="ar-SA"/>
    </w:rPr>
  </w:style>
  <w:style w:type="character" w:customStyle="1" w:styleId="185">
    <w:name w:val="Char Char2"/>
    <w:qFormat/>
    <w:uiPriority w:val="0"/>
    <w:rPr>
      <w:kern w:val="2"/>
      <w:sz w:val="18"/>
      <w:szCs w:val="18"/>
    </w:rPr>
  </w:style>
  <w:style w:type="character" w:customStyle="1" w:styleId="186">
    <w:name w:val="表正文 Char1"/>
    <w:qFormat/>
    <w:uiPriority w:val="0"/>
    <w:rPr>
      <w:rFonts w:hint="eastAsia" w:ascii="宋体" w:hAnsi="宋体" w:eastAsia="宋体"/>
      <w:kern w:val="2"/>
      <w:sz w:val="21"/>
      <w:lang w:val="en-US" w:eastAsia="zh-CN" w:bidi="ar-SA"/>
    </w:rPr>
  </w:style>
  <w:style w:type="character" w:customStyle="1" w:styleId="187">
    <w:name w:val="纯文本 字符"/>
    <w:link w:val="22"/>
    <w:qFormat/>
    <w:locked/>
    <w:uiPriority w:val="99"/>
    <w:rPr>
      <w:rFonts w:ascii="宋体" w:hAnsi="Courier New" w:eastAsia="宋体" w:cs="Times New Roman"/>
      <w:kern w:val="0"/>
      <w:sz w:val="20"/>
      <w:szCs w:val="18"/>
    </w:rPr>
  </w:style>
  <w:style w:type="character" w:customStyle="1" w:styleId="188">
    <w:name w:val="Char Char Char"/>
    <w:qFormat/>
    <w:uiPriority w:val="0"/>
    <w:rPr>
      <w:rFonts w:hint="eastAsia" w:ascii="宋体" w:hAnsi="宋体" w:eastAsia="宋体"/>
      <w:kern w:val="2"/>
      <w:sz w:val="18"/>
      <w:szCs w:val="18"/>
      <w:lang w:val="en-US" w:eastAsia="zh-CN" w:bidi="ar-SA"/>
    </w:rPr>
  </w:style>
  <w:style w:type="character" w:customStyle="1" w:styleId="189">
    <w:name w:val="Char Char6"/>
    <w:qFormat/>
    <w:uiPriority w:val="0"/>
    <w:rPr>
      <w:kern w:val="2"/>
      <w:sz w:val="21"/>
      <w:szCs w:val="24"/>
    </w:rPr>
  </w:style>
  <w:style w:type="character" w:customStyle="1" w:styleId="190">
    <w:name w:val="正文文本缩进 2 Char1"/>
    <w:basedOn w:val="45"/>
    <w:semiHidden/>
    <w:qFormat/>
    <w:uiPriority w:val="99"/>
    <w:rPr>
      <w:rFonts w:hint="default" w:ascii="Calibri" w:hAnsi="Calibri" w:cs="Calibri"/>
      <w:kern w:val="2"/>
      <w:sz w:val="21"/>
      <w:szCs w:val="22"/>
    </w:rPr>
  </w:style>
  <w:style w:type="character" w:customStyle="1" w:styleId="191">
    <w:name w:val="正文文本缩进 Char1"/>
    <w:basedOn w:val="45"/>
    <w:semiHidden/>
    <w:qFormat/>
    <w:uiPriority w:val="99"/>
    <w:rPr>
      <w:rFonts w:hint="default" w:ascii="Calibri" w:hAnsi="Calibri" w:cs="Calibri"/>
      <w:kern w:val="2"/>
      <w:sz w:val="21"/>
      <w:szCs w:val="22"/>
    </w:rPr>
  </w:style>
  <w:style w:type="character" w:customStyle="1" w:styleId="192">
    <w:name w:val="页脚 Char1"/>
    <w:basedOn w:val="45"/>
    <w:semiHidden/>
    <w:qFormat/>
    <w:uiPriority w:val="99"/>
    <w:rPr>
      <w:rFonts w:hint="default" w:ascii="Calibri" w:hAnsi="Calibri" w:cs="Calibri"/>
      <w:kern w:val="2"/>
      <w:sz w:val="18"/>
      <w:szCs w:val="18"/>
    </w:rPr>
  </w:style>
  <w:style w:type="character" w:customStyle="1" w:styleId="193">
    <w:name w:val="正文文本 3 Char1"/>
    <w:basedOn w:val="45"/>
    <w:semiHidden/>
    <w:qFormat/>
    <w:uiPriority w:val="99"/>
    <w:rPr>
      <w:rFonts w:hint="default" w:ascii="Calibri" w:hAnsi="Calibri" w:cs="Calibri"/>
      <w:kern w:val="2"/>
      <w:sz w:val="16"/>
      <w:szCs w:val="16"/>
    </w:rPr>
  </w:style>
  <w:style w:type="character" w:customStyle="1" w:styleId="194">
    <w:name w:val="正文文本缩进 3 Char1"/>
    <w:basedOn w:val="45"/>
    <w:semiHidden/>
    <w:qFormat/>
    <w:uiPriority w:val="99"/>
    <w:rPr>
      <w:rFonts w:hint="default" w:ascii="Calibri" w:hAnsi="Calibri" w:cs="Calibri"/>
      <w:kern w:val="2"/>
      <w:sz w:val="16"/>
      <w:szCs w:val="16"/>
    </w:rPr>
  </w:style>
  <w:style w:type="character" w:customStyle="1" w:styleId="195">
    <w:name w:val="批注框文本 Char1"/>
    <w:basedOn w:val="45"/>
    <w:semiHidden/>
    <w:qFormat/>
    <w:uiPriority w:val="99"/>
    <w:rPr>
      <w:rFonts w:hint="default" w:ascii="Calibri" w:hAnsi="Calibri" w:cs="Calibri"/>
      <w:kern w:val="2"/>
      <w:sz w:val="18"/>
      <w:szCs w:val="18"/>
    </w:rPr>
  </w:style>
  <w:style w:type="character" w:customStyle="1" w:styleId="196">
    <w:name w:val="批注文字 字符"/>
    <w:basedOn w:val="45"/>
    <w:link w:val="15"/>
    <w:qFormat/>
    <w:locked/>
    <w:uiPriority w:val="99"/>
    <w:rPr>
      <w:rFonts w:ascii="Calibri" w:hAnsi="Calibri" w:eastAsia="宋体" w:cs="Times New Roman"/>
    </w:rPr>
  </w:style>
  <w:style w:type="character" w:customStyle="1" w:styleId="197">
    <w:name w:val="文档结构图 Char1"/>
    <w:basedOn w:val="45"/>
    <w:semiHidden/>
    <w:qFormat/>
    <w:uiPriority w:val="99"/>
    <w:rPr>
      <w:rFonts w:hint="eastAsia" w:ascii="宋体" w:hAnsi="Calibri" w:eastAsia="宋体"/>
      <w:kern w:val="2"/>
      <w:sz w:val="18"/>
      <w:szCs w:val="18"/>
    </w:rPr>
  </w:style>
  <w:style w:type="character" w:customStyle="1" w:styleId="198">
    <w:name w:val="页眉 Char1"/>
    <w:basedOn w:val="45"/>
    <w:semiHidden/>
    <w:qFormat/>
    <w:uiPriority w:val="99"/>
    <w:rPr>
      <w:rFonts w:hint="default" w:ascii="Calibri" w:hAnsi="Calibri" w:cs="Calibri"/>
      <w:kern w:val="2"/>
      <w:sz w:val="18"/>
      <w:szCs w:val="18"/>
    </w:rPr>
  </w:style>
  <w:style w:type="character" w:customStyle="1" w:styleId="199">
    <w:name w:val="日期 Char1"/>
    <w:basedOn w:val="45"/>
    <w:semiHidden/>
    <w:qFormat/>
    <w:uiPriority w:val="99"/>
    <w:rPr>
      <w:rFonts w:hint="default" w:ascii="Calibri" w:hAnsi="Calibri" w:cs="Calibri"/>
      <w:kern w:val="2"/>
      <w:sz w:val="21"/>
      <w:szCs w:val="22"/>
    </w:rPr>
  </w:style>
  <w:style w:type="character" w:customStyle="1" w:styleId="200">
    <w:name w:val="正文文本 Char3"/>
    <w:basedOn w:val="45"/>
    <w:semiHidden/>
    <w:qFormat/>
    <w:uiPriority w:val="99"/>
    <w:rPr>
      <w:rFonts w:hint="default" w:ascii="Calibri" w:hAnsi="Calibri" w:cs="Calibri"/>
      <w:kern w:val="2"/>
      <w:sz w:val="21"/>
      <w:szCs w:val="22"/>
    </w:rPr>
  </w:style>
  <w:style w:type="character" w:customStyle="1" w:styleId="201">
    <w:name w:val="纯文本 Char2"/>
    <w:basedOn w:val="45"/>
    <w:semiHidden/>
    <w:qFormat/>
    <w:uiPriority w:val="99"/>
    <w:rPr>
      <w:rFonts w:hint="eastAsia" w:ascii="宋体" w:hAnsi="Courier New" w:eastAsia="宋体" w:cs="Courier New"/>
      <w:kern w:val="2"/>
      <w:sz w:val="21"/>
      <w:szCs w:val="21"/>
    </w:rPr>
  </w:style>
  <w:style w:type="character" w:customStyle="1" w:styleId="202">
    <w:name w:val="正文首行缩进 Char1"/>
    <w:basedOn w:val="200"/>
    <w:semiHidden/>
    <w:qFormat/>
    <w:uiPriority w:val="99"/>
    <w:rPr>
      <w:rFonts w:hint="default" w:ascii="Calibri" w:hAnsi="Calibri" w:cs="Calibri"/>
      <w:kern w:val="2"/>
      <w:sz w:val="21"/>
      <w:szCs w:val="22"/>
    </w:rPr>
  </w:style>
  <w:style w:type="character" w:customStyle="1" w:styleId="203">
    <w:name w:val="正文文本 2 Char1"/>
    <w:basedOn w:val="45"/>
    <w:semiHidden/>
    <w:qFormat/>
    <w:uiPriority w:val="99"/>
    <w:rPr>
      <w:rFonts w:hint="default" w:ascii="Calibri" w:hAnsi="Calibri" w:cs="Calibri"/>
      <w:kern w:val="2"/>
      <w:sz w:val="21"/>
      <w:szCs w:val="22"/>
    </w:rPr>
  </w:style>
  <w:style w:type="character" w:customStyle="1" w:styleId="204">
    <w:name w:val="副标题 Char2"/>
    <w:basedOn w:val="45"/>
    <w:qFormat/>
    <w:uiPriority w:val="11"/>
    <w:rPr>
      <w:rFonts w:hint="default" w:asciiTheme="majorHAnsi" w:hAnsiTheme="majorHAnsi" w:cstheme="majorBidi"/>
      <w:b/>
      <w:bCs/>
      <w:kern w:val="28"/>
      <w:sz w:val="32"/>
      <w:szCs w:val="32"/>
    </w:rPr>
  </w:style>
  <w:style w:type="character" w:customStyle="1" w:styleId="205">
    <w:name w:val="正文缩进 Char"/>
    <w:qFormat/>
    <w:uiPriority w:val="0"/>
    <w:rPr>
      <w:kern w:val="2"/>
      <w:sz w:val="21"/>
    </w:rPr>
  </w:style>
  <w:style w:type="paragraph" w:customStyle="1" w:styleId="206">
    <w:name w:val="CD正文"/>
    <w:basedOn w:val="117"/>
    <w:qFormat/>
    <w:uiPriority w:val="0"/>
  </w:style>
  <w:style w:type="paragraph" w:customStyle="1" w:styleId="207">
    <w:name w:val="项目符号：一级"/>
    <w:basedOn w:val="126"/>
    <w:next w:val="126"/>
    <w:qFormat/>
    <w:uiPriority w:val="0"/>
  </w:style>
  <w:style w:type="paragraph" w:customStyle="1" w:styleId="208">
    <w:name w:val="Default"/>
    <w:qFormat/>
    <w:uiPriority w:val="99"/>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09">
    <w:name w:val="HTML 预设格式 字符"/>
    <w:basedOn w:val="45"/>
    <w:link w:val="38"/>
    <w:qFormat/>
    <w:uiPriority w:val="0"/>
    <w:rPr>
      <w:rFonts w:ascii="Arial" w:hAnsi="Arial" w:eastAsia="宋体" w:cs="Arial"/>
      <w:kern w:val="0"/>
      <w:sz w:val="24"/>
      <w:szCs w:val="28"/>
    </w:rPr>
  </w:style>
  <w:style w:type="paragraph" w:customStyle="1" w:styleId="210">
    <w:name w:val="修订111"/>
    <w:semiHidden/>
    <w:qFormat/>
    <w:uiPriority w:val="99"/>
    <w:pPr>
      <w:spacing w:after="200" w:line="276" w:lineRule="auto"/>
    </w:pPr>
    <w:rPr>
      <w:rFonts w:ascii="Calibri" w:hAnsi="Calibri" w:eastAsia="宋体" w:cs="Times New Roman"/>
      <w:kern w:val="2"/>
      <w:sz w:val="21"/>
      <w:szCs w:val="22"/>
      <w:lang w:val="en-US" w:eastAsia="zh-CN" w:bidi="ar-SA"/>
    </w:rPr>
  </w:style>
  <w:style w:type="paragraph" w:customStyle="1" w:styleId="211">
    <w:name w:val="1 Char2"/>
    <w:basedOn w:val="1"/>
    <w:semiHidden/>
    <w:qFormat/>
    <w:uiPriority w:val="0"/>
    <w:pPr>
      <w:widowControl/>
      <w:spacing w:after="160" w:line="240" w:lineRule="exact"/>
      <w:jc w:val="left"/>
    </w:pPr>
    <w:rPr>
      <w:rFonts w:ascii="Tahoma" w:hAnsi="Tahoma" w:eastAsia="Times New Roman"/>
      <w:kern w:val="0"/>
      <w:sz w:val="24"/>
      <w:szCs w:val="24"/>
      <w:lang w:eastAsia="en-US"/>
    </w:rPr>
  </w:style>
  <w:style w:type="paragraph" w:customStyle="1" w:styleId="212">
    <w:name w:val="Normal_59"/>
    <w:qFormat/>
    <w:uiPriority w:val="0"/>
    <w:pPr>
      <w:spacing w:before="120" w:after="240" w:line="276" w:lineRule="auto"/>
      <w:jc w:val="both"/>
    </w:pPr>
    <w:rPr>
      <w:rFonts w:ascii="Times New Roman" w:hAnsi="Times New Roman" w:eastAsia="Calibri" w:cs="Times New Roman"/>
      <w:sz w:val="22"/>
      <w:szCs w:val="22"/>
      <w:lang w:val="ru-RU" w:eastAsia="en-US" w:bidi="ar-SA"/>
    </w:rPr>
  </w:style>
  <w:style w:type="paragraph" w:customStyle="1" w:styleId="213">
    <w:name w:val="Char1 Char Char Char Char Char Char_0"/>
    <w:basedOn w:val="1"/>
    <w:qFormat/>
    <w:uiPriority w:val="0"/>
    <w:rPr>
      <w:rFonts w:ascii="Tahoma" w:hAnsi="Tahoma"/>
      <w:sz w:val="24"/>
      <w:szCs w:val="20"/>
    </w:rPr>
  </w:style>
  <w:style w:type="paragraph" w:customStyle="1" w:styleId="214">
    <w:name w:val="列出段落11"/>
    <w:basedOn w:val="1"/>
    <w:qFormat/>
    <w:uiPriority w:val="99"/>
    <w:pPr>
      <w:ind w:firstLine="420" w:firstLineChars="200"/>
    </w:pPr>
    <w:rPr>
      <w:rFonts w:ascii="Times New Roman" w:hAnsi="Times New Roman"/>
    </w:rPr>
  </w:style>
  <w:style w:type="paragraph" w:customStyle="1" w:styleId="215">
    <w:name w:val="样式 标题 2 + Times New Roman 四号 非加粗 段前: 5 磅 段后: 0 磅 行距: 固定值 20..."/>
    <w:basedOn w:val="3"/>
    <w:semiHidden/>
    <w:qFormat/>
    <w:uiPriority w:val="0"/>
    <w:pPr>
      <w:spacing w:before="100" w:line="400" w:lineRule="exact"/>
      <w:jc w:val="both"/>
    </w:pPr>
    <w:rPr>
      <w:rFonts w:ascii="Times New Roman" w:hAnsi="Times New Roman" w:eastAsia="黑体"/>
      <w:b w:val="0"/>
      <w:szCs w:val="32"/>
    </w:rPr>
  </w:style>
  <w:style w:type="paragraph" w:customStyle="1" w:styleId="216">
    <w:name w:val="列出段落111"/>
    <w:basedOn w:val="1"/>
    <w:semiHidden/>
    <w:qFormat/>
    <w:uiPriority w:val="99"/>
    <w:pPr>
      <w:ind w:firstLine="420" w:firstLineChars="200"/>
    </w:pPr>
    <w:rPr>
      <w:rFonts w:ascii="Times New Roman" w:hAnsi="Times New Roman"/>
    </w:rPr>
  </w:style>
  <w:style w:type="character" w:customStyle="1" w:styleId="217">
    <w:name w:val="正文文本 Char2"/>
    <w:basedOn w:val="45"/>
    <w:qFormat/>
    <w:locked/>
    <w:uiPriority w:val="99"/>
    <w:rPr>
      <w:rFonts w:hint="default" w:ascii="Times New Roman" w:hAnsi="Times New Roman" w:eastAsia="宋体" w:cs="Times New Roman"/>
      <w:kern w:val="0"/>
      <w:sz w:val="20"/>
      <w:szCs w:val="20"/>
    </w:rPr>
  </w:style>
  <w:style w:type="character" w:customStyle="1" w:styleId="218">
    <w:name w:val="p121"/>
    <w:qFormat/>
    <w:uiPriority w:val="0"/>
    <w:rPr>
      <w:sz w:val="24"/>
    </w:rPr>
  </w:style>
  <w:style w:type="character" w:customStyle="1" w:styleId="219">
    <w:name w:val="列出段落 Char1"/>
    <w:qFormat/>
    <w:locked/>
    <w:uiPriority w:val="0"/>
    <w:rPr>
      <w:rFonts w:hint="default" w:ascii="Calibri" w:hAnsi="Calibri" w:cs="Calibri"/>
    </w:rPr>
  </w:style>
  <w:style w:type="paragraph" w:customStyle="1" w:styleId="220">
    <w:name w:val="修订11"/>
    <w:qFormat/>
    <w:uiPriority w:val="99"/>
    <w:pPr>
      <w:spacing w:after="200" w:line="276" w:lineRule="auto"/>
    </w:pPr>
    <w:rPr>
      <w:rFonts w:ascii="Calibri" w:hAnsi="Calibri" w:eastAsia="宋体" w:cs="Times New Roman"/>
      <w:kern w:val="2"/>
      <w:sz w:val="21"/>
      <w:szCs w:val="22"/>
      <w:lang w:val="en-US" w:eastAsia="zh-CN" w:bidi="ar-SA"/>
    </w:rPr>
  </w:style>
  <w:style w:type="paragraph" w:customStyle="1" w:styleId="221">
    <w:name w:val="列表段落1"/>
    <w:basedOn w:val="1"/>
    <w:qFormat/>
    <w:uiPriority w:val="99"/>
    <w:pPr>
      <w:ind w:firstLine="420" w:firstLineChars="200"/>
    </w:pPr>
    <w:rPr>
      <w:rFonts w:ascii="宋体" w:hAnsi="宋体" w:cs="宋体"/>
      <w:sz w:val="28"/>
      <w:szCs w:val="28"/>
    </w:rPr>
  </w:style>
  <w:style w:type="character" w:customStyle="1" w:styleId="222">
    <w:name w:val="NormalCharacter"/>
    <w:qFormat/>
    <w:uiPriority w:val="0"/>
  </w:style>
  <w:style w:type="paragraph" w:customStyle="1" w:styleId="223">
    <w:name w:val="BodyText"/>
    <w:basedOn w:val="1"/>
    <w:qFormat/>
    <w:uiPriority w:val="0"/>
    <w:pPr>
      <w:widowControl/>
      <w:spacing w:after="120"/>
      <w:ind w:firstLine="560" w:firstLineChars="200"/>
      <w:textAlignment w:val="baseline"/>
    </w:pPr>
    <w:rPr>
      <w:rFonts w:ascii="宋体" w:hAnsi="宋体" w:cstheme="minorBidi"/>
      <w:sz w:val="28"/>
      <w:szCs w:val="28"/>
    </w:rPr>
  </w:style>
  <w:style w:type="character" w:customStyle="1" w:styleId="224">
    <w:name w:val="AnnotationReference"/>
    <w:qFormat/>
    <w:uiPriority w:val="0"/>
    <w:rPr>
      <w:sz w:val="21"/>
      <w:szCs w:val="21"/>
    </w:rPr>
  </w:style>
  <w:style w:type="paragraph" w:customStyle="1" w:styleId="225">
    <w:name w:val="179"/>
    <w:basedOn w:val="1"/>
    <w:qFormat/>
    <w:uiPriority w:val="0"/>
    <w:pPr>
      <w:widowControl/>
      <w:ind w:firstLine="420" w:firstLineChars="200"/>
      <w:textAlignment w:val="baseline"/>
    </w:pPr>
    <w:rPr>
      <w:rFonts w:ascii="宋体" w:hAnsi="宋体" w:cstheme="minorBidi"/>
      <w:sz w:val="28"/>
      <w:szCs w:val="28"/>
    </w:rPr>
  </w:style>
  <w:style w:type="paragraph" w:customStyle="1" w:styleId="226">
    <w:name w:val="Heading3"/>
    <w:basedOn w:val="1"/>
    <w:next w:val="1"/>
    <w:link w:val="227"/>
    <w:qFormat/>
    <w:uiPriority w:val="0"/>
    <w:pPr>
      <w:widowControl/>
      <w:spacing w:before="100" w:beforeAutospacing="1" w:after="100" w:afterAutospacing="1"/>
      <w:ind w:firstLine="560" w:firstLineChars="200"/>
      <w:jc w:val="left"/>
      <w:textAlignment w:val="baseline"/>
    </w:pPr>
    <w:rPr>
      <w:rFonts w:ascii="宋体" w:hAnsi="宋体" w:cs="宋体"/>
      <w:b/>
      <w:bCs/>
      <w:kern w:val="0"/>
      <w:sz w:val="27"/>
      <w:szCs w:val="27"/>
    </w:rPr>
  </w:style>
  <w:style w:type="character" w:customStyle="1" w:styleId="227">
    <w:name w:val="UserStyle_4"/>
    <w:link w:val="226"/>
    <w:qFormat/>
    <w:uiPriority w:val="0"/>
    <w:rPr>
      <w:rFonts w:ascii="宋体" w:hAnsi="宋体" w:eastAsia="宋体" w:cs="宋体"/>
      <w:b/>
      <w:bCs/>
      <w:kern w:val="0"/>
      <w:sz w:val="27"/>
      <w:szCs w:val="27"/>
    </w:rPr>
  </w:style>
  <w:style w:type="character" w:customStyle="1" w:styleId="228">
    <w:name w:val="样式 Char Char"/>
    <w:link w:val="121"/>
    <w:qFormat/>
    <w:locked/>
    <w:uiPriority w:val="0"/>
    <w:rPr>
      <w:rFonts w:ascii="宋体" w:hAnsi="宋体" w:eastAsia="宋体" w:cs="宋体"/>
      <w:kern w:val="0"/>
      <w:sz w:val="24"/>
      <w:szCs w:val="24"/>
    </w:rPr>
  </w:style>
  <w:style w:type="paragraph" w:customStyle="1" w:styleId="229">
    <w:name w:val="_Style 48"/>
    <w:basedOn w:val="1"/>
    <w:qFormat/>
    <w:uiPriority w:val="0"/>
    <w:pPr>
      <w:ind w:firstLine="420" w:firstLineChars="200"/>
    </w:pPr>
    <w:rPr>
      <w:rFonts w:ascii="宋体" w:hAnsi="宋体" w:cs="宋体"/>
      <w:sz w:val="28"/>
      <w:szCs w:val="28"/>
    </w:rPr>
  </w:style>
  <w:style w:type="character" w:customStyle="1" w:styleId="230">
    <w:name w:val="font61"/>
    <w:basedOn w:val="45"/>
    <w:qFormat/>
    <w:uiPriority w:val="0"/>
    <w:rPr>
      <w:rFonts w:hint="eastAsia" w:ascii="宋体" w:hAnsi="宋体" w:eastAsia="宋体" w:cs="宋体"/>
      <w:color w:val="000000"/>
      <w:sz w:val="18"/>
      <w:szCs w:val="18"/>
      <w:u w:val="none"/>
    </w:rPr>
  </w:style>
  <w:style w:type="character" w:customStyle="1" w:styleId="231">
    <w:name w:val="font91"/>
    <w:basedOn w:val="45"/>
    <w:qFormat/>
    <w:uiPriority w:val="0"/>
    <w:rPr>
      <w:rFonts w:hint="eastAsia" w:ascii="宋体" w:hAnsi="宋体" w:eastAsia="宋体" w:cs="宋体"/>
      <w:color w:val="000000"/>
      <w:sz w:val="18"/>
      <w:szCs w:val="18"/>
      <w:u w:val="none"/>
    </w:rPr>
  </w:style>
  <w:style w:type="character" w:customStyle="1" w:styleId="232">
    <w:name w:val="font41"/>
    <w:basedOn w:val="45"/>
    <w:qFormat/>
    <w:uiPriority w:val="0"/>
    <w:rPr>
      <w:rFonts w:hint="eastAsia" w:ascii="宋体" w:hAnsi="宋体" w:eastAsia="宋体" w:cs="宋体"/>
      <w:color w:val="000000"/>
      <w:sz w:val="21"/>
      <w:szCs w:val="21"/>
      <w:u w:val="none"/>
    </w:rPr>
  </w:style>
  <w:style w:type="character" w:customStyle="1" w:styleId="233">
    <w:name w:val="font31"/>
    <w:basedOn w:val="45"/>
    <w:qFormat/>
    <w:uiPriority w:val="0"/>
    <w:rPr>
      <w:rFonts w:hint="eastAsia" w:ascii="宋体" w:hAnsi="宋体" w:eastAsia="宋体" w:cs="宋体"/>
      <w:b/>
      <w:color w:val="000000"/>
      <w:sz w:val="18"/>
      <w:szCs w:val="18"/>
      <w:u w:val="none"/>
    </w:rPr>
  </w:style>
  <w:style w:type="character" w:customStyle="1" w:styleId="234">
    <w:name w:val="font101"/>
    <w:basedOn w:val="45"/>
    <w:qFormat/>
    <w:uiPriority w:val="0"/>
    <w:rPr>
      <w:rFonts w:hint="eastAsia" w:ascii="宋体" w:hAnsi="宋体" w:eastAsia="宋体" w:cs="宋体"/>
      <w:color w:val="FF0000"/>
      <w:sz w:val="18"/>
      <w:szCs w:val="18"/>
      <w:u w:val="none"/>
    </w:rPr>
  </w:style>
  <w:style w:type="character" w:customStyle="1" w:styleId="235">
    <w:name w:val="font51"/>
    <w:basedOn w:val="45"/>
    <w:qFormat/>
    <w:uiPriority w:val="0"/>
    <w:rPr>
      <w:rFonts w:ascii="Calibri" w:hAnsi="Calibri" w:cs="Calibri"/>
      <w:color w:val="000000"/>
      <w:sz w:val="21"/>
      <w:szCs w:val="21"/>
      <w:u w:val="none"/>
    </w:rPr>
  </w:style>
  <w:style w:type="paragraph" w:customStyle="1" w:styleId="236">
    <w:name w:val="Table Paragraph"/>
    <w:basedOn w:val="1"/>
    <w:qFormat/>
    <w:uiPriority w:val="1"/>
    <w:pPr>
      <w:ind w:firstLine="560" w:firstLineChars="200"/>
    </w:pPr>
    <w:rPr>
      <w:rFonts w:ascii="宋体" w:hAnsi="宋体" w:cs="宋体"/>
      <w:sz w:val="28"/>
      <w:szCs w:val="28"/>
      <w:lang w:val="zh-CN" w:bidi="zh-CN"/>
    </w:rPr>
  </w:style>
  <w:style w:type="character" w:customStyle="1" w:styleId="237">
    <w:name w:val="bjh-p"/>
    <w:basedOn w:val="45"/>
    <w:qFormat/>
    <w:uiPriority w:val="0"/>
  </w:style>
  <w:style w:type="paragraph" w:customStyle="1" w:styleId="238">
    <w:name w:val="正文 A"/>
    <w:qFormat/>
    <w:uiPriority w:val="0"/>
    <w:pPr>
      <w:widowControl w:val="0"/>
      <w:jc w:val="both"/>
    </w:pPr>
    <w:rPr>
      <w:rFonts w:hint="eastAsia" w:ascii="Arial Unicode MS" w:hAnsi="Arial Unicode MS" w:eastAsia="Arial Unicode MS" w:cs="Arial Unicode MS"/>
      <w:color w:val="000000"/>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1992EFF-2F79-46BB-93B2-C063E4E4AC0C}">
  <ds:schemaRefs/>
</ds:datastoreItem>
</file>

<file path=docProps/app.xml><?xml version="1.0" encoding="utf-8"?>
<Properties xmlns="http://schemas.openxmlformats.org/officeDocument/2006/extended-properties" xmlns:vt="http://schemas.openxmlformats.org/officeDocument/2006/docPropsVTypes">
  <Template>Normal</Template>
  <Pages>156</Pages>
  <Words>13560</Words>
  <Characters>77297</Characters>
  <Lines>644</Lines>
  <Paragraphs>181</Paragraphs>
  <TotalTime>41</TotalTime>
  <ScaleCrop>false</ScaleCrop>
  <LinksUpToDate>false</LinksUpToDate>
  <CharactersWithSpaces>90676</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2021-12-14T01:55:00Z</dcterms:created>
  <dc:creator>罗川</dc:creator>
  <cp:lastModifiedBy>假装吃素的猫</cp:lastModifiedBy>
  <cp:lastPrinted>2021-06-22T09:52:00Z</cp:lastPrinted>
  <dcterms:modified xsi:type="dcterms:W3CDTF">2021-12-15T04:12:10Z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B440A9706A67419BAE60DF61A0B2D255</vt:lpwstr>
  </property>
</Properties>
</file>