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360" w:lineRule="auto"/>
        <w:rPr>
          <w:rFonts w:ascii="华文中宋" w:hAnsi="华文中宋" w:eastAsia="华文中宋"/>
          <w:color w:val="auto"/>
          <w:spacing w:val="20"/>
          <w:sz w:val="28"/>
          <w:szCs w:val="28"/>
          <w:highlight w:val="none"/>
        </w:rPr>
      </w:pPr>
    </w:p>
    <w:p>
      <w:pPr>
        <w:spacing w:line="360" w:lineRule="auto"/>
        <w:rPr>
          <w:rFonts w:ascii="华文中宋" w:hAnsi="华文中宋" w:eastAsia="华文中宋"/>
          <w:color w:val="auto"/>
          <w:spacing w:val="20"/>
          <w:sz w:val="28"/>
          <w:szCs w:val="28"/>
          <w:highlight w:val="none"/>
        </w:rPr>
      </w:pPr>
    </w:p>
    <w:p>
      <w:pPr>
        <w:spacing w:line="360" w:lineRule="auto"/>
        <w:rPr>
          <w:rFonts w:ascii="华文中宋" w:hAnsi="华文中宋" w:eastAsia="华文中宋"/>
          <w:color w:val="auto"/>
          <w:spacing w:val="20"/>
          <w:sz w:val="28"/>
          <w:szCs w:val="28"/>
          <w:highlight w:val="none"/>
        </w:rPr>
      </w:pPr>
    </w:p>
    <w:p>
      <w:pPr>
        <w:spacing w:line="360" w:lineRule="auto"/>
        <w:jc w:val="center"/>
        <w:rPr>
          <w:rFonts w:ascii="华文中宋" w:hAnsi="华文中宋" w:eastAsia="华文中宋"/>
          <w:color w:val="auto"/>
          <w:spacing w:val="-20"/>
          <w:sz w:val="96"/>
          <w:szCs w:val="96"/>
          <w:highlight w:val="none"/>
        </w:rPr>
      </w:pPr>
      <w:r>
        <w:rPr>
          <w:rFonts w:hint="eastAsia" w:ascii="华文中宋" w:hAnsi="华文中宋" w:eastAsia="华文中宋"/>
          <w:color w:val="auto"/>
          <w:spacing w:val="-20"/>
          <w:sz w:val="96"/>
          <w:szCs w:val="96"/>
          <w:highlight w:val="none"/>
        </w:rPr>
        <w:t>竞争性</w:t>
      </w:r>
      <w:r>
        <w:rPr>
          <w:rFonts w:hint="eastAsia" w:ascii="华文中宋" w:hAnsi="华文中宋" w:eastAsia="华文中宋"/>
          <w:color w:val="auto"/>
          <w:spacing w:val="-20"/>
          <w:sz w:val="96"/>
          <w:szCs w:val="96"/>
          <w:highlight w:val="none"/>
          <w:lang w:eastAsia="zh-CN"/>
        </w:rPr>
        <w:t>磋商</w:t>
      </w:r>
      <w:r>
        <w:rPr>
          <w:rFonts w:hint="eastAsia" w:ascii="华文中宋" w:hAnsi="华文中宋" w:eastAsia="华文中宋"/>
          <w:color w:val="auto"/>
          <w:spacing w:val="-20"/>
          <w:sz w:val="96"/>
          <w:szCs w:val="96"/>
          <w:highlight w:val="none"/>
        </w:rPr>
        <w:t>文件</w:t>
      </w:r>
    </w:p>
    <w:p>
      <w:pPr>
        <w:spacing w:line="360" w:lineRule="auto"/>
        <w:ind w:left="2235" w:leftChars="223" w:hanging="1700" w:hangingChars="500"/>
        <w:rPr>
          <w:rFonts w:ascii="华文中宋" w:hAnsi="华文中宋" w:eastAsia="华文中宋"/>
          <w:color w:val="auto"/>
          <w:spacing w:val="20"/>
          <w:sz w:val="30"/>
          <w:szCs w:val="30"/>
          <w:highlight w:val="none"/>
        </w:rPr>
      </w:pPr>
    </w:p>
    <w:p>
      <w:pPr>
        <w:spacing w:line="360" w:lineRule="auto"/>
        <w:ind w:left="2597" w:leftChars="412" w:hanging="1608" w:hangingChars="473"/>
        <w:rPr>
          <w:rFonts w:ascii="华文中宋" w:hAnsi="华文中宋" w:eastAsia="华文中宋"/>
          <w:color w:val="auto"/>
          <w:spacing w:val="20"/>
          <w:sz w:val="30"/>
          <w:szCs w:val="30"/>
          <w:highlight w:val="none"/>
        </w:rPr>
      </w:pPr>
    </w:p>
    <w:p>
      <w:pPr>
        <w:spacing w:line="360" w:lineRule="auto"/>
        <w:ind w:left="2692" w:leftChars="413" w:hanging="1701"/>
        <w:jc w:val="both"/>
        <w:rPr>
          <w:rFonts w:ascii="华文中宋" w:hAnsi="华文中宋" w:eastAsia="华文中宋"/>
          <w:color w:val="auto"/>
          <w:spacing w:val="20"/>
          <w:sz w:val="32"/>
          <w:szCs w:val="32"/>
          <w:highlight w:val="none"/>
        </w:rPr>
      </w:pPr>
      <w:r>
        <w:rPr>
          <w:rFonts w:hint="eastAsia" w:ascii="华文中宋" w:hAnsi="华文中宋" w:eastAsia="华文中宋"/>
          <w:color w:val="auto"/>
          <w:spacing w:val="20"/>
          <w:sz w:val="32"/>
          <w:szCs w:val="32"/>
          <w:highlight w:val="none"/>
        </w:rPr>
        <w:t>项目名称：</w:t>
      </w:r>
      <w:r>
        <w:rPr>
          <w:rFonts w:hint="eastAsia" w:ascii="华文中宋" w:hAnsi="华文中宋" w:eastAsia="华文中宋"/>
          <w:color w:val="auto"/>
          <w:sz w:val="30"/>
          <w:szCs w:val="30"/>
          <w:highlight w:val="none"/>
          <w:lang w:eastAsia="zh-CN"/>
        </w:rPr>
        <w:t>成都市第二幼儿园督院园区食堂改造工程项目</w:t>
      </w:r>
    </w:p>
    <w:p>
      <w:pPr>
        <w:spacing w:line="360" w:lineRule="auto"/>
        <w:ind w:firstLine="990" w:firstLineChars="275"/>
        <w:rPr>
          <w:rFonts w:ascii="华文中宋" w:hAnsi="华文中宋" w:eastAsia="华文中宋"/>
          <w:color w:val="auto"/>
          <w:spacing w:val="20"/>
          <w:sz w:val="32"/>
          <w:szCs w:val="32"/>
          <w:highlight w:val="none"/>
        </w:rPr>
      </w:pPr>
      <w:r>
        <w:rPr>
          <w:rFonts w:hint="eastAsia" w:ascii="华文中宋" w:hAnsi="华文中宋" w:eastAsia="华文中宋"/>
          <w:color w:val="auto"/>
          <w:spacing w:val="20"/>
          <w:sz w:val="32"/>
          <w:szCs w:val="32"/>
          <w:highlight w:val="none"/>
        </w:rPr>
        <w:t>项目编号：</w:t>
      </w:r>
      <w:r>
        <w:rPr>
          <w:rFonts w:hint="eastAsia" w:ascii="华文中宋" w:hAnsi="华文中宋" w:eastAsia="华文中宋"/>
          <w:color w:val="auto"/>
          <w:spacing w:val="20"/>
          <w:sz w:val="30"/>
          <w:szCs w:val="30"/>
          <w:highlight w:val="none"/>
          <w:lang w:eastAsia="zh-CN"/>
        </w:rPr>
        <w:t>锦江政采（2021）A0011号</w:t>
      </w:r>
    </w:p>
    <w:p>
      <w:pPr>
        <w:spacing w:line="360" w:lineRule="auto"/>
        <w:ind w:left="1975" w:leftChars="223" w:hanging="1440" w:hangingChars="450"/>
        <w:rPr>
          <w:rFonts w:ascii="华文中宋" w:hAnsi="华文中宋" w:eastAsia="华文中宋"/>
          <w:color w:val="auto"/>
          <w:sz w:val="32"/>
          <w:szCs w:val="32"/>
          <w:highlight w:val="none"/>
        </w:rPr>
      </w:pPr>
    </w:p>
    <w:p>
      <w:pPr>
        <w:spacing w:line="360" w:lineRule="auto"/>
        <w:ind w:left="1975" w:leftChars="223" w:hanging="1440" w:hangingChars="450"/>
        <w:rPr>
          <w:rFonts w:ascii="华文中宋" w:hAnsi="华文中宋" w:eastAsia="华文中宋"/>
          <w:color w:val="auto"/>
          <w:sz w:val="32"/>
          <w:szCs w:val="32"/>
          <w:highlight w:val="none"/>
        </w:rPr>
      </w:pPr>
    </w:p>
    <w:p>
      <w:pPr>
        <w:spacing w:line="360" w:lineRule="auto"/>
        <w:ind w:left="1975" w:leftChars="223" w:hanging="1440" w:hangingChars="450"/>
        <w:rPr>
          <w:rFonts w:ascii="华文中宋" w:hAnsi="华文中宋" w:eastAsia="华文中宋"/>
          <w:color w:val="auto"/>
          <w:sz w:val="32"/>
          <w:szCs w:val="32"/>
          <w:highlight w:val="none"/>
        </w:rPr>
      </w:pPr>
    </w:p>
    <w:p>
      <w:pPr>
        <w:spacing w:line="360" w:lineRule="auto"/>
        <w:ind w:left="1975" w:leftChars="223" w:hanging="1440" w:hangingChars="450"/>
        <w:rPr>
          <w:rFonts w:ascii="华文中宋" w:hAnsi="华文中宋" w:eastAsia="华文中宋"/>
          <w:color w:val="auto"/>
          <w:sz w:val="32"/>
          <w:szCs w:val="32"/>
          <w:highlight w:val="none"/>
        </w:rPr>
      </w:pPr>
    </w:p>
    <w:p>
      <w:pPr>
        <w:spacing w:line="360" w:lineRule="auto"/>
        <w:ind w:left="1975" w:leftChars="223" w:hanging="1440" w:hangingChars="450"/>
        <w:rPr>
          <w:rFonts w:ascii="华文中宋" w:hAnsi="华文中宋" w:eastAsia="华文中宋"/>
          <w:color w:val="auto"/>
          <w:sz w:val="32"/>
          <w:szCs w:val="32"/>
          <w:highlight w:val="none"/>
        </w:rPr>
      </w:pPr>
    </w:p>
    <w:p>
      <w:pPr>
        <w:spacing w:line="360" w:lineRule="auto"/>
        <w:ind w:left="1975" w:leftChars="223" w:hanging="1440" w:hangingChars="450"/>
        <w:rPr>
          <w:rFonts w:ascii="华文中宋" w:hAnsi="华文中宋" w:eastAsia="华文中宋"/>
          <w:color w:val="auto"/>
          <w:sz w:val="32"/>
          <w:szCs w:val="32"/>
          <w:highlight w:val="none"/>
        </w:rPr>
      </w:pPr>
    </w:p>
    <w:p>
      <w:pPr>
        <w:spacing w:line="360" w:lineRule="auto"/>
        <w:rPr>
          <w:rFonts w:ascii="华文中宋" w:hAnsi="华文中宋" w:eastAsia="华文中宋"/>
          <w:color w:val="auto"/>
          <w:sz w:val="32"/>
          <w:szCs w:val="32"/>
          <w:highlight w:val="none"/>
        </w:rPr>
      </w:pPr>
    </w:p>
    <w:p>
      <w:pPr>
        <w:spacing w:line="360" w:lineRule="auto"/>
        <w:jc w:val="center"/>
        <w:rPr>
          <w:rFonts w:hint="eastAsia" w:ascii="华文中宋" w:hAnsi="华文中宋" w:eastAsia="华文中宋"/>
          <w:color w:val="auto"/>
          <w:sz w:val="32"/>
          <w:szCs w:val="32"/>
          <w:highlight w:val="none"/>
          <w:lang w:val="en-US" w:eastAsia="zh-CN"/>
        </w:rPr>
      </w:pPr>
      <w:r>
        <w:rPr>
          <w:rFonts w:hint="eastAsia" w:ascii="华文中宋" w:hAnsi="华文中宋" w:eastAsia="华文中宋"/>
          <w:color w:val="auto"/>
          <w:spacing w:val="20"/>
          <w:sz w:val="32"/>
          <w:szCs w:val="32"/>
          <w:highlight w:val="none"/>
          <w:lang w:eastAsia="zh-CN"/>
        </w:rPr>
        <w:t>成都市第二幼儿园</w:t>
      </w:r>
    </w:p>
    <w:p>
      <w:pPr>
        <w:spacing w:line="360" w:lineRule="auto"/>
        <w:jc w:val="center"/>
        <w:rPr>
          <w:rFonts w:hint="eastAsia" w:ascii="华文中宋" w:hAnsi="华文中宋" w:eastAsia="华文中宋"/>
          <w:color w:val="auto"/>
          <w:sz w:val="32"/>
          <w:szCs w:val="32"/>
          <w:highlight w:val="none"/>
          <w:lang w:eastAsia="zh-CN"/>
        </w:rPr>
      </w:pPr>
      <w:r>
        <w:rPr>
          <w:rFonts w:hint="eastAsia" w:ascii="华文中宋" w:hAnsi="华文中宋" w:eastAsia="华文中宋"/>
          <w:color w:val="auto"/>
          <w:sz w:val="32"/>
          <w:szCs w:val="32"/>
          <w:highlight w:val="none"/>
          <w:lang w:eastAsia="zh-CN"/>
        </w:rPr>
        <w:t>成都市锦江区政府采购中心</w:t>
      </w:r>
    </w:p>
    <w:p>
      <w:pPr>
        <w:spacing w:line="360" w:lineRule="auto"/>
        <w:jc w:val="center"/>
        <w:rPr>
          <w:rFonts w:ascii="华文中宋" w:hAnsi="华文中宋" w:eastAsia="华文中宋"/>
          <w:color w:val="auto"/>
          <w:sz w:val="32"/>
          <w:szCs w:val="32"/>
          <w:highlight w:val="none"/>
        </w:rPr>
      </w:pPr>
      <w:r>
        <w:rPr>
          <w:rFonts w:hint="eastAsia" w:ascii="华文中宋" w:hAnsi="华文中宋" w:eastAsia="华文中宋"/>
          <w:color w:val="auto"/>
          <w:sz w:val="32"/>
          <w:szCs w:val="32"/>
          <w:highlight w:val="none"/>
        </w:rPr>
        <w:t>共同编制</w:t>
      </w:r>
    </w:p>
    <w:p>
      <w:pPr>
        <w:tabs>
          <w:tab w:val="center" w:pos="4153"/>
          <w:tab w:val="right" w:pos="8306"/>
        </w:tabs>
        <w:spacing w:line="360" w:lineRule="auto"/>
        <w:rPr>
          <w:rFonts w:hint="eastAsia" w:ascii="华文中宋" w:hAnsi="华文中宋" w:eastAsia="华文中宋"/>
          <w:bCs/>
          <w:color w:val="auto"/>
          <w:sz w:val="32"/>
          <w:szCs w:val="32"/>
          <w:highlight w:val="none"/>
        </w:rPr>
      </w:pPr>
      <w:r>
        <w:rPr>
          <w:rFonts w:ascii="华文中宋" w:hAnsi="华文中宋" w:eastAsia="华文中宋"/>
          <w:bCs/>
          <w:color w:val="auto"/>
          <w:sz w:val="32"/>
          <w:szCs w:val="32"/>
          <w:highlight w:val="none"/>
        </w:rPr>
        <w:tab/>
      </w:r>
      <w:r>
        <w:rPr>
          <w:rFonts w:ascii="华文中宋" w:hAnsi="华文中宋" w:eastAsia="华文中宋"/>
          <w:bCs/>
          <w:color w:val="auto"/>
          <w:sz w:val="32"/>
          <w:szCs w:val="32"/>
          <w:highlight w:val="none"/>
        </w:rPr>
        <w:t xml:space="preserve">   </w:t>
      </w:r>
      <w:r>
        <w:rPr>
          <w:rFonts w:hint="eastAsia" w:ascii="华文中宋" w:hAnsi="华文中宋" w:eastAsia="华文中宋"/>
          <w:bCs/>
          <w:color w:val="auto"/>
          <w:sz w:val="32"/>
          <w:szCs w:val="32"/>
          <w:highlight w:val="none"/>
        </w:rPr>
        <w:t>二○</w:t>
      </w:r>
      <w:r>
        <w:rPr>
          <w:rFonts w:hint="eastAsia" w:ascii="华文中宋" w:hAnsi="华文中宋" w:eastAsia="华文中宋"/>
          <w:bCs/>
          <w:color w:val="auto"/>
          <w:sz w:val="32"/>
          <w:szCs w:val="32"/>
          <w:highlight w:val="none"/>
          <w:lang w:eastAsia="zh-CN"/>
        </w:rPr>
        <w:t>二一</w:t>
      </w:r>
      <w:r>
        <w:rPr>
          <w:rFonts w:hint="eastAsia" w:ascii="华文中宋" w:hAnsi="华文中宋" w:eastAsia="华文中宋"/>
          <w:bCs/>
          <w:color w:val="auto"/>
          <w:sz w:val="32"/>
          <w:szCs w:val="32"/>
          <w:highlight w:val="none"/>
        </w:rPr>
        <w:t>年</w:t>
      </w:r>
      <w:r>
        <w:rPr>
          <w:rFonts w:hint="eastAsia" w:ascii="华文中宋" w:hAnsi="华文中宋" w:eastAsia="华文中宋"/>
          <w:bCs/>
          <w:color w:val="auto"/>
          <w:sz w:val="32"/>
          <w:szCs w:val="32"/>
          <w:highlight w:val="none"/>
          <w:lang w:eastAsia="zh-CN"/>
        </w:rPr>
        <w:t>七</w:t>
      </w:r>
      <w:r>
        <w:rPr>
          <w:rFonts w:hint="eastAsia" w:ascii="华文中宋" w:hAnsi="华文中宋" w:eastAsia="华文中宋"/>
          <w:bCs/>
          <w:color w:val="auto"/>
          <w:sz w:val="32"/>
          <w:szCs w:val="32"/>
          <w:highlight w:val="none"/>
        </w:rPr>
        <w:t>月</w:t>
      </w:r>
    </w:p>
    <w:p>
      <w:pPr>
        <w:pStyle w:val="2"/>
        <w:rPr>
          <w:color w:val="auto"/>
          <w:highlight w:val="none"/>
        </w:rPr>
      </w:pPr>
      <w:r>
        <w:rPr>
          <w:color w:val="auto"/>
          <w:highlight w:val="none"/>
        </w:rPr>
        <w:br w:type="page"/>
      </w:r>
    </w:p>
    <w:p>
      <w:pPr>
        <w:tabs>
          <w:tab w:val="center" w:pos="4153"/>
          <w:tab w:val="right" w:pos="8306"/>
        </w:tabs>
        <w:spacing w:line="360" w:lineRule="auto"/>
        <w:jc w:val="center"/>
        <w:rPr>
          <w:rFonts w:ascii="宋体" w:hAnsi="宋体"/>
          <w:b/>
          <w:bCs/>
          <w:color w:val="auto"/>
          <w:sz w:val="36"/>
          <w:szCs w:val="36"/>
          <w:highlight w:val="none"/>
        </w:rPr>
      </w:pPr>
      <w:r>
        <w:rPr>
          <w:rFonts w:hint="eastAsia" w:ascii="宋体" w:hAnsi="宋体"/>
          <w:b/>
          <w:bCs/>
          <w:color w:val="auto"/>
          <w:sz w:val="36"/>
          <w:szCs w:val="36"/>
          <w:highlight w:val="none"/>
        </w:rPr>
        <w:t>目</w:t>
      </w:r>
      <w:r>
        <w:rPr>
          <w:rFonts w:ascii="宋体" w:hAnsi="宋体"/>
          <w:b/>
          <w:bCs/>
          <w:color w:val="auto"/>
          <w:sz w:val="36"/>
          <w:szCs w:val="36"/>
          <w:highlight w:val="none"/>
        </w:rPr>
        <w:t xml:space="preserve"> </w:t>
      </w:r>
      <w:r>
        <w:rPr>
          <w:rFonts w:hint="eastAsia" w:ascii="宋体" w:hAnsi="宋体"/>
          <w:b/>
          <w:bCs/>
          <w:color w:val="auto"/>
          <w:sz w:val="36"/>
          <w:szCs w:val="36"/>
          <w:highlight w:val="none"/>
        </w:rPr>
        <w:t>录</w:t>
      </w:r>
    </w:p>
    <w:p>
      <w:pPr>
        <w:pStyle w:val="33"/>
        <w:tabs>
          <w:tab w:val="right" w:leader="dot" w:pos="9214"/>
          <w:tab w:val="clear" w:pos="840"/>
          <w:tab w:val="clear" w:pos="9204"/>
        </w:tabs>
        <w:rPr>
          <w:rFonts w:ascii="Times New Roman" w:hAnsi="Times New Roman" w:eastAsia="宋体" w:cs="Times New Roman"/>
          <w:bCs/>
          <w:caps/>
          <w:szCs w:val="20"/>
          <w:lang w:val="en-US" w:eastAsia="zh-CN" w:bidi="ar-SA"/>
        </w:rPr>
      </w:pPr>
      <w:r>
        <w:rPr>
          <w:rFonts w:ascii="宋体" w:hAnsi="宋体"/>
          <w:color w:val="auto"/>
          <w:sz w:val="36"/>
          <w:szCs w:val="36"/>
          <w:highlight w:val="none"/>
        </w:rPr>
        <w:fldChar w:fldCharType="begin"/>
      </w:r>
      <w:r>
        <w:rPr>
          <w:rFonts w:ascii="宋体" w:hAnsi="宋体"/>
          <w:color w:val="auto"/>
          <w:sz w:val="36"/>
          <w:szCs w:val="36"/>
          <w:highlight w:val="none"/>
        </w:rPr>
        <w:instrText xml:space="preserve">TOC \o "1-2" \h \z \u</w:instrText>
      </w:r>
      <w:r>
        <w:rPr>
          <w:rFonts w:ascii="宋体" w:hAnsi="宋体"/>
          <w:color w:val="auto"/>
          <w:sz w:val="36"/>
          <w:szCs w:val="36"/>
          <w:highlight w:val="none"/>
        </w:rPr>
        <w:fldChar w:fldCharType="separate"/>
      </w:r>
      <w:r>
        <w:rPr>
          <w:rFonts w:ascii="宋体" w:hAnsi="宋体" w:eastAsia="宋体" w:cs="Times New Roman"/>
          <w:bCs/>
          <w:caps/>
          <w:color w:val="auto"/>
          <w:szCs w:val="36"/>
          <w:highlight w:val="none"/>
          <w:lang w:val="en-US" w:eastAsia="zh-CN" w:bidi="ar-SA"/>
        </w:rPr>
        <w:fldChar w:fldCharType="begin"/>
      </w:r>
      <w:r>
        <w:rPr>
          <w:rFonts w:ascii="宋体" w:hAnsi="宋体" w:eastAsia="宋体" w:cs="Times New Roman"/>
          <w:bCs/>
          <w:caps/>
          <w:color w:val="auto"/>
          <w:szCs w:val="36"/>
          <w:highlight w:val="none"/>
          <w:lang w:val="en-US" w:eastAsia="zh-CN" w:bidi="ar-SA"/>
        </w:rPr>
        <w:instrText xml:space="preserve"> HYPERLINK \l _Toc27752 </w:instrText>
      </w:r>
      <w:r>
        <w:rPr>
          <w:rFonts w:ascii="宋体" w:hAnsi="宋体" w:eastAsia="宋体" w:cs="Times New Roman"/>
          <w:bCs/>
          <w:caps/>
          <w:color w:val="auto"/>
          <w:szCs w:val="36"/>
          <w:highlight w:val="none"/>
          <w:lang w:val="en-US" w:eastAsia="zh-CN" w:bidi="ar-SA"/>
        </w:rPr>
        <w:fldChar w:fldCharType="separate"/>
      </w:r>
      <w:r>
        <w:rPr>
          <w:rFonts w:ascii="Times New Roman" w:hAnsi="Times New Roman" w:eastAsia="宋体" w:cs="Times New Roman"/>
          <w:bCs/>
          <w:caps/>
          <w:szCs w:val="20"/>
          <w:lang w:val="en-US" w:eastAsia="zh-CN" w:bidi="ar-SA"/>
        </w:rPr>
        <w:t>第</w:t>
      </w:r>
      <w:r>
        <w:rPr>
          <w:rFonts w:hint="default" w:ascii="Times New Roman" w:hAnsi="Times New Roman" w:eastAsia="宋体" w:cs="Times New Roman"/>
          <w:bCs/>
          <w:i w:val="0"/>
          <w:caps/>
          <w:kern w:val="44"/>
          <w:szCs w:val="32"/>
          <w:lang w:val="en-US" w:eastAsia="zh-CN" w:bidi="ar-SA"/>
        </w:rPr>
        <w:t xml:space="preserve">1章 </w:t>
      </w:r>
      <w:r>
        <w:rPr>
          <w:rFonts w:hint="eastAsia" w:ascii="Times New Roman" w:hAnsi="Times New Roman" w:eastAsia="宋体" w:cs="Times New Roman"/>
          <w:bCs/>
          <w:caps/>
          <w:szCs w:val="20"/>
          <w:highlight w:val="none"/>
          <w:lang w:val="en-US" w:eastAsia="zh-CN" w:bidi="ar-SA"/>
        </w:rPr>
        <w:t>竞争性磋商邀请</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_Toc27752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4</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i w:val="0"/>
          <w:caps/>
          <w:color w:val="auto"/>
          <w:kern w:val="44"/>
          <w:szCs w:val="32"/>
          <w:highlight w:val="none"/>
          <w:lang w:val="en-US" w:eastAsia="zh-CN" w:bidi="ar-SA"/>
        </w:rPr>
        <w:fldChar w:fldCharType="end"/>
      </w:r>
    </w:p>
    <w:p>
      <w:pPr>
        <w:pStyle w:val="33"/>
        <w:tabs>
          <w:tab w:val="right" w:leader="dot" w:pos="9214"/>
          <w:tab w:val="clear" w:pos="840"/>
          <w:tab w:val="clear" w:pos="9204"/>
        </w:tabs>
        <w:rPr>
          <w:rFonts w:ascii="Times New Roman" w:hAnsi="Times New Roman" w:eastAsia="宋体" w:cs="Times New Roman"/>
          <w:bCs/>
          <w:caps/>
          <w:szCs w:val="20"/>
          <w:lang w:val="en-US" w:eastAsia="zh-CN" w:bidi="ar-SA"/>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_Toc8842 </w:instrText>
      </w:r>
      <w:r>
        <w:rPr>
          <w:rFonts w:ascii="宋体" w:hAnsi="宋体" w:eastAsia="宋体" w:cs="Times New Roman"/>
          <w:bCs w:val="0"/>
          <w:caps/>
          <w:color w:val="auto"/>
          <w:szCs w:val="36"/>
          <w:highlight w:val="none"/>
          <w:lang w:val="en-US" w:eastAsia="zh-CN" w:bidi="ar-SA"/>
        </w:rPr>
        <w:fldChar w:fldCharType="separate"/>
      </w:r>
      <w:r>
        <w:rPr>
          <w:rFonts w:ascii="Times New Roman" w:hAnsi="Times New Roman" w:eastAsia="宋体" w:cs="Times New Roman"/>
          <w:bCs/>
          <w:caps/>
          <w:szCs w:val="20"/>
          <w:lang w:val="en-US" w:eastAsia="zh-CN" w:bidi="ar-SA"/>
        </w:rPr>
        <w:t>第</w:t>
      </w:r>
      <w:r>
        <w:rPr>
          <w:rFonts w:hint="default" w:ascii="Times New Roman" w:hAnsi="Times New Roman" w:eastAsia="宋体" w:cs="Times New Roman"/>
          <w:bCs/>
          <w:i w:val="0"/>
          <w:caps/>
          <w:kern w:val="44"/>
          <w:szCs w:val="32"/>
          <w:lang w:val="en-US" w:eastAsia="zh-CN" w:bidi="ar-SA"/>
        </w:rPr>
        <w:t xml:space="preserve">2章 </w:t>
      </w:r>
      <w:r>
        <w:rPr>
          <w:rFonts w:hint="eastAsia" w:ascii="Times New Roman" w:hAnsi="Times New Roman" w:eastAsia="宋体" w:cs="Times New Roman"/>
          <w:bCs/>
          <w:caps/>
          <w:szCs w:val="20"/>
          <w:highlight w:val="none"/>
          <w:lang w:val="en-US" w:eastAsia="zh-CN" w:bidi="ar-SA"/>
        </w:rPr>
        <w:t>供应商须知</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_Toc8842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9</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i w:val="0"/>
          <w:caps/>
          <w:color w:val="auto"/>
          <w:kern w:val="44"/>
          <w:szCs w:val="32"/>
          <w:highlight w:val="none"/>
          <w:lang w:val="en-US" w:eastAsia="zh-CN" w:bidi="ar-SA"/>
        </w:rPr>
        <w:fldChar w:fldCharType="end"/>
      </w:r>
    </w:p>
    <w:p>
      <w:pPr>
        <w:pStyle w:val="39"/>
        <w:tabs>
          <w:tab w:val="right" w:leader="dot" w:pos="9214"/>
        </w:tabs>
        <w:rPr>
          <w:rFonts w:ascii="Times New Roman" w:hAnsi="Times New Roman" w:eastAsia="宋体" w:cs="Times New Roman"/>
          <w:bCs/>
          <w:caps/>
          <w:szCs w:val="20"/>
          <w:lang w:val="en-US" w:eastAsia="zh-CN" w:bidi="ar-SA"/>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_Toc4646 </w:instrText>
      </w:r>
      <w:r>
        <w:rPr>
          <w:rFonts w:ascii="宋体" w:hAnsi="宋体" w:eastAsia="宋体" w:cs="Times New Roman"/>
          <w:bCs w:val="0"/>
          <w:caps/>
          <w:color w:val="auto"/>
          <w:szCs w:val="36"/>
          <w:highlight w:val="none"/>
          <w:lang w:val="en-US" w:eastAsia="zh-CN" w:bidi="ar-SA"/>
        </w:rPr>
        <w:fldChar w:fldCharType="separate"/>
      </w:r>
      <w:r>
        <w:rPr>
          <w:rFonts w:ascii="Times New Roman" w:hAnsi="Times New Roman" w:eastAsia="宋体" w:cs="Times New Roman"/>
          <w:bCs/>
          <w:caps/>
          <w:szCs w:val="20"/>
          <w:lang w:val="en-US" w:eastAsia="zh-CN" w:bidi="ar-SA"/>
        </w:rPr>
        <w:t>2</w:t>
      </w:r>
      <w:r>
        <w:rPr>
          <w:rFonts w:hint="default" w:ascii="Times New Roman" w:hAnsi="Times New Roman" w:eastAsia="宋体" w:cs="Times New Roman"/>
          <w:bCs/>
          <w:i w:val="0"/>
          <w:iCs/>
          <w:caps/>
          <w:szCs w:val="28"/>
          <w:lang w:val="en-US" w:eastAsia="zh-CN" w:bidi="ar-SA"/>
        </w:rPr>
        <w:t xml:space="preserve">.1 </w:t>
      </w:r>
      <w:r>
        <w:rPr>
          <w:rFonts w:hint="eastAsia" w:ascii="Times New Roman" w:hAnsi="Times New Roman" w:eastAsia="宋体" w:cs="Times New Roman"/>
          <w:bCs/>
          <w:caps/>
          <w:szCs w:val="20"/>
          <w:highlight w:val="none"/>
          <w:lang w:val="en-US" w:eastAsia="zh-CN" w:bidi="ar-SA"/>
        </w:rPr>
        <w:t>供应商须知前附表</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_Toc4646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9</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i w:val="0"/>
          <w:iCs/>
          <w:caps/>
          <w:color w:val="auto"/>
          <w:szCs w:val="28"/>
          <w:highlight w:val="none"/>
          <w:lang w:val="en-US" w:eastAsia="zh-CN" w:bidi="ar-SA"/>
        </w:rPr>
        <w:fldChar w:fldCharType="end"/>
      </w:r>
    </w:p>
    <w:p>
      <w:pPr>
        <w:pStyle w:val="39"/>
        <w:tabs>
          <w:tab w:val="right" w:leader="dot" w:pos="9214"/>
        </w:tabs>
        <w:rPr>
          <w:rFonts w:ascii="Times New Roman" w:hAnsi="Times New Roman" w:eastAsia="宋体" w:cs="Times New Roman"/>
          <w:bCs/>
          <w:caps/>
          <w:szCs w:val="20"/>
          <w:lang w:val="en-US" w:eastAsia="zh-CN" w:bidi="ar-SA"/>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_Toc12153 </w:instrText>
      </w:r>
      <w:r>
        <w:rPr>
          <w:rFonts w:ascii="宋体" w:hAnsi="宋体" w:eastAsia="宋体" w:cs="Times New Roman"/>
          <w:bCs w:val="0"/>
          <w:caps/>
          <w:color w:val="auto"/>
          <w:szCs w:val="36"/>
          <w:highlight w:val="none"/>
          <w:lang w:val="en-US" w:eastAsia="zh-CN" w:bidi="ar-SA"/>
        </w:rPr>
        <w:fldChar w:fldCharType="separate"/>
      </w:r>
      <w:r>
        <w:rPr>
          <w:rFonts w:ascii="Times New Roman" w:hAnsi="Times New Roman" w:eastAsia="宋体" w:cs="Times New Roman"/>
          <w:bCs/>
          <w:caps/>
          <w:szCs w:val="20"/>
          <w:lang w:val="en-US" w:eastAsia="zh-CN" w:bidi="ar-SA"/>
        </w:rPr>
        <w:t>2</w:t>
      </w:r>
      <w:r>
        <w:rPr>
          <w:rFonts w:hint="default" w:ascii="Times New Roman" w:hAnsi="Times New Roman" w:eastAsia="宋体" w:cs="Times New Roman"/>
          <w:bCs/>
          <w:i w:val="0"/>
          <w:iCs/>
          <w:caps/>
          <w:szCs w:val="28"/>
          <w:lang w:val="en-US" w:eastAsia="zh-CN" w:bidi="ar-SA"/>
        </w:rPr>
        <w:t xml:space="preserve">.2 </w:t>
      </w:r>
      <w:r>
        <w:rPr>
          <w:rFonts w:hint="eastAsia" w:ascii="Times New Roman" w:hAnsi="Times New Roman" w:eastAsia="宋体" w:cs="Times New Roman"/>
          <w:bCs/>
          <w:caps/>
          <w:szCs w:val="20"/>
          <w:highlight w:val="none"/>
          <w:lang w:val="en-US" w:eastAsia="zh-CN" w:bidi="ar-SA"/>
        </w:rPr>
        <w:t>总则</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_Toc12153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12</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i w:val="0"/>
          <w:iCs/>
          <w:caps/>
          <w:color w:val="auto"/>
          <w:szCs w:val="28"/>
          <w:highlight w:val="none"/>
          <w:lang w:val="en-US" w:eastAsia="zh-CN" w:bidi="ar-SA"/>
        </w:rPr>
        <w:fldChar w:fldCharType="end"/>
      </w:r>
    </w:p>
    <w:p>
      <w:pPr>
        <w:pStyle w:val="39"/>
        <w:tabs>
          <w:tab w:val="right" w:leader="dot" w:pos="9214"/>
        </w:tabs>
        <w:rPr>
          <w:rFonts w:ascii="Times New Roman" w:hAnsi="Times New Roman" w:eastAsia="宋体" w:cs="Times New Roman"/>
          <w:bCs/>
          <w:caps/>
          <w:szCs w:val="20"/>
          <w:lang w:val="en-US" w:eastAsia="zh-CN" w:bidi="ar-SA"/>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_Toc27770 </w:instrText>
      </w:r>
      <w:r>
        <w:rPr>
          <w:rFonts w:ascii="宋体" w:hAnsi="宋体" w:eastAsia="宋体" w:cs="Times New Roman"/>
          <w:bCs w:val="0"/>
          <w:caps/>
          <w:color w:val="auto"/>
          <w:szCs w:val="36"/>
          <w:highlight w:val="none"/>
          <w:lang w:val="en-US" w:eastAsia="zh-CN" w:bidi="ar-SA"/>
        </w:rPr>
        <w:fldChar w:fldCharType="separate"/>
      </w:r>
      <w:r>
        <w:rPr>
          <w:rFonts w:ascii="Times New Roman" w:hAnsi="Times New Roman" w:eastAsia="宋体" w:cs="Times New Roman"/>
          <w:bCs/>
          <w:caps/>
          <w:szCs w:val="20"/>
          <w:lang w:val="en-US" w:eastAsia="zh-CN" w:bidi="ar-SA"/>
        </w:rPr>
        <w:t>2</w:t>
      </w:r>
      <w:r>
        <w:rPr>
          <w:rFonts w:hint="default" w:ascii="Times New Roman" w:hAnsi="Times New Roman" w:eastAsia="宋体" w:cs="Times New Roman"/>
          <w:bCs/>
          <w:i w:val="0"/>
          <w:iCs/>
          <w:caps/>
          <w:szCs w:val="28"/>
          <w:lang w:val="en-US" w:eastAsia="zh-CN" w:bidi="ar-SA"/>
        </w:rPr>
        <w:t xml:space="preserve">.3 </w:t>
      </w:r>
      <w:r>
        <w:rPr>
          <w:rFonts w:hint="eastAsia" w:ascii="Times New Roman" w:hAnsi="Times New Roman" w:eastAsia="宋体" w:cs="Times New Roman"/>
          <w:bCs/>
          <w:caps/>
          <w:szCs w:val="20"/>
          <w:highlight w:val="none"/>
          <w:lang w:val="en-US" w:eastAsia="zh-CN" w:bidi="ar-SA"/>
        </w:rPr>
        <w:t>磋商文件</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_Toc27770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14</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i w:val="0"/>
          <w:iCs/>
          <w:caps/>
          <w:color w:val="auto"/>
          <w:szCs w:val="28"/>
          <w:highlight w:val="none"/>
          <w:lang w:val="en-US" w:eastAsia="zh-CN" w:bidi="ar-SA"/>
        </w:rPr>
        <w:fldChar w:fldCharType="end"/>
      </w:r>
    </w:p>
    <w:p>
      <w:pPr>
        <w:pStyle w:val="39"/>
        <w:tabs>
          <w:tab w:val="right" w:leader="dot" w:pos="9214"/>
        </w:tabs>
        <w:rPr>
          <w:rFonts w:ascii="Times New Roman" w:hAnsi="Times New Roman" w:eastAsia="宋体" w:cs="Times New Roman"/>
          <w:bCs/>
          <w:caps/>
          <w:szCs w:val="20"/>
          <w:lang w:val="en-US" w:eastAsia="zh-CN" w:bidi="ar-SA"/>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_Toc10811 </w:instrText>
      </w:r>
      <w:r>
        <w:rPr>
          <w:rFonts w:ascii="宋体" w:hAnsi="宋体" w:eastAsia="宋体" w:cs="Times New Roman"/>
          <w:bCs w:val="0"/>
          <w:caps/>
          <w:color w:val="auto"/>
          <w:szCs w:val="36"/>
          <w:highlight w:val="none"/>
          <w:lang w:val="en-US" w:eastAsia="zh-CN" w:bidi="ar-SA"/>
        </w:rPr>
        <w:fldChar w:fldCharType="separate"/>
      </w:r>
      <w:r>
        <w:rPr>
          <w:rFonts w:ascii="Times New Roman" w:hAnsi="Times New Roman" w:eastAsia="宋体" w:cs="Times New Roman"/>
          <w:bCs/>
          <w:caps/>
          <w:szCs w:val="20"/>
          <w:lang w:val="en-US" w:eastAsia="zh-CN" w:bidi="ar-SA"/>
        </w:rPr>
        <w:t>2</w:t>
      </w:r>
      <w:r>
        <w:rPr>
          <w:rFonts w:hint="default" w:ascii="Times New Roman" w:hAnsi="Times New Roman" w:eastAsia="宋体" w:cs="Times New Roman"/>
          <w:bCs/>
          <w:i w:val="0"/>
          <w:iCs/>
          <w:caps/>
          <w:szCs w:val="28"/>
          <w:lang w:val="en-US" w:eastAsia="zh-CN" w:bidi="ar-SA"/>
        </w:rPr>
        <w:t xml:space="preserve">.4 </w:t>
      </w:r>
      <w:r>
        <w:rPr>
          <w:rFonts w:hint="eastAsia" w:ascii="Times New Roman" w:hAnsi="Times New Roman" w:eastAsia="宋体" w:cs="Times New Roman"/>
          <w:bCs/>
          <w:caps/>
          <w:szCs w:val="20"/>
          <w:highlight w:val="none"/>
          <w:lang w:val="en-US" w:eastAsia="zh-CN" w:bidi="ar-SA"/>
        </w:rPr>
        <w:t>施工响应文件</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_Toc10811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16</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i w:val="0"/>
          <w:iCs/>
          <w:caps/>
          <w:color w:val="auto"/>
          <w:szCs w:val="28"/>
          <w:highlight w:val="none"/>
          <w:lang w:val="en-US" w:eastAsia="zh-CN" w:bidi="ar-SA"/>
        </w:rPr>
        <w:fldChar w:fldCharType="end"/>
      </w:r>
    </w:p>
    <w:p>
      <w:pPr>
        <w:pStyle w:val="39"/>
        <w:tabs>
          <w:tab w:val="right" w:leader="dot" w:pos="9214"/>
        </w:tabs>
        <w:rPr>
          <w:rFonts w:ascii="Times New Roman" w:hAnsi="Times New Roman" w:eastAsia="宋体" w:cs="Times New Roman"/>
          <w:bCs/>
          <w:caps/>
          <w:szCs w:val="20"/>
          <w:lang w:val="en-US" w:eastAsia="zh-CN" w:bidi="ar-SA"/>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_Toc14234 </w:instrText>
      </w:r>
      <w:r>
        <w:rPr>
          <w:rFonts w:ascii="宋体" w:hAnsi="宋体" w:eastAsia="宋体" w:cs="Times New Roman"/>
          <w:bCs w:val="0"/>
          <w:caps/>
          <w:color w:val="auto"/>
          <w:szCs w:val="36"/>
          <w:highlight w:val="none"/>
          <w:lang w:val="en-US" w:eastAsia="zh-CN" w:bidi="ar-SA"/>
        </w:rPr>
        <w:fldChar w:fldCharType="separate"/>
      </w:r>
      <w:r>
        <w:rPr>
          <w:rFonts w:ascii="Times New Roman" w:hAnsi="Times New Roman" w:eastAsia="宋体" w:cs="Times New Roman"/>
          <w:bCs/>
          <w:caps/>
          <w:szCs w:val="20"/>
          <w:lang w:val="en-US" w:eastAsia="zh-CN" w:bidi="ar-SA"/>
        </w:rPr>
        <w:t>2</w:t>
      </w:r>
      <w:r>
        <w:rPr>
          <w:rFonts w:hint="default" w:ascii="Times New Roman" w:hAnsi="Times New Roman" w:eastAsia="宋体" w:cs="Times New Roman"/>
          <w:bCs/>
          <w:i w:val="0"/>
          <w:iCs/>
          <w:caps/>
          <w:szCs w:val="28"/>
          <w:lang w:val="en-US" w:eastAsia="zh-CN" w:bidi="ar-SA"/>
        </w:rPr>
        <w:t xml:space="preserve">.5 </w:t>
      </w:r>
      <w:r>
        <w:rPr>
          <w:rFonts w:hint="eastAsia" w:ascii="Times New Roman" w:hAnsi="Times New Roman" w:eastAsia="宋体" w:cs="Times New Roman"/>
          <w:bCs/>
          <w:caps/>
          <w:szCs w:val="20"/>
          <w:highlight w:val="none"/>
          <w:lang w:val="en-US" w:eastAsia="zh-CN" w:bidi="ar-SA"/>
        </w:rPr>
        <w:t>资格</w:t>
      </w:r>
      <w:r>
        <w:rPr>
          <w:rFonts w:ascii="Times New Roman" w:hAnsi="Times New Roman" w:eastAsia="宋体" w:cs="Times New Roman"/>
          <w:bCs/>
          <w:caps/>
          <w:szCs w:val="20"/>
          <w:highlight w:val="none"/>
          <w:lang w:val="en-US" w:eastAsia="zh-CN" w:bidi="ar-SA"/>
        </w:rPr>
        <w:t>预审和评审</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_Toc14234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26</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i w:val="0"/>
          <w:iCs/>
          <w:caps/>
          <w:color w:val="auto"/>
          <w:szCs w:val="28"/>
          <w:highlight w:val="none"/>
          <w:lang w:val="en-US" w:eastAsia="zh-CN" w:bidi="ar-SA"/>
        </w:rPr>
        <w:fldChar w:fldCharType="end"/>
      </w:r>
    </w:p>
    <w:p>
      <w:pPr>
        <w:pStyle w:val="39"/>
        <w:tabs>
          <w:tab w:val="right" w:leader="dot" w:pos="9214"/>
        </w:tabs>
        <w:rPr>
          <w:rFonts w:ascii="Times New Roman" w:hAnsi="Times New Roman" w:eastAsia="宋体" w:cs="Times New Roman"/>
          <w:bCs/>
          <w:caps/>
          <w:szCs w:val="20"/>
          <w:lang w:val="en-US" w:eastAsia="zh-CN" w:bidi="ar-SA"/>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_Toc3270 </w:instrText>
      </w:r>
      <w:r>
        <w:rPr>
          <w:rFonts w:ascii="宋体" w:hAnsi="宋体" w:eastAsia="宋体" w:cs="Times New Roman"/>
          <w:bCs w:val="0"/>
          <w:caps/>
          <w:color w:val="auto"/>
          <w:szCs w:val="36"/>
          <w:highlight w:val="none"/>
          <w:lang w:val="en-US" w:eastAsia="zh-CN" w:bidi="ar-SA"/>
        </w:rPr>
        <w:fldChar w:fldCharType="separate"/>
      </w:r>
      <w:r>
        <w:rPr>
          <w:rFonts w:ascii="Times New Roman" w:hAnsi="Times New Roman" w:eastAsia="宋体" w:cs="Times New Roman"/>
          <w:bCs/>
          <w:caps/>
          <w:szCs w:val="20"/>
          <w:lang w:val="en-US" w:eastAsia="zh-CN" w:bidi="ar-SA"/>
        </w:rPr>
        <w:t>2</w:t>
      </w:r>
      <w:r>
        <w:rPr>
          <w:rFonts w:hint="default" w:ascii="Times New Roman" w:hAnsi="Times New Roman" w:eastAsia="宋体" w:cs="Times New Roman"/>
          <w:bCs/>
          <w:i w:val="0"/>
          <w:iCs/>
          <w:caps/>
          <w:szCs w:val="28"/>
          <w:lang w:val="en-US" w:eastAsia="zh-CN" w:bidi="ar-SA"/>
        </w:rPr>
        <w:t xml:space="preserve">.6 </w:t>
      </w:r>
      <w:r>
        <w:rPr>
          <w:rFonts w:ascii="Times New Roman" w:hAnsi="Times New Roman" w:eastAsia="宋体" w:cs="宋体"/>
          <w:bCs/>
          <w:caps/>
          <w:szCs w:val="20"/>
          <w:highlight w:val="none"/>
          <w:lang w:val="en-US" w:eastAsia="zh-CN" w:bidi="ar-SA"/>
        </w:rPr>
        <w:t>成交通知书</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_Toc3270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26</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i w:val="0"/>
          <w:iCs/>
          <w:caps/>
          <w:color w:val="auto"/>
          <w:szCs w:val="28"/>
          <w:highlight w:val="none"/>
          <w:lang w:val="en-US" w:eastAsia="zh-CN" w:bidi="ar-SA"/>
        </w:rPr>
        <w:fldChar w:fldCharType="end"/>
      </w:r>
    </w:p>
    <w:p>
      <w:pPr>
        <w:pStyle w:val="39"/>
        <w:tabs>
          <w:tab w:val="right" w:leader="dot" w:pos="9214"/>
        </w:tabs>
        <w:rPr>
          <w:rFonts w:ascii="Times New Roman" w:hAnsi="Times New Roman" w:eastAsia="宋体" w:cs="Times New Roman"/>
          <w:bCs/>
          <w:caps/>
          <w:szCs w:val="20"/>
          <w:lang w:val="en-US" w:eastAsia="zh-CN" w:bidi="ar-SA"/>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_Toc25048 </w:instrText>
      </w:r>
      <w:r>
        <w:rPr>
          <w:rFonts w:ascii="宋体" w:hAnsi="宋体" w:eastAsia="宋体" w:cs="Times New Roman"/>
          <w:bCs w:val="0"/>
          <w:caps/>
          <w:color w:val="auto"/>
          <w:szCs w:val="36"/>
          <w:highlight w:val="none"/>
          <w:lang w:val="en-US" w:eastAsia="zh-CN" w:bidi="ar-SA"/>
        </w:rPr>
        <w:fldChar w:fldCharType="separate"/>
      </w:r>
      <w:r>
        <w:rPr>
          <w:rFonts w:ascii="Times New Roman" w:hAnsi="Times New Roman" w:eastAsia="宋体" w:cs="Times New Roman"/>
          <w:bCs/>
          <w:caps/>
          <w:szCs w:val="20"/>
          <w:lang w:val="en-US" w:eastAsia="zh-CN" w:bidi="ar-SA"/>
        </w:rPr>
        <w:t>2</w:t>
      </w:r>
      <w:r>
        <w:rPr>
          <w:rFonts w:hint="default" w:ascii="Times New Roman" w:hAnsi="Times New Roman" w:eastAsia="宋体" w:cs="Times New Roman"/>
          <w:bCs/>
          <w:i w:val="0"/>
          <w:iCs/>
          <w:caps/>
          <w:szCs w:val="28"/>
          <w:lang w:val="en-US" w:eastAsia="zh-CN" w:bidi="ar-SA"/>
        </w:rPr>
        <w:t xml:space="preserve">.7 </w:t>
      </w:r>
      <w:r>
        <w:rPr>
          <w:rFonts w:hint="eastAsia" w:ascii="Times New Roman" w:hAnsi="Times New Roman" w:eastAsia="宋体" w:cs="Times New Roman"/>
          <w:bCs/>
          <w:caps/>
          <w:szCs w:val="20"/>
          <w:highlight w:val="none"/>
          <w:lang w:val="en-US" w:eastAsia="zh-CN" w:bidi="ar-SA"/>
        </w:rPr>
        <w:t>签订及履行合同和验收</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_Toc25048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26</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i w:val="0"/>
          <w:iCs/>
          <w:caps/>
          <w:color w:val="auto"/>
          <w:szCs w:val="28"/>
          <w:highlight w:val="none"/>
          <w:lang w:val="en-US" w:eastAsia="zh-CN" w:bidi="ar-SA"/>
        </w:rPr>
        <w:fldChar w:fldCharType="end"/>
      </w:r>
    </w:p>
    <w:p>
      <w:pPr>
        <w:pStyle w:val="39"/>
        <w:tabs>
          <w:tab w:val="right" w:leader="dot" w:pos="9214"/>
        </w:tabs>
        <w:rPr>
          <w:rFonts w:ascii="Times New Roman" w:hAnsi="Times New Roman" w:eastAsia="宋体" w:cs="Times New Roman"/>
          <w:bCs/>
          <w:caps/>
          <w:szCs w:val="20"/>
          <w:lang w:val="en-US" w:eastAsia="zh-CN" w:bidi="ar-SA"/>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_Toc16271 </w:instrText>
      </w:r>
      <w:r>
        <w:rPr>
          <w:rFonts w:ascii="宋体" w:hAnsi="宋体" w:eastAsia="宋体" w:cs="Times New Roman"/>
          <w:bCs w:val="0"/>
          <w:caps/>
          <w:color w:val="auto"/>
          <w:szCs w:val="36"/>
          <w:highlight w:val="none"/>
          <w:lang w:val="en-US" w:eastAsia="zh-CN" w:bidi="ar-SA"/>
        </w:rPr>
        <w:fldChar w:fldCharType="separate"/>
      </w:r>
      <w:r>
        <w:rPr>
          <w:rFonts w:ascii="Times New Roman" w:hAnsi="Times New Roman" w:eastAsia="宋体" w:cs="Times New Roman"/>
          <w:bCs/>
          <w:caps/>
          <w:szCs w:val="20"/>
          <w:lang w:val="en-US" w:eastAsia="zh-CN" w:bidi="ar-SA"/>
        </w:rPr>
        <w:t>2</w:t>
      </w:r>
      <w:r>
        <w:rPr>
          <w:rFonts w:hint="default" w:ascii="Times New Roman" w:hAnsi="Times New Roman" w:eastAsia="宋体" w:cs="Times New Roman"/>
          <w:bCs/>
          <w:i w:val="0"/>
          <w:iCs/>
          <w:caps/>
          <w:szCs w:val="28"/>
          <w:lang w:val="en-US" w:eastAsia="zh-CN" w:bidi="ar-SA"/>
        </w:rPr>
        <w:t xml:space="preserve">.8 </w:t>
      </w:r>
      <w:r>
        <w:rPr>
          <w:rFonts w:hint="eastAsia" w:ascii="Times New Roman" w:hAnsi="Times New Roman" w:eastAsia="宋体" w:cs="Times New Roman"/>
          <w:bCs/>
          <w:caps/>
          <w:szCs w:val="20"/>
          <w:highlight w:val="none"/>
          <w:lang w:val="en-US" w:eastAsia="zh-CN" w:bidi="ar-SA"/>
        </w:rPr>
        <w:t>竞争性磋商工作纪律及要求</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_Toc16271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31</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i w:val="0"/>
          <w:iCs/>
          <w:caps/>
          <w:color w:val="auto"/>
          <w:szCs w:val="28"/>
          <w:highlight w:val="none"/>
          <w:lang w:val="en-US" w:eastAsia="zh-CN" w:bidi="ar-SA"/>
        </w:rPr>
        <w:fldChar w:fldCharType="end"/>
      </w:r>
    </w:p>
    <w:p>
      <w:pPr>
        <w:pStyle w:val="39"/>
        <w:tabs>
          <w:tab w:val="right" w:leader="dot" w:pos="9214"/>
        </w:tabs>
        <w:rPr>
          <w:rFonts w:ascii="Times New Roman" w:hAnsi="Times New Roman" w:eastAsia="宋体" w:cs="Times New Roman"/>
          <w:bCs/>
          <w:caps/>
          <w:szCs w:val="20"/>
          <w:lang w:val="en-US" w:eastAsia="zh-CN" w:bidi="ar-SA"/>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_Toc16280 </w:instrText>
      </w:r>
      <w:r>
        <w:rPr>
          <w:rFonts w:ascii="宋体" w:hAnsi="宋体" w:eastAsia="宋体" w:cs="Times New Roman"/>
          <w:bCs w:val="0"/>
          <w:caps/>
          <w:color w:val="auto"/>
          <w:szCs w:val="36"/>
          <w:highlight w:val="none"/>
          <w:lang w:val="en-US" w:eastAsia="zh-CN" w:bidi="ar-SA"/>
        </w:rPr>
        <w:fldChar w:fldCharType="separate"/>
      </w:r>
      <w:r>
        <w:rPr>
          <w:rFonts w:ascii="Times New Roman" w:hAnsi="Times New Roman" w:eastAsia="宋体" w:cs="Times New Roman"/>
          <w:bCs/>
          <w:caps/>
          <w:szCs w:val="20"/>
          <w:lang w:val="en-US" w:eastAsia="zh-CN" w:bidi="ar-SA"/>
        </w:rPr>
        <w:t>2</w:t>
      </w:r>
      <w:r>
        <w:rPr>
          <w:rFonts w:hint="default" w:ascii="Times New Roman" w:hAnsi="Times New Roman" w:eastAsia="宋体" w:cs="Times New Roman"/>
          <w:bCs/>
          <w:i w:val="0"/>
          <w:iCs/>
          <w:caps/>
          <w:szCs w:val="28"/>
          <w:lang w:val="en-US" w:eastAsia="zh-CN" w:bidi="ar-SA"/>
        </w:rPr>
        <w:t xml:space="preserve">.9 </w:t>
      </w:r>
      <w:r>
        <w:rPr>
          <w:rFonts w:hint="eastAsia" w:ascii="Times New Roman" w:hAnsi="Times New Roman" w:eastAsia="宋体" w:cs="Times New Roman"/>
          <w:bCs/>
          <w:caps/>
          <w:szCs w:val="20"/>
          <w:highlight w:val="none"/>
          <w:lang w:val="en-US" w:eastAsia="zh-CN" w:bidi="ar-SA"/>
        </w:rPr>
        <w:t>询问、质疑和投诉</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_Toc16280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33</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i w:val="0"/>
          <w:iCs/>
          <w:caps/>
          <w:color w:val="auto"/>
          <w:szCs w:val="28"/>
          <w:highlight w:val="none"/>
          <w:lang w:val="en-US" w:eastAsia="zh-CN" w:bidi="ar-SA"/>
        </w:rPr>
        <w:fldChar w:fldCharType="end"/>
      </w:r>
    </w:p>
    <w:p>
      <w:pPr>
        <w:pStyle w:val="39"/>
        <w:tabs>
          <w:tab w:val="right" w:leader="dot" w:pos="9214"/>
        </w:tabs>
        <w:rPr>
          <w:rFonts w:ascii="Times New Roman" w:hAnsi="Times New Roman" w:eastAsia="宋体" w:cs="Times New Roman"/>
          <w:bCs/>
          <w:caps/>
          <w:szCs w:val="20"/>
          <w:lang w:val="en-US" w:eastAsia="zh-CN" w:bidi="ar-SA"/>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_Toc9249 </w:instrText>
      </w:r>
      <w:r>
        <w:rPr>
          <w:rFonts w:ascii="宋体" w:hAnsi="宋体" w:eastAsia="宋体" w:cs="Times New Roman"/>
          <w:bCs w:val="0"/>
          <w:caps/>
          <w:color w:val="auto"/>
          <w:szCs w:val="36"/>
          <w:highlight w:val="none"/>
          <w:lang w:val="en-US" w:eastAsia="zh-CN" w:bidi="ar-SA"/>
        </w:rPr>
        <w:fldChar w:fldCharType="separate"/>
      </w:r>
      <w:r>
        <w:rPr>
          <w:rFonts w:ascii="Times New Roman" w:hAnsi="Times New Roman" w:eastAsia="宋体" w:cs="Times New Roman"/>
          <w:bCs/>
          <w:caps/>
          <w:szCs w:val="20"/>
          <w:lang w:val="en-US" w:eastAsia="zh-CN" w:bidi="ar-SA"/>
        </w:rPr>
        <w:t>2</w:t>
      </w:r>
      <w:r>
        <w:rPr>
          <w:rFonts w:hint="default" w:ascii="Times New Roman" w:hAnsi="Times New Roman" w:eastAsia="宋体" w:cs="Times New Roman"/>
          <w:bCs/>
          <w:i w:val="0"/>
          <w:iCs/>
          <w:caps/>
          <w:szCs w:val="28"/>
          <w:lang w:val="en-US" w:eastAsia="zh-CN" w:bidi="ar-SA"/>
        </w:rPr>
        <w:t xml:space="preserve">.10 </w:t>
      </w:r>
      <w:r>
        <w:rPr>
          <w:rFonts w:hint="eastAsia" w:ascii="Times New Roman" w:hAnsi="Times New Roman" w:eastAsia="宋体" w:cs="Times New Roman"/>
          <w:bCs/>
          <w:caps/>
          <w:szCs w:val="20"/>
          <w:highlight w:val="none"/>
          <w:lang w:val="en-US" w:eastAsia="zh-CN" w:bidi="ar-SA"/>
        </w:rPr>
        <w:t>中小企业信用担保融资</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_Toc9249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35</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i w:val="0"/>
          <w:iCs/>
          <w:caps/>
          <w:color w:val="auto"/>
          <w:szCs w:val="28"/>
          <w:highlight w:val="none"/>
          <w:lang w:val="en-US" w:eastAsia="zh-CN" w:bidi="ar-SA"/>
        </w:rPr>
        <w:fldChar w:fldCharType="end"/>
      </w:r>
    </w:p>
    <w:p>
      <w:pPr>
        <w:pStyle w:val="39"/>
        <w:tabs>
          <w:tab w:val="right" w:leader="dot" w:pos="9214"/>
        </w:tabs>
        <w:rPr>
          <w:rFonts w:ascii="Times New Roman" w:hAnsi="Times New Roman" w:eastAsia="宋体" w:cs="Times New Roman"/>
          <w:bCs/>
          <w:caps/>
          <w:szCs w:val="20"/>
          <w:lang w:val="en-US" w:eastAsia="zh-CN" w:bidi="ar-SA"/>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_Toc30726 </w:instrText>
      </w:r>
      <w:r>
        <w:rPr>
          <w:rFonts w:ascii="宋体" w:hAnsi="宋体" w:eastAsia="宋体" w:cs="Times New Roman"/>
          <w:bCs w:val="0"/>
          <w:caps/>
          <w:color w:val="auto"/>
          <w:szCs w:val="36"/>
          <w:highlight w:val="none"/>
          <w:lang w:val="en-US" w:eastAsia="zh-CN" w:bidi="ar-SA"/>
        </w:rPr>
        <w:fldChar w:fldCharType="separate"/>
      </w:r>
      <w:r>
        <w:rPr>
          <w:rFonts w:ascii="Times New Roman" w:hAnsi="Times New Roman" w:eastAsia="宋体" w:cs="Times New Roman"/>
          <w:bCs/>
          <w:caps/>
          <w:szCs w:val="20"/>
          <w:lang w:val="en-US" w:eastAsia="zh-CN" w:bidi="ar-SA"/>
        </w:rPr>
        <w:t>2</w:t>
      </w:r>
      <w:r>
        <w:rPr>
          <w:rFonts w:hint="default" w:ascii="Times New Roman" w:hAnsi="Times New Roman" w:eastAsia="宋体" w:cs="Times New Roman"/>
          <w:bCs/>
          <w:i w:val="0"/>
          <w:iCs/>
          <w:caps/>
          <w:szCs w:val="28"/>
          <w:lang w:val="en-US" w:eastAsia="zh-CN" w:bidi="ar-SA"/>
        </w:rPr>
        <w:t xml:space="preserve">.11 </w:t>
      </w:r>
      <w:r>
        <w:rPr>
          <w:rFonts w:hint="eastAsia" w:ascii="Times New Roman" w:hAnsi="Times New Roman" w:eastAsia="宋体" w:cs="Times New Roman"/>
          <w:bCs/>
          <w:caps/>
          <w:szCs w:val="20"/>
          <w:highlight w:val="none"/>
          <w:lang w:val="en-US" w:eastAsia="zh-CN" w:bidi="ar-SA"/>
        </w:rPr>
        <w:t>其他</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_Toc30726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35</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i w:val="0"/>
          <w:iCs/>
          <w:caps/>
          <w:color w:val="auto"/>
          <w:szCs w:val="28"/>
          <w:highlight w:val="none"/>
          <w:lang w:val="en-US" w:eastAsia="zh-CN" w:bidi="ar-SA"/>
        </w:rPr>
        <w:fldChar w:fldCharType="end"/>
      </w:r>
    </w:p>
    <w:p>
      <w:pPr>
        <w:pStyle w:val="33"/>
        <w:tabs>
          <w:tab w:val="right" w:leader="dot" w:pos="9214"/>
          <w:tab w:val="clear" w:pos="840"/>
          <w:tab w:val="clear" w:pos="9204"/>
        </w:tabs>
        <w:rPr>
          <w:rFonts w:ascii="Times New Roman" w:hAnsi="Times New Roman" w:eastAsia="宋体" w:cs="Times New Roman"/>
          <w:bCs/>
          <w:caps/>
          <w:szCs w:val="20"/>
          <w:lang w:val="en-US" w:eastAsia="zh-CN" w:bidi="ar-SA"/>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_Toc10629 </w:instrText>
      </w:r>
      <w:r>
        <w:rPr>
          <w:rFonts w:ascii="宋体" w:hAnsi="宋体" w:eastAsia="宋体" w:cs="Times New Roman"/>
          <w:bCs w:val="0"/>
          <w:caps/>
          <w:color w:val="auto"/>
          <w:szCs w:val="36"/>
          <w:highlight w:val="none"/>
          <w:lang w:val="en-US" w:eastAsia="zh-CN" w:bidi="ar-SA"/>
        </w:rPr>
        <w:fldChar w:fldCharType="separate"/>
      </w:r>
      <w:r>
        <w:rPr>
          <w:rFonts w:ascii="Times New Roman" w:hAnsi="Times New Roman" w:eastAsia="宋体" w:cs="Times New Roman"/>
          <w:bCs/>
          <w:caps/>
          <w:szCs w:val="20"/>
          <w:lang w:val="en-US" w:eastAsia="zh-CN" w:bidi="ar-SA"/>
        </w:rPr>
        <w:t>第</w:t>
      </w:r>
      <w:r>
        <w:rPr>
          <w:rFonts w:hint="default" w:ascii="Times New Roman" w:hAnsi="Times New Roman" w:eastAsia="宋体" w:cs="Times New Roman"/>
          <w:bCs/>
          <w:i w:val="0"/>
          <w:caps/>
          <w:kern w:val="44"/>
          <w:szCs w:val="32"/>
          <w:lang w:val="en-US" w:eastAsia="zh-CN" w:bidi="ar-SA"/>
        </w:rPr>
        <w:t xml:space="preserve">3章 </w:t>
      </w:r>
      <w:r>
        <w:rPr>
          <w:rFonts w:hint="eastAsia" w:ascii="Times New Roman" w:hAnsi="Times New Roman" w:eastAsia="宋体" w:cs="Times New Roman"/>
          <w:bCs/>
          <w:caps/>
          <w:szCs w:val="20"/>
          <w:highlight w:val="none"/>
          <w:lang w:val="en-US" w:eastAsia="zh-CN" w:bidi="ar-SA"/>
        </w:rPr>
        <w:t>施工响应文件格式</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_Toc10629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36</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i w:val="0"/>
          <w:caps/>
          <w:color w:val="auto"/>
          <w:kern w:val="44"/>
          <w:szCs w:val="32"/>
          <w:highlight w:val="none"/>
          <w:lang w:val="en-US" w:eastAsia="zh-CN" w:bidi="ar-SA"/>
        </w:rPr>
        <w:fldChar w:fldCharType="end"/>
      </w:r>
    </w:p>
    <w:p>
      <w:pPr>
        <w:pStyle w:val="39"/>
        <w:tabs>
          <w:tab w:val="right" w:leader="dot" w:pos="9214"/>
        </w:tabs>
        <w:rPr>
          <w:rFonts w:ascii="Times New Roman" w:hAnsi="Times New Roman" w:eastAsia="宋体" w:cs="Times New Roman"/>
          <w:bCs/>
          <w:caps/>
          <w:szCs w:val="20"/>
          <w:lang w:val="en-US" w:eastAsia="zh-CN" w:bidi="ar-SA"/>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_Toc14447 </w:instrText>
      </w:r>
      <w:r>
        <w:rPr>
          <w:rFonts w:ascii="宋体" w:hAnsi="宋体" w:eastAsia="宋体" w:cs="Times New Roman"/>
          <w:bCs w:val="0"/>
          <w:caps/>
          <w:color w:val="auto"/>
          <w:szCs w:val="36"/>
          <w:highlight w:val="none"/>
          <w:lang w:val="en-US" w:eastAsia="zh-CN" w:bidi="ar-SA"/>
        </w:rPr>
        <w:fldChar w:fldCharType="separate"/>
      </w:r>
      <w:r>
        <w:rPr>
          <w:rFonts w:ascii="Times New Roman" w:hAnsi="Times New Roman" w:eastAsia="宋体" w:cs="Times New Roman"/>
          <w:bCs/>
          <w:caps/>
          <w:szCs w:val="20"/>
          <w:lang w:val="en-US" w:eastAsia="zh-CN" w:bidi="ar-SA"/>
        </w:rPr>
        <w:t>3</w:t>
      </w:r>
      <w:r>
        <w:rPr>
          <w:rFonts w:hint="default" w:ascii="Times New Roman" w:hAnsi="Times New Roman" w:eastAsia="宋体" w:cs="Times New Roman"/>
          <w:bCs/>
          <w:i w:val="0"/>
          <w:iCs/>
          <w:caps/>
          <w:szCs w:val="28"/>
          <w:lang w:val="en-US" w:eastAsia="zh-CN" w:bidi="ar-SA"/>
        </w:rPr>
        <w:t xml:space="preserve">.1 </w:t>
      </w:r>
      <w:r>
        <w:rPr>
          <w:rFonts w:hint="eastAsia" w:ascii="Times New Roman" w:hAnsi="Times New Roman" w:eastAsia="宋体" w:cs="Times New Roman"/>
          <w:bCs/>
          <w:caps/>
          <w:szCs w:val="20"/>
          <w:highlight w:val="none"/>
          <w:lang w:val="en-US" w:eastAsia="zh-CN" w:bidi="ar-SA"/>
        </w:rPr>
        <w:t>施工响应文件格式</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_Toc14447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36</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i w:val="0"/>
          <w:iCs/>
          <w:caps/>
          <w:color w:val="auto"/>
          <w:szCs w:val="28"/>
          <w:highlight w:val="none"/>
          <w:lang w:val="en-US" w:eastAsia="zh-CN" w:bidi="ar-SA"/>
        </w:rPr>
        <w:fldChar w:fldCharType="end"/>
      </w:r>
    </w:p>
    <w:p>
      <w:pPr>
        <w:pStyle w:val="39"/>
        <w:tabs>
          <w:tab w:val="right" w:leader="dot" w:pos="9214"/>
        </w:tabs>
        <w:rPr>
          <w:rFonts w:ascii="Times New Roman" w:hAnsi="Times New Roman" w:eastAsia="宋体" w:cs="Times New Roman"/>
          <w:bCs/>
          <w:caps/>
          <w:szCs w:val="20"/>
          <w:lang w:val="en-US" w:eastAsia="zh-CN" w:bidi="ar-SA"/>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_Toc24751 </w:instrText>
      </w:r>
      <w:r>
        <w:rPr>
          <w:rFonts w:ascii="宋体" w:hAnsi="宋体" w:eastAsia="宋体" w:cs="Times New Roman"/>
          <w:bCs w:val="0"/>
          <w:caps/>
          <w:color w:val="auto"/>
          <w:szCs w:val="36"/>
          <w:highlight w:val="none"/>
          <w:lang w:val="en-US" w:eastAsia="zh-CN" w:bidi="ar-SA"/>
        </w:rPr>
        <w:fldChar w:fldCharType="separate"/>
      </w:r>
      <w:r>
        <w:rPr>
          <w:rFonts w:ascii="Times New Roman" w:hAnsi="Times New Roman" w:eastAsia="宋体" w:cs="Times New Roman"/>
          <w:bCs/>
          <w:caps/>
          <w:szCs w:val="20"/>
          <w:lang w:val="en-US" w:eastAsia="zh-CN" w:bidi="ar-SA"/>
        </w:rPr>
        <w:t>3</w:t>
      </w:r>
      <w:r>
        <w:rPr>
          <w:rFonts w:hint="default" w:ascii="Times New Roman" w:hAnsi="Times New Roman" w:eastAsia="宋体" w:cs="Times New Roman"/>
          <w:bCs/>
          <w:i w:val="0"/>
          <w:iCs/>
          <w:caps/>
          <w:szCs w:val="28"/>
          <w:lang w:val="en-US" w:eastAsia="zh-CN" w:bidi="ar-SA"/>
        </w:rPr>
        <w:t xml:space="preserve">.2 </w:t>
      </w:r>
      <w:r>
        <w:rPr>
          <w:rFonts w:hint="eastAsia" w:ascii="Times New Roman" w:hAnsi="Times New Roman" w:eastAsia="宋体" w:cs="Times New Roman"/>
          <w:bCs/>
          <w:caps/>
          <w:szCs w:val="20"/>
          <w:lang w:val="en-US" w:eastAsia="zh-CN" w:bidi="ar-SA"/>
        </w:rPr>
        <w:t>最后报价表</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_Toc24751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50</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i w:val="0"/>
          <w:iCs/>
          <w:caps/>
          <w:color w:val="auto"/>
          <w:szCs w:val="28"/>
          <w:highlight w:val="none"/>
          <w:lang w:val="en-US" w:eastAsia="zh-CN" w:bidi="ar-SA"/>
        </w:rPr>
        <w:fldChar w:fldCharType="end"/>
      </w:r>
    </w:p>
    <w:p>
      <w:pPr>
        <w:pStyle w:val="33"/>
        <w:tabs>
          <w:tab w:val="right" w:leader="dot" w:pos="9214"/>
          <w:tab w:val="clear" w:pos="840"/>
          <w:tab w:val="clear" w:pos="9204"/>
        </w:tabs>
        <w:rPr>
          <w:rFonts w:ascii="Times New Roman" w:hAnsi="Times New Roman" w:eastAsia="宋体" w:cs="Times New Roman"/>
          <w:bCs/>
          <w:caps/>
          <w:szCs w:val="20"/>
          <w:lang w:val="en-US" w:eastAsia="zh-CN" w:bidi="ar-SA"/>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_Toc27494 </w:instrText>
      </w:r>
      <w:r>
        <w:rPr>
          <w:rFonts w:ascii="宋体" w:hAnsi="宋体" w:eastAsia="宋体" w:cs="Times New Roman"/>
          <w:bCs w:val="0"/>
          <w:caps/>
          <w:color w:val="auto"/>
          <w:szCs w:val="36"/>
          <w:highlight w:val="none"/>
          <w:lang w:val="en-US" w:eastAsia="zh-CN" w:bidi="ar-SA"/>
        </w:rPr>
        <w:fldChar w:fldCharType="separate"/>
      </w:r>
      <w:r>
        <w:rPr>
          <w:rFonts w:ascii="Times New Roman" w:hAnsi="Times New Roman" w:eastAsia="宋体" w:cs="Times New Roman"/>
          <w:bCs/>
          <w:caps/>
          <w:szCs w:val="20"/>
          <w:lang w:val="en-US" w:eastAsia="zh-CN" w:bidi="ar-SA"/>
        </w:rPr>
        <w:t>第</w:t>
      </w:r>
      <w:r>
        <w:rPr>
          <w:rFonts w:hint="default" w:ascii="Times New Roman" w:hAnsi="Times New Roman" w:eastAsia="宋体" w:cs="Times New Roman"/>
          <w:bCs/>
          <w:i w:val="0"/>
          <w:caps/>
          <w:kern w:val="44"/>
          <w:szCs w:val="32"/>
          <w:lang w:val="en-US" w:eastAsia="zh-CN" w:bidi="ar-SA"/>
        </w:rPr>
        <w:t xml:space="preserve">4章 </w:t>
      </w:r>
      <w:r>
        <w:rPr>
          <w:rFonts w:hint="eastAsia" w:ascii="Times New Roman" w:hAnsi="Times New Roman" w:eastAsia="宋体" w:cs="Times New Roman"/>
          <w:bCs/>
          <w:caps/>
          <w:szCs w:val="20"/>
          <w:highlight w:val="none"/>
          <w:lang w:val="en-US" w:eastAsia="zh-CN" w:bidi="ar-SA"/>
        </w:rPr>
        <w:t>技术、服务、商务及其他要求</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_Toc27494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51</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i w:val="0"/>
          <w:caps/>
          <w:color w:val="auto"/>
          <w:kern w:val="44"/>
          <w:szCs w:val="32"/>
          <w:highlight w:val="none"/>
          <w:lang w:val="en-US" w:eastAsia="zh-CN" w:bidi="ar-SA"/>
        </w:rPr>
        <w:fldChar w:fldCharType="end"/>
      </w:r>
    </w:p>
    <w:p>
      <w:pPr>
        <w:pStyle w:val="39"/>
        <w:tabs>
          <w:tab w:val="right" w:leader="dot" w:pos="9214"/>
        </w:tabs>
        <w:rPr>
          <w:rFonts w:ascii="Times New Roman" w:hAnsi="Times New Roman" w:eastAsia="宋体" w:cs="Times New Roman"/>
          <w:bCs/>
          <w:caps/>
          <w:szCs w:val="20"/>
          <w:lang w:val="en-US" w:eastAsia="zh-CN" w:bidi="ar-SA"/>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_Toc31117 </w:instrText>
      </w:r>
      <w:r>
        <w:rPr>
          <w:rFonts w:ascii="宋体" w:hAnsi="宋体" w:eastAsia="宋体" w:cs="Times New Roman"/>
          <w:bCs w:val="0"/>
          <w:caps/>
          <w:color w:val="auto"/>
          <w:szCs w:val="36"/>
          <w:highlight w:val="none"/>
          <w:lang w:val="en-US" w:eastAsia="zh-CN" w:bidi="ar-SA"/>
        </w:rPr>
        <w:fldChar w:fldCharType="separate"/>
      </w:r>
      <w:r>
        <w:rPr>
          <w:rFonts w:ascii="Times New Roman" w:hAnsi="Times New Roman" w:eastAsia="宋体" w:cs="Times New Roman"/>
          <w:bCs/>
          <w:caps/>
          <w:szCs w:val="20"/>
          <w:lang w:val="en-US" w:eastAsia="zh-CN" w:bidi="ar-SA"/>
        </w:rPr>
        <w:t>4</w:t>
      </w:r>
      <w:r>
        <w:rPr>
          <w:rFonts w:hint="default" w:ascii="Times New Roman" w:hAnsi="Times New Roman" w:eastAsia="宋体" w:cs="Times New Roman"/>
          <w:bCs/>
          <w:i w:val="0"/>
          <w:iCs/>
          <w:caps/>
          <w:szCs w:val="28"/>
          <w:lang w:val="en-US" w:eastAsia="zh-CN" w:bidi="ar-SA"/>
        </w:rPr>
        <w:t xml:space="preserve">.1 </w:t>
      </w:r>
      <w:r>
        <w:rPr>
          <w:rFonts w:hint="eastAsia" w:ascii="Times New Roman" w:hAnsi="Times New Roman" w:eastAsia="宋体" w:cs="Times New Roman"/>
          <w:bCs/>
          <w:caps/>
          <w:szCs w:val="20"/>
          <w:highlight w:val="none"/>
          <w:lang w:val="en-US" w:eastAsia="zh-CN" w:bidi="ar-SA"/>
        </w:rPr>
        <w:t>项目介绍</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_Toc31117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51</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i w:val="0"/>
          <w:iCs/>
          <w:caps/>
          <w:color w:val="auto"/>
          <w:szCs w:val="28"/>
          <w:highlight w:val="none"/>
          <w:lang w:val="en-US" w:eastAsia="zh-CN" w:bidi="ar-SA"/>
        </w:rPr>
        <w:fldChar w:fldCharType="end"/>
      </w:r>
    </w:p>
    <w:p>
      <w:pPr>
        <w:pStyle w:val="39"/>
        <w:tabs>
          <w:tab w:val="right" w:leader="dot" w:pos="9214"/>
        </w:tabs>
        <w:rPr>
          <w:rFonts w:ascii="Times New Roman" w:hAnsi="Times New Roman" w:eastAsia="宋体" w:cs="Times New Roman"/>
          <w:bCs/>
          <w:caps/>
          <w:szCs w:val="20"/>
          <w:lang w:val="en-US" w:eastAsia="zh-CN" w:bidi="ar-SA"/>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_Toc23074 </w:instrText>
      </w:r>
      <w:r>
        <w:rPr>
          <w:rFonts w:ascii="宋体" w:hAnsi="宋体" w:eastAsia="宋体" w:cs="Times New Roman"/>
          <w:bCs w:val="0"/>
          <w:caps/>
          <w:color w:val="auto"/>
          <w:szCs w:val="36"/>
          <w:highlight w:val="none"/>
          <w:lang w:val="en-US" w:eastAsia="zh-CN" w:bidi="ar-SA"/>
        </w:rPr>
        <w:fldChar w:fldCharType="separate"/>
      </w:r>
      <w:r>
        <w:rPr>
          <w:rFonts w:ascii="Times New Roman" w:hAnsi="Times New Roman" w:eastAsia="宋体" w:cs="Times New Roman"/>
          <w:bCs/>
          <w:caps/>
          <w:szCs w:val="20"/>
          <w:lang w:val="en-US" w:eastAsia="zh-CN" w:bidi="ar-SA"/>
        </w:rPr>
        <w:t>4</w:t>
      </w:r>
      <w:r>
        <w:rPr>
          <w:rFonts w:hint="default" w:ascii="Times New Roman" w:hAnsi="Times New Roman" w:eastAsia="宋体" w:cs="Times New Roman"/>
          <w:bCs/>
          <w:i w:val="0"/>
          <w:iCs/>
          <w:caps/>
          <w:szCs w:val="28"/>
          <w:lang w:val="en-US" w:eastAsia="zh-CN" w:bidi="ar-SA"/>
        </w:rPr>
        <w:t xml:space="preserve">.2 </w:t>
      </w:r>
      <w:r>
        <w:rPr>
          <w:rFonts w:hint="eastAsia" w:ascii="Times New Roman" w:hAnsi="Times New Roman" w:eastAsia="宋体" w:cs="Times New Roman"/>
          <w:bCs/>
          <w:caps/>
          <w:szCs w:val="20"/>
          <w:highlight w:val="none"/>
          <w:lang w:val="en-US" w:eastAsia="zh-CN" w:bidi="ar-SA"/>
        </w:rPr>
        <w:t>工程内容</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_Toc23074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51</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i w:val="0"/>
          <w:iCs/>
          <w:caps/>
          <w:color w:val="auto"/>
          <w:szCs w:val="28"/>
          <w:highlight w:val="none"/>
          <w:lang w:val="en-US" w:eastAsia="zh-CN" w:bidi="ar-SA"/>
        </w:rPr>
        <w:fldChar w:fldCharType="end"/>
      </w:r>
    </w:p>
    <w:p>
      <w:pPr>
        <w:pStyle w:val="39"/>
        <w:tabs>
          <w:tab w:val="right" w:leader="dot" w:pos="9214"/>
        </w:tabs>
        <w:rPr>
          <w:rFonts w:ascii="Times New Roman" w:hAnsi="Times New Roman" w:eastAsia="宋体" w:cs="Times New Roman"/>
          <w:bCs/>
          <w:caps/>
          <w:szCs w:val="20"/>
          <w:lang w:val="en-US" w:eastAsia="zh-CN" w:bidi="ar-SA"/>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_Toc5492 </w:instrText>
      </w:r>
      <w:r>
        <w:rPr>
          <w:rFonts w:ascii="宋体" w:hAnsi="宋体" w:eastAsia="宋体" w:cs="Times New Roman"/>
          <w:bCs w:val="0"/>
          <w:caps/>
          <w:color w:val="auto"/>
          <w:szCs w:val="36"/>
          <w:highlight w:val="none"/>
          <w:lang w:val="en-US" w:eastAsia="zh-CN" w:bidi="ar-SA"/>
        </w:rPr>
        <w:fldChar w:fldCharType="separate"/>
      </w:r>
      <w:r>
        <w:rPr>
          <w:rFonts w:ascii="Times New Roman" w:hAnsi="Times New Roman" w:eastAsia="宋体" w:cs="Times New Roman"/>
          <w:bCs/>
          <w:caps/>
          <w:szCs w:val="20"/>
          <w:lang w:val="en-US" w:eastAsia="zh-CN" w:bidi="ar-SA"/>
        </w:rPr>
        <w:t>4</w:t>
      </w:r>
      <w:r>
        <w:rPr>
          <w:rFonts w:hint="default" w:ascii="Times New Roman" w:hAnsi="Times New Roman" w:eastAsia="宋体" w:cs="Times New Roman"/>
          <w:bCs/>
          <w:i w:val="0"/>
          <w:iCs/>
          <w:caps/>
          <w:szCs w:val="28"/>
          <w:lang w:val="en-US" w:eastAsia="zh-CN" w:bidi="ar-SA"/>
        </w:rPr>
        <w:t xml:space="preserve">.3 </w:t>
      </w:r>
      <w:r>
        <w:rPr>
          <w:rFonts w:hint="eastAsia" w:ascii="Times New Roman" w:hAnsi="Times New Roman" w:eastAsia="宋体" w:cs="Times New Roman"/>
          <w:bCs/>
          <w:caps/>
          <w:szCs w:val="20"/>
          <w:highlight w:val="none"/>
          <w:lang w:val="en-US" w:eastAsia="zh-CN" w:bidi="ar-SA"/>
        </w:rPr>
        <w:t>技术、服务、合同</w:t>
      </w:r>
      <w:r>
        <w:rPr>
          <w:rFonts w:ascii="Times New Roman" w:hAnsi="Times New Roman" w:eastAsia="宋体" w:cs="Times New Roman"/>
          <w:bCs/>
          <w:caps/>
          <w:szCs w:val="20"/>
          <w:highlight w:val="none"/>
          <w:lang w:val="en-US" w:eastAsia="zh-CN" w:bidi="ar-SA"/>
        </w:rPr>
        <w:t>条款</w:t>
      </w:r>
      <w:r>
        <w:rPr>
          <w:rFonts w:hint="eastAsia" w:ascii="Times New Roman" w:hAnsi="Times New Roman" w:eastAsia="宋体" w:cs="Times New Roman"/>
          <w:bCs/>
          <w:caps/>
          <w:szCs w:val="20"/>
          <w:highlight w:val="none"/>
          <w:lang w:val="en-US" w:eastAsia="zh-CN" w:bidi="ar-SA"/>
        </w:rPr>
        <w:t>要求</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_Toc5492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51</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i w:val="0"/>
          <w:iCs/>
          <w:caps/>
          <w:color w:val="auto"/>
          <w:szCs w:val="28"/>
          <w:highlight w:val="none"/>
          <w:lang w:val="en-US" w:eastAsia="zh-CN" w:bidi="ar-SA"/>
        </w:rPr>
        <w:fldChar w:fldCharType="end"/>
      </w:r>
    </w:p>
    <w:p>
      <w:pPr>
        <w:pStyle w:val="39"/>
        <w:tabs>
          <w:tab w:val="right" w:leader="dot" w:pos="9214"/>
        </w:tabs>
        <w:rPr>
          <w:rFonts w:ascii="Times New Roman" w:hAnsi="Times New Roman" w:eastAsia="宋体" w:cs="Times New Roman"/>
          <w:bCs/>
          <w:caps/>
          <w:szCs w:val="20"/>
          <w:lang w:val="en-US" w:eastAsia="zh-CN" w:bidi="ar-SA"/>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_Toc4535 </w:instrText>
      </w:r>
      <w:r>
        <w:rPr>
          <w:rFonts w:ascii="宋体" w:hAnsi="宋体" w:eastAsia="宋体" w:cs="Times New Roman"/>
          <w:bCs w:val="0"/>
          <w:caps/>
          <w:color w:val="auto"/>
          <w:szCs w:val="36"/>
          <w:highlight w:val="none"/>
          <w:lang w:val="en-US" w:eastAsia="zh-CN" w:bidi="ar-SA"/>
        </w:rPr>
        <w:fldChar w:fldCharType="separate"/>
      </w:r>
      <w:r>
        <w:rPr>
          <w:rFonts w:hint="eastAsia" w:cs="仿宋" w:asciiTheme="minorEastAsia" w:hAnsiTheme="minorEastAsia" w:eastAsiaTheme="minorEastAsia"/>
          <w:bCs w:val="0"/>
          <w:caps/>
          <w:szCs w:val="20"/>
          <w:highlight w:val="none"/>
          <w:lang w:val="en-US" w:eastAsia="zh-CN" w:bidi="ar-SA"/>
        </w:rPr>
        <w:t>★质保期</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_Toc4535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52</w:t>
      </w:r>
      <w:r>
        <w:rPr>
          <w:rFonts w:ascii="Times New Roman" w:hAnsi="Times New Roman" w:eastAsia="宋体" w:cs="Times New Roman"/>
          <w:bCs/>
          <w:caps/>
          <w:szCs w:val="20"/>
          <w:lang w:val="en-US" w:eastAsia="zh-CN" w:bidi="ar-SA"/>
        </w:rPr>
        <w:fldChar w:fldCharType="end"/>
      </w:r>
      <w:r>
        <w:rPr>
          <w:rFonts w:ascii="宋体" w:hAnsi="宋体" w:eastAsia="宋体" w:cs="Times New Roman"/>
          <w:bCs w:val="0"/>
          <w:caps/>
          <w:color w:val="auto"/>
          <w:szCs w:val="36"/>
          <w:highlight w:val="none"/>
          <w:lang w:val="en-US" w:eastAsia="zh-CN" w:bidi="ar-SA"/>
        </w:rPr>
        <w:fldChar w:fldCharType="end"/>
      </w:r>
    </w:p>
    <w:p>
      <w:pPr>
        <w:pStyle w:val="39"/>
        <w:tabs>
          <w:tab w:val="right" w:leader="dot" w:pos="9214"/>
        </w:tabs>
        <w:rPr>
          <w:rFonts w:ascii="Times New Roman" w:hAnsi="Times New Roman" w:eastAsia="宋体" w:cs="Times New Roman"/>
          <w:bCs/>
          <w:caps/>
          <w:szCs w:val="20"/>
          <w:lang w:val="en-US" w:eastAsia="zh-CN" w:bidi="ar-SA"/>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_Toc503 </w:instrText>
      </w:r>
      <w:r>
        <w:rPr>
          <w:rFonts w:ascii="宋体" w:hAnsi="宋体" w:eastAsia="宋体" w:cs="Times New Roman"/>
          <w:bCs w:val="0"/>
          <w:caps/>
          <w:color w:val="auto"/>
          <w:szCs w:val="36"/>
          <w:highlight w:val="none"/>
          <w:lang w:val="en-US" w:eastAsia="zh-CN" w:bidi="ar-SA"/>
        </w:rPr>
        <w:fldChar w:fldCharType="separate"/>
      </w:r>
      <w:r>
        <w:rPr>
          <w:rFonts w:hint="eastAsia" w:cs="仿宋" w:asciiTheme="minorEastAsia" w:hAnsiTheme="minorEastAsia" w:eastAsiaTheme="minorEastAsia"/>
          <w:bCs w:val="0"/>
          <w:caps/>
          <w:szCs w:val="20"/>
          <w:highlight w:val="none"/>
          <w:lang w:val="en-US" w:eastAsia="zh-CN" w:bidi="ar-SA"/>
        </w:rPr>
        <w:t>2</w:t>
      </w:r>
      <w:r>
        <w:rPr>
          <w:rFonts w:hint="eastAsia" w:cs="仿宋" w:asciiTheme="minorEastAsia" w:hAnsiTheme="minorEastAsia" w:eastAsiaTheme="minorEastAsia"/>
          <w:bCs w:val="0"/>
          <w:caps/>
          <w:szCs w:val="20"/>
          <w:highlight w:val="none"/>
          <w:lang w:val="zh-CN" w:eastAsia="zh-CN" w:bidi="ar-SA"/>
        </w:rPr>
        <w:t>年</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_Toc503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52</w:t>
      </w:r>
      <w:r>
        <w:rPr>
          <w:rFonts w:ascii="Times New Roman" w:hAnsi="Times New Roman" w:eastAsia="宋体" w:cs="Times New Roman"/>
          <w:bCs/>
          <w:caps/>
          <w:szCs w:val="20"/>
          <w:lang w:val="en-US" w:eastAsia="zh-CN" w:bidi="ar-SA"/>
        </w:rPr>
        <w:fldChar w:fldCharType="end"/>
      </w:r>
      <w:r>
        <w:rPr>
          <w:rFonts w:ascii="宋体" w:hAnsi="宋体" w:eastAsia="宋体" w:cs="Times New Roman"/>
          <w:bCs w:val="0"/>
          <w:caps/>
          <w:color w:val="auto"/>
          <w:szCs w:val="36"/>
          <w:highlight w:val="none"/>
          <w:lang w:val="en-US" w:eastAsia="zh-CN" w:bidi="ar-SA"/>
        </w:rPr>
        <w:fldChar w:fldCharType="end"/>
      </w:r>
    </w:p>
    <w:p>
      <w:pPr>
        <w:pStyle w:val="39"/>
        <w:tabs>
          <w:tab w:val="right" w:leader="dot" w:pos="9214"/>
        </w:tabs>
        <w:rPr>
          <w:rFonts w:ascii="Times New Roman" w:hAnsi="Times New Roman" w:eastAsia="宋体" w:cs="Times New Roman"/>
          <w:bCs/>
          <w:caps/>
          <w:szCs w:val="20"/>
          <w:lang w:val="en-US" w:eastAsia="zh-CN" w:bidi="ar-SA"/>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_Toc29455 </w:instrText>
      </w:r>
      <w:r>
        <w:rPr>
          <w:rFonts w:ascii="宋体" w:hAnsi="宋体" w:eastAsia="宋体" w:cs="Times New Roman"/>
          <w:bCs w:val="0"/>
          <w:caps/>
          <w:color w:val="auto"/>
          <w:szCs w:val="36"/>
          <w:highlight w:val="none"/>
          <w:lang w:val="en-US" w:eastAsia="zh-CN" w:bidi="ar-SA"/>
        </w:rPr>
        <w:fldChar w:fldCharType="separate"/>
      </w:r>
      <w:r>
        <w:rPr>
          <w:rFonts w:ascii="Times New Roman" w:hAnsi="Times New Roman" w:eastAsia="宋体" w:cs="Times New Roman"/>
          <w:bCs/>
          <w:caps/>
          <w:szCs w:val="20"/>
          <w:lang w:val="en-US" w:eastAsia="zh-CN" w:bidi="ar-SA"/>
        </w:rPr>
        <w:t>4</w:t>
      </w:r>
      <w:r>
        <w:rPr>
          <w:rFonts w:hint="default" w:ascii="Times New Roman" w:hAnsi="Times New Roman" w:eastAsia="宋体" w:cs="Times New Roman"/>
          <w:bCs w:val="0"/>
          <w:i w:val="0"/>
          <w:iCs/>
          <w:caps/>
          <w:szCs w:val="28"/>
          <w:lang w:val="en-US" w:eastAsia="zh-CN" w:bidi="ar-SA"/>
        </w:rPr>
        <w:t xml:space="preserve">.4 </w:t>
      </w:r>
      <w:r>
        <w:rPr>
          <w:rFonts w:hint="eastAsia" w:ascii="仿宋" w:hAnsi="仿宋" w:eastAsia="仿宋" w:cs="Times New Roman"/>
          <w:bCs/>
          <w:caps/>
          <w:szCs w:val="20"/>
          <w:highlight w:val="none"/>
          <w:lang w:val="en-US" w:eastAsia="zh-CN" w:bidi="ar-SA"/>
        </w:rPr>
        <w:t>★</w:t>
      </w:r>
      <w:r>
        <w:rPr>
          <w:rFonts w:hint="eastAsia" w:cs="仿宋" w:asciiTheme="minorEastAsia" w:hAnsiTheme="minorEastAsia" w:eastAsiaTheme="minorEastAsia"/>
          <w:bCs w:val="0"/>
          <w:caps/>
          <w:szCs w:val="20"/>
          <w:highlight w:val="none"/>
          <w:lang w:val="en-US" w:eastAsia="zh-CN" w:bidi="ar-SA"/>
        </w:rPr>
        <w:t>漏项工程处理</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_Toc29455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53</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val="0"/>
          <w:i w:val="0"/>
          <w:iCs/>
          <w:caps/>
          <w:color w:val="auto"/>
          <w:szCs w:val="28"/>
          <w:highlight w:val="none"/>
          <w:lang w:val="en-US" w:eastAsia="zh-CN" w:bidi="ar-SA"/>
        </w:rPr>
        <w:fldChar w:fldCharType="end"/>
      </w:r>
    </w:p>
    <w:p>
      <w:pPr>
        <w:pStyle w:val="39"/>
        <w:tabs>
          <w:tab w:val="right" w:leader="dot" w:pos="9214"/>
        </w:tabs>
        <w:rPr>
          <w:rFonts w:ascii="Times New Roman" w:hAnsi="Times New Roman" w:eastAsia="宋体" w:cs="Times New Roman"/>
          <w:bCs/>
          <w:caps/>
          <w:szCs w:val="20"/>
          <w:lang w:val="en-US" w:eastAsia="zh-CN" w:bidi="ar-SA"/>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_Toc18284 </w:instrText>
      </w:r>
      <w:r>
        <w:rPr>
          <w:rFonts w:ascii="宋体" w:hAnsi="宋体" w:eastAsia="宋体" w:cs="Times New Roman"/>
          <w:bCs w:val="0"/>
          <w:caps/>
          <w:color w:val="auto"/>
          <w:szCs w:val="36"/>
          <w:highlight w:val="none"/>
          <w:lang w:val="en-US" w:eastAsia="zh-CN" w:bidi="ar-SA"/>
        </w:rPr>
        <w:fldChar w:fldCharType="separate"/>
      </w:r>
      <w:r>
        <w:rPr>
          <w:rFonts w:ascii="Times New Roman" w:hAnsi="Times New Roman" w:eastAsia="宋体" w:cs="Times New Roman"/>
          <w:bCs/>
          <w:caps/>
          <w:szCs w:val="20"/>
          <w:lang w:val="en-US" w:eastAsia="zh-CN" w:bidi="ar-SA"/>
        </w:rPr>
        <w:t>4</w:t>
      </w:r>
      <w:r>
        <w:rPr>
          <w:rFonts w:hint="default" w:ascii="Times New Roman" w:hAnsi="Times New Roman" w:eastAsia="宋体" w:cs="Times New Roman"/>
          <w:bCs w:val="0"/>
          <w:i w:val="0"/>
          <w:iCs/>
          <w:caps/>
          <w:szCs w:val="28"/>
          <w:lang w:val="en-US" w:eastAsia="zh-CN" w:bidi="ar-SA"/>
        </w:rPr>
        <w:t xml:space="preserve">.5 </w:t>
      </w:r>
      <w:r>
        <w:rPr>
          <w:rFonts w:hint="eastAsia" w:ascii="仿宋" w:hAnsi="仿宋" w:eastAsia="仿宋" w:cs="Times New Roman"/>
          <w:bCs/>
          <w:caps/>
          <w:szCs w:val="20"/>
          <w:highlight w:val="none"/>
          <w:lang w:val="en-US" w:eastAsia="zh-CN" w:bidi="ar-SA"/>
        </w:rPr>
        <w:t>★</w:t>
      </w:r>
      <w:r>
        <w:rPr>
          <w:rFonts w:hint="eastAsia" w:cs="仿宋" w:asciiTheme="minorEastAsia" w:hAnsiTheme="minorEastAsia" w:eastAsiaTheme="minorEastAsia"/>
          <w:bCs w:val="0"/>
          <w:caps/>
          <w:szCs w:val="20"/>
          <w:highlight w:val="none"/>
          <w:lang w:val="en-US" w:eastAsia="zh-CN" w:bidi="ar-SA"/>
        </w:rPr>
        <w:t>工程量清单及图纸</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_Toc18284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53</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val="0"/>
          <w:i w:val="0"/>
          <w:iCs/>
          <w:caps/>
          <w:color w:val="auto"/>
          <w:szCs w:val="28"/>
          <w:highlight w:val="none"/>
          <w:lang w:val="en-US" w:eastAsia="zh-CN" w:bidi="ar-SA"/>
        </w:rPr>
        <w:fldChar w:fldCharType="end"/>
      </w:r>
    </w:p>
    <w:p>
      <w:pPr>
        <w:pStyle w:val="39"/>
        <w:tabs>
          <w:tab w:val="right" w:leader="dot" w:pos="9214"/>
        </w:tabs>
        <w:rPr>
          <w:rFonts w:ascii="Times New Roman" w:hAnsi="Times New Roman" w:eastAsia="宋体" w:cs="Times New Roman"/>
          <w:bCs/>
          <w:caps/>
          <w:szCs w:val="20"/>
          <w:lang w:val="en-US" w:eastAsia="zh-CN" w:bidi="ar-SA"/>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_Toc19419 </w:instrText>
      </w:r>
      <w:r>
        <w:rPr>
          <w:rFonts w:ascii="宋体" w:hAnsi="宋体" w:eastAsia="宋体" w:cs="Times New Roman"/>
          <w:bCs w:val="0"/>
          <w:caps/>
          <w:color w:val="auto"/>
          <w:szCs w:val="36"/>
          <w:highlight w:val="none"/>
          <w:lang w:val="en-US" w:eastAsia="zh-CN" w:bidi="ar-SA"/>
        </w:rPr>
        <w:fldChar w:fldCharType="separate"/>
      </w:r>
      <w:r>
        <w:rPr>
          <w:rFonts w:ascii="Times New Roman" w:hAnsi="Times New Roman" w:eastAsia="宋体" w:cs="Times New Roman"/>
          <w:bCs/>
          <w:caps/>
          <w:szCs w:val="20"/>
          <w:lang w:val="en-US" w:eastAsia="zh-CN" w:bidi="ar-SA"/>
        </w:rPr>
        <w:t>4</w:t>
      </w:r>
      <w:r>
        <w:rPr>
          <w:rFonts w:hint="default" w:ascii="Times New Roman" w:hAnsi="Times New Roman" w:eastAsia="宋体" w:cs="Times New Roman"/>
          <w:bCs w:val="0"/>
          <w:i w:val="0"/>
          <w:iCs/>
          <w:caps/>
          <w:szCs w:val="28"/>
          <w:lang w:val="en-US" w:eastAsia="zh-CN" w:bidi="ar-SA"/>
        </w:rPr>
        <w:t xml:space="preserve">.6 </w:t>
      </w:r>
      <w:r>
        <w:rPr>
          <w:rFonts w:hint="eastAsia" w:ascii="仿宋" w:hAnsi="仿宋" w:eastAsia="仿宋" w:cs="Times New Roman"/>
          <w:bCs/>
          <w:caps/>
          <w:szCs w:val="20"/>
          <w:highlight w:val="none"/>
          <w:lang w:val="en-US" w:eastAsia="zh-CN" w:bidi="ar-SA"/>
        </w:rPr>
        <w:t>★</w:t>
      </w:r>
      <w:r>
        <w:rPr>
          <w:rFonts w:hint="eastAsia" w:cs="仿宋" w:asciiTheme="minorEastAsia" w:hAnsiTheme="minorEastAsia" w:eastAsiaTheme="minorEastAsia"/>
          <w:bCs w:val="0"/>
          <w:caps/>
          <w:szCs w:val="20"/>
          <w:highlight w:val="none"/>
          <w:lang w:val="en-US" w:eastAsia="zh-CN" w:bidi="ar-SA"/>
        </w:rPr>
        <w:t>工程质量</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_Toc19419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53</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val="0"/>
          <w:i w:val="0"/>
          <w:iCs/>
          <w:caps/>
          <w:color w:val="auto"/>
          <w:szCs w:val="28"/>
          <w:highlight w:val="none"/>
          <w:lang w:val="en-US" w:eastAsia="zh-CN" w:bidi="ar-SA"/>
        </w:rPr>
        <w:fldChar w:fldCharType="end"/>
      </w:r>
    </w:p>
    <w:p>
      <w:pPr>
        <w:pStyle w:val="39"/>
        <w:tabs>
          <w:tab w:val="right" w:leader="dot" w:pos="9214"/>
        </w:tabs>
        <w:rPr>
          <w:rFonts w:ascii="Times New Roman" w:hAnsi="Times New Roman" w:eastAsia="宋体" w:cs="Times New Roman"/>
          <w:bCs/>
          <w:caps/>
          <w:szCs w:val="20"/>
          <w:lang w:val="en-US" w:eastAsia="zh-CN" w:bidi="ar-SA"/>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_Toc4268 </w:instrText>
      </w:r>
      <w:r>
        <w:rPr>
          <w:rFonts w:ascii="宋体" w:hAnsi="宋体" w:eastAsia="宋体" w:cs="Times New Roman"/>
          <w:bCs w:val="0"/>
          <w:caps/>
          <w:color w:val="auto"/>
          <w:szCs w:val="36"/>
          <w:highlight w:val="none"/>
          <w:lang w:val="en-US" w:eastAsia="zh-CN" w:bidi="ar-SA"/>
        </w:rPr>
        <w:fldChar w:fldCharType="separate"/>
      </w:r>
      <w:r>
        <w:rPr>
          <w:rFonts w:ascii="Times New Roman" w:hAnsi="Times New Roman" w:eastAsia="宋体" w:cs="Times New Roman"/>
          <w:bCs/>
          <w:caps/>
          <w:szCs w:val="20"/>
          <w:lang w:val="en-US" w:eastAsia="zh-CN" w:bidi="ar-SA"/>
        </w:rPr>
        <w:t>4</w:t>
      </w:r>
      <w:r>
        <w:rPr>
          <w:rFonts w:hint="default" w:ascii="Times New Roman" w:hAnsi="Times New Roman" w:eastAsia="宋体" w:cs="Times New Roman"/>
          <w:bCs/>
          <w:i w:val="0"/>
          <w:iCs/>
          <w:caps/>
          <w:szCs w:val="28"/>
          <w:lang w:val="en-US" w:eastAsia="zh-CN" w:bidi="ar-SA"/>
        </w:rPr>
        <w:t xml:space="preserve">.7 </w:t>
      </w:r>
      <w:r>
        <w:rPr>
          <w:rFonts w:hint="eastAsia" w:ascii="仿宋" w:hAnsi="仿宋" w:eastAsia="仿宋" w:cs="Times New Roman"/>
          <w:bCs/>
          <w:caps/>
          <w:szCs w:val="20"/>
          <w:highlight w:val="none"/>
          <w:lang w:val="en-US" w:eastAsia="zh-CN" w:bidi="ar-SA"/>
        </w:rPr>
        <w:t>★</w:t>
      </w:r>
      <w:r>
        <w:rPr>
          <w:rFonts w:hint="eastAsia" w:cs="仿宋" w:asciiTheme="minorEastAsia" w:hAnsiTheme="minorEastAsia" w:eastAsiaTheme="minorEastAsia"/>
          <w:bCs/>
          <w:caps/>
          <w:szCs w:val="20"/>
          <w:highlight w:val="none"/>
          <w:lang w:val="en-US" w:eastAsia="zh-CN" w:bidi="ar-SA"/>
        </w:rPr>
        <w:t>材料要求</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_Toc4268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53</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i w:val="0"/>
          <w:iCs/>
          <w:caps/>
          <w:color w:val="auto"/>
          <w:szCs w:val="28"/>
          <w:highlight w:val="none"/>
          <w:lang w:val="en-US" w:eastAsia="zh-CN" w:bidi="ar-SA"/>
        </w:rPr>
        <w:fldChar w:fldCharType="end"/>
      </w:r>
    </w:p>
    <w:p>
      <w:pPr>
        <w:pStyle w:val="39"/>
        <w:tabs>
          <w:tab w:val="right" w:leader="dot" w:pos="9214"/>
        </w:tabs>
        <w:rPr>
          <w:rFonts w:ascii="Times New Roman" w:hAnsi="Times New Roman" w:eastAsia="宋体" w:cs="Times New Roman"/>
          <w:bCs/>
          <w:caps/>
          <w:szCs w:val="20"/>
          <w:lang w:val="en-US" w:eastAsia="zh-CN" w:bidi="ar-SA"/>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_Toc1998 </w:instrText>
      </w:r>
      <w:r>
        <w:rPr>
          <w:rFonts w:ascii="宋体" w:hAnsi="宋体" w:eastAsia="宋体" w:cs="Times New Roman"/>
          <w:bCs w:val="0"/>
          <w:caps/>
          <w:color w:val="auto"/>
          <w:szCs w:val="36"/>
          <w:highlight w:val="none"/>
          <w:lang w:val="en-US" w:eastAsia="zh-CN" w:bidi="ar-SA"/>
        </w:rPr>
        <w:fldChar w:fldCharType="separate"/>
      </w:r>
      <w:r>
        <w:rPr>
          <w:rFonts w:ascii="Times New Roman" w:hAnsi="Times New Roman" w:eastAsia="宋体" w:cs="Times New Roman"/>
          <w:bCs/>
          <w:caps/>
          <w:szCs w:val="20"/>
          <w:lang w:val="en-US" w:eastAsia="zh-CN" w:bidi="ar-SA"/>
        </w:rPr>
        <w:t>4</w:t>
      </w:r>
      <w:r>
        <w:rPr>
          <w:rFonts w:hint="default" w:ascii="Times New Roman" w:hAnsi="Times New Roman" w:eastAsia="宋体" w:cs="Times New Roman"/>
          <w:bCs w:val="0"/>
          <w:i w:val="0"/>
          <w:iCs/>
          <w:caps/>
          <w:szCs w:val="28"/>
          <w:lang w:val="en-US" w:eastAsia="zh-CN" w:bidi="ar-SA"/>
        </w:rPr>
        <w:t xml:space="preserve">.8 </w:t>
      </w:r>
      <w:r>
        <w:rPr>
          <w:rFonts w:hint="eastAsia" w:ascii="仿宋" w:hAnsi="仿宋" w:eastAsia="仿宋" w:cs="Times New Roman"/>
          <w:bCs/>
          <w:caps/>
          <w:szCs w:val="20"/>
          <w:highlight w:val="none"/>
          <w:lang w:val="en-US" w:eastAsia="zh-CN" w:bidi="ar-SA"/>
        </w:rPr>
        <w:t>★</w:t>
      </w:r>
      <w:r>
        <w:rPr>
          <w:rFonts w:hint="eastAsia" w:cs="仿宋" w:asciiTheme="minorEastAsia" w:hAnsiTheme="minorEastAsia" w:eastAsiaTheme="minorEastAsia"/>
          <w:bCs w:val="0"/>
          <w:caps/>
          <w:szCs w:val="20"/>
          <w:highlight w:val="none"/>
          <w:lang w:val="en-US" w:eastAsia="zh-CN" w:bidi="ar-SA"/>
        </w:rPr>
        <w:t>质量保修期</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_Toc1998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53</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val="0"/>
          <w:i w:val="0"/>
          <w:iCs/>
          <w:caps/>
          <w:color w:val="auto"/>
          <w:szCs w:val="28"/>
          <w:highlight w:val="none"/>
          <w:lang w:val="en-US" w:eastAsia="zh-CN" w:bidi="ar-SA"/>
        </w:rPr>
        <w:fldChar w:fldCharType="end"/>
      </w:r>
    </w:p>
    <w:p>
      <w:pPr>
        <w:pStyle w:val="39"/>
        <w:tabs>
          <w:tab w:val="right" w:leader="dot" w:pos="9214"/>
        </w:tabs>
        <w:rPr>
          <w:rFonts w:ascii="Times New Roman" w:hAnsi="Times New Roman" w:eastAsia="宋体" w:cs="Times New Roman"/>
          <w:bCs/>
          <w:caps/>
          <w:szCs w:val="20"/>
          <w:lang w:val="en-US" w:eastAsia="zh-CN" w:bidi="ar-SA"/>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_Toc24023 </w:instrText>
      </w:r>
      <w:r>
        <w:rPr>
          <w:rFonts w:ascii="宋体" w:hAnsi="宋体" w:eastAsia="宋体" w:cs="Times New Roman"/>
          <w:bCs w:val="0"/>
          <w:caps/>
          <w:color w:val="auto"/>
          <w:szCs w:val="36"/>
          <w:highlight w:val="none"/>
          <w:lang w:val="en-US" w:eastAsia="zh-CN" w:bidi="ar-SA"/>
        </w:rPr>
        <w:fldChar w:fldCharType="separate"/>
      </w:r>
      <w:r>
        <w:rPr>
          <w:rFonts w:ascii="Times New Roman" w:hAnsi="Times New Roman" w:eastAsia="宋体" w:cs="Times New Roman"/>
          <w:bCs/>
          <w:caps/>
          <w:szCs w:val="20"/>
          <w:lang w:val="en-US" w:eastAsia="zh-CN" w:bidi="ar-SA"/>
        </w:rPr>
        <w:t>4</w:t>
      </w:r>
      <w:r>
        <w:rPr>
          <w:rFonts w:hint="default" w:ascii="Times New Roman" w:hAnsi="Times New Roman" w:eastAsia="宋体" w:cs="Times New Roman"/>
          <w:bCs w:val="0"/>
          <w:i w:val="0"/>
          <w:iCs/>
          <w:caps/>
          <w:szCs w:val="28"/>
          <w:lang w:val="en-US" w:eastAsia="zh-CN" w:bidi="ar-SA"/>
        </w:rPr>
        <w:t xml:space="preserve">.9 </w:t>
      </w:r>
      <w:r>
        <w:rPr>
          <w:rFonts w:hint="eastAsia" w:cs="仿宋" w:asciiTheme="minorEastAsia" w:hAnsiTheme="minorEastAsia" w:eastAsiaTheme="minorEastAsia"/>
          <w:bCs w:val="0"/>
          <w:caps/>
          <w:szCs w:val="20"/>
          <w:highlight w:val="none"/>
          <w:lang w:val="en-US" w:eastAsia="zh-CN" w:bidi="ar-SA"/>
        </w:rPr>
        <w:t>★安全责任</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_Toc24023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53</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val="0"/>
          <w:i w:val="0"/>
          <w:iCs/>
          <w:caps/>
          <w:color w:val="auto"/>
          <w:szCs w:val="28"/>
          <w:highlight w:val="none"/>
          <w:lang w:val="en-US" w:eastAsia="zh-CN" w:bidi="ar-SA"/>
        </w:rPr>
        <w:fldChar w:fldCharType="end"/>
      </w:r>
    </w:p>
    <w:p>
      <w:pPr>
        <w:pStyle w:val="39"/>
        <w:tabs>
          <w:tab w:val="right" w:leader="dot" w:pos="9214"/>
        </w:tabs>
        <w:rPr>
          <w:rFonts w:ascii="Times New Roman" w:hAnsi="Times New Roman" w:eastAsia="宋体" w:cs="Times New Roman"/>
          <w:bCs/>
          <w:caps/>
          <w:szCs w:val="20"/>
          <w:lang w:val="en-US" w:eastAsia="zh-CN" w:bidi="ar-SA"/>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_Toc17629 </w:instrText>
      </w:r>
      <w:r>
        <w:rPr>
          <w:rFonts w:ascii="宋体" w:hAnsi="宋体" w:eastAsia="宋体" w:cs="Times New Roman"/>
          <w:bCs w:val="0"/>
          <w:caps/>
          <w:color w:val="auto"/>
          <w:szCs w:val="36"/>
          <w:highlight w:val="none"/>
          <w:lang w:val="en-US" w:eastAsia="zh-CN" w:bidi="ar-SA"/>
        </w:rPr>
        <w:fldChar w:fldCharType="separate"/>
      </w:r>
      <w:r>
        <w:rPr>
          <w:rFonts w:ascii="Times New Roman" w:hAnsi="Times New Roman" w:eastAsia="宋体" w:cs="Times New Roman"/>
          <w:bCs/>
          <w:caps/>
          <w:szCs w:val="20"/>
          <w:lang w:val="en-US" w:eastAsia="zh-CN" w:bidi="ar-SA"/>
        </w:rPr>
        <w:t>4</w:t>
      </w:r>
      <w:r>
        <w:rPr>
          <w:rFonts w:hint="default" w:ascii="Times New Roman" w:hAnsi="Times New Roman" w:eastAsia="宋体" w:cs="Times New Roman"/>
          <w:bCs w:val="0"/>
          <w:i w:val="0"/>
          <w:iCs/>
          <w:caps/>
          <w:szCs w:val="28"/>
          <w:lang w:val="en-US" w:eastAsia="zh-CN" w:bidi="ar-SA"/>
        </w:rPr>
        <w:t xml:space="preserve">.10 </w:t>
      </w:r>
      <w:r>
        <w:rPr>
          <w:rFonts w:hint="eastAsia" w:ascii="仿宋" w:hAnsi="仿宋" w:eastAsia="仿宋" w:cs="Times New Roman"/>
          <w:bCs/>
          <w:caps/>
          <w:szCs w:val="20"/>
          <w:highlight w:val="none"/>
          <w:lang w:val="en-US" w:eastAsia="zh-CN" w:bidi="ar-SA"/>
        </w:rPr>
        <w:t>★</w:t>
      </w:r>
      <w:r>
        <w:rPr>
          <w:rFonts w:hint="eastAsia" w:ascii="Times New Roman" w:hAnsi="Times New Roman" w:cs="Times New Roman" w:eastAsiaTheme="minorEastAsia"/>
          <w:bCs w:val="0"/>
          <w:caps/>
          <w:szCs w:val="20"/>
          <w:highlight w:val="none"/>
          <w:lang w:val="en-US" w:eastAsia="zh-CN" w:bidi="ar-SA"/>
        </w:rPr>
        <w:t>现场踏勘</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_Toc17629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54</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val="0"/>
          <w:i w:val="0"/>
          <w:iCs/>
          <w:caps/>
          <w:color w:val="auto"/>
          <w:szCs w:val="28"/>
          <w:highlight w:val="none"/>
          <w:lang w:val="en-US" w:eastAsia="zh-CN" w:bidi="ar-SA"/>
        </w:rPr>
        <w:fldChar w:fldCharType="end"/>
      </w:r>
    </w:p>
    <w:p>
      <w:pPr>
        <w:pStyle w:val="39"/>
        <w:tabs>
          <w:tab w:val="right" w:leader="dot" w:pos="9214"/>
        </w:tabs>
        <w:rPr>
          <w:rFonts w:ascii="Times New Roman" w:hAnsi="Times New Roman" w:eastAsia="宋体" w:cs="Times New Roman"/>
          <w:bCs/>
          <w:caps/>
          <w:szCs w:val="20"/>
          <w:lang w:val="en-US" w:eastAsia="zh-CN" w:bidi="ar-SA"/>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_Toc16924 </w:instrText>
      </w:r>
      <w:r>
        <w:rPr>
          <w:rFonts w:ascii="宋体" w:hAnsi="宋体" w:eastAsia="宋体" w:cs="Times New Roman"/>
          <w:bCs w:val="0"/>
          <w:caps/>
          <w:color w:val="auto"/>
          <w:szCs w:val="36"/>
          <w:highlight w:val="none"/>
          <w:lang w:val="en-US" w:eastAsia="zh-CN" w:bidi="ar-SA"/>
        </w:rPr>
        <w:fldChar w:fldCharType="separate"/>
      </w:r>
      <w:r>
        <w:rPr>
          <w:rFonts w:ascii="Times New Roman" w:hAnsi="Times New Roman" w:eastAsia="宋体" w:cs="Times New Roman"/>
          <w:bCs/>
          <w:caps/>
          <w:szCs w:val="20"/>
          <w:lang w:val="en-US" w:eastAsia="zh-CN" w:bidi="ar-SA"/>
        </w:rPr>
        <w:t>4</w:t>
      </w:r>
      <w:r>
        <w:rPr>
          <w:rFonts w:hint="default" w:ascii="Times New Roman" w:hAnsi="Times New Roman" w:eastAsia="宋体" w:cs="Times New Roman"/>
          <w:bCs w:val="0"/>
          <w:i w:val="0"/>
          <w:iCs/>
          <w:caps/>
          <w:szCs w:val="28"/>
          <w:lang w:val="en-US" w:eastAsia="zh-CN" w:bidi="ar-SA"/>
        </w:rPr>
        <w:t xml:space="preserve">.11 </w:t>
      </w:r>
      <w:r>
        <w:rPr>
          <w:rFonts w:hint="eastAsia" w:ascii="仿宋" w:hAnsi="仿宋" w:eastAsia="仿宋" w:cs="Times New Roman"/>
          <w:bCs/>
          <w:caps/>
          <w:szCs w:val="28"/>
          <w:highlight w:val="none"/>
          <w:lang w:val="en-US" w:eastAsia="zh-CN" w:bidi="ar-SA"/>
        </w:rPr>
        <w:t>★</w:t>
      </w:r>
      <w:r>
        <w:rPr>
          <w:rFonts w:hint="eastAsia" w:cs="仿宋" w:asciiTheme="minorEastAsia" w:hAnsiTheme="minorEastAsia" w:eastAsiaTheme="minorEastAsia"/>
          <w:bCs w:val="0"/>
          <w:caps/>
          <w:szCs w:val="28"/>
          <w:highlight w:val="none"/>
          <w:lang w:val="en-US" w:eastAsia="zh-CN" w:bidi="ar-SA"/>
        </w:rPr>
        <w:t>针对本项目的其他技术服务要求</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_Toc16924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54</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val="0"/>
          <w:i w:val="0"/>
          <w:iCs/>
          <w:caps/>
          <w:color w:val="auto"/>
          <w:szCs w:val="28"/>
          <w:highlight w:val="none"/>
          <w:lang w:val="en-US" w:eastAsia="zh-CN" w:bidi="ar-SA"/>
        </w:rPr>
        <w:fldChar w:fldCharType="end"/>
      </w:r>
    </w:p>
    <w:p>
      <w:pPr>
        <w:pStyle w:val="39"/>
        <w:tabs>
          <w:tab w:val="right" w:leader="dot" w:pos="9214"/>
        </w:tabs>
        <w:rPr>
          <w:rFonts w:ascii="Times New Roman" w:hAnsi="Times New Roman" w:eastAsia="宋体" w:cs="Times New Roman"/>
          <w:bCs/>
          <w:caps/>
          <w:szCs w:val="20"/>
          <w:lang w:val="en-US" w:eastAsia="zh-CN" w:bidi="ar-SA"/>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_Toc10844 </w:instrText>
      </w:r>
      <w:r>
        <w:rPr>
          <w:rFonts w:ascii="宋体" w:hAnsi="宋体" w:eastAsia="宋体" w:cs="Times New Roman"/>
          <w:bCs w:val="0"/>
          <w:caps/>
          <w:color w:val="auto"/>
          <w:szCs w:val="36"/>
          <w:highlight w:val="none"/>
          <w:lang w:val="en-US" w:eastAsia="zh-CN" w:bidi="ar-SA"/>
        </w:rPr>
        <w:fldChar w:fldCharType="separate"/>
      </w:r>
      <w:r>
        <w:rPr>
          <w:rFonts w:ascii="Times New Roman" w:hAnsi="Times New Roman" w:eastAsia="宋体" w:cs="Times New Roman"/>
          <w:bCs/>
          <w:caps/>
          <w:szCs w:val="20"/>
          <w:lang w:val="en-US" w:eastAsia="zh-CN" w:bidi="ar-SA"/>
        </w:rPr>
        <w:t>4</w:t>
      </w:r>
      <w:r>
        <w:rPr>
          <w:rFonts w:hint="default" w:ascii="Times New Roman" w:hAnsi="Times New Roman" w:eastAsia="宋体" w:cs="Times New Roman"/>
          <w:bCs/>
          <w:i w:val="0"/>
          <w:iCs/>
          <w:caps/>
          <w:szCs w:val="28"/>
          <w:lang w:val="en-US" w:eastAsia="zh-CN" w:bidi="ar-SA"/>
        </w:rPr>
        <w:t xml:space="preserve">.12 </w:t>
      </w:r>
      <w:r>
        <w:rPr>
          <w:rFonts w:hint="eastAsia" w:ascii="仿宋" w:hAnsi="仿宋" w:eastAsia="仿宋" w:cs="Times New Roman"/>
          <w:bCs/>
          <w:caps/>
          <w:szCs w:val="20"/>
          <w:highlight w:val="none"/>
          <w:lang w:val="en-US" w:eastAsia="zh-CN" w:bidi="ar-SA"/>
        </w:rPr>
        <w:t>★</w:t>
      </w:r>
      <w:r>
        <w:rPr>
          <w:rFonts w:hint="eastAsia" w:ascii="Times New Roman" w:hAnsi="Times New Roman" w:eastAsia="宋体" w:cs="Times New Roman"/>
          <w:bCs/>
          <w:caps/>
          <w:szCs w:val="20"/>
          <w:highlight w:val="none"/>
          <w:lang w:val="en-US" w:eastAsia="zh-CN" w:bidi="ar-SA"/>
        </w:rPr>
        <w:t>验收标准和方法</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_Toc10844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54</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i w:val="0"/>
          <w:iCs/>
          <w:caps/>
          <w:color w:val="auto"/>
          <w:szCs w:val="28"/>
          <w:highlight w:val="none"/>
          <w:lang w:val="en-US" w:eastAsia="zh-CN" w:bidi="ar-SA"/>
        </w:rPr>
        <w:fldChar w:fldCharType="end"/>
      </w:r>
    </w:p>
    <w:p>
      <w:pPr>
        <w:pStyle w:val="39"/>
        <w:tabs>
          <w:tab w:val="right" w:leader="dot" w:pos="9214"/>
        </w:tabs>
        <w:rPr>
          <w:rFonts w:ascii="Times New Roman" w:hAnsi="Times New Roman" w:eastAsia="宋体" w:cs="Times New Roman"/>
          <w:bCs/>
          <w:caps/>
          <w:szCs w:val="20"/>
          <w:lang w:val="en-US" w:eastAsia="zh-CN" w:bidi="ar-SA"/>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_Toc11476 </w:instrText>
      </w:r>
      <w:r>
        <w:rPr>
          <w:rFonts w:ascii="宋体" w:hAnsi="宋体" w:eastAsia="宋体" w:cs="Times New Roman"/>
          <w:bCs w:val="0"/>
          <w:caps/>
          <w:color w:val="auto"/>
          <w:szCs w:val="36"/>
          <w:highlight w:val="none"/>
          <w:lang w:val="en-US" w:eastAsia="zh-CN" w:bidi="ar-SA"/>
        </w:rPr>
        <w:fldChar w:fldCharType="separate"/>
      </w:r>
      <w:r>
        <w:rPr>
          <w:rFonts w:ascii="Times New Roman" w:hAnsi="Times New Roman" w:eastAsia="宋体" w:cs="Times New Roman"/>
          <w:bCs/>
          <w:caps/>
          <w:szCs w:val="20"/>
          <w:lang w:val="en-US" w:eastAsia="zh-CN" w:bidi="ar-SA"/>
        </w:rPr>
        <w:t>4</w:t>
      </w:r>
      <w:r>
        <w:rPr>
          <w:rFonts w:hint="default" w:ascii="Times New Roman" w:hAnsi="Times New Roman" w:eastAsia="宋体" w:cs="Times New Roman"/>
          <w:bCs/>
          <w:i w:val="0"/>
          <w:iCs/>
          <w:caps/>
          <w:szCs w:val="28"/>
          <w:lang w:val="en-US" w:eastAsia="zh-CN" w:bidi="ar-SA"/>
        </w:rPr>
        <w:t xml:space="preserve">.13 </w:t>
      </w:r>
      <w:r>
        <w:rPr>
          <w:rFonts w:hint="eastAsia" w:ascii="Times New Roman" w:hAnsi="Times New Roman" w:eastAsia="宋体" w:cs="Times New Roman"/>
          <w:bCs/>
          <w:caps/>
          <w:szCs w:val="20"/>
          <w:highlight w:val="none"/>
          <w:lang w:val="en-US" w:eastAsia="zh-CN" w:bidi="ar-SA"/>
        </w:rPr>
        <w:t>报价要求</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_Toc11476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54</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i w:val="0"/>
          <w:iCs/>
          <w:caps/>
          <w:color w:val="auto"/>
          <w:szCs w:val="28"/>
          <w:highlight w:val="none"/>
          <w:lang w:val="en-US" w:eastAsia="zh-CN" w:bidi="ar-SA"/>
        </w:rPr>
        <w:fldChar w:fldCharType="end"/>
      </w:r>
    </w:p>
    <w:p>
      <w:pPr>
        <w:pStyle w:val="39"/>
        <w:tabs>
          <w:tab w:val="right" w:leader="dot" w:pos="9214"/>
        </w:tabs>
        <w:rPr>
          <w:rFonts w:ascii="Times New Roman" w:hAnsi="Times New Roman" w:eastAsia="宋体" w:cs="Times New Roman"/>
          <w:bCs/>
          <w:caps/>
          <w:szCs w:val="20"/>
          <w:lang w:val="en-US" w:eastAsia="zh-CN" w:bidi="ar-SA"/>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_Toc8754 </w:instrText>
      </w:r>
      <w:r>
        <w:rPr>
          <w:rFonts w:ascii="宋体" w:hAnsi="宋体" w:eastAsia="宋体" w:cs="Times New Roman"/>
          <w:bCs w:val="0"/>
          <w:caps/>
          <w:color w:val="auto"/>
          <w:szCs w:val="36"/>
          <w:highlight w:val="none"/>
          <w:lang w:val="en-US" w:eastAsia="zh-CN" w:bidi="ar-SA"/>
        </w:rPr>
        <w:fldChar w:fldCharType="separate"/>
      </w:r>
      <w:r>
        <w:rPr>
          <w:rFonts w:ascii="Times New Roman" w:hAnsi="Times New Roman" w:eastAsia="宋体" w:cs="Times New Roman"/>
          <w:bCs/>
          <w:caps/>
          <w:szCs w:val="20"/>
          <w:lang w:val="en-US" w:eastAsia="zh-CN" w:bidi="ar-SA"/>
        </w:rPr>
        <w:t>4</w:t>
      </w:r>
      <w:r>
        <w:rPr>
          <w:rFonts w:hint="default" w:ascii="Times New Roman" w:hAnsi="Times New Roman" w:eastAsia="宋体" w:cs="Times New Roman"/>
          <w:bCs/>
          <w:i w:val="0"/>
          <w:iCs/>
          <w:caps/>
          <w:szCs w:val="28"/>
          <w:lang w:val="en-US" w:eastAsia="zh-CN" w:bidi="ar-SA"/>
        </w:rPr>
        <w:t xml:space="preserve">.14 </w:t>
      </w:r>
      <w:r>
        <w:rPr>
          <w:rFonts w:hint="eastAsia" w:ascii="Times New Roman" w:hAnsi="Times New Roman" w:eastAsia="宋体" w:cs="Times New Roman"/>
          <w:bCs/>
          <w:caps/>
          <w:szCs w:val="20"/>
          <w:highlight w:val="none"/>
          <w:lang w:val="en-US" w:eastAsia="zh-CN" w:bidi="ar-SA"/>
        </w:rPr>
        <w:t>满足采购需求的最低要求</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_Toc8754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54</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i w:val="0"/>
          <w:iCs/>
          <w:caps/>
          <w:color w:val="auto"/>
          <w:szCs w:val="28"/>
          <w:highlight w:val="none"/>
          <w:lang w:val="en-US" w:eastAsia="zh-CN" w:bidi="ar-SA"/>
        </w:rPr>
        <w:fldChar w:fldCharType="end"/>
      </w:r>
    </w:p>
    <w:p>
      <w:pPr>
        <w:pStyle w:val="33"/>
        <w:tabs>
          <w:tab w:val="right" w:leader="dot" w:pos="9214"/>
          <w:tab w:val="clear" w:pos="840"/>
          <w:tab w:val="clear" w:pos="9204"/>
        </w:tabs>
        <w:rPr>
          <w:rFonts w:ascii="Times New Roman" w:hAnsi="Times New Roman" w:eastAsia="宋体" w:cs="Times New Roman"/>
          <w:bCs/>
          <w:caps/>
          <w:szCs w:val="20"/>
          <w:lang w:val="en-US" w:eastAsia="zh-CN" w:bidi="ar-SA"/>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_Toc119 </w:instrText>
      </w:r>
      <w:r>
        <w:rPr>
          <w:rFonts w:ascii="宋体" w:hAnsi="宋体" w:eastAsia="宋体" w:cs="Times New Roman"/>
          <w:bCs w:val="0"/>
          <w:caps/>
          <w:color w:val="auto"/>
          <w:szCs w:val="36"/>
          <w:highlight w:val="none"/>
          <w:lang w:val="en-US" w:eastAsia="zh-CN" w:bidi="ar-SA"/>
        </w:rPr>
        <w:fldChar w:fldCharType="separate"/>
      </w:r>
      <w:r>
        <w:rPr>
          <w:rFonts w:ascii="Times New Roman" w:hAnsi="Times New Roman" w:eastAsia="宋体" w:cs="Times New Roman"/>
          <w:bCs/>
          <w:caps/>
          <w:szCs w:val="20"/>
          <w:lang w:val="en-US" w:eastAsia="zh-CN" w:bidi="ar-SA"/>
        </w:rPr>
        <w:t>第</w:t>
      </w:r>
      <w:r>
        <w:rPr>
          <w:rFonts w:hint="default" w:ascii="Times New Roman" w:hAnsi="Times New Roman" w:eastAsia="宋体" w:cs="Times New Roman"/>
          <w:bCs/>
          <w:i w:val="0"/>
          <w:caps/>
          <w:kern w:val="44"/>
          <w:szCs w:val="32"/>
          <w:lang w:val="en-US" w:eastAsia="zh-CN" w:bidi="ar-SA"/>
        </w:rPr>
        <w:t xml:space="preserve">5章 </w:t>
      </w:r>
      <w:r>
        <w:rPr>
          <w:rFonts w:hint="eastAsia" w:ascii="Times New Roman" w:hAnsi="Times New Roman" w:eastAsia="宋体" w:cs="Times New Roman"/>
          <w:bCs/>
          <w:caps/>
          <w:szCs w:val="20"/>
          <w:highlight w:val="none"/>
          <w:lang w:val="en-US" w:eastAsia="zh-CN" w:bidi="ar-SA"/>
        </w:rPr>
        <w:t>磋商办法</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_Toc119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55</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i w:val="0"/>
          <w:caps/>
          <w:color w:val="auto"/>
          <w:kern w:val="44"/>
          <w:szCs w:val="32"/>
          <w:highlight w:val="none"/>
          <w:lang w:val="en-US" w:eastAsia="zh-CN" w:bidi="ar-SA"/>
        </w:rPr>
        <w:fldChar w:fldCharType="end"/>
      </w:r>
    </w:p>
    <w:p>
      <w:pPr>
        <w:pStyle w:val="39"/>
        <w:tabs>
          <w:tab w:val="right" w:leader="dot" w:pos="9214"/>
        </w:tabs>
        <w:rPr>
          <w:rFonts w:ascii="Times New Roman" w:hAnsi="Times New Roman" w:eastAsia="宋体" w:cs="Times New Roman"/>
          <w:bCs/>
          <w:caps/>
          <w:szCs w:val="20"/>
          <w:lang w:val="en-US" w:eastAsia="zh-CN" w:bidi="ar-SA"/>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_Toc19577 </w:instrText>
      </w:r>
      <w:r>
        <w:rPr>
          <w:rFonts w:ascii="宋体" w:hAnsi="宋体" w:eastAsia="宋体" w:cs="Times New Roman"/>
          <w:bCs w:val="0"/>
          <w:caps/>
          <w:color w:val="auto"/>
          <w:szCs w:val="36"/>
          <w:highlight w:val="none"/>
          <w:lang w:val="en-US" w:eastAsia="zh-CN" w:bidi="ar-SA"/>
        </w:rPr>
        <w:fldChar w:fldCharType="separate"/>
      </w:r>
      <w:r>
        <w:rPr>
          <w:rFonts w:ascii="Times New Roman" w:hAnsi="Times New Roman" w:eastAsia="宋体" w:cs="Times New Roman"/>
          <w:bCs/>
          <w:caps/>
          <w:szCs w:val="20"/>
          <w:lang w:val="en-US" w:eastAsia="zh-CN" w:bidi="ar-SA"/>
        </w:rPr>
        <w:t>5</w:t>
      </w:r>
      <w:r>
        <w:rPr>
          <w:rFonts w:hint="default" w:ascii="Times New Roman" w:hAnsi="Times New Roman" w:eastAsia="宋体" w:cs="Times New Roman"/>
          <w:bCs/>
          <w:i w:val="0"/>
          <w:iCs/>
          <w:caps/>
          <w:szCs w:val="28"/>
          <w:lang w:val="en-US" w:eastAsia="zh-CN" w:bidi="ar-SA"/>
        </w:rPr>
        <w:t xml:space="preserve">.1 </w:t>
      </w:r>
      <w:r>
        <w:rPr>
          <w:rFonts w:hint="eastAsia" w:ascii="Times New Roman" w:hAnsi="Times New Roman" w:eastAsia="宋体" w:cs="Times New Roman"/>
          <w:bCs/>
          <w:caps/>
          <w:szCs w:val="20"/>
          <w:highlight w:val="none"/>
          <w:lang w:val="en-US" w:eastAsia="zh-CN" w:bidi="ar-SA"/>
        </w:rPr>
        <w:t>总则</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_Toc19577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55</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i w:val="0"/>
          <w:iCs/>
          <w:caps/>
          <w:color w:val="auto"/>
          <w:szCs w:val="28"/>
          <w:highlight w:val="none"/>
          <w:lang w:val="en-US" w:eastAsia="zh-CN" w:bidi="ar-SA"/>
        </w:rPr>
        <w:fldChar w:fldCharType="end"/>
      </w:r>
    </w:p>
    <w:p>
      <w:pPr>
        <w:pStyle w:val="39"/>
        <w:tabs>
          <w:tab w:val="right" w:leader="dot" w:pos="9214"/>
        </w:tabs>
        <w:rPr>
          <w:rFonts w:ascii="Times New Roman" w:hAnsi="Times New Roman" w:eastAsia="宋体" w:cs="Times New Roman"/>
          <w:bCs/>
          <w:caps/>
          <w:szCs w:val="20"/>
          <w:lang w:val="en-US" w:eastAsia="zh-CN" w:bidi="ar-SA"/>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_Toc3633 </w:instrText>
      </w:r>
      <w:r>
        <w:rPr>
          <w:rFonts w:ascii="宋体" w:hAnsi="宋体" w:eastAsia="宋体" w:cs="Times New Roman"/>
          <w:bCs w:val="0"/>
          <w:caps/>
          <w:color w:val="auto"/>
          <w:szCs w:val="36"/>
          <w:highlight w:val="none"/>
          <w:lang w:val="en-US" w:eastAsia="zh-CN" w:bidi="ar-SA"/>
        </w:rPr>
        <w:fldChar w:fldCharType="separate"/>
      </w:r>
      <w:r>
        <w:rPr>
          <w:rFonts w:ascii="Times New Roman" w:hAnsi="Times New Roman" w:eastAsia="宋体" w:cs="Times New Roman"/>
          <w:bCs/>
          <w:caps/>
          <w:szCs w:val="20"/>
          <w:lang w:val="en-US" w:eastAsia="zh-CN" w:bidi="ar-SA"/>
        </w:rPr>
        <w:t>5</w:t>
      </w:r>
      <w:r>
        <w:rPr>
          <w:rFonts w:hint="default" w:ascii="Times New Roman" w:hAnsi="Times New Roman" w:eastAsia="宋体" w:cs="Times New Roman"/>
          <w:bCs/>
          <w:i w:val="0"/>
          <w:iCs/>
          <w:caps/>
          <w:szCs w:val="28"/>
          <w:lang w:val="en-US" w:eastAsia="zh-CN" w:bidi="ar-SA"/>
        </w:rPr>
        <w:t xml:space="preserve">.2 </w:t>
      </w:r>
      <w:r>
        <w:rPr>
          <w:rFonts w:hint="eastAsia" w:ascii="Times New Roman" w:hAnsi="Times New Roman" w:eastAsia="宋体" w:cs="Times New Roman"/>
          <w:bCs/>
          <w:caps/>
          <w:szCs w:val="20"/>
          <w:highlight w:val="none"/>
          <w:lang w:val="en-US" w:eastAsia="zh-CN" w:bidi="ar-SA"/>
        </w:rPr>
        <w:t>磋商程序</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_Toc3633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56</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i w:val="0"/>
          <w:iCs/>
          <w:caps/>
          <w:color w:val="auto"/>
          <w:szCs w:val="28"/>
          <w:highlight w:val="none"/>
          <w:lang w:val="en-US" w:eastAsia="zh-CN" w:bidi="ar-SA"/>
        </w:rPr>
        <w:fldChar w:fldCharType="end"/>
      </w:r>
    </w:p>
    <w:p>
      <w:pPr>
        <w:pStyle w:val="39"/>
        <w:tabs>
          <w:tab w:val="right" w:leader="dot" w:pos="9214"/>
        </w:tabs>
        <w:rPr>
          <w:rFonts w:ascii="Times New Roman" w:hAnsi="Times New Roman" w:eastAsia="宋体" w:cs="Times New Roman"/>
          <w:bCs/>
          <w:caps/>
          <w:szCs w:val="20"/>
          <w:lang w:val="en-US" w:eastAsia="zh-CN" w:bidi="ar-SA"/>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_Toc2367 </w:instrText>
      </w:r>
      <w:r>
        <w:rPr>
          <w:rFonts w:ascii="宋体" w:hAnsi="宋体" w:eastAsia="宋体" w:cs="Times New Roman"/>
          <w:bCs w:val="0"/>
          <w:caps/>
          <w:color w:val="auto"/>
          <w:szCs w:val="36"/>
          <w:highlight w:val="none"/>
          <w:lang w:val="en-US" w:eastAsia="zh-CN" w:bidi="ar-SA"/>
        </w:rPr>
        <w:fldChar w:fldCharType="separate"/>
      </w:r>
      <w:r>
        <w:rPr>
          <w:rFonts w:ascii="Times New Roman" w:hAnsi="Times New Roman" w:eastAsia="宋体" w:cs="Times New Roman"/>
          <w:bCs/>
          <w:caps/>
          <w:szCs w:val="20"/>
          <w:lang w:val="en-US" w:eastAsia="zh-CN" w:bidi="ar-SA"/>
        </w:rPr>
        <w:t>5</w:t>
      </w:r>
      <w:r>
        <w:rPr>
          <w:rFonts w:hint="default" w:ascii="Times New Roman" w:hAnsi="Times New Roman" w:eastAsia="宋体" w:cs="Times New Roman"/>
          <w:bCs/>
          <w:i w:val="0"/>
          <w:iCs/>
          <w:caps/>
          <w:szCs w:val="28"/>
          <w:lang w:val="en-US" w:eastAsia="zh-CN" w:bidi="ar-SA"/>
        </w:rPr>
        <w:t xml:space="preserve">.2.1 </w:t>
      </w:r>
      <w:r>
        <w:rPr>
          <w:rFonts w:hint="eastAsia" w:ascii="Times New Roman" w:hAnsi="Times New Roman" w:eastAsia="宋体" w:cs="Times New Roman"/>
          <w:bCs/>
          <w:caps/>
          <w:szCs w:val="20"/>
          <w:highlight w:val="none"/>
          <w:lang w:val="en-US" w:eastAsia="zh-CN" w:bidi="ar-SA"/>
        </w:rPr>
        <w:t>供应商参与</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_Toc2367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56</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i w:val="0"/>
          <w:iCs/>
          <w:caps/>
          <w:color w:val="auto"/>
          <w:szCs w:val="28"/>
          <w:highlight w:val="none"/>
          <w:lang w:val="en-US" w:eastAsia="zh-CN" w:bidi="ar-SA"/>
        </w:rPr>
        <w:fldChar w:fldCharType="end"/>
      </w:r>
    </w:p>
    <w:p>
      <w:pPr>
        <w:pStyle w:val="39"/>
        <w:tabs>
          <w:tab w:val="right" w:leader="dot" w:pos="9214"/>
        </w:tabs>
        <w:rPr>
          <w:rFonts w:ascii="Times New Roman" w:hAnsi="Times New Roman" w:eastAsia="宋体" w:cs="Times New Roman"/>
          <w:bCs/>
          <w:caps/>
          <w:szCs w:val="20"/>
          <w:lang w:val="en-US" w:eastAsia="zh-CN" w:bidi="ar-SA"/>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_Toc800 </w:instrText>
      </w:r>
      <w:r>
        <w:rPr>
          <w:rFonts w:ascii="宋体" w:hAnsi="宋体" w:eastAsia="宋体" w:cs="Times New Roman"/>
          <w:bCs w:val="0"/>
          <w:caps/>
          <w:color w:val="auto"/>
          <w:szCs w:val="36"/>
          <w:highlight w:val="none"/>
          <w:lang w:val="en-US" w:eastAsia="zh-CN" w:bidi="ar-SA"/>
        </w:rPr>
        <w:fldChar w:fldCharType="separate"/>
      </w:r>
      <w:r>
        <w:rPr>
          <w:rFonts w:ascii="Times New Roman" w:hAnsi="Times New Roman" w:eastAsia="宋体" w:cs="Times New Roman"/>
          <w:bCs/>
          <w:caps/>
          <w:szCs w:val="20"/>
          <w:lang w:val="en-US" w:eastAsia="zh-CN" w:bidi="ar-SA"/>
        </w:rPr>
        <w:t>5</w:t>
      </w:r>
      <w:r>
        <w:rPr>
          <w:rFonts w:hint="default" w:ascii="Times New Roman" w:hAnsi="Times New Roman" w:eastAsia="宋体" w:cs="Times New Roman"/>
          <w:bCs/>
          <w:i w:val="0"/>
          <w:iCs/>
          <w:caps/>
          <w:szCs w:val="28"/>
          <w:lang w:val="en-US" w:eastAsia="zh-CN" w:bidi="ar-SA"/>
        </w:rPr>
        <w:t xml:space="preserve">.2.2 </w:t>
      </w:r>
      <w:r>
        <w:rPr>
          <w:rFonts w:hint="eastAsia" w:ascii="Times New Roman" w:hAnsi="Times New Roman" w:eastAsia="宋体" w:cs="Times New Roman"/>
          <w:bCs/>
          <w:caps/>
          <w:szCs w:val="20"/>
          <w:highlight w:val="none"/>
          <w:lang w:val="en-US" w:eastAsia="zh-CN" w:bidi="ar-SA"/>
        </w:rPr>
        <w:t>递交施工响应文件</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_Toc800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56</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i w:val="0"/>
          <w:iCs/>
          <w:caps/>
          <w:color w:val="auto"/>
          <w:szCs w:val="28"/>
          <w:highlight w:val="none"/>
          <w:lang w:val="en-US" w:eastAsia="zh-CN" w:bidi="ar-SA"/>
        </w:rPr>
        <w:fldChar w:fldCharType="end"/>
      </w:r>
    </w:p>
    <w:p>
      <w:pPr>
        <w:pStyle w:val="39"/>
        <w:tabs>
          <w:tab w:val="right" w:leader="dot" w:pos="9214"/>
        </w:tabs>
        <w:rPr>
          <w:rFonts w:ascii="Times New Roman" w:hAnsi="Times New Roman" w:eastAsia="宋体" w:cs="Times New Roman"/>
          <w:bCs/>
          <w:caps/>
          <w:szCs w:val="20"/>
          <w:lang w:val="en-US" w:eastAsia="zh-CN" w:bidi="ar-SA"/>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_Toc4430 </w:instrText>
      </w:r>
      <w:r>
        <w:rPr>
          <w:rFonts w:ascii="宋体" w:hAnsi="宋体" w:eastAsia="宋体" w:cs="Times New Roman"/>
          <w:bCs w:val="0"/>
          <w:caps/>
          <w:color w:val="auto"/>
          <w:szCs w:val="36"/>
          <w:highlight w:val="none"/>
          <w:lang w:val="en-US" w:eastAsia="zh-CN" w:bidi="ar-SA"/>
        </w:rPr>
        <w:fldChar w:fldCharType="separate"/>
      </w:r>
      <w:r>
        <w:rPr>
          <w:rFonts w:ascii="Times New Roman" w:hAnsi="Times New Roman" w:eastAsia="宋体" w:cs="Times New Roman"/>
          <w:bCs/>
          <w:caps/>
          <w:szCs w:val="20"/>
          <w:lang w:val="en-US" w:eastAsia="zh-CN" w:bidi="ar-SA"/>
        </w:rPr>
        <w:t>5</w:t>
      </w:r>
      <w:r>
        <w:rPr>
          <w:rFonts w:hint="default" w:ascii="Times New Roman" w:hAnsi="Times New Roman" w:eastAsia="宋体" w:cs="Times New Roman"/>
          <w:bCs/>
          <w:i w:val="0"/>
          <w:iCs/>
          <w:caps/>
          <w:szCs w:val="28"/>
          <w:lang w:val="en-US" w:eastAsia="zh-CN" w:bidi="ar-SA"/>
        </w:rPr>
        <w:t xml:space="preserve">.2.3 </w:t>
      </w:r>
      <w:r>
        <w:rPr>
          <w:rFonts w:hint="eastAsia" w:ascii="Times New Roman" w:hAnsi="Times New Roman" w:eastAsia="宋体" w:cs="Times New Roman"/>
          <w:bCs/>
          <w:caps/>
          <w:szCs w:val="20"/>
          <w:highlight w:val="none"/>
          <w:lang w:val="en-US" w:eastAsia="zh-CN" w:bidi="ar-SA"/>
        </w:rPr>
        <w:t>确定邀请参加磋商的供应商数量</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_Toc4430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57</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i w:val="0"/>
          <w:iCs/>
          <w:caps/>
          <w:color w:val="auto"/>
          <w:szCs w:val="28"/>
          <w:highlight w:val="none"/>
          <w:lang w:val="en-US" w:eastAsia="zh-CN" w:bidi="ar-SA"/>
        </w:rPr>
        <w:fldChar w:fldCharType="end"/>
      </w:r>
    </w:p>
    <w:p>
      <w:pPr>
        <w:pStyle w:val="39"/>
        <w:tabs>
          <w:tab w:val="right" w:leader="dot" w:pos="9214"/>
        </w:tabs>
        <w:rPr>
          <w:rFonts w:ascii="Times New Roman" w:hAnsi="Times New Roman" w:eastAsia="宋体" w:cs="Times New Roman"/>
          <w:bCs/>
          <w:caps/>
          <w:szCs w:val="20"/>
          <w:lang w:val="en-US" w:eastAsia="zh-CN" w:bidi="ar-SA"/>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_Toc31874 </w:instrText>
      </w:r>
      <w:r>
        <w:rPr>
          <w:rFonts w:ascii="宋体" w:hAnsi="宋体" w:eastAsia="宋体" w:cs="Times New Roman"/>
          <w:bCs w:val="0"/>
          <w:caps/>
          <w:color w:val="auto"/>
          <w:szCs w:val="36"/>
          <w:highlight w:val="none"/>
          <w:lang w:val="en-US" w:eastAsia="zh-CN" w:bidi="ar-SA"/>
        </w:rPr>
        <w:fldChar w:fldCharType="separate"/>
      </w:r>
      <w:r>
        <w:rPr>
          <w:rFonts w:ascii="Times New Roman" w:hAnsi="Times New Roman" w:eastAsia="宋体" w:cs="Times New Roman"/>
          <w:bCs/>
          <w:caps/>
          <w:szCs w:val="20"/>
          <w:lang w:val="en-US" w:eastAsia="zh-CN" w:bidi="ar-SA"/>
        </w:rPr>
        <w:t>5</w:t>
      </w:r>
      <w:r>
        <w:rPr>
          <w:rFonts w:hint="default" w:ascii="Times New Roman" w:hAnsi="Times New Roman" w:eastAsia="宋体" w:cs="Times New Roman"/>
          <w:bCs/>
          <w:i w:val="0"/>
          <w:iCs/>
          <w:caps/>
          <w:szCs w:val="28"/>
          <w:lang w:val="en-US" w:eastAsia="zh-CN" w:bidi="ar-SA"/>
        </w:rPr>
        <w:t xml:space="preserve">.2.4 </w:t>
      </w:r>
      <w:r>
        <w:rPr>
          <w:rFonts w:hint="eastAsia" w:ascii="Times New Roman" w:hAnsi="Times New Roman" w:eastAsia="宋体" w:cs="Times New Roman"/>
          <w:bCs/>
          <w:caps/>
          <w:szCs w:val="20"/>
          <w:highlight w:val="none"/>
          <w:lang w:val="en-US" w:eastAsia="zh-CN" w:bidi="ar-SA"/>
        </w:rPr>
        <w:t>成立磋商小组</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_Toc31874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57</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i w:val="0"/>
          <w:iCs/>
          <w:caps/>
          <w:color w:val="auto"/>
          <w:szCs w:val="28"/>
          <w:highlight w:val="none"/>
          <w:lang w:val="en-US" w:eastAsia="zh-CN" w:bidi="ar-SA"/>
        </w:rPr>
        <w:fldChar w:fldCharType="end"/>
      </w:r>
    </w:p>
    <w:p>
      <w:pPr>
        <w:pStyle w:val="39"/>
        <w:tabs>
          <w:tab w:val="right" w:leader="dot" w:pos="9214"/>
        </w:tabs>
        <w:rPr>
          <w:rFonts w:ascii="Times New Roman" w:hAnsi="Times New Roman" w:eastAsia="宋体" w:cs="Times New Roman"/>
          <w:bCs/>
          <w:caps/>
          <w:szCs w:val="20"/>
          <w:lang w:val="en-US" w:eastAsia="zh-CN" w:bidi="ar-SA"/>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_Toc7708 </w:instrText>
      </w:r>
      <w:r>
        <w:rPr>
          <w:rFonts w:ascii="宋体" w:hAnsi="宋体" w:eastAsia="宋体" w:cs="Times New Roman"/>
          <w:bCs w:val="0"/>
          <w:caps/>
          <w:color w:val="auto"/>
          <w:szCs w:val="36"/>
          <w:highlight w:val="none"/>
          <w:lang w:val="en-US" w:eastAsia="zh-CN" w:bidi="ar-SA"/>
        </w:rPr>
        <w:fldChar w:fldCharType="separate"/>
      </w:r>
      <w:r>
        <w:rPr>
          <w:rFonts w:ascii="Times New Roman" w:hAnsi="Times New Roman" w:eastAsia="宋体" w:cs="Times New Roman"/>
          <w:bCs/>
          <w:caps/>
          <w:szCs w:val="20"/>
          <w:lang w:val="en-US" w:eastAsia="zh-CN" w:bidi="ar-SA"/>
        </w:rPr>
        <w:t>5</w:t>
      </w:r>
      <w:r>
        <w:rPr>
          <w:rFonts w:hint="default" w:ascii="Times New Roman" w:hAnsi="Times New Roman" w:eastAsia="宋体" w:cs="Times New Roman"/>
          <w:bCs/>
          <w:i w:val="0"/>
          <w:iCs/>
          <w:caps/>
          <w:szCs w:val="28"/>
          <w:lang w:val="en-US" w:eastAsia="zh-CN" w:bidi="ar-SA"/>
        </w:rPr>
        <w:t xml:space="preserve">.2.5 </w:t>
      </w:r>
      <w:r>
        <w:rPr>
          <w:rFonts w:hint="eastAsia" w:ascii="Times New Roman" w:hAnsi="Times New Roman" w:eastAsia="宋体" w:cs="Times New Roman"/>
          <w:bCs/>
          <w:caps/>
          <w:szCs w:val="20"/>
          <w:highlight w:val="none"/>
          <w:lang w:val="en-US" w:eastAsia="zh-CN" w:bidi="ar-SA"/>
        </w:rPr>
        <w:t>磋商</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_Toc7708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57</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i w:val="0"/>
          <w:iCs/>
          <w:caps/>
          <w:color w:val="auto"/>
          <w:szCs w:val="28"/>
          <w:highlight w:val="none"/>
          <w:lang w:val="en-US" w:eastAsia="zh-CN" w:bidi="ar-SA"/>
        </w:rPr>
        <w:fldChar w:fldCharType="end"/>
      </w:r>
    </w:p>
    <w:p>
      <w:pPr>
        <w:pStyle w:val="39"/>
        <w:tabs>
          <w:tab w:val="right" w:leader="dot" w:pos="9214"/>
        </w:tabs>
        <w:rPr>
          <w:rFonts w:ascii="Times New Roman" w:hAnsi="Times New Roman" w:eastAsia="宋体" w:cs="Times New Roman"/>
          <w:bCs/>
          <w:caps/>
          <w:szCs w:val="20"/>
          <w:lang w:val="en-US" w:eastAsia="zh-CN" w:bidi="ar-SA"/>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_Toc25183 </w:instrText>
      </w:r>
      <w:r>
        <w:rPr>
          <w:rFonts w:ascii="宋体" w:hAnsi="宋体" w:eastAsia="宋体" w:cs="Times New Roman"/>
          <w:bCs w:val="0"/>
          <w:caps/>
          <w:color w:val="auto"/>
          <w:szCs w:val="36"/>
          <w:highlight w:val="none"/>
          <w:lang w:val="en-US" w:eastAsia="zh-CN" w:bidi="ar-SA"/>
        </w:rPr>
        <w:fldChar w:fldCharType="separate"/>
      </w:r>
      <w:r>
        <w:rPr>
          <w:rFonts w:ascii="Times New Roman" w:hAnsi="Times New Roman" w:eastAsia="宋体" w:cs="Times New Roman"/>
          <w:bCs/>
          <w:caps/>
          <w:szCs w:val="20"/>
          <w:lang w:val="en-US" w:eastAsia="zh-CN" w:bidi="ar-SA"/>
        </w:rPr>
        <w:t>5</w:t>
      </w:r>
      <w:r>
        <w:rPr>
          <w:rFonts w:hint="default" w:ascii="Times New Roman" w:hAnsi="Times New Roman" w:eastAsia="宋体" w:cs="Times New Roman"/>
          <w:bCs/>
          <w:i w:val="0"/>
          <w:iCs/>
          <w:caps/>
          <w:szCs w:val="28"/>
          <w:lang w:val="en-US" w:eastAsia="zh-CN" w:bidi="ar-SA"/>
        </w:rPr>
        <w:t xml:space="preserve">.2.6 </w:t>
      </w:r>
      <w:r>
        <w:rPr>
          <w:rFonts w:hint="eastAsia" w:ascii="Times New Roman" w:hAnsi="Times New Roman" w:eastAsia="宋体" w:cs="Times New Roman"/>
          <w:bCs/>
          <w:caps/>
          <w:szCs w:val="20"/>
          <w:highlight w:val="none"/>
          <w:lang w:val="en-US" w:eastAsia="zh-CN" w:bidi="ar-SA"/>
        </w:rPr>
        <w:t>符合性审查</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_Toc25183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58</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i w:val="0"/>
          <w:iCs/>
          <w:caps/>
          <w:color w:val="auto"/>
          <w:szCs w:val="28"/>
          <w:highlight w:val="none"/>
          <w:lang w:val="en-US" w:eastAsia="zh-CN" w:bidi="ar-SA"/>
        </w:rPr>
        <w:fldChar w:fldCharType="end"/>
      </w:r>
    </w:p>
    <w:p>
      <w:pPr>
        <w:pStyle w:val="39"/>
        <w:tabs>
          <w:tab w:val="right" w:leader="dot" w:pos="9214"/>
        </w:tabs>
        <w:rPr>
          <w:rFonts w:ascii="Times New Roman" w:hAnsi="Times New Roman" w:eastAsia="宋体" w:cs="Times New Roman"/>
          <w:bCs/>
          <w:caps/>
          <w:szCs w:val="20"/>
          <w:lang w:val="en-US" w:eastAsia="zh-CN" w:bidi="ar-SA"/>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_Toc25171 </w:instrText>
      </w:r>
      <w:r>
        <w:rPr>
          <w:rFonts w:ascii="宋体" w:hAnsi="宋体" w:eastAsia="宋体" w:cs="Times New Roman"/>
          <w:bCs w:val="0"/>
          <w:caps/>
          <w:color w:val="auto"/>
          <w:szCs w:val="36"/>
          <w:highlight w:val="none"/>
          <w:lang w:val="en-US" w:eastAsia="zh-CN" w:bidi="ar-SA"/>
        </w:rPr>
        <w:fldChar w:fldCharType="separate"/>
      </w:r>
      <w:r>
        <w:rPr>
          <w:rFonts w:ascii="Times New Roman" w:hAnsi="Times New Roman" w:eastAsia="宋体" w:cs="Times New Roman"/>
          <w:bCs/>
          <w:caps/>
          <w:szCs w:val="20"/>
          <w:lang w:val="en-US" w:eastAsia="zh-CN" w:bidi="ar-SA"/>
        </w:rPr>
        <w:t>5</w:t>
      </w:r>
      <w:r>
        <w:rPr>
          <w:rFonts w:hint="default" w:ascii="Times New Roman" w:hAnsi="Times New Roman" w:eastAsia="宋体" w:cs="Times New Roman"/>
          <w:bCs/>
          <w:i w:val="0"/>
          <w:iCs/>
          <w:caps/>
          <w:szCs w:val="28"/>
          <w:lang w:val="en-US" w:eastAsia="zh-CN" w:bidi="ar-SA"/>
        </w:rPr>
        <w:t xml:space="preserve">.2.7 </w:t>
      </w:r>
      <w:r>
        <w:rPr>
          <w:rFonts w:hint="eastAsia" w:ascii="Times New Roman" w:hAnsi="Times New Roman" w:eastAsia="宋体" w:cs="Times New Roman"/>
          <w:bCs/>
          <w:caps/>
          <w:szCs w:val="20"/>
          <w:highlight w:val="none"/>
          <w:lang w:val="en-US" w:eastAsia="zh-CN" w:bidi="ar-SA"/>
        </w:rPr>
        <w:t>最后报价审查</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_Toc25171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61</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i w:val="0"/>
          <w:iCs/>
          <w:caps/>
          <w:color w:val="auto"/>
          <w:szCs w:val="28"/>
          <w:highlight w:val="none"/>
          <w:lang w:val="en-US" w:eastAsia="zh-CN" w:bidi="ar-SA"/>
        </w:rPr>
        <w:fldChar w:fldCharType="end"/>
      </w:r>
    </w:p>
    <w:p>
      <w:pPr>
        <w:pStyle w:val="39"/>
        <w:tabs>
          <w:tab w:val="right" w:leader="dot" w:pos="9214"/>
        </w:tabs>
        <w:rPr>
          <w:rFonts w:ascii="Times New Roman" w:hAnsi="Times New Roman" w:eastAsia="宋体" w:cs="Times New Roman"/>
          <w:bCs/>
          <w:caps/>
          <w:szCs w:val="20"/>
          <w:lang w:val="en-US" w:eastAsia="zh-CN" w:bidi="ar-SA"/>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_Toc25712 </w:instrText>
      </w:r>
      <w:r>
        <w:rPr>
          <w:rFonts w:ascii="宋体" w:hAnsi="宋体" w:eastAsia="宋体" w:cs="Times New Roman"/>
          <w:bCs w:val="0"/>
          <w:caps/>
          <w:color w:val="auto"/>
          <w:szCs w:val="36"/>
          <w:highlight w:val="none"/>
          <w:lang w:val="en-US" w:eastAsia="zh-CN" w:bidi="ar-SA"/>
        </w:rPr>
        <w:fldChar w:fldCharType="separate"/>
      </w:r>
      <w:r>
        <w:rPr>
          <w:rFonts w:ascii="Times New Roman" w:hAnsi="Times New Roman" w:eastAsia="宋体" w:cs="Times New Roman"/>
          <w:bCs/>
          <w:caps/>
          <w:szCs w:val="20"/>
          <w:lang w:val="en-US" w:eastAsia="zh-CN" w:bidi="ar-SA"/>
        </w:rPr>
        <w:t>5</w:t>
      </w:r>
      <w:r>
        <w:rPr>
          <w:rFonts w:hint="default" w:ascii="Times New Roman" w:hAnsi="Times New Roman" w:eastAsia="宋体" w:cs="Times New Roman"/>
          <w:bCs/>
          <w:i w:val="0"/>
          <w:iCs/>
          <w:caps/>
          <w:szCs w:val="28"/>
          <w:lang w:val="en-US" w:eastAsia="zh-CN" w:bidi="ar-SA"/>
        </w:rPr>
        <w:t xml:space="preserve">.2.8 </w:t>
      </w:r>
      <w:r>
        <w:rPr>
          <w:rFonts w:hint="eastAsia" w:ascii="Times New Roman" w:hAnsi="Times New Roman" w:eastAsia="宋体" w:cs="Times New Roman"/>
          <w:bCs/>
          <w:caps/>
          <w:szCs w:val="20"/>
          <w:highlight w:val="none"/>
          <w:lang w:val="en-US" w:eastAsia="zh-CN" w:bidi="ar-SA"/>
        </w:rPr>
        <w:t>解释、澄清、说明的有关问题</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_Toc25712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63</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i w:val="0"/>
          <w:iCs/>
          <w:caps/>
          <w:color w:val="auto"/>
          <w:szCs w:val="28"/>
          <w:highlight w:val="none"/>
          <w:lang w:val="en-US" w:eastAsia="zh-CN" w:bidi="ar-SA"/>
        </w:rPr>
        <w:fldChar w:fldCharType="end"/>
      </w:r>
    </w:p>
    <w:p>
      <w:pPr>
        <w:pStyle w:val="39"/>
        <w:tabs>
          <w:tab w:val="right" w:leader="dot" w:pos="9214"/>
        </w:tabs>
        <w:rPr>
          <w:rFonts w:ascii="Times New Roman" w:hAnsi="Times New Roman" w:eastAsia="宋体" w:cs="Times New Roman"/>
          <w:bCs/>
          <w:caps/>
          <w:szCs w:val="20"/>
          <w:lang w:val="en-US" w:eastAsia="zh-CN" w:bidi="ar-SA"/>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_Toc24472 </w:instrText>
      </w:r>
      <w:r>
        <w:rPr>
          <w:rFonts w:ascii="宋体" w:hAnsi="宋体" w:eastAsia="宋体" w:cs="Times New Roman"/>
          <w:bCs w:val="0"/>
          <w:caps/>
          <w:color w:val="auto"/>
          <w:szCs w:val="36"/>
          <w:highlight w:val="none"/>
          <w:lang w:val="en-US" w:eastAsia="zh-CN" w:bidi="ar-SA"/>
        </w:rPr>
        <w:fldChar w:fldCharType="separate"/>
      </w:r>
      <w:r>
        <w:rPr>
          <w:rFonts w:ascii="Times New Roman" w:hAnsi="Times New Roman" w:eastAsia="宋体" w:cs="Times New Roman"/>
          <w:bCs/>
          <w:caps/>
          <w:szCs w:val="20"/>
          <w:lang w:val="en-US" w:eastAsia="zh-CN" w:bidi="ar-SA"/>
        </w:rPr>
        <w:t>5</w:t>
      </w:r>
      <w:r>
        <w:rPr>
          <w:rFonts w:hint="default" w:ascii="Times New Roman" w:hAnsi="Times New Roman" w:eastAsia="宋体" w:cs="Times New Roman"/>
          <w:bCs/>
          <w:i w:val="0"/>
          <w:iCs/>
          <w:caps/>
          <w:szCs w:val="28"/>
          <w:lang w:val="en-US" w:eastAsia="zh-CN" w:bidi="ar-SA"/>
        </w:rPr>
        <w:t xml:space="preserve">.2.9 </w:t>
      </w:r>
      <w:r>
        <w:rPr>
          <w:rFonts w:hint="eastAsia" w:ascii="Times New Roman" w:hAnsi="Times New Roman" w:eastAsia="宋体" w:cs="Times New Roman"/>
          <w:bCs/>
          <w:caps/>
          <w:szCs w:val="20"/>
          <w:highlight w:val="none"/>
          <w:lang w:val="en-US" w:eastAsia="zh-CN" w:bidi="ar-SA"/>
        </w:rPr>
        <w:t>比较与评价</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_Toc24472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64</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i w:val="0"/>
          <w:iCs/>
          <w:caps/>
          <w:color w:val="auto"/>
          <w:szCs w:val="28"/>
          <w:highlight w:val="none"/>
          <w:lang w:val="en-US" w:eastAsia="zh-CN" w:bidi="ar-SA"/>
        </w:rPr>
        <w:fldChar w:fldCharType="end"/>
      </w:r>
    </w:p>
    <w:p>
      <w:pPr>
        <w:pStyle w:val="39"/>
        <w:tabs>
          <w:tab w:val="right" w:leader="dot" w:pos="9214"/>
        </w:tabs>
        <w:rPr>
          <w:rFonts w:ascii="Times New Roman" w:hAnsi="Times New Roman" w:eastAsia="宋体" w:cs="Times New Roman"/>
          <w:bCs/>
          <w:caps/>
          <w:szCs w:val="20"/>
          <w:lang w:val="en-US" w:eastAsia="zh-CN" w:bidi="ar-SA"/>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_Toc4950 </w:instrText>
      </w:r>
      <w:r>
        <w:rPr>
          <w:rFonts w:ascii="宋体" w:hAnsi="宋体" w:eastAsia="宋体" w:cs="Times New Roman"/>
          <w:bCs w:val="0"/>
          <w:caps/>
          <w:color w:val="auto"/>
          <w:szCs w:val="36"/>
          <w:highlight w:val="none"/>
          <w:lang w:val="en-US" w:eastAsia="zh-CN" w:bidi="ar-SA"/>
        </w:rPr>
        <w:fldChar w:fldCharType="separate"/>
      </w:r>
      <w:r>
        <w:rPr>
          <w:rFonts w:ascii="Times New Roman" w:hAnsi="Times New Roman" w:eastAsia="宋体" w:cs="Times New Roman"/>
          <w:bCs/>
          <w:caps/>
          <w:szCs w:val="20"/>
          <w:lang w:val="en-US" w:eastAsia="zh-CN" w:bidi="ar-SA"/>
        </w:rPr>
        <w:t>5</w:t>
      </w:r>
      <w:r>
        <w:rPr>
          <w:rFonts w:hint="default" w:ascii="Times New Roman" w:hAnsi="Times New Roman" w:eastAsia="宋体" w:cs="Times New Roman"/>
          <w:bCs/>
          <w:i w:val="0"/>
          <w:iCs/>
          <w:caps/>
          <w:szCs w:val="28"/>
          <w:lang w:val="en-US" w:eastAsia="zh-CN" w:bidi="ar-SA"/>
        </w:rPr>
        <w:t xml:space="preserve">.2.10 </w:t>
      </w:r>
      <w:r>
        <w:rPr>
          <w:rFonts w:hint="eastAsia" w:ascii="Times New Roman" w:hAnsi="Times New Roman" w:eastAsia="宋体" w:cs="Times New Roman"/>
          <w:bCs/>
          <w:caps/>
          <w:szCs w:val="20"/>
          <w:highlight w:val="none"/>
          <w:lang w:val="en-US" w:eastAsia="zh-CN" w:bidi="ar-SA"/>
        </w:rPr>
        <w:t>磋商小组复核</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_Toc4950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64</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i w:val="0"/>
          <w:iCs/>
          <w:caps/>
          <w:color w:val="auto"/>
          <w:szCs w:val="28"/>
          <w:highlight w:val="none"/>
          <w:lang w:val="en-US" w:eastAsia="zh-CN" w:bidi="ar-SA"/>
        </w:rPr>
        <w:fldChar w:fldCharType="end"/>
      </w:r>
    </w:p>
    <w:p>
      <w:pPr>
        <w:pStyle w:val="39"/>
        <w:tabs>
          <w:tab w:val="right" w:leader="dot" w:pos="9214"/>
        </w:tabs>
        <w:rPr>
          <w:rFonts w:ascii="Times New Roman" w:hAnsi="Times New Roman" w:eastAsia="宋体" w:cs="Times New Roman"/>
          <w:bCs/>
          <w:caps/>
          <w:szCs w:val="20"/>
          <w:lang w:val="en-US" w:eastAsia="zh-CN" w:bidi="ar-SA"/>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_Toc19312 </w:instrText>
      </w:r>
      <w:r>
        <w:rPr>
          <w:rFonts w:ascii="宋体" w:hAnsi="宋体" w:eastAsia="宋体" w:cs="Times New Roman"/>
          <w:bCs w:val="0"/>
          <w:caps/>
          <w:color w:val="auto"/>
          <w:szCs w:val="36"/>
          <w:highlight w:val="none"/>
          <w:lang w:val="en-US" w:eastAsia="zh-CN" w:bidi="ar-SA"/>
        </w:rPr>
        <w:fldChar w:fldCharType="separate"/>
      </w:r>
      <w:r>
        <w:rPr>
          <w:rFonts w:ascii="Times New Roman" w:hAnsi="Times New Roman" w:eastAsia="宋体" w:cs="Times New Roman"/>
          <w:bCs/>
          <w:caps/>
          <w:szCs w:val="20"/>
          <w:lang w:val="en-US" w:eastAsia="zh-CN" w:bidi="ar-SA"/>
        </w:rPr>
        <w:t>5</w:t>
      </w:r>
      <w:r>
        <w:rPr>
          <w:rFonts w:hint="default" w:ascii="Times New Roman" w:hAnsi="Times New Roman" w:eastAsia="宋体" w:cs="Times New Roman"/>
          <w:bCs/>
          <w:i w:val="0"/>
          <w:iCs/>
          <w:caps/>
          <w:szCs w:val="28"/>
          <w:lang w:val="en-US" w:eastAsia="zh-CN" w:bidi="ar-SA"/>
        </w:rPr>
        <w:t xml:space="preserve">.2.11 </w:t>
      </w:r>
      <w:r>
        <w:rPr>
          <w:rFonts w:hint="eastAsia" w:ascii="Times New Roman" w:hAnsi="Times New Roman" w:eastAsia="宋体" w:cs="Times New Roman"/>
          <w:bCs/>
          <w:caps/>
          <w:szCs w:val="20"/>
          <w:highlight w:val="none"/>
          <w:lang w:val="en-US" w:eastAsia="zh-CN" w:bidi="ar-SA"/>
        </w:rPr>
        <w:t>推荐成交候选供应商</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_Toc19312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65</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i w:val="0"/>
          <w:iCs/>
          <w:caps/>
          <w:color w:val="auto"/>
          <w:szCs w:val="28"/>
          <w:highlight w:val="none"/>
          <w:lang w:val="en-US" w:eastAsia="zh-CN" w:bidi="ar-SA"/>
        </w:rPr>
        <w:fldChar w:fldCharType="end"/>
      </w:r>
    </w:p>
    <w:p>
      <w:pPr>
        <w:pStyle w:val="39"/>
        <w:tabs>
          <w:tab w:val="right" w:leader="dot" w:pos="9214"/>
        </w:tabs>
        <w:rPr>
          <w:rFonts w:ascii="Times New Roman" w:hAnsi="Times New Roman" w:eastAsia="宋体" w:cs="Times New Roman"/>
          <w:bCs/>
          <w:caps/>
          <w:szCs w:val="20"/>
          <w:lang w:val="en-US" w:eastAsia="zh-CN" w:bidi="ar-SA"/>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_Toc8276 </w:instrText>
      </w:r>
      <w:r>
        <w:rPr>
          <w:rFonts w:ascii="宋体" w:hAnsi="宋体" w:eastAsia="宋体" w:cs="Times New Roman"/>
          <w:bCs w:val="0"/>
          <w:caps/>
          <w:color w:val="auto"/>
          <w:szCs w:val="36"/>
          <w:highlight w:val="none"/>
          <w:lang w:val="en-US" w:eastAsia="zh-CN" w:bidi="ar-SA"/>
        </w:rPr>
        <w:fldChar w:fldCharType="separate"/>
      </w:r>
      <w:r>
        <w:rPr>
          <w:rFonts w:ascii="Times New Roman" w:hAnsi="Times New Roman" w:eastAsia="宋体" w:cs="Times New Roman"/>
          <w:bCs/>
          <w:caps/>
          <w:szCs w:val="20"/>
          <w:lang w:val="en-US" w:eastAsia="zh-CN" w:bidi="ar-SA"/>
        </w:rPr>
        <w:t>5</w:t>
      </w:r>
      <w:r>
        <w:rPr>
          <w:rFonts w:hint="default" w:ascii="Times New Roman" w:hAnsi="Times New Roman" w:eastAsia="宋体" w:cs="Times New Roman"/>
          <w:bCs/>
          <w:i w:val="0"/>
          <w:iCs/>
          <w:caps/>
          <w:szCs w:val="28"/>
          <w:lang w:val="en-US" w:eastAsia="zh-CN" w:bidi="ar-SA"/>
        </w:rPr>
        <w:t xml:space="preserve">.2.12 </w:t>
      </w:r>
      <w:r>
        <w:rPr>
          <w:rFonts w:hint="eastAsia" w:ascii="Times New Roman" w:hAnsi="Times New Roman" w:eastAsia="宋体" w:cs="Times New Roman"/>
          <w:bCs/>
          <w:caps/>
          <w:szCs w:val="20"/>
          <w:highlight w:val="none"/>
          <w:lang w:val="en-US" w:eastAsia="zh-CN" w:bidi="ar-SA"/>
        </w:rPr>
        <w:t>编写磋商报告</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_Toc8276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65</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i w:val="0"/>
          <w:iCs/>
          <w:caps/>
          <w:color w:val="auto"/>
          <w:szCs w:val="28"/>
          <w:highlight w:val="none"/>
          <w:lang w:val="en-US" w:eastAsia="zh-CN" w:bidi="ar-SA"/>
        </w:rPr>
        <w:fldChar w:fldCharType="end"/>
      </w:r>
    </w:p>
    <w:p>
      <w:pPr>
        <w:pStyle w:val="39"/>
        <w:tabs>
          <w:tab w:val="right" w:leader="dot" w:pos="9214"/>
        </w:tabs>
        <w:rPr>
          <w:rFonts w:ascii="Times New Roman" w:hAnsi="Times New Roman" w:eastAsia="宋体" w:cs="Times New Roman"/>
          <w:bCs/>
          <w:caps/>
          <w:szCs w:val="20"/>
          <w:lang w:val="en-US" w:eastAsia="zh-CN" w:bidi="ar-SA"/>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_Toc1149 </w:instrText>
      </w:r>
      <w:r>
        <w:rPr>
          <w:rFonts w:ascii="宋体" w:hAnsi="宋体" w:eastAsia="宋体" w:cs="Times New Roman"/>
          <w:bCs w:val="0"/>
          <w:caps/>
          <w:color w:val="auto"/>
          <w:szCs w:val="36"/>
          <w:highlight w:val="none"/>
          <w:lang w:val="en-US" w:eastAsia="zh-CN" w:bidi="ar-SA"/>
        </w:rPr>
        <w:fldChar w:fldCharType="separate"/>
      </w:r>
      <w:r>
        <w:rPr>
          <w:rFonts w:ascii="Times New Roman" w:hAnsi="Times New Roman" w:eastAsia="宋体" w:cs="Times New Roman"/>
          <w:bCs/>
          <w:caps/>
          <w:szCs w:val="20"/>
          <w:lang w:val="en-US" w:eastAsia="zh-CN" w:bidi="ar-SA"/>
        </w:rPr>
        <w:t>5</w:t>
      </w:r>
      <w:r>
        <w:rPr>
          <w:rFonts w:hint="default" w:ascii="Times New Roman" w:hAnsi="Times New Roman" w:eastAsia="宋体" w:cs="Times New Roman"/>
          <w:bCs/>
          <w:i w:val="0"/>
          <w:iCs/>
          <w:caps/>
          <w:szCs w:val="28"/>
          <w:lang w:val="en-US" w:eastAsia="zh-CN" w:bidi="ar-SA"/>
        </w:rPr>
        <w:t xml:space="preserve">.2.13 </w:t>
      </w:r>
      <w:r>
        <w:rPr>
          <w:rFonts w:hint="eastAsia" w:ascii="Times New Roman" w:hAnsi="Times New Roman" w:eastAsia="宋体" w:cs="Times New Roman"/>
          <w:bCs/>
          <w:caps/>
          <w:szCs w:val="20"/>
          <w:highlight w:val="none"/>
          <w:lang w:val="en-US" w:eastAsia="zh-CN" w:bidi="ar-SA"/>
        </w:rPr>
        <w:t>争议处理规则</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_Toc1149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66</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i w:val="0"/>
          <w:iCs/>
          <w:caps/>
          <w:color w:val="auto"/>
          <w:szCs w:val="28"/>
          <w:highlight w:val="none"/>
          <w:lang w:val="en-US" w:eastAsia="zh-CN" w:bidi="ar-SA"/>
        </w:rPr>
        <w:fldChar w:fldCharType="end"/>
      </w:r>
    </w:p>
    <w:p>
      <w:pPr>
        <w:pStyle w:val="39"/>
        <w:tabs>
          <w:tab w:val="right" w:leader="dot" w:pos="9214"/>
        </w:tabs>
        <w:rPr>
          <w:rFonts w:ascii="Times New Roman" w:hAnsi="Times New Roman" w:eastAsia="宋体" w:cs="Times New Roman"/>
          <w:bCs/>
          <w:caps/>
          <w:szCs w:val="20"/>
          <w:lang w:val="en-US" w:eastAsia="zh-CN" w:bidi="ar-SA"/>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_Toc24630 </w:instrText>
      </w:r>
      <w:r>
        <w:rPr>
          <w:rFonts w:ascii="宋体" w:hAnsi="宋体" w:eastAsia="宋体" w:cs="Times New Roman"/>
          <w:bCs w:val="0"/>
          <w:caps/>
          <w:color w:val="auto"/>
          <w:szCs w:val="36"/>
          <w:highlight w:val="none"/>
          <w:lang w:val="en-US" w:eastAsia="zh-CN" w:bidi="ar-SA"/>
        </w:rPr>
        <w:fldChar w:fldCharType="separate"/>
      </w:r>
      <w:r>
        <w:rPr>
          <w:rFonts w:ascii="Times New Roman" w:hAnsi="Times New Roman" w:eastAsia="宋体" w:cs="Times New Roman"/>
          <w:bCs/>
          <w:caps/>
          <w:szCs w:val="20"/>
          <w:lang w:val="en-US" w:eastAsia="zh-CN" w:bidi="ar-SA"/>
        </w:rPr>
        <w:t>5</w:t>
      </w:r>
      <w:r>
        <w:rPr>
          <w:rFonts w:hint="default" w:ascii="Times New Roman" w:hAnsi="Times New Roman" w:eastAsia="宋体" w:cs="Times New Roman"/>
          <w:bCs/>
          <w:i w:val="0"/>
          <w:iCs/>
          <w:caps/>
          <w:szCs w:val="28"/>
          <w:lang w:val="en-US" w:eastAsia="zh-CN" w:bidi="ar-SA"/>
        </w:rPr>
        <w:t xml:space="preserve">.2.14 </w:t>
      </w:r>
      <w:r>
        <w:rPr>
          <w:rFonts w:hint="eastAsia" w:ascii="Times New Roman" w:hAnsi="Times New Roman" w:eastAsia="宋体" w:cs="Times New Roman"/>
          <w:bCs/>
          <w:caps/>
          <w:szCs w:val="20"/>
          <w:highlight w:val="none"/>
          <w:lang w:val="en-US" w:eastAsia="zh-CN" w:bidi="ar-SA"/>
        </w:rPr>
        <w:t>供应商澄清、说明</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_Toc24630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66</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i w:val="0"/>
          <w:iCs/>
          <w:caps/>
          <w:color w:val="auto"/>
          <w:szCs w:val="28"/>
          <w:highlight w:val="none"/>
          <w:lang w:val="en-US" w:eastAsia="zh-CN" w:bidi="ar-SA"/>
        </w:rPr>
        <w:fldChar w:fldCharType="end"/>
      </w:r>
    </w:p>
    <w:p>
      <w:pPr>
        <w:pStyle w:val="39"/>
        <w:tabs>
          <w:tab w:val="right" w:leader="dot" w:pos="9214"/>
        </w:tabs>
        <w:rPr>
          <w:rFonts w:ascii="Times New Roman" w:hAnsi="Times New Roman" w:eastAsia="宋体" w:cs="Times New Roman"/>
          <w:bCs/>
          <w:caps/>
          <w:szCs w:val="20"/>
          <w:lang w:val="en-US" w:eastAsia="zh-CN" w:bidi="ar-SA"/>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_Toc25187 </w:instrText>
      </w:r>
      <w:r>
        <w:rPr>
          <w:rFonts w:ascii="宋体" w:hAnsi="宋体" w:eastAsia="宋体" w:cs="Times New Roman"/>
          <w:bCs w:val="0"/>
          <w:caps/>
          <w:color w:val="auto"/>
          <w:szCs w:val="36"/>
          <w:highlight w:val="none"/>
          <w:lang w:val="en-US" w:eastAsia="zh-CN" w:bidi="ar-SA"/>
        </w:rPr>
        <w:fldChar w:fldCharType="separate"/>
      </w:r>
      <w:r>
        <w:rPr>
          <w:rFonts w:ascii="Times New Roman" w:hAnsi="Times New Roman" w:eastAsia="宋体" w:cs="Times New Roman"/>
          <w:bCs/>
          <w:caps/>
          <w:szCs w:val="20"/>
          <w:lang w:val="en-US" w:eastAsia="zh-CN" w:bidi="ar-SA"/>
        </w:rPr>
        <w:t>5</w:t>
      </w:r>
      <w:r>
        <w:rPr>
          <w:rFonts w:hint="default" w:ascii="Times New Roman" w:hAnsi="Times New Roman" w:eastAsia="宋体" w:cs="Times New Roman"/>
          <w:bCs/>
          <w:i w:val="0"/>
          <w:iCs/>
          <w:caps/>
          <w:szCs w:val="28"/>
          <w:lang w:val="en-US" w:eastAsia="zh-CN" w:bidi="ar-SA"/>
        </w:rPr>
        <w:t xml:space="preserve">.3 </w:t>
      </w:r>
      <w:r>
        <w:rPr>
          <w:rFonts w:hint="eastAsia" w:ascii="Times New Roman" w:hAnsi="Times New Roman" w:eastAsia="宋体" w:cs="Times New Roman"/>
          <w:bCs/>
          <w:caps/>
          <w:szCs w:val="20"/>
          <w:highlight w:val="none"/>
          <w:lang w:val="en-US" w:eastAsia="zh-CN" w:bidi="ar-SA"/>
        </w:rPr>
        <w:t>评分审办法和标准</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_Toc25187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66</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i w:val="0"/>
          <w:iCs/>
          <w:caps/>
          <w:color w:val="auto"/>
          <w:szCs w:val="28"/>
          <w:highlight w:val="none"/>
          <w:lang w:val="en-US" w:eastAsia="zh-CN" w:bidi="ar-SA"/>
        </w:rPr>
        <w:fldChar w:fldCharType="end"/>
      </w:r>
    </w:p>
    <w:p>
      <w:pPr>
        <w:pStyle w:val="39"/>
        <w:tabs>
          <w:tab w:val="right" w:leader="dot" w:pos="9214"/>
        </w:tabs>
        <w:rPr>
          <w:rFonts w:ascii="Times New Roman" w:hAnsi="Times New Roman" w:eastAsia="宋体" w:cs="Times New Roman"/>
          <w:bCs/>
          <w:caps/>
          <w:szCs w:val="20"/>
          <w:lang w:val="en-US" w:eastAsia="zh-CN" w:bidi="ar-SA"/>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_Toc20997 </w:instrText>
      </w:r>
      <w:r>
        <w:rPr>
          <w:rFonts w:ascii="宋体" w:hAnsi="宋体" w:eastAsia="宋体" w:cs="Times New Roman"/>
          <w:bCs w:val="0"/>
          <w:caps/>
          <w:color w:val="auto"/>
          <w:szCs w:val="36"/>
          <w:highlight w:val="none"/>
          <w:lang w:val="en-US" w:eastAsia="zh-CN" w:bidi="ar-SA"/>
        </w:rPr>
        <w:fldChar w:fldCharType="separate"/>
      </w:r>
      <w:r>
        <w:rPr>
          <w:rFonts w:ascii="Times New Roman" w:hAnsi="Times New Roman" w:eastAsia="宋体" w:cs="Times New Roman"/>
          <w:bCs/>
          <w:caps/>
          <w:szCs w:val="20"/>
          <w:lang w:val="en-US" w:eastAsia="zh-CN" w:bidi="ar-SA"/>
        </w:rPr>
        <w:t>5</w:t>
      </w:r>
      <w:r>
        <w:rPr>
          <w:rFonts w:hint="default" w:ascii="Times New Roman" w:hAnsi="Times New Roman" w:eastAsia="宋体" w:cs="Times New Roman"/>
          <w:bCs/>
          <w:i w:val="0"/>
          <w:iCs/>
          <w:caps/>
          <w:szCs w:val="28"/>
          <w:lang w:val="en-US" w:eastAsia="zh-CN" w:bidi="ar-SA"/>
        </w:rPr>
        <w:t xml:space="preserve">.4 </w:t>
      </w:r>
      <w:r>
        <w:rPr>
          <w:rFonts w:hint="eastAsia" w:ascii="Times New Roman" w:hAnsi="Times New Roman" w:eastAsia="宋体" w:cs="Times New Roman"/>
          <w:bCs/>
          <w:caps/>
          <w:szCs w:val="20"/>
          <w:highlight w:val="none"/>
          <w:lang w:val="en-US" w:eastAsia="zh-CN" w:bidi="ar-SA"/>
        </w:rPr>
        <w:t>采购失败情形</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_Toc20997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69</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i w:val="0"/>
          <w:iCs/>
          <w:caps/>
          <w:color w:val="auto"/>
          <w:szCs w:val="28"/>
          <w:highlight w:val="none"/>
          <w:lang w:val="en-US" w:eastAsia="zh-CN" w:bidi="ar-SA"/>
        </w:rPr>
        <w:fldChar w:fldCharType="end"/>
      </w:r>
    </w:p>
    <w:p>
      <w:pPr>
        <w:pStyle w:val="39"/>
        <w:tabs>
          <w:tab w:val="right" w:leader="dot" w:pos="9214"/>
        </w:tabs>
        <w:rPr>
          <w:rFonts w:ascii="Times New Roman" w:hAnsi="Times New Roman" w:eastAsia="宋体" w:cs="Times New Roman"/>
          <w:bCs/>
          <w:caps/>
          <w:szCs w:val="20"/>
          <w:lang w:val="en-US" w:eastAsia="zh-CN" w:bidi="ar-SA"/>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_Toc15893 </w:instrText>
      </w:r>
      <w:r>
        <w:rPr>
          <w:rFonts w:ascii="宋体" w:hAnsi="宋体" w:eastAsia="宋体" w:cs="Times New Roman"/>
          <w:bCs w:val="0"/>
          <w:caps/>
          <w:color w:val="auto"/>
          <w:szCs w:val="36"/>
          <w:highlight w:val="none"/>
          <w:lang w:val="en-US" w:eastAsia="zh-CN" w:bidi="ar-SA"/>
        </w:rPr>
        <w:fldChar w:fldCharType="separate"/>
      </w:r>
      <w:r>
        <w:rPr>
          <w:rFonts w:ascii="Times New Roman" w:hAnsi="Times New Roman" w:eastAsia="宋体" w:cs="Times New Roman"/>
          <w:bCs/>
          <w:caps/>
          <w:szCs w:val="20"/>
          <w:lang w:val="en-US" w:eastAsia="zh-CN" w:bidi="ar-SA"/>
        </w:rPr>
        <w:t>5</w:t>
      </w:r>
      <w:r>
        <w:rPr>
          <w:rFonts w:hint="default" w:ascii="Times New Roman" w:hAnsi="Times New Roman" w:eastAsia="宋体" w:cs="Times New Roman"/>
          <w:bCs/>
          <w:i w:val="0"/>
          <w:iCs/>
          <w:caps/>
          <w:szCs w:val="28"/>
          <w:lang w:val="en-US" w:eastAsia="zh-CN" w:bidi="ar-SA"/>
        </w:rPr>
        <w:t xml:space="preserve">.5 </w:t>
      </w:r>
      <w:r>
        <w:rPr>
          <w:rFonts w:hint="eastAsia" w:ascii="Times New Roman" w:hAnsi="Times New Roman" w:eastAsia="宋体" w:cs="Times New Roman"/>
          <w:bCs/>
          <w:caps/>
          <w:szCs w:val="20"/>
          <w:highlight w:val="none"/>
          <w:lang w:val="en-US" w:eastAsia="zh-CN" w:bidi="ar-SA"/>
        </w:rPr>
        <w:t>其他</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_Toc15893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70</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i w:val="0"/>
          <w:iCs/>
          <w:caps/>
          <w:color w:val="auto"/>
          <w:szCs w:val="28"/>
          <w:highlight w:val="none"/>
          <w:lang w:val="en-US" w:eastAsia="zh-CN" w:bidi="ar-SA"/>
        </w:rPr>
        <w:fldChar w:fldCharType="end"/>
      </w:r>
    </w:p>
    <w:p>
      <w:pPr>
        <w:pStyle w:val="39"/>
        <w:tabs>
          <w:tab w:val="right" w:leader="dot" w:pos="9214"/>
        </w:tabs>
        <w:rPr>
          <w:rFonts w:ascii="Times New Roman" w:hAnsi="Times New Roman" w:eastAsia="宋体" w:cs="Times New Roman"/>
          <w:bCs/>
          <w:caps/>
          <w:szCs w:val="20"/>
          <w:lang w:val="en-US" w:eastAsia="zh-CN" w:bidi="ar-SA"/>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_Toc12466 </w:instrText>
      </w:r>
      <w:r>
        <w:rPr>
          <w:rFonts w:ascii="宋体" w:hAnsi="宋体" w:eastAsia="宋体" w:cs="Times New Roman"/>
          <w:bCs w:val="0"/>
          <w:caps/>
          <w:color w:val="auto"/>
          <w:szCs w:val="36"/>
          <w:highlight w:val="none"/>
          <w:lang w:val="en-US" w:eastAsia="zh-CN" w:bidi="ar-SA"/>
        </w:rPr>
        <w:fldChar w:fldCharType="separate"/>
      </w:r>
      <w:r>
        <w:rPr>
          <w:rFonts w:ascii="Times New Roman" w:hAnsi="Times New Roman" w:eastAsia="宋体" w:cs="Times New Roman"/>
          <w:bCs/>
          <w:caps/>
          <w:szCs w:val="20"/>
          <w:lang w:val="en-US" w:eastAsia="zh-CN" w:bidi="ar-SA"/>
        </w:rPr>
        <w:t>5</w:t>
      </w:r>
      <w:r>
        <w:rPr>
          <w:rFonts w:hint="default" w:ascii="Times New Roman" w:hAnsi="Times New Roman" w:eastAsia="宋体" w:cs="Times New Roman"/>
          <w:bCs/>
          <w:i w:val="0"/>
          <w:iCs/>
          <w:caps/>
          <w:szCs w:val="28"/>
          <w:lang w:val="en-US" w:eastAsia="zh-CN" w:bidi="ar-SA"/>
        </w:rPr>
        <w:t xml:space="preserve">.1 </w:t>
      </w:r>
      <w:r>
        <w:rPr>
          <w:rFonts w:hint="eastAsia" w:ascii="Times New Roman" w:hAnsi="Times New Roman" w:eastAsia="宋体" w:cs="Times New Roman"/>
          <w:bCs/>
          <w:caps/>
          <w:szCs w:val="20"/>
          <w:highlight w:val="none"/>
          <w:lang w:val="en-US" w:eastAsia="zh-CN" w:bidi="ar-SA"/>
        </w:rPr>
        <w:t>确定成交供应商</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_Toc12466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70</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i w:val="0"/>
          <w:iCs/>
          <w:caps/>
          <w:color w:val="auto"/>
          <w:szCs w:val="28"/>
          <w:highlight w:val="none"/>
          <w:lang w:val="en-US" w:eastAsia="zh-CN" w:bidi="ar-SA"/>
        </w:rPr>
        <w:fldChar w:fldCharType="end"/>
      </w:r>
    </w:p>
    <w:p>
      <w:pPr>
        <w:pStyle w:val="39"/>
        <w:tabs>
          <w:tab w:val="right" w:leader="dot" w:pos="9214"/>
        </w:tabs>
        <w:rPr>
          <w:rFonts w:ascii="Times New Roman" w:hAnsi="Times New Roman" w:eastAsia="宋体" w:cs="Times New Roman"/>
          <w:bCs/>
          <w:caps/>
          <w:szCs w:val="20"/>
          <w:lang w:val="en-US" w:eastAsia="zh-CN" w:bidi="ar-SA"/>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_Toc15713 </w:instrText>
      </w:r>
      <w:r>
        <w:rPr>
          <w:rFonts w:ascii="宋体" w:hAnsi="宋体" w:eastAsia="宋体" w:cs="Times New Roman"/>
          <w:bCs w:val="0"/>
          <w:caps/>
          <w:color w:val="auto"/>
          <w:szCs w:val="36"/>
          <w:highlight w:val="none"/>
          <w:lang w:val="en-US" w:eastAsia="zh-CN" w:bidi="ar-SA"/>
        </w:rPr>
        <w:fldChar w:fldCharType="separate"/>
      </w:r>
      <w:r>
        <w:rPr>
          <w:rFonts w:ascii="Times New Roman" w:hAnsi="Times New Roman" w:eastAsia="宋体" w:cs="Times New Roman"/>
          <w:bCs/>
          <w:caps/>
          <w:szCs w:val="20"/>
          <w:lang w:val="en-US" w:eastAsia="zh-CN" w:bidi="ar-SA"/>
        </w:rPr>
        <w:t>5</w:t>
      </w:r>
      <w:r>
        <w:rPr>
          <w:rFonts w:hint="default" w:ascii="Times New Roman" w:hAnsi="Times New Roman" w:eastAsia="宋体" w:cs="Times New Roman"/>
          <w:bCs/>
          <w:i w:val="0"/>
          <w:iCs/>
          <w:caps/>
          <w:szCs w:val="28"/>
          <w:lang w:val="en-US" w:eastAsia="zh-CN" w:bidi="ar-SA"/>
        </w:rPr>
        <w:t xml:space="preserve">.2 </w:t>
      </w:r>
      <w:r>
        <w:rPr>
          <w:rFonts w:hint="eastAsia" w:ascii="Times New Roman" w:hAnsi="Times New Roman" w:eastAsia="宋体" w:cs="Times New Roman"/>
          <w:bCs/>
          <w:caps/>
          <w:szCs w:val="20"/>
          <w:highlight w:val="none"/>
          <w:lang w:val="en-US" w:eastAsia="zh-CN" w:bidi="ar-SA"/>
        </w:rPr>
        <w:t>磋商小组成员义务</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_Toc15713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71</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i w:val="0"/>
          <w:iCs/>
          <w:caps/>
          <w:color w:val="auto"/>
          <w:szCs w:val="28"/>
          <w:highlight w:val="none"/>
          <w:lang w:val="en-US" w:eastAsia="zh-CN" w:bidi="ar-SA"/>
        </w:rPr>
        <w:fldChar w:fldCharType="end"/>
      </w:r>
    </w:p>
    <w:p>
      <w:pPr>
        <w:pStyle w:val="39"/>
        <w:tabs>
          <w:tab w:val="right" w:leader="dot" w:pos="9214"/>
        </w:tabs>
        <w:rPr>
          <w:rFonts w:ascii="Times New Roman" w:hAnsi="Times New Roman" w:eastAsia="宋体" w:cs="Times New Roman"/>
          <w:bCs/>
          <w:caps/>
          <w:szCs w:val="20"/>
          <w:lang w:val="en-US" w:eastAsia="zh-CN" w:bidi="ar-SA"/>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_Toc3821 </w:instrText>
      </w:r>
      <w:r>
        <w:rPr>
          <w:rFonts w:ascii="宋体" w:hAnsi="宋体" w:eastAsia="宋体" w:cs="Times New Roman"/>
          <w:bCs w:val="0"/>
          <w:caps/>
          <w:color w:val="auto"/>
          <w:szCs w:val="36"/>
          <w:highlight w:val="none"/>
          <w:lang w:val="en-US" w:eastAsia="zh-CN" w:bidi="ar-SA"/>
        </w:rPr>
        <w:fldChar w:fldCharType="separate"/>
      </w:r>
      <w:r>
        <w:rPr>
          <w:rFonts w:ascii="Times New Roman" w:hAnsi="Times New Roman" w:eastAsia="宋体" w:cs="Times New Roman"/>
          <w:bCs/>
          <w:caps/>
          <w:szCs w:val="20"/>
          <w:lang w:val="en-US" w:eastAsia="zh-CN" w:bidi="ar-SA"/>
        </w:rPr>
        <w:t>5</w:t>
      </w:r>
      <w:r>
        <w:rPr>
          <w:rFonts w:hint="default" w:ascii="Times New Roman" w:hAnsi="Times New Roman" w:eastAsia="宋体" w:cs="Times New Roman"/>
          <w:bCs/>
          <w:i w:val="0"/>
          <w:iCs/>
          <w:caps/>
          <w:szCs w:val="28"/>
          <w:lang w:val="en-US" w:eastAsia="zh-CN" w:bidi="ar-SA"/>
        </w:rPr>
        <w:t xml:space="preserve">.3 </w:t>
      </w:r>
      <w:r>
        <w:rPr>
          <w:rFonts w:hint="eastAsia" w:ascii="Times New Roman" w:hAnsi="Times New Roman" w:eastAsia="宋体" w:cs="Times New Roman"/>
          <w:bCs/>
          <w:caps/>
          <w:szCs w:val="20"/>
          <w:highlight w:val="none"/>
          <w:lang w:val="en-US" w:eastAsia="zh-CN" w:bidi="ar-SA"/>
        </w:rPr>
        <w:t>磋商小组及其成员不得有下列行为</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_Toc3821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72</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i w:val="0"/>
          <w:iCs/>
          <w:caps/>
          <w:color w:val="auto"/>
          <w:szCs w:val="28"/>
          <w:highlight w:val="none"/>
          <w:lang w:val="en-US" w:eastAsia="zh-CN" w:bidi="ar-SA"/>
        </w:rPr>
        <w:fldChar w:fldCharType="end"/>
      </w:r>
    </w:p>
    <w:p>
      <w:pPr>
        <w:pStyle w:val="39"/>
        <w:tabs>
          <w:tab w:val="right" w:leader="dot" w:pos="9214"/>
        </w:tabs>
        <w:rPr>
          <w:rFonts w:ascii="Times New Roman" w:hAnsi="Times New Roman" w:eastAsia="宋体" w:cs="Times New Roman"/>
          <w:bCs/>
          <w:caps/>
          <w:szCs w:val="20"/>
          <w:lang w:val="en-US" w:eastAsia="zh-CN" w:bidi="ar-SA"/>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_Toc1004 </w:instrText>
      </w:r>
      <w:r>
        <w:rPr>
          <w:rFonts w:ascii="宋体" w:hAnsi="宋体" w:eastAsia="宋体" w:cs="Times New Roman"/>
          <w:bCs w:val="0"/>
          <w:caps/>
          <w:color w:val="auto"/>
          <w:szCs w:val="36"/>
          <w:highlight w:val="none"/>
          <w:lang w:val="en-US" w:eastAsia="zh-CN" w:bidi="ar-SA"/>
        </w:rPr>
        <w:fldChar w:fldCharType="separate"/>
      </w:r>
      <w:r>
        <w:rPr>
          <w:rFonts w:ascii="Times New Roman" w:hAnsi="Times New Roman" w:eastAsia="宋体" w:cs="Times New Roman"/>
          <w:bCs/>
          <w:caps/>
          <w:szCs w:val="20"/>
          <w:lang w:val="en-US" w:eastAsia="zh-CN" w:bidi="ar-SA"/>
        </w:rPr>
        <w:t>5</w:t>
      </w:r>
      <w:r>
        <w:rPr>
          <w:rFonts w:hint="default" w:ascii="Times New Roman" w:hAnsi="Times New Roman" w:eastAsia="宋体" w:cs="Times New Roman"/>
          <w:bCs/>
          <w:i w:val="0"/>
          <w:iCs/>
          <w:caps/>
          <w:szCs w:val="28"/>
          <w:lang w:val="en-US" w:eastAsia="zh-CN" w:bidi="ar-SA"/>
        </w:rPr>
        <w:t xml:space="preserve">.4 </w:t>
      </w:r>
      <w:r>
        <w:rPr>
          <w:rFonts w:hint="eastAsia" w:ascii="Times New Roman" w:hAnsi="Times New Roman" w:eastAsia="宋体" w:cs="Times New Roman"/>
          <w:bCs/>
          <w:caps/>
          <w:szCs w:val="20"/>
          <w:highlight w:val="none"/>
          <w:lang w:val="en-US" w:eastAsia="zh-CN" w:bidi="ar-SA"/>
        </w:rPr>
        <w:t>磋商纪律</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_Toc1004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72</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i w:val="0"/>
          <w:iCs/>
          <w:caps/>
          <w:color w:val="auto"/>
          <w:szCs w:val="28"/>
          <w:highlight w:val="none"/>
          <w:lang w:val="en-US" w:eastAsia="zh-CN" w:bidi="ar-SA"/>
        </w:rPr>
        <w:fldChar w:fldCharType="end"/>
      </w:r>
    </w:p>
    <w:p>
      <w:pPr>
        <w:pStyle w:val="33"/>
        <w:tabs>
          <w:tab w:val="right" w:leader="dot" w:pos="9214"/>
          <w:tab w:val="clear" w:pos="840"/>
          <w:tab w:val="clear" w:pos="9204"/>
        </w:tabs>
        <w:rPr>
          <w:rFonts w:ascii="Times New Roman" w:hAnsi="Times New Roman" w:eastAsia="宋体" w:cs="Times New Roman"/>
          <w:bCs/>
          <w:caps/>
          <w:szCs w:val="20"/>
          <w:lang w:val="en-US" w:eastAsia="zh-CN" w:bidi="ar-SA"/>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_Toc14004 </w:instrText>
      </w:r>
      <w:r>
        <w:rPr>
          <w:rFonts w:ascii="宋体" w:hAnsi="宋体" w:eastAsia="宋体" w:cs="Times New Roman"/>
          <w:bCs w:val="0"/>
          <w:caps/>
          <w:color w:val="auto"/>
          <w:szCs w:val="36"/>
          <w:highlight w:val="none"/>
          <w:lang w:val="en-US" w:eastAsia="zh-CN" w:bidi="ar-SA"/>
        </w:rPr>
        <w:fldChar w:fldCharType="separate"/>
      </w:r>
      <w:r>
        <w:rPr>
          <w:rFonts w:ascii="Times New Roman" w:hAnsi="Times New Roman" w:eastAsia="宋体" w:cs="Times New Roman"/>
          <w:bCs/>
          <w:caps/>
          <w:szCs w:val="20"/>
          <w:lang w:val="en-US" w:eastAsia="zh-CN" w:bidi="ar-SA"/>
        </w:rPr>
        <w:t>第</w:t>
      </w:r>
      <w:r>
        <w:rPr>
          <w:rFonts w:hint="default" w:ascii="Times New Roman" w:hAnsi="Times New Roman" w:eastAsia="宋体" w:cs="Times New Roman"/>
          <w:bCs/>
          <w:i w:val="0"/>
          <w:caps/>
          <w:kern w:val="44"/>
          <w:szCs w:val="32"/>
          <w:lang w:val="en-US" w:eastAsia="zh-CN" w:bidi="ar-SA"/>
        </w:rPr>
        <w:t xml:space="preserve">6章 </w:t>
      </w:r>
      <w:r>
        <w:rPr>
          <w:rFonts w:hint="eastAsia" w:ascii="Times New Roman" w:hAnsi="Times New Roman" w:eastAsia="宋体" w:cs="Times New Roman"/>
          <w:bCs/>
          <w:caps/>
          <w:szCs w:val="20"/>
          <w:lang w:val="en-US" w:eastAsia="zh-CN" w:bidi="ar-SA"/>
        </w:rPr>
        <w:t>政府</w:t>
      </w:r>
      <w:r>
        <w:rPr>
          <w:rFonts w:ascii="Times New Roman" w:hAnsi="Times New Roman" w:eastAsia="宋体" w:cs="Times New Roman"/>
          <w:bCs/>
          <w:caps/>
          <w:szCs w:val="20"/>
          <w:lang w:val="en-US" w:eastAsia="zh-CN" w:bidi="ar-SA"/>
        </w:rPr>
        <w:t>采购</w:t>
      </w:r>
      <w:r>
        <w:rPr>
          <w:rFonts w:hint="eastAsia" w:ascii="Times New Roman" w:hAnsi="Times New Roman" w:eastAsia="宋体" w:cs="Times New Roman"/>
          <w:bCs/>
          <w:caps/>
          <w:szCs w:val="20"/>
          <w:lang w:val="en-US" w:eastAsia="zh-CN" w:bidi="ar-SA"/>
        </w:rPr>
        <w:t>合同草案</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_Toc14004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75</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i w:val="0"/>
          <w:caps/>
          <w:color w:val="auto"/>
          <w:kern w:val="44"/>
          <w:szCs w:val="32"/>
          <w:highlight w:val="none"/>
          <w:lang w:val="en-US" w:eastAsia="zh-CN" w:bidi="ar-SA"/>
        </w:rPr>
        <w:fldChar w:fldCharType="end"/>
      </w:r>
    </w:p>
    <w:p>
      <w:pPr>
        <w:pStyle w:val="33"/>
        <w:tabs>
          <w:tab w:val="right" w:leader="dot" w:pos="9214"/>
          <w:tab w:val="clear" w:pos="840"/>
          <w:tab w:val="clear" w:pos="9204"/>
        </w:tabs>
        <w:rPr>
          <w:rFonts w:ascii="Times New Roman" w:hAnsi="Times New Roman" w:eastAsia="宋体" w:cs="Times New Roman"/>
          <w:bCs/>
          <w:caps/>
          <w:szCs w:val="20"/>
          <w:lang w:val="en-US" w:eastAsia="zh-CN" w:bidi="ar-SA"/>
        </w:rPr>
      </w:pPr>
      <w:r>
        <w:rPr>
          <w:rFonts w:ascii="宋体" w:hAnsi="宋体" w:eastAsia="宋体" w:cs="Times New Roman"/>
          <w:bCs w:val="0"/>
          <w:caps/>
          <w:color w:val="auto"/>
          <w:szCs w:val="36"/>
          <w:highlight w:val="none"/>
          <w:lang w:val="en-US" w:eastAsia="zh-CN" w:bidi="ar-SA"/>
        </w:rPr>
        <w:fldChar w:fldCharType="begin"/>
      </w:r>
      <w:r>
        <w:rPr>
          <w:rFonts w:ascii="宋体" w:hAnsi="宋体" w:eastAsia="宋体" w:cs="Times New Roman"/>
          <w:bCs w:val="0"/>
          <w:caps/>
          <w:color w:val="auto"/>
          <w:szCs w:val="36"/>
          <w:highlight w:val="none"/>
          <w:lang w:val="en-US" w:eastAsia="zh-CN" w:bidi="ar-SA"/>
        </w:rPr>
        <w:instrText xml:space="preserve"> HYPERLINK \l _Toc15616 </w:instrText>
      </w:r>
      <w:r>
        <w:rPr>
          <w:rFonts w:ascii="宋体" w:hAnsi="宋体" w:eastAsia="宋体" w:cs="Times New Roman"/>
          <w:bCs w:val="0"/>
          <w:caps/>
          <w:color w:val="auto"/>
          <w:szCs w:val="36"/>
          <w:highlight w:val="none"/>
          <w:lang w:val="en-US" w:eastAsia="zh-CN" w:bidi="ar-SA"/>
        </w:rPr>
        <w:fldChar w:fldCharType="separate"/>
      </w:r>
      <w:r>
        <w:rPr>
          <w:rFonts w:ascii="Times New Roman" w:hAnsi="Times New Roman" w:eastAsia="宋体" w:cs="Times New Roman"/>
          <w:bCs/>
          <w:caps/>
          <w:szCs w:val="20"/>
          <w:lang w:val="en-US" w:eastAsia="zh-CN" w:bidi="ar-SA"/>
        </w:rPr>
        <w:t>第</w:t>
      </w:r>
      <w:r>
        <w:rPr>
          <w:rFonts w:hint="default" w:ascii="Times New Roman" w:hAnsi="Times New Roman" w:eastAsia="宋体" w:cs="Times New Roman"/>
          <w:bCs/>
          <w:i w:val="0"/>
          <w:caps/>
          <w:kern w:val="44"/>
          <w:szCs w:val="32"/>
          <w:lang w:val="en-US" w:eastAsia="zh-CN" w:bidi="ar-SA"/>
        </w:rPr>
        <w:t xml:space="preserve">7章 </w:t>
      </w:r>
      <w:r>
        <w:rPr>
          <w:rFonts w:hint="eastAsia" w:ascii="仿宋" w:hAnsi="仿宋" w:eastAsia="仿宋" w:cs="Times New Roman"/>
          <w:bCs/>
          <w:caps/>
          <w:szCs w:val="20"/>
          <w:highlight w:val="none"/>
          <w:lang w:val="en-US" w:eastAsia="zh-CN" w:bidi="ar-SA"/>
        </w:rPr>
        <w:t>工程量清单和图纸</w:t>
      </w:r>
      <w:r>
        <w:rPr>
          <w:rFonts w:ascii="Times New Roman" w:hAnsi="Times New Roman" w:eastAsia="宋体" w:cs="Times New Roman"/>
          <w:bCs/>
          <w:caps/>
          <w:szCs w:val="20"/>
          <w:lang w:val="en-US" w:eastAsia="zh-CN" w:bidi="ar-SA"/>
        </w:rPr>
        <w:tab/>
      </w:r>
      <w:r>
        <w:rPr>
          <w:rFonts w:ascii="Times New Roman" w:hAnsi="Times New Roman" w:eastAsia="宋体" w:cs="Times New Roman"/>
          <w:bCs/>
          <w:caps/>
          <w:szCs w:val="20"/>
          <w:lang w:val="en-US" w:eastAsia="zh-CN" w:bidi="ar-SA"/>
        </w:rPr>
        <w:fldChar w:fldCharType="begin"/>
      </w:r>
      <w:r>
        <w:rPr>
          <w:rFonts w:ascii="Times New Roman" w:hAnsi="Times New Roman" w:eastAsia="宋体" w:cs="Times New Roman"/>
          <w:bCs/>
          <w:caps/>
          <w:szCs w:val="20"/>
          <w:lang w:val="en-US" w:eastAsia="zh-CN" w:bidi="ar-SA"/>
        </w:rPr>
        <w:instrText xml:space="preserve"> PAGEREF _Toc15616 </w:instrText>
      </w:r>
      <w:r>
        <w:rPr>
          <w:rFonts w:ascii="Times New Roman" w:hAnsi="Times New Roman" w:eastAsia="宋体" w:cs="Times New Roman"/>
          <w:bCs/>
          <w:caps/>
          <w:szCs w:val="20"/>
          <w:lang w:val="en-US" w:eastAsia="zh-CN" w:bidi="ar-SA"/>
        </w:rPr>
        <w:fldChar w:fldCharType="separate"/>
      </w:r>
      <w:r>
        <w:rPr>
          <w:rFonts w:ascii="Times New Roman" w:hAnsi="Times New Roman" w:eastAsia="宋体" w:cs="Times New Roman"/>
          <w:bCs/>
          <w:caps/>
          <w:szCs w:val="20"/>
          <w:lang w:val="en-US" w:eastAsia="zh-CN" w:bidi="ar-SA"/>
        </w:rPr>
        <w:t>131</w:t>
      </w:r>
      <w:r>
        <w:rPr>
          <w:rFonts w:ascii="Times New Roman" w:hAnsi="Times New Roman" w:eastAsia="宋体" w:cs="Times New Roman"/>
          <w:bCs/>
          <w:caps/>
          <w:szCs w:val="20"/>
          <w:lang w:val="en-US" w:eastAsia="zh-CN" w:bidi="ar-SA"/>
        </w:rPr>
        <w:fldChar w:fldCharType="end"/>
      </w:r>
      <w:r>
        <w:rPr>
          <w:rFonts w:hint="default" w:ascii="Times New Roman" w:hAnsi="Times New Roman" w:eastAsia="宋体" w:cs="Times New Roman"/>
          <w:bCs/>
          <w:i w:val="0"/>
          <w:caps/>
          <w:color w:val="auto"/>
          <w:kern w:val="44"/>
          <w:szCs w:val="32"/>
          <w:highlight w:val="none"/>
          <w:lang w:val="en-US" w:eastAsia="zh-CN" w:bidi="ar-SA"/>
        </w:rPr>
        <w:fldChar w:fldCharType="end"/>
      </w:r>
    </w:p>
    <w:p>
      <w:pPr>
        <w:pStyle w:val="33"/>
        <w:spacing w:line="240" w:lineRule="auto"/>
        <w:rPr>
          <w:rFonts w:ascii="宋体" w:hAnsi="宋体"/>
          <w:b w:val="0"/>
          <w:bCs w:val="0"/>
          <w:color w:val="auto"/>
          <w:sz w:val="36"/>
          <w:szCs w:val="36"/>
          <w:highlight w:val="none"/>
        </w:rPr>
        <w:sectPr>
          <w:footerReference r:id="rId6" w:type="first"/>
          <w:headerReference r:id="rId3" w:type="default"/>
          <w:footerReference r:id="rId4" w:type="default"/>
          <w:footerReference r:id="rId5" w:type="even"/>
          <w:pgSz w:w="11906" w:h="16838"/>
          <w:pgMar w:top="1134" w:right="1274" w:bottom="1440" w:left="1418" w:header="851" w:footer="272" w:gutter="0"/>
          <w:cols w:space="720" w:num="1"/>
          <w:titlePg/>
          <w:docGrid w:type="lines" w:linePitch="312" w:charSpace="0"/>
        </w:sectPr>
      </w:pPr>
      <w:r>
        <w:rPr>
          <w:rFonts w:ascii="宋体" w:hAnsi="宋体" w:eastAsia="宋体" w:cs="Times New Roman"/>
          <w:bCs w:val="0"/>
          <w:caps/>
          <w:color w:val="auto"/>
          <w:szCs w:val="36"/>
          <w:highlight w:val="none"/>
          <w:lang w:val="en-US" w:eastAsia="zh-CN" w:bidi="ar-SA"/>
        </w:rPr>
        <w:fldChar w:fldCharType="end"/>
      </w:r>
    </w:p>
    <w:p>
      <w:pPr>
        <w:pStyle w:val="3"/>
        <w:numPr>
          <w:ilvl w:val="0"/>
          <w:numId w:val="1"/>
        </w:numPr>
        <w:snapToGrid w:val="0"/>
        <w:spacing w:before="0" w:after="0" w:line="640" w:lineRule="exact"/>
        <w:ind w:left="0" w:firstLine="0"/>
        <w:rPr>
          <w:color w:val="auto"/>
          <w:highlight w:val="none"/>
        </w:rPr>
      </w:pPr>
      <w:bookmarkStart w:id="0" w:name="_Toc27752"/>
      <w:r>
        <w:rPr>
          <w:rFonts w:hint="eastAsia"/>
          <w:color w:val="auto"/>
          <w:highlight w:val="none"/>
        </w:rPr>
        <w:t>竞争性</w:t>
      </w:r>
      <w:r>
        <w:rPr>
          <w:rFonts w:hint="eastAsia"/>
          <w:color w:val="auto"/>
          <w:highlight w:val="none"/>
          <w:lang w:eastAsia="zh-CN"/>
        </w:rPr>
        <w:t>磋商</w:t>
      </w:r>
      <w:r>
        <w:rPr>
          <w:rFonts w:hint="eastAsia"/>
          <w:color w:val="auto"/>
          <w:highlight w:val="none"/>
        </w:rPr>
        <w:t>邀请</w:t>
      </w:r>
      <w:bookmarkEnd w:id="0"/>
    </w:p>
    <w:p>
      <w:pPr>
        <w:snapToGrid w:val="0"/>
        <w:spacing w:line="640" w:lineRule="exact"/>
        <w:ind w:left="-142" w:leftChars="-59" w:right="-24" w:rightChars="-10" w:firstLine="703" w:firstLineChars="250"/>
        <w:jc w:val="both"/>
        <w:rPr>
          <w:rFonts w:ascii="宋体" w:hAnsi="宋体"/>
          <w:color w:val="auto"/>
          <w:sz w:val="28"/>
          <w:szCs w:val="28"/>
          <w:highlight w:val="none"/>
        </w:rPr>
      </w:pPr>
      <w:r>
        <w:rPr>
          <w:rFonts w:hint="eastAsia" w:ascii="宋体" w:hAnsi="宋体"/>
          <w:b/>
          <w:color w:val="auto"/>
          <w:sz w:val="28"/>
          <w:szCs w:val="28"/>
          <w:highlight w:val="none"/>
          <w:lang w:eastAsia="zh-CN"/>
        </w:rPr>
        <w:t>成都市锦江区政府采购中心</w:t>
      </w:r>
      <w:r>
        <w:rPr>
          <w:rFonts w:ascii="宋体" w:hAnsi="宋体"/>
          <w:color w:val="auto"/>
          <w:sz w:val="28"/>
          <w:szCs w:val="28"/>
          <w:highlight w:val="none"/>
        </w:rPr>
        <w:t>(以下简称“</w:t>
      </w:r>
      <w:r>
        <w:rPr>
          <w:rFonts w:hint="eastAsia" w:ascii="宋体" w:hAnsi="宋体"/>
          <w:color w:val="auto"/>
          <w:sz w:val="28"/>
          <w:szCs w:val="28"/>
          <w:highlight w:val="none"/>
          <w:lang w:eastAsia="zh-CN"/>
        </w:rPr>
        <w:t>区采购中心</w:t>
      </w:r>
      <w:r>
        <w:rPr>
          <w:rFonts w:ascii="宋体" w:hAnsi="宋体"/>
          <w:color w:val="auto"/>
          <w:sz w:val="28"/>
          <w:szCs w:val="28"/>
          <w:highlight w:val="none"/>
        </w:rPr>
        <w:t>”)受</w:t>
      </w:r>
      <w:r>
        <w:rPr>
          <w:rFonts w:hint="eastAsia" w:ascii="宋体" w:hAnsi="宋体"/>
          <w:b/>
          <w:color w:val="auto"/>
          <w:sz w:val="28"/>
          <w:szCs w:val="28"/>
          <w:highlight w:val="none"/>
          <w:u w:val="single"/>
          <w:lang w:eastAsia="zh-CN"/>
        </w:rPr>
        <w:t>成都市第二幼儿园</w:t>
      </w:r>
      <w:r>
        <w:rPr>
          <w:rFonts w:hint="eastAsia" w:ascii="宋体" w:hAnsi="宋体"/>
          <w:color w:val="auto"/>
          <w:sz w:val="28"/>
          <w:szCs w:val="28"/>
          <w:highlight w:val="none"/>
        </w:rPr>
        <w:t>的委托，拟对</w:t>
      </w:r>
      <w:r>
        <w:rPr>
          <w:rFonts w:hint="eastAsia" w:ascii="宋体" w:hAnsi="宋体"/>
          <w:b/>
          <w:color w:val="auto"/>
          <w:sz w:val="28"/>
          <w:szCs w:val="28"/>
          <w:highlight w:val="none"/>
          <w:u w:val="single"/>
          <w:lang w:eastAsia="zh-CN"/>
        </w:rPr>
        <w:t>成都市第二幼儿园督院园区食堂改造工程项目</w:t>
      </w:r>
      <w:r>
        <w:rPr>
          <w:rFonts w:hint="eastAsia" w:ascii="宋体" w:hAnsi="宋体"/>
          <w:color w:val="auto"/>
          <w:sz w:val="28"/>
          <w:szCs w:val="28"/>
          <w:highlight w:val="none"/>
        </w:rPr>
        <w:t>采用竞争性</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采购方式进行采购，特邀请已通过本次采购资格审查并随机抽取选中的供应商参加本项目的竞争性</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w:t>
      </w:r>
    </w:p>
    <w:p>
      <w:pPr>
        <w:numPr>
          <w:ilvl w:val="0"/>
          <w:numId w:val="2"/>
        </w:numPr>
        <w:snapToGrid w:val="0"/>
        <w:spacing w:line="640" w:lineRule="exact"/>
        <w:ind w:left="0" w:firstLine="567"/>
        <w:jc w:val="both"/>
        <w:rPr>
          <w:rFonts w:ascii="宋体" w:hAnsi="宋体"/>
          <w:color w:val="auto"/>
          <w:sz w:val="28"/>
          <w:szCs w:val="28"/>
          <w:highlight w:val="none"/>
        </w:rPr>
      </w:pPr>
      <w:r>
        <w:rPr>
          <w:rFonts w:hint="eastAsia" w:ascii="宋体" w:hAnsi="宋体"/>
          <w:b/>
          <w:color w:val="auto"/>
          <w:sz w:val="28"/>
          <w:szCs w:val="28"/>
          <w:highlight w:val="none"/>
        </w:rPr>
        <w:t>项目编号</w:t>
      </w:r>
      <w:r>
        <w:rPr>
          <w:rFonts w:hint="eastAsia" w:ascii="宋体" w:hAnsi="宋体"/>
          <w:color w:val="auto"/>
          <w:sz w:val="28"/>
          <w:szCs w:val="28"/>
          <w:highlight w:val="none"/>
        </w:rPr>
        <w:t>：</w:t>
      </w:r>
      <w:r>
        <w:rPr>
          <w:rFonts w:hint="eastAsia" w:ascii="宋体" w:hAnsi="宋体"/>
          <w:b/>
          <w:color w:val="auto"/>
          <w:sz w:val="28"/>
          <w:szCs w:val="28"/>
          <w:highlight w:val="none"/>
          <w:lang w:eastAsia="zh-CN"/>
        </w:rPr>
        <w:t>锦江政采（2021）A0011号</w:t>
      </w:r>
      <w:r>
        <w:rPr>
          <w:rFonts w:hint="eastAsia" w:ascii="宋体" w:hAnsi="宋体"/>
          <w:b/>
          <w:color w:val="auto"/>
          <w:sz w:val="28"/>
          <w:szCs w:val="28"/>
          <w:highlight w:val="none"/>
        </w:rPr>
        <w:t>。</w:t>
      </w:r>
      <w:r>
        <w:rPr>
          <w:rFonts w:hint="eastAsia" w:ascii="宋体" w:hAnsi="宋体"/>
          <w:b/>
          <w:color w:val="auto"/>
          <w:sz w:val="28"/>
          <w:szCs w:val="28"/>
          <w:highlight w:val="none"/>
        </w:rPr>
        <w:br w:type="textWrapping"/>
      </w:r>
      <w:r>
        <w:rPr>
          <w:rFonts w:hint="eastAsia" w:ascii="宋体" w:hAnsi="宋体"/>
          <w:b/>
          <w:color w:val="auto"/>
          <w:sz w:val="28"/>
          <w:szCs w:val="28"/>
          <w:highlight w:val="none"/>
          <w:lang w:val="en-US" w:eastAsia="zh-CN"/>
        </w:rPr>
        <w:t xml:space="preserve">       （采购项目编号：</w:t>
      </w:r>
      <w:r>
        <w:rPr>
          <w:rFonts w:hint="eastAsia" w:ascii="宋体" w:hAnsi="宋体"/>
          <w:b/>
          <w:color w:val="auto"/>
          <w:sz w:val="28"/>
          <w:szCs w:val="28"/>
          <w:highlight w:val="none"/>
          <w:lang w:eastAsia="zh-CN"/>
        </w:rPr>
        <w:t>510104202100067</w:t>
      </w:r>
      <w:r>
        <w:rPr>
          <w:rFonts w:hint="eastAsia" w:ascii="宋体" w:hAnsi="宋体"/>
          <w:b/>
          <w:color w:val="auto"/>
          <w:sz w:val="28"/>
          <w:szCs w:val="28"/>
          <w:highlight w:val="none"/>
          <w:lang w:val="en-US" w:eastAsia="zh-CN"/>
        </w:rPr>
        <w:t xml:space="preserve"> ）</w:t>
      </w:r>
    </w:p>
    <w:p>
      <w:pPr>
        <w:numPr>
          <w:ilvl w:val="0"/>
          <w:numId w:val="2"/>
        </w:numPr>
        <w:snapToGrid w:val="0"/>
        <w:spacing w:line="640" w:lineRule="exact"/>
        <w:ind w:left="0" w:firstLine="567"/>
        <w:jc w:val="both"/>
        <w:rPr>
          <w:rFonts w:ascii="宋体" w:hAnsi="宋体"/>
          <w:color w:val="auto"/>
          <w:sz w:val="28"/>
          <w:szCs w:val="28"/>
          <w:highlight w:val="none"/>
        </w:rPr>
      </w:pPr>
      <w:r>
        <w:rPr>
          <w:rFonts w:hint="eastAsia" w:ascii="宋体" w:hAnsi="宋体"/>
          <w:b/>
          <w:color w:val="auto"/>
          <w:sz w:val="28"/>
          <w:szCs w:val="28"/>
          <w:highlight w:val="none"/>
        </w:rPr>
        <w:t>项目名称</w:t>
      </w:r>
      <w:r>
        <w:rPr>
          <w:rFonts w:hint="eastAsia" w:ascii="宋体" w:hAnsi="宋体"/>
          <w:color w:val="auto"/>
          <w:sz w:val="28"/>
          <w:szCs w:val="28"/>
          <w:highlight w:val="none"/>
        </w:rPr>
        <w:t>：</w:t>
      </w:r>
      <w:r>
        <w:rPr>
          <w:rFonts w:hint="eastAsia" w:ascii="宋体" w:hAnsi="宋体"/>
          <w:b/>
          <w:color w:val="auto"/>
          <w:sz w:val="28"/>
          <w:szCs w:val="28"/>
          <w:highlight w:val="none"/>
          <w:lang w:eastAsia="zh-CN"/>
        </w:rPr>
        <w:t>成都市第二幼儿园督院园区食堂改造工程项目</w:t>
      </w:r>
      <w:r>
        <w:rPr>
          <w:rFonts w:hint="eastAsia" w:ascii="宋体" w:hAnsi="宋体"/>
          <w:b/>
          <w:color w:val="auto"/>
          <w:sz w:val="28"/>
          <w:szCs w:val="28"/>
          <w:highlight w:val="none"/>
        </w:rPr>
        <w:t>。</w:t>
      </w:r>
    </w:p>
    <w:p>
      <w:pPr>
        <w:widowControl/>
        <w:numPr>
          <w:ilvl w:val="0"/>
          <w:numId w:val="2"/>
        </w:numPr>
        <w:spacing w:after="0" w:line="600" w:lineRule="exact"/>
        <w:ind w:left="0" w:firstLine="567"/>
        <w:rPr>
          <w:rFonts w:ascii="宋体" w:hAnsi="宋体"/>
          <w:b/>
          <w:color w:val="auto"/>
          <w:sz w:val="28"/>
          <w:szCs w:val="28"/>
        </w:rPr>
      </w:pPr>
      <w:r>
        <w:rPr>
          <w:rFonts w:hint="eastAsia" w:ascii="宋体" w:hAnsi="宋体"/>
          <w:b/>
          <w:color w:val="auto"/>
          <w:sz w:val="28"/>
          <w:szCs w:val="28"/>
        </w:rPr>
        <w:t>资金来源、预算金额及最高限价：</w:t>
      </w:r>
      <w:r>
        <w:rPr>
          <w:rFonts w:hint="eastAsia" w:ascii="宋体" w:hAnsi="宋体"/>
          <w:color w:val="auto"/>
          <w:sz w:val="28"/>
          <w:szCs w:val="28"/>
        </w:rPr>
        <w:t>财</w:t>
      </w:r>
      <w:r>
        <w:rPr>
          <w:rFonts w:hint="eastAsia" w:ascii="宋体" w:hAnsi="宋体"/>
          <w:sz w:val="28"/>
          <w:szCs w:val="28"/>
        </w:rPr>
        <w:t>政性资金，政府采购实施计划备案表号：（202</w:t>
      </w:r>
      <w:r>
        <w:rPr>
          <w:rFonts w:ascii="宋体" w:hAnsi="宋体"/>
          <w:sz w:val="28"/>
          <w:szCs w:val="28"/>
        </w:rPr>
        <w:t>1</w:t>
      </w:r>
      <w:r>
        <w:rPr>
          <w:rFonts w:hint="eastAsia" w:ascii="宋体" w:hAnsi="宋体"/>
          <w:sz w:val="28"/>
          <w:szCs w:val="28"/>
        </w:rPr>
        <w:t>）01</w:t>
      </w:r>
      <w:r>
        <w:rPr>
          <w:rFonts w:hint="eastAsia" w:ascii="宋体" w:hAnsi="宋体"/>
          <w:sz w:val="28"/>
          <w:szCs w:val="28"/>
          <w:lang w:val="en-US" w:eastAsia="zh-CN"/>
        </w:rPr>
        <w:t>97</w:t>
      </w:r>
      <w:r>
        <w:rPr>
          <w:rFonts w:hint="eastAsia" w:ascii="宋体" w:hAnsi="宋体"/>
          <w:sz w:val="28"/>
          <w:szCs w:val="28"/>
        </w:rPr>
        <w:t>号；预算品目：</w:t>
      </w:r>
      <w:r>
        <w:rPr>
          <w:rFonts w:hint="eastAsia" w:ascii="宋体" w:hAnsi="宋体"/>
          <w:sz w:val="28"/>
          <w:szCs w:val="28"/>
          <w:lang w:val="en-US" w:eastAsia="zh-CN"/>
        </w:rPr>
        <w:t>B0801 房屋修缮</w:t>
      </w:r>
      <w:r>
        <w:rPr>
          <w:rFonts w:hint="eastAsia" w:ascii="宋体" w:hAnsi="宋体"/>
          <w:sz w:val="28"/>
          <w:szCs w:val="28"/>
        </w:rPr>
        <w:t>；预算金额：</w:t>
      </w:r>
      <w:r>
        <w:rPr>
          <w:rFonts w:hint="eastAsia" w:ascii="宋体" w:hAnsi="宋体"/>
          <w:color w:val="auto"/>
          <w:sz w:val="28"/>
          <w:szCs w:val="28"/>
          <w:lang w:val="en-US" w:eastAsia="zh-CN"/>
        </w:rPr>
        <w:t>1259008.44元</w:t>
      </w:r>
      <w:r>
        <w:rPr>
          <w:rFonts w:hint="eastAsia" w:ascii="宋体" w:hAnsi="宋体"/>
          <w:color w:val="auto"/>
          <w:sz w:val="28"/>
          <w:szCs w:val="28"/>
        </w:rPr>
        <w:t>；最高限价</w:t>
      </w:r>
      <w:r>
        <w:rPr>
          <w:rFonts w:hint="eastAsia" w:ascii="宋体" w:hAnsi="宋体"/>
          <w:color w:val="auto"/>
          <w:sz w:val="28"/>
          <w:szCs w:val="28"/>
          <w:lang w:eastAsia="zh-CN"/>
        </w:rPr>
        <w:t>（</w:t>
      </w:r>
      <w:r>
        <w:rPr>
          <w:rFonts w:hint="eastAsia" w:ascii="宋体" w:hAnsi="宋体"/>
          <w:color w:val="auto"/>
          <w:sz w:val="28"/>
          <w:szCs w:val="28"/>
          <w:lang w:val="en-US" w:eastAsia="zh-CN"/>
        </w:rPr>
        <w:t>控制价</w:t>
      </w:r>
      <w:r>
        <w:rPr>
          <w:rFonts w:hint="eastAsia" w:ascii="宋体" w:hAnsi="宋体"/>
          <w:color w:val="auto"/>
          <w:sz w:val="28"/>
          <w:szCs w:val="28"/>
          <w:lang w:eastAsia="zh-CN"/>
        </w:rPr>
        <w:t>）</w:t>
      </w:r>
      <w:r>
        <w:rPr>
          <w:rFonts w:hint="eastAsia" w:ascii="宋体" w:hAnsi="宋体"/>
          <w:color w:val="auto"/>
          <w:sz w:val="28"/>
          <w:szCs w:val="28"/>
        </w:rPr>
        <w:t>：</w:t>
      </w:r>
      <w:r>
        <w:rPr>
          <w:rFonts w:hint="eastAsia" w:ascii="宋体" w:hAnsi="宋体"/>
          <w:color w:val="auto"/>
          <w:sz w:val="28"/>
          <w:szCs w:val="28"/>
          <w:lang w:val="en-US" w:eastAsia="zh-CN"/>
        </w:rPr>
        <w:t>1259008.44元</w:t>
      </w:r>
      <w:r>
        <w:rPr>
          <w:rFonts w:hint="eastAsia" w:ascii="宋体" w:hAnsi="宋体"/>
          <w:color w:val="auto"/>
          <w:sz w:val="28"/>
          <w:szCs w:val="28"/>
        </w:rPr>
        <w:t>；采购标</w:t>
      </w:r>
      <w:r>
        <w:rPr>
          <w:rFonts w:ascii="宋体" w:hAnsi="宋体"/>
          <w:color w:val="auto"/>
          <w:sz w:val="28"/>
          <w:szCs w:val="28"/>
        </w:rPr>
        <w:t>的</w:t>
      </w:r>
      <w:r>
        <w:rPr>
          <w:rFonts w:hint="eastAsia" w:ascii="宋体" w:hAnsi="宋体"/>
          <w:color w:val="auto"/>
          <w:sz w:val="28"/>
          <w:szCs w:val="28"/>
        </w:rPr>
        <w:t>及所属行业</w:t>
      </w:r>
      <w:r>
        <w:rPr>
          <w:rFonts w:ascii="宋体" w:hAnsi="宋体"/>
          <w:color w:val="auto"/>
          <w:sz w:val="28"/>
          <w:szCs w:val="28"/>
        </w:rPr>
        <w:t>：</w:t>
      </w:r>
      <w:r>
        <w:rPr>
          <w:rFonts w:hint="eastAsia" w:ascii="宋体" w:hAnsi="宋体"/>
          <w:color w:val="auto"/>
          <w:sz w:val="28"/>
          <w:szCs w:val="28"/>
          <w:lang w:eastAsia="zh-CN"/>
        </w:rPr>
        <w:t>成都市第二幼儿园督院园区食堂改造工程项目</w:t>
      </w:r>
      <w:r>
        <w:rPr>
          <w:rFonts w:hint="eastAsia" w:ascii="宋体" w:hAnsi="宋体"/>
          <w:color w:val="auto"/>
          <w:sz w:val="28"/>
          <w:szCs w:val="28"/>
        </w:rPr>
        <w:t>，</w:t>
      </w:r>
      <w:r>
        <w:rPr>
          <w:rFonts w:ascii="宋体" w:hAnsi="宋体"/>
          <w:color w:val="auto"/>
          <w:sz w:val="28"/>
          <w:szCs w:val="28"/>
        </w:rPr>
        <w:t>所属行业为建筑业</w:t>
      </w:r>
      <w:r>
        <w:rPr>
          <w:rFonts w:hint="eastAsia" w:ascii="宋体" w:hAnsi="宋体"/>
          <w:color w:val="auto"/>
          <w:sz w:val="28"/>
          <w:szCs w:val="28"/>
        </w:rPr>
        <w:t>。采购</w:t>
      </w:r>
      <w:r>
        <w:rPr>
          <w:rFonts w:hint="eastAsia" w:ascii="宋体" w:hAnsi="宋体"/>
          <w:color w:val="auto"/>
          <w:sz w:val="28"/>
          <w:szCs w:val="28"/>
          <w:lang w:eastAsia="zh-CN"/>
        </w:rPr>
        <w:t>成都市第二幼儿园督院园区食堂改造工程项目</w:t>
      </w:r>
      <w:r>
        <w:rPr>
          <w:rFonts w:hint="eastAsia" w:ascii="宋体" w:hAnsi="宋体"/>
          <w:color w:val="auto"/>
          <w:sz w:val="28"/>
          <w:szCs w:val="28"/>
        </w:rPr>
        <w:t>供应商一名。</w:t>
      </w:r>
    </w:p>
    <w:p>
      <w:pPr>
        <w:numPr>
          <w:ilvl w:val="0"/>
          <w:numId w:val="2"/>
        </w:numPr>
        <w:snapToGrid w:val="0"/>
        <w:spacing w:line="640" w:lineRule="exact"/>
        <w:ind w:left="0" w:firstLine="567"/>
        <w:jc w:val="both"/>
        <w:rPr>
          <w:rFonts w:ascii="宋体" w:hAnsi="宋体"/>
          <w:color w:val="auto"/>
          <w:sz w:val="28"/>
          <w:szCs w:val="28"/>
          <w:highlight w:val="none"/>
        </w:rPr>
      </w:pPr>
      <w:r>
        <w:rPr>
          <w:rFonts w:hint="eastAsia" w:ascii="宋体" w:hAnsi="宋体"/>
          <w:b/>
          <w:color w:val="auto"/>
          <w:sz w:val="28"/>
          <w:szCs w:val="28"/>
          <w:highlight w:val="none"/>
        </w:rPr>
        <w:t>采购项目简介:</w:t>
      </w:r>
    </w:p>
    <w:p>
      <w:pPr>
        <w:spacing w:line="600" w:lineRule="exact"/>
        <w:ind w:right="-21" w:rightChars="-10" w:firstLine="562" w:firstLineChars="201"/>
        <w:rPr>
          <w:rFonts w:hint="eastAsia" w:ascii="宋体" w:hAnsi="宋体"/>
          <w:color w:val="auto"/>
          <w:sz w:val="28"/>
          <w:szCs w:val="28"/>
          <w:lang w:eastAsia="zh-CN"/>
        </w:rPr>
      </w:pPr>
      <w:r>
        <w:rPr>
          <w:rFonts w:hint="eastAsia" w:ascii="宋体" w:hAnsi="宋体"/>
          <w:color w:val="auto"/>
          <w:sz w:val="28"/>
          <w:szCs w:val="28"/>
          <w:highlight w:val="none"/>
          <w:lang w:val="en-US" w:eastAsia="zh-CN"/>
        </w:rPr>
        <w:t xml:space="preserve">  </w:t>
      </w:r>
      <w:r>
        <w:rPr>
          <w:rFonts w:hint="eastAsia" w:ascii="宋体" w:hAnsi="宋体"/>
          <w:color w:val="auto"/>
          <w:sz w:val="28"/>
          <w:szCs w:val="28"/>
        </w:rPr>
        <w:t xml:space="preserve"> </w:t>
      </w:r>
      <w:r>
        <w:rPr>
          <w:rFonts w:hint="eastAsia" w:ascii="宋体" w:hAnsi="宋体"/>
          <w:color w:val="auto"/>
          <w:sz w:val="28"/>
          <w:szCs w:val="28"/>
          <w:lang w:val="zh-CN" w:eastAsia="zh-CN"/>
        </w:rPr>
        <w:t>本次项目主要内容为成都市第二幼儿园督院园区食堂改造工程，总建筑面积</w:t>
      </w:r>
      <w:r>
        <w:rPr>
          <w:rFonts w:hint="eastAsia" w:ascii="宋体" w:hAnsi="宋体"/>
          <w:color w:val="auto"/>
          <w:sz w:val="28"/>
          <w:szCs w:val="28"/>
          <w:lang w:val="en-US" w:eastAsia="zh-CN"/>
        </w:rPr>
        <w:t>255.00㎡，建筑高度为8.40m，层数为地上2层。</w:t>
      </w:r>
      <w:r>
        <w:rPr>
          <w:rFonts w:hint="eastAsia" w:ascii="宋体" w:hAnsi="宋体"/>
          <w:color w:val="auto"/>
          <w:sz w:val="28"/>
          <w:szCs w:val="28"/>
          <w:lang w:val="zh-CN" w:eastAsia="zh-CN"/>
        </w:rPr>
        <w:t>具体以施工图及工程量清单的范围为准。</w:t>
      </w:r>
    </w:p>
    <w:p>
      <w:pPr>
        <w:spacing w:line="600" w:lineRule="exact"/>
        <w:ind w:right="-21" w:rightChars="-10" w:firstLine="562" w:firstLineChars="201"/>
        <w:rPr>
          <w:rFonts w:hint="eastAsia" w:ascii="宋体" w:hAnsi="宋体"/>
          <w:sz w:val="28"/>
          <w:szCs w:val="28"/>
          <w:lang w:val="en-US" w:eastAsia="zh-CN"/>
        </w:rPr>
      </w:pPr>
      <w:bookmarkStart w:id="1" w:name="_Toc31038"/>
      <w:bookmarkStart w:id="2" w:name="_Toc4567"/>
      <w:bookmarkStart w:id="3" w:name="_Toc17452"/>
      <w:bookmarkStart w:id="4" w:name="_Toc222988507"/>
      <w:bookmarkStart w:id="5" w:name="_Toc232226874"/>
      <w:bookmarkStart w:id="6" w:name="_Toc206531674"/>
      <w:bookmarkStart w:id="7" w:name="_Toc237969084"/>
      <w:bookmarkStart w:id="8" w:name="_Toc222915905"/>
      <w:bookmarkStart w:id="9" w:name="_Toc232226810"/>
      <w:bookmarkStart w:id="10" w:name="_Toc202769343"/>
      <w:bookmarkStart w:id="11" w:name="_Toc222910130"/>
      <w:r>
        <w:rPr>
          <w:rFonts w:hint="eastAsia" w:ascii="宋体" w:hAnsi="宋体"/>
          <w:sz w:val="28"/>
          <w:szCs w:val="28"/>
        </w:rPr>
        <w:t>（一）地理位置：</w:t>
      </w:r>
      <w:bookmarkEnd w:id="1"/>
      <w:bookmarkEnd w:id="2"/>
      <w:bookmarkEnd w:id="3"/>
      <w:bookmarkStart w:id="12" w:name="_Toc18359"/>
      <w:bookmarkStart w:id="13" w:name="_Toc28521"/>
      <w:bookmarkStart w:id="14" w:name="_Toc21166"/>
      <w:r>
        <w:rPr>
          <w:rFonts w:hint="eastAsia" w:ascii="宋体" w:hAnsi="宋体"/>
          <w:sz w:val="28"/>
          <w:szCs w:val="28"/>
          <w:lang w:val="zh-CN"/>
        </w:rPr>
        <w:t>成都市锦江区光大巷</w:t>
      </w:r>
      <w:r>
        <w:rPr>
          <w:rFonts w:hint="eastAsia" w:ascii="宋体" w:hAnsi="宋体"/>
          <w:sz w:val="28"/>
          <w:szCs w:val="28"/>
          <w:lang w:val="en-US" w:eastAsia="zh-CN"/>
        </w:rPr>
        <w:t>58号</w:t>
      </w:r>
    </w:p>
    <w:p>
      <w:pPr>
        <w:spacing w:line="600" w:lineRule="exact"/>
        <w:ind w:right="-21" w:rightChars="-10" w:firstLine="562" w:firstLineChars="201"/>
        <w:rPr>
          <w:rFonts w:hint="eastAsia" w:ascii="宋体" w:hAnsi="宋体"/>
          <w:sz w:val="28"/>
          <w:szCs w:val="28"/>
          <w:lang w:val="zh-CN" w:eastAsia="zh-CN"/>
        </w:rPr>
      </w:pPr>
      <w:r>
        <w:rPr>
          <w:rFonts w:hint="eastAsia" w:ascii="宋体" w:hAnsi="宋体"/>
          <w:sz w:val="28"/>
          <w:szCs w:val="28"/>
        </w:rPr>
        <w:t>（二）</w:t>
      </w:r>
      <w:r>
        <w:rPr>
          <w:rFonts w:hint="eastAsia" w:ascii="宋体" w:hAnsi="宋体"/>
          <w:sz w:val="28"/>
          <w:szCs w:val="28"/>
          <w:lang w:val="zh-CN"/>
        </w:rPr>
        <w:t>工程内容：</w:t>
      </w:r>
      <w:bookmarkEnd w:id="4"/>
      <w:bookmarkEnd w:id="5"/>
      <w:bookmarkEnd w:id="6"/>
      <w:bookmarkEnd w:id="7"/>
      <w:bookmarkEnd w:id="8"/>
      <w:bookmarkEnd w:id="9"/>
      <w:bookmarkEnd w:id="10"/>
      <w:bookmarkEnd w:id="11"/>
      <w:bookmarkEnd w:id="12"/>
      <w:bookmarkEnd w:id="13"/>
      <w:bookmarkEnd w:id="14"/>
      <w:bookmarkStart w:id="15" w:name="_Toc23278"/>
      <w:bookmarkStart w:id="16" w:name="_Toc29239"/>
      <w:r>
        <w:rPr>
          <w:rFonts w:hint="eastAsia" w:ascii="宋体" w:hAnsi="宋体"/>
          <w:sz w:val="28"/>
          <w:szCs w:val="28"/>
          <w:lang w:val="zh-CN" w:eastAsia="zh-CN"/>
        </w:rPr>
        <w:t>本次项目主要内容为成都市第二幼儿园督院园区食堂改造工程，总建筑面积255.00㎡，建筑高度为8.40m，层数为地上2层。具体以施工图及工程量清单的范围为准。</w:t>
      </w:r>
    </w:p>
    <w:p>
      <w:pPr>
        <w:spacing w:line="600" w:lineRule="exact"/>
        <w:ind w:right="-21" w:rightChars="-10" w:firstLine="562" w:firstLineChars="201"/>
        <w:rPr>
          <w:rFonts w:ascii="宋体" w:hAnsi="宋体"/>
          <w:sz w:val="28"/>
          <w:szCs w:val="28"/>
        </w:rPr>
      </w:pPr>
      <w:r>
        <w:rPr>
          <w:rFonts w:hint="eastAsia" w:ascii="宋体" w:hAnsi="宋体"/>
          <w:sz w:val="28"/>
          <w:szCs w:val="28"/>
        </w:rPr>
        <w:t>（三）工期要求</w:t>
      </w:r>
      <w:bookmarkEnd w:id="15"/>
      <w:bookmarkEnd w:id="16"/>
      <w:r>
        <w:rPr>
          <w:rFonts w:hint="eastAsia" w:ascii="宋体" w:hAnsi="宋体"/>
          <w:sz w:val="28"/>
          <w:szCs w:val="28"/>
        </w:rPr>
        <w:t>：</w:t>
      </w:r>
      <w:r>
        <w:rPr>
          <w:rFonts w:hint="eastAsia" w:ascii="宋体" w:hAnsi="宋体"/>
          <w:sz w:val="28"/>
          <w:szCs w:val="28"/>
          <w:lang w:val="en-US" w:eastAsia="zh-CN"/>
        </w:rPr>
        <w:t>100</w:t>
      </w:r>
      <w:r>
        <w:rPr>
          <w:rFonts w:hint="eastAsia" w:ascii="宋体" w:hAnsi="宋体"/>
          <w:sz w:val="28"/>
          <w:szCs w:val="28"/>
          <w:lang w:val="zh-CN"/>
        </w:rPr>
        <w:t>日历天（具体以实际工期为准）</w:t>
      </w:r>
    </w:p>
    <w:p>
      <w:pPr>
        <w:snapToGrid w:val="0"/>
        <w:spacing w:line="640" w:lineRule="exact"/>
        <w:ind w:firstLine="560" w:firstLineChars="200"/>
        <w:jc w:val="both"/>
        <w:rPr>
          <w:rFonts w:hint="eastAsia" w:ascii="宋体" w:hAnsi="宋体"/>
          <w:color w:val="auto"/>
          <w:sz w:val="28"/>
          <w:szCs w:val="28"/>
          <w:highlight w:val="none"/>
        </w:rPr>
      </w:pPr>
    </w:p>
    <w:p>
      <w:pPr>
        <w:numPr>
          <w:ilvl w:val="0"/>
          <w:numId w:val="2"/>
        </w:numPr>
        <w:snapToGrid w:val="0"/>
        <w:spacing w:line="640" w:lineRule="exact"/>
        <w:ind w:left="0" w:firstLine="567"/>
        <w:jc w:val="both"/>
        <w:rPr>
          <w:rFonts w:hint="eastAsia" w:eastAsia="宋体"/>
          <w:color w:val="auto"/>
          <w:highlight w:val="none"/>
          <w:lang w:val="en-US" w:eastAsia="zh-CN"/>
        </w:rPr>
      </w:pPr>
      <w:r>
        <w:rPr>
          <w:rFonts w:hint="eastAsia" w:ascii="宋体" w:hAnsi="宋体"/>
          <w:b/>
          <w:color w:val="auto"/>
          <w:sz w:val="28"/>
          <w:highlight w:val="none"/>
        </w:rPr>
        <w:t>定向采购情况：</w:t>
      </w:r>
      <w:r>
        <w:rPr>
          <w:rFonts w:hint="eastAsia" w:ascii="宋体" w:hAnsi="宋体"/>
          <w:color w:val="auto"/>
          <w:sz w:val="28"/>
          <w:highlight w:val="none"/>
        </w:rPr>
        <w:t>本项目</w:t>
      </w:r>
      <w:r>
        <w:rPr>
          <w:rFonts w:hint="eastAsia" w:ascii="宋体" w:hAnsi="宋体"/>
          <w:color w:val="auto"/>
          <w:sz w:val="28"/>
          <w:highlight w:val="none"/>
          <w:lang w:val="en-US" w:eastAsia="zh-CN"/>
        </w:rPr>
        <w:t>非</w:t>
      </w:r>
      <w:r>
        <w:rPr>
          <w:rFonts w:hint="eastAsia" w:ascii="宋体" w:hAnsi="宋体"/>
          <w:color w:val="auto"/>
          <w:sz w:val="28"/>
          <w:highlight w:val="none"/>
        </w:rPr>
        <w:t>专门面向中小企业采购。</w:t>
      </w:r>
    </w:p>
    <w:p>
      <w:pPr>
        <w:numPr>
          <w:ilvl w:val="0"/>
          <w:numId w:val="2"/>
        </w:numPr>
        <w:snapToGrid w:val="0"/>
        <w:spacing w:line="640" w:lineRule="exact"/>
        <w:ind w:left="0" w:firstLine="567"/>
        <w:jc w:val="both"/>
        <w:rPr>
          <w:rFonts w:ascii="宋体" w:hAnsi="宋体"/>
          <w:b/>
          <w:color w:val="auto"/>
          <w:sz w:val="28"/>
          <w:szCs w:val="28"/>
          <w:highlight w:val="none"/>
        </w:rPr>
      </w:pPr>
      <w:r>
        <w:rPr>
          <w:rFonts w:hint="eastAsia" w:ascii="宋体" w:hAnsi="宋体"/>
          <w:b/>
          <w:color w:val="auto"/>
          <w:sz w:val="28"/>
          <w:szCs w:val="28"/>
          <w:highlight w:val="none"/>
        </w:rPr>
        <w:t>邀请供应商</w:t>
      </w:r>
    </w:p>
    <w:p>
      <w:pPr>
        <w:snapToGrid w:val="0"/>
        <w:spacing w:line="640" w:lineRule="exact"/>
        <w:ind w:firstLine="560" w:firstLineChars="200"/>
        <w:jc w:val="both"/>
        <w:rPr>
          <w:rFonts w:hint="eastAsia" w:ascii="宋体" w:hAnsi="宋体"/>
          <w:color w:val="auto"/>
          <w:sz w:val="28"/>
          <w:szCs w:val="28"/>
          <w:highlight w:val="none"/>
        </w:rPr>
      </w:pPr>
      <w:r>
        <w:rPr>
          <w:rFonts w:hint="eastAsia" w:ascii="宋体" w:hAnsi="宋体"/>
          <w:color w:val="auto"/>
          <w:sz w:val="28"/>
          <w:szCs w:val="28"/>
          <w:highlight w:val="none"/>
        </w:rPr>
        <w:t>本次竞争性</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在四川政府采购网上以公告形式发布，本项目已实行资格预审，邀请通过资格预审且现场随机抽取</w:t>
      </w:r>
      <w:r>
        <w:rPr>
          <w:rFonts w:hint="eastAsia" w:ascii="宋体" w:hAnsi="宋体"/>
          <w:color w:val="auto"/>
          <w:sz w:val="28"/>
          <w:szCs w:val="28"/>
          <w:highlight w:val="none"/>
          <w:u w:val="single"/>
          <w:lang w:val="en-US" w:eastAsia="zh-CN"/>
        </w:rPr>
        <w:t>10</w:t>
      </w:r>
      <w:r>
        <w:rPr>
          <w:rFonts w:hint="eastAsia" w:ascii="宋体" w:hAnsi="宋体"/>
          <w:color w:val="auto"/>
          <w:sz w:val="28"/>
          <w:szCs w:val="28"/>
          <w:highlight w:val="none"/>
        </w:rPr>
        <w:t>家进入</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环节的供应商参加本项目的竞争性</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w:t>
      </w:r>
    </w:p>
    <w:p>
      <w:pPr>
        <w:numPr>
          <w:ilvl w:val="0"/>
          <w:numId w:val="2"/>
        </w:numPr>
        <w:spacing w:line="600" w:lineRule="exact"/>
        <w:ind w:left="0" w:firstLine="567"/>
        <w:jc w:val="both"/>
        <w:rPr>
          <w:rFonts w:ascii="宋体" w:hAnsi="宋体"/>
          <w:b/>
          <w:color w:val="auto"/>
          <w:sz w:val="28"/>
          <w:szCs w:val="28"/>
          <w:highlight w:val="none"/>
        </w:rPr>
      </w:pPr>
      <w:r>
        <w:rPr>
          <w:rFonts w:hint="eastAsia" w:ascii="宋体" w:hAnsi="宋体"/>
          <w:b/>
          <w:color w:val="auto"/>
          <w:sz w:val="28"/>
          <w:szCs w:val="28"/>
          <w:highlight w:val="none"/>
        </w:rPr>
        <w:t>供应商参加本次政府采购活动应具备的条件</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color w:val="auto"/>
          <w:sz w:val="28"/>
          <w:szCs w:val="28"/>
          <w:highlight w:val="none"/>
        </w:rPr>
      </w:pPr>
      <w:r>
        <w:rPr>
          <w:rFonts w:hint="eastAsia" w:ascii="宋体" w:hAnsi="宋体"/>
          <w:color w:val="auto"/>
          <w:sz w:val="28"/>
          <w:szCs w:val="28"/>
          <w:highlight w:val="none"/>
        </w:rPr>
        <w:t>符合《政府采购法》第二十二条第一款规定的条件；</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color w:val="auto"/>
          <w:sz w:val="28"/>
          <w:szCs w:val="28"/>
          <w:highlight w:val="none"/>
        </w:rPr>
      </w:pPr>
      <w:r>
        <w:rPr>
          <w:rFonts w:hint="eastAsia" w:ascii="宋体" w:hAnsi="宋体"/>
          <w:color w:val="auto"/>
          <w:sz w:val="28"/>
          <w:szCs w:val="28"/>
          <w:highlight w:val="none"/>
        </w:rPr>
        <w:t>未处于被行政部门禁止参与政府采购活动的期限内；</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color w:val="auto"/>
          <w:sz w:val="28"/>
          <w:szCs w:val="28"/>
          <w:highlight w:val="none"/>
        </w:rPr>
      </w:pPr>
      <w:r>
        <w:rPr>
          <w:rFonts w:hint="eastAsia" w:ascii="宋体" w:hAnsi="宋体"/>
          <w:color w:val="auto"/>
          <w:sz w:val="28"/>
          <w:szCs w:val="28"/>
          <w:highlight w:val="none"/>
        </w:rPr>
        <w:t>未被列入失信被执行人、重大税收违法案件当事人名单、政府采购严重违法失信行为记录名单；</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color w:val="auto"/>
          <w:sz w:val="28"/>
          <w:szCs w:val="28"/>
          <w:highlight w:val="none"/>
        </w:rPr>
      </w:pPr>
      <w:r>
        <w:rPr>
          <w:rFonts w:hint="eastAsia" w:ascii="宋体" w:hAnsi="宋体"/>
          <w:color w:val="auto"/>
          <w:sz w:val="28"/>
          <w:szCs w:val="28"/>
          <w:highlight w:val="none"/>
        </w:rPr>
        <w:t>在行贿犯罪信息查询期限内，供应商及其现任法定代表人、主要负责人没有行贿犯罪记录；</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color w:val="auto"/>
          <w:sz w:val="28"/>
          <w:szCs w:val="28"/>
          <w:highlight w:val="none"/>
        </w:rPr>
      </w:pPr>
      <w:r>
        <w:rPr>
          <w:rFonts w:hint="eastAsia" w:ascii="宋体" w:hAnsi="宋体"/>
          <w:color w:val="auto"/>
          <w:sz w:val="28"/>
          <w:szCs w:val="28"/>
          <w:highlight w:val="none"/>
        </w:rPr>
        <w:t>不</w:t>
      </w:r>
      <w:r>
        <w:rPr>
          <w:rFonts w:ascii="宋体" w:hAnsi="宋体"/>
          <w:color w:val="auto"/>
          <w:sz w:val="28"/>
          <w:szCs w:val="28"/>
          <w:highlight w:val="none"/>
        </w:rPr>
        <w:t>属于</w:t>
      </w:r>
      <w:r>
        <w:rPr>
          <w:rFonts w:hint="eastAsia" w:ascii="宋体" w:hAnsi="宋体"/>
          <w:color w:val="auto"/>
          <w:sz w:val="28"/>
          <w:szCs w:val="28"/>
          <w:highlight w:val="none"/>
        </w:rPr>
        <w:t>其他</w:t>
      </w:r>
      <w:r>
        <w:rPr>
          <w:rFonts w:ascii="宋体" w:hAnsi="宋体"/>
          <w:color w:val="auto"/>
          <w:sz w:val="28"/>
          <w:szCs w:val="28"/>
          <w:highlight w:val="none"/>
        </w:rPr>
        <w:t>国家相关法律法规规定的</w:t>
      </w:r>
      <w:r>
        <w:rPr>
          <w:rFonts w:hint="eastAsia" w:ascii="宋体" w:hAnsi="宋体"/>
          <w:color w:val="auto"/>
          <w:sz w:val="28"/>
          <w:szCs w:val="28"/>
          <w:highlight w:val="none"/>
        </w:rPr>
        <w:t>禁止参加资格预审的供应商；</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color w:val="auto"/>
          <w:sz w:val="28"/>
          <w:szCs w:val="28"/>
          <w:highlight w:val="none"/>
        </w:rPr>
      </w:pPr>
      <w:r>
        <w:rPr>
          <w:rFonts w:hint="eastAsia" w:ascii="宋体" w:hAnsi="宋体"/>
          <w:color w:val="auto"/>
          <w:sz w:val="28"/>
          <w:szCs w:val="28"/>
          <w:highlight w:val="none"/>
        </w:rPr>
        <w:t>在中华人民共和国境内依法登记注册，并有效存续具有独立法人资格的供应商；</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color w:val="auto"/>
          <w:sz w:val="28"/>
          <w:szCs w:val="28"/>
          <w:highlight w:val="none"/>
        </w:rPr>
      </w:pPr>
      <w:r>
        <w:rPr>
          <w:rFonts w:hint="eastAsia" w:ascii="宋体" w:hAnsi="宋体"/>
          <w:color w:val="auto"/>
          <w:sz w:val="28"/>
          <w:szCs w:val="28"/>
          <w:highlight w:val="none"/>
        </w:rPr>
        <w:t>本次政府采购活动不接受供应商以联合体的形式参加磋商。</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color w:val="auto"/>
          <w:sz w:val="28"/>
          <w:szCs w:val="28"/>
          <w:highlight w:val="none"/>
        </w:rPr>
      </w:pPr>
      <w:r>
        <w:rPr>
          <w:rFonts w:hint="eastAsia" w:ascii="宋体" w:hAnsi="宋体"/>
          <w:color w:val="auto"/>
          <w:sz w:val="28"/>
          <w:szCs w:val="28"/>
          <w:highlight w:val="none"/>
        </w:rPr>
        <w:t>本项目特定资格条件：</w:t>
      </w:r>
    </w:p>
    <w:p>
      <w:pPr>
        <w:pStyle w:val="65"/>
        <w:adjustRightInd w:val="0"/>
        <w:snapToGrid w:val="0"/>
        <w:spacing w:line="240" w:lineRule="atLeast"/>
        <w:ind w:firstLine="0" w:firstLineChars="0"/>
        <w:jc w:val="left"/>
        <w:rPr>
          <w:rFonts w:ascii="宋体" w:hAnsi="宋体" w:eastAsia="宋体" w:cs="Times New Roman"/>
          <w:color w:val="000000" w:themeColor="text1"/>
          <w:sz w:val="28"/>
          <w:szCs w:val="28"/>
          <w14:textFill>
            <w14:solidFill>
              <w14:schemeClr w14:val="tx1"/>
            </w14:solidFill>
          </w14:textFill>
        </w:rPr>
      </w:pPr>
      <w:r>
        <w:rPr>
          <w:rFonts w:hint="eastAsia" w:ascii="宋体" w:hAnsi="宋体" w:cs="Times New Roman"/>
          <w:color w:val="000000" w:themeColor="text1"/>
          <w:sz w:val="28"/>
          <w:szCs w:val="28"/>
          <w:lang w:val="en-US" w:eastAsia="zh-CN"/>
          <w14:textFill>
            <w14:solidFill>
              <w14:schemeClr w14:val="tx1"/>
            </w14:solidFill>
          </w14:textFill>
        </w:rPr>
        <w:t xml:space="preserve">       </w:t>
      </w:r>
      <w:r>
        <w:rPr>
          <w:rFonts w:hint="eastAsia" w:ascii="宋体" w:hAnsi="宋体" w:eastAsia="宋体" w:cs="Times New Roman"/>
          <w:color w:val="000000" w:themeColor="text1"/>
          <w:sz w:val="28"/>
          <w:szCs w:val="28"/>
          <w14:textFill>
            <w14:solidFill>
              <w14:schemeClr w14:val="tx1"/>
            </w14:solidFill>
          </w14:textFill>
        </w:rPr>
        <w:t>（1）具备相关行政主管颁发的建筑工程施工总承包三级及以上资质；</w:t>
      </w:r>
    </w:p>
    <w:p>
      <w:pPr>
        <w:pStyle w:val="65"/>
        <w:adjustRightInd w:val="0"/>
        <w:snapToGrid w:val="0"/>
        <w:spacing w:line="360" w:lineRule="auto"/>
        <w:ind w:firstLine="0" w:firstLineChars="0"/>
        <w:jc w:val="left"/>
        <w:rPr>
          <w:rFonts w:ascii="宋体" w:hAnsi="宋体" w:eastAsia="宋体" w:cs="Times New Roman"/>
          <w:color w:val="000000" w:themeColor="text1"/>
          <w:sz w:val="28"/>
          <w:szCs w:val="28"/>
          <w14:textFill>
            <w14:solidFill>
              <w14:schemeClr w14:val="tx1"/>
            </w14:solidFill>
          </w14:textFill>
        </w:rPr>
      </w:pPr>
      <w:r>
        <w:rPr>
          <w:rFonts w:hint="eastAsia" w:ascii="宋体" w:hAnsi="宋体" w:eastAsia="宋体" w:cs="Times New Roman"/>
          <w:color w:val="000000" w:themeColor="text1"/>
          <w:sz w:val="28"/>
          <w:szCs w:val="28"/>
          <w:lang w:val="en-US" w:eastAsia="zh-CN"/>
          <w14:textFill>
            <w14:solidFill>
              <w14:schemeClr w14:val="tx1"/>
            </w14:solidFill>
          </w14:textFill>
        </w:rPr>
        <w:t xml:space="preserve">       </w:t>
      </w:r>
      <w:r>
        <w:rPr>
          <w:rFonts w:hint="eastAsia" w:ascii="宋体" w:hAnsi="宋体" w:eastAsia="宋体" w:cs="Times New Roman"/>
          <w:color w:val="000000" w:themeColor="text1"/>
          <w:sz w:val="28"/>
          <w:szCs w:val="28"/>
          <w14:textFill>
            <w14:solidFill>
              <w14:schemeClr w14:val="tx1"/>
            </w14:solidFill>
          </w14:textFill>
        </w:rPr>
        <w:t>（2）具备有效的《安全生产许可证》；</w:t>
      </w:r>
    </w:p>
    <w:p>
      <w:pPr>
        <w:pStyle w:val="65"/>
        <w:adjustRightInd w:val="0"/>
        <w:snapToGrid w:val="0"/>
        <w:spacing w:line="360" w:lineRule="auto"/>
        <w:ind w:firstLine="0" w:firstLineChars="0"/>
        <w:jc w:val="left"/>
        <w:rPr>
          <w:rFonts w:hint="eastAsia" w:ascii="宋体" w:hAnsi="宋体" w:eastAsia="宋体" w:cs="Times New Roman"/>
          <w:color w:val="000000" w:themeColor="text1"/>
          <w:kern w:val="2"/>
          <w:sz w:val="28"/>
          <w:szCs w:val="28"/>
          <w:lang w:val="en-US" w:eastAsia="zh-CN" w:bidi="ar-SA"/>
          <w14:textFill>
            <w14:solidFill>
              <w14:schemeClr w14:val="tx1"/>
            </w14:solidFill>
          </w14:textFill>
        </w:rPr>
      </w:pPr>
      <w:r>
        <w:rPr>
          <w:rFonts w:hint="eastAsia" w:ascii="宋体" w:hAnsi="宋体" w:eastAsia="宋体" w:cs="Times New Roman"/>
          <w:color w:val="000000" w:themeColor="text1"/>
          <w:sz w:val="28"/>
          <w:szCs w:val="28"/>
          <w:lang w:val="en-US" w:eastAsia="zh-CN"/>
          <w14:textFill>
            <w14:solidFill>
              <w14:schemeClr w14:val="tx1"/>
            </w14:solidFill>
          </w14:textFill>
        </w:rPr>
        <w:t xml:space="preserve">     </w:t>
      </w:r>
      <w:r>
        <w:rPr>
          <w:rFonts w:hint="eastAsia" w:ascii="宋体" w:hAnsi="宋体" w:eastAsia="宋体" w:cs="Times New Roman"/>
          <w:color w:val="000000" w:themeColor="text1"/>
          <w:kern w:val="2"/>
          <w:sz w:val="28"/>
          <w:szCs w:val="28"/>
          <w:lang w:val="en-US" w:eastAsia="zh-CN" w:bidi="ar-SA"/>
          <w14:textFill>
            <w14:solidFill>
              <w14:schemeClr w14:val="tx1"/>
            </w14:solidFill>
          </w14:textFill>
        </w:rPr>
        <w:t xml:space="preserve">  （3）项目经理：具备建筑工程专业二级或以上注册建造师执业资格证书，并具备有效的安全生产考核证（B证）；</w:t>
      </w:r>
    </w:p>
    <w:p>
      <w:pPr>
        <w:pStyle w:val="65"/>
        <w:adjustRightInd w:val="0"/>
        <w:snapToGrid w:val="0"/>
        <w:spacing w:line="360" w:lineRule="auto"/>
        <w:ind w:firstLine="0" w:firstLineChars="0"/>
        <w:jc w:val="left"/>
        <w:rPr>
          <w:rFonts w:hint="eastAsia" w:ascii="宋体" w:hAnsi="宋体" w:eastAsia="宋体" w:cs="Times New Roman"/>
          <w:color w:val="000000" w:themeColor="text1"/>
          <w:kern w:val="2"/>
          <w:sz w:val="28"/>
          <w:szCs w:val="28"/>
          <w:lang w:val="en-US" w:eastAsia="zh-CN" w:bidi="ar-SA"/>
          <w14:textFill>
            <w14:solidFill>
              <w14:schemeClr w14:val="tx1"/>
            </w14:solidFill>
          </w14:textFill>
        </w:rPr>
      </w:pPr>
      <w:r>
        <w:rPr>
          <w:rFonts w:hint="eastAsia" w:ascii="宋体" w:hAnsi="宋体" w:cs="Times New Roman"/>
          <w:color w:val="000000" w:themeColor="text1"/>
          <w:kern w:val="2"/>
          <w:sz w:val="28"/>
          <w:szCs w:val="28"/>
          <w:lang w:val="en-US" w:eastAsia="zh-CN" w:bidi="ar-SA"/>
          <w14:textFill>
            <w14:solidFill>
              <w14:schemeClr w14:val="tx1"/>
            </w14:solidFill>
          </w14:textFill>
        </w:rPr>
        <w:t xml:space="preserve">        </w:t>
      </w:r>
      <w:r>
        <w:rPr>
          <w:rFonts w:hint="eastAsia" w:ascii="宋体" w:hAnsi="宋体" w:eastAsia="宋体" w:cs="Times New Roman"/>
          <w:color w:val="000000" w:themeColor="text1"/>
          <w:sz w:val="28"/>
          <w:szCs w:val="28"/>
          <w14:textFill>
            <w14:solidFill>
              <w14:schemeClr w14:val="tx1"/>
            </w14:solidFill>
          </w14:textFill>
        </w:rPr>
        <w:t>（4）</w:t>
      </w:r>
      <w:r>
        <w:rPr>
          <w:rFonts w:hint="eastAsia" w:ascii="宋体" w:hAnsi="宋体" w:cs="Times New Roman"/>
          <w:color w:val="000000" w:themeColor="text1"/>
          <w:kern w:val="2"/>
          <w:sz w:val="28"/>
          <w:szCs w:val="28"/>
          <w:lang w:val="en-US" w:eastAsia="zh-CN" w:bidi="ar-SA"/>
          <w14:textFill>
            <w14:solidFill>
              <w14:schemeClr w14:val="tx1"/>
            </w14:solidFill>
          </w14:textFill>
        </w:rPr>
        <w:t xml:space="preserve">  </w:t>
      </w:r>
      <w:r>
        <w:rPr>
          <w:rFonts w:hint="eastAsia" w:ascii="宋体" w:hAnsi="宋体" w:eastAsia="宋体" w:cs="Times New Roman"/>
          <w:color w:val="000000" w:themeColor="text1"/>
          <w:kern w:val="2"/>
          <w:sz w:val="28"/>
          <w:szCs w:val="28"/>
          <w:lang w:val="en-US" w:eastAsia="zh-CN" w:bidi="ar-SA"/>
          <w14:textFill>
            <w14:solidFill>
              <w14:schemeClr w14:val="tx1"/>
            </w14:solidFill>
          </w14:textFill>
        </w:rPr>
        <w:t>项目技术负责人具备建筑工程专业中级及以上职称；</w:t>
      </w:r>
    </w:p>
    <w:p>
      <w:pPr>
        <w:widowControl/>
        <w:numPr>
          <w:ilvl w:val="0"/>
          <w:numId w:val="0"/>
        </w:numPr>
        <w:spacing w:after="0" w:line="360" w:lineRule="auto"/>
        <w:ind w:left="7" w:leftChars="0" w:firstLine="560" w:firstLineChars="200"/>
        <w:rPr>
          <w:rFonts w:hint="eastAsia" w:ascii="宋体" w:hAnsi="宋体" w:eastAsia="宋体" w:cs="Times New Roman"/>
          <w:color w:val="000000" w:themeColor="text1"/>
          <w:sz w:val="28"/>
          <w:szCs w:val="28"/>
          <w14:textFill>
            <w14:solidFill>
              <w14:schemeClr w14:val="tx1"/>
            </w14:solidFill>
          </w14:textFill>
        </w:rPr>
      </w:pPr>
      <w:r>
        <w:rPr>
          <w:rFonts w:hint="eastAsia" w:ascii="宋体" w:hAnsi="宋体" w:cs="Times New Roman"/>
          <w:color w:val="000000" w:themeColor="text1"/>
          <w:sz w:val="28"/>
          <w:szCs w:val="28"/>
          <w:lang w:val="en-US" w:eastAsia="zh-CN"/>
          <w14:textFill>
            <w14:solidFill>
              <w14:schemeClr w14:val="tx1"/>
            </w14:solidFill>
          </w14:textFill>
        </w:rPr>
        <w:t xml:space="preserve">  </w:t>
      </w:r>
      <w:r>
        <w:rPr>
          <w:rFonts w:hint="eastAsia" w:ascii="宋体" w:hAnsi="宋体" w:eastAsia="宋体" w:cs="Times New Roman"/>
          <w:color w:val="000000" w:themeColor="text1"/>
          <w:sz w:val="28"/>
          <w:szCs w:val="28"/>
          <w14:textFill>
            <w14:solidFill>
              <w14:schemeClr w14:val="tx1"/>
            </w14:solidFill>
          </w14:textFill>
        </w:rPr>
        <w:t>（</w:t>
      </w:r>
      <w:r>
        <w:rPr>
          <w:rFonts w:hint="eastAsia" w:ascii="宋体" w:hAnsi="宋体" w:cs="Times New Roman"/>
          <w:color w:val="000000" w:themeColor="text1"/>
          <w:sz w:val="28"/>
          <w:szCs w:val="28"/>
          <w:lang w:val="en-US" w:eastAsia="zh-CN"/>
          <w14:textFill>
            <w14:solidFill>
              <w14:schemeClr w14:val="tx1"/>
            </w14:solidFill>
          </w14:textFill>
        </w:rPr>
        <w:t>5</w:t>
      </w:r>
      <w:r>
        <w:rPr>
          <w:rFonts w:hint="eastAsia" w:ascii="宋体" w:hAnsi="宋体" w:eastAsia="宋体" w:cs="Times New Roman"/>
          <w:color w:val="000000" w:themeColor="text1"/>
          <w:sz w:val="28"/>
          <w:szCs w:val="28"/>
          <w14:textFill>
            <w14:solidFill>
              <w14:schemeClr w14:val="tx1"/>
            </w14:solidFill>
          </w14:textFill>
        </w:rPr>
        <w:t>）供应商为省外注册企业应具有有效的《四川省省外建筑企业入川从事建筑活动备案证》或《四川省省外建筑企业入川承揽业务验证登记证》或者《四川省外省施工入川承揽业务信息录入证》，且省外企业的拟派人员需要入川备案登记证中的人员。</w:t>
      </w:r>
    </w:p>
    <w:p>
      <w:pPr>
        <w:numPr>
          <w:ilvl w:val="0"/>
          <w:numId w:val="0"/>
        </w:numPr>
        <w:snapToGrid w:val="0"/>
        <w:spacing w:line="640" w:lineRule="exact"/>
        <w:ind w:left="568" w:leftChars="0"/>
        <w:jc w:val="both"/>
        <w:rPr>
          <w:rFonts w:ascii="仿宋" w:hAnsi="仿宋" w:eastAsia="仿宋"/>
          <w:color w:val="auto"/>
          <w:highlight w:val="none"/>
        </w:rPr>
      </w:pPr>
      <w:r>
        <w:rPr>
          <w:rFonts w:hint="eastAsia" w:ascii="宋体" w:hAnsi="宋体"/>
          <w:color w:val="auto"/>
          <w:sz w:val="28"/>
          <w:highlight w:val="none"/>
          <w:lang w:val="en-US" w:eastAsia="zh-CN"/>
        </w:rPr>
        <w:t xml:space="preserve">   </w:t>
      </w:r>
      <w:r>
        <w:rPr>
          <w:rFonts w:hint="eastAsia" w:ascii="宋体" w:hAnsi="宋体"/>
          <w:b/>
          <w:bCs/>
          <w:color w:val="auto"/>
          <w:sz w:val="28"/>
          <w:highlight w:val="none"/>
          <w:lang w:val="en-US" w:eastAsia="zh-CN"/>
        </w:rPr>
        <w:t xml:space="preserve"> </w:t>
      </w:r>
      <w:r>
        <w:rPr>
          <w:rFonts w:ascii="宋体" w:hAnsi="宋体"/>
          <w:b/>
          <w:bCs/>
          <w:color w:val="auto"/>
          <w:sz w:val="28"/>
          <w:highlight w:val="none"/>
        </w:rPr>
        <w:t>本项目已进行资格预审，供应商</w:t>
      </w:r>
      <w:r>
        <w:rPr>
          <w:rFonts w:hint="eastAsia" w:ascii="宋体" w:hAnsi="宋体"/>
          <w:b/>
          <w:bCs/>
          <w:color w:val="auto"/>
          <w:sz w:val="28"/>
          <w:highlight w:val="none"/>
        </w:rPr>
        <w:t>资格条件无变化的不须提供</w:t>
      </w:r>
      <w:r>
        <w:rPr>
          <w:rFonts w:ascii="宋体" w:hAnsi="宋体"/>
          <w:b/>
          <w:bCs/>
          <w:color w:val="auto"/>
          <w:sz w:val="28"/>
          <w:highlight w:val="none"/>
        </w:rPr>
        <w:t>资格性响应文件</w:t>
      </w:r>
      <w:r>
        <w:rPr>
          <w:rFonts w:hint="eastAsia" w:ascii="宋体" w:hAnsi="宋体"/>
          <w:b/>
          <w:bCs/>
          <w:color w:val="auto"/>
          <w:sz w:val="28"/>
          <w:highlight w:val="none"/>
        </w:rPr>
        <w:t>，资格预审合格的供应商在评审阶段资格发生变化的，应当通知</w:t>
      </w:r>
      <w:r>
        <w:rPr>
          <w:b/>
          <w:bCs/>
          <w:color w:val="auto"/>
          <w:highlight w:val="none"/>
        </w:rPr>
        <w:fldChar w:fldCharType="begin"/>
      </w:r>
      <w:r>
        <w:rPr>
          <w:b/>
          <w:bCs/>
          <w:color w:val="auto"/>
          <w:highlight w:val="none"/>
        </w:rPr>
        <w:instrText xml:space="preserve"> HYPERLINK "http://www.caigou2003.com/cgr/" \t "_blank" </w:instrText>
      </w:r>
      <w:r>
        <w:rPr>
          <w:b/>
          <w:bCs/>
          <w:color w:val="auto"/>
          <w:highlight w:val="none"/>
        </w:rPr>
        <w:fldChar w:fldCharType="separate"/>
      </w:r>
      <w:r>
        <w:rPr>
          <w:rFonts w:hint="eastAsia" w:ascii="宋体" w:hAnsi="宋体"/>
          <w:b/>
          <w:bCs/>
          <w:color w:val="auto"/>
          <w:sz w:val="28"/>
          <w:highlight w:val="none"/>
        </w:rPr>
        <w:t>采购人</w:t>
      </w:r>
      <w:r>
        <w:rPr>
          <w:rFonts w:hint="eastAsia" w:ascii="宋体" w:hAnsi="宋体"/>
          <w:b/>
          <w:bCs/>
          <w:color w:val="auto"/>
          <w:sz w:val="28"/>
          <w:highlight w:val="none"/>
        </w:rPr>
        <w:fldChar w:fldCharType="end"/>
      </w:r>
      <w:r>
        <w:rPr>
          <w:rFonts w:hint="eastAsia" w:ascii="宋体" w:hAnsi="宋体"/>
          <w:b/>
          <w:bCs/>
          <w:color w:val="auto"/>
          <w:sz w:val="28"/>
          <w:highlight w:val="none"/>
        </w:rPr>
        <w:t>和采购代理机构</w:t>
      </w:r>
      <w:r>
        <w:rPr>
          <w:rFonts w:ascii="宋体" w:hAnsi="宋体"/>
          <w:b/>
          <w:bCs/>
          <w:color w:val="auto"/>
          <w:sz w:val="28"/>
          <w:highlight w:val="none"/>
        </w:rPr>
        <w:t>。</w:t>
      </w:r>
      <w:r>
        <w:rPr>
          <w:rFonts w:hint="eastAsia" w:ascii="宋体" w:hAnsi="宋体"/>
          <w:b/>
          <w:bCs/>
          <w:color w:val="auto"/>
          <w:sz w:val="28"/>
          <w:highlight w:val="none"/>
        </w:rPr>
        <w:t xml:space="preserve"> </w:t>
      </w:r>
      <w:r>
        <w:rPr>
          <w:rFonts w:ascii="仿宋" w:hAnsi="仿宋" w:eastAsia="仿宋"/>
          <w:color w:val="auto"/>
          <w:highlight w:val="none"/>
        </w:rPr>
        <w:t xml:space="preserve">   </w:t>
      </w:r>
    </w:p>
    <w:p>
      <w:pPr>
        <w:numPr>
          <w:ilvl w:val="0"/>
          <w:numId w:val="2"/>
        </w:numPr>
        <w:snapToGrid w:val="0"/>
        <w:spacing w:line="640" w:lineRule="exact"/>
        <w:ind w:left="0" w:firstLine="567"/>
        <w:jc w:val="both"/>
        <w:rPr>
          <w:rFonts w:ascii="宋体" w:hAnsi="宋体"/>
          <w:b/>
          <w:color w:val="auto"/>
          <w:sz w:val="28"/>
          <w:szCs w:val="28"/>
          <w:highlight w:val="none"/>
        </w:rPr>
      </w:pPr>
      <w:r>
        <w:rPr>
          <w:rFonts w:hint="eastAsia" w:ascii="宋体" w:hAnsi="宋体"/>
          <w:b/>
          <w:color w:val="auto"/>
          <w:sz w:val="28"/>
          <w:szCs w:val="28"/>
          <w:highlight w:val="none"/>
        </w:rPr>
        <w:t>采购项目技术、服务</w:t>
      </w:r>
      <w:r>
        <w:rPr>
          <w:rFonts w:hint="eastAsia" w:ascii="宋体" w:hAnsi="宋体"/>
          <w:b/>
          <w:color w:val="auto"/>
          <w:sz w:val="28"/>
          <w:szCs w:val="28"/>
          <w:highlight w:val="none"/>
          <w:lang w:eastAsia="zh-CN"/>
        </w:rPr>
        <w:t>、商务</w:t>
      </w:r>
      <w:r>
        <w:rPr>
          <w:rFonts w:hint="eastAsia" w:ascii="宋体" w:hAnsi="宋体"/>
          <w:b/>
          <w:color w:val="auto"/>
          <w:sz w:val="28"/>
          <w:szCs w:val="28"/>
          <w:highlight w:val="none"/>
        </w:rPr>
        <w:t>和报价要求</w:t>
      </w:r>
    </w:p>
    <w:p>
      <w:pPr>
        <w:tabs>
          <w:tab w:val="left" w:pos="851"/>
        </w:tabs>
        <w:snapToGrid w:val="0"/>
        <w:spacing w:line="640" w:lineRule="exact"/>
        <w:ind w:left="0" w:leftChars="0" w:firstLine="239" w:firstLineChars="85"/>
        <w:rPr>
          <w:rFonts w:hint="eastAsia"/>
          <w:color w:val="auto"/>
          <w:highlight w:val="none"/>
          <w:lang w:val="en-US" w:eastAsia="zh-CN"/>
        </w:rPr>
      </w:pPr>
      <w:r>
        <w:rPr>
          <w:rFonts w:hint="eastAsia" w:ascii="宋体" w:hAnsi="宋体"/>
          <w:b/>
          <w:color w:val="auto"/>
          <w:sz w:val="28"/>
          <w:szCs w:val="28"/>
          <w:highlight w:val="none"/>
          <w:lang w:val="en-US" w:eastAsia="zh-CN"/>
        </w:rPr>
        <w:t xml:space="preserve"> </w:t>
      </w:r>
      <w:r>
        <w:rPr>
          <w:rFonts w:hint="eastAsia" w:ascii="宋体" w:hAnsi="宋体"/>
          <w:b/>
          <w:color w:val="auto"/>
          <w:sz w:val="28"/>
          <w:szCs w:val="28"/>
          <w:highlight w:val="none"/>
        </w:rPr>
        <w:t>（一）采购内容</w:t>
      </w:r>
    </w:p>
    <w:p>
      <w:pPr>
        <w:tabs>
          <w:tab w:val="left" w:pos="851"/>
        </w:tabs>
        <w:spacing w:line="600" w:lineRule="exact"/>
        <w:ind w:firstLine="480" w:firstLineChars="200"/>
        <w:rPr>
          <w:rFonts w:ascii="宋体" w:hAnsi="宋体"/>
          <w:color w:val="auto"/>
          <w:sz w:val="28"/>
          <w:szCs w:val="28"/>
          <w:highlight w:val="none"/>
        </w:rPr>
      </w:pPr>
      <w:r>
        <w:rPr>
          <w:rFonts w:hint="eastAsia"/>
          <w:color w:val="auto"/>
          <w:highlight w:val="none"/>
        </w:rPr>
        <w:t xml:space="preserve"> </w:t>
      </w:r>
      <w:r>
        <w:rPr>
          <w:rFonts w:hint="eastAsia" w:ascii="宋体" w:hAnsi="宋体"/>
          <w:color w:val="auto"/>
          <w:sz w:val="28"/>
          <w:szCs w:val="28"/>
          <w:highlight w:val="none"/>
        </w:rPr>
        <w:t>工程量清单、图纸所示范围及内容。具体采购内容见磋商文件 “第7章工程量清单”。</w:t>
      </w:r>
    </w:p>
    <w:p>
      <w:pPr>
        <w:tabs>
          <w:tab w:val="left" w:pos="851"/>
        </w:tabs>
        <w:snapToGrid w:val="0"/>
        <w:spacing w:line="640" w:lineRule="exact"/>
        <w:rPr>
          <w:rFonts w:ascii="宋体" w:hAnsi="宋体"/>
          <w:b/>
          <w:bCs/>
          <w:color w:val="auto"/>
          <w:sz w:val="28"/>
          <w:szCs w:val="28"/>
          <w:highlight w:val="none"/>
        </w:rPr>
      </w:pPr>
      <w:r>
        <w:rPr>
          <w:rFonts w:hint="eastAsia" w:ascii="宋体" w:hAnsi="宋体"/>
          <w:b/>
          <w:bCs/>
          <w:color w:val="auto"/>
          <w:sz w:val="28"/>
          <w:szCs w:val="28"/>
          <w:highlight w:val="none"/>
          <w:lang w:val="en-US" w:eastAsia="zh-CN"/>
        </w:rPr>
        <w:t xml:space="preserve">   </w:t>
      </w:r>
      <w:r>
        <w:rPr>
          <w:rFonts w:hint="eastAsia" w:ascii="宋体" w:hAnsi="宋体"/>
          <w:b/>
          <w:bCs/>
          <w:color w:val="auto"/>
          <w:sz w:val="28"/>
          <w:szCs w:val="28"/>
          <w:highlight w:val="none"/>
        </w:rPr>
        <w:t>（二）技术、服务要求</w:t>
      </w:r>
    </w:p>
    <w:p>
      <w:pPr>
        <w:snapToGrid w:val="0"/>
        <w:spacing w:line="640" w:lineRule="exact"/>
        <w:ind w:left="0" w:leftChars="0" w:firstLine="560" w:firstLineChars="200"/>
        <w:rPr>
          <w:rFonts w:ascii="宋体" w:hAnsi="宋体"/>
          <w:color w:val="auto"/>
          <w:sz w:val="28"/>
          <w:szCs w:val="28"/>
          <w:highlight w:val="none"/>
        </w:rPr>
      </w:pPr>
      <w:r>
        <w:rPr>
          <w:rFonts w:hint="eastAsia" w:ascii="宋体" w:hAnsi="宋体"/>
          <w:color w:val="auto"/>
          <w:sz w:val="28"/>
          <w:szCs w:val="28"/>
          <w:highlight w:val="none"/>
        </w:rPr>
        <w:t>见</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文件</w:t>
      </w:r>
      <w:r>
        <w:rPr>
          <w:rFonts w:ascii="宋体" w:hAnsi="宋体"/>
          <w:color w:val="auto"/>
          <w:sz w:val="28"/>
          <w:szCs w:val="28"/>
          <w:highlight w:val="none"/>
        </w:rPr>
        <w:t xml:space="preserve"> </w:t>
      </w:r>
      <w:r>
        <w:rPr>
          <w:rFonts w:hint="eastAsia" w:ascii="宋体" w:hAnsi="宋体"/>
          <w:color w:val="auto"/>
          <w:sz w:val="28"/>
          <w:szCs w:val="28"/>
          <w:highlight w:val="none"/>
        </w:rPr>
        <w:t>“第</w:t>
      </w:r>
      <w:r>
        <w:rPr>
          <w:rFonts w:ascii="宋体" w:hAnsi="宋体"/>
          <w:color w:val="auto"/>
          <w:sz w:val="28"/>
          <w:szCs w:val="28"/>
          <w:highlight w:val="none"/>
        </w:rPr>
        <w:t>4</w:t>
      </w:r>
      <w:r>
        <w:rPr>
          <w:rFonts w:hint="eastAsia" w:ascii="宋体" w:hAnsi="宋体"/>
          <w:color w:val="auto"/>
          <w:sz w:val="28"/>
          <w:szCs w:val="28"/>
          <w:highlight w:val="none"/>
        </w:rPr>
        <w:t>章项目技术、服务</w:t>
      </w:r>
      <w:r>
        <w:rPr>
          <w:rFonts w:hint="eastAsia" w:ascii="宋体" w:hAnsi="宋体"/>
          <w:color w:val="auto"/>
          <w:sz w:val="28"/>
          <w:szCs w:val="28"/>
          <w:highlight w:val="none"/>
          <w:lang w:eastAsia="zh-CN"/>
        </w:rPr>
        <w:t>、</w:t>
      </w:r>
      <w:r>
        <w:rPr>
          <w:rFonts w:hint="eastAsia" w:ascii="宋体" w:hAnsi="宋体"/>
          <w:color w:val="auto"/>
          <w:sz w:val="28"/>
          <w:szCs w:val="28"/>
          <w:highlight w:val="none"/>
          <w:lang w:val="en-US" w:eastAsia="zh-CN"/>
        </w:rPr>
        <w:t>商务</w:t>
      </w:r>
      <w:r>
        <w:rPr>
          <w:rFonts w:hint="eastAsia" w:ascii="宋体" w:hAnsi="宋体"/>
          <w:color w:val="auto"/>
          <w:sz w:val="28"/>
          <w:szCs w:val="28"/>
          <w:highlight w:val="none"/>
        </w:rPr>
        <w:t>及其他要求”。</w:t>
      </w:r>
    </w:p>
    <w:p>
      <w:pPr>
        <w:tabs>
          <w:tab w:val="left" w:pos="851"/>
        </w:tabs>
        <w:snapToGrid w:val="0"/>
        <w:spacing w:line="640" w:lineRule="exact"/>
        <w:rPr>
          <w:rFonts w:ascii="宋体" w:hAnsi="宋体"/>
          <w:b/>
          <w:bCs/>
          <w:color w:val="auto"/>
          <w:sz w:val="28"/>
          <w:szCs w:val="28"/>
          <w:highlight w:val="none"/>
        </w:rPr>
      </w:pPr>
      <w:r>
        <w:rPr>
          <w:rFonts w:hint="eastAsia" w:ascii="宋体" w:hAnsi="宋体"/>
          <w:b/>
          <w:bCs/>
          <w:color w:val="auto"/>
          <w:sz w:val="28"/>
          <w:szCs w:val="28"/>
          <w:highlight w:val="none"/>
          <w:lang w:val="en-US" w:eastAsia="zh-CN"/>
        </w:rPr>
        <w:t xml:space="preserve">   </w:t>
      </w:r>
      <w:r>
        <w:rPr>
          <w:rFonts w:hint="eastAsia" w:ascii="宋体" w:hAnsi="宋体"/>
          <w:b/>
          <w:bCs/>
          <w:color w:val="auto"/>
          <w:sz w:val="28"/>
          <w:szCs w:val="28"/>
          <w:highlight w:val="none"/>
        </w:rPr>
        <w:t>（三）报价要求</w:t>
      </w:r>
    </w:p>
    <w:p>
      <w:pPr>
        <w:snapToGrid w:val="0"/>
        <w:spacing w:line="640" w:lineRule="exact"/>
        <w:ind w:firstLine="562" w:firstLineChars="201"/>
        <w:rPr>
          <w:rFonts w:ascii="宋体" w:hAnsi="宋体"/>
          <w:color w:val="auto"/>
          <w:sz w:val="28"/>
          <w:szCs w:val="28"/>
          <w:highlight w:val="none"/>
        </w:rPr>
      </w:pPr>
      <w:r>
        <w:rPr>
          <w:rFonts w:hint="eastAsia" w:ascii="宋体" w:hAnsi="宋体"/>
          <w:color w:val="auto"/>
          <w:sz w:val="28"/>
          <w:szCs w:val="28"/>
          <w:highlight w:val="none"/>
        </w:rPr>
        <w:t>供应商按</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文件要求进行报价。</w:t>
      </w:r>
    </w:p>
    <w:p>
      <w:pPr>
        <w:numPr>
          <w:ilvl w:val="0"/>
          <w:numId w:val="2"/>
        </w:numPr>
        <w:snapToGrid w:val="0"/>
        <w:spacing w:line="640" w:lineRule="exact"/>
        <w:ind w:left="0" w:firstLine="567"/>
        <w:jc w:val="both"/>
        <w:rPr>
          <w:rFonts w:ascii="宋体" w:hAnsi="宋体"/>
          <w:color w:val="auto"/>
          <w:sz w:val="28"/>
          <w:szCs w:val="28"/>
          <w:highlight w:val="none"/>
        </w:rPr>
      </w:pPr>
      <w:r>
        <w:rPr>
          <w:rFonts w:hint="eastAsia" w:ascii="宋体" w:hAnsi="宋体"/>
          <w:b/>
          <w:color w:val="auto"/>
          <w:sz w:val="28"/>
          <w:szCs w:val="28"/>
          <w:highlight w:val="none"/>
          <w:lang w:eastAsia="zh-CN"/>
        </w:rPr>
        <w:t>磋商</w:t>
      </w:r>
      <w:r>
        <w:rPr>
          <w:rFonts w:hint="eastAsia" w:ascii="宋体" w:hAnsi="宋体"/>
          <w:b/>
          <w:color w:val="auto"/>
          <w:sz w:val="28"/>
          <w:szCs w:val="28"/>
          <w:highlight w:val="none"/>
        </w:rPr>
        <w:t>文件获取时间</w:t>
      </w:r>
    </w:p>
    <w:p>
      <w:pPr>
        <w:pStyle w:val="65"/>
        <w:numPr>
          <w:ilvl w:val="0"/>
          <w:numId w:val="4"/>
        </w:numPr>
        <w:tabs>
          <w:tab w:val="left" w:pos="1418"/>
        </w:tabs>
        <w:snapToGrid w:val="0"/>
        <w:spacing w:line="640" w:lineRule="exact"/>
        <w:ind w:left="0" w:firstLine="563" w:firstLineChars="0"/>
        <w:rPr>
          <w:rFonts w:ascii="宋体" w:hAnsi="宋体"/>
          <w:color w:val="auto"/>
          <w:sz w:val="28"/>
          <w:szCs w:val="28"/>
          <w:highlight w:val="none"/>
        </w:rPr>
      </w:pP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文件获取时间及公告期限：</w:t>
      </w:r>
      <w:r>
        <w:rPr>
          <w:rFonts w:ascii="宋体" w:hAnsi="宋体"/>
          <w:b/>
          <w:color w:val="auto"/>
          <w:sz w:val="28"/>
          <w:szCs w:val="28"/>
          <w:highlight w:val="none"/>
        </w:rPr>
        <w:t>20</w:t>
      </w:r>
      <w:r>
        <w:rPr>
          <w:rFonts w:hint="eastAsia" w:ascii="宋体" w:hAnsi="宋体"/>
          <w:b/>
          <w:color w:val="auto"/>
          <w:sz w:val="28"/>
          <w:szCs w:val="28"/>
          <w:highlight w:val="none"/>
          <w:lang w:val="en-US" w:eastAsia="zh-CN"/>
        </w:rPr>
        <w:t>21</w:t>
      </w:r>
      <w:r>
        <w:rPr>
          <w:rFonts w:hint="eastAsia" w:ascii="宋体" w:hAnsi="宋体"/>
          <w:b/>
          <w:color w:val="auto"/>
          <w:sz w:val="28"/>
          <w:szCs w:val="28"/>
          <w:highlight w:val="none"/>
        </w:rPr>
        <w:t>年</w:t>
      </w:r>
      <w:r>
        <w:rPr>
          <w:rFonts w:hint="eastAsia" w:ascii="宋体" w:hAnsi="宋体"/>
          <w:b/>
          <w:color w:val="auto"/>
          <w:sz w:val="28"/>
          <w:szCs w:val="28"/>
          <w:highlight w:val="none"/>
          <w:lang w:val="en-US" w:eastAsia="zh-CN"/>
        </w:rPr>
        <w:t>7</w:t>
      </w:r>
      <w:r>
        <w:rPr>
          <w:rFonts w:hint="eastAsia" w:ascii="宋体" w:hAnsi="宋体"/>
          <w:b/>
          <w:color w:val="auto"/>
          <w:sz w:val="28"/>
          <w:szCs w:val="28"/>
          <w:highlight w:val="none"/>
        </w:rPr>
        <w:t>月</w:t>
      </w:r>
      <w:r>
        <w:rPr>
          <w:rFonts w:hint="eastAsia" w:ascii="宋体" w:hAnsi="宋体"/>
          <w:b/>
          <w:color w:val="auto"/>
          <w:sz w:val="28"/>
          <w:szCs w:val="28"/>
          <w:highlight w:val="none"/>
          <w:lang w:val="en-US" w:eastAsia="zh-CN"/>
        </w:rPr>
        <w:t xml:space="preserve"> 31 </w:t>
      </w:r>
      <w:r>
        <w:rPr>
          <w:rFonts w:hint="eastAsia" w:ascii="宋体" w:hAnsi="宋体"/>
          <w:b/>
          <w:color w:val="auto"/>
          <w:sz w:val="28"/>
          <w:szCs w:val="28"/>
          <w:highlight w:val="none"/>
        </w:rPr>
        <w:t>日至</w:t>
      </w:r>
      <w:r>
        <w:rPr>
          <w:rFonts w:hint="eastAsia" w:ascii="宋体" w:hAnsi="宋体"/>
          <w:b/>
          <w:color w:val="auto"/>
          <w:sz w:val="28"/>
          <w:szCs w:val="28"/>
          <w:highlight w:val="none"/>
          <w:lang w:val="en-US" w:eastAsia="zh-CN"/>
        </w:rPr>
        <w:t>8</w:t>
      </w:r>
      <w:r>
        <w:rPr>
          <w:rFonts w:hint="eastAsia" w:ascii="宋体" w:hAnsi="宋体"/>
          <w:b/>
          <w:color w:val="auto"/>
          <w:sz w:val="28"/>
          <w:szCs w:val="28"/>
          <w:highlight w:val="none"/>
        </w:rPr>
        <w:t>月</w:t>
      </w:r>
      <w:r>
        <w:rPr>
          <w:rFonts w:hint="eastAsia" w:ascii="宋体" w:hAnsi="宋体"/>
          <w:b/>
          <w:color w:val="auto"/>
          <w:sz w:val="28"/>
          <w:szCs w:val="28"/>
          <w:highlight w:val="none"/>
          <w:lang w:val="en-US" w:eastAsia="zh-CN"/>
        </w:rPr>
        <w:t xml:space="preserve"> 9 </w:t>
      </w:r>
      <w:r>
        <w:rPr>
          <w:rFonts w:hint="eastAsia" w:ascii="宋体" w:hAnsi="宋体"/>
          <w:b/>
          <w:color w:val="auto"/>
          <w:sz w:val="28"/>
          <w:szCs w:val="28"/>
          <w:highlight w:val="none"/>
        </w:rPr>
        <w:t>日</w:t>
      </w:r>
      <w:r>
        <w:rPr>
          <w:rFonts w:hint="eastAsia" w:ascii="宋体" w:hAnsi="宋体"/>
          <w:color w:val="auto"/>
          <w:sz w:val="28"/>
          <w:szCs w:val="28"/>
          <w:highlight w:val="none"/>
        </w:rPr>
        <w:t>。</w:t>
      </w:r>
    </w:p>
    <w:p>
      <w:pPr>
        <w:numPr>
          <w:ilvl w:val="0"/>
          <w:numId w:val="2"/>
        </w:numPr>
        <w:snapToGrid w:val="0"/>
        <w:spacing w:line="640" w:lineRule="exact"/>
        <w:ind w:left="0" w:firstLine="567"/>
        <w:jc w:val="both"/>
        <w:rPr>
          <w:rFonts w:ascii="宋体" w:hAnsi="宋体"/>
          <w:b/>
          <w:color w:val="auto"/>
          <w:sz w:val="28"/>
          <w:highlight w:val="none"/>
        </w:rPr>
      </w:pPr>
      <w:r>
        <w:rPr>
          <w:rFonts w:hint="eastAsia" w:ascii="宋体" w:hAnsi="宋体"/>
          <w:b/>
          <w:color w:val="auto"/>
          <w:sz w:val="28"/>
          <w:szCs w:val="28"/>
          <w:highlight w:val="none"/>
          <w:lang w:eastAsia="zh-CN"/>
        </w:rPr>
        <w:t>磋商</w:t>
      </w:r>
      <w:r>
        <w:rPr>
          <w:rFonts w:hint="eastAsia" w:ascii="宋体" w:hAnsi="宋体"/>
          <w:b/>
          <w:color w:val="auto"/>
          <w:sz w:val="28"/>
          <w:highlight w:val="none"/>
        </w:rPr>
        <w:t>文件获取方式</w:t>
      </w:r>
    </w:p>
    <w:p>
      <w:pPr>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供应商要参加磋商，应在成都市公共资源交易服务中心“政府采购云平台”获取采购文件。登录成都市公共资源交易服务中心门户网站（https://www.cdggzy.com/）—用户中心—政府采购云平台—项目采购—获取采购文件—申请获取采购文件。</w:t>
      </w:r>
    </w:p>
    <w:p>
      <w:pPr>
        <w:spacing w:line="360" w:lineRule="auto"/>
        <w:ind w:firstLine="565" w:firstLineChars="202"/>
        <w:rPr>
          <w:rFonts w:ascii="宋体" w:hAnsi="宋体"/>
          <w:color w:val="auto"/>
          <w:sz w:val="28"/>
          <w:szCs w:val="28"/>
          <w:highlight w:val="none"/>
        </w:rPr>
      </w:pPr>
      <w:r>
        <w:rPr>
          <w:rFonts w:hint="eastAsia" w:ascii="宋体" w:hAnsi="宋体"/>
          <w:color w:val="auto"/>
          <w:sz w:val="28"/>
          <w:szCs w:val="28"/>
          <w:highlight w:val="none"/>
        </w:rPr>
        <w:t>提示：</w:t>
      </w:r>
    </w:p>
    <w:p>
      <w:pPr>
        <w:spacing w:line="360" w:lineRule="auto"/>
        <w:ind w:firstLine="565" w:firstLineChars="202"/>
        <w:rPr>
          <w:rFonts w:ascii="宋体" w:hAnsi="宋体"/>
          <w:color w:val="auto"/>
          <w:sz w:val="28"/>
          <w:szCs w:val="28"/>
          <w:highlight w:val="none"/>
        </w:rPr>
      </w:pPr>
      <w:r>
        <w:rPr>
          <w:rFonts w:hint="eastAsia" w:ascii="宋体" w:hAnsi="宋体"/>
          <w:color w:val="auto"/>
          <w:sz w:val="28"/>
          <w:szCs w:val="28"/>
          <w:highlight w:val="none"/>
        </w:rPr>
        <w:t>（1）本项目采购文件免费获取。</w:t>
      </w:r>
    </w:p>
    <w:p>
      <w:pPr>
        <w:spacing w:line="360" w:lineRule="auto"/>
        <w:ind w:firstLine="565" w:firstLineChars="202"/>
        <w:rPr>
          <w:rFonts w:ascii="宋体" w:hAnsi="宋体"/>
          <w:color w:val="auto"/>
          <w:sz w:val="28"/>
          <w:szCs w:val="28"/>
          <w:highlight w:val="none"/>
        </w:rPr>
      </w:pPr>
      <w:r>
        <w:rPr>
          <w:rFonts w:hint="eastAsia" w:ascii="宋体" w:hAnsi="宋体"/>
          <w:color w:val="auto"/>
          <w:sz w:val="28"/>
          <w:szCs w:val="28"/>
          <w:highlight w:val="none"/>
        </w:rPr>
        <w:t>（2）本项目为电子采购项目，供应商参与本项目全过程中凡涉及系统操作请详见《成都市全流程电子化采购系统操作指南——供应商版》（操作指南请登陆政府采购云平台后，点击“前台大厅</w:t>
      </w:r>
      <w:r>
        <w:rPr>
          <w:rFonts w:ascii="宋体" w:hAnsi="宋体"/>
          <w:color w:val="auto"/>
          <w:sz w:val="28"/>
          <w:szCs w:val="28"/>
          <w:highlight w:val="none"/>
        </w:rPr>
        <w:t>—</w:t>
      </w:r>
      <w:r>
        <w:rPr>
          <w:rFonts w:hint="eastAsia" w:ascii="宋体" w:hAnsi="宋体"/>
          <w:color w:val="auto"/>
          <w:sz w:val="28"/>
          <w:szCs w:val="28"/>
          <w:highlight w:val="none"/>
        </w:rPr>
        <w:t>操作指南</w:t>
      </w:r>
      <w:r>
        <w:rPr>
          <w:rFonts w:ascii="宋体" w:hAnsi="宋体"/>
          <w:color w:val="auto"/>
          <w:sz w:val="28"/>
          <w:szCs w:val="28"/>
          <w:highlight w:val="none"/>
        </w:rPr>
        <w:t>—</w:t>
      </w:r>
      <w:r>
        <w:rPr>
          <w:rFonts w:hint="eastAsia" w:ascii="宋体" w:hAnsi="宋体"/>
          <w:color w:val="auto"/>
          <w:sz w:val="28"/>
          <w:szCs w:val="28"/>
          <w:highlight w:val="none"/>
        </w:rPr>
        <w:t>供应商”处下载查看）。</w:t>
      </w:r>
    </w:p>
    <w:p>
      <w:pPr>
        <w:numPr>
          <w:ilvl w:val="0"/>
          <w:numId w:val="2"/>
        </w:numPr>
        <w:spacing w:line="600" w:lineRule="exact"/>
        <w:ind w:left="0" w:firstLine="567"/>
        <w:jc w:val="both"/>
        <w:rPr>
          <w:rFonts w:ascii="宋体" w:hAnsi="宋体"/>
          <w:color w:val="auto"/>
          <w:sz w:val="28"/>
          <w:szCs w:val="28"/>
          <w:highlight w:val="none"/>
        </w:rPr>
      </w:pPr>
      <w:r>
        <w:rPr>
          <w:rFonts w:hint="eastAsia" w:ascii="宋体" w:hAnsi="宋体"/>
          <w:b/>
          <w:color w:val="auto"/>
          <w:sz w:val="28"/>
          <w:szCs w:val="28"/>
          <w:highlight w:val="none"/>
          <w:lang w:eastAsia="zh-CN"/>
        </w:rPr>
        <w:t>磋商</w:t>
      </w:r>
      <w:r>
        <w:rPr>
          <w:rFonts w:hint="eastAsia" w:ascii="宋体" w:hAnsi="宋体"/>
          <w:b/>
          <w:color w:val="auto"/>
          <w:sz w:val="28"/>
          <w:szCs w:val="28"/>
          <w:highlight w:val="none"/>
        </w:rPr>
        <w:t>文件获取地点</w:t>
      </w:r>
      <w:r>
        <w:rPr>
          <w:rFonts w:hint="eastAsia" w:ascii="宋体" w:hAnsi="宋体"/>
          <w:color w:val="auto"/>
          <w:sz w:val="28"/>
          <w:szCs w:val="28"/>
          <w:highlight w:val="none"/>
        </w:rPr>
        <w:t>：</w:t>
      </w:r>
      <w:r>
        <w:rPr>
          <w:rFonts w:hint="eastAsia" w:ascii="宋体" w:hAnsi="宋体"/>
          <w:color w:val="auto"/>
          <w:sz w:val="28"/>
          <w:highlight w:val="none"/>
        </w:rPr>
        <w:t>登录成都市公共资源交易服务中心门户网站（https://www.cdggzy.com/）—用户中心—政府采购云平台获取。</w:t>
      </w:r>
    </w:p>
    <w:p>
      <w:pPr>
        <w:numPr>
          <w:ilvl w:val="0"/>
          <w:numId w:val="2"/>
        </w:numPr>
        <w:snapToGrid w:val="0"/>
        <w:spacing w:line="640" w:lineRule="exact"/>
        <w:ind w:left="0" w:firstLine="568" w:firstLineChars="202"/>
        <w:jc w:val="both"/>
        <w:rPr>
          <w:rFonts w:ascii="宋体" w:hAnsi="宋体"/>
          <w:color w:val="auto"/>
          <w:sz w:val="28"/>
          <w:szCs w:val="28"/>
          <w:highlight w:val="none"/>
        </w:rPr>
      </w:pPr>
      <w:r>
        <w:rPr>
          <w:rFonts w:hint="eastAsia" w:ascii="宋体" w:hAnsi="宋体"/>
          <w:b/>
          <w:color w:val="auto"/>
          <w:sz w:val="28"/>
          <w:szCs w:val="28"/>
          <w:highlight w:val="none"/>
        </w:rPr>
        <w:t>施工响应文件递交时间、截止时间及开启时间（北京时间）</w:t>
      </w:r>
      <w:r>
        <w:rPr>
          <w:rFonts w:hint="eastAsia" w:ascii="宋体" w:hAnsi="宋体"/>
          <w:b/>
          <w:color w:val="auto"/>
          <w:sz w:val="28"/>
          <w:szCs w:val="28"/>
          <w:highlight w:val="none"/>
          <w:lang w:eastAsia="zh-CN"/>
        </w:rPr>
        <w:t>、地点、方式</w:t>
      </w:r>
    </w:p>
    <w:p>
      <w:pPr>
        <w:pStyle w:val="65"/>
        <w:numPr>
          <w:ilvl w:val="0"/>
          <w:numId w:val="5"/>
        </w:numPr>
        <w:tabs>
          <w:tab w:val="left" w:pos="1418"/>
        </w:tabs>
        <w:spacing w:line="600" w:lineRule="exact"/>
        <w:ind w:left="0" w:firstLine="567" w:firstLineChars="0"/>
        <w:jc w:val="both"/>
        <w:rPr>
          <w:rFonts w:hint="eastAsia" w:ascii="宋体" w:hAnsi="宋体" w:eastAsia="宋体"/>
          <w:b/>
          <w:color w:val="auto"/>
          <w:sz w:val="28"/>
          <w:szCs w:val="28"/>
          <w:highlight w:val="none"/>
        </w:rPr>
      </w:pPr>
      <w:r>
        <w:rPr>
          <w:rFonts w:hint="eastAsia" w:ascii="宋体" w:hAnsi="宋体" w:eastAsia="宋体"/>
          <w:b/>
          <w:color w:val="auto"/>
          <w:sz w:val="28"/>
          <w:szCs w:val="28"/>
          <w:highlight w:val="none"/>
        </w:rPr>
        <w:t>施工响应文件递交截止时间及开启时间：2021年</w:t>
      </w:r>
      <w:r>
        <w:rPr>
          <w:rFonts w:hint="eastAsia" w:ascii="宋体" w:hAnsi="宋体"/>
          <w:b/>
          <w:color w:val="auto"/>
          <w:sz w:val="28"/>
          <w:szCs w:val="28"/>
          <w:highlight w:val="none"/>
          <w:lang w:val="en-US" w:eastAsia="zh-CN"/>
        </w:rPr>
        <w:t>8</w:t>
      </w:r>
      <w:r>
        <w:rPr>
          <w:rFonts w:hint="eastAsia" w:ascii="宋体" w:hAnsi="宋体" w:eastAsia="宋体"/>
          <w:b/>
          <w:color w:val="auto"/>
          <w:sz w:val="28"/>
          <w:szCs w:val="28"/>
          <w:highlight w:val="none"/>
        </w:rPr>
        <w:t>月</w:t>
      </w:r>
      <w:r>
        <w:rPr>
          <w:rFonts w:hint="eastAsia" w:ascii="宋体" w:hAnsi="宋体"/>
          <w:b/>
          <w:color w:val="auto"/>
          <w:sz w:val="28"/>
          <w:szCs w:val="28"/>
          <w:highlight w:val="none"/>
          <w:lang w:val="en-US" w:eastAsia="zh-CN"/>
        </w:rPr>
        <w:t xml:space="preserve"> 10 </w:t>
      </w:r>
      <w:r>
        <w:rPr>
          <w:rFonts w:hint="eastAsia" w:ascii="宋体" w:hAnsi="宋体" w:eastAsia="宋体"/>
          <w:b/>
          <w:color w:val="auto"/>
          <w:sz w:val="28"/>
          <w:szCs w:val="28"/>
          <w:highlight w:val="none"/>
        </w:rPr>
        <w:t>日上午</w:t>
      </w:r>
      <w:r>
        <w:rPr>
          <w:rFonts w:hint="eastAsia" w:ascii="宋体" w:hAnsi="宋体" w:eastAsia="宋体"/>
          <w:b/>
          <w:color w:val="auto"/>
          <w:sz w:val="28"/>
          <w:szCs w:val="28"/>
          <w:highlight w:val="none"/>
          <w:lang w:val="en-US" w:eastAsia="zh-CN"/>
        </w:rPr>
        <w:t>10：0</w:t>
      </w:r>
      <w:r>
        <w:rPr>
          <w:rFonts w:hint="eastAsia" w:ascii="宋体" w:hAnsi="宋体" w:eastAsia="宋体"/>
          <w:b/>
          <w:color w:val="auto"/>
          <w:sz w:val="28"/>
          <w:szCs w:val="28"/>
          <w:highlight w:val="none"/>
        </w:rPr>
        <w:t>0。</w:t>
      </w:r>
    </w:p>
    <w:p>
      <w:pPr>
        <w:numPr>
          <w:ilvl w:val="0"/>
          <w:numId w:val="2"/>
        </w:numPr>
        <w:snapToGrid w:val="0"/>
        <w:spacing w:line="640" w:lineRule="exact"/>
        <w:ind w:left="0" w:firstLine="567"/>
        <w:jc w:val="both"/>
        <w:rPr>
          <w:rFonts w:ascii="宋体" w:hAnsi="宋体"/>
          <w:color w:val="auto"/>
          <w:sz w:val="28"/>
          <w:szCs w:val="28"/>
          <w:highlight w:val="none"/>
        </w:rPr>
      </w:pPr>
      <w:r>
        <w:rPr>
          <w:rFonts w:hint="eastAsia" w:ascii="宋体" w:hAnsi="宋体"/>
          <w:b/>
          <w:color w:val="auto"/>
          <w:sz w:val="28"/>
          <w:szCs w:val="28"/>
          <w:highlight w:val="none"/>
        </w:rPr>
        <w:t>递交施工响应文件地点及</w:t>
      </w:r>
      <w:r>
        <w:rPr>
          <w:rFonts w:hint="eastAsia" w:ascii="宋体" w:hAnsi="宋体"/>
          <w:b/>
          <w:color w:val="auto"/>
          <w:sz w:val="28"/>
          <w:szCs w:val="28"/>
          <w:highlight w:val="none"/>
          <w:lang w:eastAsia="zh-CN"/>
        </w:rPr>
        <w:t>磋商</w:t>
      </w:r>
      <w:r>
        <w:rPr>
          <w:rFonts w:hint="eastAsia" w:ascii="宋体" w:hAnsi="宋体"/>
          <w:b/>
          <w:color w:val="auto"/>
          <w:sz w:val="28"/>
          <w:szCs w:val="28"/>
          <w:highlight w:val="none"/>
        </w:rPr>
        <w:t>地点</w:t>
      </w:r>
    </w:p>
    <w:p>
      <w:pPr>
        <w:spacing w:line="600" w:lineRule="exact"/>
        <w:ind w:firstLine="565" w:firstLineChars="202"/>
        <w:rPr>
          <w:rFonts w:ascii="宋体" w:hAnsi="宋体"/>
          <w:color w:val="auto"/>
          <w:sz w:val="28"/>
          <w:szCs w:val="28"/>
          <w:highlight w:val="none"/>
        </w:rPr>
      </w:pPr>
      <w:r>
        <w:rPr>
          <w:rFonts w:hint="eastAsia" w:ascii="宋体" w:hAnsi="宋体"/>
          <w:color w:val="auto"/>
          <w:sz w:val="28"/>
          <w:szCs w:val="28"/>
          <w:highlight w:val="none"/>
          <w:lang w:eastAsia="zh-CN"/>
        </w:rPr>
        <w:t>成都市锦江区政府采购中心</w:t>
      </w:r>
      <w:r>
        <w:rPr>
          <w:rFonts w:hint="eastAsia" w:ascii="宋体" w:hAnsi="宋体"/>
          <w:color w:val="auto"/>
          <w:sz w:val="28"/>
          <w:szCs w:val="28"/>
          <w:highlight w:val="none"/>
          <w:lang w:val="en-US" w:eastAsia="zh-CN"/>
        </w:rPr>
        <w:t>开标室（成都市锦江区金石路166号天府宝座A座14楼1425室）</w:t>
      </w:r>
      <w:r>
        <w:rPr>
          <w:rFonts w:hint="eastAsia" w:ascii="宋体" w:hAnsi="宋体"/>
          <w:color w:val="auto"/>
          <w:sz w:val="28"/>
          <w:szCs w:val="28"/>
          <w:highlight w:val="none"/>
        </w:rPr>
        <w:t>。</w:t>
      </w:r>
    </w:p>
    <w:p>
      <w:pPr>
        <w:numPr>
          <w:ilvl w:val="0"/>
          <w:numId w:val="2"/>
        </w:numPr>
        <w:snapToGrid w:val="0"/>
        <w:spacing w:line="640" w:lineRule="exact"/>
        <w:ind w:left="0" w:firstLine="567"/>
        <w:jc w:val="both"/>
        <w:rPr>
          <w:rFonts w:ascii="宋体" w:hAnsi="宋体"/>
          <w:b/>
          <w:color w:val="auto"/>
          <w:sz w:val="28"/>
          <w:szCs w:val="28"/>
          <w:highlight w:val="none"/>
        </w:rPr>
      </w:pPr>
      <w:r>
        <w:rPr>
          <w:rFonts w:hint="eastAsia" w:ascii="宋体" w:hAnsi="宋体"/>
          <w:b/>
          <w:color w:val="auto"/>
          <w:sz w:val="28"/>
          <w:szCs w:val="28"/>
          <w:highlight w:val="none"/>
          <w:lang w:eastAsia="zh-CN"/>
        </w:rPr>
        <w:t>中小企业</w:t>
      </w:r>
      <w:r>
        <w:rPr>
          <w:rFonts w:hint="eastAsia" w:ascii="宋体" w:hAnsi="宋体"/>
          <w:b/>
          <w:color w:val="auto"/>
          <w:sz w:val="28"/>
          <w:szCs w:val="28"/>
          <w:highlight w:val="none"/>
        </w:rPr>
        <w:t>政采信用担保融资</w:t>
      </w:r>
    </w:p>
    <w:p>
      <w:pPr>
        <w:spacing w:line="360" w:lineRule="auto"/>
        <w:ind w:firstLine="565" w:firstLineChars="202"/>
        <w:rPr>
          <w:rFonts w:ascii="宋体" w:hAnsi="宋体"/>
          <w:color w:val="auto"/>
          <w:sz w:val="28"/>
          <w:szCs w:val="28"/>
          <w:highlight w:val="none"/>
        </w:rPr>
      </w:pPr>
      <w:r>
        <w:rPr>
          <w:rFonts w:ascii="宋体" w:hAnsi="宋体"/>
          <w:color w:val="auto"/>
          <w:sz w:val="28"/>
          <w:szCs w:val="28"/>
          <w:highlight w:val="none"/>
        </w:rPr>
        <w:t>参加本次招标活动的中小企业供应商无需提供财产抵押或第三方担保，凭借政府采购合同可向融资机构申请融资。具体内容详见招标文件附件《四川省财政厅关于推进四川省政府采购供应商信用融资工作的通知》(川财采[2018]123号)和《成都市财政局 中国人民银行成都分行营业管理部关于印发〈成都市中小企业政府采购信用融资暂行办法〉和〈成都市级支持中小企业政府采购信用融资实施方案〉的通知》（成财采[2019]17号）</w:t>
      </w:r>
      <w:r>
        <w:rPr>
          <w:rFonts w:hint="eastAsia" w:ascii="宋体" w:hAnsi="宋体"/>
          <w:color w:val="auto"/>
          <w:sz w:val="28"/>
          <w:szCs w:val="28"/>
          <w:highlight w:val="none"/>
        </w:rPr>
        <w:t>和《成都市锦江区区财政局关于印发&lt;成都市锦江区支持中小企业政府采购信用融资实施方案&gt;的通知》（锦财发〔2019〕28号）和成都市锦江区政府采购信用融资机构名单（http://www.cdjinjiang.gov.cn/jjq/c133389/cgrz.shtml）见附件。</w:t>
      </w:r>
    </w:p>
    <w:p>
      <w:pPr>
        <w:numPr>
          <w:ilvl w:val="0"/>
          <w:numId w:val="2"/>
        </w:numPr>
        <w:snapToGrid w:val="0"/>
        <w:spacing w:line="640" w:lineRule="exact"/>
        <w:ind w:left="0" w:leftChars="0" w:firstLine="480" w:firstLineChars="0"/>
        <w:jc w:val="both"/>
        <w:rPr>
          <w:rFonts w:ascii="宋体" w:hAnsi="宋体"/>
          <w:b/>
          <w:color w:val="auto"/>
          <w:sz w:val="28"/>
          <w:szCs w:val="28"/>
          <w:highlight w:val="none"/>
        </w:rPr>
      </w:pPr>
      <w:r>
        <w:rPr>
          <w:rFonts w:hint="eastAsia" w:ascii="宋体" w:hAnsi="宋体"/>
          <w:b/>
          <w:color w:val="auto"/>
          <w:sz w:val="28"/>
          <w:szCs w:val="28"/>
          <w:highlight w:val="none"/>
        </w:rPr>
        <w:t>联系人及联系电话</w:t>
      </w:r>
    </w:p>
    <w:p>
      <w:pPr>
        <w:widowControl/>
        <w:numPr>
          <w:ilvl w:val="0"/>
          <w:numId w:val="0"/>
        </w:numPr>
        <w:spacing w:after="0" w:line="600" w:lineRule="exact"/>
        <w:ind w:leftChars="201"/>
        <w:rPr>
          <w:rFonts w:ascii="宋体" w:hAnsi="宋体"/>
          <w:b/>
          <w:color w:val="auto"/>
          <w:sz w:val="28"/>
          <w:szCs w:val="28"/>
          <w:highlight w:val="none"/>
        </w:rPr>
      </w:pPr>
      <w:r>
        <w:rPr>
          <w:rFonts w:hint="eastAsia" w:ascii="宋体" w:hAnsi="宋体"/>
          <w:b/>
          <w:color w:val="auto"/>
          <w:sz w:val="28"/>
          <w:highlight w:val="none"/>
          <w:lang w:val="en-US" w:eastAsia="zh-CN"/>
        </w:rPr>
        <w:t xml:space="preserve">  </w:t>
      </w:r>
      <w:r>
        <w:rPr>
          <w:rFonts w:hint="eastAsia" w:ascii="宋体" w:hAnsi="宋体"/>
          <w:b/>
          <w:color w:val="auto"/>
          <w:sz w:val="28"/>
          <w:highlight w:val="none"/>
        </w:rPr>
        <w:t>采购人：</w:t>
      </w:r>
      <w:r>
        <w:rPr>
          <w:rFonts w:hint="eastAsia" w:ascii="宋体" w:hAnsi="宋体"/>
          <w:b/>
          <w:color w:val="auto"/>
          <w:sz w:val="28"/>
          <w:szCs w:val="28"/>
          <w:highlight w:val="none"/>
          <w:lang w:eastAsia="zh-CN"/>
        </w:rPr>
        <w:t>成都市第二幼儿园督院园区食堂改造工程项目</w:t>
      </w:r>
    </w:p>
    <w:p>
      <w:pPr>
        <w:spacing w:line="600" w:lineRule="exact"/>
        <w:ind w:right="-21" w:rightChars="-10" w:firstLine="562" w:firstLineChars="201"/>
        <w:rPr>
          <w:rFonts w:ascii="宋体" w:hAnsi="宋体"/>
          <w:b/>
          <w:color w:val="auto"/>
          <w:sz w:val="28"/>
          <w:szCs w:val="28"/>
          <w:highlight w:val="none"/>
        </w:rPr>
      </w:pPr>
      <w:r>
        <w:rPr>
          <w:rFonts w:hint="eastAsia" w:ascii="宋体" w:hAnsi="宋体"/>
          <w:color w:val="auto"/>
          <w:kern w:val="0"/>
          <w:sz w:val="28"/>
          <w:szCs w:val="22"/>
          <w:highlight w:val="none"/>
          <w:lang w:val="en-US" w:eastAsia="zh-CN"/>
        </w:rPr>
        <w:t xml:space="preserve"> </w:t>
      </w:r>
      <w:r>
        <w:rPr>
          <w:rFonts w:hint="eastAsia" w:ascii="宋体" w:hAnsi="宋体"/>
          <w:color w:val="auto"/>
          <w:kern w:val="0"/>
          <w:sz w:val="28"/>
          <w:szCs w:val="22"/>
          <w:highlight w:val="none"/>
        </w:rPr>
        <w:t>地址：</w:t>
      </w:r>
      <w:r>
        <w:rPr>
          <w:rFonts w:hint="eastAsia" w:ascii="宋体" w:hAnsi="宋体"/>
          <w:sz w:val="28"/>
          <w:szCs w:val="28"/>
          <w:lang w:val="zh-CN"/>
        </w:rPr>
        <w:t>成都市锦江区光大巷</w:t>
      </w:r>
      <w:r>
        <w:rPr>
          <w:rFonts w:hint="eastAsia" w:ascii="宋体" w:hAnsi="宋体"/>
          <w:sz w:val="28"/>
          <w:szCs w:val="28"/>
          <w:lang w:val="en-US" w:eastAsia="zh-CN"/>
        </w:rPr>
        <w:t>58号</w:t>
      </w:r>
    </w:p>
    <w:p>
      <w:pPr>
        <w:pStyle w:val="168"/>
        <w:ind w:firstLine="700" w:firstLineChars="250"/>
        <w:rPr>
          <w:rFonts w:hint="eastAsia" w:ascii="宋体" w:hAnsi="宋体"/>
          <w:color w:val="auto"/>
          <w:sz w:val="28"/>
          <w:szCs w:val="28"/>
          <w:highlight w:val="none"/>
          <w:lang w:eastAsia="zh-CN"/>
        </w:rPr>
      </w:pPr>
      <w:r>
        <w:rPr>
          <w:rFonts w:hint="eastAsia" w:ascii="宋体" w:hAnsi="宋体"/>
          <w:color w:val="auto"/>
          <w:kern w:val="0"/>
          <w:sz w:val="28"/>
          <w:szCs w:val="22"/>
          <w:highlight w:val="none"/>
        </w:rPr>
        <w:t>联系人：</w:t>
      </w:r>
      <w:r>
        <w:rPr>
          <w:rFonts w:hint="eastAsia" w:ascii="宋体" w:hAnsi="宋体"/>
          <w:kern w:val="0"/>
          <w:sz w:val="28"/>
          <w:lang w:eastAsia="zh-CN"/>
        </w:rPr>
        <w:t>张老师</w:t>
      </w:r>
      <w:r>
        <w:rPr>
          <w:rFonts w:hint="eastAsia" w:ascii="宋体" w:hAnsi="宋体"/>
          <w:sz w:val="28"/>
          <w:szCs w:val="28"/>
        </w:rPr>
        <w:t xml:space="preserve"> </w:t>
      </w:r>
      <w:r>
        <w:rPr>
          <w:rFonts w:hint="eastAsia" w:ascii="宋体" w:hAnsi="宋体"/>
          <w:color w:val="auto"/>
          <w:sz w:val="28"/>
          <w:szCs w:val="28"/>
          <w:highlight w:val="none"/>
          <w:lang w:eastAsia="zh-CN"/>
        </w:rPr>
        <w:t xml:space="preserve"> </w:t>
      </w:r>
    </w:p>
    <w:p>
      <w:pPr>
        <w:spacing w:line="600" w:lineRule="exact"/>
        <w:ind w:firstLine="565" w:firstLineChars="202"/>
        <w:rPr>
          <w:rFonts w:hint="default" w:ascii="宋体" w:hAnsi="宋体" w:eastAsia="宋体"/>
          <w:sz w:val="28"/>
          <w:szCs w:val="28"/>
          <w:lang w:val="en-US" w:eastAsia="zh-CN"/>
        </w:rPr>
      </w:pPr>
      <w:r>
        <w:rPr>
          <w:rFonts w:hint="eastAsia" w:ascii="宋体" w:hAnsi="宋体"/>
          <w:color w:val="auto"/>
          <w:kern w:val="0"/>
          <w:sz w:val="28"/>
          <w:szCs w:val="22"/>
          <w:highlight w:val="none"/>
          <w:lang w:val="en-US" w:eastAsia="zh-CN"/>
        </w:rPr>
        <w:t xml:space="preserve"> </w:t>
      </w:r>
      <w:r>
        <w:rPr>
          <w:rFonts w:hint="eastAsia" w:ascii="宋体" w:hAnsi="宋体"/>
          <w:color w:val="auto"/>
          <w:kern w:val="0"/>
          <w:sz w:val="28"/>
          <w:szCs w:val="22"/>
          <w:highlight w:val="none"/>
        </w:rPr>
        <w:t>联系电话：</w:t>
      </w:r>
      <w:r>
        <w:rPr>
          <w:rFonts w:hint="eastAsia" w:ascii="宋体" w:hAnsi="宋体"/>
          <w:sz w:val="28"/>
          <w:szCs w:val="28"/>
        </w:rPr>
        <w:t>13548037591</w:t>
      </w:r>
    </w:p>
    <w:p>
      <w:pPr>
        <w:snapToGrid w:val="0"/>
        <w:spacing w:line="640" w:lineRule="exact"/>
        <w:jc w:val="both"/>
        <w:rPr>
          <w:rFonts w:hint="eastAsia" w:ascii="宋体" w:hAnsi="宋体" w:eastAsia="宋体"/>
          <w:b/>
          <w:color w:val="auto"/>
          <w:sz w:val="28"/>
          <w:szCs w:val="28"/>
          <w:highlight w:val="none"/>
          <w:lang w:eastAsia="zh-CN"/>
        </w:rPr>
      </w:pPr>
      <w:r>
        <w:rPr>
          <w:rFonts w:hint="eastAsia" w:ascii="宋体" w:hAnsi="宋体"/>
          <w:b/>
          <w:color w:val="auto"/>
          <w:sz w:val="28"/>
          <w:szCs w:val="28"/>
          <w:highlight w:val="none"/>
          <w:lang w:val="en-US" w:eastAsia="zh-CN"/>
        </w:rPr>
        <w:t xml:space="preserve">     </w:t>
      </w:r>
      <w:r>
        <w:rPr>
          <w:rFonts w:hint="eastAsia" w:ascii="宋体" w:hAnsi="宋体"/>
          <w:b/>
          <w:color w:val="auto"/>
          <w:sz w:val="28"/>
          <w:szCs w:val="28"/>
          <w:highlight w:val="none"/>
          <w:lang w:eastAsia="zh-CN"/>
        </w:rPr>
        <w:t>成都市锦江区政府采购中心</w:t>
      </w:r>
    </w:p>
    <w:p>
      <w:pPr>
        <w:spacing w:line="600" w:lineRule="exact"/>
        <w:ind w:firstLine="705" w:firstLineChars="252"/>
        <w:rPr>
          <w:rFonts w:ascii="宋体" w:hAnsi="宋体"/>
          <w:color w:val="auto"/>
          <w:sz w:val="28"/>
          <w:szCs w:val="28"/>
          <w:highlight w:val="none"/>
        </w:rPr>
      </w:pPr>
      <w:r>
        <w:rPr>
          <w:rFonts w:hint="eastAsia" w:ascii="宋体" w:hAnsi="宋体"/>
          <w:color w:val="auto"/>
          <w:sz w:val="28"/>
          <w:szCs w:val="28"/>
          <w:highlight w:val="none"/>
        </w:rPr>
        <w:t>地址：成都市</w:t>
      </w:r>
      <w:r>
        <w:rPr>
          <w:rFonts w:hint="eastAsia" w:ascii="宋体" w:hAnsi="宋体"/>
          <w:color w:val="auto"/>
          <w:sz w:val="28"/>
          <w:szCs w:val="28"/>
          <w:highlight w:val="none"/>
          <w:lang w:val="en-US" w:eastAsia="zh-CN"/>
        </w:rPr>
        <w:t>锦江区南三环路二段1号6101室</w:t>
      </w:r>
    </w:p>
    <w:p>
      <w:pPr>
        <w:spacing w:line="600" w:lineRule="exact"/>
        <w:ind w:firstLine="705" w:firstLineChars="252"/>
        <w:rPr>
          <w:rFonts w:hint="eastAsia" w:ascii="宋体" w:hAnsi="宋体"/>
          <w:color w:val="auto"/>
          <w:sz w:val="28"/>
          <w:szCs w:val="28"/>
          <w:highlight w:val="none"/>
          <w:lang w:val="en-US" w:eastAsia="zh-CN"/>
        </w:rPr>
      </w:pPr>
      <w:r>
        <w:rPr>
          <w:rFonts w:hint="eastAsia" w:ascii="宋体" w:hAnsi="宋体"/>
          <w:color w:val="auto"/>
          <w:kern w:val="0"/>
          <w:sz w:val="28"/>
          <w:szCs w:val="22"/>
          <w:highlight w:val="none"/>
        </w:rPr>
        <w:t>联系人：</w:t>
      </w:r>
      <w:r>
        <w:rPr>
          <w:rFonts w:hint="eastAsia" w:ascii="宋体" w:hAnsi="宋体"/>
          <w:color w:val="auto"/>
          <w:kern w:val="0"/>
          <w:sz w:val="28"/>
          <w:szCs w:val="22"/>
          <w:highlight w:val="none"/>
          <w:lang w:eastAsia="zh-CN"/>
        </w:rPr>
        <w:t>郑</w:t>
      </w:r>
      <w:r>
        <w:rPr>
          <w:rFonts w:hint="eastAsia" w:ascii="宋体" w:hAnsi="宋体"/>
          <w:color w:val="auto"/>
          <w:sz w:val="28"/>
          <w:szCs w:val="28"/>
          <w:highlight w:val="none"/>
          <w:lang w:val="en-US" w:eastAsia="zh-CN"/>
        </w:rPr>
        <w:t>老师</w:t>
      </w:r>
    </w:p>
    <w:p>
      <w:pPr>
        <w:spacing w:line="600" w:lineRule="exact"/>
        <w:ind w:firstLine="705" w:firstLineChars="252"/>
        <w:rPr>
          <w:rFonts w:hint="eastAsia" w:ascii="宋体" w:hAnsi="宋体"/>
          <w:color w:val="auto"/>
          <w:sz w:val="28"/>
          <w:szCs w:val="28"/>
          <w:highlight w:val="none"/>
          <w:lang w:val="en-US" w:eastAsia="zh-CN"/>
        </w:rPr>
      </w:pPr>
      <w:r>
        <w:rPr>
          <w:rFonts w:hint="eastAsia" w:ascii="宋体" w:hAnsi="宋体"/>
          <w:color w:val="auto"/>
          <w:kern w:val="0"/>
          <w:sz w:val="28"/>
          <w:szCs w:val="22"/>
          <w:highlight w:val="none"/>
        </w:rPr>
        <w:t>联系电话：</w:t>
      </w:r>
      <w:r>
        <w:rPr>
          <w:rFonts w:hint="eastAsia" w:ascii="宋体" w:hAnsi="宋体"/>
          <w:color w:val="auto"/>
          <w:sz w:val="28"/>
          <w:szCs w:val="28"/>
          <w:highlight w:val="none"/>
        </w:rPr>
        <w:t>028-</w:t>
      </w:r>
      <w:r>
        <w:rPr>
          <w:rFonts w:ascii="宋体" w:hAnsi="宋体"/>
          <w:color w:val="auto"/>
          <w:sz w:val="28"/>
          <w:szCs w:val="28"/>
          <w:highlight w:val="none"/>
        </w:rPr>
        <w:t>8</w:t>
      </w:r>
      <w:r>
        <w:rPr>
          <w:rFonts w:hint="eastAsia" w:ascii="宋体" w:hAnsi="宋体"/>
          <w:color w:val="auto"/>
          <w:sz w:val="28"/>
          <w:szCs w:val="28"/>
          <w:highlight w:val="none"/>
          <w:lang w:val="en-US" w:eastAsia="zh-CN"/>
        </w:rPr>
        <w:t>6614055</w:t>
      </w:r>
    </w:p>
    <w:p>
      <w:pPr>
        <w:spacing w:line="600" w:lineRule="exact"/>
        <w:ind w:firstLine="708" w:firstLineChars="252"/>
        <w:rPr>
          <w:rFonts w:ascii="宋体" w:hAnsi="宋体"/>
          <w:color w:val="auto"/>
          <w:sz w:val="28"/>
          <w:szCs w:val="28"/>
          <w:highlight w:val="none"/>
        </w:rPr>
      </w:pPr>
      <w:r>
        <w:rPr>
          <w:rFonts w:hint="eastAsia" w:ascii="宋体" w:hAnsi="宋体"/>
          <w:b/>
          <w:color w:val="auto"/>
          <w:sz w:val="28"/>
          <w:szCs w:val="28"/>
          <w:highlight w:val="none"/>
        </w:rPr>
        <w:t>技术支持电话：</w:t>
      </w:r>
      <w:r>
        <w:rPr>
          <w:rFonts w:ascii="宋体" w:hAnsi="宋体"/>
          <w:color w:val="auto"/>
          <w:sz w:val="28"/>
          <w:szCs w:val="28"/>
          <w:highlight w:val="none"/>
        </w:rPr>
        <w:t>400-881-7190</w:t>
      </w:r>
    </w:p>
    <w:p>
      <w:pPr>
        <w:spacing w:line="600" w:lineRule="exact"/>
        <w:ind w:firstLine="708" w:firstLineChars="252"/>
        <w:rPr>
          <w:rFonts w:ascii="宋体" w:hAnsi="宋体"/>
          <w:b/>
          <w:color w:val="auto"/>
          <w:sz w:val="28"/>
          <w:szCs w:val="28"/>
          <w:highlight w:val="none"/>
        </w:rPr>
      </w:pPr>
      <w:r>
        <w:rPr>
          <w:rFonts w:hint="eastAsia" w:ascii="宋体" w:hAnsi="宋体"/>
          <w:b/>
          <w:color w:val="auto"/>
          <w:sz w:val="28"/>
          <w:szCs w:val="28"/>
          <w:highlight w:val="none"/>
        </w:rPr>
        <w:t>政府采购监督机构：成都市</w:t>
      </w:r>
      <w:r>
        <w:rPr>
          <w:rFonts w:hint="eastAsia" w:ascii="宋体" w:hAnsi="宋体"/>
          <w:b/>
          <w:color w:val="auto"/>
          <w:sz w:val="28"/>
          <w:szCs w:val="28"/>
          <w:highlight w:val="none"/>
          <w:lang w:val="en-US" w:eastAsia="zh-CN"/>
        </w:rPr>
        <w:t>锦江区</w:t>
      </w:r>
      <w:r>
        <w:rPr>
          <w:rFonts w:hint="eastAsia" w:ascii="宋体" w:hAnsi="宋体"/>
          <w:b/>
          <w:color w:val="auto"/>
          <w:sz w:val="28"/>
          <w:szCs w:val="28"/>
          <w:highlight w:val="none"/>
        </w:rPr>
        <w:t>财政局</w:t>
      </w:r>
    </w:p>
    <w:p>
      <w:pPr>
        <w:spacing w:line="600" w:lineRule="exact"/>
        <w:ind w:firstLine="705" w:firstLineChars="252"/>
        <w:rPr>
          <w:rFonts w:ascii="宋体" w:hAnsi="宋体"/>
          <w:color w:val="auto"/>
          <w:sz w:val="28"/>
          <w:szCs w:val="28"/>
          <w:highlight w:val="none"/>
        </w:rPr>
      </w:pPr>
      <w:r>
        <w:rPr>
          <w:rFonts w:hint="eastAsia" w:ascii="宋体" w:hAnsi="宋体"/>
          <w:color w:val="auto"/>
          <w:sz w:val="28"/>
          <w:szCs w:val="28"/>
          <w:highlight w:val="none"/>
        </w:rPr>
        <w:t>地 址：成都市锦江区大慈寺路38</w:t>
      </w:r>
      <w:r>
        <w:rPr>
          <w:rFonts w:ascii="宋体" w:hAnsi="宋体"/>
          <w:color w:val="auto"/>
          <w:sz w:val="28"/>
          <w:szCs w:val="28"/>
          <w:highlight w:val="none"/>
        </w:rPr>
        <w:t>号</w:t>
      </w:r>
    </w:p>
    <w:p>
      <w:pPr>
        <w:spacing w:line="600" w:lineRule="exact"/>
        <w:ind w:firstLine="705" w:firstLineChars="252"/>
        <w:rPr>
          <w:rFonts w:ascii="宋体" w:hAnsi="宋体"/>
          <w:color w:val="auto"/>
          <w:sz w:val="28"/>
          <w:szCs w:val="28"/>
          <w:highlight w:val="none"/>
        </w:rPr>
      </w:pPr>
      <w:r>
        <w:rPr>
          <w:rFonts w:hint="eastAsia" w:ascii="宋体" w:hAnsi="宋体"/>
          <w:color w:val="auto"/>
          <w:sz w:val="28"/>
          <w:szCs w:val="28"/>
          <w:highlight w:val="none"/>
        </w:rPr>
        <w:t>联系人：</w:t>
      </w:r>
      <w:r>
        <w:rPr>
          <w:rFonts w:hint="eastAsia" w:ascii="宋体" w:hAnsi="宋体"/>
          <w:color w:val="auto"/>
          <w:sz w:val="28"/>
          <w:szCs w:val="28"/>
          <w:highlight w:val="none"/>
          <w:lang w:val="en-US" w:eastAsia="zh-CN"/>
        </w:rPr>
        <w:t>王老师</w:t>
      </w:r>
    </w:p>
    <w:p>
      <w:pPr>
        <w:spacing w:line="600" w:lineRule="exact"/>
        <w:ind w:firstLine="705" w:firstLineChars="252"/>
        <w:rPr>
          <w:rFonts w:ascii="宋体" w:hAnsi="宋体"/>
          <w:color w:val="auto"/>
          <w:sz w:val="28"/>
          <w:szCs w:val="28"/>
          <w:highlight w:val="none"/>
        </w:rPr>
      </w:pPr>
      <w:r>
        <w:rPr>
          <w:rFonts w:hint="eastAsia" w:ascii="宋体" w:hAnsi="宋体"/>
          <w:color w:val="auto"/>
          <w:sz w:val="28"/>
          <w:szCs w:val="28"/>
          <w:highlight w:val="none"/>
        </w:rPr>
        <w:t>联系电话：028-</w:t>
      </w:r>
      <w:r>
        <w:rPr>
          <w:rFonts w:ascii="宋体" w:hAnsi="宋体"/>
          <w:color w:val="auto"/>
          <w:sz w:val="28"/>
          <w:szCs w:val="28"/>
          <w:highlight w:val="none"/>
        </w:rPr>
        <w:t>86513373</w:t>
      </w:r>
    </w:p>
    <w:p>
      <w:pPr>
        <w:spacing w:line="360" w:lineRule="auto"/>
        <w:ind w:firstLine="562" w:firstLineChars="201"/>
        <w:rPr>
          <w:rFonts w:ascii="宋体" w:hAnsi="宋体"/>
          <w:color w:val="auto"/>
          <w:sz w:val="28"/>
          <w:szCs w:val="28"/>
          <w:highlight w:val="none"/>
        </w:rPr>
        <w:sectPr>
          <w:footerReference r:id="rId10" w:type="first"/>
          <w:headerReference r:id="rId7" w:type="default"/>
          <w:footerReference r:id="rId8" w:type="default"/>
          <w:footerReference r:id="rId9" w:type="even"/>
          <w:pgSz w:w="11906" w:h="16838"/>
          <w:pgMar w:top="1134" w:right="1274" w:bottom="1440" w:left="1418" w:header="851" w:footer="992" w:gutter="0"/>
          <w:cols w:space="720" w:num="1"/>
          <w:docGrid w:type="lines" w:linePitch="326" w:charSpace="0"/>
        </w:sectPr>
      </w:pPr>
    </w:p>
    <w:p>
      <w:pPr>
        <w:pStyle w:val="3"/>
        <w:numPr>
          <w:ilvl w:val="0"/>
          <w:numId w:val="1"/>
        </w:numPr>
        <w:snapToGrid w:val="0"/>
        <w:spacing w:before="0" w:after="0"/>
        <w:ind w:left="0" w:firstLine="0"/>
        <w:rPr>
          <w:color w:val="auto"/>
          <w:highlight w:val="none"/>
        </w:rPr>
      </w:pPr>
      <w:bookmarkStart w:id="17" w:name="_Toc391885334"/>
      <w:bookmarkStart w:id="18" w:name="_Toc8842"/>
      <w:bookmarkStart w:id="19" w:name="_Toc287623638"/>
      <w:bookmarkStart w:id="20" w:name="_Toc381263230"/>
      <w:r>
        <w:rPr>
          <w:rFonts w:hint="eastAsia"/>
          <w:color w:val="auto"/>
          <w:highlight w:val="none"/>
        </w:rPr>
        <w:t>供应商须知</w:t>
      </w:r>
      <w:bookmarkEnd w:id="17"/>
      <w:bookmarkEnd w:id="18"/>
    </w:p>
    <w:p>
      <w:pPr>
        <w:pStyle w:val="4"/>
        <w:snapToGrid w:val="0"/>
        <w:ind w:left="851" w:hanging="851"/>
        <w:rPr>
          <w:color w:val="auto"/>
          <w:highlight w:val="none"/>
        </w:rPr>
      </w:pPr>
      <w:bookmarkStart w:id="21" w:name="_Toc4646"/>
      <w:r>
        <w:rPr>
          <w:rFonts w:hint="eastAsia"/>
          <w:color w:val="auto"/>
          <w:highlight w:val="none"/>
        </w:rPr>
        <w:t>供应商须知前附表</w:t>
      </w:r>
      <w:bookmarkEnd w:id="21"/>
    </w:p>
    <w:tbl>
      <w:tblPr>
        <w:tblStyle w:val="50"/>
        <w:tblW w:w="9506" w:type="dxa"/>
        <w:jc w:val="center"/>
        <w:tblInd w:w="-542" w:type="dxa"/>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2113"/>
        <w:gridCol w:w="6509"/>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jc w:val="center"/>
        </w:trPr>
        <w:tc>
          <w:tcPr>
            <w:tcW w:w="884" w:type="dxa"/>
            <w:vAlign w:val="center"/>
          </w:tcPr>
          <w:p>
            <w:pPr>
              <w:snapToGrid w:val="0"/>
              <w:spacing w:line="360" w:lineRule="auto"/>
              <w:jc w:val="center"/>
              <w:rPr>
                <w:rFonts w:ascii="宋体" w:hAnsi="宋体"/>
                <w:b/>
                <w:color w:val="auto"/>
                <w:highlight w:val="none"/>
              </w:rPr>
            </w:pPr>
            <w:r>
              <w:rPr>
                <w:rFonts w:hint="eastAsia" w:ascii="宋体" w:hAnsi="宋体"/>
                <w:b/>
                <w:color w:val="auto"/>
                <w:sz w:val="28"/>
                <w:szCs w:val="28"/>
                <w:highlight w:val="none"/>
                <w:lang w:val="zh-CN"/>
              </w:rPr>
              <w:t>序号</w:t>
            </w:r>
          </w:p>
        </w:tc>
        <w:tc>
          <w:tcPr>
            <w:tcW w:w="2113" w:type="dxa"/>
            <w:vAlign w:val="center"/>
          </w:tcPr>
          <w:p>
            <w:pPr>
              <w:pStyle w:val="122"/>
              <w:snapToGrid w:val="0"/>
              <w:spacing w:line="360" w:lineRule="auto"/>
              <w:ind w:left="38"/>
              <w:jc w:val="center"/>
              <w:rPr>
                <w:b/>
                <w:color w:val="auto"/>
                <w:highlight w:val="none"/>
                <w:lang w:val="zh-CN"/>
              </w:rPr>
            </w:pPr>
            <w:r>
              <w:rPr>
                <w:rFonts w:hint="eastAsia"/>
                <w:b/>
                <w:color w:val="auto"/>
                <w:sz w:val="28"/>
                <w:szCs w:val="28"/>
                <w:highlight w:val="none"/>
                <w:lang w:val="zh-CN"/>
              </w:rPr>
              <w:t>应知事项</w:t>
            </w:r>
          </w:p>
        </w:tc>
        <w:tc>
          <w:tcPr>
            <w:tcW w:w="6509" w:type="dxa"/>
            <w:vAlign w:val="center"/>
          </w:tcPr>
          <w:p>
            <w:pPr>
              <w:pStyle w:val="122"/>
              <w:snapToGrid w:val="0"/>
              <w:spacing w:line="360" w:lineRule="auto"/>
              <w:jc w:val="center"/>
              <w:rPr>
                <w:b/>
                <w:color w:val="auto"/>
                <w:highlight w:val="none"/>
                <w:lang w:val="zh-CN"/>
              </w:rPr>
            </w:pPr>
            <w:r>
              <w:rPr>
                <w:rFonts w:hint="eastAsia"/>
                <w:b/>
                <w:color w:val="auto"/>
                <w:sz w:val="28"/>
                <w:szCs w:val="28"/>
                <w:highlight w:val="none"/>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jc w:val="center"/>
        </w:trPr>
        <w:tc>
          <w:tcPr>
            <w:tcW w:w="884" w:type="dxa"/>
            <w:vAlign w:val="center"/>
          </w:tcPr>
          <w:p>
            <w:pPr>
              <w:widowControl w:val="0"/>
              <w:numPr>
                <w:ilvl w:val="0"/>
                <w:numId w:val="6"/>
              </w:numPr>
              <w:snapToGrid w:val="0"/>
              <w:spacing w:line="360" w:lineRule="auto"/>
              <w:jc w:val="center"/>
              <w:rPr>
                <w:rFonts w:ascii="宋体" w:hAnsi="宋体"/>
                <w:color w:val="auto"/>
                <w:highlight w:val="none"/>
              </w:rPr>
            </w:pPr>
          </w:p>
        </w:tc>
        <w:tc>
          <w:tcPr>
            <w:tcW w:w="2113" w:type="dxa"/>
            <w:vAlign w:val="center"/>
          </w:tcPr>
          <w:p>
            <w:pPr>
              <w:widowControl w:val="0"/>
              <w:snapToGrid w:val="0"/>
              <w:spacing w:line="360" w:lineRule="auto"/>
              <w:ind w:right="240" w:rightChars="100"/>
              <w:jc w:val="both"/>
              <w:rPr>
                <w:rFonts w:ascii="宋体" w:hAnsi="宋体"/>
                <w:color w:val="auto"/>
                <w:highlight w:val="none"/>
              </w:rPr>
            </w:pPr>
            <w:r>
              <w:rPr>
                <w:rFonts w:hint="eastAsia" w:ascii="宋体" w:hAnsi="宋体"/>
                <w:color w:val="auto"/>
                <w:highlight w:val="none"/>
              </w:rPr>
              <w:t>采购预算</w:t>
            </w:r>
            <w:r>
              <w:rPr>
                <w:rFonts w:hint="eastAsia" w:ascii="仿宋" w:hAnsi="仿宋" w:eastAsia="仿宋"/>
                <w:color w:val="auto"/>
                <w:sz w:val="21"/>
                <w:szCs w:val="21"/>
                <w:highlight w:val="none"/>
                <w:lang w:val="zh-CN"/>
              </w:rPr>
              <w:t>（实质性要求）</w:t>
            </w:r>
          </w:p>
        </w:tc>
        <w:tc>
          <w:tcPr>
            <w:tcW w:w="6509" w:type="dxa"/>
            <w:vAlign w:val="center"/>
          </w:tcPr>
          <w:p>
            <w:pPr>
              <w:widowControl w:val="0"/>
              <w:snapToGrid w:val="0"/>
              <w:spacing w:line="360" w:lineRule="auto"/>
              <w:ind w:right="210"/>
              <w:jc w:val="both"/>
              <w:rPr>
                <w:rFonts w:eastAsia="仿宋_GB2312" w:cs="宋体"/>
                <w:b/>
                <w:color w:val="auto"/>
                <w:highlight w:val="none"/>
                <w:lang w:val="zh-CN"/>
              </w:rPr>
            </w:pPr>
            <w:r>
              <w:rPr>
                <w:rFonts w:hint="eastAsia"/>
                <w:b/>
                <w:bCs/>
                <w:color w:val="auto"/>
                <w:lang w:val="zh-CN"/>
              </w:rPr>
              <w:t>人民币：</w:t>
            </w:r>
            <w:r>
              <w:rPr>
                <w:rFonts w:hint="eastAsia"/>
                <w:b/>
                <w:bCs/>
                <w:color w:val="auto"/>
                <w:lang w:val="en-US" w:eastAsia="zh-CN"/>
              </w:rPr>
              <w:t>1259008.44元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jc w:val="center"/>
        </w:trPr>
        <w:tc>
          <w:tcPr>
            <w:tcW w:w="884" w:type="dxa"/>
            <w:vAlign w:val="center"/>
          </w:tcPr>
          <w:p>
            <w:pPr>
              <w:widowControl w:val="0"/>
              <w:numPr>
                <w:ilvl w:val="0"/>
                <w:numId w:val="6"/>
              </w:numPr>
              <w:snapToGrid w:val="0"/>
              <w:spacing w:line="360" w:lineRule="auto"/>
              <w:jc w:val="center"/>
              <w:rPr>
                <w:rFonts w:ascii="宋体" w:hAnsi="宋体"/>
                <w:color w:val="auto"/>
                <w:highlight w:val="none"/>
              </w:rPr>
            </w:pPr>
          </w:p>
        </w:tc>
        <w:tc>
          <w:tcPr>
            <w:tcW w:w="2113" w:type="dxa"/>
            <w:vAlign w:val="center"/>
          </w:tcPr>
          <w:p>
            <w:pPr>
              <w:pStyle w:val="122"/>
              <w:snapToGrid w:val="0"/>
              <w:spacing w:line="360" w:lineRule="auto"/>
              <w:jc w:val="both"/>
              <w:rPr>
                <w:color w:val="auto"/>
                <w:highlight w:val="none"/>
                <w:lang w:val="zh-CN"/>
              </w:rPr>
            </w:pPr>
            <w:r>
              <w:rPr>
                <w:rFonts w:hint="eastAsia"/>
                <w:color w:val="auto"/>
                <w:highlight w:val="none"/>
                <w:lang w:val="zh-CN"/>
              </w:rPr>
              <w:t>最高限价（控制价）</w:t>
            </w:r>
            <w:r>
              <w:rPr>
                <w:rFonts w:hint="eastAsia" w:ascii="仿宋" w:hAnsi="仿宋" w:eastAsia="仿宋"/>
                <w:color w:val="auto"/>
                <w:sz w:val="21"/>
                <w:szCs w:val="21"/>
                <w:highlight w:val="none"/>
                <w:lang w:val="zh-CN"/>
              </w:rPr>
              <w:t>（实质性要求）</w:t>
            </w:r>
          </w:p>
        </w:tc>
        <w:tc>
          <w:tcPr>
            <w:tcW w:w="6509" w:type="dxa"/>
            <w:vAlign w:val="center"/>
          </w:tcPr>
          <w:p>
            <w:pPr>
              <w:pStyle w:val="122"/>
              <w:snapToGrid w:val="0"/>
              <w:spacing w:line="360" w:lineRule="auto"/>
              <w:ind w:right="240" w:rightChars="100"/>
              <w:jc w:val="both"/>
              <w:rPr>
                <w:b/>
                <w:color w:val="auto"/>
                <w:highlight w:val="none"/>
                <w:lang w:val="zh-CN"/>
              </w:rPr>
            </w:pPr>
            <w:r>
              <w:rPr>
                <w:rFonts w:hint="eastAsia"/>
                <w:b/>
                <w:color w:val="auto"/>
                <w:highlight w:val="none"/>
                <w:lang w:val="zh-CN"/>
              </w:rPr>
              <w:t>本项目最高限价（控制价）为</w:t>
            </w:r>
            <w:r>
              <w:rPr>
                <w:rFonts w:hint="eastAsia"/>
                <w:b/>
                <w:color w:val="auto"/>
                <w:highlight w:val="none"/>
                <w:lang w:val="en-US" w:eastAsia="zh-CN"/>
              </w:rPr>
              <w:t>人民币</w:t>
            </w:r>
            <w:r>
              <w:rPr>
                <w:rFonts w:hint="eastAsia"/>
                <w:b/>
                <w:bCs/>
                <w:color w:val="auto"/>
                <w:lang w:val="en-US" w:eastAsia="zh-CN"/>
              </w:rPr>
              <w:t>1259008.44元</w:t>
            </w:r>
            <w:r>
              <w:rPr>
                <w:rFonts w:hint="eastAsia"/>
                <w:b/>
                <w:color w:val="auto"/>
                <w:highlight w:val="none"/>
                <w:lang w:val="zh-CN"/>
              </w:rPr>
              <w:t>，供应商最后报价高于最高限价的则其施工响应文件将按无效施工响应文件处理。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jc w:val="center"/>
        </w:trPr>
        <w:tc>
          <w:tcPr>
            <w:tcW w:w="884" w:type="dxa"/>
            <w:vAlign w:val="center"/>
          </w:tcPr>
          <w:p>
            <w:pPr>
              <w:pStyle w:val="122"/>
              <w:snapToGrid w:val="0"/>
              <w:spacing w:line="360" w:lineRule="auto"/>
              <w:jc w:val="center"/>
              <w:rPr>
                <w:rFonts w:hint="eastAsia" w:eastAsia="宋体"/>
                <w:color w:val="auto"/>
                <w:highlight w:val="none"/>
                <w:lang w:val="en-US" w:eastAsia="zh-CN"/>
              </w:rPr>
            </w:pPr>
            <w:r>
              <w:rPr>
                <w:rFonts w:hint="eastAsia"/>
                <w:color w:val="auto"/>
                <w:highlight w:val="none"/>
                <w:lang w:val="en-US" w:eastAsia="zh-CN"/>
              </w:rPr>
              <w:t>3.</w:t>
            </w:r>
          </w:p>
        </w:tc>
        <w:tc>
          <w:tcPr>
            <w:tcW w:w="2113" w:type="dxa"/>
            <w:vAlign w:val="center"/>
          </w:tcPr>
          <w:p>
            <w:pPr>
              <w:pStyle w:val="122"/>
              <w:snapToGrid w:val="0"/>
              <w:spacing w:line="360" w:lineRule="auto"/>
              <w:jc w:val="both"/>
              <w:rPr>
                <w:rFonts w:hint="eastAsia"/>
                <w:color w:val="auto"/>
                <w:highlight w:val="none"/>
                <w:lang w:val="zh-CN"/>
              </w:rPr>
            </w:pPr>
            <w:r>
              <w:rPr>
                <w:rFonts w:hint="eastAsia"/>
                <w:color w:val="auto"/>
                <w:highlight w:val="none"/>
                <w:lang w:val="zh-CN"/>
              </w:rPr>
              <w:t>本国工程</w:t>
            </w:r>
            <w:r>
              <w:rPr>
                <w:rFonts w:hint="eastAsia" w:ascii="仿宋" w:hAnsi="仿宋" w:eastAsia="仿宋"/>
                <w:color w:val="auto"/>
                <w:sz w:val="21"/>
                <w:szCs w:val="21"/>
                <w:highlight w:val="none"/>
                <w:lang w:val="zh-CN"/>
              </w:rPr>
              <w:t>（实质性要求）</w:t>
            </w:r>
          </w:p>
        </w:tc>
        <w:tc>
          <w:tcPr>
            <w:tcW w:w="6509" w:type="dxa"/>
            <w:vAlign w:val="center"/>
          </w:tcPr>
          <w:p>
            <w:pPr>
              <w:pStyle w:val="122"/>
              <w:snapToGrid w:val="0"/>
              <w:spacing w:before="152" w:after="160" w:line="360" w:lineRule="auto"/>
              <w:ind w:right="240" w:rightChars="100"/>
              <w:jc w:val="both"/>
              <w:rPr>
                <w:b/>
                <w:color w:val="auto"/>
                <w:highlight w:val="none"/>
                <w:lang w:val="zh-CN"/>
              </w:rPr>
            </w:pPr>
            <w:r>
              <w:rPr>
                <w:rFonts w:hint="eastAsia"/>
                <w:color w:val="auto"/>
                <w:highlight w:val="none"/>
                <w:lang w:val="zh-CN"/>
              </w:rPr>
              <w:t>根据《中华人民共和国政府采购法》第十条的规定，本项目采购本国工程。</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jc w:val="center"/>
        </w:trPr>
        <w:tc>
          <w:tcPr>
            <w:tcW w:w="884" w:type="dxa"/>
            <w:vAlign w:val="center"/>
          </w:tcPr>
          <w:p>
            <w:pPr>
              <w:widowControl w:val="0"/>
              <w:numPr>
                <w:ilvl w:val="0"/>
                <w:numId w:val="0"/>
              </w:numPr>
              <w:snapToGrid w:val="0"/>
              <w:spacing w:line="360" w:lineRule="auto"/>
              <w:ind w:leftChars="0"/>
              <w:jc w:val="center"/>
              <w:rPr>
                <w:rFonts w:hint="eastAsia" w:ascii="宋体" w:hAnsi="宋体" w:eastAsia="宋体"/>
                <w:color w:val="auto"/>
                <w:highlight w:val="none"/>
                <w:lang w:val="en-US" w:eastAsia="zh-CN"/>
              </w:rPr>
            </w:pPr>
            <w:r>
              <w:rPr>
                <w:rFonts w:hint="eastAsia" w:ascii="宋体" w:hAnsi="宋体"/>
                <w:color w:val="auto"/>
                <w:highlight w:val="none"/>
                <w:lang w:val="en-US" w:eastAsia="zh-CN"/>
              </w:rPr>
              <w:t>4.</w:t>
            </w:r>
          </w:p>
        </w:tc>
        <w:tc>
          <w:tcPr>
            <w:tcW w:w="2113" w:type="dxa"/>
            <w:vAlign w:val="center"/>
          </w:tcPr>
          <w:p>
            <w:pPr>
              <w:pStyle w:val="122"/>
              <w:snapToGrid w:val="0"/>
              <w:spacing w:line="360" w:lineRule="auto"/>
              <w:jc w:val="both"/>
              <w:rPr>
                <w:color w:val="auto"/>
                <w:highlight w:val="none"/>
                <w:lang w:val="zh-CN"/>
              </w:rPr>
            </w:pPr>
            <w:r>
              <w:rPr>
                <w:rFonts w:hint="eastAsia"/>
                <w:color w:val="auto"/>
                <w:highlight w:val="none"/>
                <w:lang w:val="zh-CN"/>
              </w:rPr>
              <w:t>采购方式</w:t>
            </w:r>
          </w:p>
        </w:tc>
        <w:tc>
          <w:tcPr>
            <w:tcW w:w="6509" w:type="dxa"/>
            <w:vAlign w:val="center"/>
          </w:tcPr>
          <w:p>
            <w:pPr>
              <w:pStyle w:val="122"/>
              <w:snapToGrid w:val="0"/>
              <w:spacing w:line="360" w:lineRule="auto"/>
              <w:jc w:val="both"/>
              <w:rPr>
                <w:color w:val="auto"/>
                <w:highlight w:val="none"/>
                <w:lang w:val="zh-CN"/>
              </w:rPr>
            </w:pPr>
            <w:r>
              <w:rPr>
                <w:rFonts w:hint="eastAsia"/>
                <w:color w:val="auto"/>
                <w:highlight w:val="none"/>
                <w:lang w:val="zh-CN"/>
              </w:rPr>
              <w:t>竞争性磋商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jc w:val="center"/>
        </w:trPr>
        <w:tc>
          <w:tcPr>
            <w:tcW w:w="884" w:type="dxa"/>
            <w:vAlign w:val="center"/>
          </w:tcPr>
          <w:p>
            <w:pPr>
              <w:widowControl w:val="0"/>
              <w:numPr>
                <w:ilvl w:val="0"/>
                <w:numId w:val="0"/>
              </w:numPr>
              <w:snapToGrid w:val="0"/>
              <w:spacing w:line="360" w:lineRule="auto"/>
              <w:ind w:leftChars="0"/>
              <w:jc w:val="center"/>
              <w:rPr>
                <w:rFonts w:hint="eastAsia" w:ascii="宋体" w:hAnsi="宋体" w:eastAsia="宋体"/>
                <w:color w:val="auto"/>
                <w:highlight w:val="none"/>
                <w:lang w:val="en-US" w:eastAsia="zh-CN"/>
              </w:rPr>
            </w:pPr>
            <w:r>
              <w:rPr>
                <w:rFonts w:hint="eastAsia" w:ascii="宋体" w:hAnsi="宋体"/>
                <w:color w:val="auto"/>
                <w:highlight w:val="none"/>
                <w:lang w:val="en-US" w:eastAsia="zh-CN"/>
              </w:rPr>
              <w:t>5.</w:t>
            </w:r>
          </w:p>
        </w:tc>
        <w:tc>
          <w:tcPr>
            <w:tcW w:w="2113" w:type="dxa"/>
            <w:vAlign w:val="center"/>
          </w:tcPr>
          <w:p>
            <w:pPr>
              <w:pStyle w:val="122"/>
              <w:snapToGrid w:val="0"/>
              <w:spacing w:before="152" w:after="160" w:line="360" w:lineRule="auto"/>
              <w:jc w:val="both"/>
              <w:rPr>
                <w:color w:val="auto"/>
                <w:highlight w:val="none"/>
                <w:lang w:val="zh-CN"/>
              </w:rPr>
            </w:pPr>
            <w:r>
              <w:rPr>
                <w:rFonts w:hint="eastAsia"/>
                <w:color w:val="auto"/>
                <w:highlight w:val="none"/>
                <w:lang w:val="zh-CN"/>
              </w:rPr>
              <w:t>资格预审合格的申请人在评审阶段（磋商）资格发生变化</w:t>
            </w:r>
          </w:p>
        </w:tc>
        <w:tc>
          <w:tcPr>
            <w:tcW w:w="6509" w:type="dxa"/>
            <w:vAlign w:val="center"/>
          </w:tcPr>
          <w:p>
            <w:pPr>
              <w:widowControl w:val="0"/>
              <w:adjustRightInd w:val="0"/>
              <w:snapToGrid w:val="0"/>
              <w:spacing w:before="152" w:after="160" w:line="400" w:lineRule="exact"/>
              <w:jc w:val="both"/>
              <w:rPr>
                <w:color w:val="auto"/>
                <w:highlight w:val="none"/>
                <w:lang w:val="zh-CN"/>
              </w:rPr>
            </w:pPr>
            <w:r>
              <w:rPr>
                <w:rFonts w:hint="eastAsia" w:ascii="宋体" w:hAnsi="宋体" w:eastAsia="宋体" w:cs="宋体"/>
                <w:color w:val="auto"/>
                <w:sz w:val="24"/>
                <w:szCs w:val="24"/>
                <w:highlight w:val="none"/>
                <w:lang w:val="zh-CN" w:eastAsia="zh-CN" w:bidi="ar-SA"/>
              </w:rPr>
              <w:t>已进行资格预审的，评审阶段可以不再对供应商资格进行审查，资格预审合格的供应商在评审阶段资格发生变化的，应当通知</w:t>
            </w:r>
            <w:r>
              <w:rPr>
                <w:rFonts w:hint="eastAsia" w:ascii="宋体" w:hAnsi="宋体" w:eastAsia="宋体" w:cs="宋体"/>
                <w:color w:val="auto"/>
                <w:sz w:val="24"/>
                <w:szCs w:val="24"/>
                <w:highlight w:val="none"/>
                <w:lang w:val="zh-CN" w:eastAsia="zh-CN" w:bidi="ar-SA"/>
              </w:rPr>
              <w:fldChar w:fldCharType="begin"/>
            </w:r>
            <w:r>
              <w:rPr>
                <w:rFonts w:hint="eastAsia" w:ascii="宋体" w:hAnsi="宋体" w:eastAsia="宋体" w:cs="宋体"/>
                <w:color w:val="auto"/>
                <w:sz w:val="24"/>
                <w:szCs w:val="24"/>
                <w:highlight w:val="none"/>
                <w:lang w:val="zh-CN" w:eastAsia="zh-CN" w:bidi="ar-SA"/>
              </w:rPr>
              <w:instrText xml:space="preserve"> HYPERLINK "http://www.caigou2003.com/cgr/" \t "_blank" </w:instrText>
            </w:r>
            <w:r>
              <w:rPr>
                <w:rFonts w:hint="eastAsia" w:ascii="宋体" w:hAnsi="宋体" w:eastAsia="宋体" w:cs="宋体"/>
                <w:color w:val="auto"/>
                <w:sz w:val="24"/>
                <w:szCs w:val="24"/>
                <w:highlight w:val="none"/>
                <w:lang w:val="zh-CN" w:eastAsia="zh-CN" w:bidi="ar-SA"/>
              </w:rPr>
              <w:fldChar w:fldCharType="separate"/>
            </w:r>
            <w:r>
              <w:rPr>
                <w:rFonts w:hint="eastAsia" w:ascii="宋体" w:hAnsi="宋体" w:eastAsia="宋体" w:cs="宋体"/>
                <w:color w:val="auto"/>
                <w:sz w:val="24"/>
                <w:szCs w:val="24"/>
                <w:highlight w:val="none"/>
                <w:lang w:val="zh-CN" w:eastAsia="zh-CN" w:bidi="ar-SA"/>
              </w:rPr>
              <w:t>采购人</w:t>
            </w:r>
            <w:r>
              <w:rPr>
                <w:rFonts w:hint="eastAsia" w:ascii="宋体" w:hAnsi="宋体" w:eastAsia="宋体" w:cs="宋体"/>
                <w:color w:val="auto"/>
                <w:sz w:val="24"/>
                <w:szCs w:val="24"/>
                <w:highlight w:val="none"/>
                <w:lang w:val="zh-CN" w:eastAsia="zh-CN" w:bidi="ar-SA"/>
              </w:rPr>
              <w:fldChar w:fldCharType="end"/>
            </w:r>
            <w:r>
              <w:rPr>
                <w:rFonts w:hint="eastAsia" w:ascii="宋体" w:hAnsi="宋体" w:eastAsia="宋体" w:cs="宋体"/>
                <w:color w:val="auto"/>
                <w:sz w:val="24"/>
                <w:szCs w:val="24"/>
                <w:highlight w:val="none"/>
                <w:lang w:val="zh-CN" w:eastAsia="zh-CN" w:bidi="ar-SA"/>
              </w:rPr>
              <w:t>和采购代理机构。</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jc w:val="center"/>
        </w:trPr>
        <w:tc>
          <w:tcPr>
            <w:tcW w:w="884" w:type="dxa"/>
            <w:vAlign w:val="center"/>
          </w:tcPr>
          <w:p>
            <w:pPr>
              <w:widowControl w:val="0"/>
              <w:numPr>
                <w:ilvl w:val="0"/>
                <w:numId w:val="0"/>
              </w:numPr>
              <w:snapToGrid w:val="0"/>
              <w:spacing w:line="360" w:lineRule="auto"/>
              <w:ind w:leftChars="0"/>
              <w:jc w:val="center"/>
              <w:rPr>
                <w:rFonts w:hint="eastAsia" w:ascii="宋体" w:hAnsi="宋体"/>
                <w:color w:val="auto"/>
                <w:highlight w:val="none"/>
                <w:lang w:val="en-US" w:eastAsia="zh-CN"/>
              </w:rPr>
            </w:pPr>
            <w:r>
              <w:rPr>
                <w:rFonts w:hint="eastAsia" w:ascii="宋体" w:hAnsi="宋体"/>
                <w:color w:val="auto"/>
                <w:highlight w:val="none"/>
                <w:lang w:val="en-US" w:eastAsia="zh-CN"/>
              </w:rPr>
              <w:t>6.</w:t>
            </w:r>
          </w:p>
        </w:tc>
        <w:tc>
          <w:tcPr>
            <w:tcW w:w="2113" w:type="dxa"/>
            <w:vAlign w:val="center"/>
          </w:tcPr>
          <w:p>
            <w:pPr>
              <w:pStyle w:val="122"/>
              <w:spacing w:line="360" w:lineRule="auto"/>
              <w:jc w:val="both"/>
              <w:rPr>
                <w:rFonts w:hint="eastAsia"/>
                <w:color w:val="auto"/>
                <w:highlight w:val="none"/>
                <w:lang w:val="zh-CN"/>
              </w:rPr>
            </w:pPr>
            <w:r>
              <w:rPr>
                <w:rFonts w:hint="eastAsia"/>
                <w:color w:val="auto"/>
                <w:highlight w:val="none"/>
              </w:rPr>
              <w:t>定向采购</w:t>
            </w:r>
          </w:p>
        </w:tc>
        <w:tc>
          <w:tcPr>
            <w:tcW w:w="6509" w:type="dxa"/>
            <w:vAlign w:val="center"/>
          </w:tcPr>
          <w:p>
            <w:pPr>
              <w:adjustRightInd w:val="0"/>
              <w:spacing w:line="400" w:lineRule="exact"/>
              <w:ind w:right="36" w:rightChars="15"/>
              <w:rPr>
                <w:rFonts w:hint="eastAsia" w:ascii="宋体" w:hAnsi="宋体" w:eastAsia="宋体" w:cs="宋体"/>
                <w:color w:val="auto"/>
                <w:sz w:val="24"/>
                <w:szCs w:val="24"/>
                <w:highlight w:val="none"/>
                <w:lang w:val="zh-CN" w:eastAsia="zh-CN" w:bidi="ar-SA"/>
              </w:rPr>
            </w:pPr>
            <w:r>
              <w:rPr>
                <w:rFonts w:hint="eastAsia" w:ascii="宋体" w:hAnsi="宋体" w:cs="仿宋"/>
                <w:color w:val="auto"/>
                <w:highlight w:val="none"/>
              </w:rPr>
              <w:t>本项目</w:t>
            </w:r>
            <w:r>
              <w:rPr>
                <w:rFonts w:hint="eastAsia" w:ascii="宋体" w:hAnsi="宋体" w:cs="仿宋"/>
                <w:color w:val="auto"/>
                <w:highlight w:val="none"/>
                <w:lang w:eastAsia="zh-CN"/>
              </w:rPr>
              <w:t>非</w:t>
            </w:r>
            <w:r>
              <w:rPr>
                <w:rFonts w:hint="eastAsia" w:ascii="宋体" w:hAnsi="宋体" w:cs="仿宋"/>
                <w:color w:val="auto"/>
                <w:highlight w:val="none"/>
              </w:rPr>
              <w:t>专门面向中小企业采购。</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jc w:val="center"/>
        </w:trPr>
        <w:tc>
          <w:tcPr>
            <w:tcW w:w="884" w:type="dxa"/>
            <w:vAlign w:val="center"/>
          </w:tcPr>
          <w:p>
            <w:pPr>
              <w:widowControl w:val="0"/>
              <w:numPr>
                <w:ilvl w:val="0"/>
                <w:numId w:val="0"/>
              </w:numPr>
              <w:snapToGrid w:val="0"/>
              <w:spacing w:line="360" w:lineRule="auto"/>
              <w:ind w:leftChars="0"/>
              <w:jc w:val="center"/>
              <w:rPr>
                <w:rFonts w:hint="eastAsia" w:ascii="宋体" w:hAnsi="宋体" w:eastAsia="宋体"/>
                <w:color w:val="auto"/>
                <w:highlight w:val="none"/>
                <w:lang w:val="en-US" w:eastAsia="zh-CN"/>
              </w:rPr>
            </w:pPr>
            <w:r>
              <w:rPr>
                <w:rFonts w:hint="eastAsia" w:ascii="宋体" w:hAnsi="宋体"/>
                <w:color w:val="auto"/>
                <w:highlight w:val="none"/>
                <w:lang w:val="en-US" w:eastAsia="zh-CN"/>
              </w:rPr>
              <w:t>7.</w:t>
            </w:r>
          </w:p>
        </w:tc>
        <w:tc>
          <w:tcPr>
            <w:tcW w:w="2113" w:type="dxa"/>
            <w:vAlign w:val="center"/>
          </w:tcPr>
          <w:p>
            <w:pPr>
              <w:pStyle w:val="122"/>
              <w:snapToGrid w:val="0"/>
              <w:spacing w:line="360" w:lineRule="auto"/>
              <w:ind w:right="240" w:rightChars="100"/>
              <w:jc w:val="both"/>
              <w:rPr>
                <w:rFonts w:eastAsia="仿宋_GB2312"/>
                <w:color w:val="auto"/>
                <w:kern w:val="2"/>
                <w:highlight w:val="none"/>
                <w:lang w:val="zh-CN"/>
              </w:rPr>
            </w:pPr>
            <w:r>
              <w:rPr>
                <w:rFonts w:hint="eastAsia"/>
                <w:color w:val="auto"/>
                <w:highlight w:val="none"/>
                <w:lang w:val="zh-CN"/>
              </w:rPr>
              <w:t>低于成本价不正当竞争预防措施</w:t>
            </w:r>
            <w:r>
              <w:rPr>
                <w:rFonts w:hint="eastAsia" w:ascii="仿宋" w:hAnsi="仿宋" w:eastAsia="仿宋"/>
                <w:color w:val="auto"/>
                <w:sz w:val="21"/>
                <w:szCs w:val="21"/>
                <w:highlight w:val="none"/>
                <w:lang w:val="zh-CN"/>
              </w:rPr>
              <w:t>（实质性要求）</w:t>
            </w:r>
          </w:p>
        </w:tc>
        <w:tc>
          <w:tcPr>
            <w:tcW w:w="6509" w:type="dxa"/>
            <w:vAlign w:val="center"/>
          </w:tcPr>
          <w:p>
            <w:pPr>
              <w:adjustRightInd w:val="0"/>
              <w:spacing w:line="400" w:lineRule="exact"/>
              <w:ind w:right="36" w:rightChars="15" w:firstLine="240" w:firstLineChars="100"/>
              <w:rPr>
                <w:rFonts w:hint="eastAsia" w:ascii="宋体" w:hAnsi="宋体" w:eastAsia="宋体" w:cs="宋体"/>
                <w:color w:val="auto"/>
                <w:sz w:val="24"/>
                <w:szCs w:val="24"/>
                <w:highlight w:val="none"/>
                <w:lang w:val="zh-CN" w:eastAsia="zh-CN" w:bidi="ar-SA"/>
              </w:rPr>
            </w:pPr>
            <w:r>
              <w:rPr>
                <w:rFonts w:hint="eastAsia" w:ascii="宋体" w:hAnsi="宋体" w:eastAsia="宋体" w:cs="宋体"/>
                <w:color w:val="auto"/>
                <w:sz w:val="24"/>
                <w:szCs w:val="24"/>
                <w:highlight w:val="none"/>
                <w:lang w:val="zh-CN" w:eastAsia="zh-CN" w:bidi="ar-SA"/>
              </w:rPr>
              <w:t>1．供应商报价低于采购预算85%或者低于其他有效供应商报价算术平均价90%，有可能影响工程质量或者不能诚信履约的，应当要求其在评审现场合理的时间内提供书面说明，必要时提交相关证明材料；供应商不能证明其报价合理性的，</w:t>
            </w:r>
            <w:r>
              <w:rPr>
                <w:rFonts w:hint="eastAsia" w:ascii="宋体" w:hAnsi="宋体" w:cs="宋体"/>
                <w:color w:val="auto"/>
                <w:sz w:val="24"/>
                <w:szCs w:val="24"/>
                <w:highlight w:val="none"/>
                <w:lang w:val="zh-CN" w:eastAsia="zh-CN" w:bidi="ar-SA"/>
              </w:rPr>
              <w:t>磋商</w:t>
            </w:r>
            <w:r>
              <w:rPr>
                <w:rFonts w:hint="eastAsia" w:ascii="宋体" w:hAnsi="宋体" w:eastAsia="宋体" w:cs="宋体"/>
                <w:color w:val="auto"/>
                <w:sz w:val="24"/>
                <w:szCs w:val="24"/>
                <w:highlight w:val="none"/>
                <w:lang w:val="zh-CN" w:eastAsia="zh-CN" w:bidi="ar-SA"/>
              </w:rPr>
              <w:t>小组应当将其施工响应文件作为无效处理。供应商的书面说明材料应当按照国家财务会计制度的规定要求，逐项就供应商提供的工程及其有关的货物、服务的主营业务成本、税金及附加、销售费用、管理费用、财务费用等成本构成事项详细陈述。</w:t>
            </w:r>
          </w:p>
          <w:p>
            <w:pPr>
              <w:adjustRightInd w:val="0"/>
              <w:spacing w:line="400" w:lineRule="exact"/>
              <w:ind w:right="36" w:rightChars="15" w:firstLine="240" w:firstLineChars="100"/>
              <w:rPr>
                <w:color w:val="auto"/>
                <w:kern w:val="2"/>
                <w:highlight w:val="none"/>
              </w:rPr>
            </w:pPr>
            <w:r>
              <w:rPr>
                <w:rFonts w:hint="eastAsia" w:ascii="宋体" w:hAnsi="宋体" w:eastAsia="宋体" w:cs="宋体"/>
                <w:color w:val="auto"/>
                <w:sz w:val="24"/>
                <w:szCs w:val="24"/>
                <w:highlight w:val="none"/>
                <w:lang w:val="zh-CN" w:eastAsia="zh-CN" w:bidi="ar-SA"/>
              </w:rPr>
              <w:t>3．供应商提供书面说明后，</w:t>
            </w:r>
            <w:r>
              <w:rPr>
                <w:rFonts w:hint="eastAsia" w:ascii="宋体" w:hAnsi="宋体" w:cs="宋体"/>
                <w:color w:val="auto"/>
                <w:sz w:val="24"/>
                <w:szCs w:val="24"/>
                <w:highlight w:val="none"/>
                <w:lang w:val="zh-CN" w:eastAsia="zh-CN" w:bidi="ar-SA"/>
              </w:rPr>
              <w:t>磋商</w:t>
            </w:r>
            <w:r>
              <w:rPr>
                <w:rFonts w:hint="eastAsia" w:ascii="宋体" w:hAnsi="宋体" w:eastAsia="宋体" w:cs="宋体"/>
                <w:color w:val="auto"/>
                <w:sz w:val="24"/>
                <w:szCs w:val="24"/>
                <w:highlight w:val="none"/>
                <w:lang w:val="zh-CN" w:eastAsia="zh-CN" w:bidi="ar-SA"/>
              </w:rPr>
              <w:t>小组应当结合采购项目采购需求、专业实际情况、供应商财务状况报告、与其他供应商比较情况等就供应商书面说明进行审查评价。供应商拒绝或者变相拒绝提供有效书面说明或者书面说明不能证明其报价合理性的或未在规定时间内递交有效书面说明书的，</w:t>
            </w:r>
            <w:r>
              <w:rPr>
                <w:rFonts w:hint="eastAsia" w:ascii="宋体" w:hAnsi="宋体" w:cs="宋体"/>
                <w:color w:val="auto"/>
                <w:sz w:val="24"/>
                <w:szCs w:val="24"/>
                <w:highlight w:val="none"/>
                <w:lang w:val="zh-CN" w:eastAsia="zh-CN" w:bidi="ar-SA"/>
              </w:rPr>
              <w:t>磋商</w:t>
            </w:r>
            <w:r>
              <w:rPr>
                <w:rFonts w:hint="eastAsia" w:ascii="宋体" w:hAnsi="宋体" w:eastAsia="宋体" w:cs="宋体"/>
                <w:color w:val="auto"/>
                <w:sz w:val="24"/>
                <w:szCs w:val="24"/>
                <w:highlight w:val="none"/>
                <w:lang w:val="zh-CN" w:eastAsia="zh-CN" w:bidi="ar-SA"/>
              </w:rPr>
              <w:t>小组应当将其施工响应文件作为无效处理。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jc w:val="center"/>
        </w:trPr>
        <w:tc>
          <w:tcPr>
            <w:tcW w:w="884" w:type="dxa"/>
            <w:vAlign w:val="center"/>
          </w:tcPr>
          <w:p>
            <w:pPr>
              <w:widowControl w:val="0"/>
              <w:numPr>
                <w:ilvl w:val="0"/>
                <w:numId w:val="0"/>
              </w:numPr>
              <w:snapToGrid w:val="0"/>
              <w:spacing w:line="360" w:lineRule="auto"/>
              <w:ind w:leftChars="0"/>
              <w:jc w:val="center"/>
              <w:rPr>
                <w:rFonts w:hint="eastAsia" w:ascii="宋体" w:hAnsi="宋体" w:eastAsia="宋体"/>
                <w:color w:val="auto"/>
                <w:highlight w:val="none"/>
                <w:lang w:val="en-US" w:eastAsia="zh-CN"/>
              </w:rPr>
            </w:pPr>
            <w:r>
              <w:rPr>
                <w:rFonts w:hint="eastAsia" w:ascii="宋体" w:hAnsi="宋体"/>
                <w:color w:val="auto"/>
                <w:highlight w:val="none"/>
                <w:lang w:val="en-US" w:eastAsia="zh-CN"/>
              </w:rPr>
              <w:t>8.</w:t>
            </w:r>
          </w:p>
        </w:tc>
        <w:tc>
          <w:tcPr>
            <w:tcW w:w="2113" w:type="dxa"/>
            <w:vAlign w:val="center"/>
          </w:tcPr>
          <w:p>
            <w:pPr>
              <w:pStyle w:val="122"/>
              <w:spacing w:line="360" w:lineRule="auto"/>
              <w:ind w:left="38"/>
              <w:jc w:val="center"/>
              <w:rPr>
                <w:rFonts w:ascii="仿宋" w:hAnsi="仿宋" w:eastAsia="仿宋"/>
                <w:color w:val="auto"/>
                <w:highlight w:val="none"/>
              </w:rPr>
            </w:pPr>
            <w:r>
              <w:rPr>
                <w:rFonts w:hint="eastAsia"/>
                <w:color w:val="auto"/>
                <w:highlight w:val="none"/>
                <w:lang w:val="zh-CN"/>
              </w:rPr>
              <w:t>小微企业（监狱企业、残疾人福利性单位视同小微企业）价格扣除和失信企业报价加成或者扣分</w:t>
            </w:r>
          </w:p>
        </w:tc>
        <w:tc>
          <w:tcPr>
            <w:tcW w:w="6509" w:type="dxa"/>
            <w:vAlign w:val="center"/>
          </w:tcPr>
          <w:p>
            <w:pPr>
              <w:adjustRightInd w:val="0"/>
              <w:spacing w:line="400" w:lineRule="exact"/>
              <w:ind w:right="36" w:rightChars="15" w:firstLine="240" w:firstLineChars="100"/>
              <w:rPr>
                <w:rFonts w:hint="eastAsia" w:ascii="宋体" w:hAnsi="宋体" w:eastAsia="宋体" w:cs="宋体"/>
                <w:color w:val="auto"/>
                <w:sz w:val="24"/>
                <w:szCs w:val="24"/>
                <w:highlight w:val="none"/>
                <w:lang w:val="zh-CN" w:eastAsia="zh-CN" w:bidi="ar-SA"/>
              </w:rPr>
            </w:pPr>
            <w:r>
              <w:rPr>
                <w:rFonts w:hint="eastAsia" w:ascii="宋体" w:hAnsi="宋体" w:eastAsia="宋体" w:cs="宋体"/>
                <w:color w:val="auto"/>
                <w:sz w:val="24"/>
                <w:szCs w:val="24"/>
                <w:highlight w:val="none"/>
                <w:lang w:val="zh-CN" w:eastAsia="zh-CN" w:bidi="ar-SA"/>
              </w:rPr>
              <w:t>一、小微企业、监狱企业和残疾人福利性单位价格扣除：根据《政府采购促进中小企业发展管理办法》（财库〔2020〕46号）、《关于政府采购支持监狱企业发展有关问题的通知》（财库[2014]68号）、《三部门联合发布关于促进残疾人就业政府采购政策的通知》（财库[2017]141号）的规定，对小型企业或微型企业或监狱企业或残疾人福利性单位承建工程的价格给予</w:t>
            </w:r>
            <w:r>
              <w:rPr>
                <w:rFonts w:hint="eastAsia" w:ascii="宋体" w:hAnsi="宋体" w:cs="宋体"/>
                <w:color w:val="auto"/>
                <w:sz w:val="24"/>
                <w:szCs w:val="24"/>
                <w:highlight w:val="none"/>
                <w:lang w:val="en-US" w:eastAsia="zh-CN" w:bidi="ar-SA"/>
              </w:rPr>
              <w:t>4</w:t>
            </w:r>
            <w:r>
              <w:rPr>
                <w:rFonts w:hint="eastAsia" w:ascii="宋体" w:hAnsi="宋体" w:eastAsia="宋体" w:cs="宋体"/>
                <w:color w:val="auto"/>
                <w:sz w:val="24"/>
                <w:szCs w:val="24"/>
                <w:highlight w:val="none"/>
                <w:lang w:val="zh-CN" w:eastAsia="zh-CN" w:bidi="ar-SA"/>
              </w:rPr>
              <w:t>%的价格扣除</w:t>
            </w:r>
            <w:r>
              <w:rPr>
                <w:rFonts w:hint="eastAsia" w:ascii="宋体" w:hAnsi="宋体" w:eastAsia="宋体" w:cs="宋体"/>
                <w:color w:val="auto"/>
                <w:sz w:val="24"/>
                <w:szCs w:val="24"/>
                <w:highlight w:val="none"/>
                <w:lang w:val="zh-CN" w:eastAsia="zh-CN" w:bidi="ar-SA"/>
              </w:rPr>
              <w:t>，用扣除后的价格参与评审排序。供应商为小型、微型企业的应提供《中小企业声明函》原件；供应商为监狱企业的应提供由省级以上监狱管理局、戒毒管理局（含新疆生产建设兵团）出具的生产厂商属于监狱企业的证明文件复印件；供应商为残疾人福利性单位生产的应提供《残疾人福利性单位声明函》原件。</w:t>
            </w:r>
          </w:p>
          <w:p>
            <w:pPr>
              <w:adjustRightInd w:val="0"/>
              <w:spacing w:line="400" w:lineRule="exact"/>
              <w:ind w:right="36" w:rightChars="15" w:firstLine="240" w:firstLineChars="100"/>
              <w:rPr>
                <w:rFonts w:hint="eastAsia" w:ascii="宋体" w:hAnsi="宋体" w:eastAsia="宋体" w:cs="宋体"/>
                <w:color w:val="auto"/>
                <w:sz w:val="24"/>
                <w:szCs w:val="24"/>
                <w:highlight w:val="none"/>
                <w:lang w:val="zh-CN" w:eastAsia="zh-CN" w:bidi="ar-SA"/>
              </w:rPr>
            </w:pPr>
            <w:r>
              <w:rPr>
                <w:rFonts w:hint="eastAsia" w:ascii="宋体" w:hAnsi="宋体" w:cs="宋体"/>
                <w:color w:val="auto"/>
                <w:sz w:val="24"/>
                <w:szCs w:val="24"/>
                <w:highlight w:val="none"/>
                <w:lang w:val="zh-CN" w:eastAsia="zh-CN" w:bidi="ar-SA"/>
              </w:rPr>
              <w:t>二、</w:t>
            </w:r>
            <w:r>
              <w:rPr>
                <w:rFonts w:hint="eastAsia" w:ascii="宋体" w:hAnsi="宋体" w:eastAsia="宋体" w:cs="宋体"/>
                <w:color w:val="auto"/>
                <w:sz w:val="24"/>
                <w:szCs w:val="24"/>
                <w:highlight w:val="none"/>
                <w:lang w:val="zh-CN" w:eastAsia="zh-CN" w:bidi="ar-SA"/>
              </w:rPr>
              <w:t>失信企业报价加成（实质性要求）</w:t>
            </w:r>
          </w:p>
          <w:p>
            <w:pPr>
              <w:adjustRightInd w:val="0"/>
              <w:spacing w:line="400" w:lineRule="exact"/>
              <w:ind w:right="36" w:rightChars="15" w:firstLine="240" w:firstLineChars="100"/>
              <w:rPr>
                <w:rFonts w:hint="eastAsia" w:ascii="宋体" w:hAnsi="宋体" w:eastAsia="宋体" w:cs="宋体"/>
                <w:color w:val="auto"/>
                <w:sz w:val="24"/>
                <w:szCs w:val="24"/>
                <w:highlight w:val="none"/>
                <w:lang w:val="zh-CN" w:eastAsia="zh-CN" w:bidi="ar-SA"/>
              </w:rPr>
            </w:pPr>
            <w:r>
              <w:rPr>
                <w:rFonts w:hint="eastAsia" w:ascii="宋体" w:hAnsi="宋体" w:eastAsia="宋体" w:cs="宋体"/>
                <w:color w:val="auto"/>
                <w:sz w:val="24"/>
                <w:szCs w:val="24"/>
                <w:highlight w:val="none"/>
                <w:lang w:val="zh-CN" w:eastAsia="zh-CN" w:bidi="ar-SA"/>
              </w:rPr>
              <w:t>1.对记入诚信档案且在有效期内的失信供应商，参加政府</w:t>
            </w:r>
          </w:p>
          <w:p>
            <w:pPr>
              <w:adjustRightInd w:val="0"/>
              <w:spacing w:line="400" w:lineRule="exact"/>
              <w:ind w:right="36" w:rightChars="15" w:firstLine="240" w:firstLineChars="100"/>
              <w:rPr>
                <w:rFonts w:hint="eastAsia" w:ascii="宋体" w:hAnsi="宋体" w:eastAsia="宋体" w:cs="宋体"/>
                <w:color w:val="auto"/>
                <w:sz w:val="24"/>
                <w:szCs w:val="24"/>
                <w:highlight w:val="none"/>
                <w:lang w:val="zh-CN" w:eastAsia="zh-CN" w:bidi="ar-SA"/>
              </w:rPr>
            </w:pPr>
            <w:r>
              <w:rPr>
                <w:rFonts w:hint="eastAsia" w:ascii="宋体" w:hAnsi="宋体" w:eastAsia="宋体" w:cs="宋体"/>
                <w:color w:val="auto"/>
                <w:sz w:val="24"/>
                <w:szCs w:val="24"/>
                <w:highlight w:val="none"/>
                <w:lang w:val="zh-CN" w:eastAsia="zh-CN" w:bidi="ar-SA"/>
              </w:rPr>
              <w:t>采购活动按照 10%的报价加成，以加成后报价作为该供应商</w:t>
            </w:r>
          </w:p>
          <w:p>
            <w:pPr>
              <w:adjustRightInd w:val="0"/>
              <w:spacing w:line="400" w:lineRule="exact"/>
              <w:ind w:right="36" w:rightChars="15" w:firstLine="240" w:firstLineChars="100"/>
              <w:rPr>
                <w:rFonts w:hint="eastAsia" w:ascii="宋体" w:hAnsi="宋体" w:eastAsia="宋体" w:cs="宋体"/>
                <w:color w:val="auto"/>
                <w:sz w:val="24"/>
                <w:szCs w:val="24"/>
                <w:highlight w:val="none"/>
                <w:lang w:val="zh-CN" w:eastAsia="zh-CN" w:bidi="ar-SA"/>
              </w:rPr>
            </w:pPr>
            <w:r>
              <w:rPr>
                <w:rFonts w:hint="eastAsia" w:ascii="宋体" w:hAnsi="宋体" w:eastAsia="宋体" w:cs="宋体"/>
                <w:color w:val="auto"/>
                <w:sz w:val="24"/>
                <w:szCs w:val="24"/>
                <w:highlight w:val="none"/>
                <w:lang w:val="zh-CN" w:eastAsia="zh-CN" w:bidi="ar-SA"/>
              </w:rPr>
              <w:t>报价参与评审。供应商失信行为惩戒实行无限制累加制，因</w:t>
            </w:r>
          </w:p>
          <w:p>
            <w:pPr>
              <w:adjustRightInd w:val="0"/>
              <w:spacing w:line="400" w:lineRule="exact"/>
              <w:ind w:right="36" w:rightChars="15" w:firstLine="240" w:firstLineChars="100"/>
              <w:rPr>
                <w:rFonts w:hint="eastAsia" w:ascii="宋体" w:hAnsi="宋体" w:eastAsia="宋体" w:cs="宋体"/>
                <w:color w:val="auto"/>
                <w:sz w:val="24"/>
                <w:szCs w:val="24"/>
                <w:highlight w:val="none"/>
                <w:lang w:val="zh-CN" w:eastAsia="zh-CN" w:bidi="ar-SA"/>
              </w:rPr>
            </w:pPr>
            <w:r>
              <w:rPr>
                <w:rFonts w:hint="eastAsia" w:ascii="宋体" w:hAnsi="宋体" w:eastAsia="宋体" w:cs="宋体"/>
                <w:color w:val="auto"/>
                <w:sz w:val="24"/>
                <w:szCs w:val="24"/>
                <w:highlight w:val="none"/>
                <w:lang w:val="zh-CN" w:eastAsia="zh-CN" w:bidi="ar-SA"/>
              </w:rPr>
              <w:t>其失信行为进行报价加成惩戒后报价超过政府采购预算的，</w:t>
            </w:r>
          </w:p>
          <w:p>
            <w:pPr>
              <w:adjustRightInd w:val="0"/>
              <w:spacing w:line="400" w:lineRule="exact"/>
              <w:ind w:right="36" w:rightChars="15" w:firstLine="240" w:firstLineChars="100"/>
              <w:rPr>
                <w:rFonts w:hint="eastAsia" w:ascii="宋体" w:hAnsi="宋体" w:eastAsia="宋体" w:cs="宋体"/>
                <w:color w:val="auto"/>
                <w:sz w:val="24"/>
                <w:szCs w:val="24"/>
                <w:highlight w:val="none"/>
                <w:lang w:val="zh-CN" w:eastAsia="zh-CN" w:bidi="ar-SA"/>
              </w:rPr>
            </w:pPr>
            <w:r>
              <w:rPr>
                <w:rFonts w:hint="eastAsia" w:ascii="宋体" w:hAnsi="宋体" w:eastAsia="宋体" w:cs="宋体"/>
                <w:color w:val="auto"/>
                <w:sz w:val="24"/>
                <w:szCs w:val="24"/>
                <w:highlight w:val="none"/>
                <w:lang w:val="zh-CN" w:eastAsia="zh-CN" w:bidi="ar-SA"/>
              </w:rPr>
              <w:t>其施工响应文件按照无效处理。</w:t>
            </w:r>
          </w:p>
          <w:p>
            <w:pPr>
              <w:adjustRightInd w:val="0"/>
              <w:spacing w:line="400" w:lineRule="exact"/>
              <w:ind w:right="36" w:rightChars="15" w:firstLine="240" w:firstLineChars="100"/>
              <w:rPr>
                <w:rFonts w:hint="eastAsia" w:ascii="宋体" w:hAnsi="宋体" w:eastAsia="宋体" w:cs="宋体"/>
                <w:color w:val="auto"/>
                <w:sz w:val="24"/>
                <w:szCs w:val="24"/>
                <w:highlight w:val="none"/>
                <w:lang w:val="zh-CN" w:eastAsia="zh-CN" w:bidi="ar-SA"/>
              </w:rPr>
            </w:pPr>
            <w:r>
              <w:rPr>
                <w:rFonts w:hint="eastAsia" w:ascii="宋体" w:hAnsi="宋体" w:eastAsia="宋体" w:cs="宋体"/>
                <w:color w:val="auto"/>
                <w:sz w:val="24"/>
                <w:szCs w:val="24"/>
                <w:highlight w:val="none"/>
                <w:lang w:val="zh-CN" w:eastAsia="zh-CN" w:bidi="ar-SA"/>
              </w:rPr>
              <w:t>2.供应商参加政府采购活动时，应当就自己的诚信情况在</w:t>
            </w:r>
          </w:p>
          <w:p>
            <w:pPr>
              <w:adjustRightInd w:val="0"/>
              <w:spacing w:line="400" w:lineRule="exact"/>
              <w:ind w:right="36" w:rightChars="15" w:firstLine="240" w:firstLineChars="100"/>
              <w:rPr>
                <w:rFonts w:ascii="仿宋" w:hAnsi="仿宋" w:eastAsia="仿宋" w:cs="宋体"/>
                <w:color w:val="auto"/>
                <w:highlight w:val="none"/>
              </w:rPr>
            </w:pPr>
            <w:r>
              <w:rPr>
                <w:rFonts w:hint="eastAsia" w:ascii="宋体" w:hAnsi="宋体" w:eastAsia="宋体" w:cs="宋体"/>
                <w:color w:val="auto"/>
                <w:sz w:val="24"/>
                <w:szCs w:val="24"/>
                <w:highlight w:val="none"/>
                <w:lang w:val="zh-CN" w:eastAsia="zh-CN" w:bidi="ar-SA"/>
              </w:rPr>
              <w:t>施工响应文件中进行承诺。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0"/>
              </w:numPr>
              <w:snapToGrid w:val="0"/>
              <w:spacing w:line="360" w:lineRule="auto"/>
              <w:ind w:leftChars="0"/>
              <w:jc w:val="center"/>
              <w:rPr>
                <w:rFonts w:hint="eastAsia" w:ascii="宋体" w:hAnsi="宋体" w:eastAsia="宋体"/>
                <w:color w:val="auto"/>
                <w:highlight w:val="none"/>
                <w:lang w:val="en-US" w:eastAsia="zh-CN"/>
              </w:rPr>
            </w:pPr>
            <w:r>
              <w:rPr>
                <w:rFonts w:hint="eastAsia" w:ascii="宋体" w:hAnsi="宋体"/>
                <w:color w:val="auto"/>
                <w:highlight w:val="none"/>
                <w:lang w:val="en-US" w:eastAsia="zh-CN"/>
              </w:rPr>
              <w:t>9.</w:t>
            </w:r>
          </w:p>
        </w:tc>
        <w:tc>
          <w:tcPr>
            <w:tcW w:w="2113" w:type="dxa"/>
            <w:tcBorders>
              <w:top w:val="single" w:color="auto" w:sz="8" w:space="0"/>
              <w:left w:val="single" w:color="auto" w:sz="8" w:space="0"/>
              <w:bottom w:val="single" w:color="auto" w:sz="8" w:space="0"/>
              <w:right w:val="single" w:color="auto" w:sz="8" w:space="0"/>
            </w:tcBorders>
            <w:vAlign w:val="center"/>
          </w:tcPr>
          <w:p>
            <w:pPr>
              <w:pStyle w:val="122"/>
              <w:snapToGrid w:val="0"/>
              <w:spacing w:line="360" w:lineRule="auto"/>
              <w:jc w:val="both"/>
              <w:rPr>
                <w:color w:val="auto"/>
                <w:highlight w:val="none"/>
                <w:lang w:val="zh-CN"/>
              </w:rPr>
            </w:pPr>
            <w:r>
              <w:rPr>
                <w:rFonts w:hint="eastAsia"/>
                <w:color w:val="auto"/>
                <w:highlight w:val="none"/>
                <w:lang w:val="zh-CN"/>
              </w:rPr>
              <w:t>磋商保证金</w:t>
            </w:r>
          </w:p>
        </w:tc>
        <w:tc>
          <w:tcPr>
            <w:tcW w:w="6509"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color w:val="auto"/>
                <w:highlight w:val="none"/>
                <w:lang w:val="zh-CN"/>
              </w:rPr>
            </w:pPr>
            <w:r>
              <w:rPr>
                <w:rFonts w:hint="eastAsia" w:ascii="宋体" w:hAnsi="宋体"/>
                <w:b/>
                <w:color w:val="auto"/>
                <w:highlight w:val="none"/>
              </w:rPr>
              <w:t>本项目不收取</w:t>
            </w:r>
            <w:r>
              <w:rPr>
                <w:rFonts w:hint="eastAsia" w:ascii="宋体" w:hAnsi="宋体"/>
                <w:b/>
                <w:color w:val="auto"/>
                <w:highlight w:val="none"/>
                <w:lang w:eastAsia="zh-CN"/>
              </w:rPr>
              <w:t>磋商</w:t>
            </w:r>
            <w:r>
              <w:rPr>
                <w:rFonts w:hint="eastAsia" w:ascii="宋体" w:hAnsi="宋体"/>
                <w:b/>
                <w:color w:val="auto"/>
                <w:highlight w:val="none"/>
              </w:rPr>
              <w:t>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9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0"/>
              </w:numPr>
              <w:snapToGrid w:val="0"/>
              <w:spacing w:line="360" w:lineRule="auto"/>
              <w:ind w:leftChars="0"/>
              <w:jc w:val="center"/>
              <w:rPr>
                <w:rFonts w:hint="eastAsia" w:ascii="宋体" w:hAnsi="宋体" w:eastAsia="宋体"/>
                <w:color w:val="auto"/>
                <w:highlight w:val="none"/>
                <w:lang w:val="en-US" w:eastAsia="zh-CN"/>
              </w:rPr>
            </w:pPr>
            <w:r>
              <w:rPr>
                <w:rFonts w:hint="eastAsia" w:ascii="宋体" w:hAnsi="宋体"/>
                <w:color w:val="auto"/>
                <w:highlight w:val="none"/>
                <w:lang w:val="en-US" w:eastAsia="zh-CN"/>
              </w:rPr>
              <w:t>10..</w:t>
            </w:r>
          </w:p>
        </w:tc>
        <w:tc>
          <w:tcPr>
            <w:tcW w:w="2113" w:type="dxa"/>
            <w:tcBorders>
              <w:top w:val="single" w:color="auto" w:sz="8" w:space="0"/>
              <w:left w:val="single" w:color="auto" w:sz="8" w:space="0"/>
              <w:bottom w:val="single" w:color="auto" w:sz="8" w:space="0"/>
              <w:right w:val="single" w:color="auto" w:sz="8" w:space="0"/>
            </w:tcBorders>
            <w:vAlign w:val="center"/>
          </w:tcPr>
          <w:p>
            <w:pPr>
              <w:widowControl w:val="0"/>
              <w:snapToGrid w:val="0"/>
              <w:spacing w:line="360" w:lineRule="auto"/>
              <w:jc w:val="both"/>
              <w:rPr>
                <w:rFonts w:ascii="宋体" w:hAnsi="宋体" w:cs="宋体"/>
                <w:color w:val="auto"/>
                <w:highlight w:val="none"/>
                <w:lang w:val="zh-CN"/>
              </w:rPr>
            </w:pPr>
            <w:r>
              <w:rPr>
                <w:rFonts w:hint="eastAsia" w:ascii="宋体" w:hAnsi="宋体" w:cs="宋体"/>
                <w:color w:val="auto"/>
                <w:highlight w:val="none"/>
                <w:lang w:val="zh-CN"/>
              </w:rPr>
              <w:t>履约保证金</w:t>
            </w:r>
            <w:r>
              <w:rPr>
                <w:rFonts w:hint="eastAsia" w:ascii="仿宋" w:hAnsi="仿宋" w:eastAsia="仿宋"/>
                <w:color w:val="auto"/>
                <w:sz w:val="21"/>
                <w:szCs w:val="21"/>
                <w:highlight w:val="none"/>
                <w:lang w:val="zh-CN"/>
              </w:rPr>
              <w:t>（实质性要求）</w:t>
            </w:r>
          </w:p>
        </w:tc>
        <w:tc>
          <w:tcPr>
            <w:tcW w:w="6509"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cs="宋体"/>
                <w:color w:val="auto"/>
                <w:highlight w:val="none"/>
                <w:lang w:val="en-US"/>
              </w:rPr>
            </w:pPr>
            <w:r>
              <w:rPr>
                <w:rFonts w:hint="eastAsia" w:ascii="宋体" w:hAnsi="宋体" w:cs="宋体"/>
                <w:color w:val="auto"/>
                <w:highlight w:val="none"/>
                <w:lang w:val="zh-CN"/>
              </w:rPr>
              <w:t>详见供应商须知</w:t>
            </w:r>
            <w:r>
              <w:rPr>
                <w:rFonts w:ascii="宋体" w:hAnsi="宋体" w:cs="宋体"/>
                <w:color w:val="auto"/>
                <w:highlight w:val="none"/>
                <w:lang w:val="zh-CN"/>
              </w:rPr>
              <w:t>2.</w:t>
            </w:r>
            <w:r>
              <w:rPr>
                <w:rFonts w:hint="eastAsia" w:ascii="宋体" w:hAnsi="宋体" w:cs="宋体"/>
                <w:color w:val="auto"/>
                <w:highlight w:val="none"/>
                <w:lang w:val="en-US" w:eastAsia="zh-CN"/>
              </w:rPr>
              <w:t>7.4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9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0"/>
              </w:numPr>
              <w:snapToGrid w:val="0"/>
              <w:spacing w:line="360" w:lineRule="auto"/>
              <w:ind w:leftChars="0"/>
              <w:jc w:val="center"/>
              <w:rPr>
                <w:rFonts w:hint="eastAsia" w:ascii="宋体" w:hAnsi="宋体"/>
                <w:color w:val="auto"/>
                <w:highlight w:val="none"/>
                <w:lang w:val="en-US" w:eastAsia="zh-CN"/>
              </w:rPr>
            </w:pPr>
            <w:r>
              <w:rPr>
                <w:rFonts w:hint="eastAsia" w:ascii="宋体" w:hAnsi="宋体"/>
                <w:color w:val="auto"/>
                <w:highlight w:val="none"/>
                <w:lang w:val="en-US" w:eastAsia="zh-CN"/>
              </w:rPr>
              <w:t>11.</w:t>
            </w:r>
          </w:p>
        </w:tc>
        <w:tc>
          <w:tcPr>
            <w:tcW w:w="2113" w:type="dxa"/>
            <w:tcBorders>
              <w:top w:val="single" w:color="auto" w:sz="8" w:space="0"/>
              <w:left w:val="single" w:color="auto" w:sz="8" w:space="0"/>
              <w:bottom w:val="single" w:color="auto" w:sz="8" w:space="0"/>
              <w:right w:val="single" w:color="auto" w:sz="8" w:space="0"/>
            </w:tcBorders>
            <w:vAlign w:val="center"/>
          </w:tcPr>
          <w:p>
            <w:pPr>
              <w:widowControl w:val="0"/>
              <w:snapToGrid w:val="0"/>
              <w:spacing w:line="360" w:lineRule="auto"/>
              <w:jc w:val="both"/>
              <w:rPr>
                <w:rFonts w:hint="eastAsia" w:ascii="宋体" w:hAnsi="宋体" w:eastAsia="宋体" w:cs="宋体"/>
                <w:color w:val="auto"/>
                <w:highlight w:val="none"/>
                <w:lang w:val="en-US" w:eastAsia="zh-CN"/>
              </w:rPr>
            </w:pPr>
            <w:r>
              <w:rPr>
                <w:rFonts w:hint="eastAsia" w:ascii="宋体" w:hAnsi="宋体"/>
                <w:color w:val="auto"/>
                <w:highlight w:val="none"/>
              </w:rPr>
              <w:t>施工响应文件的包装、密封、标注</w:t>
            </w:r>
          </w:p>
        </w:tc>
        <w:tc>
          <w:tcPr>
            <w:tcW w:w="6509"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hint="eastAsia" w:ascii="宋体" w:hAnsi="宋体" w:cs="宋体"/>
                <w:color w:val="auto"/>
                <w:highlight w:val="none"/>
                <w:lang w:val="zh-CN"/>
              </w:rPr>
            </w:pPr>
            <w:r>
              <w:rPr>
                <w:rFonts w:hint="eastAsia" w:ascii="宋体" w:hAnsi="宋体"/>
                <w:color w:val="auto"/>
                <w:highlight w:val="none"/>
              </w:rPr>
              <w:t>详见供应商须知</w:t>
            </w:r>
            <w:r>
              <w:rPr>
                <w:rFonts w:ascii="宋体" w:hAnsi="宋体"/>
                <w:color w:val="auto"/>
                <w:highlight w:val="none"/>
              </w:rPr>
              <w:t>2.4.12</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0"/>
              </w:numPr>
              <w:snapToGrid w:val="0"/>
              <w:spacing w:line="360" w:lineRule="auto"/>
              <w:ind w:leftChars="0"/>
              <w:jc w:val="center"/>
              <w:rPr>
                <w:rFonts w:hint="eastAsia" w:ascii="宋体" w:hAnsi="宋体"/>
                <w:color w:val="auto"/>
                <w:highlight w:val="none"/>
                <w:lang w:val="en-US" w:eastAsia="zh-CN"/>
              </w:rPr>
            </w:pPr>
            <w:r>
              <w:rPr>
                <w:rFonts w:hint="eastAsia" w:ascii="宋体" w:hAnsi="宋体"/>
                <w:color w:val="auto"/>
                <w:highlight w:val="none"/>
                <w:lang w:val="en-US" w:eastAsia="zh-CN"/>
              </w:rPr>
              <w:t>12.</w:t>
            </w:r>
          </w:p>
        </w:tc>
        <w:tc>
          <w:tcPr>
            <w:tcW w:w="2113" w:type="dxa"/>
            <w:tcBorders>
              <w:top w:val="single" w:color="auto" w:sz="8" w:space="0"/>
              <w:left w:val="single" w:color="auto" w:sz="8" w:space="0"/>
              <w:bottom w:val="single" w:color="auto" w:sz="8" w:space="0"/>
              <w:right w:val="single" w:color="auto" w:sz="8" w:space="0"/>
            </w:tcBorders>
            <w:vAlign w:val="center"/>
          </w:tcPr>
          <w:p>
            <w:pPr>
              <w:widowControl w:val="0"/>
              <w:snapToGrid w:val="0"/>
              <w:spacing w:line="360" w:lineRule="auto"/>
              <w:jc w:val="both"/>
              <w:rPr>
                <w:rFonts w:hint="eastAsia" w:ascii="宋体" w:hAnsi="宋体" w:cs="宋体"/>
                <w:color w:val="auto"/>
                <w:highlight w:val="none"/>
                <w:lang w:val="zh-CN"/>
              </w:rPr>
            </w:pPr>
            <w:r>
              <w:rPr>
                <w:rFonts w:hint="eastAsia" w:ascii="宋体" w:hAnsi="宋体"/>
                <w:color w:val="auto"/>
                <w:highlight w:val="none"/>
              </w:rPr>
              <w:t>施工响应文件的制作和签章、加密</w:t>
            </w:r>
            <w:r>
              <w:rPr>
                <w:rFonts w:hint="eastAsia" w:ascii="仿宋" w:hAnsi="仿宋" w:eastAsia="仿宋"/>
                <w:color w:val="auto"/>
                <w:szCs w:val="21"/>
                <w:highlight w:val="none"/>
                <w:lang w:val="zh-CN"/>
              </w:rPr>
              <w:t>（实质性要求）</w:t>
            </w:r>
          </w:p>
        </w:tc>
        <w:tc>
          <w:tcPr>
            <w:tcW w:w="6509"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hint="eastAsia" w:ascii="宋体" w:hAnsi="宋体" w:eastAsia="宋体" w:cs="宋体"/>
                <w:color w:val="auto"/>
                <w:highlight w:val="none"/>
                <w:lang w:val="en-US" w:eastAsia="zh-CN"/>
              </w:rPr>
            </w:pPr>
            <w:r>
              <w:rPr>
                <w:rFonts w:hint="eastAsia" w:ascii="宋体" w:hAnsi="宋体"/>
                <w:color w:val="auto"/>
                <w:highlight w:val="none"/>
              </w:rPr>
              <w:t>详见供应商须知2.4.11</w:t>
            </w:r>
            <w:r>
              <w:rPr>
                <w:rFonts w:hint="eastAsia" w:ascii="宋体" w:hAnsi="宋体"/>
                <w:color w:val="auto"/>
                <w:highlight w:val="none"/>
                <w:lang w:val="en-US" w:eastAsia="zh-CN"/>
              </w:rPr>
              <w:t>.1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0"/>
              </w:numPr>
              <w:snapToGrid w:val="0"/>
              <w:spacing w:line="360" w:lineRule="auto"/>
              <w:ind w:leftChars="0"/>
              <w:jc w:val="center"/>
              <w:rPr>
                <w:rFonts w:hint="eastAsia" w:ascii="宋体" w:hAnsi="宋体"/>
                <w:color w:val="auto"/>
                <w:highlight w:val="none"/>
                <w:lang w:val="en-US" w:eastAsia="zh-CN"/>
              </w:rPr>
            </w:pPr>
            <w:r>
              <w:rPr>
                <w:rFonts w:hint="eastAsia" w:ascii="宋体" w:hAnsi="宋体"/>
                <w:color w:val="auto"/>
                <w:highlight w:val="none"/>
                <w:lang w:val="en-US" w:eastAsia="zh-CN"/>
              </w:rPr>
              <w:t>13.</w:t>
            </w:r>
          </w:p>
        </w:tc>
        <w:tc>
          <w:tcPr>
            <w:tcW w:w="2113" w:type="dxa"/>
            <w:tcBorders>
              <w:top w:val="single" w:color="auto" w:sz="8" w:space="0"/>
              <w:left w:val="single" w:color="auto" w:sz="8" w:space="0"/>
              <w:bottom w:val="single" w:color="auto" w:sz="8" w:space="0"/>
              <w:right w:val="single" w:color="auto" w:sz="8" w:space="0"/>
            </w:tcBorders>
            <w:vAlign w:val="center"/>
          </w:tcPr>
          <w:p>
            <w:pPr>
              <w:widowControl w:val="0"/>
              <w:snapToGrid w:val="0"/>
              <w:spacing w:line="360" w:lineRule="auto"/>
              <w:jc w:val="both"/>
              <w:rPr>
                <w:rFonts w:hint="eastAsia" w:ascii="宋体" w:hAnsi="宋体"/>
                <w:color w:val="auto"/>
                <w:highlight w:val="none"/>
              </w:rPr>
            </w:pPr>
            <w:r>
              <w:rPr>
                <w:rFonts w:hint="eastAsia" w:ascii="宋体" w:hAnsi="宋体"/>
                <w:b w:val="0"/>
                <w:bCs w:val="0"/>
                <w:color w:val="auto"/>
                <w:highlight w:val="none"/>
              </w:rPr>
              <w:t>施工响应文件份</w:t>
            </w:r>
          </w:p>
        </w:tc>
        <w:tc>
          <w:tcPr>
            <w:tcW w:w="6509"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hint="eastAsia" w:ascii="宋体" w:hAnsi="宋体"/>
                <w:color w:val="auto"/>
                <w:highlight w:val="none"/>
              </w:rPr>
            </w:pPr>
            <w:r>
              <w:rPr>
                <w:rFonts w:hint="eastAsia" w:ascii="宋体" w:hAnsi="宋体"/>
                <w:b w:val="0"/>
                <w:bCs w:val="0"/>
                <w:color w:val="auto"/>
                <w:highlight w:val="none"/>
              </w:rPr>
              <w:t>施工响应文件一式</w:t>
            </w:r>
            <w:r>
              <w:rPr>
                <w:rFonts w:hint="eastAsia" w:ascii="宋体" w:hAnsi="宋体"/>
                <w:b w:val="0"/>
                <w:bCs w:val="0"/>
                <w:color w:val="auto"/>
                <w:highlight w:val="none"/>
                <w:lang w:val="en-US" w:eastAsia="zh-CN"/>
              </w:rPr>
              <w:t>二</w:t>
            </w:r>
            <w:r>
              <w:rPr>
                <w:rFonts w:hint="eastAsia" w:ascii="宋体" w:hAnsi="宋体"/>
                <w:b w:val="0"/>
                <w:bCs w:val="0"/>
                <w:color w:val="auto"/>
                <w:highlight w:val="none"/>
              </w:rPr>
              <w:t>份，其中正本一份，副本</w:t>
            </w:r>
            <w:r>
              <w:rPr>
                <w:rFonts w:hint="eastAsia" w:ascii="宋体" w:hAnsi="宋体"/>
                <w:b w:val="0"/>
                <w:bCs w:val="0"/>
                <w:color w:val="auto"/>
                <w:highlight w:val="none"/>
                <w:lang w:val="en-US" w:eastAsia="zh-CN"/>
              </w:rPr>
              <w:t>一</w:t>
            </w:r>
            <w:r>
              <w:rPr>
                <w:rFonts w:hint="eastAsia" w:ascii="宋体" w:hAnsi="宋体"/>
                <w:b w:val="0"/>
                <w:bCs w:val="0"/>
                <w:color w:val="auto"/>
                <w:highlight w:val="none"/>
              </w:rPr>
              <w:t>份。</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0"/>
              </w:numPr>
              <w:snapToGrid w:val="0"/>
              <w:spacing w:line="360" w:lineRule="auto"/>
              <w:ind w:leftChars="0"/>
              <w:jc w:val="center"/>
              <w:rPr>
                <w:rFonts w:hint="eastAsia" w:ascii="宋体" w:hAnsi="宋体"/>
                <w:color w:val="auto"/>
                <w:highlight w:val="none"/>
                <w:lang w:val="en-US" w:eastAsia="zh-CN"/>
              </w:rPr>
            </w:pPr>
            <w:r>
              <w:rPr>
                <w:rFonts w:hint="eastAsia" w:ascii="宋体" w:hAnsi="宋体"/>
                <w:color w:val="auto"/>
                <w:highlight w:val="none"/>
                <w:lang w:val="en-US" w:eastAsia="zh-CN"/>
              </w:rPr>
              <w:t>14.</w:t>
            </w:r>
          </w:p>
        </w:tc>
        <w:tc>
          <w:tcPr>
            <w:tcW w:w="2113" w:type="dxa"/>
            <w:tcBorders>
              <w:top w:val="single" w:color="auto" w:sz="8" w:space="0"/>
              <w:left w:val="single" w:color="auto" w:sz="8" w:space="0"/>
              <w:bottom w:val="single" w:color="auto" w:sz="8" w:space="0"/>
              <w:right w:val="single" w:color="auto" w:sz="8" w:space="0"/>
            </w:tcBorders>
            <w:vAlign w:val="center"/>
          </w:tcPr>
          <w:p>
            <w:pPr>
              <w:widowControl w:val="0"/>
              <w:snapToGrid w:val="0"/>
              <w:spacing w:line="360" w:lineRule="auto"/>
              <w:jc w:val="both"/>
              <w:rPr>
                <w:rFonts w:hint="eastAsia" w:ascii="宋体" w:hAnsi="宋体"/>
                <w:color w:val="auto"/>
                <w:highlight w:val="none"/>
              </w:rPr>
            </w:pPr>
            <w:r>
              <w:rPr>
                <w:rFonts w:hint="eastAsia" w:ascii="宋体" w:hAnsi="宋体"/>
                <w:color w:val="auto"/>
                <w:highlight w:val="none"/>
              </w:rPr>
              <w:t>施工响应文件的</w:t>
            </w:r>
            <w:r>
              <w:rPr>
                <w:rFonts w:hint="eastAsia" w:ascii="宋体" w:hAnsi="宋体"/>
                <w:color w:val="auto"/>
                <w:highlight w:val="none"/>
                <w:lang w:val="en-US" w:eastAsia="zh-CN"/>
              </w:rPr>
              <w:t>补</w:t>
            </w:r>
            <w:r>
              <w:rPr>
                <w:rFonts w:hint="eastAsia" w:ascii="宋体" w:hAnsi="宋体"/>
                <w:color w:val="auto"/>
                <w:highlight w:val="none"/>
              </w:rPr>
              <w:t>充、修改和撤回</w:t>
            </w:r>
          </w:p>
        </w:tc>
        <w:tc>
          <w:tcPr>
            <w:tcW w:w="6509"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hint="eastAsia" w:ascii="宋体" w:hAnsi="宋体" w:eastAsia="宋体"/>
                <w:color w:val="auto"/>
                <w:highlight w:val="none"/>
                <w:lang w:val="en-US" w:eastAsia="zh-CN"/>
              </w:rPr>
            </w:pPr>
            <w:r>
              <w:rPr>
                <w:rFonts w:hint="eastAsia" w:ascii="宋体" w:hAnsi="宋体"/>
                <w:color w:val="auto"/>
                <w:highlight w:val="none"/>
              </w:rPr>
              <w:t>详见供应商须知2.4.1</w:t>
            </w:r>
            <w:r>
              <w:rPr>
                <w:rFonts w:hint="eastAsia" w:ascii="宋体" w:hAnsi="宋体"/>
                <w:color w:val="auto"/>
                <w:highlight w:val="none"/>
                <w:lang w:val="en-US" w:eastAsia="zh-CN"/>
              </w:rPr>
              <w:t>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0"/>
              </w:numPr>
              <w:snapToGrid w:val="0"/>
              <w:spacing w:line="360" w:lineRule="auto"/>
              <w:ind w:leftChars="0"/>
              <w:jc w:val="center"/>
              <w:rPr>
                <w:rFonts w:hint="eastAsia" w:ascii="宋体" w:hAnsi="宋体" w:eastAsia="宋体"/>
                <w:color w:val="auto"/>
                <w:highlight w:val="none"/>
                <w:lang w:val="en-US" w:eastAsia="zh-CN"/>
              </w:rPr>
            </w:pPr>
            <w:r>
              <w:rPr>
                <w:rFonts w:hint="eastAsia" w:ascii="宋体" w:hAnsi="宋体"/>
                <w:color w:val="auto"/>
                <w:highlight w:val="none"/>
                <w:lang w:val="en-US" w:eastAsia="zh-CN"/>
              </w:rPr>
              <w:t>16.</w:t>
            </w:r>
          </w:p>
        </w:tc>
        <w:tc>
          <w:tcPr>
            <w:tcW w:w="2113"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color w:val="auto"/>
                <w:highlight w:val="none"/>
              </w:rPr>
            </w:pPr>
            <w:r>
              <w:rPr>
                <w:rFonts w:hint="eastAsia" w:ascii="宋体" w:hAnsi="宋体"/>
                <w:color w:val="auto"/>
                <w:highlight w:val="none"/>
              </w:rPr>
              <w:t>对</w:t>
            </w:r>
            <w:r>
              <w:rPr>
                <w:rFonts w:hint="eastAsia" w:ascii="宋体" w:hAnsi="宋体"/>
                <w:color w:val="auto"/>
                <w:highlight w:val="none"/>
                <w:lang w:eastAsia="zh-CN"/>
              </w:rPr>
              <w:t>磋商</w:t>
            </w:r>
            <w:r>
              <w:rPr>
                <w:rFonts w:hint="eastAsia" w:ascii="宋体" w:hAnsi="宋体"/>
                <w:color w:val="auto"/>
                <w:highlight w:val="none"/>
              </w:rPr>
              <w:t>文件中供应商参加本次政府采购活动应当具备的条件、项目</w:t>
            </w:r>
            <w:r>
              <w:rPr>
                <w:rFonts w:hint="eastAsia" w:ascii="宋体" w:hAnsi="宋体"/>
                <w:color w:val="auto"/>
                <w:highlight w:val="none"/>
                <w:lang w:eastAsia="zh-CN"/>
              </w:rPr>
              <w:t>技术、服务、商务及其他要求</w:t>
            </w:r>
            <w:r>
              <w:rPr>
                <w:rFonts w:hint="eastAsia" w:ascii="宋体" w:hAnsi="宋体"/>
                <w:color w:val="auto"/>
                <w:highlight w:val="none"/>
              </w:rPr>
              <w:t>的询问、质疑</w:t>
            </w:r>
          </w:p>
        </w:tc>
        <w:tc>
          <w:tcPr>
            <w:tcW w:w="6509"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right="210"/>
              <w:rPr>
                <w:rFonts w:ascii="宋体" w:hAnsi="宋体" w:eastAsia="仿宋_GB2312" w:cs="宋体"/>
                <w:color w:val="auto"/>
                <w:highlight w:val="none"/>
              </w:rPr>
            </w:pPr>
            <w:r>
              <w:rPr>
                <w:rFonts w:hint="eastAsia" w:ascii="宋体" w:hAnsi="宋体"/>
                <w:color w:val="auto"/>
                <w:highlight w:val="none"/>
              </w:rPr>
              <w:t>向采购人提出，并由采购人按相关规定作出答复（详见供应商须知</w:t>
            </w:r>
            <w:r>
              <w:rPr>
                <w:rFonts w:hint="eastAsia" w:ascii="宋体" w:hAnsi="宋体"/>
                <w:color w:val="auto"/>
                <w:highlight w:val="none"/>
                <w:lang w:val="en-US" w:eastAsia="zh-CN"/>
              </w:rPr>
              <w:t>2.9</w:t>
            </w:r>
            <w:r>
              <w:rPr>
                <w:rFonts w:hint="eastAsia" w:ascii="宋体" w:hAnsi="宋体"/>
                <w:color w:val="auto"/>
                <w:highlight w:val="none"/>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0"/>
              </w:numPr>
              <w:snapToGrid w:val="0"/>
              <w:spacing w:line="360" w:lineRule="auto"/>
              <w:ind w:leftChars="0"/>
              <w:jc w:val="center"/>
              <w:rPr>
                <w:rFonts w:hint="eastAsia" w:ascii="宋体" w:hAnsi="宋体"/>
                <w:color w:val="auto"/>
                <w:highlight w:val="none"/>
                <w:lang w:val="en-US" w:eastAsia="zh-CN"/>
              </w:rPr>
            </w:pPr>
            <w:r>
              <w:rPr>
                <w:rFonts w:hint="eastAsia" w:ascii="宋体" w:hAnsi="宋体"/>
                <w:color w:val="auto"/>
                <w:highlight w:val="none"/>
                <w:lang w:val="en-US" w:eastAsia="zh-CN"/>
              </w:rPr>
              <w:t>17.</w:t>
            </w:r>
          </w:p>
        </w:tc>
        <w:tc>
          <w:tcPr>
            <w:tcW w:w="2113"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40" w:rightChars="100"/>
              <w:jc w:val="both"/>
              <w:rPr>
                <w:rFonts w:hint="eastAsia" w:ascii="宋体" w:hAnsi="宋体"/>
                <w:color w:val="auto"/>
                <w:highlight w:val="none"/>
              </w:rPr>
            </w:pPr>
            <w:r>
              <w:rPr>
                <w:rFonts w:hint="eastAsia" w:ascii="宋体" w:hAnsi="宋体"/>
                <w:color w:val="auto"/>
                <w:highlight w:val="none"/>
              </w:rPr>
              <w:t>对磋商文件中的其他内容、采购过程及成交结果的询问、质疑</w:t>
            </w:r>
          </w:p>
        </w:tc>
        <w:tc>
          <w:tcPr>
            <w:tcW w:w="6509" w:type="dxa"/>
            <w:tcBorders>
              <w:top w:val="single" w:color="auto" w:sz="8" w:space="0"/>
              <w:left w:val="single" w:color="auto" w:sz="8" w:space="0"/>
              <w:bottom w:val="single" w:color="auto" w:sz="8" w:space="0"/>
              <w:right w:val="single" w:color="auto" w:sz="18" w:space="0"/>
            </w:tcBorders>
            <w:vAlign w:val="center"/>
          </w:tcPr>
          <w:p>
            <w:pPr>
              <w:widowControl w:val="0"/>
              <w:tabs>
                <w:tab w:val="left" w:pos="7665"/>
              </w:tabs>
              <w:snapToGrid w:val="0"/>
              <w:spacing w:line="360" w:lineRule="auto"/>
              <w:ind w:left="209" w:right="240" w:rightChars="100" w:hanging="208" w:hangingChars="87"/>
              <w:jc w:val="both"/>
              <w:rPr>
                <w:rFonts w:hint="eastAsia" w:ascii="宋体" w:hAnsi="宋体"/>
                <w:color w:val="auto"/>
                <w:highlight w:val="none"/>
              </w:rPr>
            </w:pPr>
            <w:r>
              <w:rPr>
                <w:rFonts w:hint="eastAsia" w:ascii="宋体" w:hAnsi="宋体"/>
                <w:color w:val="auto"/>
                <w:highlight w:val="none"/>
              </w:rPr>
              <w:t>向</w:t>
            </w:r>
            <w:r>
              <w:rPr>
                <w:rFonts w:hint="eastAsia" w:ascii="宋体" w:hAnsi="宋体"/>
                <w:color w:val="auto"/>
                <w:highlight w:val="none"/>
                <w:lang w:eastAsia="zh-CN"/>
              </w:rPr>
              <w:t>区采购中心</w:t>
            </w:r>
            <w:r>
              <w:rPr>
                <w:rFonts w:hint="eastAsia" w:ascii="宋体" w:hAnsi="宋体"/>
                <w:color w:val="auto"/>
                <w:highlight w:val="none"/>
              </w:rPr>
              <w:t>提出，并由</w:t>
            </w:r>
            <w:r>
              <w:rPr>
                <w:rFonts w:hint="eastAsia" w:ascii="宋体" w:hAnsi="宋体"/>
                <w:color w:val="auto"/>
                <w:highlight w:val="none"/>
                <w:lang w:eastAsia="zh-CN"/>
              </w:rPr>
              <w:t>区采购中心</w:t>
            </w:r>
            <w:r>
              <w:rPr>
                <w:rFonts w:hint="eastAsia" w:ascii="宋体" w:hAnsi="宋体"/>
                <w:color w:val="auto"/>
                <w:highlight w:val="none"/>
              </w:rPr>
              <w:t>按相关规定作出答复（详见供应商须知2.</w:t>
            </w:r>
            <w:r>
              <w:rPr>
                <w:rFonts w:hint="eastAsia" w:ascii="宋体" w:hAnsi="宋体"/>
                <w:color w:val="auto"/>
                <w:highlight w:val="none"/>
                <w:lang w:val="en-US" w:eastAsia="zh-CN"/>
              </w:rPr>
              <w:t>9</w:t>
            </w:r>
            <w:r>
              <w:rPr>
                <w:rFonts w:hint="eastAsia" w:ascii="宋体" w:hAnsi="宋体"/>
                <w:color w:val="auto"/>
                <w:highlight w:val="none"/>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0"/>
              </w:numPr>
              <w:snapToGrid w:val="0"/>
              <w:spacing w:line="360" w:lineRule="auto"/>
              <w:ind w:leftChars="0"/>
              <w:jc w:val="center"/>
              <w:rPr>
                <w:rFonts w:hint="eastAsia" w:ascii="宋体" w:hAnsi="宋体" w:eastAsia="宋体"/>
                <w:color w:val="auto"/>
                <w:highlight w:val="none"/>
                <w:lang w:val="en-US" w:eastAsia="zh-CN"/>
              </w:rPr>
            </w:pPr>
            <w:r>
              <w:rPr>
                <w:rFonts w:hint="eastAsia" w:ascii="宋体" w:hAnsi="宋体"/>
                <w:color w:val="auto"/>
                <w:highlight w:val="none"/>
                <w:lang w:val="en-US" w:eastAsia="zh-CN"/>
              </w:rPr>
              <w:t>18.</w:t>
            </w:r>
          </w:p>
        </w:tc>
        <w:tc>
          <w:tcPr>
            <w:tcW w:w="2113"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40" w:rightChars="100"/>
              <w:jc w:val="both"/>
              <w:rPr>
                <w:rFonts w:ascii="宋体" w:hAnsi="宋体"/>
                <w:color w:val="auto"/>
                <w:highlight w:val="none"/>
              </w:rPr>
            </w:pPr>
            <w:r>
              <w:rPr>
                <w:rFonts w:hint="eastAsia" w:ascii="宋体" w:hAnsi="宋体"/>
                <w:color w:val="auto"/>
                <w:highlight w:val="none"/>
              </w:rPr>
              <w:t>供应商投诉</w:t>
            </w:r>
          </w:p>
        </w:tc>
        <w:tc>
          <w:tcPr>
            <w:tcW w:w="6509" w:type="dxa"/>
            <w:tcBorders>
              <w:top w:val="single" w:color="auto" w:sz="8" w:space="0"/>
              <w:left w:val="single" w:color="auto" w:sz="8" w:space="0"/>
              <w:bottom w:val="single" w:color="auto" w:sz="8" w:space="0"/>
              <w:right w:val="single" w:color="auto" w:sz="18" w:space="0"/>
            </w:tcBorders>
            <w:vAlign w:val="center"/>
          </w:tcPr>
          <w:p>
            <w:pPr>
              <w:widowControl w:val="0"/>
              <w:tabs>
                <w:tab w:val="left" w:pos="7665"/>
              </w:tabs>
              <w:snapToGrid w:val="0"/>
              <w:spacing w:line="360" w:lineRule="auto"/>
              <w:ind w:left="209" w:right="240" w:rightChars="100" w:hanging="208" w:hangingChars="87"/>
              <w:jc w:val="both"/>
              <w:rPr>
                <w:rFonts w:hint="eastAsia" w:ascii="宋体" w:hAnsi="宋体"/>
                <w:color w:val="auto"/>
                <w:highlight w:val="none"/>
              </w:rPr>
            </w:pPr>
            <w:r>
              <w:rPr>
                <w:rFonts w:hint="eastAsia" w:ascii="宋体" w:hAnsi="宋体"/>
                <w:color w:val="auto"/>
                <w:highlight w:val="none"/>
              </w:rPr>
              <w:t>投诉受理单位：本项目同级财政部门，成都市</w:t>
            </w:r>
            <w:r>
              <w:rPr>
                <w:rFonts w:hint="eastAsia" w:ascii="宋体" w:hAnsi="宋体"/>
                <w:color w:val="auto"/>
                <w:highlight w:val="none"/>
                <w:lang w:val="en-US" w:eastAsia="zh-CN"/>
              </w:rPr>
              <w:t>锦江区</w:t>
            </w:r>
            <w:r>
              <w:rPr>
                <w:rFonts w:hint="eastAsia" w:ascii="宋体" w:hAnsi="宋体"/>
                <w:color w:val="auto"/>
                <w:highlight w:val="none"/>
              </w:rPr>
              <w:t>财政局。</w:t>
            </w:r>
          </w:p>
          <w:p>
            <w:pPr>
              <w:widowControl w:val="0"/>
              <w:tabs>
                <w:tab w:val="left" w:pos="7665"/>
              </w:tabs>
              <w:snapToGrid w:val="0"/>
              <w:spacing w:line="360" w:lineRule="auto"/>
              <w:ind w:left="209" w:right="240" w:rightChars="100" w:hanging="208" w:hangingChars="87"/>
              <w:jc w:val="both"/>
              <w:rPr>
                <w:rFonts w:hint="eastAsia" w:ascii="宋体" w:hAnsi="宋体"/>
                <w:color w:val="auto"/>
                <w:highlight w:val="none"/>
              </w:rPr>
            </w:pPr>
            <w:r>
              <w:rPr>
                <w:rFonts w:hint="eastAsia" w:ascii="宋体" w:hAnsi="宋体"/>
                <w:color w:val="auto"/>
                <w:highlight w:val="none"/>
              </w:rPr>
              <w:t>地 址：成都市锦江区大慈寺路38号</w:t>
            </w:r>
          </w:p>
          <w:p>
            <w:pPr>
              <w:widowControl w:val="0"/>
              <w:tabs>
                <w:tab w:val="left" w:pos="7665"/>
              </w:tabs>
              <w:snapToGrid w:val="0"/>
              <w:spacing w:line="360" w:lineRule="auto"/>
              <w:ind w:left="209" w:right="240" w:rightChars="100" w:hanging="208" w:hangingChars="87"/>
              <w:jc w:val="both"/>
              <w:rPr>
                <w:rFonts w:hint="eastAsia" w:ascii="宋体" w:hAnsi="宋体"/>
                <w:color w:val="auto"/>
                <w:highlight w:val="none"/>
              </w:rPr>
            </w:pPr>
            <w:r>
              <w:rPr>
                <w:rFonts w:hint="eastAsia" w:ascii="宋体" w:hAnsi="宋体"/>
                <w:color w:val="auto"/>
                <w:highlight w:val="none"/>
              </w:rPr>
              <w:t>联系人：</w:t>
            </w:r>
            <w:r>
              <w:rPr>
                <w:rFonts w:hint="eastAsia" w:ascii="宋体" w:hAnsi="宋体"/>
                <w:color w:val="auto"/>
                <w:highlight w:val="none"/>
                <w:lang w:val="en-US" w:eastAsia="zh-CN"/>
              </w:rPr>
              <w:t>王老师</w:t>
            </w:r>
          </w:p>
          <w:p>
            <w:pPr>
              <w:widowControl w:val="0"/>
              <w:tabs>
                <w:tab w:val="left" w:pos="7665"/>
              </w:tabs>
              <w:snapToGrid w:val="0"/>
              <w:spacing w:line="360" w:lineRule="auto"/>
              <w:ind w:left="209" w:right="240" w:rightChars="100" w:hanging="208" w:hangingChars="87"/>
              <w:jc w:val="both"/>
              <w:rPr>
                <w:rFonts w:ascii="宋体" w:hAnsi="宋体"/>
                <w:color w:val="auto"/>
                <w:highlight w:val="none"/>
              </w:rPr>
            </w:pPr>
            <w:r>
              <w:rPr>
                <w:rFonts w:hint="eastAsia" w:ascii="宋体" w:hAnsi="宋体"/>
                <w:color w:val="auto"/>
                <w:highlight w:val="none"/>
              </w:rPr>
              <w:t>联系电话：028-86513373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98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0"/>
              </w:numPr>
              <w:snapToGrid w:val="0"/>
              <w:spacing w:line="360" w:lineRule="auto"/>
              <w:ind w:leftChars="0"/>
              <w:jc w:val="center"/>
              <w:rPr>
                <w:rFonts w:hint="eastAsia" w:ascii="宋体" w:hAnsi="宋体" w:eastAsia="宋体"/>
                <w:color w:val="auto"/>
                <w:highlight w:val="none"/>
                <w:lang w:val="en-US" w:eastAsia="zh-CN"/>
              </w:rPr>
            </w:pPr>
            <w:r>
              <w:rPr>
                <w:rFonts w:hint="eastAsia" w:ascii="宋体" w:hAnsi="宋体"/>
                <w:color w:val="auto"/>
                <w:highlight w:val="none"/>
                <w:lang w:val="en-US" w:eastAsia="zh-CN"/>
              </w:rPr>
              <w:t>19.</w:t>
            </w:r>
          </w:p>
        </w:tc>
        <w:tc>
          <w:tcPr>
            <w:tcW w:w="2113"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rPr>
                <w:rFonts w:ascii="宋体" w:hAnsi="宋体"/>
                <w:color w:val="auto"/>
                <w:highlight w:val="none"/>
              </w:rPr>
            </w:pPr>
            <w:r>
              <w:rPr>
                <w:rFonts w:hint="eastAsia" w:ascii="宋体" w:hAnsi="宋体"/>
                <w:color w:val="auto"/>
                <w:highlight w:val="none"/>
              </w:rPr>
              <w:t>施工响应文件有效期</w:t>
            </w:r>
          </w:p>
        </w:tc>
        <w:tc>
          <w:tcPr>
            <w:tcW w:w="6509" w:type="dxa"/>
            <w:tcBorders>
              <w:top w:val="single" w:color="auto" w:sz="8" w:space="0"/>
              <w:left w:val="single" w:color="auto" w:sz="8" w:space="0"/>
              <w:bottom w:val="single" w:color="auto" w:sz="8" w:space="0"/>
              <w:right w:val="single" w:color="auto" w:sz="18" w:space="0"/>
            </w:tcBorders>
            <w:vAlign w:val="center"/>
          </w:tcPr>
          <w:p>
            <w:pPr>
              <w:widowControl w:val="0"/>
              <w:tabs>
                <w:tab w:val="left" w:pos="7665"/>
              </w:tabs>
              <w:snapToGrid w:val="0"/>
              <w:spacing w:line="360" w:lineRule="auto"/>
              <w:jc w:val="both"/>
              <w:rPr>
                <w:rFonts w:ascii="宋体" w:hAnsi="宋体"/>
                <w:color w:val="auto"/>
                <w:highlight w:val="none"/>
              </w:rPr>
            </w:pPr>
            <w:r>
              <w:rPr>
                <w:rFonts w:hint="eastAsia" w:ascii="Helvetica" w:hAnsi="Helvetica" w:cs="Helvetica"/>
                <w:color w:val="auto"/>
                <w:highlight w:val="none"/>
              </w:rPr>
              <w:t>递交施工响应文件的截止之日起</w:t>
            </w:r>
            <w:r>
              <w:rPr>
                <w:rFonts w:ascii="宋体" w:hAnsi="宋体"/>
                <w:color w:val="auto"/>
                <w:kern w:val="2"/>
                <w:highlight w:val="none"/>
                <w:u w:val="single"/>
              </w:rPr>
              <w:t xml:space="preserve"> 120</w:t>
            </w:r>
            <w:r>
              <w:rPr>
                <w:rFonts w:hint="eastAsia" w:ascii="宋体" w:hAnsi="宋体"/>
                <w:color w:val="auto"/>
                <w:kern w:val="2"/>
                <w:highlight w:val="none"/>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0"/>
              </w:numPr>
              <w:snapToGrid w:val="0"/>
              <w:spacing w:line="360" w:lineRule="auto"/>
              <w:ind w:leftChars="0"/>
              <w:jc w:val="center"/>
              <w:rPr>
                <w:rFonts w:hint="eastAsia" w:ascii="宋体" w:hAnsi="宋体" w:eastAsia="宋体"/>
                <w:color w:val="auto"/>
                <w:highlight w:val="none"/>
                <w:lang w:val="en-US" w:eastAsia="zh-CN"/>
              </w:rPr>
            </w:pPr>
            <w:r>
              <w:rPr>
                <w:rFonts w:hint="eastAsia" w:ascii="宋体" w:hAnsi="宋体"/>
                <w:color w:val="auto"/>
                <w:highlight w:val="none"/>
                <w:lang w:val="en-US" w:eastAsia="zh-CN"/>
              </w:rPr>
              <w:t>20.</w:t>
            </w:r>
          </w:p>
        </w:tc>
        <w:tc>
          <w:tcPr>
            <w:tcW w:w="2113" w:type="dxa"/>
            <w:tcBorders>
              <w:top w:val="single" w:color="auto" w:sz="8" w:space="0"/>
              <w:left w:val="single" w:color="auto" w:sz="8" w:space="0"/>
              <w:bottom w:val="single" w:color="auto" w:sz="8" w:space="0"/>
              <w:right w:val="single" w:color="auto" w:sz="8" w:space="0"/>
            </w:tcBorders>
            <w:vAlign w:val="center"/>
          </w:tcPr>
          <w:p>
            <w:pPr>
              <w:widowControl w:val="0"/>
              <w:tabs>
                <w:tab w:val="left" w:pos="7665"/>
              </w:tabs>
              <w:snapToGrid w:val="0"/>
              <w:spacing w:line="360" w:lineRule="auto"/>
              <w:jc w:val="both"/>
              <w:rPr>
                <w:rFonts w:ascii="宋体" w:hAnsi="宋体"/>
                <w:color w:val="auto"/>
                <w:highlight w:val="none"/>
              </w:rPr>
            </w:pPr>
            <w:r>
              <w:rPr>
                <w:rFonts w:hint="eastAsia" w:ascii="宋体" w:hAnsi="宋体" w:cs="宋体"/>
                <w:color w:val="auto"/>
                <w:highlight w:val="none"/>
                <w:lang w:val="zh-CN"/>
              </w:rPr>
              <w:t>评审情况公告</w:t>
            </w:r>
          </w:p>
        </w:tc>
        <w:tc>
          <w:tcPr>
            <w:tcW w:w="6509"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color w:val="auto"/>
                <w:highlight w:val="none"/>
              </w:rPr>
            </w:pPr>
            <w:r>
              <w:rPr>
                <w:rFonts w:hint="eastAsia" w:ascii="宋体" w:hAnsi="宋体" w:cs="宋体"/>
                <w:color w:val="auto"/>
                <w:highlight w:val="none"/>
                <w:lang w:val="zh-CN"/>
              </w:rPr>
              <w:t>所有</w:t>
            </w:r>
            <w:r>
              <w:rPr>
                <w:rFonts w:hint="eastAsia" w:ascii="宋体" w:hAnsi="宋体"/>
                <w:color w:val="auto"/>
                <w:highlight w:val="none"/>
              </w:rPr>
              <w:t>供应商</w:t>
            </w:r>
            <w:r>
              <w:rPr>
                <w:rFonts w:hint="eastAsia" w:ascii="宋体" w:hAnsi="宋体" w:cs="宋体"/>
                <w:color w:val="auto"/>
                <w:highlight w:val="none"/>
                <w:lang w:val="zh-CN"/>
              </w:rPr>
              <w:t>资格性检查情况、施工响应文件符合性检查情况、采用综合评分法时的总得分和分项汇总得分情况、评审结果等将在“成都市公共资源交易服务中心网”、“四川政府采购网” 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0"/>
              </w:numPr>
              <w:snapToGrid w:val="0"/>
              <w:spacing w:line="360" w:lineRule="auto"/>
              <w:ind w:leftChars="0"/>
              <w:jc w:val="center"/>
              <w:rPr>
                <w:rFonts w:hint="eastAsia" w:ascii="宋体" w:hAnsi="宋体" w:eastAsia="宋体"/>
                <w:color w:val="auto"/>
                <w:highlight w:val="none"/>
                <w:lang w:val="en-US" w:eastAsia="zh-CN"/>
              </w:rPr>
            </w:pPr>
            <w:r>
              <w:rPr>
                <w:rFonts w:hint="eastAsia" w:ascii="宋体" w:hAnsi="宋体"/>
                <w:color w:val="auto"/>
                <w:highlight w:val="none"/>
                <w:lang w:val="en-US" w:eastAsia="zh-CN"/>
              </w:rPr>
              <w:t>21.</w:t>
            </w:r>
          </w:p>
        </w:tc>
        <w:tc>
          <w:tcPr>
            <w:tcW w:w="2113" w:type="dxa"/>
            <w:tcBorders>
              <w:top w:val="single" w:color="auto" w:sz="8" w:space="0"/>
              <w:left w:val="single" w:color="auto" w:sz="8" w:space="0"/>
              <w:bottom w:val="single" w:color="auto" w:sz="8" w:space="0"/>
              <w:right w:val="single" w:color="auto" w:sz="8" w:space="0"/>
            </w:tcBorders>
            <w:vAlign w:val="center"/>
          </w:tcPr>
          <w:p>
            <w:pPr>
              <w:widowControl w:val="0"/>
              <w:tabs>
                <w:tab w:val="left" w:pos="7665"/>
              </w:tabs>
              <w:snapToGrid w:val="0"/>
              <w:spacing w:line="360" w:lineRule="auto"/>
              <w:jc w:val="both"/>
              <w:rPr>
                <w:rFonts w:ascii="宋体" w:hAnsi="宋体"/>
                <w:color w:val="auto"/>
                <w:highlight w:val="none"/>
              </w:rPr>
            </w:pPr>
            <w:r>
              <w:rPr>
                <w:rFonts w:hint="eastAsia" w:ascii="宋体" w:hAnsi="宋体" w:cs="宋体"/>
                <w:color w:val="auto"/>
                <w:highlight w:val="none"/>
                <w:lang w:val="zh-CN"/>
              </w:rPr>
              <w:t>成交通知书领取</w:t>
            </w:r>
          </w:p>
        </w:tc>
        <w:tc>
          <w:tcPr>
            <w:tcW w:w="6509" w:type="dxa"/>
            <w:tcBorders>
              <w:top w:val="single" w:color="auto" w:sz="8" w:space="0"/>
              <w:left w:val="single" w:color="auto" w:sz="8" w:space="0"/>
              <w:bottom w:val="single" w:color="auto" w:sz="8" w:space="0"/>
              <w:right w:val="single" w:color="auto" w:sz="18" w:space="0"/>
            </w:tcBorders>
            <w:vAlign w:val="center"/>
          </w:tcPr>
          <w:p>
            <w:pPr>
              <w:widowControl w:val="0"/>
              <w:tabs>
                <w:tab w:val="left" w:pos="7665"/>
              </w:tabs>
              <w:snapToGrid w:val="0"/>
              <w:spacing w:line="360" w:lineRule="auto"/>
              <w:jc w:val="both"/>
              <w:rPr>
                <w:rFonts w:ascii="宋体" w:hAnsi="宋体"/>
                <w:color w:val="auto"/>
                <w:highlight w:val="none"/>
              </w:rPr>
            </w:pPr>
            <w:r>
              <w:rPr>
                <w:rFonts w:hint="eastAsia" w:ascii="宋体" w:hAnsi="宋体" w:cs="宋体"/>
                <w:color w:val="auto"/>
                <w:highlight w:val="none"/>
                <w:lang w:val="zh-CN"/>
              </w:rPr>
              <w:t>成交公告在四川政府采购网上公告后，成交供应商自行登录政府采购云平台下载成交通知书。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0"/>
              </w:numPr>
              <w:snapToGrid w:val="0"/>
              <w:spacing w:line="360" w:lineRule="auto"/>
              <w:ind w:leftChars="0"/>
              <w:jc w:val="center"/>
              <w:rPr>
                <w:rFonts w:hint="eastAsia" w:ascii="宋体" w:hAnsi="宋体" w:eastAsia="宋体"/>
                <w:color w:val="auto"/>
                <w:highlight w:val="none"/>
                <w:lang w:val="en-US" w:eastAsia="zh-CN"/>
              </w:rPr>
            </w:pPr>
            <w:r>
              <w:rPr>
                <w:rFonts w:hint="eastAsia" w:ascii="宋体" w:hAnsi="宋体"/>
                <w:color w:val="auto"/>
                <w:highlight w:val="none"/>
                <w:lang w:val="en-US" w:eastAsia="zh-CN"/>
              </w:rPr>
              <w:t>22..</w:t>
            </w:r>
          </w:p>
        </w:tc>
        <w:tc>
          <w:tcPr>
            <w:tcW w:w="2113" w:type="dxa"/>
            <w:tcBorders>
              <w:top w:val="single" w:color="auto" w:sz="8" w:space="0"/>
              <w:left w:val="single" w:color="auto" w:sz="8" w:space="0"/>
              <w:bottom w:val="single" w:color="auto" w:sz="4" w:space="0"/>
              <w:right w:val="single" w:color="auto" w:sz="8" w:space="0"/>
            </w:tcBorders>
            <w:vAlign w:val="center"/>
          </w:tcPr>
          <w:p>
            <w:pPr>
              <w:widowControl w:val="0"/>
              <w:snapToGrid w:val="0"/>
              <w:spacing w:line="360" w:lineRule="auto"/>
              <w:jc w:val="both"/>
              <w:rPr>
                <w:rFonts w:ascii="宋体" w:hAnsi="宋体"/>
                <w:color w:val="auto"/>
                <w:highlight w:val="none"/>
              </w:rPr>
            </w:pPr>
            <w:r>
              <w:rPr>
                <w:rFonts w:hint="eastAsia" w:ascii="宋体" w:hAnsi="宋体"/>
                <w:color w:val="auto"/>
                <w:highlight w:val="none"/>
              </w:rPr>
              <w:t>合同签订地点</w:t>
            </w:r>
          </w:p>
        </w:tc>
        <w:tc>
          <w:tcPr>
            <w:tcW w:w="6509" w:type="dxa"/>
            <w:tcBorders>
              <w:top w:val="single" w:color="auto" w:sz="8" w:space="0"/>
              <w:left w:val="single" w:color="auto" w:sz="8" w:space="0"/>
              <w:bottom w:val="single" w:color="auto" w:sz="4" w:space="0"/>
              <w:right w:val="single" w:color="auto" w:sz="18" w:space="0"/>
            </w:tcBorders>
            <w:vAlign w:val="center"/>
          </w:tcPr>
          <w:p>
            <w:pPr>
              <w:widowControl w:val="0"/>
              <w:tabs>
                <w:tab w:val="left" w:pos="7665"/>
              </w:tabs>
              <w:snapToGrid w:val="0"/>
              <w:spacing w:line="360" w:lineRule="auto"/>
              <w:jc w:val="both"/>
              <w:rPr>
                <w:rFonts w:ascii="宋体" w:hAnsi="宋体"/>
                <w:color w:val="auto"/>
                <w:highlight w:val="none"/>
              </w:rPr>
            </w:pPr>
            <w:r>
              <w:rPr>
                <w:rFonts w:hint="eastAsia" w:ascii="宋体" w:hAnsi="宋体"/>
                <w:color w:val="auto"/>
                <w:highlight w:val="none"/>
              </w:rPr>
              <w:t>四川省成都市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0"/>
              </w:numPr>
              <w:snapToGrid w:val="0"/>
              <w:spacing w:line="360" w:lineRule="auto"/>
              <w:ind w:leftChars="0"/>
              <w:jc w:val="center"/>
              <w:rPr>
                <w:rFonts w:hint="eastAsia" w:ascii="宋体" w:hAnsi="宋体" w:eastAsia="宋体"/>
                <w:color w:val="auto"/>
                <w:highlight w:val="none"/>
                <w:lang w:val="en-US" w:eastAsia="zh-CN"/>
              </w:rPr>
            </w:pPr>
            <w:r>
              <w:rPr>
                <w:rFonts w:hint="eastAsia" w:ascii="宋体" w:hAnsi="宋体"/>
                <w:color w:val="auto"/>
                <w:highlight w:val="none"/>
                <w:lang w:val="en-US" w:eastAsia="zh-CN"/>
              </w:rPr>
              <w:t>23.</w:t>
            </w:r>
          </w:p>
        </w:tc>
        <w:tc>
          <w:tcPr>
            <w:tcW w:w="2113" w:type="dxa"/>
            <w:tcBorders>
              <w:top w:val="single" w:color="auto" w:sz="4" w:space="0"/>
              <w:left w:val="single" w:color="auto" w:sz="8" w:space="0"/>
              <w:bottom w:val="single" w:color="auto" w:sz="4" w:space="0"/>
              <w:right w:val="single" w:color="auto" w:sz="8" w:space="0"/>
            </w:tcBorders>
            <w:vAlign w:val="center"/>
          </w:tcPr>
          <w:p>
            <w:pPr>
              <w:widowControl w:val="0"/>
              <w:snapToGrid w:val="0"/>
              <w:spacing w:line="360" w:lineRule="auto"/>
              <w:ind w:right="240" w:rightChars="100"/>
              <w:jc w:val="both"/>
              <w:rPr>
                <w:rFonts w:ascii="宋体" w:hAnsi="宋体"/>
                <w:color w:val="auto"/>
                <w:highlight w:val="none"/>
              </w:rPr>
            </w:pPr>
            <w:r>
              <w:rPr>
                <w:rFonts w:hint="eastAsia" w:ascii="宋体" w:hAnsi="宋体"/>
                <w:color w:val="auto"/>
                <w:highlight w:val="none"/>
              </w:rPr>
              <w:t>政府采购合同公告、备案</w:t>
            </w:r>
          </w:p>
        </w:tc>
        <w:tc>
          <w:tcPr>
            <w:tcW w:w="6509"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5" w:leftChars="-2" w:right="210" w:firstLine="14" w:firstLineChars="6"/>
              <w:rPr>
                <w:rFonts w:ascii="宋体" w:hAnsi="宋体"/>
                <w:color w:val="auto"/>
                <w:highlight w:val="none"/>
              </w:rPr>
            </w:pPr>
            <w:r>
              <w:rPr>
                <w:rFonts w:hint="eastAsia" w:ascii="宋体"/>
                <w:color w:val="auto"/>
                <w:highlight w:val="none"/>
              </w:rPr>
              <w:t>政府采购合同签订之日起2个工作日内，采购人将在四川政府采购网公告政府采购合同；采购人</w:t>
            </w:r>
            <w:r>
              <w:rPr>
                <w:rFonts w:hint="eastAsia" w:ascii="宋体"/>
                <w:color w:val="auto"/>
                <w:highlight w:val="none"/>
                <w:lang w:val="en-US" w:eastAsia="zh-CN"/>
              </w:rPr>
              <w:t>应</w:t>
            </w:r>
            <w:r>
              <w:rPr>
                <w:rFonts w:hint="eastAsia" w:ascii="宋体"/>
                <w:color w:val="auto"/>
                <w:highlight w:val="none"/>
              </w:rPr>
              <w:t>在</w:t>
            </w:r>
            <w:r>
              <w:rPr>
                <w:rFonts w:hint="eastAsia" w:ascii="宋体"/>
                <w:color w:val="auto"/>
                <w:highlight w:val="none"/>
                <w:lang w:val="en-US" w:eastAsia="zh-CN"/>
              </w:rPr>
              <w:t>30天</w:t>
            </w:r>
            <w:r>
              <w:rPr>
                <w:rFonts w:hint="eastAsia" w:ascii="宋体"/>
                <w:color w:val="auto"/>
                <w:highlight w:val="none"/>
              </w:rPr>
              <w:t>内与供应商签订政府采购合同及向本采购项目同级财政部门，即成都市</w:t>
            </w:r>
            <w:r>
              <w:rPr>
                <w:rFonts w:hint="eastAsia" w:ascii="宋体"/>
                <w:color w:val="auto"/>
                <w:highlight w:val="none"/>
                <w:lang w:eastAsia="zh-CN"/>
              </w:rPr>
              <w:t>锦江区</w:t>
            </w:r>
            <w:r>
              <w:rPr>
                <w:rFonts w:hint="eastAsia" w:ascii="宋体"/>
                <w:color w:val="auto"/>
                <w:highlight w:val="none"/>
              </w:rPr>
              <w:t>财政局备案政府采购合同。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0"/>
              </w:numPr>
              <w:snapToGrid w:val="0"/>
              <w:spacing w:line="360" w:lineRule="auto"/>
              <w:ind w:leftChars="0"/>
              <w:jc w:val="center"/>
              <w:rPr>
                <w:rFonts w:hint="eastAsia" w:ascii="宋体" w:hAnsi="宋体" w:eastAsia="宋体"/>
                <w:color w:val="auto"/>
                <w:highlight w:val="none"/>
                <w:lang w:val="en-US" w:eastAsia="zh-CN"/>
              </w:rPr>
            </w:pPr>
            <w:r>
              <w:rPr>
                <w:rFonts w:hint="eastAsia" w:ascii="宋体" w:hAnsi="宋体"/>
                <w:color w:val="auto"/>
                <w:highlight w:val="none"/>
                <w:lang w:val="en-US" w:eastAsia="zh-CN"/>
              </w:rPr>
              <w:t>24.</w:t>
            </w:r>
          </w:p>
        </w:tc>
        <w:tc>
          <w:tcPr>
            <w:tcW w:w="2113" w:type="dxa"/>
            <w:tcBorders>
              <w:top w:val="single" w:color="auto" w:sz="4" w:space="0"/>
              <w:left w:val="single" w:color="auto" w:sz="8" w:space="0"/>
              <w:bottom w:val="single" w:color="auto" w:sz="4" w:space="0"/>
              <w:right w:val="single" w:color="auto" w:sz="8" w:space="0"/>
            </w:tcBorders>
            <w:vAlign w:val="center"/>
          </w:tcPr>
          <w:p>
            <w:pPr>
              <w:widowControl w:val="0"/>
              <w:snapToGrid w:val="0"/>
              <w:spacing w:line="360" w:lineRule="auto"/>
              <w:jc w:val="both"/>
              <w:rPr>
                <w:rFonts w:ascii="宋体" w:hAnsi="宋体"/>
                <w:b/>
                <w:color w:val="auto"/>
                <w:highlight w:val="none"/>
              </w:rPr>
            </w:pPr>
            <w:r>
              <w:rPr>
                <w:rFonts w:hint="eastAsia" w:ascii="宋体" w:hAnsi="宋体"/>
                <w:color w:val="auto"/>
                <w:sz w:val="24"/>
                <w:highlight w:val="none"/>
              </w:rPr>
              <w:t>中小企业政府采购信用融资（“蓉采贷”）</w:t>
            </w:r>
          </w:p>
        </w:tc>
        <w:tc>
          <w:tcPr>
            <w:tcW w:w="6509" w:type="dxa"/>
            <w:tcBorders>
              <w:top w:val="single" w:color="auto" w:sz="4" w:space="0"/>
              <w:left w:val="single" w:color="auto" w:sz="8" w:space="0"/>
              <w:bottom w:val="single" w:color="auto" w:sz="4" w:space="0"/>
              <w:right w:val="single" w:color="auto" w:sz="18" w:space="0"/>
            </w:tcBorders>
            <w:vAlign w:val="center"/>
          </w:tcPr>
          <w:p>
            <w:pPr>
              <w:widowControl w:val="0"/>
              <w:tabs>
                <w:tab w:val="left" w:pos="7665"/>
              </w:tabs>
              <w:snapToGrid w:val="0"/>
              <w:spacing w:line="360" w:lineRule="auto"/>
              <w:jc w:val="both"/>
              <w:rPr>
                <w:rFonts w:ascii="宋体" w:hAnsi="宋体"/>
                <w:color w:val="auto"/>
                <w:highlight w:val="none"/>
              </w:rPr>
            </w:pPr>
            <w:r>
              <w:rPr>
                <w:rFonts w:hint="eastAsia" w:ascii="宋体" w:hAnsi="宋体"/>
                <w:color w:val="auto"/>
                <w:sz w:val="24"/>
                <w:highlight w:val="none"/>
              </w:rPr>
              <w:t>参加本次招标活动的中小企业供应商无需提供财产抵押或第三方担保，凭借政府采购合同可向融资机构申请融资。具体内容详见招标文件附件《四川省财政厅关于推进四川省政府采购供应商信用融资工作的通知》(川财采[2018]123号)和《成都市财政局 中国人民银行成都分行营业管理部关于印发〈成都市中小企业政府采购信用融资暂行办法〉和〈成都市级支持中小企业政府采购信用融资实施方案〉的通知》（成财采[2019]17号）和《成都市锦江区区财政局关于印发&lt;成都市锦江区支持中小企业政府采购信用融资实施方案&gt;的通知》（锦财发〔2019〕28号）和成都市锦江区政府采购信用融资机构名单（http://www.cdjinjiang.gov.cn/jjq/c133389/cgrz.shtml）见附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0"/>
              </w:numPr>
              <w:snapToGrid w:val="0"/>
              <w:spacing w:line="360" w:lineRule="auto"/>
              <w:ind w:leftChars="0"/>
              <w:jc w:val="center"/>
              <w:rPr>
                <w:rFonts w:hint="eastAsia" w:ascii="宋体" w:hAnsi="宋体" w:eastAsia="宋体"/>
                <w:color w:val="auto"/>
                <w:highlight w:val="none"/>
                <w:lang w:val="en-US" w:eastAsia="zh-CN"/>
              </w:rPr>
            </w:pPr>
            <w:r>
              <w:rPr>
                <w:rFonts w:hint="eastAsia" w:ascii="宋体" w:hAnsi="宋体"/>
                <w:color w:val="auto"/>
                <w:highlight w:val="none"/>
                <w:lang w:val="en-US" w:eastAsia="zh-CN"/>
              </w:rPr>
              <w:t>25.</w:t>
            </w:r>
          </w:p>
        </w:tc>
        <w:tc>
          <w:tcPr>
            <w:tcW w:w="2113" w:type="dxa"/>
            <w:tcBorders>
              <w:top w:val="single" w:color="auto" w:sz="4" w:space="0"/>
              <w:left w:val="single" w:color="auto" w:sz="8" w:space="0"/>
              <w:bottom w:val="single" w:color="auto" w:sz="4" w:space="0"/>
              <w:right w:val="single" w:color="auto" w:sz="8" w:space="0"/>
            </w:tcBorders>
            <w:vAlign w:val="center"/>
          </w:tcPr>
          <w:p>
            <w:pPr>
              <w:widowControl w:val="0"/>
              <w:snapToGrid w:val="0"/>
              <w:spacing w:line="360" w:lineRule="auto"/>
              <w:jc w:val="both"/>
              <w:rPr>
                <w:rFonts w:ascii="宋体" w:hAnsi="宋体"/>
                <w:color w:val="auto"/>
                <w:highlight w:val="none"/>
              </w:rPr>
            </w:pPr>
            <w:r>
              <w:rPr>
                <w:rFonts w:hint="eastAsia" w:ascii="宋体" w:hAnsi="宋体"/>
                <w:color w:val="auto"/>
                <w:highlight w:val="none"/>
              </w:rPr>
              <w:t>进口产品（如采购内容中涉及货物采购的）</w:t>
            </w:r>
          </w:p>
        </w:tc>
        <w:tc>
          <w:tcPr>
            <w:tcW w:w="6509"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color w:val="auto"/>
                <w:highlight w:val="none"/>
              </w:rPr>
            </w:pPr>
            <w:r>
              <w:rPr>
                <w:rFonts w:hint="eastAsia" w:ascii="宋体" w:hAnsi="宋体"/>
                <w:color w:val="auto"/>
                <w:highlight w:val="none"/>
                <w:lang w:eastAsia="zh-CN"/>
              </w:rPr>
              <w:t>磋商</w:t>
            </w:r>
            <w:r>
              <w:rPr>
                <w:rFonts w:hint="eastAsia" w:ascii="宋体" w:hAnsi="宋体"/>
                <w:color w:val="auto"/>
                <w:highlight w:val="none"/>
              </w:rPr>
              <w:t>文件中未载明“允许采购进口产品”的产品，拒绝进口产品的报价。</w:t>
            </w:r>
            <w:r>
              <w:rPr>
                <w:rFonts w:hint="eastAsia" w:ascii="宋体" w:hAnsi="宋体"/>
                <w:color w:val="auto"/>
                <w:highlight w:val="none"/>
                <w:lang w:eastAsia="zh-CN"/>
              </w:rPr>
              <w:t>磋商</w:t>
            </w:r>
            <w:r>
              <w:rPr>
                <w:rFonts w:hint="eastAsia" w:ascii="宋体" w:hAnsi="宋体"/>
                <w:color w:val="auto"/>
                <w:highlight w:val="none"/>
              </w:rPr>
              <w:t>文件中载明“允许采购进口产品”的产品，允许国产产品参与竞争。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0"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0"/>
              </w:numPr>
              <w:snapToGrid w:val="0"/>
              <w:spacing w:line="360" w:lineRule="auto"/>
              <w:ind w:leftChars="0"/>
              <w:jc w:val="center"/>
              <w:rPr>
                <w:rFonts w:hint="eastAsia" w:ascii="宋体" w:hAnsi="宋体"/>
                <w:color w:val="auto"/>
                <w:highlight w:val="none"/>
                <w:lang w:val="en-US" w:eastAsia="zh-CN"/>
              </w:rPr>
            </w:pPr>
            <w:r>
              <w:rPr>
                <w:rFonts w:hint="eastAsia" w:ascii="宋体" w:hAnsi="宋体"/>
                <w:color w:val="auto"/>
                <w:highlight w:val="none"/>
                <w:lang w:val="en-US" w:eastAsia="zh-CN"/>
              </w:rPr>
              <w:t>26.</w:t>
            </w:r>
          </w:p>
        </w:tc>
        <w:tc>
          <w:tcPr>
            <w:tcW w:w="8622"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hint="eastAsia" w:ascii="宋体" w:hAnsi="宋体"/>
                <w:color w:val="auto"/>
                <w:highlight w:val="none"/>
                <w:lang w:eastAsia="zh-CN"/>
              </w:rPr>
            </w:pPr>
            <w:r>
              <w:rPr>
                <w:rFonts w:hint="eastAsia" w:ascii="宋体" w:hAnsi="宋体"/>
                <w:color w:val="auto"/>
                <w:highlight w:val="none"/>
              </w:rPr>
              <w:t>采购人可以要求参加政府采购的供应商提供有关资质证明文件和业绩情况，并根据《中华人民共和国政府采购法》规定的供应商条件和采购项目对供应商的特定要求，对供应商的资格进行审查。</w:t>
            </w:r>
          </w:p>
        </w:tc>
      </w:tr>
    </w:tbl>
    <w:p>
      <w:pPr>
        <w:pStyle w:val="4"/>
        <w:snapToGrid w:val="0"/>
        <w:spacing w:line="640" w:lineRule="exact"/>
        <w:rPr>
          <w:color w:val="auto"/>
          <w:highlight w:val="none"/>
        </w:rPr>
      </w:pPr>
      <w:bookmarkStart w:id="22" w:name="_Toc12153"/>
      <w:r>
        <w:rPr>
          <w:rFonts w:hint="eastAsia"/>
          <w:color w:val="auto"/>
          <w:highlight w:val="none"/>
        </w:rPr>
        <w:t>总则</w:t>
      </w:r>
      <w:bookmarkEnd w:id="22"/>
    </w:p>
    <w:p>
      <w:pPr>
        <w:pStyle w:val="5"/>
        <w:snapToGrid w:val="0"/>
        <w:spacing w:line="640" w:lineRule="exact"/>
        <w:rPr>
          <w:color w:val="auto"/>
          <w:highlight w:val="none"/>
        </w:rPr>
      </w:pPr>
      <w:r>
        <w:rPr>
          <w:rFonts w:hint="eastAsia"/>
          <w:color w:val="auto"/>
          <w:highlight w:val="none"/>
        </w:rPr>
        <w:t>适用范围</w:t>
      </w:r>
      <w:bookmarkEnd w:id="19"/>
      <w:bookmarkEnd w:id="20"/>
    </w:p>
    <w:p>
      <w:pPr>
        <w:widowControl w:val="0"/>
        <w:numPr>
          <w:ilvl w:val="0"/>
          <w:numId w:val="0"/>
        </w:numPr>
        <w:tabs>
          <w:tab w:val="left" w:pos="1134"/>
        </w:tabs>
        <w:snapToGrid w:val="0"/>
        <w:spacing w:line="640" w:lineRule="exact"/>
        <w:ind w:firstLine="560" w:firstLineChars="200"/>
        <w:jc w:val="both"/>
        <w:rPr>
          <w:rFonts w:ascii="宋体" w:hAnsi="宋体"/>
          <w:color w:val="auto"/>
          <w:sz w:val="28"/>
          <w:szCs w:val="28"/>
          <w:highlight w:val="none"/>
        </w:rPr>
      </w:pPr>
      <w:r>
        <w:rPr>
          <w:rFonts w:hint="eastAsia" w:ascii="宋体" w:hAnsi="宋体"/>
          <w:color w:val="auto"/>
          <w:sz w:val="28"/>
          <w:szCs w:val="28"/>
          <w:highlight w:val="none"/>
          <w:lang w:eastAsia="zh-CN"/>
        </w:rPr>
        <w:t>一、</w:t>
      </w:r>
      <w:r>
        <w:rPr>
          <w:rFonts w:hint="eastAsia" w:ascii="宋体" w:hAnsi="宋体"/>
          <w:color w:val="auto"/>
          <w:sz w:val="28"/>
          <w:szCs w:val="28"/>
          <w:highlight w:val="none"/>
        </w:rPr>
        <w:t>本</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文件仅适用于本竞争性</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邀请中所叙述项目的采购。</w:t>
      </w:r>
    </w:p>
    <w:p>
      <w:pPr>
        <w:widowControl w:val="0"/>
        <w:numPr>
          <w:ilvl w:val="0"/>
          <w:numId w:val="0"/>
        </w:numPr>
        <w:tabs>
          <w:tab w:val="left" w:pos="1134"/>
        </w:tabs>
        <w:snapToGrid w:val="0"/>
        <w:spacing w:line="640" w:lineRule="exact"/>
        <w:ind w:firstLine="560" w:firstLineChars="200"/>
        <w:jc w:val="both"/>
        <w:rPr>
          <w:rFonts w:ascii="宋体" w:hAnsi="宋体"/>
          <w:color w:val="auto"/>
          <w:sz w:val="28"/>
          <w:szCs w:val="28"/>
          <w:highlight w:val="none"/>
        </w:rPr>
      </w:pPr>
      <w:r>
        <w:rPr>
          <w:rFonts w:hint="eastAsia" w:ascii="宋体" w:hAnsi="宋体"/>
          <w:color w:val="auto"/>
          <w:sz w:val="28"/>
          <w:szCs w:val="28"/>
          <w:highlight w:val="none"/>
          <w:lang w:eastAsia="zh-CN"/>
        </w:rPr>
        <w:t>二、</w:t>
      </w:r>
      <w:r>
        <w:rPr>
          <w:rFonts w:hint="eastAsia" w:ascii="宋体" w:hAnsi="宋体"/>
          <w:color w:val="auto"/>
          <w:sz w:val="28"/>
          <w:szCs w:val="28"/>
          <w:highlight w:val="none"/>
        </w:rPr>
        <w:t>本</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文件的最终解释权由采购人或</w:t>
      </w:r>
      <w:r>
        <w:rPr>
          <w:rFonts w:hint="eastAsia" w:ascii="宋体" w:hAnsi="宋体"/>
          <w:color w:val="auto"/>
          <w:sz w:val="28"/>
          <w:szCs w:val="28"/>
          <w:highlight w:val="none"/>
          <w:lang w:eastAsia="zh-CN"/>
        </w:rPr>
        <w:t>区采购中心</w:t>
      </w:r>
      <w:r>
        <w:rPr>
          <w:rFonts w:hint="eastAsia" w:ascii="宋体" w:hAnsi="宋体"/>
          <w:color w:val="auto"/>
          <w:sz w:val="28"/>
          <w:szCs w:val="28"/>
          <w:highlight w:val="none"/>
        </w:rPr>
        <w:t>享有。</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文件中供应商参加本次政府采购活动应当具备的条件、</w:t>
      </w:r>
      <w:r>
        <w:rPr>
          <w:rFonts w:hint="eastAsia" w:ascii="宋体" w:hAnsi="宋体"/>
          <w:color w:val="auto"/>
          <w:sz w:val="28"/>
          <w:szCs w:val="28"/>
          <w:highlight w:val="none"/>
          <w:lang w:eastAsia="zh-CN"/>
        </w:rPr>
        <w:t>技术、服务、商务及其他要求、评分标准</w:t>
      </w:r>
      <w:r>
        <w:rPr>
          <w:rFonts w:hint="eastAsia" w:ascii="宋体" w:hAnsi="宋体"/>
          <w:color w:val="auto"/>
          <w:sz w:val="28"/>
          <w:szCs w:val="28"/>
          <w:highlight w:val="none"/>
        </w:rPr>
        <w:t>由采购人负责解释。除上述</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文件内容，其他内容由</w:t>
      </w:r>
      <w:r>
        <w:rPr>
          <w:rFonts w:hint="eastAsia" w:ascii="宋体" w:hAnsi="宋体"/>
          <w:color w:val="auto"/>
          <w:sz w:val="28"/>
          <w:szCs w:val="28"/>
          <w:highlight w:val="none"/>
          <w:lang w:eastAsia="zh-CN"/>
        </w:rPr>
        <w:t>区采购中心</w:t>
      </w:r>
      <w:r>
        <w:rPr>
          <w:rFonts w:hint="eastAsia" w:ascii="宋体" w:hAnsi="宋体"/>
          <w:color w:val="auto"/>
          <w:sz w:val="28"/>
          <w:szCs w:val="28"/>
          <w:highlight w:val="none"/>
        </w:rPr>
        <w:t>负责解释。</w:t>
      </w:r>
    </w:p>
    <w:p>
      <w:pPr>
        <w:pStyle w:val="5"/>
        <w:snapToGrid w:val="0"/>
        <w:spacing w:line="640" w:lineRule="exact"/>
        <w:rPr>
          <w:color w:val="auto"/>
          <w:highlight w:val="none"/>
        </w:rPr>
      </w:pPr>
      <w:bookmarkStart w:id="23" w:name="_Toc287623639"/>
      <w:r>
        <w:rPr>
          <w:rFonts w:hint="eastAsia"/>
          <w:color w:val="auto"/>
          <w:highlight w:val="none"/>
        </w:rPr>
        <w:t>有关定义</w:t>
      </w:r>
      <w:bookmarkEnd w:id="23"/>
    </w:p>
    <w:p>
      <w:pPr>
        <w:widowControl/>
        <w:numPr>
          <w:ilvl w:val="0"/>
          <w:numId w:val="0"/>
        </w:numPr>
        <w:spacing w:after="0" w:line="600" w:lineRule="exact"/>
        <w:ind w:leftChars="201"/>
        <w:rPr>
          <w:rFonts w:ascii="宋体" w:hAnsi="宋体"/>
          <w:color w:val="auto"/>
          <w:sz w:val="28"/>
          <w:szCs w:val="28"/>
          <w:highlight w:val="none"/>
          <w:u w:val="single"/>
        </w:rPr>
      </w:pPr>
      <w:r>
        <w:rPr>
          <w:rFonts w:hint="eastAsia" w:ascii="宋体" w:hAnsi="宋体"/>
          <w:color w:val="auto"/>
          <w:sz w:val="28"/>
          <w:szCs w:val="28"/>
          <w:highlight w:val="none"/>
          <w:lang w:eastAsia="zh-CN"/>
        </w:rPr>
        <w:t>一、</w:t>
      </w:r>
      <w:r>
        <w:rPr>
          <w:rFonts w:hint="eastAsia" w:ascii="宋体" w:hAnsi="宋体"/>
          <w:color w:val="auto"/>
          <w:sz w:val="28"/>
          <w:szCs w:val="28"/>
          <w:highlight w:val="none"/>
        </w:rPr>
        <w:t>“采购人”、“甲方”系指依法进行政府采购的成都市</w:t>
      </w:r>
      <w:r>
        <w:rPr>
          <w:rFonts w:hint="eastAsia" w:ascii="宋体" w:hAnsi="宋体"/>
          <w:color w:val="auto"/>
          <w:sz w:val="28"/>
          <w:szCs w:val="28"/>
          <w:highlight w:val="none"/>
          <w:lang w:val="en-US" w:eastAsia="zh-CN"/>
        </w:rPr>
        <w:t>锦江区</w:t>
      </w:r>
      <w:r>
        <w:rPr>
          <w:rFonts w:hint="eastAsia" w:ascii="宋体" w:hAnsi="宋体"/>
          <w:color w:val="auto"/>
          <w:sz w:val="28"/>
          <w:szCs w:val="28"/>
          <w:highlight w:val="none"/>
        </w:rPr>
        <w:t>级机关、事业单位、团体组织。本次竞争性</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采购项目的采购人是</w:t>
      </w:r>
      <w:r>
        <w:rPr>
          <w:rFonts w:hint="eastAsia" w:ascii="宋体" w:hAnsi="宋体"/>
          <w:b/>
          <w:color w:val="auto"/>
          <w:sz w:val="28"/>
          <w:szCs w:val="28"/>
          <w:highlight w:val="none"/>
          <w:u w:val="single"/>
          <w:lang w:eastAsia="zh-CN"/>
        </w:rPr>
        <w:t>成都市第二幼儿园</w:t>
      </w:r>
      <w:r>
        <w:rPr>
          <w:rFonts w:hint="eastAsia" w:ascii="宋体" w:hAnsi="宋体"/>
          <w:color w:val="auto"/>
          <w:sz w:val="28"/>
          <w:szCs w:val="28"/>
          <w:highlight w:val="none"/>
          <w:u w:val="single"/>
        </w:rPr>
        <w:t>。</w:t>
      </w:r>
    </w:p>
    <w:p>
      <w:pPr>
        <w:widowControl w:val="0"/>
        <w:numPr>
          <w:ilvl w:val="0"/>
          <w:numId w:val="0"/>
        </w:numPr>
        <w:tabs>
          <w:tab w:val="left" w:pos="1200"/>
        </w:tabs>
        <w:spacing w:line="600" w:lineRule="exact"/>
        <w:ind w:leftChars="214"/>
        <w:jc w:val="both"/>
        <w:rPr>
          <w:rFonts w:ascii="宋体" w:hAnsi="宋体"/>
          <w:color w:val="auto"/>
          <w:sz w:val="28"/>
          <w:szCs w:val="28"/>
          <w:highlight w:val="none"/>
        </w:rPr>
      </w:pPr>
      <w:r>
        <w:rPr>
          <w:rFonts w:hint="eastAsia" w:ascii="宋体" w:hAnsi="宋体"/>
          <w:color w:val="auto"/>
          <w:sz w:val="28"/>
          <w:szCs w:val="28"/>
          <w:highlight w:val="none"/>
          <w:lang w:eastAsia="zh-CN"/>
        </w:rPr>
        <w:t>二、</w:t>
      </w:r>
      <w:r>
        <w:rPr>
          <w:rFonts w:hint="eastAsia" w:ascii="宋体" w:hAnsi="宋体"/>
          <w:color w:val="auto"/>
          <w:sz w:val="28"/>
          <w:szCs w:val="28"/>
          <w:highlight w:val="none"/>
        </w:rPr>
        <w:t>“供应商”系指拟参加竞争性磋商和向采购人提供工程</w:t>
      </w:r>
      <w:r>
        <w:rPr>
          <w:rFonts w:ascii="宋体" w:hAnsi="宋体"/>
          <w:color w:val="auto"/>
          <w:sz w:val="28"/>
          <w:szCs w:val="28"/>
          <w:highlight w:val="none"/>
        </w:rPr>
        <w:t>、</w:t>
      </w:r>
      <w:r>
        <w:rPr>
          <w:rFonts w:hint="eastAsia" w:ascii="宋体" w:hAnsi="宋体"/>
          <w:color w:val="auto"/>
          <w:sz w:val="28"/>
          <w:szCs w:val="28"/>
          <w:highlight w:val="none"/>
        </w:rPr>
        <w:t>货物及服务的供应商。“乙方”系指本项目的成交供应商。</w:t>
      </w:r>
    </w:p>
    <w:p>
      <w:pPr>
        <w:widowControl w:val="0"/>
        <w:numPr>
          <w:ilvl w:val="0"/>
          <w:numId w:val="0"/>
        </w:numPr>
        <w:tabs>
          <w:tab w:val="left" w:pos="1200"/>
        </w:tabs>
        <w:snapToGrid w:val="0"/>
        <w:spacing w:line="640" w:lineRule="exact"/>
        <w:ind w:leftChars="214"/>
        <w:jc w:val="both"/>
        <w:rPr>
          <w:rFonts w:ascii="宋体" w:hAnsi="宋体"/>
          <w:color w:val="auto"/>
          <w:sz w:val="28"/>
          <w:szCs w:val="28"/>
          <w:highlight w:val="none"/>
        </w:rPr>
      </w:pPr>
      <w:r>
        <w:rPr>
          <w:rFonts w:hint="eastAsia" w:ascii="宋体" w:hAnsi="宋体"/>
          <w:color w:val="auto"/>
          <w:sz w:val="28"/>
          <w:szCs w:val="28"/>
          <w:highlight w:val="none"/>
          <w:lang w:eastAsia="zh-CN"/>
        </w:rPr>
        <w:t>三、</w:t>
      </w:r>
      <w:r>
        <w:rPr>
          <w:rFonts w:ascii="宋体" w:hAnsi="宋体"/>
          <w:color w:val="auto"/>
          <w:sz w:val="28"/>
          <w:szCs w:val="28"/>
          <w:highlight w:val="none"/>
        </w:rPr>
        <w:t>本</w:t>
      </w:r>
      <w:r>
        <w:rPr>
          <w:rFonts w:hint="eastAsia" w:ascii="宋体" w:hAnsi="宋体"/>
          <w:color w:val="auto"/>
          <w:sz w:val="28"/>
          <w:szCs w:val="28"/>
          <w:highlight w:val="none"/>
          <w:lang w:eastAsia="zh-CN"/>
        </w:rPr>
        <w:t>磋商</w:t>
      </w:r>
      <w:r>
        <w:rPr>
          <w:rFonts w:ascii="宋体" w:hAnsi="宋体"/>
          <w:color w:val="auto"/>
          <w:sz w:val="28"/>
          <w:szCs w:val="28"/>
          <w:highlight w:val="none"/>
        </w:rPr>
        <w:t>文件各部分规定的期间以时、日、月、年计算。期间开始的时和日，不计算在期间内，而从次日开始计算。期间届满的最后一天是节假日的，以节假日后的第一日为期间届满的日期。</w:t>
      </w:r>
    </w:p>
    <w:p>
      <w:pPr>
        <w:widowControl w:val="0"/>
        <w:numPr>
          <w:ilvl w:val="0"/>
          <w:numId w:val="0"/>
        </w:numPr>
        <w:tabs>
          <w:tab w:val="left" w:pos="1200"/>
        </w:tabs>
        <w:snapToGrid w:val="0"/>
        <w:spacing w:line="640" w:lineRule="exact"/>
        <w:ind w:leftChars="214"/>
        <w:jc w:val="both"/>
        <w:rPr>
          <w:rFonts w:ascii="宋体" w:hAnsi="宋体"/>
          <w:color w:val="auto"/>
          <w:sz w:val="28"/>
          <w:szCs w:val="28"/>
          <w:highlight w:val="none"/>
        </w:rPr>
      </w:pPr>
      <w:r>
        <w:rPr>
          <w:rFonts w:hint="eastAsia" w:ascii="宋体" w:hAnsi="宋体"/>
          <w:color w:val="auto"/>
          <w:sz w:val="28"/>
          <w:szCs w:val="28"/>
          <w:highlight w:val="none"/>
          <w:lang w:eastAsia="zh-CN"/>
        </w:rPr>
        <w:t>四、</w:t>
      </w:r>
      <w:r>
        <w:rPr>
          <w:rFonts w:hint="eastAsia" w:ascii="宋体" w:hAnsi="宋体"/>
          <w:color w:val="auto"/>
          <w:sz w:val="28"/>
          <w:szCs w:val="28"/>
          <w:highlight w:val="none"/>
        </w:rPr>
        <w:t>本</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文件中所称的“以上”、“以下”、“内”、“以内”，包括本数；所称的“不足”，不包括本数。</w:t>
      </w:r>
    </w:p>
    <w:p>
      <w:pPr>
        <w:widowControl w:val="0"/>
        <w:numPr>
          <w:ilvl w:val="0"/>
          <w:numId w:val="0"/>
        </w:numPr>
        <w:tabs>
          <w:tab w:val="left" w:pos="1200"/>
        </w:tabs>
        <w:snapToGrid w:val="0"/>
        <w:spacing w:line="640" w:lineRule="exact"/>
        <w:ind w:leftChars="214"/>
        <w:jc w:val="both"/>
        <w:rPr>
          <w:rFonts w:ascii="宋体" w:hAnsi="宋体"/>
          <w:color w:val="auto"/>
          <w:sz w:val="28"/>
          <w:szCs w:val="28"/>
          <w:highlight w:val="none"/>
        </w:rPr>
      </w:pPr>
      <w:r>
        <w:rPr>
          <w:rFonts w:hint="eastAsia" w:ascii="宋体" w:hAnsi="宋体"/>
          <w:color w:val="auto"/>
          <w:sz w:val="28"/>
          <w:szCs w:val="28"/>
          <w:highlight w:val="none"/>
          <w:lang w:eastAsia="zh-CN"/>
        </w:rPr>
        <w:t>五、</w:t>
      </w:r>
      <w:r>
        <w:rPr>
          <w:rFonts w:ascii="宋体" w:hAnsi="宋体"/>
          <w:color w:val="auto"/>
          <w:sz w:val="28"/>
          <w:szCs w:val="28"/>
          <w:highlight w:val="none"/>
        </w:rPr>
        <w:t>重大违法记录是指供应商因违法经营受到刑事处罚或者责令停产停业、吊销许可证或者执照、较大数额罚款等行政处罚</w:t>
      </w:r>
      <w:r>
        <w:rPr>
          <w:rFonts w:hint="eastAsia" w:ascii="宋体" w:hAnsi="宋体"/>
          <w:color w:val="auto"/>
          <w:sz w:val="28"/>
          <w:szCs w:val="28"/>
          <w:highlight w:val="none"/>
          <w:lang w:eastAsia="zh-CN"/>
        </w:rPr>
        <w:t>。</w:t>
      </w:r>
    </w:p>
    <w:p>
      <w:pPr>
        <w:pStyle w:val="5"/>
        <w:snapToGrid w:val="0"/>
        <w:spacing w:line="640" w:lineRule="exact"/>
        <w:rPr>
          <w:color w:val="auto"/>
          <w:highlight w:val="none"/>
        </w:rPr>
      </w:pPr>
      <w:r>
        <w:rPr>
          <w:rFonts w:hint="eastAsia"/>
          <w:color w:val="auto"/>
          <w:highlight w:val="none"/>
        </w:rPr>
        <w:t>合格的供应商</w:t>
      </w:r>
      <w:r>
        <w:rPr>
          <w:rFonts w:hint="eastAsia" w:ascii="仿宋" w:hAnsi="仿宋" w:eastAsia="仿宋"/>
          <w:color w:val="auto"/>
          <w:szCs w:val="21"/>
          <w:highlight w:val="none"/>
          <w:lang w:val="zh-CN"/>
        </w:rPr>
        <w:t>（实质性要求）</w:t>
      </w:r>
    </w:p>
    <w:p>
      <w:pPr>
        <w:tabs>
          <w:tab w:val="left" w:pos="1134"/>
        </w:tabs>
        <w:spacing w:line="600" w:lineRule="exact"/>
        <w:ind w:firstLine="560" w:firstLineChars="200"/>
        <w:rPr>
          <w:rFonts w:ascii="宋体" w:hAnsi="宋体"/>
          <w:color w:val="auto"/>
          <w:spacing w:val="-4"/>
          <w:sz w:val="28"/>
          <w:szCs w:val="28"/>
          <w:highlight w:val="none"/>
        </w:rPr>
      </w:pPr>
      <w:r>
        <w:rPr>
          <w:rFonts w:hint="eastAsia" w:ascii="宋体" w:hAnsi="宋体"/>
          <w:color w:val="auto"/>
          <w:sz w:val="28"/>
          <w:szCs w:val="28"/>
          <w:highlight w:val="none"/>
        </w:rPr>
        <w:t>合格的供应商应具备以下条件：邀请参加</w:t>
      </w:r>
      <w:r>
        <w:rPr>
          <w:rFonts w:ascii="宋体" w:hAnsi="宋体"/>
          <w:color w:val="auto"/>
          <w:sz w:val="28"/>
          <w:szCs w:val="28"/>
          <w:highlight w:val="none"/>
        </w:rPr>
        <w:t>磋商的供应商</w:t>
      </w:r>
      <w:r>
        <w:rPr>
          <w:rFonts w:hint="eastAsia" w:ascii="宋体" w:hAnsi="宋体"/>
          <w:color w:val="auto"/>
          <w:spacing w:val="-4"/>
          <w:sz w:val="28"/>
          <w:szCs w:val="28"/>
          <w:highlight w:val="none"/>
        </w:rPr>
        <w:t>。</w:t>
      </w:r>
    </w:p>
    <w:p>
      <w:pPr>
        <w:pStyle w:val="5"/>
        <w:snapToGrid w:val="0"/>
        <w:spacing w:line="640" w:lineRule="exact"/>
        <w:rPr>
          <w:color w:val="auto"/>
          <w:highlight w:val="none"/>
        </w:rPr>
      </w:pPr>
      <w:bookmarkStart w:id="24" w:name="_Toc287623640"/>
      <w:bookmarkStart w:id="25" w:name="_Toc320698717"/>
      <w:r>
        <w:rPr>
          <w:rFonts w:hint="eastAsia"/>
          <w:color w:val="auto"/>
          <w:highlight w:val="none"/>
        </w:rPr>
        <w:t>参加竞争性</w:t>
      </w:r>
      <w:r>
        <w:rPr>
          <w:rFonts w:hint="eastAsia"/>
          <w:color w:val="auto"/>
          <w:highlight w:val="none"/>
          <w:lang w:eastAsia="zh-CN"/>
        </w:rPr>
        <w:t>磋商</w:t>
      </w:r>
      <w:r>
        <w:rPr>
          <w:rFonts w:hint="eastAsia"/>
          <w:color w:val="auto"/>
          <w:highlight w:val="none"/>
        </w:rPr>
        <w:t>的费用</w:t>
      </w:r>
      <w:bookmarkEnd w:id="24"/>
      <w:r>
        <w:rPr>
          <w:rFonts w:hint="eastAsia" w:ascii="仿宋" w:hAnsi="仿宋" w:eastAsia="仿宋"/>
          <w:color w:val="auto"/>
          <w:szCs w:val="21"/>
          <w:highlight w:val="none"/>
          <w:lang w:val="zh-CN"/>
        </w:rPr>
        <w:t>（实质性要求）</w:t>
      </w:r>
    </w:p>
    <w:p>
      <w:pPr>
        <w:tabs>
          <w:tab w:val="left" w:pos="7665"/>
        </w:tabs>
        <w:snapToGrid w:val="0"/>
        <w:spacing w:line="640" w:lineRule="exact"/>
        <w:ind w:firstLine="567"/>
        <w:rPr>
          <w:rFonts w:ascii="宋体" w:hAnsi="宋体"/>
          <w:color w:val="auto"/>
          <w:sz w:val="28"/>
          <w:szCs w:val="28"/>
          <w:highlight w:val="none"/>
        </w:rPr>
      </w:pPr>
      <w:r>
        <w:rPr>
          <w:rFonts w:hint="eastAsia" w:ascii="宋体" w:hAnsi="宋体"/>
          <w:color w:val="auto"/>
          <w:sz w:val="28"/>
          <w:szCs w:val="28"/>
          <w:highlight w:val="none"/>
        </w:rPr>
        <w:t>供应商应自行承担参加竞争性</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采购活动的全部费用。</w:t>
      </w:r>
    </w:p>
    <w:p>
      <w:pPr>
        <w:pStyle w:val="5"/>
        <w:snapToGrid w:val="0"/>
        <w:spacing w:line="640" w:lineRule="exact"/>
        <w:rPr>
          <w:color w:val="auto"/>
          <w:highlight w:val="none"/>
        </w:rPr>
      </w:pPr>
      <w:r>
        <w:rPr>
          <w:rFonts w:hint="eastAsia"/>
          <w:color w:val="auto"/>
          <w:highlight w:val="none"/>
        </w:rPr>
        <w:t>充分、公平竞争保障措施</w:t>
      </w:r>
      <w:r>
        <w:rPr>
          <w:rFonts w:hint="eastAsia" w:ascii="仿宋" w:hAnsi="仿宋" w:eastAsia="仿宋"/>
          <w:color w:val="auto"/>
          <w:szCs w:val="21"/>
          <w:highlight w:val="none"/>
          <w:lang w:val="zh-CN"/>
        </w:rPr>
        <w:t>（实质性要求）</w:t>
      </w:r>
    </w:p>
    <w:p>
      <w:pPr>
        <w:widowControl w:val="0"/>
        <w:numPr>
          <w:ilvl w:val="1"/>
          <w:numId w:val="7"/>
        </w:numPr>
        <w:tabs>
          <w:tab w:val="left" w:pos="1134"/>
        </w:tabs>
        <w:snapToGrid w:val="0"/>
        <w:spacing w:line="640" w:lineRule="exact"/>
        <w:ind w:left="0" w:firstLine="567"/>
        <w:jc w:val="both"/>
        <w:rPr>
          <w:rFonts w:ascii="宋体" w:hAnsi="宋体"/>
          <w:color w:val="auto"/>
          <w:sz w:val="28"/>
          <w:szCs w:val="28"/>
          <w:highlight w:val="none"/>
        </w:rPr>
      </w:pPr>
      <w:r>
        <w:rPr>
          <w:rFonts w:hint="eastAsia" w:ascii="宋体" w:hAnsi="宋体"/>
          <w:color w:val="auto"/>
          <w:sz w:val="28"/>
          <w:szCs w:val="28"/>
          <w:highlight w:val="none"/>
        </w:rPr>
        <w:t>利害关系供应商处理。单位负责人为同一人或者存在直接控股、管理关系的不同供应商不得参加同一合同项下的政府采购活动。</w:t>
      </w:r>
    </w:p>
    <w:p>
      <w:pPr>
        <w:widowControl w:val="0"/>
        <w:numPr>
          <w:ilvl w:val="1"/>
          <w:numId w:val="7"/>
        </w:numPr>
        <w:tabs>
          <w:tab w:val="left" w:pos="1134"/>
        </w:tabs>
        <w:snapToGrid w:val="0"/>
        <w:spacing w:line="640" w:lineRule="exact"/>
        <w:ind w:left="0" w:firstLine="560" w:firstLineChars="200"/>
        <w:jc w:val="both"/>
        <w:rPr>
          <w:rFonts w:ascii="宋体" w:hAnsi="宋体"/>
          <w:color w:val="auto"/>
          <w:sz w:val="28"/>
          <w:szCs w:val="28"/>
          <w:highlight w:val="none"/>
        </w:rPr>
      </w:pPr>
      <w:r>
        <w:rPr>
          <w:rFonts w:hint="eastAsia" w:ascii="宋体" w:hAnsi="宋体"/>
          <w:color w:val="auto"/>
          <w:sz w:val="28"/>
          <w:szCs w:val="28"/>
          <w:highlight w:val="none"/>
        </w:rPr>
        <w:t>利害关系授权代表处理。两家以上的供应商不得在同一合同项下的采购项目中，委托同一个自然人、同一家庭的人员、同一单位的人员作为其授权代表，否则，其施工响应文件作为无效处理。</w:t>
      </w:r>
    </w:p>
    <w:p>
      <w:pPr>
        <w:pStyle w:val="137"/>
        <w:tabs>
          <w:tab w:val="left" w:pos="851"/>
        </w:tabs>
        <w:spacing w:line="600" w:lineRule="exact"/>
        <w:ind w:firstLine="566" w:firstLineChars="202"/>
        <w:rPr>
          <w:rFonts w:hint="eastAsia" w:hAnsi="宋体"/>
          <w:b/>
          <w:bCs/>
          <w:sz w:val="28"/>
          <w:szCs w:val="28"/>
        </w:rPr>
      </w:pPr>
      <w:r>
        <w:rPr>
          <w:rFonts w:hint="eastAsia" w:ascii="宋体" w:hAnsi="宋体"/>
          <w:color w:val="auto"/>
          <w:sz w:val="28"/>
          <w:szCs w:val="28"/>
          <w:highlight w:val="none"/>
        </w:rPr>
        <w:t>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Pr>
          <w:rFonts w:hint="eastAsia" w:hAnsi="宋体"/>
          <w:b/>
          <w:bCs/>
          <w:color w:val="auto"/>
          <w:sz w:val="28"/>
          <w:szCs w:val="28"/>
        </w:rPr>
        <w:t>（说明</w:t>
      </w:r>
      <w:r>
        <w:rPr>
          <w:rFonts w:hint="eastAsia" w:hAnsi="宋体"/>
          <w:b/>
          <w:bCs/>
          <w:sz w:val="28"/>
          <w:szCs w:val="28"/>
        </w:rPr>
        <w:t>：中咨环北工程顾问有限公司</w:t>
      </w:r>
      <w:r>
        <w:rPr>
          <w:rFonts w:hint="eastAsia" w:hAnsi="宋体"/>
          <w:b/>
          <w:bCs/>
          <w:sz w:val="28"/>
          <w:szCs w:val="28"/>
          <w:lang w:eastAsia="zh-CN"/>
        </w:rPr>
        <w:t>、</w:t>
      </w:r>
      <w:r>
        <w:rPr>
          <w:rFonts w:hint="eastAsia" w:hAnsi="宋体"/>
          <w:b/>
          <w:bCs/>
          <w:sz w:val="28"/>
          <w:szCs w:val="28"/>
        </w:rPr>
        <w:t>四川标源招标代理有限公司　</w:t>
      </w:r>
      <w:r>
        <w:rPr>
          <w:rFonts w:hint="eastAsia" w:hAnsi="宋体"/>
          <w:b/>
          <w:bCs/>
          <w:sz w:val="28"/>
          <w:szCs w:val="28"/>
          <w:lang w:eastAsia="zh-CN"/>
        </w:rPr>
        <w:t>、</w:t>
      </w:r>
      <w:r>
        <w:rPr>
          <w:rFonts w:hint="eastAsia" w:hAnsi="宋体"/>
          <w:b/>
          <w:bCs/>
          <w:sz w:val="28"/>
          <w:szCs w:val="28"/>
        </w:rPr>
        <w:t>　四川嘉合建筑工程咨询有限公司</w:t>
      </w:r>
      <w:r>
        <w:rPr>
          <w:rFonts w:hint="eastAsia" w:hAnsi="宋体"/>
          <w:b/>
          <w:bCs/>
          <w:sz w:val="28"/>
          <w:szCs w:val="28"/>
          <w:lang w:eastAsia="zh-CN"/>
        </w:rPr>
        <w:t>、</w:t>
      </w:r>
      <w:r>
        <w:rPr>
          <w:rFonts w:hint="eastAsia" w:hAnsi="宋体"/>
          <w:b/>
          <w:bCs/>
          <w:sz w:val="28"/>
          <w:szCs w:val="28"/>
        </w:rPr>
        <w:t>　中冶成都勘察研究总院有限公司</w:t>
      </w:r>
      <w:r>
        <w:rPr>
          <w:rFonts w:hint="eastAsia" w:hAnsi="宋体"/>
          <w:b/>
          <w:bCs/>
          <w:sz w:val="28"/>
          <w:szCs w:val="28"/>
          <w:lang w:eastAsia="zh-CN"/>
        </w:rPr>
        <w:t>、</w:t>
      </w:r>
      <w:r>
        <w:rPr>
          <w:rFonts w:hint="eastAsia" w:hAnsi="宋体"/>
          <w:b/>
          <w:bCs/>
          <w:sz w:val="28"/>
          <w:szCs w:val="28"/>
        </w:rPr>
        <w:t>中塍勘察设计有限公司　</w:t>
      </w:r>
      <w:r>
        <w:rPr>
          <w:rFonts w:hint="eastAsia" w:hAnsi="宋体"/>
          <w:b/>
          <w:bCs/>
          <w:sz w:val="28"/>
          <w:szCs w:val="28"/>
          <w:lang w:eastAsia="zh-CN"/>
        </w:rPr>
        <w:t>、</w:t>
      </w:r>
      <w:r>
        <w:rPr>
          <w:rFonts w:hint="eastAsia" w:hAnsi="宋体"/>
          <w:b/>
          <w:bCs/>
          <w:sz w:val="28"/>
          <w:szCs w:val="28"/>
        </w:rPr>
        <w:t>　四川鑫昊源工程管理有限公司为本项目提供整体设计、规范编制或者项目管理、监理、检测</w:t>
      </w:r>
      <w:r>
        <w:rPr>
          <w:rFonts w:hint="eastAsia" w:hAnsi="宋体"/>
          <w:b/>
          <w:bCs/>
          <w:sz w:val="28"/>
          <w:szCs w:val="28"/>
          <w:lang w:val="en-US" w:eastAsia="zh-CN"/>
        </w:rPr>
        <w:t>等服务。</w:t>
      </w:r>
      <w:r>
        <w:rPr>
          <w:rFonts w:hint="eastAsia" w:hAnsi="宋体"/>
          <w:b/>
          <w:bCs/>
          <w:sz w:val="28"/>
          <w:szCs w:val="28"/>
        </w:rPr>
        <w:t>）</w:t>
      </w:r>
    </w:p>
    <w:p>
      <w:pPr>
        <w:widowControl w:val="0"/>
        <w:numPr>
          <w:ilvl w:val="1"/>
          <w:numId w:val="7"/>
        </w:numPr>
        <w:tabs>
          <w:tab w:val="left" w:pos="1134"/>
        </w:tabs>
        <w:snapToGrid w:val="0"/>
        <w:spacing w:line="640" w:lineRule="exact"/>
        <w:ind w:left="0" w:firstLine="560" w:firstLineChars="200"/>
        <w:jc w:val="both"/>
        <w:rPr>
          <w:rFonts w:ascii="宋体" w:hAnsi="宋体"/>
          <w:color w:val="auto"/>
          <w:sz w:val="28"/>
          <w:szCs w:val="28"/>
          <w:highlight w:val="none"/>
        </w:rPr>
      </w:pPr>
      <w:r>
        <w:rPr>
          <w:rFonts w:hint="eastAsia" w:ascii="宋体" w:hAnsi="宋体"/>
          <w:color w:val="auto"/>
          <w:sz w:val="28"/>
          <w:szCs w:val="28"/>
          <w:highlight w:val="none"/>
        </w:rPr>
        <w:t>同一母公司的两家以上的子公司只能组成联合体参加本项目同一合同项下的采购活动，不得以不同供应商身份同时参加本项目同一合同项下的采购活动。</w:t>
      </w:r>
    </w:p>
    <w:p>
      <w:pPr>
        <w:pStyle w:val="4"/>
        <w:snapToGrid w:val="0"/>
        <w:spacing w:line="640" w:lineRule="exact"/>
        <w:rPr>
          <w:color w:val="auto"/>
          <w:highlight w:val="none"/>
        </w:rPr>
      </w:pPr>
      <w:bookmarkStart w:id="26" w:name="_Toc27770"/>
      <w:r>
        <w:rPr>
          <w:rFonts w:hint="eastAsia"/>
          <w:color w:val="auto"/>
          <w:highlight w:val="none"/>
          <w:lang w:eastAsia="zh-CN"/>
        </w:rPr>
        <w:t>磋商</w:t>
      </w:r>
      <w:r>
        <w:rPr>
          <w:rFonts w:hint="eastAsia"/>
          <w:color w:val="auto"/>
          <w:highlight w:val="none"/>
        </w:rPr>
        <w:t>文件</w:t>
      </w:r>
      <w:bookmarkEnd w:id="26"/>
    </w:p>
    <w:p>
      <w:pPr>
        <w:pStyle w:val="5"/>
        <w:snapToGrid w:val="0"/>
        <w:spacing w:line="640" w:lineRule="exact"/>
        <w:rPr>
          <w:color w:val="auto"/>
          <w:highlight w:val="none"/>
        </w:rPr>
      </w:pPr>
      <w:r>
        <w:rPr>
          <w:rFonts w:hint="eastAsia"/>
          <w:color w:val="auto"/>
          <w:highlight w:val="none"/>
          <w:lang w:eastAsia="zh-CN"/>
        </w:rPr>
        <w:t>磋商</w:t>
      </w:r>
      <w:r>
        <w:rPr>
          <w:rFonts w:hint="eastAsia"/>
          <w:color w:val="auto"/>
          <w:highlight w:val="none"/>
        </w:rPr>
        <w:t>文件的构成</w:t>
      </w:r>
      <w:r>
        <w:rPr>
          <w:rFonts w:hint="eastAsia" w:ascii="仿宋" w:hAnsi="仿宋" w:eastAsia="仿宋"/>
          <w:color w:val="auto"/>
          <w:szCs w:val="21"/>
          <w:highlight w:val="none"/>
          <w:lang w:val="zh-CN"/>
        </w:rPr>
        <w:t>（实质性要求）</w:t>
      </w:r>
    </w:p>
    <w:p>
      <w:pPr>
        <w:widowControl w:val="0"/>
        <w:tabs>
          <w:tab w:val="left" w:pos="1134"/>
        </w:tabs>
        <w:snapToGrid w:val="0"/>
        <w:spacing w:line="640" w:lineRule="exact"/>
        <w:ind w:firstLine="560" w:firstLineChars="200"/>
        <w:jc w:val="both"/>
        <w:rPr>
          <w:rFonts w:ascii="宋体" w:hAnsi="宋体"/>
          <w:color w:val="auto"/>
          <w:sz w:val="28"/>
          <w:szCs w:val="28"/>
          <w:highlight w:val="none"/>
        </w:rPr>
      </w:pPr>
      <w:r>
        <w:rPr>
          <w:rFonts w:hint="eastAsia" w:ascii="宋体" w:hAnsi="宋体"/>
          <w:color w:val="auto"/>
          <w:sz w:val="28"/>
          <w:szCs w:val="28"/>
          <w:highlight w:val="none"/>
        </w:rPr>
        <w:t>一、</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文件是供应商准备施工响应文件和参加</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的依据，同时也是评审的重要依据。</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文件用以阐明采购项目所需的资质、技术、服务及报价等要求、</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程序、有关规定和注意事项以及合同草案条款等。本</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文件包括以下内容：</w:t>
      </w:r>
    </w:p>
    <w:p>
      <w:pPr>
        <w:widowControl w:val="0"/>
        <w:tabs>
          <w:tab w:val="left" w:pos="1134"/>
        </w:tabs>
        <w:snapToGrid w:val="0"/>
        <w:spacing w:line="640" w:lineRule="exact"/>
        <w:ind w:firstLine="560" w:firstLineChars="200"/>
        <w:jc w:val="both"/>
        <w:rPr>
          <w:rFonts w:ascii="宋体" w:hAnsi="宋体"/>
          <w:color w:val="auto"/>
          <w:sz w:val="28"/>
          <w:szCs w:val="28"/>
          <w:highlight w:val="none"/>
        </w:rPr>
      </w:pPr>
      <w:r>
        <w:rPr>
          <w:rFonts w:hint="eastAsia" w:ascii="宋体" w:hAnsi="宋体"/>
          <w:color w:val="auto"/>
          <w:sz w:val="28"/>
          <w:szCs w:val="28"/>
          <w:highlight w:val="none"/>
        </w:rPr>
        <w:t>（一）竞争性</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邀请；</w:t>
      </w:r>
    </w:p>
    <w:p>
      <w:pPr>
        <w:widowControl w:val="0"/>
        <w:tabs>
          <w:tab w:val="left" w:pos="1134"/>
        </w:tabs>
        <w:snapToGrid w:val="0"/>
        <w:spacing w:line="640" w:lineRule="exact"/>
        <w:ind w:firstLine="560" w:firstLineChars="200"/>
        <w:jc w:val="both"/>
        <w:rPr>
          <w:rFonts w:ascii="宋体" w:hAnsi="宋体"/>
          <w:color w:val="auto"/>
          <w:sz w:val="28"/>
          <w:szCs w:val="28"/>
          <w:highlight w:val="none"/>
        </w:rPr>
      </w:pPr>
      <w:r>
        <w:rPr>
          <w:rFonts w:hint="eastAsia" w:ascii="宋体" w:hAnsi="宋体"/>
          <w:color w:val="auto"/>
          <w:sz w:val="28"/>
          <w:szCs w:val="28"/>
          <w:highlight w:val="none"/>
        </w:rPr>
        <w:t>（二）供应商须知；</w:t>
      </w:r>
    </w:p>
    <w:p>
      <w:pPr>
        <w:widowControl w:val="0"/>
        <w:tabs>
          <w:tab w:val="left" w:pos="1134"/>
        </w:tabs>
        <w:snapToGrid w:val="0"/>
        <w:spacing w:line="640" w:lineRule="exact"/>
        <w:ind w:firstLine="560" w:firstLineChars="200"/>
        <w:jc w:val="both"/>
        <w:rPr>
          <w:rFonts w:ascii="宋体" w:hAnsi="宋体"/>
          <w:color w:val="auto"/>
          <w:sz w:val="28"/>
          <w:szCs w:val="28"/>
          <w:highlight w:val="none"/>
        </w:rPr>
      </w:pPr>
      <w:r>
        <w:rPr>
          <w:rFonts w:hint="eastAsia" w:ascii="宋体" w:hAnsi="宋体"/>
          <w:color w:val="auto"/>
          <w:sz w:val="28"/>
          <w:szCs w:val="28"/>
          <w:highlight w:val="none"/>
        </w:rPr>
        <w:t>（三）施工响应文件格式；</w:t>
      </w:r>
    </w:p>
    <w:p>
      <w:pPr>
        <w:widowControl w:val="0"/>
        <w:tabs>
          <w:tab w:val="left" w:pos="1134"/>
        </w:tabs>
        <w:snapToGrid w:val="0"/>
        <w:spacing w:line="640" w:lineRule="exact"/>
        <w:ind w:firstLine="560" w:firstLineChars="200"/>
        <w:jc w:val="both"/>
        <w:rPr>
          <w:rFonts w:ascii="宋体" w:hAnsi="宋体"/>
          <w:color w:val="auto"/>
          <w:sz w:val="28"/>
          <w:szCs w:val="28"/>
          <w:highlight w:val="none"/>
        </w:rPr>
      </w:pPr>
      <w:r>
        <w:rPr>
          <w:rFonts w:hint="eastAsia" w:ascii="宋体" w:hAnsi="宋体"/>
          <w:color w:val="auto"/>
          <w:sz w:val="28"/>
          <w:szCs w:val="28"/>
          <w:highlight w:val="none"/>
        </w:rPr>
        <w:t>（四）项目技术、服务</w:t>
      </w:r>
      <w:r>
        <w:rPr>
          <w:rFonts w:hint="eastAsia" w:ascii="宋体" w:hAnsi="宋体"/>
          <w:color w:val="auto"/>
          <w:sz w:val="28"/>
          <w:szCs w:val="28"/>
          <w:highlight w:val="none"/>
          <w:lang w:eastAsia="zh-CN"/>
        </w:rPr>
        <w:t>、商务</w:t>
      </w:r>
      <w:r>
        <w:rPr>
          <w:rFonts w:hint="eastAsia" w:ascii="宋体" w:hAnsi="宋体"/>
          <w:color w:val="auto"/>
          <w:sz w:val="28"/>
          <w:szCs w:val="28"/>
          <w:highlight w:val="none"/>
        </w:rPr>
        <w:t>及其他要求；</w:t>
      </w:r>
    </w:p>
    <w:p>
      <w:pPr>
        <w:widowControl w:val="0"/>
        <w:tabs>
          <w:tab w:val="left" w:pos="1134"/>
        </w:tabs>
        <w:snapToGrid w:val="0"/>
        <w:spacing w:line="640" w:lineRule="exact"/>
        <w:ind w:firstLine="560" w:firstLineChars="200"/>
        <w:jc w:val="both"/>
        <w:rPr>
          <w:rFonts w:ascii="宋体" w:hAnsi="宋体"/>
          <w:color w:val="auto"/>
          <w:sz w:val="28"/>
          <w:szCs w:val="28"/>
          <w:highlight w:val="none"/>
        </w:rPr>
      </w:pPr>
      <w:r>
        <w:rPr>
          <w:rFonts w:hint="eastAsia" w:ascii="宋体" w:hAnsi="宋体"/>
          <w:color w:val="auto"/>
          <w:sz w:val="28"/>
          <w:szCs w:val="28"/>
          <w:highlight w:val="none"/>
        </w:rPr>
        <w:t>（五）</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办法；</w:t>
      </w:r>
    </w:p>
    <w:p>
      <w:pPr>
        <w:widowControl w:val="0"/>
        <w:tabs>
          <w:tab w:val="left" w:pos="1134"/>
        </w:tabs>
        <w:snapToGrid w:val="0"/>
        <w:spacing w:line="640" w:lineRule="exact"/>
        <w:ind w:firstLine="560" w:firstLineChars="200"/>
        <w:jc w:val="both"/>
        <w:rPr>
          <w:rFonts w:hint="eastAsia" w:ascii="宋体" w:hAnsi="宋体"/>
          <w:color w:val="auto"/>
          <w:sz w:val="28"/>
          <w:szCs w:val="28"/>
          <w:highlight w:val="none"/>
        </w:rPr>
      </w:pPr>
      <w:r>
        <w:rPr>
          <w:rFonts w:hint="eastAsia" w:ascii="宋体" w:hAnsi="宋体"/>
          <w:color w:val="auto"/>
          <w:sz w:val="28"/>
          <w:szCs w:val="28"/>
          <w:highlight w:val="none"/>
        </w:rPr>
        <w:t>（六）合同草案条款</w:t>
      </w:r>
      <w:r>
        <w:rPr>
          <w:rFonts w:hint="eastAsia" w:ascii="宋体" w:hAnsi="宋体"/>
          <w:color w:val="auto"/>
          <w:sz w:val="28"/>
          <w:szCs w:val="28"/>
          <w:highlight w:val="none"/>
          <w:lang w:eastAsia="zh-CN"/>
        </w:rPr>
        <w:t>；</w:t>
      </w:r>
    </w:p>
    <w:p>
      <w:pPr>
        <w:pStyle w:val="53"/>
        <w:rPr>
          <w:rFonts w:hint="eastAsia" w:eastAsia="楷体à.ā"/>
          <w:color w:val="auto"/>
          <w:highlight w:val="none"/>
          <w:lang w:val="en-US" w:eastAsia="zh-CN"/>
        </w:rPr>
      </w:pPr>
      <w:r>
        <w:rPr>
          <w:rFonts w:hint="eastAsia" w:ascii="宋体" w:hAnsi="宋体"/>
          <w:color w:val="auto"/>
          <w:sz w:val="28"/>
          <w:szCs w:val="28"/>
          <w:highlight w:val="none"/>
          <w:lang w:val="en-US" w:eastAsia="zh-CN"/>
        </w:rPr>
        <w:t xml:space="preserve">    </w:t>
      </w:r>
      <w:r>
        <w:rPr>
          <w:rFonts w:hint="eastAsia" w:ascii="宋体" w:hAnsi="宋体" w:eastAsia="宋体" w:cs="Times New Roman"/>
          <w:color w:val="auto"/>
          <w:sz w:val="28"/>
          <w:szCs w:val="28"/>
          <w:highlight w:val="none"/>
          <w:lang w:val="en-US" w:eastAsia="zh-CN" w:bidi="ar-SA"/>
        </w:rPr>
        <w:t>（七）工程量清单和图纸。</w:t>
      </w:r>
    </w:p>
    <w:p>
      <w:pPr>
        <w:widowControl w:val="0"/>
        <w:tabs>
          <w:tab w:val="left" w:pos="1134"/>
        </w:tabs>
        <w:snapToGrid w:val="0"/>
        <w:spacing w:line="640" w:lineRule="exact"/>
        <w:ind w:firstLine="560" w:firstLineChars="200"/>
        <w:jc w:val="both"/>
        <w:rPr>
          <w:rFonts w:ascii="宋体" w:hAnsi="宋体"/>
          <w:color w:val="auto"/>
          <w:highlight w:val="none"/>
        </w:rPr>
      </w:pPr>
      <w:r>
        <w:rPr>
          <w:rFonts w:hint="eastAsia" w:ascii="宋体" w:hAnsi="宋体"/>
          <w:color w:val="auto"/>
          <w:sz w:val="28"/>
          <w:szCs w:val="28"/>
          <w:highlight w:val="none"/>
        </w:rPr>
        <w:t>二、供应商应认真阅读和充分理解</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文件中所有的事项、格式条款和规范要求，按照</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文件的要求提供施工响应文件，并保证所提供的全部资料的真实性和有效性，一经发现有虚假行为的，将取消其参加</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或成交资格，并承担相应的法律责任。供应商没有对</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文件全面做出实质性响应所产生的风险由供应商承担。</w:t>
      </w:r>
      <w:bookmarkEnd w:id="25"/>
    </w:p>
    <w:p>
      <w:pPr>
        <w:pStyle w:val="5"/>
        <w:snapToGrid w:val="0"/>
        <w:spacing w:line="640" w:lineRule="exact"/>
        <w:rPr>
          <w:color w:val="auto"/>
          <w:highlight w:val="none"/>
        </w:rPr>
      </w:pPr>
      <w:bookmarkStart w:id="27" w:name="_Toc183682348"/>
      <w:bookmarkStart w:id="28" w:name="_Toc183582211"/>
      <w:bookmarkStart w:id="29" w:name="_Toc217446040"/>
      <w:r>
        <w:rPr>
          <w:rFonts w:hint="eastAsia"/>
          <w:color w:val="auto"/>
          <w:highlight w:val="none"/>
          <w:lang w:eastAsia="zh-CN"/>
        </w:rPr>
        <w:t>磋商</w:t>
      </w:r>
      <w:r>
        <w:rPr>
          <w:rFonts w:hint="eastAsia"/>
          <w:color w:val="auto"/>
          <w:highlight w:val="none"/>
        </w:rPr>
        <w:t>文件的澄清</w:t>
      </w:r>
      <w:bookmarkEnd w:id="27"/>
      <w:bookmarkEnd w:id="28"/>
      <w:r>
        <w:rPr>
          <w:rFonts w:hint="eastAsia"/>
          <w:color w:val="auto"/>
          <w:highlight w:val="none"/>
        </w:rPr>
        <w:t>和修改</w:t>
      </w:r>
      <w:bookmarkEnd w:id="29"/>
    </w:p>
    <w:p>
      <w:pPr>
        <w:widowControl w:val="0"/>
        <w:numPr>
          <w:ilvl w:val="0"/>
          <w:numId w:val="8"/>
        </w:numPr>
        <w:tabs>
          <w:tab w:val="left" w:pos="1134"/>
        </w:tabs>
        <w:snapToGrid w:val="0"/>
        <w:spacing w:line="640" w:lineRule="exact"/>
        <w:ind w:left="0" w:firstLine="560"/>
        <w:jc w:val="both"/>
        <w:rPr>
          <w:rFonts w:ascii="宋体" w:hAnsi="宋体"/>
          <w:color w:val="auto"/>
          <w:sz w:val="28"/>
          <w:szCs w:val="28"/>
          <w:highlight w:val="none"/>
        </w:rPr>
      </w:pPr>
      <w:r>
        <w:rPr>
          <w:rFonts w:hint="eastAsia" w:ascii="宋体" w:hAnsi="宋体"/>
          <w:color w:val="auto"/>
          <w:sz w:val="28"/>
          <w:szCs w:val="28"/>
          <w:highlight w:val="none"/>
        </w:rPr>
        <w:t>在递交施工响应文件截止时间前，采购人或</w:t>
      </w:r>
      <w:r>
        <w:rPr>
          <w:rFonts w:hint="eastAsia" w:ascii="宋体" w:hAnsi="宋体"/>
          <w:color w:val="auto"/>
          <w:sz w:val="28"/>
          <w:szCs w:val="28"/>
          <w:highlight w:val="none"/>
          <w:lang w:eastAsia="zh-CN"/>
        </w:rPr>
        <w:t>区采购中心</w:t>
      </w:r>
      <w:r>
        <w:rPr>
          <w:rFonts w:hint="eastAsia" w:ascii="宋体" w:hAnsi="宋体"/>
          <w:color w:val="auto"/>
          <w:sz w:val="28"/>
          <w:szCs w:val="28"/>
          <w:highlight w:val="none"/>
        </w:rPr>
        <w:t>无论出于何种原因，可以对</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文件进行澄清或者修改。</w:t>
      </w:r>
    </w:p>
    <w:p>
      <w:pPr>
        <w:widowControl w:val="0"/>
        <w:numPr>
          <w:ilvl w:val="0"/>
          <w:numId w:val="8"/>
        </w:numPr>
        <w:tabs>
          <w:tab w:val="left" w:pos="1134"/>
        </w:tabs>
        <w:spacing w:line="600" w:lineRule="exact"/>
        <w:ind w:left="0" w:firstLine="560"/>
        <w:jc w:val="both"/>
        <w:rPr>
          <w:rFonts w:ascii="宋体" w:hAnsi="宋体"/>
          <w:color w:val="auto"/>
          <w:sz w:val="28"/>
          <w:szCs w:val="28"/>
          <w:highlight w:val="none"/>
        </w:rPr>
      </w:pPr>
      <w:r>
        <w:rPr>
          <w:rFonts w:hint="eastAsia" w:ascii="宋体" w:hAnsi="宋体"/>
          <w:color w:val="auto"/>
          <w:sz w:val="28"/>
          <w:szCs w:val="28"/>
          <w:highlight w:val="none"/>
        </w:rPr>
        <w:t>澄清或者修改的内容，</w:t>
      </w:r>
      <w:r>
        <w:rPr>
          <w:rFonts w:hint="eastAsia" w:ascii="宋体" w:hAnsi="宋体"/>
          <w:color w:val="auto"/>
          <w:sz w:val="28"/>
          <w:szCs w:val="28"/>
          <w:highlight w:val="none"/>
          <w:lang w:eastAsia="zh-CN"/>
        </w:rPr>
        <w:t>区采购</w:t>
      </w:r>
      <w:r>
        <w:rPr>
          <w:rFonts w:hint="eastAsia" w:ascii="宋体" w:hAnsi="宋体"/>
          <w:color w:val="auto"/>
          <w:sz w:val="28"/>
          <w:szCs w:val="28"/>
          <w:highlight w:val="none"/>
        </w:rPr>
        <w:t>中心将在“四川政府采购网</w:t>
      </w:r>
      <w:r>
        <w:rPr>
          <w:rFonts w:ascii="宋体" w:hAnsi="宋体"/>
          <w:color w:val="auto"/>
          <w:sz w:val="28"/>
          <w:szCs w:val="28"/>
          <w:highlight w:val="none"/>
        </w:rPr>
        <w:t>”</w:t>
      </w:r>
      <w:r>
        <w:rPr>
          <w:rFonts w:hint="eastAsia" w:ascii="宋体" w:hAnsi="宋体"/>
          <w:color w:val="auto"/>
          <w:sz w:val="28"/>
          <w:szCs w:val="28"/>
          <w:highlight w:val="none"/>
        </w:rPr>
        <w:t>和“成都市公共资源交易服务中心”网站上发布澄清公告，同时通过政府采购云平台将澄清或者修改的内容告知所有潜在供应商（供应商通过账号或C</w:t>
      </w:r>
      <w:r>
        <w:rPr>
          <w:rFonts w:ascii="宋体" w:hAnsi="宋体"/>
          <w:color w:val="auto"/>
          <w:sz w:val="28"/>
          <w:szCs w:val="28"/>
          <w:highlight w:val="none"/>
        </w:rPr>
        <w:t>A</w:t>
      </w:r>
      <w:r>
        <w:rPr>
          <w:rFonts w:hint="eastAsia" w:ascii="宋体" w:hAnsi="宋体"/>
          <w:color w:val="auto"/>
          <w:sz w:val="28"/>
          <w:szCs w:val="28"/>
          <w:highlight w:val="none"/>
        </w:rPr>
        <w:t>证书登录云平台查看），该澄清或者修改的内容为磋商文件的组成部分。</w:t>
      </w:r>
    </w:p>
    <w:p>
      <w:pPr>
        <w:widowControl w:val="0"/>
        <w:numPr>
          <w:ilvl w:val="0"/>
          <w:numId w:val="8"/>
        </w:numPr>
        <w:tabs>
          <w:tab w:val="left" w:pos="1134"/>
        </w:tabs>
        <w:snapToGrid w:val="0"/>
        <w:spacing w:line="640" w:lineRule="exact"/>
        <w:ind w:left="0" w:firstLine="560"/>
        <w:jc w:val="both"/>
        <w:rPr>
          <w:rFonts w:ascii="宋体" w:hAnsi="宋体"/>
          <w:color w:val="auto"/>
          <w:sz w:val="28"/>
          <w:szCs w:val="28"/>
          <w:highlight w:val="none"/>
        </w:rPr>
      </w:pPr>
      <w:r>
        <w:rPr>
          <w:rFonts w:hint="eastAsia" w:ascii="宋体" w:hAnsi="宋体"/>
          <w:color w:val="auto"/>
          <w:sz w:val="28"/>
          <w:szCs w:val="28"/>
          <w:highlight w:val="none"/>
        </w:rPr>
        <w:t>澄清或者修改的内容可能影响施工响应文件编制的，</w:t>
      </w:r>
      <w:r>
        <w:rPr>
          <w:rFonts w:hint="eastAsia" w:ascii="宋体" w:hAnsi="宋体"/>
          <w:color w:val="auto"/>
          <w:sz w:val="28"/>
          <w:szCs w:val="28"/>
          <w:highlight w:val="none"/>
          <w:lang w:eastAsia="zh-CN"/>
        </w:rPr>
        <w:t>区采购中心</w:t>
      </w:r>
      <w:r>
        <w:rPr>
          <w:rFonts w:hint="eastAsia" w:ascii="宋体" w:hAnsi="宋体"/>
          <w:color w:val="auto"/>
          <w:sz w:val="28"/>
          <w:szCs w:val="28"/>
          <w:highlight w:val="none"/>
        </w:rPr>
        <w:t>应当在提交首次施工响应文件截止时间至少</w:t>
      </w:r>
      <w:r>
        <w:rPr>
          <w:rFonts w:hint="eastAsia" w:ascii="宋体" w:hAnsi="宋体"/>
          <w:color w:val="auto"/>
          <w:sz w:val="28"/>
          <w:szCs w:val="28"/>
          <w:highlight w:val="none"/>
          <w:lang w:val="en-US" w:eastAsia="zh-CN"/>
        </w:rPr>
        <w:t>5</w:t>
      </w:r>
      <w:r>
        <w:rPr>
          <w:rFonts w:hint="eastAsia" w:ascii="宋体" w:hAnsi="宋体"/>
          <w:color w:val="auto"/>
          <w:sz w:val="28"/>
          <w:szCs w:val="28"/>
          <w:highlight w:val="none"/>
        </w:rPr>
        <w:t>个工作日前，通过云平台通知所有获取</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文件的潜在供应商；不足</w:t>
      </w:r>
      <w:r>
        <w:rPr>
          <w:rFonts w:hint="eastAsia" w:ascii="宋体" w:hAnsi="宋体"/>
          <w:color w:val="auto"/>
          <w:sz w:val="28"/>
          <w:szCs w:val="28"/>
          <w:highlight w:val="none"/>
          <w:lang w:val="en-US" w:eastAsia="zh-CN"/>
        </w:rPr>
        <w:t>5</w:t>
      </w:r>
      <w:r>
        <w:rPr>
          <w:rFonts w:hint="eastAsia" w:ascii="宋体" w:hAnsi="宋体"/>
          <w:color w:val="auto"/>
          <w:sz w:val="28"/>
          <w:szCs w:val="28"/>
          <w:highlight w:val="none"/>
        </w:rPr>
        <w:t>个工作日的，采购人或</w:t>
      </w:r>
      <w:r>
        <w:rPr>
          <w:rFonts w:hint="eastAsia" w:ascii="宋体" w:hAnsi="宋体"/>
          <w:color w:val="auto"/>
          <w:sz w:val="28"/>
          <w:szCs w:val="28"/>
          <w:highlight w:val="none"/>
          <w:lang w:eastAsia="zh-CN"/>
        </w:rPr>
        <w:t>区采购中心</w:t>
      </w:r>
      <w:r>
        <w:rPr>
          <w:rFonts w:hint="eastAsia" w:ascii="宋体" w:hAnsi="宋体"/>
          <w:color w:val="auto"/>
          <w:sz w:val="28"/>
          <w:szCs w:val="28"/>
          <w:highlight w:val="none"/>
        </w:rPr>
        <w:t>应当顺延</w:t>
      </w:r>
      <w:r>
        <w:rPr>
          <w:rFonts w:hint="eastAsia" w:ascii="宋体" w:hAnsi="宋体"/>
          <w:color w:val="auto"/>
          <w:sz w:val="28"/>
          <w:szCs w:val="28"/>
          <w:highlight w:val="none"/>
          <w:lang w:eastAsia="zh-CN"/>
        </w:rPr>
        <w:t>提交</w:t>
      </w:r>
      <w:r>
        <w:rPr>
          <w:rFonts w:hint="eastAsia" w:ascii="宋体" w:hAnsi="宋体"/>
          <w:color w:val="auto"/>
          <w:sz w:val="28"/>
          <w:szCs w:val="28"/>
          <w:highlight w:val="none"/>
        </w:rPr>
        <w:t>首次施工响应文件的截止时间。</w:t>
      </w:r>
    </w:p>
    <w:p>
      <w:pPr>
        <w:pStyle w:val="4"/>
        <w:snapToGrid w:val="0"/>
        <w:spacing w:line="640" w:lineRule="exact"/>
        <w:rPr>
          <w:color w:val="auto"/>
          <w:highlight w:val="none"/>
        </w:rPr>
      </w:pPr>
      <w:bookmarkStart w:id="30" w:name="_Toc10811"/>
      <w:r>
        <w:rPr>
          <w:rFonts w:hint="eastAsia"/>
          <w:color w:val="auto"/>
          <w:highlight w:val="none"/>
        </w:rPr>
        <w:t>施工响应文件</w:t>
      </w:r>
      <w:bookmarkEnd w:id="30"/>
    </w:p>
    <w:p>
      <w:pPr>
        <w:pStyle w:val="5"/>
        <w:snapToGrid w:val="0"/>
        <w:spacing w:line="640" w:lineRule="exact"/>
        <w:rPr>
          <w:color w:val="auto"/>
          <w:highlight w:val="none"/>
        </w:rPr>
      </w:pPr>
      <w:bookmarkStart w:id="31" w:name="_Toc320698721"/>
      <w:r>
        <w:rPr>
          <w:rFonts w:hint="eastAsia"/>
          <w:color w:val="auto"/>
          <w:highlight w:val="none"/>
        </w:rPr>
        <w:t>施工响应文件的语言</w:t>
      </w:r>
      <w:bookmarkEnd w:id="31"/>
      <w:r>
        <w:rPr>
          <w:rFonts w:hint="eastAsia" w:ascii="仿宋" w:hAnsi="仿宋" w:eastAsia="仿宋"/>
          <w:color w:val="auto"/>
          <w:szCs w:val="21"/>
          <w:highlight w:val="none"/>
          <w:lang w:val="zh-CN"/>
        </w:rPr>
        <w:t>（实质性要求）</w:t>
      </w:r>
    </w:p>
    <w:p>
      <w:pPr>
        <w:widowControl w:val="0"/>
        <w:numPr>
          <w:ilvl w:val="0"/>
          <w:numId w:val="9"/>
        </w:numPr>
        <w:tabs>
          <w:tab w:val="left" w:pos="1134"/>
        </w:tabs>
        <w:snapToGrid w:val="0"/>
        <w:spacing w:line="640" w:lineRule="exact"/>
        <w:ind w:left="0" w:firstLine="560" w:firstLineChars="200"/>
        <w:jc w:val="both"/>
        <w:rPr>
          <w:rFonts w:ascii="宋体" w:hAnsi="宋体"/>
          <w:color w:val="auto"/>
          <w:sz w:val="28"/>
          <w:szCs w:val="28"/>
          <w:highlight w:val="none"/>
        </w:rPr>
      </w:pPr>
      <w:r>
        <w:rPr>
          <w:rFonts w:hint="eastAsia" w:ascii="宋体" w:hAnsi="宋体"/>
          <w:color w:val="auto"/>
          <w:sz w:val="28"/>
          <w:szCs w:val="28"/>
          <w:highlight w:val="none"/>
        </w:rPr>
        <w:t>供应商提交的施工响应文件以及供应商与采购人或</w:t>
      </w:r>
      <w:r>
        <w:rPr>
          <w:rFonts w:hint="eastAsia" w:ascii="宋体" w:hAnsi="宋体"/>
          <w:color w:val="auto"/>
          <w:sz w:val="28"/>
          <w:szCs w:val="28"/>
          <w:highlight w:val="none"/>
          <w:lang w:eastAsia="zh-CN"/>
        </w:rPr>
        <w:t>区采购中心</w:t>
      </w:r>
      <w:r>
        <w:rPr>
          <w:rFonts w:hint="eastAsia" w:ascii="宋体" w:hAnsi="宋体"/>
          <w:color w:val="auto"/>
          <w:sz w:val="28"/>
          <w:szCs w:val="28"/>
          <w:highlight w:val="none"/>
        </w:rPr>
        <w:t>就有关竞争性</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采购活动的所有来往书面文件均须使用中文，施工响应文件中所附或引用的外文资料，应翻译成中文附在相关外文资料后面（说明：供应商的法定代表人为外籍人士的，则法定代表人的签字和护照除外）。</w:t>
      </w:r>
    </w:p>
    <w:p>
      <w:pPr>
        <w:widowControl w:val="0"/>
        <w:numPr>
          <w:ilvl w:val="0"/>
          <w:numId w:val="9"/>
        </w:numPr>
        <w:tabs>
          <w:tab w:val="left" w:pos="1200"/>
        </w:tabs>
        <w:snapToGrid w:val="0"/>
        <w:spacing w:line="640" w:lineRule="exact"/>
        <w:ind w:left="0" w:firstLine="560" w:firstLineChars="200"/>
        <w:jc w:val="both"/>
        <w:rPr>
          <w:rFonts w:ascii="宋体" w:hAnsi="宋体"/>
          <w:color w:val="auto"/>
          <w:sz w:val="28"/>
          <w:szCs w:val="28"/>
          <w:highlight w:val="none"/>
        </w:rPr>
      </w:pPr>
      <w:r>
        <w:rPr>
          <w:rFonts w:hint="eastAsia" w:ascii="宋体" w:hAnsi="宋体"/>
          <w:color w:val="auto"/>
          <w:sz w:val="28"/>
          <w:szCs w:val="28"/>
          <w:highlight w:val="none"/>
        </w:rPr>
        <w:t>对不同文字文本施工响应文件的解释发生异议的，以中文文本为准。若供应商施工响应文件中提供的外文资料未翻译成中文，则</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小组可将其视为无效材料。</w:t>
      </w:r>
    </w:p>
    <w:p>
      <w:pPr>
        <w:pStyle w:val="5"/>
        <w:snapToGrid w:val="0"/>
        <w:spacing w:line="640" w:lineRule="exact"/>
        <w:rPr>
          <w:color w:val="auto"/>
          <w:highlight w:val="none"/>
        </w:rPr>
      </w:pPr>
      <w:r>
        <w:rPr>
          <w:rFonts w:hint="eastAsia"/>
          <w:color w:val="auto"/>
          <w:highlight w:val="none"/>
        </w:rPr>
        <w:t>计量单位</w:t>
      </w:r>
      <w:r>
        <w:rPr>
          <w:rFonts w:hint="eastAsia" w:ascii="仿宋" w:hAnsi="仿宋" w:eastAsia="仿宋"/>
          <w:color w:val="auto"/>
          <w:szCs w:val="21"/>
          <w:highlight w:val="none"/>
          <w:lang w:val="zh-CN"/>
        </w:rPr>
        <w:t>（实质性要求）</w:t>
      </w:r>
    </w:p>
    <w:p>
      <w:pPr>
        <w:widowControl w:val="0"/>
        <w:tabs>
          <w:tab w:val="left" w:pos="1200"/>
        </w:tabs>
        <w:snapToGrid w:val="0"/>
        <w:spacing w:line="640" w:lineRule="exact"/>
        <w:ind w:firstLine="560" w:firstLineChars="200"/>
        <w:jc w:val="both"/>
        <w:rPr>
          <w:rFonts w:ascii="宋体" w:hAnsi="宋体"/>
          <w:color w:val="auto"/>
          <w:sz w:val="28"/>
          <w:szCs w:val="28"/>
          <w:highlight w:val="none"/>
        </w:rPr>
      </w:pPr>
      <w:r>
        <w:rPr>
          <w:rFonts w:hint="eastAsia" w:ascii="宋体" w:hAnsi="宋体"/>
          <w:color w:val="auto"/>
          <w:sz w:val="28"/>
          <w:szCs w:val="28"/>
          <w:highlight w:val="none"/>
        </w:rPr>
        <w:t>除</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文件中另有规定外，本次采购项目所有合同项下的响应均采用国家法定的计量单位。</w:t>
      </w:r>
    </w:p>
    <w:p>
      <w:pPr>
        <w:pStyle w:val="5"/>
        <w:snapToGrid w:val="0"/>
        <w:spacing w:line="640" w:lineRule="exact"/>
        <w:rPr>
          <w:color w:val="auto"/>
          <w:highlight w:val="none"/>
        </w:rPr>
      </w:pPr>
      <w:bookmarkStart w:id="32" w:name="_Toc320698722"/>
      <w:r>
        <w:rPr>
          <w:rFonts w:hint="eastAsia"/>
          <w:color w:val="auto"/>
          <w:highlight w:val="none"/>
        </w:rPr>
        <w:t>报价货币及报价要求</w:t>
      </w:r>
      <w:bookmarkEnd w:id="32"/>
      <w:r>
        <w:rPr>
          <w:rFonts w:hint="eastAsia" w:ascii="仿宋" w:hAnsi="仿宋" w:eastAsia="仿宋"/>
          <w:color w:val="auto"/>
          <w:szCs w:val="21"/>
          <w:highlight w:val="none"/>
          <w:lang w:val="zh-CN"/>
        </w:rPr>
        <w:t>（实质性要求）</w:t>
      </w:r>
    </w:p>
    <w:p>
      <w:pPr>
        <w:pStyle w:val="65"/>
        <w:spacing w:line="360" w:lineRule="auto"/>
        <w:ind w:firstLine="560"/>
        <w:rPr>
          <w:rFonts w:asciiTheme="minorEastAsia" w:hAnsiTheme="minorEastAsia" w:eastAsiaTheme="minorEastAsia"/>
          <w:color w:val="auto"/>
          <w:sz w:val="28"/>
          <w:szCs w:val="28"/>
          <w:highlight w:val="none"/>
        </w:rPr>
      </w:pPr>
      <w:r>
        <w:rPr>
          <w:rFonts w:hint="eastAsia" w:cs="仿宋" w:asciiTheme="minorEastAsia" w:hAnsiTheme="minorEastAsia" w:eastAsiaTheme="minorEastAsia"/>
          <w:color w:val="auto"/>
          <w:sz w:val="28"/>
          <w:szCs w:val="28"/>
          <w:highlight w:val="none"/>
        </w:rPr>
        <w:t>一、供应商应认真核实本项目的工程量清单。工程量清单以电子版为准。</w:t>
      </w:r>
    </w:p>
    <w:p>
      <w:pPr>
        <w:pStyle w:val="65"/>
        <w:spacing w:line="360" w:lineRule="auto"/>
        <w:ind w:firstLine="560"/>
        <w:rPr>
          <w:rFonts w:asciiTheme="minorEastAsia" w:hAnsiTheme="minorEastAsia" w:eastAsiaTheme="minorEastAsia"/>
          <w:color w:val="auto"/>
          <w:sz w:val="28"/>
          <w:szCs w:val="28"/>
          <w:highlight w:val="none"/>
        </w:rPr>
      </w:pPr>
      <w:r>
        <w:rPr>
          <w:rFonts w:hint="eastAsia" w:cs="仿宋" w:asciiTheme="minorEastAsia" w:hAnsiTheme="minorEastAsia" w:eastAsiaTheme="minorEastAsia"/>
          <w:color w:val="auto"/>
          <w:sz w:val="28"/>
          <w:szCs w:val="28"/>
          <w:highlight w:val="none"/>
        </w:rPr>
        <w:t>二、所有报价一律以人民币报价。采购人不接受任何非人民币币种的报价。</w:t>
      </w:r>
    </w:p>
    <w:p>
      <w:pPr>
        <w:pStyle w:val="65"/>
        <w:spacing w:line="360" w:lineRule="auto"/>
        <w:ind w:firstLine="560"/>
        <w:rPr>
          <w:rFonts w:asciiTheme="minorEastAsia" w:hAnsiTheme="minorEastAsia" w:eastAsiaTheme="minorEastAsia"/>
          <w:color w:val="auto"/>
          <w:sz w:val="28"/>
          <w:szCs w:val="28"/>
          <w:highlight w:val="none"/>
        </w:rPr>
      </w:pPr>
      <w:r>
        <w:rPr>
          <w:rFonts w:hint="eastAsia" w:cs="仿宋" w:asciiTheme="minorEastAsia" w:hAnsiTheme="minorEastAsia" w:eastAsiaTheme="minorEastAsia"/>
          <w:color w:val="auto"/>
          <w:sz w:val="28"/>
          <w:szCs w:val="28"/>
          <w:highlight w:val="none"/>
        </w:rPr>
        <w:t>三、供应商的报价是其响应本项目要求的全部工作内容的价格体现，包括供应商完成本项目所需的一切费用。</w:t>
      </w:r>
    </w:p>
    <w:p>
      <w:pPr>
        <w:pStyle w:val="65"/>
        <w:spacing w:line="360" w:lineRule="auto"/>
        <w:ind w:firstLine="560"/>
        <w:rPr>
          <w:rFonts w:asciiTheme="minorEastAsia" w:hAnsiTheme="minorEastAsia" w:eastAsiaTheme="minorEastAsia"/>
          <w:color w:val="auto"/>
          <w:sz w:val="28"/>
          <w:szCs w:val="28"/>
          <w:highlight w:val="none"/>
        </w:rPr>
      </w:pPr>
      <w:r>
        <w:rPr>
          <w:rFonts w:hint="eastAsia" w:cs="仿宋" w:asciiTheme="minorEastAsia" w:hAnsiTheme="minorEastAsia" w:eastAsiaTheme="minorEastAsia"/>
          <w:color w:val="auto"/>
          <w:sz w:val="28"/>
          <w:szCs w:val="28"/>
          <w:highlight w:val="none"/>
        </w:rPr>
        <w:t>四、本项目合同价格形式为：</w:t>
      </w:r>
      <w:r>
        <w:rPr>
          <w:rFonts w:hint="eastAsia" w:cs="仿宋" w:asciiTheme="minorEastAsia" w:hAnsiTheme="minorEastAsia" w:eastAsiaTheme="minorEastAsia"/>
          <w:color w:val="auto"/>
          <w:sz w:val="28"/>
          <w:szCs w:val="28"/>
          <w:highlight w:val="none"/>
          <w:lang w:eastAsia="zh-CN"/>
        </w:rPr>
        <w:t>固定单价合同。</w:t>
      </w:r>
    </w:p>
    <w:p>
      <w:pPr>
        <w:pStyle w:val="65"/>
        <w:spacing w:line="360" w:lineRule="auto"/>
        <w:ind w:firstLine="560"/>
        <w:rPr>
          <w:rFonts w:cs="仿宋" w:asciiTheme="minorEastAsia" w:hAnsiTheme="minorEastAsia" w:eastAsiaTheme="minorEastAsia"/>
          <w:color w:val="auto"/>
          <w:sz w:val="28"/>
          <w:szCs w:val="28"/>
          <w:highlight w:val="none"/>
        </w:rPr>
      </w:pPr>
      <w:r>
        <w:rPr>
          <w:rFonts w:hint="eastAsia" w:cs="仿宋" w:asciiTheme="minorEastAsia" w:hAnsiTheme="minorEastAsia" w:eastAsiaTheme="minorEastAsia"/>
          <w:color w:val="auto"/>
          <w:sz w:val="28"/>
          <w:szCs w:val="28"/>
          <w:highlight w:val="none"/>
        </w:rPr>
        <w:t>五、本项目采用工程量清单报价，</w:t>
      </w:r>
      <w:r>
        <w:rPr>
          <w:rFonts w:hint="eastAsia" w:cs="仿宋" w:asciiTheme="minorEastAsia" w:hAnsiTheme="minorEastAsia" w:eastAsiaTheme="minorEastAsia"/>
          <w:color w:val="auto"/>
          <w:sz w:val="28"/>
          <w:szCs w:val="28"/>
          <w:highlight w:val="none"/>
          <w:lang w:eastAsia="zh-CN"/>
        </w:rPr>
        <w:t>固定单价合同。</w:t>
      </w:r>
    </w:p>
    <w:p>
      <w:pPr>
        <w:pStyle w:val="65"/>
        <w:numPr>
          <w:ilvl w:val="0"/>
          <w:numId w:val="10"/>
        </w:numPr>
        <w:tabs>
          <w:tab w:val="left" w:pos="1134"/>
        </w:tabs>
        <w:spacing w:line="360" w:lineRule="auto"/>
        <w:ind w:left="0" w:firstLine="560" w:firstLineChars="0"/>
        <w:rPr>
          <w:rFonts w:cs="仿宋" w:asciiTheme="minorEastAsia" w:hAnsiTheme="minorEastAsia" w:eastAsiaTheme="minorEastAsia"/>
          <w:color w:val="auto"/>
          <w:sz w:val="28"/>
          <w:szCs w:val="28"/>
          <w:highlight w:val="none"/>
        </w:rPr>
      </w:pPr>
      <w:r>
        <w:rPr>
          <w:rFonts w:hint="eastAsia" w:cs="仿宋" w:asciiTheme="minorEastAsia" w:hAnsiTheme="minorEastAsia" w:eastAsiaTheme="minorEastAsia"/>
          <w:b/>
          <w:bCs/>
          <w:color w:val="auto"/>
          <w:sz w:val="28"/>
          <w:szCs w:val="28"/>
          <w:highlight w:val="none"/>
        </w:rPr>
        <w:t>已标价工程量清单的扉页（仅指投标总价扉页，下同）应由注册或登记在本单位的造价人员签字并盖执业印章</w:t>
      </w:r>
      <w:r>
        <w:rPr>
          <w:rFonts w:hint="eastAsia" w:ascii="宋体" w:hAnsi="宋体"/>
          <w:b/>
          <w:bCs/>
          <w:color w:val="auto"/>
          <w:sz w:val="28"/>
          <w:szCs w:val="28"/>
          <w:highlight w:val="none"/>
        </w:rPr>
        <w:t>（说明：提供造价人员签字并盖执业印章的已标价工程量清单的扉页的复印件，原件签订合同时向采购人提供）</w:t>
      </w:r>
      <w:r>
        <w:rPr>
          <w:rFonts w:hint="eastAsia" w:cs="仿宋" w:asciiTheme="minorEastAsia" w:hAnsiTheme="minorEastAsia" w:eastAsiaTheme="minorEastAsia"/>
          <w:b/>
          <w:bCs/>
          <w:color w:val="auto"/>
          <w:sz w:val="28"/>
          <w:szCs w:val="28"/>
          <w:highlight w:val="none"/>
        </w:rPr>
        <w:t>。</w:t>
      </w:r>
      <w:r>
        <w:rPr>
          <w:rFonts w:hint="eastAsia" w:cs="仿宋" w:asciiTheme="minorEastAsia" w:hAnsiTheme="minorEastAsia" w:eastAsiaTheme="minorEastAsia"/>
          <w:color w:val="auto"/>
          <w:sz w:val="28"/>
          <w:szCs w:val="28"/>
          <w:highlight w:val="none"/>
        </w:rPr>
        <w:t>除此之外，造价人员无需在施工响应文件其他任何地方签字或盖执业印章。</w:t>
      </w:r>
      <w:r>
        <w:rPr>
          <w:rFonts w:hint="eastAsia" w:cs="仿宋" w:asciiTheme="minorEastAsia" w:hAnsiTheme="minorEastAsia" w:eastAsiaTheme="minorEastAsia"/>
          <w:b/>
          <w:bCs/>
          <w:color w:val="auto"/>
          <w:sz w:val="28"/>
          <w:szCs w:val="28"/>
          <w:highlight w:val="none"/>
        </w:rPr>
        <w:t>供应商委托工程造价咨询企业编制已标价工程量清单的，应在施工响应文件中附工程造价咨询委托合同，由注册或登记在工程造价咨询企业的造价人员签字并盖执业印章。</w:t>
      </w:r>
    </w:p>
    <w:p>
      <w:pPr>
        <w:pStyle w:val="65"/>
        <w:numPr>
          <w:ilvl w:val="0"/>
          <w:numId w:val="10"/>
        </w:numPr>
        <w:tabs>
          <w:tab w:val="left" w:pos="1134"/>
        </w:tabs>
        <w:spacing w:line="360" w:lineRule="auto"/>
        <w:ind w:left="0" w:firstLine="560" w:firstLineChars="0"/>
        <w:rPr>
          <w:rFonts w:cs="仿宋" w:asciiTheme="minorEastAsia" w:hAnsiTheme="minorEastAsia" w:eastAsiaTheme="minorEastAsia"/>
          <w:color w:val="auto"/>
          <w:sz w:val="28"/>
          <w:szCs w:val="28"/>
          <w:highlight w:val="none"/>
        </w:rPr>
      </w:pPr>
      <w:r>
        <w:rPr>
          <w:rFonts w:hint="eastAsia" w:cs="仿宋" w:asciiTheme="minorEastAsia" w:hAnsiTheme="minorEastAsia" w:eastAsiaTheme="minorEastAsia"/>
          <w:color w:val="auto"/>
          <w:sz w:val="28"/>
          <w:szCs w:val="28"/>
          <w:highlight w:val="none"/>
        </w:rPr>
        <w:t>供应商最后报价超过政府采购预算或最高限价（控制价）（金额详见“供应商须知附表”）的</w:t>
      </w:r>
      <w:r>
        <w:rPr>
          <w:rFonts w:cs="仿宋" w:asciiTheme="minorEastAsia" w:hAnsiTheme="minorEastAsia" w:eastAsiaTheme="minorEastAsia"/>
          <w:color w:val="auto"/>
          <w:sz w:val="28"/>
          <w:szCs w:val="28"/>
          <w:highlight w:val="none"/>
        </w:rPr>
        <w:t xml:space="preserve">, </w:t>
      </w:r>
      <w:r>
        <w:rPr>
          <w:rFonts w:hint="eastAsia" w:cs="仿宋" w:asciiTheme="minorEastAsia" w:hAnsiTheme="minorEastAsia" w:eastAsiaTheme="minorEastAsia"/>
          <w:color w:val="auto"/>
          <w:sz w:val="28"/>
          <w:szCs w:val="28"/>
          <w:highlight w:val="none"/>
        </w:rPr>
        <w:t>其施工响应文件按无效处理。</w:t>
      </w:r>
    </w:p>
    <w:p>
      <w:pPr>
        <w:pStyle w:val="65"/>
        <w:numPr>
          <w:ilvl w:val="0"/>
          <w:numId w:val="10"/>
        </w:numPr>
        <w:tabs>
          <w:tab w:val="left" w:pos="1134"/>
        </w:tabs>
        <w:spacing w:line="360" w:lineRule="auto"/>
        <w:ind w:left="0" w:firstLine="560" w:firstLineChars="0"/>
        <w:rPr>
          <w:rFonts w:cs="仿宋" w:asciiTheme="minorEastAsia" w:hAnsiTheme="minorEastAsia" w:eastAsiaTheme="minorEastAsia"/>
          <w:b/>
          <w:bCs/>
          <w:color w:val="auto"/>
          <w:sz w:val="28"/>
          <w:szCs w:val="28"/>
          <w:highlight w:val="none"/>
        </w:rPr>
      </w:pPr>
      <w:r>
        <w:rPr>
          <w:rFonts w:hint="eastAsia" w:cs="仿宋" w:asciiTheme="minorEastAsia" w:hAnsiTheme="minorEastAsia" w:eastAsiaTheme="minorEastAsia"/>
          <w:b/>
          <w:bCs/>
          <w:color w:val="auto"/>
          <w:sz w:val="28"/>
          <w:szCs w:val="28"/>
          <w:highlight w:val="none"/>
        </w:rPr>
        <w:t>供应商在首次提交的施工响应文件中的报价（即首次报价）应按</w:t>
      </w:r>
      <w:r>
        <w:rPr>
          <w:rFonts w:hint="eastAsia" w:cs="仿宋" w:asciiTheme="minorEastAsia" w:hAnsiTheme="minorEastAsia" w:eastAsiaTheme="minorEastAsia"/>
          <w:b/>
          <w:bCs/>
          <w:color w:val="auto"/>
          <w:sz w:val="28"/>
          <w:szCs w:val="28"/>
          <w:highlight w:val="none"/>
          <w:lang w:eastAsia="zh-CN"/>
        </w:rPr>
        <w:t>磋商</w:t>
      </w:r>
      <w:r>
        <w:rPr>
          <w:rFonts w:hint="eastAsia" w:cs="仿宋" w:asciiTheme="minorEastAsia" w:hAnsiTheme="minorEastAsia" w:eastAsiaTheme="minorEastAsia"/>
          <w:b/>
          <w:bCs/>
          <w:color w:val="auto"/>
          <w:sz w:val="28"/>
          <w:szCs w:val="28"/>
          <w:highlight w:val="none"/>
        </w:rPr>
        <w:t>文件及工程量清单编制要求，列出报价的构成及明细，包括但不限于分部分项工程、措施项目、其他项目、规费及税金等。其中安全文明施工费、暂列金额、暂估价、规费及税金应按工程量清单（总说明）的要求计取(采购文件工程量清单总说明无规定时除外)。</w:t>
      </w:r>
    </w:p>
    <w:p>
      <w:pPr>
        <w:pStyle w:val="65"/>
        <w:numPr>
          <w:ilvl w:val="0"/>
          <w:numId w:val="10"/>
        </w:numPr>
        <w:tabs>
          <w:tab w:val="left" w:pos="1134"/>
        </w:tabs>
        <w:spacing w:line="360" w:lineRule="auto"/>
        <w:ind w:left="0" w:firstLine="560" w:firstLineChars="0"/>
        <w:rPr>
          <w:rFonts w:cs="仿宋" w:asciiTheme="minorEastAsia" w:hAnsiTheme="minorEastAsia" w:eastAsiaTheme="minorEastAsia"/>
          <w:color w:val="auto"/>
          <w:sz w:val="28"/>
          <w:szCs w:val="28"/>
          <w:highlight w:val="none"/>
        </w:rPr>
      </w:pPr>
      <w:r>
        <w:rPr>
          <w:rFonts w:hint="eastAsia" w:cs="仿宋" w:asciiTheme="minorEastAsia" w:hAnsiTheme="minorEastAsia" w:eastAsiaTheme="minorEastAsia"/>
          <w:color w:val="auto"/>
          <w:sz w:val="28"/>
          <w:szCs w:val="28"/>
          <w:highlight w:val="none"/>
        </w:rPr>
        <w:t>供应商对工程量清单中的分部分项工程量清单项目的单价未填报或填报为零的，视为单价遗漏。出现单价遗漏情况，视为其费用已分摊在工程量清单其他相关子目的单价（价格）之中。如成交供应商应完成该项目，但该项目不得另行计价。</w:t>
      </w:r>
    </w:p>
    <w:p>
      <w:pPr>
        <w:pStyle w:val="65"/>
        <w:numPr>
          <w:ilvl w:val="0"/>
          <w:numId w:val="10"/>
        </w:numPr>
        <w:tabs>
          <w:tab w:val="left" w:pos="1134"/>
        </w:tabs>
        <w:spacing w:line="360" w:lineRule="auto"/>
        <w:ind w:left="0" w:firstLine="560" w:firstLineChars="0"/>
        <w:rPr>
          <w:rFonts w:cs="仿宋" w:asciiTheme="minorEastAsia" w:hAnsiTheme="minorEastAsia" w:eastAsiaTheme="minorEastAsia"/>
          <w:color w:val="auto"/>
          <w:sz w:val="28"/>
          <w:szCs w:val="28"/>
          <w:highlight w:val="none"/>
        </w:rPr>
      </w:pPr>
      <w:r>
        <w:rPr>
          <w:rFonts w:hint="eastAsia" w:cs="仿宋" w:asciiTheme="minorEastAsia" w:hAnsiTheme="minorEastAsia" w:eastAsiaTheme="minorEastAsia"/>
          <w:color w:val="auto"/>
          <w:sz w:val="28"/>
          <w:szCs w:val="28"/>
          <w:highlight w:val="none"/>
        </w:rPr>
        <w:t>供应商提交的已标价工程量清单应符合本项目工程量清单以及清单说明的要求。当供应商的已标价工程量清单有下列情形之一的，应按照无效施工响应文件处理。</w:t>
      </w:r>
    </w:p>
    <w:p>
      <w:pPr>
        <w:pStyle w:val="65"/>
        <w:numPr>
          <w:ilvl w:val="1"/>
          <w:numId w:val="11"/>
        </w:numPr>
        <w:tabs>
          <w:tab w:val="left" w:pos="1418"/>
        </w:tabs>
        <w:spacing w:line="360" w:lineRule="auto"/>
        <w:ind w:left="0" w:firstLine="567" w:firstLineChars="0"/>
        <w:rPr>
          <w:rFonts w:cs="仿宋" w:asciiTheme="minorEastAsia" w:hAnsiTheme="minorEastAsia" w:eastAsiaTheme="minorEastAsia"/>
          <w:color w:val="auto"/>
          <w:sz w:val="28"/>
          <w:szCs w:val="28"/>
          <w:highlight w:val="none"/>
        </w:rPr>
      </w:pPr>
      <w:r>
        <w:rPr>
          <w:rFonts w:hint="eastAsia" w:cs="仿宋" w:asciiTheme="minorEastAsia" w:hAnsiTheme="minorEastAsia" w:eastAsiaTheme="minorEastAsia"/>
          <w:color w:val="auto"/>
          <w:sz w:val="28"/>
          <w:szCs w:val="28"/>
          <w:highlight w:val="none"/>
        </w:rPr>
        <w:t>已标价工程量清单中的项目名称、项目特征描述（与采购文件工程量清单中的项目特征描述的实质性内容一致的除外）、计量单位、工程量与采购文件工程量清单不一致的；</w:t>
      </w:r>
    </w:p>
    <w:p>
      <w:pPr>
        <w:pStyle w:val="65"/>
        <w:numPr>
          <w:ilvl w:val="1"/>
          <w:numId w:val="11"/>
        </w:numPr>
        <w:tabs>
          <w:tab w:val="left" w:pos="1418"/>
        </w:tabs>
        <w:spacing w:line="360" w:lineRule="auto"/>
        <w:ind w:left="0" w:firstLine="567" w:firstLineChars="0"/>
        <w:rPr>
          <w:rFonts w:cs="仿宋" w:asciiTheme="minorEastAsia" w:hAnsiTheme="minorEastAsia" w:eastAsiaTheme="minorEastAsia"/>
          <w:color w:val="auto"/>
          <w:sz w:val="28"/>
          <w:szCs w:val="28"/>
          <w:highlight w:val="none"/>
        </w:rPr>
      </w:pPr>
      <w:r>
        <w:rPr>
          <w:rFonts w:hint="eastAsia" w:cs="仿宋" w:asciiTheme="minorEastAsia" w:hAnsiTheme="minorEastAsia" w:eastAsiaTheme="minorEastAsia"/>
          <w:color w:val="auto"/>
          <w:sz w:val="28"/>
          <w:szCs w:val="28"/>
          <w:highlight w:val="none"/>
        </w:rPr>
        <w:t>供应商未按采购文件工程量清单总说明规定或其持有的《四川省施工企业工程规费计取标准》证书中的规费标准</w:t>
      </w:r>
      <w:r>
        <w:rPr>
          <w:rFonts w:cs="仿宋" w:asciiTheme="minorEastAsia" w:hAnsiTheme="minorEastAsia" w:eastAsiaTheme="minorEastAsia"/>
          <w:color w:val="auto"/>
          <w:sz w:val="28"/>
          <w:szCs w:val="28"/>
          <w:highlight w:val="none"/>
        </w:rPr>
        <w:t>(</w:t>
      </w:r>
      <w:r>
        <w:rPr>
          <w:rFonts w:hint="eastAsia" w:cs="仿宋" w:asciiTheme="minorEastAsia" w:hAnsiTheme="minorEastAsia" w:eastAsiaTheme="minorEastAsia"/>
          <w:color w:val="auto"/>
          <w:sz w:val="28"/>
          <w:szCs w:val="28"/>
          <w:highlight w:val="none"/>
        </w:rPr>
        <w:t>采购文件工程量清单总说明无规定时</w:t>
      </w:r>
      <w:r>
        <w:rPr>
          <w:rFonts w:cs="仿宋" w:asciiTheme="minorEastAsia" w:hAnsiTheme="minorEastAsia" w:eastAsiaTheme="minorEastAsia"/>
          <w:color w:val="auto"/>
          <w:sz w:val="28"/>
          <w:szCs w:val="28"/>
          <w:highlight w:val="none"/>
        </w:rPr>
        <w:t>)</w:t>
      </w:r>
      <w:r>
        <w:rPr>
          <w:rFonts w:hint="eastAsia" w:cs="仿宋" w:asciiTheme="minorEastAsia" w:hAnsiTheme="minorEastAsia" w:eastAsiaTheme="minorEastAsia"/>
          <w:color w:val="auto"/>
          <w:sz w:val="28"/>
          <w:szCs w:val="28"/>
          <w:highlight w:val="none"/>
        </w:rPr>
        <w:t>计取规费的；</w:t>
      </w:r>
    </w:p>
    <w:p>
      <w:pPr>
        <w:pStyle w:val="65"/>
        <w:numPr>
          <w:ilvl w:val="1"/>
          <w:numId w:val="11"/>
        </w:numPr>
        <w:tabs>
          <w:tab w:val="left" w:pos="1418"/>
        </w:tabs>
        <w:spacing w:line="360" w:lineRule="auto"/>
        <w:ind w:left="0" w:firstLine="567" w:firstLineChars="0"/>
        <w:rPr>
          <w:rFonts w:cs="仿宋" w:asciiTheme="minorEastAsia" w:hAnsiTheme="minorEastAsia" w:eastAsiaTheme="minorEastAsia"/>
          <w:color w:val="auto"/>
          <w:sz w:val="28"/>
          <w:szCs w:val="28"/>
          <w:highlight w:val="none"/>
        </w:rPr>
      </w:pPr>
      <w:r>
        <w:rPr>
          <w:rFonts w:hint="eastAsia" w:cs="仿宋" w:asciiTheme="minorEastAsia" w:hAnsiTheme="minorEastAsia" w:eastAsiaTheme="minorEastAsia"/>
          <w:color w:val="auto"/>
          <w:sz w:val="28"/>
          <w:szCs w:val="28"/>
          <w:highlight w:val="none"/>
        </w:rPr>
        <w:t>采购文件明确了安全文明施工费金额或费率并要求按此金额或费率填报而供应商填报错误或未填报的；</w:t>
      </w:r>
    </w:p>
    <w:p>
      <w:pPr>
        <w:pStyle w:val="65"/>
        <w:numPr>
          <w:ilvl w:val="1"/>
          <w:numId w:val="11"/>
        </w:numPr>
        <w:tabs>
          <w:tab w:val="left" w:pos="1418"/>
        </w:tabs>
        <w:spacing w:line="360" w:lineRule="auto"/>
        <w:ind w:left="0" w:firstLine="567" w:firstLineChars="0"/>
        <w:rPr>
          <w:rFonts w:cs="仿宋" w:asciiTheme="minorEastAsia" w:hAnsiTheme="minorEastAsia" w:eastAsiaTheme="minorEastAsia"/>
          <w:color w:val="auto"/>
          <w:sz w:val="28"/>
          <w:szCs w:val="28"/>
          <w:highlight w:val="none"/>
        </w:rPr>
      </w:pPr>
      <w:r>
        <w:rPr>
          <w:rFonts w:hint="eastAsia" w:cs="仿宋" w:asciiTheme="minorEastAsia" w:hAnsiTheme="minorEastAsia" w:eastAsiaTheme="minorEastAsia"/>
          <w:color w:val="auto"/>
          <w:sz w:val="28"/>
          <w:szCs w:val="28"/>
          <w:highlight w:val="none"/>
        </w:rPr>
        <w:t>已标价工程量清单中暂列金额未按采购文件工程量清单中列明的金额填报的；</w:t>
      </w:r>
    </w:p>
    <w:p>
      <w:pPr>
        <w:pStyle w:val="65"/>
        <w:numPr>
          <w:ilvl w:val="1"/>
          <w:numId w:val="11"/>
        </w:numPr>
        <w:tabs>
          <w:tab w:val="left" w:pos="1418"/>
        </w:tabs>
        <w:spacing w:line="360" w:lineRule="auto"/>
        <w:ind w:left="0" w:firstLine="567" w:firstLineChars="0"/>
        <w:rPr>
          <w:rFonts w:cs="仿宋" w:asciiTheme="minorEastAsia" w:hAnsiTheme="minorEastAsia" w:eastAsiaTheme="minorEastAsia"/>
          <w:color w:val="auto"/>
          <w:sz w:val="28"/>
          <w:szCs w:val="28"/>
          <w:highlight w:val="none"/>
        </w:rPr>
      </w:pPr>
      <w:r>
        <w:rPr>
          <w:rFonts w:hint="eastAsia" w:cs="仿宋" w:asciiTheme="minorEastAsia" w:hAnsiTheme="minorEastAsia" w:eastAsiaTheme="minorEastAsia"/>
          <w:color w:val="auto"/>
          <w:sz w:val="28"/>
          <w:szCs w:val="28"/>
          <w:highlight w:val="none"/>
        </w:rPr>
        <w:t>已标价工程量清单中材料、工程设备暂估价未按采购文件工程量清单中列出的单价计入综合单价的；</w:t>
      </w:r>
    </w:p>
    <w:p>
      <w:pPr>
        <w:pStyle w:val="65"/>
        <w:numPr>
          <w:ilvl w:val="1"/>
          <w:numId w:val="11"/>
        </w:numPr>
        <w:tabs>
          <w:tab w:val="left" w:pos="1418"/>
        </w:tabs>
        <w:spacing w:line="360" w:lineRule="auto"/>
        <w:ind w:left="0" w:firstLine="567" w:firstLineChars="0"/>
        <w:rPr>
          <w:rFonts w:cs="仿宋" w:asciiTheme="minorEastAsia" w:hAnsiTheme="minorEastAsia" w:eastAsiaTheme="minorEastAsia"/>
          <w:color w:val="auto"/>
          <w:sz w:val="28"/>
          <w:szCs w:val="28"/>
          <w:highlight w:val="none"/>
        </w:rPr>
      </w:pPr>
      <w:r>
        <w:rPr>
          <w:rFonts w:hint="eastAsia" w:cs="仿宋" w:asciiTheme="minorEastAsia" w:hAnsiTheme="minorEastAsia" w:eastAsiaTheme="minorEastAsia"/>
          <w:color w:val="auto"/>
          <w:sz w:val="28"/>
          <w:szCs w:val="28"/>
          <w:highlight w:val="none"/>
        </w:rPr>
        <w:t>已标价工程量清单中专业工程暂估价未按采购文件工程量清单中列明的金额填写的；</w:t>
      </w:r>
    </w:p>
    <w:p>
      <w:pPr>
        <w:pStyle w:val="65"/>
        <w:numPr>
          <w:ilvl w:val="1"/>
          <w:numId w:val="11"/>
        </w:numPr>
        <w:tabs>
          <w:tab w:val="left" w:pos="1418"/>
        </w:tabs>
        <w:spacing w:line="360" w:lineRule="auto"/>
        <w:ind w:left="0" w:firstLine="567" w:firstLineChars="0"/>
        <w:rPr>
          <w:rFonts w:cs="仿宋" w:asciiTheme="minorEastAsia" w:hAnsiTheme="minorEastAsia" w:eastAsiaTheme="minorEastAsia"/>
          <w:color w:val="auto"/>
          <w:sz w:val="28"/>
          <w:szCs w:val="28"/>
          <w:highlight w:val="none"/>
        </w:rPr>
      </w:pPr>
      <w:r>
        <w:rPr>
          <w:rFonts w:hint="eastAsia" w:cs="仿宋" w:asciiTheme="minorEastAsia" w:hAnsiTheme="minorEastAsia" w:eastAsiaTheme="minorEastAsia"/>
          <w:color w:val="auto"/>
          <w:sz w:val="28"/>
          <w:szCs w:val="28"/>
          <w:highlight w:val="none"/>
        </w:rPr>
        <w:t>已标价工程量清单中计日工未按采购文件工程量清单中列明的数量进行报价的；</w:t>
      </w:r>
    </w:p>
    <w:p>
      <w:pPr>
        <w:pStyle w:val="65"/>
        <w:numPr>
          <w:ilvl w:val="1"/>
          <w:numId w:val="11"/>
        </w:numPr>
        <w:tabs>
          <w:tab w:val="left" w:pos="1418"/>
        </w:tabs>
        <w:spacing w:line="360" w:lineRule="auto"/>
        <w:ind w:left="0" w:firstLine="567" w:firstLineChars="0"/>
        <w:rPr>
          <w:rFonts w:cs="仿宋" w:asciiTheme="minorEastAsia" w:hAnsiTheme="minorEastAsia" w:eastAsiaTheme="minorEastAsia"/>
          <w:color w:val="auto"/>
          <w:sz w:val="28"/>
          <w:szCs w:val="28"/>
          <w:highlight w:val="none"/>
        </w:rPr>
      </w:pPr>
      <w:r>
        <w:rPr>
          <w:rFonts w:hint="eastAsia" w:cs="仿宋" w:asciiTheme="minorEastAsia" w:hAnsiTheme="minorEastAsia" w:eastAsiaTheme="minorEastAsia"/>
          <w:color w:val="auto"/>
          <w:sz w:val="28"/>
          <w:szCs w:val="28"/>
          <w:highlight w:val="none"/>
        </w:rPr>
        <w:t>当已标价工程量清单中的任何单价、合价或总价，出现两个及以上金额的。</w:t>
      </w:r>
    </w:p>
    <w:p>
      <w:pPr>
        <w:pStyle w:val="65"/>
        <w:numPr>
          <w:ilvl w:val="0"/>
          <w:numId w:val="10"/>
        </w:numPr>
        <w:tabs>
          <w:tab w:val="left" w:pos="1134"/>
        </w:tabs>
        <w:spacing w:line="360" w:lineRule="auto"/>
        <w:ind w:left="0" w:firstLine="560" w:firstLineChars="0"/>
        <w:rPr>
          <w:rFonts w:cs="仿宋" w:asciiTheme="minorEastAsia" w:hAnsiTheme="minorEastAsia" w:eastAsiaTheme="minorEastAsia"/>
          <w:color w:val="auto"/>
          <w:sz w:val="28"/>
          <w:szCs w:val="28"/>
          <w:highlight w:val="none"/>
        </w:rPr>
      </w:pPr>
      <w:r>
        <w:rPr>
          <w:rFonts w:hint="eastAsia" w:cs="仿宋" w:asciiTheme="minorEastAsia" w:hAnsiTheme="minorEastAsia" w:eastAsiaTheme="minorEastAsia"/>
          <w:color w:val="auto"/>
          <w:sz w:val="28"/>
          <w:szCs w:val="28"/>
          <w:highlight w:val="none"/>
        </w:rPr>
        <w:t>若供应商的最后报价只有一个总价，且相对首次报价有调整（上调取“</w:t>
      </w:r>
      <w:r>
        <w:rPr>
          <w:rFonts w:cs="仿宋" w:asciiTheme="minorEastAsia" w:hAnsiTheme="minorEastAsia" w:eastAsiaTheme="minorEastAsia"/>
          <w:color w:val="auto"/>
          <w:sz w:val="28"/>
          <w:szCs w:val="28"/>
          <w:highlight w:val="none"/>
        </w:rPr>
        <w:t>+</w:t>
      </w:r>
      <w:r>
        <w:rPr>
          <w:rFonts w:hint="eastAsia" w:cs="仿宋" w:asciiTheme="minorEastAsia" w:hAnsiTheme="minorEastAsia" w:eastAsiaTheme="minorEastAsia"/>
          <w:color w:val="auto"/>
          <w:sz w:val="28"/>
          <w:szCs w:val="28"/>
          <w:highlight w:val="none"/>
        </w:rPr>
        <w:t>”，下调取“</w:t>
      </w:r>
      <w:r>
        <w:rPr>
          <w:rFonts w:cs="仿宋" w:asciiTheme="minorEastAsia" w:hAnsiTheme="minorEastAsia" w:eastAsiaTheme="minorEastAsia"/>
          <w:color w:val="auto"/>
          <w:sz w:val="28"/>
          <w:szCs w:val="28"/>
          <w:highlight w:val="none"/>
        </w:rPr>
        <w:t>-</w:t>
      </w:r>
      <w:r>
        <w:rPr>
          <w:rFonts w:hint="eastAsia" w:cs="仿宋" w:asciiTheme="minorEastAsia" w:hAnsiTheme="minorEastAsia" w:eastAsiaTheme="minorEastAsia"/>
          <w:color w:val="auto"/>
          <w:sz w:val="28"/>
          <w:szCs w:val="28"/>
          <w:highlight w:val="none"/>
        </w:rPr>
        <w:t>”），则该调整金额将会以百分比（</w:t>
      </w:r>
      <w:r>
        <w:rPr>
          <w:rFonts w:cs="仿宋" w:asciiTheme="minorEastAsia" w:hAnsiTheme="minorEastAsia" w:eastAsiaTheme="minorEastAsia"/>
          <w:color w:val="auto"/>
          <w:sz w:val="28"/>
          <w:szCs w:val="28"/>
          <w:highlight w:val="none"/>
        </w:rPr>
        <w:t>A</w:t>
      </w:r>
      <w:r>
        <w:rPr>
          <w:rFonts w:hint="eastAsia" w:cs="仿宋" w:asciiTheme="minorEastAsia" w:hAnsiTheme="minorEastAsia" w:eastAsiaTheme="minorEastAsia"/>
          <w:color w:val="auto"/>
          <w:sz w:val="28"/>
          <w:szCs w:val="28"/>
          <w:highlight w:val="none"/>
        </w:rPr>
        <w:t>）形式套用于首次报价中除暂列金额、专业暂估价以及包干费用以外的各项目单价，调整后的单价（</w:t>
      </w:r>
      <w:r>
        <w:rPr>
          <w:rFonts w:cs="仿宋" w:asciiTheme="minorEastAsia" w:hAnsiTheme="minorEastAsia" w:eastAsiaTheme="minorEastAsia"/>
          <w:color w:val="auto"/>
          <w:sz w:val="28"/>
          <w:szCs w:val="28"/>
          <w:highlight w:val="none"/>
        </w:rPr>
        <w:t>B</w:t>
      </w:r>
      <w:r>
        <w:rPr>
          <w:rFonts w:hint="eastAsia" w:cs="仿宋" w:asciiTheme="minorEastAsia" w:hAnsiTheme="minorEastAsia" w:eastAsiaTheme="minorEastAsia"/>
          <w:color w:val="auto"/>
          <w:sz w:val="28"/>
          <w:szCs w:val="28"/>
          <w:highlight w:val="none"/>
        </w:rPr>
        <w:t>）作为工程变更及竣工结算的依据。百分比（</w:t>
      </w:r>
      <w:r>
        <w:rPr>
          <w:rFonts w:cs="仿宋" w:asciiTheme="minorEastAsia" w:hAnsiTheme="minorEastAsia" w:eastAsiaTheme="minorEastAsia"/>
          <w:color w:val="auto"/>
          <w:sz w:val="28"/>
          <w:szCs w:val="28"/>
          <w:highlight w:val="none"/>
        </w:rPr>
        <w:t>A</w:t>
      </w:r>
      <w:r>
        <w:rPr>
          <w:rFonts w:hint="eastAsia" w:cs="仿宋" w:asciiTheme="minorEastAsia" w:hAnsiTheme="minorEastAsia" w:eastAsiaTheme="minorEastAsia"/>
          <w:color w:val="auto"/>
          <w:sz w:val="28"/>
          <w:szCs w:val="28"/>
          <w:highlight w:val="none"/>
        </w:rPr>
        <w:t>）计算如下（保留两位小数）：</w:t>
      </w:r>
    </w:p>
    <w:p>
      <w:pPr>
        <w:pStyle w:val="65"/>
        <w:numPr>
          <w:ilvl w:val="0"/>
          <w:numId w:val="0"/>
        </w:numPr>
        <w:tabs>
          <w:tab w:val="left" w:pos="1134"/>
        </w:tabs>
        <w:spacing w:line="360" w:lineRule="auto"/>
        <w:ind w:left="0" w:leftChars="0" w:firstLine="0" w:firstLineChars="0"/>
        <w:rPr>
          <w:rFonts w:hint="eastAsia" w:cs="仿宋" w:asciiTheme="minorEastAsia" w:hAnsiTheme="minorEastAsia" w:eastAsiaTheme="minorEastAsia"/>
          <w:color w:val="auto"/>
          <w:sz w:val="28"/>
          <w:szCs w:val="28"/>
          <w:highlight w:val="none"/>
          <w:lang w:eastAsia="zh-CN"/>
        </w:rPr>
      </w:pPr>
      <w:r>
        <w:rPr>
          <w:rFonts w:hint="eastAsia" w:cs="仿宋" w:asciiTheme="minorEastAsia" w:hAnsiTheme="minorEastAsia" w:eastAsiaTheme="minorEastAsia"/>
          <w:color w:val="auto"/>
          <w:position w:val="-10"/>
          <w:sz w:val="28"/>
          <w:szCs w:val="28"/>
          <w:highlight w:val="none"/>
          <w:lang w:eastAsia="zh-CN"/>
        </w:rPr>
        <w:object>
          <v:shape id="_x0000_i1025" o:spt="75" type="#_x0000_t75" style="height:17pt;width:72pt;" o:ole="t" filled="f" o:preferrelative="t" stroked="f" coordsize="21600,21600">
            <v:path/>
            <v:fill on="f" focussize="0,0"/>
            <v:stroke on="f"/>
            <v:imagedata r:id="rId15" o:title=""/>
            <o:lock v:ext="edit" aspectratio="t"/>
            <w10:wrap type="none"/>
            <w10:anchorlock/>
          </v:shape>
          <o:OLEObject Type="Embed" ProgID="Equation.KSEE3" ShapeID="_x0000_i1025" DrawAspect="Content" ObjectID="_1468075725" r:id="rId14">
            <o:LockedField>false</o:LockedField>
          </o:OLEObject>
        </w:object>
      </w:r>
    </w:p>
    <w:p>
      <w:pPr>
        <w:spacing w:line="240" w:lineRule="atLeast"/>
        <w:ind w:firstLine="546" w:firstLineChars="195"/>
        <w:rPr>
          <w:rFonts w:ascii="宋体" w:hAnsi="宋体"/>
          <w:bCs/>
          <w:color w:val="auto"/>
          <w:sz w:val="28"/>
          <w:szCs w:val="28"/>
          <w:highlight w:val="none"/>
        </w:rPr>
      </w:pPr>
      <w:bookmarkStart w:id="33" w:name="_Toc320698723"/>
      <w:r>
        <w:rPr>
          <w:rFonts w:hint="eastAsia" w:ascii="宋体" w:hAnsi="宋体"/>
          <w:bCs/>
          <w:color w:val="auto"/>
          <w:sz w:val="28"/>
          <w:szCs w:val="28"/>
          <w:highlight w:val="none"/>
        </w:rPr>
        <w:t xml:space="preserve">                （</w:t>
      </w:r>
      <w:r>
        <w:rPr>
          <w:rFonts w:hint="eastAsia" w:ascii="宋体" w:hAnsi="宋体" w:cs="Cambria Math"/>
          <w:bCs/>
          <w:color w:val="auto"/>
          <w:sz w:val="28"/>
          <w:szCs w:val="28"/>
          <w:highlight w:val="none"/>
        </w:rPr>
        <w:t>±</w:t>
      </w:r>
      <w:r>
        <w:rPr>
          <w:rFonts w:ascii="宋体" w:hAnsi="宋体"/>
          <w:bCs/>
          <w:color w:val="auto"/>
          <w:sz w:val="28"/>
          <w:szCs w:val="28"/>
          <w:highlight w:val="none"/>
        </w:rPr>
        <w:t>）</w:t>
      </w:r>
      <w:r>
        <w:rPr>
          <w:rFonts w:hint="eastAsia" w:ascii="宋体" w:hAnsi="宋体"/>
          <w:bCs/>
          <w:color w:val="auto"/>
          <w:sz w:val="28"/>
          <w:szCs w:val="28"/>
          <w:highlight w:val="none"/>
        </w:rPr>
        <w:t xml:space="preserve">调整金额                                                  </w:t>
      </w:r>
    </w:p>
    <w:p>
      <w:pPr>
        <w:spacing w:line="240" w:lineRule="atLeast"/>
        <w:rPr>
          <w:rFonts w:ascii="宋体" w:hAnsi="宋体"/>
          <w:bCs/>
          <w:color w:val="auto"/>
          <w:sz w:val="28"/>
          <w:szCs w:val="28"/>
          <w:highlight w:val="none"/>
        </w:rPr>
      </w:pPr>
      <w:r>
        <w:rPr>
          <w:rFonts w:hint="eastAsia" w:ascii="宋体" w:hAnsi="宋体"/>
          <w:bCs/>
          <w:color w:val="auto"/>
          <w:sz w:val="28"/>
          <w:szCs w:val="28"/>
          <w:highlight w:val="none"/>
        </w:rPr>
        <w:t>百分比（A</w:t>
      </w:r>
      <w:r>
        <w:rPr>
          <w:rFonts w:ascii="宋体" w:hAnsi="宋体"/>
          <w:bCs/>
          <w:color w:val="auto"/>
          <w:sz w:val="28"/>
          <w:szCs w:val="28"/>
          <w:highlight w:val="none"/>
        </w:rPr>
        <w:t>）</w:t>
      </w:r>
      <w:r>
        <w:rPr>
          <w:rFonts w:hint="eastAsia" w:ascii="宋体" w:hAnsi="宋体"/>
          <w:bCs/>
          <w:color w:val="auto"/>
          <w:sz w:val="28"/>
          <w:szCs w:val="28"/>
          <w:highlight w:val="none"/>
        </w:rPr>
        <w:t xml:space="preserve">= </w:t>
      </w:r>
      <w:r>
        <w:rPr>
          <w:rFonts w:hint="eastAsia" w:ascii="宋体" w:hAnsi="宋体"/>
          <w:bCs/>
          <w:strike/>
          <w:color w:val="auto"/>
          <w:sz w:val="28"/>
          <w:szCs w:val="28"/>
          <w:highlight w:val="none"/>
        </w:rPr>
        <w:t xml:space="preserve">                           </w:t>
      </w:r>
      <w:r>
        <w:rPr>
          <w:rFonts w:ascii="宋体" w:hAnsi="宋体"/>
          <w:bCs/>
          <w:strike/>
          <w:color w:val="auto"/>
          <w:sz w:val="28"/>
          <w:szCs w:val="28"/>
          <w:highlight w:val="none"/>
        </w:rPr>
        <w:t xml:space="preserve"> </w:t>
      </w:r>
      <w:r>
        <w:rPr>
          <w:rFonts w:hint="eastAsia" w:ascii="宋体" w:hAnsi="宋体"/>
          <w:bCs/>
          <w:strike/>
          <w:color w:val="auto"/>
          <w:sz w:val="28"/>
          <w:szCs w:val="28"/>
          <w:highlight w:val="none"/>
        </w:rPr>
        <w:t xml:space="preserve">      </w:t>
      </w:r>
      <w:r>
        <w:rPr>
          <w:rFonts w:ascii="宋体" w:hAnsi="宋体"/>
          <w:bCs/>
          <w:strike/>
          <w:color w:val="auto"/>
          <w:sz w:val="28"/>
          <w:szCs w:val="28"/>
          <w:highlight w:val="none"/>
        </w:rPr>
        <w:t xml:space="preserve">   </w:t>
      </w:r>
      <w:r>
        <w:rPr>
          <w:rFonts w:hint="eastAsia" w:ascii="宋体" w:hAnsi="宋体"/>
          <w:bCs/>
          <w:strike/>
          <w:color w:val="auto"/>
          <w:sz w:val="28"/>
          <w:szCs w:val="28"/>
          <w:highlight w:val="none"/>
          <w:lang w:val="en-US" w:eastAsia="zh-CN"/>
        </w:rPr>
        <w:t xml:space="preserve">      </w:t>
      </w:r>
      <w:r>
        <w:rPr>
          <w:rFonts w:hint="eastAsia" w:ascii="宋体" w:hAnsi="宋体"/>
          <w:bCs/>
          <w:color w:val="auto"/>
          <w:sz w:val="28"/>
          <w:szCs w:val="28"/>
          <w:highlight w:val="none"/>
        </w:rPr>
        <w:t>×100%</w:t>
      </w:r>
    </w:p>
    <w:p>
      <w:pPr>
        <w:spacing w:line="360" w:lineRule="auto"/>
        <w:ind w:firstLine="990" w:firstLineChars="550"/>
        <w:rPr>
          <w:rFonts w:hint="eastAsia" w:ascii="宋体" w:hAnsi="宋体"/>
          <w:bCs/>
          <w:color w:val="auto"/>
          <w:sz w:val="21"/>
          <w:szCs w:val="21"/>
          <w:highlight w:val="none"/>
        </w:rPr>
      </w:pPr>
      <w:r>
        <w:rPr>
          <w:rFonts w:hint="eastAsia" w:ascii="宋体" w:hAnsi="宋体"/>
          <w:bCs/>
          <w:color w:val="auto"/>
          <w:sz w:val="18"/>
          <w:szCs w:val="18"/>
          <w:highlight w:val="none"/>
          <w:lang w:val="en-US" w:eastAsia="zh-CN"/>
        </w:rPr>
        <w:t xml:space="preserve">      </w:t>
      </w:r>
      <w:r>
        <w:rPr>
          <w:rFonts w:hint="eastAsia" w:ascii="宋体" w:hAnsi="宋体"/>
          <w:bCs/>
          <w:color w:val="auto"/>
          <w:sz w:val="21"/>
          <w:szCs w:val="21"/>
          <w:highlight w:val="none"/>
          <w:lang w:val="en-US" w:eastAsia="zh-CN"/>
        </w:rPr>
        <w:t xml:space="preserve">   </w:t>
      </w:r>
      <w:r>
        <w:rPr>
          <w:rFonts w:hint="eastAsia" w:ascii="宋体" w:hAnsi="宋体"/>
          <w:bCs/>
          <w:color w:val="auto"/>
          <w:sz w:val="21"/>
          <w:szCs w:val="21"/>
          <w:highlight w:val="none"/>
        </w:rPr>
        <w:t>修正后的首次报价-暂列金额-</w:t>
      </w:r>
      <w:r>
        <w:rPr>
          <w:rFonts w:ascii="宋体" w:hAnsi="宋体"/>
          <w:bCs/>
          <w:color w:val="auto"/>
          <w:sz w:val="21"/>
          <w:szCs w:val="21"/>
          <w:highlight w:val="none"/>
        </w:rPr>
        <w:t>专业工程</w:t>
      </w:r>
      <w:r>
        <w:rPr>
          <w:rFonts w:hint="eastAsia" w:ascii="宋体" w:hAnsi="宋体"/>
          <w:bCs/>
          <w:color w:val="auto"/>
          <w:sz w:val="21"/>
          <w:szCs w:val="21"/>
          <w:highlight w:val="none"/>
        </w:rPr>
        <w:t>暂估价-包干费用</w:t>
      </w:r>
    </w:p>
    <w:p>
      <w:pPr>
        <w:pStyle w:val="2"/>
        <w:rPr>
          <w:color w:val="auto"/>
          <w:highlight w:val="none"/>
        </w:rPr>
      </w:pPr>
    </w:p>
    <w:p>
      <w:pPr>
        <w:pStyle w:val="128"/>
        <w:tabs>
          <w:tab w:val="left" w:pos="1134"/>
        </w:tabs>
        <w:spacing w:line="360" w:lineRule="auto"/>
        <w:ind w:firstLine="0" w:firstLineChars="0"/>
        <w:rPr>
          <w:rFonts w:cs="仿宋" w:asciiTheme="minorEastAsia" w:hAnsiTheme="minorEastAsia" w:eastAsiaTheme="minorEastAsia"/>
          <w:color w:val="auto"/>
          <w:sz w:val="28"/>
          <w:szCs w:val="28"/>
          <w:highlight w:val="none"/>
        </w:rPr>
      </w:pPr>
      <w:r>
        <w:rPr>
          <w:rFonts w:hint="eastAsia" w:ascii="宋体" w:hAnsi="宋体"/>
          <w:bCs/>
          <w:color w:val="auto"/>
          <w:sz w:val="28"/>
          <w:szCs w:val="28"/>
          <w:highlight w:val="none"/>
          <w:lang w:val="en-US" w:eastAsia="zh-CN"/>
        </w:rPr>
        <w:t xml:space="preserve">    </w:t>
      </w:r>
      <w:r>
        <w:rPr>
          <w:rFonts w:hint="eastAsia" w:ascii="宋体" w:hAnsi="宋体"/>
          <w:bCs/>
          <w:color w:val="auto"/>
          <w:sz w:val="28"/>
          <w:szCs w:val="28"/>
          <w:highlight w:val="none"/>
        </w:rPr>
        <w:t>调整</w:t>
      </w:r>
      <w:r>
        <w:rPr>
          <w:rFonts w:ascii="宋体" w:hAnsi="宋体"/>
          <w:bCs/>
          <w:color w:val="auto"/>
          <w:sz w:val="28"/>
          <w:szCs w:val="28"/>
          <w:highlight w:val="none"/>
        </w:rPr>
        <w:t>后的单价</w:t>
      </w:r>
      <w:r>
        <w:rPr>
          <w:rFonts w:hint="eastAsia" w:ascii="宋体" w:hAnsi="宋体"/>
          <w:bCs/>
          <w:color w:val="auto"/>
          <w:sz w:val="28"/>
          <w:szCs w:val="28"/>
          <w:highlight w:val="none"/>
        </w:rPr>
        <w:t>B</w:t>
      </w:r>
      <w:r>
        <w:rPr>
          <w:rFonts w:ascii="宋体" w:hAnsi="宋体"/>
          <w:bCs/>
          <w:color w:val="auto"/>
          <w:sz w:val="28"/>
          <w:szCs w:val="28"/>
          <w:highlight w:val="none"/>
        </w:rPr>
        <w:t xml:space="preserve"> =</w:t>
      </w:r>
      <w:r>
        <w:rPr>
          <w:rFonts w:hint="eastAsia" w:ascii="宋体" w:hAnsi="宋体"/>
          <w:bCs/>
          <w:color w:val="auto"/>
          <w:sz w:val="28"/>
          <w:szCs w:val="28"/>
          <w:highlight w:val="none"/>
        </w:rPr>
        <w:t>修正后的首次报价中</w:t>
      </w:r>
      <w:r>
        <w:rPr>
          <w:rFonts w:ascii="宋体" w:hAnsi="宋体"/>
          <w:bCs/>
          <w:color w:val="auto"/>
          <w:sz w:val="28"/>
          <w:szCs w:val="28"/>
          <w:highlight w:val="none"/>
        </w:rPr>
        <w:t>的单价</w:t>
      </w:r>
      <w:r>
        <w:rPr>
          <w:rFonts w:hint="eastAsia" w:ascii="宋体" w:hAnsi="宋体"/>
          <w:bCs/>
          <w:color w:val="auto"/>
          <w:sz w:val="28"/>
          <w:szCs w:val="28"/>
          <w:highlight w:val="none"/>
        </w:rPr>
        <w:t>×（</w:t>
      </w:r>
      <w:r>
        <w:rPr>
          <w:rFonts w:ascii="宋体" w:hAnsi="宋体"/>
          <w:bCs/>
          <w:color w:val="auto"/>
          <w:sz w:val="28"/>
          <w:szCs w:val="28"/>
          <w:highlight w:val="none"/>
        </w:rPr>
        <w:t>1 + A</w:t>
      </w:r>
      <w:r>
        <w:rPr>
          <w:rFonts w:hint="eastAsia" w:ascii="宋体" w:hAnsi="宋体"/>
          <w:bCs/>
          <w:color w:val="auto"/>
          <w:sz w:val="28"/>
          <w:szCs w:val="28"/>
          <w:highlight w:val="none"/>
        </w:rPr>
        <w:t>）</w:t>
      </w:r>
    </w:p>
    <w:p>
      <w:pPr>
        <w:pStyle w:val="128"/>
        <w:spacing w:line="360" w:lineRule="auto"/>
        <w:ind w:firstLine="567" w:firstLineChars="0"/>
        <w:rPr>
          <w:rFonts w:cs="仿宋" w:asciiTheme="minorEastAsia" w:hAnsiTheme="minorEastAsia" w:eastAsiaTheme="minorEastAsia"/>
          <w:color w:val="auto"/>
          <w:sz w:val="28"/>
          <w:szCs w:val="28"/>
          <w:highlight w:val="none"/>
        </w:rPr>
      </w:pPr>
      <w:r>
        <w:rPr>
          <w:rFonts w:hint="eastAsia" w:cs="仿宋" w:asciiTheme="minorEastAsia" w:hAnsiTheme="minorEastAsia" w:eastAsiaTheme="minorEastAsia"/>
          <w:color w:val="auto"/>
          <w:sz w:val="28"/>
          <w:szCs w:val="28"/>
          <w:highlight w:val="none"/>
        </w:rPr>
        <w:t>本项目提供的工程量清单</w:t>
      </w:r>
      <w:r>
        <w:rPr>
          <w:rFonts w:cs="仿宋" w:asciiTheme="minorEastAsia" w:hAnsiTheme="minorEastAsia" w:eastAsiaTheme="minorEastAsia"/>
          <w:color w:val="auto"/>
          <w:sz w:val="28"/>
          <w:szCs w:val="28"/>
          <w:highlight w:val="none"/>
        </w:rPr>
        <w:t>(</w:t>
      </w:r>
      <w:r>
        <w:rPr>
          <w:rFonts w:hint="eastAsia" w:cs="仿宋" w:asciiTheme="minorEastAsia" w:hAnsiTheme="minorEastAsia" w:eastAsiaTheme="minorEastAsia"/>
          <w:color w:val="auto"/>
          <w:sz w:val="28"/>
          <w:szCs w:val="28"/>
          <w:highlight w:val="none"/>
        </w:rPr>
        <w:t>控制价</w:t>
      </w:r>
      <w:r>
        <w:rPr>
          <w:rFonts w:cs="仿宋" w:asciiTheme="minorEastAsia" w:hAnsiTheme="minorEastAsia" w:eastAsiaTheme="minorEastAsia"/>
          <w:color w:val="auto"/>
          <w:sz w:val="28"/>
          <w:szCs w:val="28"/>
          <w:highlight w:val="none"/>
        </w:rPr>
        <w:t>)</w:t>
      </w:r>
      <w:r>
        <w:rPr>
          <w:rFonts w:hint="eastAsia" w:cs="仿宋" w:asciiTheme="minorEastAsia" w:hAnsiTheme="minorEastAsia" w:eastAsiaTheme="minorEastAsia"/>
          <w:color w:val="auto"/>
          <w:sz w:val="28"/>
          <w:szCs w:val="28"/>
          <w:highlight w:val="none"/>
        </w:rPr>
        <w:t>用于供应商核算成本</w:t>
      </w:r>
      <w:r>
        <w:rPr>
          <w:rFonts w:cs="仿宋" w:asciiTheme="minorEastAsia" w:hAnsiTheme="minorEastAsia" w:eastAsiaTheme="minorEastAsia"/>
          <w:color w:val="auto"/>
          <w:sz w:val="28"/>
          <w:szCs w:val="28"/>
          <w:highlight w:val="none"/>
        </w:rPr>
        <w:t>,</w:t>
      </w:r>
      <w:r>
        <w:rPr>
          <w:rFonts w:hint="eastAsia" w:cs="仿宋" w:asciiTheme="minorEastAsia" w:hAnsiTheme="minorEastAsia" w:eastAsiaTheme="minorEastAsia"/>
          <w:color w:val="auto"/>
          <w:sz w:val="28"/>
          <w:szCs w:val="28"/>
          <w:highlight w:val="none"/>
        </w:rPr>
        <w:t>除标价外所有内容必须完全响应</w:t>
      </w:r>
      <w:r>
        <w:rPr>
          <w:rFonts w:cs="仿宋" w:asciiTheme="minorEastAsia" w:hAnsiTheme="minorEastAsia" w:eastAsiaTheme="minorEastAsia"/>
          <w:color w:val="auto"/>
          <w:sz w:val="28"/>
          <w:szCs w:val="28"/>
          <w:highlight w:val="none"/>
        </w:rPr>
        <w:t>,</w:t>
      </w:r>
      <w:r>
        <w:rPr>
          <w:rFonts w:hint="eastAsia" w:cs="仿宋" w:asciiTheme="minorEastAsia" w:hAnsiTheme="minorEastAsia" w:eastAsiaTheme="minorEastAsia"/>
          <w:color w:val="auto"/>
          <w:sz w:val="28"/>
          <w:szCs w:val="28"/>
          <w:highlight w:val="none"/>
        </w:rPr>
        <w:t>施工响应文件中可不提供清单计价表</w:t>
      </w:r>
      <w:r>
        <w:rPr>
          <w:rFonts w:cs="仿宋" w:asciiTheme="minorEastAsia" w:hAnsiTheme="minorEastAsia" w:eastAsiaTheme="minorEastAsia"/>
          <w:color w:val="auto"/>
          <w:sz w:val="28"/>
          <w:szCs w:val="28"/>
          <w:highlight w:val="none"/>
        </w:rPr>
        <w:t>,</w:t>
      </w:r>
      <w:r>
        <w:rPr>
          <w:rFonts w:hint="eastAsia" w:cs="仿宋" w:asciiTheme="minorEastAsia" w:hAnsiTheme="minorEastAsia" w:eastAsiaTheme="minorEastAsia"/>
          <w:color w:val="auto"/>
          <w:sz w:val="28"/>
          <w:szCs w:val="28"/>
          <w:highlight w:val="none"/>
        </w:rPr>
        <w:t>响应即可。</w:t>
      </w:r>
      <w:r>
        <w:rPr>
          <w:rFonts w:cs="仿宋" w:asciiTheme="minorEastAsia" w:hAnsiTheme="minorEastAsia" w:eastAsiaTheme="minorEastAsia"/>
          <w:color w:val="auto"/>
          <w:sz w:val="28"/>
          <w:szCs w:val="28"/>
          <w:highlight w:val="none"/>
        </w:rPr>
        <w:t>(</w:t>
      </w:r>
      <w:r>
        <w:rPr>
          <w:rFonts w:hint="eastAsia" w:cs="仿宋" w:asciiTheme="minorEastAsia" w:hAnsiTheme="minorEastAsia" w:eastAsiaTheme="minorEastAsia"/>
          <w:color w:val="auto"/>
          <w:sz w:val="28"/>
          <w:szCs w:val="28"/>
          <w:highlight w:val="none"/>
        </w:rPr>
        <w:t>若提供清单计价表，其中所有内容均不作为签订、履行合同依据；也不作为结算依据。结算按固定综合单价合同相关规定执行</w:t>
      </w:r>
      <w:r>
        <w:rPr>
          <w:rFonts w:cs="仿宋" w:asciiTheme="minorEastAsia" w:hAnsiTheme="minorEastAsia" w:eastAsiaTheme="minorEastAsia"/>
          <w:color w:val="auto"/>
          <w:sz w:val="28"/>
          <w:szCs w:val="28"/>
          <w:highlight w:val="none"/>
        </w:rPr>
        <w:t>)</w:t>
      </w:r>
      <w:r>
        <w:rPr>
          <w:rFonts w:hint="eastAsia" w:cs="仿宋" w:asciiTheme="minorEastAsia" w:hAnsiTheme="minorEastAsia" w:eastAsiaTheme="minorEastAsia"/>
          <w:color w:val="auto"/>
          <w:sz w:val="28"/>
          <w:szCs w:val="28"/>
          <w:highlight w:val="none"/>
        </w:rPr>
        <w:t>。</w:t>
      </w:r>
    </w:p>
    <w:p>
      <w:pPr>
        <w:pStyle w:val="5"/>
        <w:snapToGrid w:val="0"/>
        <w:spacing w:line="640" w:lineRule="exact"/>
        <w:rPr>
          <w:color w:val="auto"/>
          <w:highlight w:val="none"/>
        </w:rPr>
      </w:pPr>
      <w:r>
        <w:rPr>
          <w:rFonts w:hint="eastAsia"/>
          <w:color w:val="auto"/>
          <w:highlight w:val="none"/>
        </w:rPr>
        <w:t>联合体</w:t>
      </w:r>
      <w:bookmarkEnd w:id="33"/>
      <w:r>
        <w:rPr>
          <w:rFonts w:hint="eastAsia" w:ascii="仿宋" w:hAnsi="仿宋" w:eastAsia="仿宋"/>
          <w:color w:val="auto"/>
          <w:szCs w:val="21"/>
          <w:highlight w:val="none"/>
          <w:lang w:val="zh-CN"/>
        </w:rPr>
        <w:t>（实质性要求）</w:t>
      </w:r>
    </w:p>
    <w:p>
      <w:pPr>
        <w:widowControl w:val="0"/>
        <w:tabs>
          <w:tab w:val="left" w:pos="1200"/>
        </w:tabs>
        <w:snapToGrid w:val="0"/>
        <w:spacing w:line="640" w:lineRule="exact"/>
        <w:ind w:firstLine="565" w:firstLineChars="202"/>
        <w:jc w:val="both"/>
        <w:rPr>
          <w:rFonts w:ascii="宋体" w:hAnsi="宋体"/>
          <w:color w:val="auto"/>
          <w:sz w:val="28"/>
          <w:szCs w:val="28"/>
          <w:highlight w:val="none"/>
        </w:rPr>
      </w:pPr>
      <w:r>
        <w:rPr>
          <w:rFonts w:hint="eastAsia" w:ascii="宋体" w:hAnsi="宋体"/>
          <w:color w:val="auto"/>
          <w:sz w:val="28"/>
          <w:szCs w:val="28"/>
          <w:highlight w:val="none"/>
        </w:rPr>
        <w:t>本次政府采购活动</w:t>
      </w:r>
      <w:r>
        <w:rPr>
          <w:rFonts w:hint="eastAsia" w:ascii="宋体" w:hAnsi="宋体"/>
          <w:b/>
          <w:color w:val="auto"/>
          <w:sz w:val="28"/>
          <w:szCs w:val="28"/>
          <w:highlight w:val="none"/>
        </w:rPr>
        <w:t>不接受</w:t>
      </w:r>
      <w:r>
        <w:rPr>
          <w:rFonts w:hint="eastAsia" w:ascii="宋体" w:hAnsi="宋体"/>
          <w:color w:val="auto"/>
          <w:sz w:val="28"/>
          <w:szCs w:val="28"/>
          <w:highlight w:val="none"/>
        </w:rPr>
        <w:t>供应商以联合体的形式参加</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w:t>
      </w:r>
    </w:p>
    <w:p>
      <w:pPr>
        <w:pStyle w:val="5"/>
        <w:snapToGrid w:val="0"/>
        <w:spacing w:line="640" w:lineRule="exact"/>
        <w:ind w:left="0" w:firstLine="0"/>
        <w:rPr>
          <w:color w:val="auto"/>
          <w:highlight w:val="none"/>
        </w:rPr>
      </w:pPr>
      <w:bookmarkStart w:id="34" w:name="_Toc217446047"/>
      <w:r>
        <w:rPr>
          <w:rFonts w:hint="eastAsia"/>
          <w:color w:val="auto"/>
          <w:highlight w:val="none"/>
        </w:rPr>
        <w:t>知识产权</w:t>
      </w:r>
      <w:bookmarkEnd w:id="34"/>
      <w:r>
        <w:rPr>
          <w:rFonts w:hint="eastAsia" w:ascii="仿宋" w:hAnsi="仿宋" w:eastAsia="仿宋"/>
          <w:color w:val="auto"/>
          <w:szCs w:val="21"/>
          <w:highlight w:val="none"/>
          <w:lang w:val="zh-CN"/>
        </w:rPr>
        <w:t>（实质性要求）</w:t>
      </w:r>
    </w:p>
    <w:p>
      <w:pPr>
        <w:pStyle w:val="65"/>
        <w:spacing w:line="360" w:lineRule="auto"/>
        <w:ind w:firstLine="567" w:firstLineChars="0"/>
        <w:rPr>
          <w:rFonts w:cs="仿宋" w:asciiTheme="minorEastAsia" w:hAnsiTheme="minorEastAsia" w:eastAsiaTheme="minorEastAsia"/>
          <w:color w:val="auto"/>
          <w:sz w:val="28"/>
          <w:szCs w:val="28"/>
          <w:highlight w:val="none"/>
        </w:rPr>
      </w:pPr>
      <w:r>
        <w:rPr>
          <w:rFonts w:hint="eastAsia" w:cs="仿宋" w:asciiTheme="minorEastAsia" w:hAnsiTheme="minorEastAsia" w:eastAsiaTheme="minorEastAsia"/>
          <w:color w:val="auto"/>
          <w:sz w:val="28"/>
          <w:szCs w:val="28"/>
          <w:highlight w:val="none"/>
        </w:rPr>
        <w:t>一、</w:t>
      </w:r>
      <w:r>
        <w:rPr>
          <w:rFonts w:hint="eastAsia" w:cs="仿宋" w:asciiTheme="minorEastAsia" w:hAnsiTheme="minorEastAsia" w:eastAsiaTheme="minorEastAsia"/>
          <w:color w:val="auto"/>
          <w:sz w:val="28"/>
          <w:szCs w:val="28"/>
          <w:highlight w:val="none"/>
          <w:lang w:eastAsia="zh-CN"/>
        </w:rPr>
        <w:t>供应商应</w:t>
      </w:r>
      <w:r>
        <w:rPr>
          <w:rFonts w:hint="eastAsia" w:cs="仿宋" w:asciiTheme="minorEastAsia" w:hAnsiTheme="minorEastAsia" w:eastAsiaTheme="minorEastAsia"/>
          <w:color w:val="auto"/>
          <w:sz w:val="28"/>
          <w:szCs w:val="28"/>
          <w:highlight w:val="none"/>
        </w:rPr>
        <w:t>保证在本项目中使用的任何技术、产品和服务（包括部分使用），不会产生因第三方提出侵犯其专利权、商标权或其它知识产权而引起的法律和经济纠纷，如因专利权、商标权或其它知识产权而引起法律和经济纠纷，由供应商承担所有相关责任。</w:t>
      </w:r>
    </w:p>
    <w:p>
      <w:pPr>
        <w:pStyle w:val="65"/>
        <w:spacing w:line="360" w:lineRule="auto"/>
        <w:ind w:firstLineChars="0"/>
        <w:rPr>
          <w:rFonts w:cs="仿宋" w:asciiTheme="minorEastAsia" w:hAnsiTheme="minorEastAsia" w:eastAsiaTheme="minorEastAsia"/>
          <w:color w:val="auto"/>
          <w:sz w:val="28"/>
          <w:szCs w:val="28"/>
          <w:highlight w:val="none"/>
        </w:rPr>
      </w:pPr>
      <w:r>
        <w:rPr>
          <w:rFonts w:hint="eastAsia" w:cs="仿宋" w:asciiTheme="minorEastAsia" w:hAnsiTheme="minorEastAsia" w:eastAsiaTheme="minorEastAsia"/>
          <w:color w:val="auto"/>
          <w:sz w:val="28"/>
          <w:szCs w:val="28"/>
          <w:highlight w:val="none"/>
        </w:rPr>
        <w:t>二、非</w:t>
      </w:r>
      <w:r>
        <w:rPr>
          <w:rFonts w:hint="eastAsia" w:cs="仿宋" w:asciiTheme="minorEastAsia" w:hAnsiTheme="minorEastAsia" w:eastAsiaTheme="minorEastAsia"/>
          <w:color w:val="auto"/>
          <w:sz w:val="28"/>
          <w:szCs w:val="28"/>
          <w:highlight w:val="none"/>
          <w:lang w:eastAsia="zh-CN"/>
        </w:rPr>
        <w:t>磋商</w:t>
      </w:r>
      <w:r>
        <w:rPr>
          <w:rFonts w:hint="eastAsia" w:cs="仿宋" w:asciiTheme="minorEastAsia" w:hAnsiTheme="minorEastAsia" w:eastAsiaTheme="minorEastAsia"/>
          <w:color w:val="auto"/>
          <w:sz w:val="28"/>
          <w:szCs w:val="28"/>
          <w:highlight w:val="none"/>
        </w:rPr>
        <w:t>文件特别规定，采购人享有本项目实施过程中产生的知识成果及知识产权。</w:t>
      </w:r>
    </w:p>
    <w:p>
      <w:pPr>
        <w:pStyle w:val="65"/>
        <w:spacing w:line="360" w:lineRule="auto"/>
        <w:ind w:firstLineChars="0"/>
        <w:rPr>
          <w:rFonts w:cs="仿宋" w:asciiTheme="minorEastAsia" w:hAnsiTheme="minorEastAsia" w:eastAsiaTheme="minorEastAsia"/>
          <w:color w:val="auto"/>
          <w:sz w:val="28"/>
          <w:szCs w:val="28"/>
          <w:highlight w:val="none"/>
        </w:rPr>
      </w:pPr>
      <w:r>
        <w:rPr>
          <w:rFonts w:hint="eastAsia" w:cs="仿宋" w:asciiTheme="minorEastAsia" w:hAnsiTheme="minorEastAsia" w:eastAsiaTheme="minorEastAsia"/>
          <w:color w:val="auto"/>
          <w:sz w:val="28"/>
          <w:szCs w:val="28"/>
          <w:highlight w:val="none"/>
        </w:rPr>
        <w:t>三、</w:t>
      </w:r>
      <w:r>
        <w:rPr>
          <w:rFonts w:hint="eastAsia" w:cs="仿宋" w:asciiTheme="minorEastAsia" w:hAnsiTheme="minorEastAsia" w:eastAsiaTheme="minorEastAsia"/>
          <w:color w:val="auto"/>
          <w:sz w:val="28"/>
          <w:szCs w:val="28"/>
          <w:highlight w:val="none"/>
          <w:lang w:eastAsia="zh-CN"/>
        </w:rPr>
        <w:t>供</w:t>
      </w:r>
      <w:r>
        <w:rPr>
          <w:rFonts w:hint="eastAsia" w:cs="仿宋" w:asciiTheme="minorEastAsia" w:hAnsiTheme="minorEastAsia" w:eastAsiaTheme="minorEastAsia"/>
          <w:color w:val="auto"/>
          <w:sz w:val="28"/>
          <w:szCs w:val="28"/>
          <w:highlight w:val="none"/>
        </w:rPr>
        <w:t>应商</w:t>
      </w:r>
      <w:r>
        <w:rPr>
          <w:rFonts w:hint="eastAsia" w:cs="仿宋" w:asciiTheme="minorEastAsia" w:hAnsiTheme="minorEastAsia" w:eastAsiaTheme="minorEastAsia"/>
          <w:color w:val="auto"/>
          <w:sz w:val="28"/>
          <w:szCs w:val="28"/>
          <w:highlight w:val="none"/>
          <w:lang w:eastAsia="zh-CN"/>
        </w:rPr>
        <w:t>如拟在</w:t>
      </w:r>
      <w:r>
        <w:rPr>
          <w:rFonts w:hint="eastAsia" w:cs="仿宋" w:asciiTheme="minorEastAsia" w:hAnsiTheme="minorEastAsia" w:eastAsiaTheme="minorEastAsia"/>
          <w:color w:val="auto"/>
          <w:sz w:val="28"/>
          <w:szCs w:val="28"/>
          <w:highlight w:val="none"/>
        </w:rPr>
        <w:t>采购项目实施过程中采用自有或者第三方知识成果的，</w:t>
      </w:r>
      <w:r>
        <w:rPr>
          <w:rFonts w:hint="eastAsia" w:cs="仿宋" w:asciiTheme="minorEastAsia" w:hAnsiTheme="minorEastAsia" w:eastAsiaTheme="minorEastAsia"/>
          <w:color w:val="auto"/>
          <w:sz w:val="28"/>
          <w:szCs w:val="28"/>
          <w:highlight w:val="none"/>
          <w:lang w:eastAsia="zh-CN"/>
        </w:rPr>
        <w:t>需在施工响应文件中声明，并提供相关知识产权证明文件。</w:t>
      </w:r>
      <w:r>
        <w:rPr>
          <w:rFonts w:hint="eastAsia" w:cs="仿宋" w:asciiTheme="minorEastAsia" w:hAnsiTheme="minorEastAsia" w:eastAsiaTheme="minorEastAsia"/>
          <w:color w:val="auto"/>
          <w:sz w:val="28"/>
          <w:szCs w:val="28"/>
          <w:highlight w:val="none"/>
        </w:rPr>
        <w:t>使用该知识成果后，供应商需提供开发接口和开发手册等技术资料，并承诺提供无限期支持，采购人享有使用权（含采购人委托第三方在该项目后续开发的使用权）。</w:t>
      </w:r>
    </w:p>
    <w:p>
      <w:pPr>
        <w:pStyle w:val="65"/>
        <w:spacing w:line="360" w:lineRule="auto"/>
        <w:ind w:firstLineChars="0"/>
        <w:rPr>
          <w:rFonts w:cs="仿宋" w:asciiTheme="minorEastAsia" w:hAnsiTheme="minorEastAsia" w:eastAsiaTheme="minorEastAsia"/>
          <w:color w:val="auto"/>
          <w:sz w:val="28"/>
          <w:szCs w:val="28"/>
          <w:highlight w:val="none"/>
        </w:rPr>
      </w:pPr>
      <w:r>
        <w:rPr>
          <w:rFonts w:hint="eastAsia" w:cs="仿宋" w:asciiTheme="minorEastAsia" w:hAnsiTheme="minorEastAsia" w:eastAsiaTheme="minorEastAsia"/>
          <w:color w:val="auto"/>
          <w:sz w:val="28"/>
          <w:szCs w:val="28"/>
          <w:highlight w:val="none"/>
        </w:rPr>
        <w:t>四、采用供应商所不拥有的知识产权，则在报价中必须包括合法获取使用该知识产权的相关费用。</w:t>
      </w:r>
    </w:p>
    <w:p>
      <w:pPr>
        <w:pStyle w:val="5"/>
        <w:snapToGrid w:val="0"/>
        <w:spacing w:line="640" w:lineRule="exact"/>
        <w:rPr>
          <w:color w:val="auto"/>
          <w:highlight w:val="none"/>
        </w:rPr>
      </w:pPr>
      <w:bookmarkStart w:id="35" w:name="_Toc320698724"/>
      <w:bookmarkStart w:id="36" w:name="_Toc320698725"/>
      <w:r>
        <w:rPr>
          <w:rFonts w:hint="eastAsia"/>
          <w:color w:val="auto"/>
          <w:highlight w:val="none"/>
        </w:rPr>
        <w:t>施工响应文件的组成</w:t>
      </w:r>
      <w:bookmarkEnd w:id="35"/>
      <w:r>
        <w:rPr>
          <w:rFonts w:hint="eastAsia" w:ascii="仿宋" w:hAnsi="仿宋" w:eastAsia="仿宋"/>
          <w:color w:val="auto"/>
          <w:szCs w:val="21"/>
          <w:highlight w:val="none"/>
          <w:lang w:val="zh-CN"/>
        </w:rPr>
        <w:t>（实质性要求）</w:t>
      </w:r>
    </w:p>
    <w:p>
      <w:pPr>
        <w:pStyle w:val="65"/>
        <w:numPr>
          <w:ilvl w:val="0"/>
          <w:numId w:val="12"/>
        </w:numPr>
        <w:tabs>
          <w:tab w:val="left" w:pos="1134"/>
        </w:tabs>
        <w:spacing w:line="360" w:lineRule="auto"/>
        <w:ind w:left="0" w:firstLine="566" w:firstLineChars="0"/>
        <w:rPr>
          <w:rFonts w:hint="eastAsia" w:ascii="宋体" w:hAnsi="宋体"/>
          <w:color w:val="auto"/>
          <w:sz w:val="28"/>
          <w:szCs w:val="28"/>
          <w:highlight w:val="none"/>
          <w:lang w:eastAsia="zh-CN"/>
        </w:rPr>
      </w:pPr>
      <w:r>
        <w:rPr>
          <w:rFonts w:hint="eastAsia" w:ascii="宋体" w:hAnsi="宋体"/>
          <w:color w:val="auto"/>
          <w:sz w:val="28"/>
          <w:szCs w:val="28"/>
          <w:highlight w:val="none"/>
        </w:rPr>
        <w:t>供应商应按照竞争性</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文件的规定和要求编制施工响应文件。供应商编</w:t>
      </w:r>
      <w:r>
        <w:rPr>
          <w:rFonts w:hint="eastAsia" w:ascii="宋体" w:hAnsi="宋体"/>
          <w:color w:val="auto"/>
          <w:sz w:val="28"/>
          <w:szCs w:val="28"/>
          <w:highlight w:val="none"/>
          <w:lang w:eastAsia="zh-CN"/>
        </w:rPr>
        <w:t>写的施工响应文件应包括下列部分：</w:t>
      </w:r>
    </w:p>
    <w:p>
      <w:pPr>
        <w:pStyle w:val="65"/>
        <w:numPr>
          <w:ilvl w:val="0"/>
          <w:numId w:val="12"/>
        </w:numPr>
        <w:tabs>
          <w:tab w:val="left" w:pos="1134"/>
        </w:tabs>
        <w:spacing w:line="360" w:lineRule="auto"/>
        <w:ind w:left="0" w:firstLine="566" w:firstLineChars="0"/>
        <w:rPr>
          <w:rFonts w:hint="eastAsia" w:ascii="宋体" w:hAnsi="宋体"/>
          <w:color w:val="auto"/>
          <w:sz w:val="28"/>
          <w:szCs w:val="28"/>
          <w:highlight w:val="none"/>
          <w:lang w:eastAsia="zh-CN"/>
        </w:rPr>
      </w:pPr>
      <w:r>
        <w:rPr>
          <w:rFonts w:hint="eastAsia" w:ascii="宋体" w:hAnsi="宋体"/>
          <w:color w:val="auto"/>
          <w:sz w:val="28"/>
          <w:szCs w:val="28"/>
          <w:highlight w:val="none"/>
          <w:lang w:eastAsia="zh-CN"/>
        </w:rPr>
        <w:t>施工响应文件：用于供应商与磋商小组磋商；</w:t>
      </w:r>
    </w:p>
    <w:p>
      <w:pPr>
        <w:pStyle w:val="65"/>
        <w:numPr>
          <w:ilvl w:val="0"/>
          <w:numId w:val="12"/>
        </w:numPr>
        <w:tabs>
          <w:tab w:val="left" w:pos="1134"/>
        </w:tabs>
        <w:spacing w:line="360" w:lineRule="auto"/>
        <w:ind w:left="0" w:firstLine="566" w:firstLineChars="0"/>
        <w:rPr>
          <w:rFonts w:hint="eastAsia" w:ascii="宋体" w:hAnsi="宋体"/>
          <w:color w:val="auto"/>
          <w:sz w:val="28"/>
          <w:szCs w:val="28"/>
          <w:highlight w:val="none"/>
          <w:lang w:eastAsia="zh-CN"/>
        </w:rPr>
      </w:pPr>
      <w:r>
        <w:rPr>
          <w:rFonts w:hint="eastAsia" w:ascii="宋体" w:hAnsi="宋体"/>
          <w:color w:val="auto"/>
          <w:sz w:val="28"/>
          <w:szCs w:val="28"/>
          <w:highlight w:val="none"/>
          <w:lang w:eastAsia="zh-CN"/>
        </w:rPr>
        <w:t>最后报价文件（最后报价格式由磋商小组提供）。</w:t>
      </w:r>
    </w:p>
    <w:p>
      <w:pPr>
        <w:pStyle w:val="5"/>
        <w:numPr>
          <w:ilvl w:val="3"/>
          <w:numId w:val="1"/>
        </w:numPr>
        <w:snapToGrid w:val="0"/>
        <w:spacing w:line="640" w:lineRule="exact"/>
        <w:rPr>
          <w:color w:val="auto"/>
          <w:highlight w:val="none"/>
        </w:rPr>
      </w:pPr>
      <w:bookmarkStart w:id="37" w:name="_Toc320698726"/>
      <w:r>
        <w:rPr>
          <w:rFonts w:hint="eastAsia"/>
          <w:color w:val="auto"/>
          <w:highlight w:val="none"/>
        </w:rPr>
        <w:t>施工响应文件</w:t>
      </w:r>
      <w:bookmarkEnd w:id="37"/>
    </w:p>
    <w:p>
      <w:pPr>
        <w:pStyle w:val="5"/>
        <w:numPr>
          <w:ilvl w:val="4"/>
          <w:numId w:val="1"/>
        </w:numPr>
        <w:spacing w:line="600" w:lineRule="exact"/>
        <w:ind w:left="993" w:hanging="993"/>
        <w:rPr>
          <w:color w:val="auto"/>
          <w:highlight w:val="none"/>
        </w:rPr>
      </w:pPr>
      <w:r>
        <w:rPr>
          <w:rFonts w:hint="eastAsia"/>
          <w:color w:val="auto"/>
          <w:highlight w:val="none"/>
        </w:rPr>
        <w:t>商务技术响应文件</w:t>
      </w:r>
    </w:p>
    <w:p>
      <w:pPr>
        <w:rPr>
          <w:rFonts w:hint="eastAsia"/>
          <w:color w:val="auto"/>
          <w:highlight w:val="none"/>
        </w:rPr>
      </w:pPr>
    </w:p>
    <w:p>
      <w:pPr>
        <w:pStyle w:val="65"/>
        <w:numPr>
          <w:ilvl w:val="0"/>
          <w:numId w:val="13"/>
        </w:numPr>
        <w:tabs>
          <w:tab w:val="left" w:pos="1134"/>
        </w:tabs>
        <w:spacing w:line="360" w:lineRule="auto"/>
        <w:ind w:firstLineChars="0"/>
        <w:rPr>
          <w:rFonts w:ascii="宋体" w:hAnsi="宋体"/>
          <w:color w:val="auto"/>
          <w:sz w:val="28"/>
          <w:szCs w:val="28"/>
          <w:highlight w:val="none"/>
        </w:rPr>
      </w:pPr>
      <w:r>
        <w:rPr>
          <w:rFonts w:hint="eastAsia" w:ascii="宋体" w:hAnsi="宋体"/>
          <w:color w:val="auto"/>
          <w:sz w:val="28"/>
          <w:szCs w:val="28"/>
          <w:highlight w:val="none"/>
          <w:lang w:eastAsia="zh-CN"/>
        </w:rPr>
        <w:t>报价</w:t>
      </w:r>
      <w:r>
        <w:rPr>
          <w:rFonts w:hint="eastAsia" w:ascii="宋体" w:hAnsi="宋体"/>
          <w:color w:val="auto"/>
          <w:sz w:val="28"/>
          <w:szCs w:val="28"/>
          <w:highlight w:val="none"/>
        </w:rPr>
        <w:t>函；</w:t>
      </w:r>
    </w:p>
    <w:p>
      <w:pPr>
        <w:pStyle w:val="65"/>
        <w:numPr>
          <w:ilvl w:val="0"/>
          <w:numId w:val="13"/>
        </w:numPr>
        <w:tabs>
          <w:tab w:val="left" w:pos="1134"/>
        </w:tabs>
        <w:spacing w:line="360" w:lineRule="auto"/>
        <w:ind w:left="0" w:firstLine="566" w:firstLineChars="0"/>
        <w:rPr>
          <w:rFonts w:ascii="宋体" w:hAnsi="宋体"/>
          <w:color w:val="auto"/>
          <w:sz w:val="28"/>
          <w:szCs w:val="28"/>
          <w:highlight w:val="none"/>
        </w:rPr>
      </w:pPr>
      <w:r>
        <w:rPr>
          <w:rFonts w:hint="eastAsia" w:ascii="宋体" w:hAnsi="宋体"/>
          <w:color w:val="auto"/>
          <w:sz w:val="28"/>
          <w:szCs w:val="28"/>
          <w:highlight w:val="none"/>
        </w:rPr>
        <w:t>法定代表人身份证明书以及法定代表人身份证复印件（身份证两面均应复印）或护照复印件（说明：供应商的法定代表人为外籍人士的，则提供护照复印件）；</w:t>
      </w:r>
    </w:p>
    <w:p>
      <w:pPr>
        <w:pStyle w:val="65"/>
        <w:numPr>
          <w:ilvl w:val="0"/>
          <w:numId w:val="13"/>
        </w:numPr>
        <w:tabs>
          <w:tab w:val="left" w:pos="1134"/>
        </w:tabs>
        <w:spacing w:line="360" w:lineRule="auto"/>
        <w:ind w:left="0" w:firstLine="566" w:firstLineChars="0"/>
        <w:rPr>
          <w:rFonts w:ascii="宋体" w:hAnsi="宋体"/>
          <w:color w:val="auto"/>
          <w:sz w:val="28"/>
          <w:szCs w:val="28"/>
          <w:highlight w:val="none"/>
        </w:rPr>
      </w:pPr>
      <w:r>
        <w:rPr>
          <w:rFonts w:hint="eastAsia" w:ascii="宋体" w:hAnsi="宋体"/>
          <w:color w:val="auto"/>
          <w:sz w:val="28"/>
          <w:szCs w:val="28"/>
          <w:highlight w:val="none"/>
        </w:rPr>
        <w:t xml:space="preserve">法定代表人授权委托书以及代理人身份证复印件（身份证两面均应复印）（说明：施工响应文件均由供应商法定代表人签字的可不提供）； </w:t>
      </w:r>
    </w:p>
    <w:p>
      <w:pPr>
        <w:pStyle w:val="65"/>
        <w:numPr>
          <w:ilvl w:val="0"/>
          <w:numId w:val="13"/>
        </w:numPr>
        <w:tabs>
          <w:tab w:val="left" w:pos="1134"/>
        </w:tabs>
        <w:spacing w:line="360" w:lineRule="auto"/>
        <w:ind w:left="0" w:firstLine="566" w:firstLineChars="0"/>
        <w:rPr>
          <w:rFonts w:ascii="宋体" w:hAnsi="宋体"/>
          <w:color w:val="auto"/>
          <w:sz w:val="28"/>
          <w:szCs w:val="28"/>
          <w:highlight w:val="none"/>
        </w:rPr>
      </w:pPr>
      <w:r>
        <w:rPr>
          <w:rFonts w:hint="eastAsia" w:ascii="宋体" w:hAnsi="宋体"/>
          <w:color w:val="auto"/>
          <w:sz w:val="28"/>
          <w:szCs w:val="28"/>
          <w:highlight w:val="none"/>
        </w:rPr>
        <w:t>承诺函（说明：供应商应按承诺函格式中要求的承诺内容进行承诺）；</w:t>
      </w:r>
    </w:p>
    <w:p>
      <w:pPr>
        <w:pStyle w:val="65"/>
        <w:numPr>
          <w:ilvl w:val="0"/>
          <w:numId w:val="13"/>
        </w:numPr>
        <w:tabs>
          <w:tab w:val="left" w:pos="1134"/>
        </w:tabs>
        <w:spacing w:line="360" w:lineRule="auto"/>
        <w:ind w:left="0" w:firstLine="566" w:firstLineChars="0"/>
        <w:rPr>
          <w:rFonts w:ascii="宋体" w:hAnsi="宋体"/>
          <w:color w:val="auto"/>
          <w:sz w:val="28"/>
          <w:szCs w:val="28"/>
          <w:highlight w:val="none"/>
        </w:rPr>
      </w:pPr>
      <w:r>
        <w:rPr>
          <w:rFonts w:hint="eastAsia" w:ascii="宋体" w:hAnsi="宋体"/>
          <w:color w:val="auto"/>
          <w:sz w:val="28"/>
          <w:szCs w:val="28"/>
          <w:highlight w:val="none"/>
        </w:rPr>
        <w:t>技术、服务、合同条款要求应答表（说明：</w:t>
      </w:r>
      <w:r>
        <w:rPr>
          <w:rFonts w:hint="eastAsia" w:ascii="宋体" w:hAnsi="宋体"/>
          <w:color w:val="auto"/>
          <w:spacing w:val="6"/>
          <w:sz w:val="28"/>
          <w:szCs w:val="28"/>
          <w:highlight w:val="none"/>
        </w:rPr>
        <w:t>供应商必须根据</w:t>
      </w:r>
      <w:r>
        <w:rPr>
          <w:rFonts w:hint="eastAsia" w:ascii="宋体" w:hAnsi="宋体"/>
          <w:color w:val="auto"/>
          <w:spacing w:val="6"/>
          <w:sz w:val="28"/>
          <w:szCs w:val="28"/>
          <w:highlight w:val="none"/>
          <w:lang w:eastAsia="zh-CN"/>
        </w:rPr>
        <w:t>磋商</w:t>
      </w:r>
      <w:r>
        <w:rPr>
          <w:rFonts w:hint="eastAsia" w:ascii="宋体" w:hAnsi="宋体"/>
          <w:color w:val="auto"/>
          <w:spacing w:val="6"/>
          <w:sz w:val="28"/>
          <w:szCs w:val="28"/>
          <w:highlight w:val="none"/>
        </w:rPr>
        <w:t>文件要求据实逐条填写，不得虚假陈述，否则，其施工响应文件无效并按规定追究其相关责任</w:t>
      </w:r>
      <w:r>
        <w:rPr>
          <w:rFonts w:hint="eastAsia" w:ascii="宋体" w:hAnsi="宋体"/>
          <w:color w:val="auto"/>
          <w:sz w:val="28"/>
          <w:szCs w:val="28"/>
          <w:highlight w:val="none"/>
        </w:rPr>
        <w:t>）</w:t>
      </w:r>
    </w:p>
    <w:p>
      <w:pPr>
        <w:pStyle w:val="65"/>
        <w:numPr>
          <w:ilvl w:val="0"/>
          <w:numId w:val="13"/>
        </w:numPr>
        <w:tabs>
          <w:tab w:val="left" w:pos="1134"/>
        </w:tabs>
        <w:spacing w:line="360" w:lineRule="auto"/>
        <w:ind w:left="0" w:firstLine="566" w:firstLineChars="0"/>
        <w:rPr>
          <w:rFonts w:ascii="宋体" w:hAnsi="宋体"/>
          <w:color w:val="auto"/>
          <w:sz w:val="28"/>
          <w:szCs w:val="28"/>
          <w:highlight w:val="none"/>
        </w:rPr>
      </w:pPr>
      <w:r>
        <w:rPr>
          <w:rFonts w:hint="eastAsia" w:ascii="宋体" w:hAnsi="宋体"/>
          <w:color w:val="auto"/>
          <w:sz w:val="28"/>
          <w:szCs w:val="28"/>
          <w:highlight w:val="none"/>
        </w:rPr>
        <w:t>项目管理机构组成表（说明：供应商未提供项目管理机构组成表的，不影响供应商施工响应文件的有效性）；</w:t>
      </w:r>
    </w:p>
    <w:p>
      <w:pPr>
        <w:pStyle w:val="65"/>
        <w:numPr>
          <w:ilvl w:val="0"/>
          <w:numId w:val="13"/>
        </w:numPr>
        <w:tabs>
          <w:tab w:val="left" w:pos="1134"/>
        </w:tabs>
        <w:spacing w:line="360" w:lineRule="auto"/>
        <w:ind w:left="0" w:firstLine="566" w:firstLineChars="0"/>
        <w:rPr>
          <w:rFonts w:hint="eastAsia" w:ascii="宋体" w:hAnsi="宋体"/>
          <w:color w:val="auto"/>
          <w:sz w:val="28"/>
          <w:szCs w:val="28"/>
          <w:highlight w:val="none"/>
        </w:rPr>
      </w:pPr>
      <w:r>
        <w:rPr>
          <w:rFonts w:hint="eastAsia" w:ascii="宋体" w:hAnsi="宋体"/>
          <w:color w:val="auto"/>
          <w:sz w:val="28"/>
          <w:szCs w:val="28"/>
          <w:highlight w:val="none"/>
        </w:rPr>
        <w:t>相关管理机构主要人员简历表（说明：供应商未提供相关机构主要人员简历表的，不影响供应商施工响应文件的有效性）。</w:t>
      </w:r>
    </w:p>
    <w:p>
      <w:pPr>
        <w:pStyle w:val="65"/>
        <w:numPr>
          <w:ilvl w:val="0"/>
          <w:numId w:val="13"/>
        </w:numPr>
        <w:tabs>
          <w:tab w:val="left" w:pos="1134"/>
        </w:tabs>
        <w:spacing w:line="360" w:lineRule="auto"/>
        <w:ind w:left="0" w:firstLine="566" w:firstLineChars="0"/>
        <w:rPr>
          <w:rFonts w:hint="eastAsia" w:ascii="宋体" w:hAnsi="宋体"/>
          <w:color w:val="auto"/>
          <w:sz w:val="28"/>
          <w:szCs w:val="28"/>
          <w:highlight w:val="none"/>
        </w:rPr>
      </w:pPr>
      <w:r>
        <w:rPr>
          <w:rFonts w:hint="eastAsia" w:ascii="宋体" w:hAnsi="宋体"/>
          <w:color w:val="auto"/>
          <w:sz w:val="28"/>
          <w:szCs w:val="28"/>
          <w:highlight w:val="none"/>
        </w:rPr>
        <w:t>中小企业声明函（如未提供中小企业声明函或声明函签字盖章等不符合招标文件要求的，则其投标产品中的小型、微型企业生产的产品不能享受招标文件规定的价格扣除，但不影响投标人投标文件的有效性）；</w:t>
      </w:r>
    </w:p>
    <w:p>
      <w:pPr>
        <w:pStyle w:val="65"/>
        <w:numPr>
          <w:ilvl w:val="0"/>
          <w:numId w:val="13"/>
        </w:numPr>
        <w:tabs>
          <w:tab w:val="left" w:pos="1134"/>
        </w:tabs>
        <w:spacing w:line="360" w:lineRule="auto"/>
        <w:ind w:left="0" w:firstLine="566" w:firstLineChars="0"/>
        <w:rPr>
          <w:rFonts w:hint="eastAsia" w:ascii="宋体" w:hAnsi="宋体"/>
          <w:color w:val="auto"/>
          <w:sz w:val="28"/>
          <w:szCs w:val="28"/>
          <w:highlight w:val="none"/>
        </w:rPr>
      </w:pPr>
      <w:r>
        <w:rPr>
          <w:rFonts w:hint="eastAsia" w:ascii="宋体" w:hAnsi="宋体"/>
          <w:color w:val="auto"/>
          <w:sz w:val="28"/>
          <w:szCs w:val="28"/>
          <w:highlight w:val="none"/>
          <w:lang w:val="en-US" w:eastAsia="zh-CN"/>
        </w:rPr>
        <w:t xml:space="preserve"> </w:t>
      </w:r>
      <w:r>
        <w:rPr>
          <w:rFonts w:hint="eastAsia" w:ascii="宋体" w:hAnsi="宋体"/>
          <w:color w:val="auto"/>
          <w:sz w:val="28"/>
          <w:szCs w:val="28"/>
          <w:highlight w:val="none"/>
        </w:rPr>
        <w:t>残疾人福利性单位声明函（说明：如未提供残疾人福利性单位声明函或签字盖章不符合</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 xml:space="preserve">文件要求的，则不享受价格扣除，且不影响供应商施工响应文件的有效性）； </w:t>
      </w:r>
    </w:p>
    <w:p>
      <w:pPr>
        <w:pStyle w:val="65"/>
        <w:numPr>
          <w:ilvl w:val="0"/>
          <w:numId w:val="13"/>
        </w:numPr>
        <w:tabs>
          <w:tab w:val="left" w:pos="1134"/>
        </w:tabs>
        <w:spacing w:line="360" w:lineRule="auto"/>
        <w:ind w:left="0" w:firstLine="566" w:firstLineChars="0"/>
        <w:rPr>
          <w:rFonts w:hint="eastAsia" w:ascii="宋体" w:hAnsi="宋体"/>
          <w:color w:val="auto"/>
          <w:sz w:val="28"/>
          <w:szCs w:val="28"/>
          <w:highlight w:val="none"/>
        </w:rPr>
      </w:pPr>
      <w:r>
        <w:rPr>
          <w:rFonts w:hint="eastAsia" w:ascii="宋体" w:hAnsi="宋体"/>
          <w:color w:val="auto"/>
          <w:sz w:val="28"/>
          <w:szCs w:val="28"/>
          <w:highlight w:val="none"/>
          <w:lang w:val="zh-CN"/>
        </w:rPr>
        <w:t>供应商为监狱企业的,应提供由省级以上监狱管理局、戒毒管理局（含新疆生产建设兵团）出具的供应商属于监狱企业的证明文件复印件</w:t>
      </w:r>
      <w:r>
        <w:rPr>
          <w:rFonts w:hint="eastAsia" w:ascii="宋体" w:hAnsi="宋体"/>
          <w:color w:val="auto"/>
          <w:sz w:val="28"/>
          <w:szCs w:val="28"/>
          <w:highlight w:val="none"/>
        </w:rPr>
        <w:t>（说明：如未提供</w:t>
      </w:r>
      <w:r>
        <w:rPr>
          <w:rFonts w:hint="eastAsia" w:ascii="宋体" w:hAnsi="宋体"/>
          <w:color w:val="auto"/>
          <w:sz w:val="28"/>
          <w:szCs w:val="28"/>
          <w:highlight w:val="none"/>
          <w:lang w:val="zh-CN"/>
        </w:rPr>
        <w:t>监狱企业的证明文件复印件</w:t>
      </w:r>
      <w:r>
        <w:rPr>
          <w:rFonts w:hint="eastAsia" w:ascii="宋体" w:hAnsi="宋体"/>
          <w:color w:val="auto"/>
          <w:sz w:val="28"/>
          <w:szCs w:val="28"/>
          <w:highlight w:val="none"/>
        </w:rPr>
        <w:t>的，则不享受价格扣除，且不影响供应商施工响应文件的有效性）</w:t>
      </w:r>
      <w:r>
        <w:rPr>
          <w:rFonts w:hint="eastAsia" w:ascii="宋体" w:hAnsi="宋体"/>
          <w:color w:val="auto"/>
          <w:sz w:val="28"/>
          <w:szCs w:val="28"/>
          <w:highlight w:val="none"/>
          <w:lang w:eastAsia="zh-CN"/>
        </w:rPr>
        <w:t>；</w:t>
      </w:r>
    </w:p>
    <w:p>
      <w:pPr>
        <w:pStyle w:val="65"/>
        <w:numPr>
          <w:ilvl w:val="0"/>
          <w:numId w:val="13"/>
        </w:numPr>
        <w:tabs>
          <w:tab w:val="left" w:pos="1134"/>
        </w:tabs>
        <w:spacing w:line="360" w:lineRule="auto"/>
        <w:ind w:left="0" w:firstLine="566" w:firstLineChars="0"/>
        <w:rPr>
          <w:rFonts w:hint="eastAsia" w:ascii="宋体" w:hAnsi="宋体"/>
          <w:color w:val="auto"/>
          <w:sz w:val="28"/>
          <w:szCs w:val="28"/>
          <w:highlight w:val="none"/>
        </w:rPr>
      </w:pPr>
      <w:r>
        <w:rPr>
          <w:rFonts w:hint="eastAsia" w:ascii="宋体" w:hAnsi="宋体"/>
          <w:color w:val="auto"/>
          <w:sz w:val="28"/>
          <w:szCs w:val="28"/>
          <w:highlight w:val="none"/>
        </w:rPr>
        <w:t>已标价工程量清单、施工组织设计（实施方案）</w:t>
      </w:r>
    </w:p>
    <w:p>
      <w:pPr>
        <w:pStyle w:val="65"/>
        <w:numPr>
          <w:ilvl w:val="0"/>
          <w:numId w:val="0"/>
        </w:numPr>
        <w:shd w:val="clear"/>
        <w:tabs>
          <w:tab w:val="left" w:pos="1134"/>
        </w:tabs>
        <w:spacing w:line="360" w:lineRule="auto"/>
        <w:ind w:left="857" w:leftChars="357" w:firstLine="579" w:firstLineChars="207"/>
        <w:rPr>
          <w:rFonts w:ascii="宋体" w:hAnsi="宋体"/>
          <w:sz w:val="28"/>
          <w:szCs w:val="28"/>
        </w:rPr>
      </w:pPr>
      <w:r>
        <w:rPr>
          <w:rFonts w:hint="eastAsia" w:ascii="宋体" w:hAnsi="宋体"/>
          <w:sz w:val="28"/>
          <w:szCs w:val="28"/>
          <w:lang w:val="en-US" w:eastAsia="zh-CN"/>
        </w:rPr>
        <w:t>1、</w:t>
      </w:r>
      <w:r>
        <w:rPr>
          <w:rFonts w:hint="eastAsia" w:ascii="宋体" w:hAnsi="宋体"/>
          <w:sz w:val="28"/>
          <w:szCs w:val="28"/>
        </w:rPr>
        <w:t>（说明：</w:t>
      </w:r>
      <w:r>
        <w:rPr>
          <w:rFonts w:hint="eastAsia" w:ascii="宋体" w:hAnsi="宋体"/>
          <w:spacing w:val="6"/>
          <w:sz w:val="28"/>
          <w:szCs w:val="28"/>
        </w:rPr>
        <w:t>已标价工程量清单应符合</w:t>
      </w:r>
      <w:r>
        <w:rPr>
          <w:rFonts w:hint="eastAsia" w:ascii="宋体" w:hAnsi="宋体"/>
          <w:spacing w:val="6"/>
          <w:sz w:val="28"/>
          <w:szCs w:val="28"/>
          <w:lang w:eastAsia="zh-CN"/>
        </w:rPr>
        <w:t>磋商</w:t>
      </w:r>
      <w:r>
        <w:rPr>
          <w:rFonts w:hint="eastAsia" w:ascii="宋体" w:hAnsi="宋体"/>
          <w:spacing w:val="6"/>
          <w:sz w:val="28"/>
          <w:szCs w:val="28"/>
        </w:rPr>
        <w:t>文件“第二章</w:t>
      </w:r>
      <w:r>
        <w:rPr>
          <w:rFonts w:hint="eastAsia" w:ascii="宋体" w:hAnsi="宋体"/>
          <w:spacing w:val="6"/>
          <w:sz w:val="28"/>
          <w:szCs w:val="28"/>
          <w:lang w:eastAsia="zh-CN"/>
        </w:rPr>
        <w:t>磋商</w:t>
      </w:r>
      <w:r>
        <w:rPr>
          <w:rFonts w:hint="eastAsia" w:ascii="宋体" w:hAnsi="宋体"/>
          <w:spacing w:val="6"/>
          <w:sz w:val="28"/>
          <w:szCs w:val="28"/>
        </w:rPr>
        <w:t>须知”第2.4.3条关于报价货币及报价要求的相关要求以及工程量清单总说明的相关要求</w:t>
      </w:r>
      <w:r>
        <w:rPr>
          <w:rFonts w:hint="eastAsia" w:ascii="宋体" w:hAnsi="宋体"/>
          <w:sz w:val="28"/>
          <w:szCs w:val="28"/>
        </w:rPr>
        <w:t>）；</w:t>
      </w:r>
    </w:p>
    <w:p>
      <w:pPr>
        <w:pStyle w:val="65"/>
        <w:numPr>
          <w:ilvl w:val="0"/>
          <w:numId w:val="0"/>
        </w:numPr>
        <w:shd w:val="clear"/>
        <w:tabs>
          <w:tab w:val="left" w:pos="1134"/>
        </w:tabs>
        <w:spacing w:line="360" w:lineRule="auto"/>
        <w:ind w:left="566" w:leftChars="0" w:firstLine="873" w:firstLineChars="312"/>
        <w:rPr>
          <w:rFonts w:hint="eastAsia" w:ascii="宋体" w:hAnsi="宋体"/>
          <w:sz w:val="28"/>
          <w:szCs w:val="28"/>
        </w:rPr>
      </w:pPr>
      <w:r>
        <w:rPr>
          <w:rFonts w:hint="eastAsia" w:ascii="宋体" w:hAnsi="宋体"/>
          <w:sz w:val="28"/>
          <w:szCs w:val="28"/>
          <w:lang w:val="en-US" w:eastAsia="zh-CN"/>
        </w:rPr>
        <w:t>2、</w:t>
      </w:r>
      <w:r>
        <w:rPr>
          <w:rFonts w:hint="eastAsia" w:ascii="宋体" w:hAnsi="宋体"/>
          <w:sz w:val="28"/>
          <w:szCs w:val="28"/>
        </w:rPr>
        <w:t>施工组织设计（说明：</w:t>
      </w:r>
      <w:r>
        <w:rPr>
          <w:rFonts w:hint="eastAsia" w:ascii="宋体" w:hAnsi="宋体"/>
          <w:spacing w:val="6"/>
          <w:sz w:val="28"/>
          <w:szCs w:val="28"/>
        </w:rPr>
        <w:t>施工组织设计格式及内容自拟</w:t>
      </w:r>
      <w:r>
        <w:rPr>
          <w:rFonts w:hint="eastAsia" w:ascii="宋体" w:hAnsi="宋体"/>
          <w:sz w:val="28"/>
          <w:szCs w:val="28"/>
        </w:rPr>
        <w:t>）；</w:t>
      </w:r>
    </w:p>
    <w:p>
      <w:pPr>
        <w:pStyle w:val="65"/>
        <w:numPr>
          <w:ilvl w:val="0"/>
          <w:numId w:val="0"/>
        </w:numPr>
        <w:shd w:val="clear"/>
        <w:tabs>
          <w:tab w:val="left" w:pos="1134"/>
        </w:tabs>
        <w:spacing w:line="360" w:lineRule="auto"/>
        <w:rPr>
          <w:rFonts w:hint="eastAsia" w:ascii="宋体" w:hAnsi="宋体" w:eastAsia="宋体"/>
          <w:sz w:val="28"/>
          <w:szCs w:val="28"/>
          <w:lang w:val="en-US" w:eastAsia="zh-CN"/>
        </w:rPr>
      </w:pPr>
      <w:r>
        <w:rPr>
          <w:rFonts w:hint="eastAsia" w:ascii="宋体" w:hAnsi="宋体"/>
          <w:sz w:val="28"/>
          <w:szCs w:val="28"/>
          <w:lang w:val="en-US" w:eastAsia="zh-CN"/>
        </w:rPr>
        <w:t xml:space="preserve">   十二、最后报价表。</w:t>
      </w:r>
    </w:p>
    <w:p>
      <w:pPr>
        <w:pStyle w:val="5"/>
        <w:numPr>
          <w:ilvl w:val="4"/>
          <w:numId w:val="1"/>
        </w:numPr>
        <w:spacing w:line="600" w:lineRule="exact"/>
        <w:ind w:left="993" w:hanging="993"/>
        <w:rPr>
          <w:color w:val="auto"/>
          <w:highlight w:val="none"/>
        </w:rPr>
      </w:pPr>
      <w:r>
        <w:rPr>
          <w:rFonts w:hint="eastAsia"/>
          <w:color w:val="auto"/>
          <w:highlight w:val="none"/>
        </w:rPr>
        <w:t>报价要求响应文件</w:t>
      </w:r>
    </w:p>
    <w:p>
      <w:pPr>
        <w:pStyle w:val="65"/>
        <w:numPr>
          <w:ilvl w:val="0"/>
          <w:numId w:val="0"/>
        </w:numPr>
        <w:tabs>
          <w:tab w:val="left" w:pos="1134"/>
        </w:tabs>
        <w:spacing w:line="360" w:lineRule="auto"/>
        <w:ind w:left="0" w:leftChars="0" w:hanging="5" w:firstLineChars="0"/>
        <w:rPr>
          <w:rFonts w:ascii="宋体" w:hAnsi="宋体"/>
          <w:color w:val="auto"/>
          <w:sz w:val="28"/>
          <w:szCs w:val="28"/>
          <w:highlight w:val="none"/>
        </w:rPr>
      </w:pPr>
      <w:r>
        <w:rPr>
          <w:rFonts w:hint="eastAsia" w:ascii="宋体" w:hAnsi="宋体"/>
          <w:color w:val="auto"/>
          <w:sz w:val="28"/>
          <w:szCs w:val="28"/>
          <w:highlight w:val="none"/>
          <w:lang w:val="en-US" w:eastAsia="zh-CN"/>
        </w:rPr>
        <w:t xml:space="preserve">    </w:t>
      </w:r>
      <w:r>
        <w:rPr>
          <w:rFonts w:hint="eastAsia" w:ascii="宋体" w:hAnsi="宋体"/>
          <w:color w:val="auto"/>
          <w:sz w:val="28"/>
          <w:szCs w:val="28"/>
          <w:highlight w:val="none"/>
          <w:lang w:eastAsia="zh-CN"/>
        </w:rPr>
        <w:t>一、</w:t>
      </w:r>
      <w:r>
        <w:rPr>
          <w:rFonts w:hint="eastAsia" w:ascii="宋体" w:hAnsi="宋体"/>
          <w:color w:val="auto"/>
          <w:sz w:val="28"/>
          <w:szCs w:val="28"/>
          <w:highlight w:val="none"/>
        </w:rPr>
        <w:t>已标价工程量清单（说明：</w:t>
      </w:r>
      <w:r>
        <w:rPr>
          <w:rFonts w:hint="eastAsia" w:ascii="宋体" w:hAnsi="宋体"/>
          <w:color w:val="auto"/>
          <w:spacing w:val="6"/>
          <w:sz w:val="28"/>
          <w:szCs w:val="28"/>
          <w:highlight w:val="none"/>
        </w:rPr>
        <w:t>已标价工程量清单应符合</w:t>
      </w:r>
      <w:r>
        <w:rPr>
          <w:rFonts w:hint="eastAsia" w:ascii="宋体" w:hAnsi="宋体"/>
          <w:color w:val="auto"/>
          <w:spacing w:val="6"/>
          <w:sz w:val="28"/>
          <w:szCs w:val="28"/>
          <w:highlight w:val="none"/>
          <w:lang w:eastAsia="zh-CN"/>
        </w:rPr>
        <w:t>磋商</w:t>
      </w:r>
      <w:r>
        <w:rPr>
          <w:rFonts w:hint="eastAsia" w:ascii="宋体" w:hAnsi="宋体"/>
          <w:color w:val="auto"/>
          <w:spacing w:val="6"/>
          <w:sz w:val="28"/>
          <w:szCs w:val="28"/>
          <w:highlight w:val="none"/>
        </w:rPr>
        <w:t>文件“第二章</w:t>
      </w:r>
      <w:r>
        <w:rPr>
          <w:rFonts w:hint="eastAsia" w:ascii="宋体" w:hAnsi="宋体"/>
          <w:color w:val="auto"/>
          <w:spacing w:val="6"/>
          <w:sz w:val="28"/>
          <w:szCs w:val="28"/>
          <w:highlight w:val="none"/>
          <w:lang w:eastAsia="zh-CN"/>
        </w:rPr>
        <w:t>磋商</w:t>
      </w:r>
      <w:r>
        <w:rPr>
          <w:rFonts w:hint="eastAsia" w:ascii="宋体" w:hAnsi="宋体"/>
          <w:color w:val="auto"/>
          <w:spacing w:val="6"/>
          <w:sz w:val="28"/>
          <w:szCs w:val="28"/>
          <w:highlight w:val="none"/>
        </w:rPr>
        <w:t>须知”第2.4.3条关于报价货币及报价要求的相关要求以及工程量清单总说明的相关要求</w:t>
      </w:r>
      <w:r>
        <w:rPr>
          <w:rFonts w:hint="eastAsia" w:ascii="宋体" w:hAnsi="宋体"/>
          <w:color w:val="auto"/>
          <w:sz w:val="28"/>
          <w:szCs w:val="28"/>
          <w:highlight w:val="none"/>
        </w:rPr>
        <w:t>）；</w:t>
      </w:r>
    </w:p>
    <w:p>
      <w:pPr>
        <w:pStyle w:val="5"/>
        <w:numPr>
          <w:ilvl w:val="3"/>
          <w:numId w:val="1"/>
        </w:numPr>
        <w:snapToGrid w:val="0"/>
        <w:spacing w:line="640" w:lineRule="exact"/>
        <w:rPr>
          <w:color w:val="auto"/>
          <w:highlight w:val="none"/>
        </w:rPr>
      </w:pPr>
      <w:r>
        <w:rPr>
          <w:rFonts w:hint="eastAsia"/>
          <w:color w:val="auto"/>
          <w:highlight w:val="none"/>
        </w:rPr>
        <w:t>最后报价</w:t>
      </w:r>
      <w:r>
        <w:rPr>
          <w:rFonts w:hint="eastAsia"/>
          <w:color w:val="auto"/>
          <w:highlight w:val="none"/>
          <w:lang w:eastAsia="zh-CN"/>
        </w:rPr>
        <w:t>表</w:t>
      </w:r>
    </w:p>
    <w:p>
      <w:pPr>
        <w:rPr>
          <w:rFonts w:hint="eastAsia" w:eastAsia="宋体"/>
          <w:color w:val="auto"/>
          <w:highlight w:val="none"/>
          <w:lang w:eastAsia="zh-CN"/>
        </w:rPr>
      </w:pPr>
      <w:r>
        <w:rPr>
          <w:rFonts w:hint="eastAsia" w:ascii="宋体" w:hAnsi="宋体"/>
          <w:color w:val="auto"/>
          <w:sz w:val="28"/>
          <w:highlight w:val="none"/>
          <w:lang w:val="en-US" w:eastAsia="zh-CN"/>
        </w:rPr>
        <w:t xml:space="preserve">    </w:t>
      </w:r>
      <w:r>
        <w:rPr>
          <w:rFonts w:hint="eastAsia" w:ascii="宋体" w:hAnsi="宋体"/>
          <w:color w:val="auto"/>
          <w:sz w:val="28"/>
          <w:szCs w:val="28"/>
          <w:highlight w:val="none"/>
        </w:rPr>
        <w:t>参加最后报价的供应商按竞争性</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小组提供的《最后报价表》提供最后报价</w:t>
      </w:r>
      <w:r>
        <w:rPr>
          <w:rFonts w:hint="eastAsia" w:ascii="宋体" w:hAnsi="宋体"/>
          <w:color w:val="auto"/>
          <w:sz w:val="28"/>
          <w:highlight w:val="none"/>
          <w:lang w:eastAsia="zh-CN"/>
        </w:rPr>
        <w:t>。</w:t>
      </w:r>
    </w:p>
    <w:bookmarkEnd w:id="36"/>
    <w:p>
      <w:pPr>
        <w:pStyle w:val="5"/>
        <w:snapToGrid w:val="0"/>
        <w:spacing w:line="640" w:lineRule="exact"/>
        <w:rPr>
          <w:color w:val="auto"/>
          <w:highlight w:val="none"/>
        </w:rPr>
      </w:pPr>
      <w:bookmarkStart w:id="38" w:name="_Toc320698727"/>
      <w:r>
        <w:rPr>
          <w:rFonts w:hint="eastAsia"/>
          <w:color w:val="auto"/>
          <w:highlight w:val="none"/>
        </w:rPr>
        <w:t>施工响应文件格式</w:t>
      </w:r>
    </w:p>
    <w:p>
      <w:pPr>
        <w:pStyle w:val="2"/>
        <w:tabs>
          <w:tab w:val="left" w:pos="1134"/>
        </w:tabs>
        <w:snapToGrid w:val="0"/>
        <w:spacing w:after="0" w:line="640" w:lineRule="exact"/>
        <w:ind w:firstLine="565" w:firstLineChars="202"/>
        <w:rPr>
          <w:rFonts w:ascii="宋体" w:hAnsi="宋体"/>
          <w:bCs/>
          <w:color w:val="auto"/>
          <w:sz w:val="28"/>
          <w:szCs w:val="28"/>
          <w:highlight w:val="none"/>
        </w:rPr>
      </w:pPr>
      <w:r>
        <w:rPr>
          <w:rFonts w:hint="eastAsia" w:ascii="宋体" w:hAnsi="宋体"/>
          <w:bCs/>
          <w:color w:val="auto"/>
          <w:sz w:val="28"/>
          <w:szCs w:val="28"/>
          <w:highlight w:val="none"/>
        </w:rPr>
        <w:t>一、供应商应按照</w:t>
      </w:r>
      <w:r>
        <w:rPr>
          <w:rFonts w:hint="eastAsia" w:ascii="宋体" w:hAnsi="宋体"/>
          <w:bCs/>
          <w:color w:val="auto"/>
          <w:sz w:val="28"/>
          <w:szCs w:val="28"/>
          <w:highlight w:val="none"/>
          <w:lang w:eastAsia="zh-CN"/>
        </w:rPr>
        <w:t>磋商</w:t>
      </w:r>
      <w:r>
        <w:rPr>
          <w:rFonts w:hint="eastAsia" w:ascii="宋体" w:hAnsi="宋体"/>
          <w:bCs/>
          <w:color w:val="auto"/>
          <w:sz w:val="28"/>
          <w:szCs w:val="28"/>
          <w:highlight w:val="none"/>
        </w:rPr>
        <w:t>文件第</w:t>
      </w:r>
      <w:r>
        <w:rPr>
          <w:rFonts w:ascii="宋体" w:hAnsi="宋体"/>
          <w:bCs/>
          <w:color w:val="auto"/>
          <w:sz w:val="28"/>
          <w:szCs w:val="28"/>
          <w:highlight w:val="none"/>
        </w:rPr>
        <w:t>3章中提供的“施工响应文件格式”填写相关内容。</w:t>
      </w:r>
    </w:p>
    <w:p>
      <w:pPr>
        <w:pStyle w:val="2"/>
        <w:tabs>
          <w:tab w:val="left" w:pos="1134"/>
        </w:tabs>
        <w:snapToGrid w:val="0"/>
        <w:spacing w:after="0" w:line="640" w:lineRule="exact"/>
        <w:ind w:firstLine="565" w:firstLineChars="202"/>
        <w:rPr>
          <w:rFonts w:ascii="宋体" w:hAnsi="宋体"/>
          <w:bCs/>
          <w:color w:val="auto"/>
          <w:sz w:val="28"/>
          <w:szCs w:val="28"/>
          <w:highlight w:val="none"/>
        </w:rPr>
      </w:pPr>
      <w:r>
        <w:rPr>
          <w:rFonts w:hint="eastAsia" w:ascii="宋体" w:hAnsi="宋体"/>
          <w:bCs/>
          <w:color w:val="auto"/>
          <w:sz w:val="28"/>
          <w:szCs w:val="28"/>
          <w:highlight w:val="none"/>
        </w:rPr>
        <w:t>二、对于没有格式要求的施工响应文件由供应商自行编写。</w:t>
      </w:r>
    </w:p>
    <w:p>
      <w:pPr>
        <w:pStyle w:val="5"/>
        <w:spacing w:line="600" w:lineRule="exact"/>
        <w:rPr>
          <w:color w:val="auto"/>
          <w:highlight w:val="none"/>
        </w:rPr>
      </w:pPr>
      <w:r>
        <w:rPr>
          <w:rFonts w:hint="eastAsia"/>
          <w:color w:val="auto"/>
          <w:highlight w:val="none"/>
        </w:rPr>
        <w:t>最后报价</w:t>
      </w:r>
      <w:r>
        <w:rPr>
          <w:rFonts w:hint="eastAsia"/>
          <w:color w:val="auto"/>
          <w:highlight w:val="none"/>
          <w:lang w:eastAsia="zh-CN"/>
        </w:rPr>
        <w:t>要求</w:t>
      </w:r>
    </w:p>
    <w:p>
      <w:pPr>
        <w:widowControl w:val="0"/>
        <w:numPr>
          <w:ilvl w:val="0"/>
          <w:numId w:val="14"/>
        </w:numPr>
        <w:tabs>
          <w:tab w:val="left" w:pos="1134"/>
        </w:tabs>
        <w:spacing w:line="600" w:lineRule="exact"/>
        <w:ind w:left="0" w:leftChars="0" w:firstLine="560" w:firstLineChars="200"/>
        <w:jc w:val="both"/>
        <w:rPr>
          <w:rFonts w:ascii="宋体" w:hAnsi="宋体"/>
          <w:color w:val="auto"/>
          <w:sz w:val="28"/>
          <w:szCs w:val="28"/>
          <w:highlight w:val="none"/>
        </w:rPr>
      </w:pPr>
      <w:r>
        <w:rPr>
          <w:rFonts w:hint="eastAsia" w:ascii="宋体" w:hAnsi="宋体"/>
          <w:color w:val="auto"/>
          <w:sz w:val="28"/>
          <w:szCs w:val="28"/>
          <w:highlight w:val="none"/>
        </w:rPr>
        <w:t>供应商的最后报价是供应商响应采购项目要求的价格体现，包括供应商完成本项目所需的一切费用。</w:t>
      </w:r>
    </w:p>
    <w:p>
      <w:pPr>
        <w:widowControl w:val="0"/>
        <w:numPr>
          <w:ilvl w:val="0"/>
          <w:numId w:val="14"/>
        </w:numPr>
        <w:tabs>
          <w:tab w:val="left" w:pos="1134"/>
        </w:tabs>
        <w:spacing w:line="600" w:lineRule="exact"/>
        <w:ind w:left="0" w:leftChars="0" w:firstLine="560" w:firstLineChars="200"/>
        <w:jc w:val="both"/>
        <w:rPr>
          <w:rFonts w:hint="eastAsia" w:ascii="宋体" w:hAnsi="宋体"/>
          <w:color w:val="auto"/>
          <w:sz w:val="28"/>
          <w:szCs w:val="28"/>
          <w:highlight w:val="none"/>
        </w:rPr>
      </w:pPr>
      <w:r>
        <w:rPr>
          <w:rFonts w:hint="eastAsia" w:ascii="宋体" w:hAnsi="宋体"/>
          <w:color w:val="auto"/>
          <w:sz w:val="28"/>
          <w:szCs w:val="28"/>
          <w:highlight w:val="none"/>
        </w:rPr>
        <w:t>供应商的最后报价只允许有一个报价，任何有选择或可调整的报价将不予接受，并按无效响应处理。</w:t>
      </w:r>
    </w:p>
    <w:p>
      <w:pPr>
        <w:widowControl w:val="0"/>
        <w:numPr>
          <w:ilvl w:val="0"/>
          <w:numId w:val="14"/>
        </w:numPr>
        <w:tabs>
          <w:tab w:val="left" w:pos="1134"/>
        </w:tabs>
        <w:snapToGrid w:val="0"/>
        <w:spacing w:line="640" w:lineRule="exact"/>
        <w:ind w:left="0" w:leftChars="0" w:firstLine="560" w:firstLineChars="200"/>
        <w:jc w:val="both"/>
        <w:rPr>
          <w:rFonts w:hint="eastAsia" w:ascii="宋体" w:hAnsi="宋体"/>
          <w:color w:val="auto"/>
          <w:sz w:val="28"/>
          <w:szCs w:val="28"/>
          <w:highlight w:val="none"/>
        </w:rPr>
      </w:pPr>
      <w:r>
        <w:rPr>
          <w:rFonts w:hint="eastAsia" w:ascii="宋体" w:hAnsi="宋体"/>
          <w:color w:val="auto"/>
          <w:sz w:val="28"/>
          <w:szCs w:val="28"/>
          <w:highlight w:val="none"/>
        </w:rPr>
        <w:t>参加最后报价的供应商按</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小组提供的《最后报价表》提供最后报价。</w:t>
      </w:r>
    </w:p>
    <w:bookmarkEnd w:id="38"/>
    <w:p>
      <w:pPr>
        <w:pStyle w:val="5"/>
        <w:snapToGrid w:val="0"/>
        <w:spacing w:line="640" w:lineRule="exact"/>
        <w:rPr>
          <w:color w:val="auto"/>
          <w:highlight w:val="none"/>
        </w:rPr>
      </w:pPr>
      <w:bookmarkStart w:id="39" w:name="_Toc320698728"/>
      <w:r>
        <w:rPr>
          <w:rFonts w:hint="eastAsia"/>
          <w:color w:val="auto"/>
          <w:highlight w:val="none"/>
          <w:lang w:eastAsia="zh-CN"/>
        </w:rPr>
        <w:t>磋商</w:t>
      </w:r>
      <w:r>
        <w:rPr>
          <w:rFonts w:hint="eastAsia"/>
          <w:color w:val="auto"/>
          <w:highlight w:val="none"/>
        </w:rPr>
        <w:t>保证金</w:t>
      </w:r>
    </w:p>
    <w:p>
      <w:pPr>
        <w:snapToGrid w:val="0"/>
        <w:spacing w:line="640" w:lineRule="exact"/>
        <w:ind w:left="567"/>
        <w:rPr>
          <w:rFonts w:ascii="宋体" w:hAnsi="宋体" w:cs="宋体"/>
          <w:color w:val="auto"/>
          <w:sz w:val="28"/>
          <w:szCs w:val="28"/>
          <w:highlight w:val="none"/>
        </w:rPr>
      </w:pPr>
      <w:r>
        <w:rPr>
          <w:rFonts w:hint="eastAsia" w:ascii="宋体" w:hAnsi="宋体" w:cs="宋体"/>
          <w:color w:val="auto"/>
          <w:sz w:val="28"/>
          <w:szCs w:val="28"/>
          <w:highlight w:val="none"/>
        </w:rPr>
        <w:t>本项目不收取</w:t>
      </w:r>
      <w:r>
        <w:rPr>
          <w:rFonts w:hint="eastAsia" w:ascii="宋体" w:hAnsi="宋体" w:cs="宋体"/>
          <w:color w:val="auto"/>
          <w:sz w:val="28"/>
          <w:szCs w:val="28"/>
          <w:highlight w:val="none"/>
          <w:lang w:eastAsia="zh-CN"/>
        </w:rPr>
        <w:t>磋商</w:t>
      </w:r>
      <w:r>
        <w:rPr>
          <w:rFonts w:hint="eastAsia" w:ascii="宋体" w:hAnsi="宋体" w:cs="宋体"/>
          <w:color w:val="auto"/>
          <w:sz w:val="28"/>
          <w:szCs w:val="28"/>
          <w:highlight w:val="none"/>
        </w:rPr>
        <w:t>保证金。</w:t>
      </w:r>
    </w:p>
    <w:p>
      <w:pPr>
        <w:pStyle w:val="5"/>
        <w:snapToGrid w:val="0"/>
        <w:spacing w:line="640" w:lineRule="exact"/>
        <w:rPr>
          <w:color w:val="auto"/>
          <w:highlight w:val="none"/>
        </w:rPr>
      </w:pPr>
      <w:r>
        <w:rPr>
          <w:rFonts w:hint="eastAsia"/>
          <w:color w:val="auto"/>
          <w:highlight w:val="none"/>
        </w:rPr>
        <w:t>施工响应文件有效期</w:t>
      </w:r>
      <w:bookmarkEnd w:id="39"/>
    </w:p>
    <w:p>
      <w:pPr>
        <w:snapToGrid w:val="0"/>
        <w:spacing w:line="640" w:lineRule="exact"/>
        <w:ind w:firstLine="565" w:firstLineChars="202"/>
        <w:rPr>
          <w:rFonts w:ascii="宋体" w:hAnsi="宋体"/>
          <w:color w:val="auto"/>
          <w:sz w:val="28"/>
          <w:szCs w:val="28"/>
          <w:highlight w:val="none"/>
        </w:rPr>
      </w:pPr>
      <w:r>
        <w:rPr>
          <w:rFonts w:hint="eastAsia" w:ascii="宋体" w:hAnsi="宋体"/>
          <w:color w:val="auto"/>
          <w:sz w:val="28"/>
          <w:szCs w:val="28"/>
          <w:highlight w:val="none"/>
        </w:rPr>
        <w:t>一、</w:t>
      </w:r>
      <w:r>
        <w:rPr>
          <w:rFonts w:hint="eastAsia" w:ascii="仿宋" w:hAnsi="仿宋" w:eastAsia="仿宋"/>
          <w:color w:val="auto"/>
          <w:szCs w:val="21"/>
          <w:highlight w:val="none"/>
          <w:lang w:val="zh-CN"/>
        </w:rPr>
        <w:t>（实质性要求）</w:t>
      </w:r>
      <w:r>
        <w:rPr>
          <w:rFonts w:hint="eastAsia" w:ascii="宋体" w:hAnsi="宋体"/>
          <w:color w:val="auto"/>
          <w:sz w:val="28"/>
          <w:szCs w:val="28"/>
          <w:highlight w:val="none"/>
        </w:rPr>
        <w:t>施工响应文件有效期为递交施工响应文件截止之日起</w:t>
      </w:r>
      <w:r>
        <w:rPr>
          <w:rFonts w:ascii="宋体" w:hAnsi="宋体"/>
          <w:color w:val="auto"/>
          <w:sz w:val="28"/>
          <w:szCs w:val="28"/>
          <w:highlight w:val="none"/>
          <w:u w:val="single"/>
        </w:rPr>
        <w:t>120</w:t>
      </w:r>
      <w:r>
        <w:rPr>
          <w:rFonts w:hint="eastAsia" w:ascii="宋体" w:hAnsi="宋体"/>
          <w:color w:val="auto"/>
          <w:sz w:val="28"/>
          <w:szCs w:val="28"/>
          <w:highlight w:val="none"/>
        </w:rPr>
        <w:t>天。施工响应文件有效期短于此规定期限的或不作响应的，其施工响应文件将按无效施工响应文件处理。</w:t>
      </w:r>
    </w:p>
    <w:p>
      <w:pPr>
        <w:pStyle w:val="65"/>
        <w:widowControl w:val="0"/>
        <w:numPr>
          <w:ilvl w:val="0"/>
          <w:numId w:val="15"/>
        </w:numPr>
        <w:tabs>
          <w:tab w:val="left" w:pos="1134"/>
        </w:tabs>
        <w:snapToGrid w:val="0"/>
        <w:spacing w:line="640" w:lineRule="exact"/>
        <w:ind w:left="0" w:leftChars="0" w:firstLine="560" w:firstLineChars="0"/>
        <w:jc w:val="both"/>
        <w:rPr>
          <w:rFonts w:ascii="宋体" w:hAnsi="宋体"/>
          <w:color w:val="auto"/>
          <w:sz w:val="28"/>
          <w:szCs w:val="28"/>
          <w:highlight w:val="none"/>
        </w:rPr>
      </w:pPr>
      <w:r>
        <w:rPr>
          <w:rFonts w:hint="eastAsia" w:ascii="宋体" w:hAnsi="宋体"/>
          <w:color w:val="auto"/>
          <w:sz w:val="28"/>
          <w:szCs w:val="28"/>
          <w:highlight w:val="none"/>
        </w:rPr>
        <w:t>特殊情况下，采购人可于施工响应文件有效期满之前要求供应商同意延长有效期，要求与答复均应为书面形式。供应商可以拒绝上述要求，其</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保证金不被没收。同意延长施工响应文件有效期的供应商不能修改其施工响应文件，关于</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保证金的有关规定在延长的施工响应文件有效期内继续有效。</w:t>
      </w:r>
    </w:p>
    <w:p>
      <w:pPr>
        <w:pStyle w:val="5"/>
        <w:snapToGrid w:val="0"/>
        <w:spacing w:line="640" w:lineRule="exact"/>
        <w:rPr>
          <w:rFonts w:hint="eastAsia" w:eastAsia="宋体"/>
          <w:color w:val="auto"/>
          <w:highlight w:val="none"/>
          <w:lang w:val="en-US" w:eastAsia="zh-CN"/>
        </w:rPr>
      </w:pPr>
      <w:bookmarkStart w:id="40" w:name="_Toc320698729"/>
      <w:r>
        <w:rPr>
          <w:rFonts w:hint="eastAsia"/>
          <w:color w:val="auto"/>
          <w:highlight w:val="none"/>
        </w:rPr>
        <w:t>施工响应文件的印制和签署和装订</w:t>
      </w:r>
    </w:p>
    <w:p>
      <w:pPr>
        <w:pStyle w:val="5"/>
        <w:numPr>
          <w:ilvl w:val="3"/>
          <w:numId w:val="1"/>
        </w:numPr>
        <w:snapToGrid w:val="0"/>
        <w:spacing w:line="640" w:lineRule="exact"/>
        <w:rPr>
          <w:color w:val="auto"/>
          <w:highlight w:val="none"/>
        </w:rPr>
      </w:pPr>
      <w:r>
        <w:rPr>
          <w:rFonts w:hint="eastAsia"/>
          <w:color w:val="auto"/>
          <w:highlight w:val="none"/>
        </w:rPr>
        <w:t>施工响应文件的印制和签署</w:t>
      </w:r>
      <w:r>
        <w:rPr>
          <w:rFonts w:hint="eastAsia" w:ascii="仿宋" w:hAnsi="仿宋" w:eastAsia="仿宋"/>
          <w:color w:val="auto"/>
          <w:szCs w:val="21"/>
          <w:highlight w:val="none"/>
          <w:lang w:val="zh-CN"/>
        </w:rPr>
        <w:t>（实质性要求）</w:t>
      </w:r>
    </w:p>
    <w:bookmarkEnd w:id="40"/>
    <w:p>
      <w:pPr>
        <w:widowControl w:val="0"/>
        <w:numPr>
          <w:ilvl w:val="0"/>
          <w:numId w:val="16"/>
        </w:numPr>
        <w:tabs>
          <w:tab w:val="left" w:pos="1134"/>
        </w:tabs>
        <w:snapToGrid w:val="0"/>
        <w:spacing w:line="640" w:lineRule="exact"/>
        <w:ind w:left="0" w:firstLine="562" w:firstLineChars="200"/>
        <w:jc w:val="both"/>
        <w:rPr>
          <w:rFonts w:ascii="宋体" w:hAnsi="宋体"/>
          <w:color w:val="auto"/>
          <w:sz w:val="28"/>
          <w:szCs w:val="28"/>
          <w:highlight w:val="none"/>
        </w:rPr>
      </w:pPr>
      <w:r>
        <w:rPr>
          <w:rFonts w:hint="eastAsia" w:ascii="宋体" w:hAnsi="宋体"/>
          <w:b/>
          <w:color w:val="auto"/>
          <w:sz w:val="28"/>
          <w:szCs w:val="28"/>
          <w:highlight w:val="none"/>
        </w:rPr>
        <w:t>施工响应文件正本一份副本</w:t>
      </w:r>
      <w:r>
        <w:rPr>
          <w:rFonts w:hint="eastAsia" w:ascii="宋体" w:hAnsi="宋体"/>
          <w:b/>
          <w:color w:val="auto"/>
          <w:sz w:val="28"/>
          <w:szCs w:val="28"/>
          <w:highlight w:val="none"/>
          <w:lang w:val="en-US" w:eastAsia="zh-CN"/>
        </w:rPr>
        <w:t>一</w:t>
      </w:r>
      <w:r>
        <w:rPr>
          <w:rFonts w:hint="eastAsia" w:ascii="宋体" w:hAnsi="宋体"/>
          <w:b/>
          <w:color w:val="auto"/>
          <w:sz w:val="28"/>
          <w:szCs w:val="28"/>
          <w:highlight w:val="none"/>
        </w:rPr>
        <w:t>份，</w:t>
      </w:r>
      <w:r>
        <w:rPr>
          <w:rFonts w:hint="eastAsia" w:ascii="宋体" w:hAnsi="宋体"/>
          <w:color w:val="auto"/>
          <w:sz w:val="28"/>
          <w:szCs w:val="28"/>
          <w:highlight w:val="none"/>
        </w:rPr>
        <w:t>并在其封面上清楚地标明</w:t>
      </w:r>
      <w:r>
        <w:rPr>
          <w:rFonts w:hint="eastAsia" w:ascii="宋体" w:hAnsi="宋体"/>
          <w:b/>
          <w:color w:val="auto"/>
          <w:sz w:val="28"/>
          <w:szCs w:val="28"/>
          <w:highlight w:val="none"/>
        </w:rPr>
        <w:t>施工响应文件、项目名称、项目编号、供应商名称以及“正本”或“副本”字样</w:t>
      </w:r>
      <w:r>
        <w:rPr>
          <w:rFonts w:hint="eastAsia" w:ascii="宋体" w:hAnsi="宋体"/>
          <w:color w:val="auto"/>
          <w:sz w:val="28"/>
          <w:szCs w:val="28"/>
          <w:highlight w:val="none"/>
        </w:rPr>
        <w:t>。若正本和副本有不一致的内容，以正本书面施工响应文件为准。</w:t>
      </w:r>
    </w:p>
    <w:p>
      <w:pPr>
        <w:widowControl w:val="0"/>
        <w:numPr>
          <w:ilvl w:val="0"/>
          <w:numId w:val="16"/>
        </w:numPr>
        <w:tabs>
          <w:tab w:val="left" w:pos="1134"/>
        </w:tabs>
        <w:snapToGrid w:val="0"/>
        <w:spacing w:line="640" w:lineRule="exact"/>
        <w:ind w:left="0" w:firstLine="560" w:firstLineChars="200"/>
        <w:jc w:val="both"/>
        <w:rPr>
          <w:rFonts w:ascii="宋体" w:hAnsi="宋体"/>
          <w:color w:val="auto"/>
          <w:sz w:val="28"/>
          <w:szCs w:val="28"/>
          <w:highlight w:val="none"/>
        </w:rPr>
      </w:pPr>
      <w:r>
        <w:rPr>
          <w:rFonts w:hint="eastAsia" w:ascii="宋体" w:hAnsi="宋体"/>
          <w:color w:val="auto"/>
          <w:sz w:val="28"/>
          <w:szCs w:val="28"/>
          <w:highlight w:val="none"/>
        </w:rPr>
        <w:t>施工响应文件的正本和副本均需打印或用不褪色的墨水书写。施工响应文件应由供应商法定代表人或经法定代表人正式授权的代理人在</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文件要求的地方签字或加盖公章。</w:t>
      </w:r>
      <w:r>
        <w:rPr>
          <w:rFonts w:ascii="宋体" w:hAnsi="宋体"/>
          <w:b/>
          <w:color w:val="auto"/>
          <w:sz w:val="28"/>
          <w:szCs w:val="28"/>
          <w:highlight w:val="none"/>
        </w:rPr>
        <w:t>[</w:t>
      </w:r>
      <w:r>
        <w:rPr>
          <w:rFonts w:hint="eastAsia" w:ascii="宋体" w:hAnsi="宋体"/>
          <w:b/>
          <w:color w:val="auto"/>
          <w:sz w:val="28"/>
          <w:szCs w:val="28"/>
          <w:highlight w:val="none"/>
        </w:rPr>
        <w:t>注：所有要求盖公章的地方都应加盖供应商（法定名称）</w:t>
      </w:r>
      <w:r>
        <w:rPr>
          <w:rFonts w:hint="eastAsia" w:ascii="宋体" w:hAnsi="宋体"/>
          <w:b/>
          <w:color w:val="auto"/>
          <w:sz w:val="28"/>
          <w:szCs w:val="28"/>
          <w:highlight w:val="none"/>
          <w:lang w:val="en-US" w:eastAsia="zh-CN"/>
        </w:rPr>
        <w:t>公</w:t>
      </w:r>
      <w:r>
        <w:rPr>
          <w:rFonts w:hint="eastAsia" w:ascii="宋体" w:hAnsi="宋体"/>
          <w:b/>
          <w:color w:val="auto"/>
          <w:sz w:val="28"/>
          <w:szCs w:val="28"/>
          <w:highlight w:val="none"/>
        </w:rPr>
        <w:t>章（鲜章），不得使用专用章（如经济合同章、投标专用章等）或下属单位印章代替。</w:t>
      </w:r>
      <w:r>
        <w:rPr>
          <w:rFonts w:ascii="宋体" w:hAnsi="宋体"/>
          <w:b/>
          <w:color w:val="auto"/>
          <w:sz w:val="28"/>
          <w:szCs w:val="28"/>
          <w:highlight w:val="none"/>
        </w:rPr>
        <w:t>]</w:t>
      </w:r>
    </w:p>
    <w:p>
      <w:pPr>
        <w:widowControl w:val="0"/>
        <w:numPr>
          <w:ilvl w:val="0"/>
          <w:numId w:val="16"/>
        </w:numPr>
        <w:tabs>
          <w:tab w:val="left" w:pos="1134"/>
        </w:tabs>
        <w:snapToGrid w:val="0"/>
        <w:spacing w:line="640" w:lineRule="exact"/>
        <w:ind w:left="0" w:firstLine="560" w:firstLineChars="200"/>
        <w:jc w:val="both"/>
        <w:rPr>
          <w:rFonts w:ascii="宋体" w:hAnsi="宋体"/>
          <w:color w:val="auto"/>
          <w:sz w:val="28"/>
          <w:szCs w:val="28"/>
          <w:highlight w:val="none"/>
        </w:rPr>
      </w:pPr>
      <w:r>
        <w:rPr>
          <w:rFonts w:hint="eastAsia" w:ascii="宋体" w:hAnsi="宋体"/>
          <w:color w:val="auto"/>
          <w:sz w:val="28"/>
          <w:szCs w:val="28"/>
          <w:highlight w:val="none"/>
        </w:rPr>
        <w:t>施工响应文件副本可采用正本的复印件。</w:t>
      </w:r>
    </w:p>
    <w:p>
      <w:pPr>
        <w:widowControl w:val="0"/>
        <w:numPr>
          <w:ilvl w:val="0"/>
          <w:numId w:val="16"/>
        </w:numPr>
        <w:tabs>
          <w:tab w:val="left" w:pos="1134"/>
        </w:tabs>
        <w:snapToGrid w:val="0"/>
        <w:spacing w:line="640" w:lineRule="exact"/>
        <w:ind w:left="0" w:firstLine="560" w:firstLineChars="200"/>
        <w:jc w:val="both"/>
        <w:rPr>
          <w:rFonts w:ascii="宋体" w:hAnsi="宋体"/>
          <w:color w:val="auto"/>
          <w:sz w:val="28"/>
          <w:szCs w:val="28"/>
          <w:highlight w:val="none"/>
        </w:rPr>
      </w:pPr>
      <w:r>
        <w:rPr>
          <w:rFonts w:hint="eastAsia" w:ascii="宋体" w:hAnsi="宋体"/>
          <w:color w:val="auto"/>
          <w:sz w:val="28"/>
          <w:szCs w:val="28"/>
          <w:highlight w:val="none"/>
        </w:rPr>
        <w:t>施工响应文件的打印和书写应清楚工整，任何行间插字、涂改或增删，必须由供应商的法定代表人或其授权代理人签字。</w:t>
      </w:r>
    </w:p>
    <w:p>
      <w:pPr>
        <w:widowControl w:val="0"/>
        <w:numPr>
          <w:ilvl w:val="0"/>
          <w:numId w:val="16"/>
        </w:numPr>
        <w:tabs>
          <w:tab w:val="left" w:pos="1134"/>
        </w:tabs>
        <w:snapToGrid w:val="0"/>
        <w:spacing w:line="640" w:lineRule="exact"/>
        <w:ind w:left="0" w:firstLine="560" w:firstLineChars="200"/>
        <w:jc w:val="both"/>
        <w:rPr>
          <w:rFonts w:ascii="宋体" w:hAnsi="宋体"/>
          <w:color w:val="auto"/>
          <w:sz w:val="28"/>
          <w:szCs w:val="28"/>
          <w:highlight w:val="none"/>
        </w:rPr>
      </w:pPr>
      <w:r>
        <w:rPr>
          <w:rFonts w:hint="eastAsia" w:ascii="宋体" w:hAnsi="宋体"/>
          <w:color w:val="auto"/>
          <w:sz w:val="28"/>
          <w:szCs w:val="28"/>
          <w:highlight w:val="none"/>
        </w:rPr>
        <w:t>施工响应文件应根据</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文件的要求制作、签署、盖章。（说明：</w:t>
      </w:r>
      <w:r>
        <w:rPr>
          <w:rFonts w:ascii="宋体" w:hAnsi="宋体"/>
          <w:color w:val="auto"/>
          <w:sz w:val="28"/>
          <w:szCs w:val="28"/>
          <w:highlight w:val="none"/>
        </w:rPr>
        <w:t>1、</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文件中要求提供复印件证明材料的，包含原件的影印件或复印件。</w:t>
      </w:r>
      <w:r>
        <w:rPr>
          <w:rFonts w:ascii="宋体" w:hAnsi="宋体"/>
          <w:color w:val="auto"/>
          <w:sz w:val="28"/>
          <w:szCs w:val="28"/>
          <w:highlight w:val="none"/>
        </w:rPr>
        <w:t>2、</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文件中要求提供复印件加盖公章的证明材料的，复印件所在页按要求加盖了公章或复印件为多页但至少有一页按要求加盖了公章的，视为满足复印件加盖公章的要求。</w:t>
      </w:r>
      <w:r>
        <w:rPr>
          <w:rFonts w:ascii="宋体" w:hAnsi="宋体"/>
          <w:color w:val="auto"/>
          <w:sz w:val="28"/>
          <w:szCs w:val="28"/>
          <w:highlight w:val="none"/>
        </w:rPr>
        <w:t>3、</w:t>
      </w:r>
      <w:r>
        <w:rPr>
          <w:rFonts w:ascii="宋体" w:hAnsi="宋体" w:cs="宋体"/>
          <w:color w:val="auto"/>
          <w:sz w:val="28"/>
          <w:szCs w:val="28"/>
          <w:highlight w:val="none"/>
        </w:rPr>
        <w:t>要求提供复印件的证明材料须清晰可辨</w:t>
      </w:r>
      <w:r>
        <w:rPr>
          <w:rFonts w:hint="eastAsia" w:ascii="宋体" w:hAnsi="宋体" w:cs="宋体"/>
          <w:color w:val="auto"/>
          <w:sz w:val="28"/>
          <w:szCs w:val="28"/>
          <w:highlight w:val="none"/>
        </w:rPr>
        <w:t>。</w:t>
      </w:r>
      <w:r>
        <w:rPr>
          <w:rFonts w:hint="eastAsia" w:ascii="宋体" w:hAnsi="宋体"/>
          <w:color w:val="auto"/>
          <w:sz w:val="28"/>
          <w:szCs w:val="28"/>
          <w:highlight w:val="none"/>
        </w:rPr>
        <w:t>）</w:t>
      </w:r>
    </w:p>
    <w:p>
      <w:pPr>
        <w:pStyle w:val="5"/>
        <w:numPr>
          <w:ilvl w:val="3"/>
          <w:numId w:val="1"/>
        </w:numPr>
        <w:snapToGrid w:val="0"/>
        <w:spacing w:line="640" w:lineRule="exact"/>
        <w:rPr>
          <w:color w:val="auto"/>
          <w:highlight w:val="none"/>
        </w:rPr>
      </w:pPr>
      <w:r>
        <w:rPr>
          <w:rFonts w:hint="eastAsia"/>
          <w:color w:val="auto"/>
          <w:highlight w:val="none"/>
        </w:rPr>
        <w:t>施工响应文件的装订</w:t>
      </w:r>
    </w:p>
    <w:p>
      <w:pPr>
        <w:ind w:firstLine="560" w:firstLineChars="200"/>
        <w:rPr>
          <w:color w:val="auto"/>
          <w:highlight w:val="none"/>
        </w:rPr>
      </w:pPr>
      <w:r>
        <w:rPr>
          <w:rFonts w:hint="eastAsia" w:ascii="宋体" w:hAnsi="宋体"/>
          <w:color w:val="auto"/>
          <w:sz w:val="28"/>
          <w:szCs w:val="28"/>
          <w:highlight w:val="none"/>
        </w:rPr>
        <w:t>一、施工响应文件统一用A4幅面纸印制（表、图及证件可以除外）。</w:t>
      </w:r>
    </w:p>
    <w:p>
      <w:pPr>
        <w:ind w:firstLine="560" w:firstLineChars="200"/>
        <w:rPr>
          <w:color w:val="auto"/>
          <w:highlight w:val="none"/>
        </w:rPr>
      </w:pPr>
      <w:r>
        <w:rPr>
          <w:rFonts w:hint="eastAsia" w:ascii="宋体" w:hAnsi="宋体"/>
          <w:color w:val="auto"/>
          <w:sz w:val="28"/>
          <w:szCs w:val="28"/>
          <w:highlight w:val="none"/>
        </w:rPr>
        <w:t>二、施工响应文件的正、副本应装订成册（对施工响应文件的修改或撤回的书面通知除外）。</w:t>
      </w:r>
    </w:p>
    <w:p>
      <w:pPr>
        <w:pStyle w:val="5"/>
        <w:snapToGrid w:val="0"/>
        <w:spacing w:line="640" w:lineRule="exact"/>
        <w:rPr>
          <w:color w:val="auto"/>
          <w:highlight w:val="none"/>
        </w:rPr>
      </w:pPr>
      <w:bookmarkStart w:id="41" w:name="_Toc320698730"/>
      <w:r>
        <w:rPr>
          <w:rFonts w:hint="eastAsia"/>
          <w:color w:val="auto"/>
          <w:highlight w:val="none"/>
        </w:rPr>
        <w:t>施工响应文件的包装和密封、标注</w:t>
      </w:r>
      <w:bookmarkEnd w:id="41"/>
      <w:r>
        <w:rPr>
          <w:rFonts w:hint="eastAsia" w:ascii="仿宋" w:hAnsi="仿宋" w:eastAsia="仿宋"/>
          <w:color w:val="auto"/>
          <w:szCs w:val="21"/>
          <w:highlight w:val="none"/>
          <w:lang w:val="zh-CN"/>
        </w:rPr>
        <w:t>（实质性要求）</w:t>
      </w:r>
    </w:p>
    <w:p>
      <w:pPr>
        <w:widowControl w:val="0"/>
        <w:numPr>
          <w:ilvl w:val="0"/>
          <w:numId w:val="17"/>
        </w:numPr>
        <w:tabs>
          <w:tab w:val="left" w:pos="1200"/>
        </w:tabs>
        <w:snapToGrid w:val="0"/>
        <w:spacing w:line="640" w:lineRule="exact"/>
        <w:ind w:left="0" w:firstLine="562" w:firstLineChars="200"/>
        <w:jc w:val="both"/>
        <w:rPr>
          <w:rFonts w:ascii="宋体" w:hAnsi="宋体"/>
          <w:color w:val="auto"/>
          <w:sz w:val="28"/>
          <w:szCs w:val="28"/>
          <w:highlight w:val="none"/>
        </w:rPr>
      </w:pPr>
      <w:r>
        <w:rPr>
          <w:rFonts w:hint="eastAsia" w:ascii="宋体" w:hAnsi="宋体"/>
          <w:b/>
          <w:color w:val="auto"/>
          <w:sz w:val="28"/>
          <w:szCs w:val="28"/>
          <w:highlight w:val="none"/>
        </w:rPr>
        <w:t>施工响应文件应包装、密封和标注。</w:t>
      </w:r>
    </w:p>
    <w:p>
      <w:pPr>
        <w:widowControl w:val="0"/>
        <w:numPr>
          <w:ilvl w:val="0"/>
          <w:numId w:val="17"/>
        </w:numPr>
        <w:tabs>
          <w:tab w:val="left" w:pos="1200"/>
        </w:tabs>
        <w:snapToGrid w:val="0"/>
        <w:spacing w:line="640" w:lineRule="exact"/>
        <w:ind w:left="0" w:firstLine="560" w:firstLineChars="200"/>
        <w:jc w:val="both"/>
        <w:rPr>
          <w:color w:val="auto"/>
          <w:highlight w:val="none"/>
        </w:rPr>
      </w:pPr>
      <w:r>
        <w:rPr>
          <w:rFonts w:hint="eastAsia" w:ascii="宋体" w:hAnsi="宋体"/>
          <w:color w:val="auto"/>
          <w:sz w:val="28"/>
          <w:szCs w:val="28"/>
          <w:highlight w:val="none"/>
        </w:rPr>
        <w:t>每一个密封包装的最外层应清楚地标明</w:t>
      </w:r>
      <w:r>
        <w:rPr>
          <w:rFonts w:hint="eastAsia" w:ascii="宋体" w:hAnsi="宋体"/>
          <w:b/>
          <w:color w:val="auto"/>
          <w:sz w:val="28"/>
          <w:szCs w:val="28"/>
          <w:highlight w:val="none"/>
        </w:rPr>
        <w:t>项目名称、项目编号、供应商名称以及施工响应文</w:t>
      </w:r>
      <w:r>
        <w:rPr>
          <w:rFonts w:hint="eastAsia" w:ascii="宋体" w:hAnsi="宋体"/>
          <w:b/>
          <w:bCs w:val="0"/>
          <w:color w:val="auto"/>
          <w:sz w:val="28"/>
          <w:szCs w:val="28"/>
          <w:highlight w:val="none"/>
        </w:rPr>
        <w:t>件，并加盖供应商公章。</w:t>
      </w:r>
    </w:p>
    <w:p>
      <w:pPr>
        <w:pStyle w:val="5"/>
        <w:spacing w:line="600" w:lineRule="exact"/>
        <w:rPr>
          <w:color w:val="auto"/>
          <w:highlight w:val="none"/>
        </w:rPr>
      </w:pPr>
      <w:r>
        <w:rPr>
          <w:rFonts w:hint="eastAsia"/>
          <w:color w:val="auto"/>
          <w:highlight w:val="none"/>
        </w:rPr>
        <w:t>施工响应文件的递交</w:t>
      </w:r>
    </w:p>
    <w:p>
      <w:pPr>
        <w:widowControl w:val="0"/>
        <w:numPr>
          <w:ilvl w:val="0"/>
          <w:numId w:val="18"/>
        </w:numPr>
        <w:tabs>
          <w:tab w:val="left" w:pos="1200"/>
        </w:tabs>
        <w:snapToGrid w:val="0"/>
        <w:spacing w:line="640" w:lineRule="exact"/>
        <w:ind w:left="0" w:firstLine="560" w:firstLineChars="200"/>
        <w:jc w:val="both"/>
        <w:rPr>
          <w:rFonts w:ascii="宋体" w:hAnsi="宋体"/>
          <w:color w:val="auto"/>
          <w:sz w:val="28"/>
          <w:szCs w:val="28"/>
          <w:highlight w:val="none"/>
        </w:rPr>
      </w:pPr>
      <w:bookmarkStart w:id="42" w:name="_Toc446487098"/>
      <w:r>
        <w:rPr>
          <w:rFonts w:hint="eastAsia" w:ascii="宋体" w:hAnsi="宋体"/>
          <w:color w:val="auto"/>
          <w:sz w:val="28"/>
          <w:szCs w:val="28"/>
          <w:highlight w:val="none"/>
        </w:rPr>
        <w:t>施工响应文件应于递交施工响应文件截止时间前送达指定地点。截止时间后送达的施工响应文件将被拒绝接收。</w:t>
      </w:r>
    </w:p>
    <w:p>
      <w:pPr>
        <w:widowControl w:val="0"/>
        <w:numPr>
          <w:ilvl w:val="0"/>
          <w:numId w:val="19"/>
        </w:numPr>
        <w:tabs>
          <w:tab w:val="left" w:pos="1134"/>
        </w:tabs>
        <w:spacing w:line="600" w:lineRule="exact"/>
        <w:ind w:left="0" w:firstLine="567"/>
        <w:jc w:val="both"/>
        <w:rPr>
          <w:rFonts w:ascii="宋体" w:hAnsi="宋体"/>
          <w:bCs/>
          <w:color w:val="auto"/>
          <w:sz w:val="28"/>
          <w:szCs w:val="28"/>
          <w:highlight w:val="none"/>
        </w:rPr>
      </w:pPr>
      <w:r>
        <w:rPr>
          <w:rFonts w:hint="eastAsia" w:ascii="宋体" w:hAnsi="宋体"/>
          <w:bCs/>
          <w:color w:val="auto"/>
          <w:sz w:val="28"/>
          <w:szCs w:val="28"/>
          <w:highlight w:val="none"/>
        </w:rPr>
        <w:t>因</w:t>
      </w:r>
      <w:r>
        <w:rPr>
          <w:rFonts w:hint="eastAsia" w:ascii="宋体" w:hAnsi="宋体"/>
          <w:bCs/>
          <w:color w:val="auto"/>
          <w:sz w:val="28"/>
          <w:szCs w:val="28"/>
          <w:highlight w:val="none"/>
          <w:lang w:eastAsia="zh-CN"/>
        </w:rPr>
        <w:t>磋商</w:t>
      </w:r>
      <w:r>
        <w:rPr>
          <w:rFonts w:hint="eastAsia" w:ascii="宋体" w:hAnsi="宋体"/>
          <w:bCs/>
          <w:color w:val="auto"/>
          <w:sz w:val="28"/>
          <w:szCs w:val="28"/>
          <w:highlight w:val="none"/>
        </w:rPr>
        <w:t>文件的修改推迟递交施工响应文件截止日期的，供应商按</w:t>
      </w:r>
      <w:r>
        <w:rPr>
          <w:rFonts w:hint="eastAsia" w:ascii="宋体" w:hAnsi="宋体"/>
          <w:bCs/>
          <w:color w:val="auto"/>
          <w:sz w:val="28"/>
          <w:szCs w:val="28"/>
          <w:highlight w:val="none"/>
          <w:lang w:eastAsia="zh-CN"/>
        </w:rPr>
        <w:t>区采购中心</w:t>
      </w:r>
      <w:r>
        <w:rPr>
          <w:rFonts w:hint="eastAsia" w:ascii="宋体" w:hAnsi="宋体"/>
          <w:bCs/>
          <w:color w:val="auto"/>
          <w:sz w:val="28"/>
          <w:szCs w:val="28"/>
          <w:highlight w:val="none"/>
        </w:rPr>
        <w:t>在“四川政府采购网”和“</w:t>
      </w:r>
      <w:r>
        <w:rPr>
          <w:rFonts w:hint="eastAsia" w:ascii="宋体" w:hAnsi="宋体"/>
          <w:bCs/>
          <w:color w:val="auto"/>
          <w:sz w:val="28"/>
          <w:szCs w:val="28"/>
          <w:highlight w:val="none"/>
          <w:lang w:eastAsia="zh-CN"/>
        </w:rPr>
        <w:t>成都市公共资源交易服务中心</w:t>
      </w:r>
      <w:r>
        <w:rPr>
          <w:rFonts w:hint="eastAsia" w:ascii="宋体" w:hAnsi="宋体"/>
          <w:bCs/>
          <w:color w:val="auto"/>
          <w:sz w:val="28"/>
          <w:szCs w:val="28"/>
          <w:highlight w:val="none"/>
        </w:rPr>
        <w:t>”网站上发布的澄清公告中修改的时间递交</w:t>
      </w:r>
      <w:r>
        <w:rPr>
          <w:rFonts w:hint="eastAsia" w:ascii="宋体" w:hAnsi="宋体"/>
          <w:bCs/>
          <w:color w:val="auto"/>
          <w:sz w:val="28"/>
          <w:szCs w:val="28"/>
          <w:highlight w:val="none"/>
          <w:lang w:eastAsia="zh-CN"/>
        </w:rPr>
        <w:t>施工响应文件</w:t>
      </w:r>
      <w:r>
        <w:rPr>
          <w:rFonts w:hint="eastAsia" w:ascii="宋体" w:hAnsi="宋体"/>
          <w:bCs/>
          <w:color w:val="auto"/>
          <w:sz w:val="28"/>
          <w:szCs w:val="28"/>
          <w:highlight w:val="none"/>
        </w:rPr>
        <w:t>，同时通过“政府采购云平台”将澄清或者修改的内容告知所有在系统中成功获取磋商文件的潜在供应商。</w:t>
      </w:r>
      <w:r>
        <w:rPr>
          <w:rFonts w:hint="eastAsia" w:ascii="宋体" w:hAnsi="宋体"/>
          <w:color w:val="auto"/>
          <w:sz w:val="28"/>
          <w:szCs w:val="28"/>
          <w:highlight w:val="none"/>
        </w:rPr>
        <w:t>（供应商通过账号或</w:t>
      </w:r>
      <w:r>
        <w:rPr>
          <w:rFonts w:ascii="宋体" w:hAnsi="宋体"/>
          <w:color w:val="auto"/>
          <w:sz w:val="28"/>
          <w:szCs w:val="28"/>
          <w:highlight w:val="none"/>
        </w:rPr>
        <w:t>CA证书登录云平台查看）</w:t>
      </w:r>
      <w:r>
        <w:rPr>
          <w:rFonts w:hint="eastAsia" w:ascii="宋体" w:hAnsi="宋体"/>
          <w:bCs/>
          <w:color w:val="auto"/>
          <w:sz w:val="28"/>
          <w:szCs w:val="28"/>
          <w:highlight w:val="none"/>
        </w:rPr>
        <w:t>，</w:t>
      </w:r>
      <w:r>
        <w:rPr>
          <w:rFonts w:hint="eastAsia" w:ascii="宋体" w:hAnsi="宋体"/>
          <w:color w:val="auto"/>
          <w:sz w:val="28"/>
          <w:szCs w:val="28"/>
          <w:highlight w:val="none"/>
        </w:rPr>
        <w:t>该澄清或者修改的内容为</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文件的组成部分。</w:t>
      </w:r>
    </w:p>
    <w:p>
      <w:pPr>
        <w:widowControl w:val="0"/>
        <w:numPr>
          <w:ilvl w:val="0"/>
          <w:numId w:val="18"/>
        </w:numPr>
        <w:tabs>
          <w:tab w:val="left" w:pos="1134"/>
        </w:tabs>
        <w:snapToGrid w:val="0"/>
        <w:spacing w:line="640" w:lineRule="exact"/>
        <w:ind w:left="0" w:firstLine="560" w:firstLineChars="200"/>
        <w:jc w:val="both"/>
        <w:rPr>
          <w:rFonts w:ascii="宋体" w:hAnsi="宋体"/>
          <w:bCs/>
          <w:color w:val="auto"/>
          <w:sz w:val="28"/>
          <w:szCs w:val="28"/>
          <w:highlight w:val="none"/>
        </w:rPr>
      </w:pPr>
      <w:r>
        <w:rPr>
          <w:rFonts w:hint="eastAsia" w:cs="Arial"/>
          <w:color w:val="auto"/>
          <w:sz w:val="28"/>
          <w:szCs w:val="28"/>
          <w:highlight w:val="none"/>
        </w:rPr>
        <w:t>采购人或者</w:t>
      </w:r>
      <w:r>
        <w:rPr>
          <w:rFonts w:hint="eastAsia" w:cs="Arial"/>
          <w:color w:val="auto"/>
          <w:sz w:val="28"/>
          <w:szCs w:val="28"/>
          <w:highlight w:val="none"/>
          <w:lang w:eastAsia="zh-CN"/>
        </w:rPr>
        <w:t>区采购中心</w:t>
      </w:r>
      <w:r>
        <w:rPr>
          <w:rFonts w:hint="eastAsia" w:cs="Arial"/>
          <w:color w:val="auto"/>
          <w:sz w:val="28"/>
          <w:szCs w:val="28"/>
          <w:highlight w:val="none"/>
        </w:rPr>
        <w:t>收到施工响应文件后，应当如实记载施工响应文件的送达时间和密封情况，签收保存。任何单位和个人不得在</w:t>
      </w:r>
      <w:r>
        <w:rPr>
          <w:rFonts w:hint="eastAsia" w:cs="Arial"/>
          <w:color w:val="auto"/>
          <w:sz w:val="28"/>
          <w:szCs w:val="28"/>
          <w:highlight w:val="none"/>
          <w:lang w:eastAsia="zh-CN"/>
        </w:rPr>
        <w:t>磋商</w:t>
      </w:r>
      <w:r>
        <w:rPr>
          <w:rFonts w:hint="eastAsia" w:cs="Arial"/>
          <w:color w:val="auto"/>
          <w:sz w:val="28"/>
          <w:szCs w:val="28"/>
          <w:highlight w:val="none"/>
        </w:rPr>
        <w:t>前开启施工响应文件</w:t>
      </w:r>
      <w:r>
        <w:rPr>
          <w:rFonts w:hint="eastAsia" w:ascii="宋体" w:hAnsi="宋体"/>
          <w:bCs/>
          <w:color w:val="auto"/>
          <w:sz w:val="28"/>
          <w:szCs w:val="28"/>
          <w:highlight w:val="none"/>
        </w:rPr>
        <w:t>。</w:t>
      </w:r>
    </w:p>
    <w:p>
      <w:pPr>
        <w:widowControl w:val="0"/>
        <w:numPr>
          <w:ilvl w:val="0"/>
          <w:numId w:val="18"/>
        </w:numPr>
        <w:tabs>
          <w:tab w:val="left" w:pos="1134"/>
        </w:tabs>
        <w:snapToGrid w:val="0"/>
        <w:spacing w:line="640" w:lineRule="exact"/>
        <w:ind w:left="0" w:firstLine="560" w:firstLineChars="200"/>
        <w:jc w:val="both"/>
        <w:rPr>
          <w:rFonts w:ascii="宋体" w:hAnsi="宋体"/>
          <w:bCs/>
          <w:color w:val="auto"/>
          <w:sz w:val="28"/>
          <w:szCs w:val="28"/>
          <w:highlight w:val="none"/>
        </w:rPr>
      </w:pPr>
      <w:r>
        <w:rPr>
          <w:rFonts w:hint="eastAsia" w:cs="Arial"/>
          <w:color w:val="auto"/>
          <w:sz w:val="28"/>
          <w:szCs w:val="28"/>
          <w:highlight w:val="none"/>
        </w:rPr>
        <w:t>出现下列情形的，供应商的施工响应文件将被拒绝接收：</w:t>
      </w:r>
    </w:p>
    <w:p>
      <w:pPr>
        <w:tabs>
          <w:tab w:val="left" w:pos="0"/>
        </w:tabs>
        <w:snapToGrid w:val="0"/>
        <w:spacing w:line="640" w:lineRule="exact"/>
        <w:ind w:firstLine="560" w:firstLineChars="200"/>
        <w:rPr>
          <w:rFonts w:ascii="宋体" w:hAnsi="宋体"/>
          <w:bCs/>
          <w:color w:val="auto"/>
          <w:sz w:val="28"/>
          <w:szCs w:val="28"/>
          <w:highlight w:val="none"/>
        </w:rPr>
      </w:pPr>
      <w:r>
        <w:rPr>
          <w:rFonts w:hint="eastAsia" w:ascii="宋体" w:hAnsi="宋体"/>
          <w:bCs/>
          <w:color w:val="auto"/>
          <w:sz w:val="28"/>
          <w:szCs w:val="28"/>
          <w:highlight w:val="none"/>
        </w:rPr>
        <w:t>（一）递交施工响应文件截止时间后送达的施工响应文件；</w:t>
      </w:r>
    </w:p>
    <w:p>
      <w:pPr>
        <w:tabs>
          <w:tab w:val="left" w:pos="0"/>
        </w:tabs>
        <w:snapToGrid w:val="0"/>
        <w:spacing w:line="640" w:lineRule="exact"/>
        <w:ind w:firstLine="560" w:firstLineChars="200"/>
        <w:rPr>
          <w:rFonts w:ascii="宋体" w:hAnsi="宋体"/>
          <w:color w:val="auto"/>
          <w:sz w:val="28"/>
          <w:szCs w:val="28"/>
          <w:highlight w:val="none"/>
        </w:rPr>
      </w:pPr>
      <w:r>
        <w:rPr>
          <w:rFonts w:hint="eastAsia" w:ascii="宋体" w:hAnsi="宋体"/>
          <w:color w:val="auto"/>
          <w:sz w:val="28"/>
          <w:szCs w:val="28"/>
          <w:highlight w:val="none"/>
        </w:rPr>
        <w:t>（三）未按</w:t>
      </w:r>
      <w:r>
        <w:rPr>
          <w:rFonts w:ascii="宋体" w:hAnsi="宋体"/>
          <w:color w:val="auto"/>
          <w:sz w:val="28"/>
          <w:szCs w:val="28"/>
          <w:highlight w:val="none"/>
        </w:rPr>
        <w:t>2.4.1</w:t>
      </w:r>
      <w:r>
        <w:rPr>
          <w:rFonts w:hint="eastAsia" w:ascii="宋体" w:hAnsi="宋体"/>
          <w:color w:val="auto"/>
          <w:sz w:val="28"/>
          <w:szCs w:val="28"/>
          <w:highlight w:val="none"/>
          <w:lang w:val="en-US" w:eastAsia="zh-CN"/>
        </w:rPr>
        <w:t>2</w:t>
      </w:r>
      <w:r>
        <w:rPr>
          <w:rFonts w:hint="eastAsia" w:ascii="宋体" w:hAnsi="宋体"/>
          <w:color w:val="auto"/>
          <w:sz w:val="28"/>
          <w:szCs w:val="28"/>
          <w:highlight w:val="none"/>
        </w:rPr>
        <w:t>进行包装、密封、标注的施工响应文件。</w:t>
      </w:r>
    </w:p>
    <w:p>
      <w:pPr>
        <w:widowControl w:val="0"/>
        <w:numPr>
          <w:ilvl w:val="0"/>
          <w:numId w:val="18"/>
        </w:numPr>
        <w:tabs>
          <w:tab w:val="left" w:pos="1134"/>
        </w:tabs>
        <w:snapToGrid w:val="0"/>
        <w:spacing w:line="640" w:lineRule="exact"/>
        <w:ind w:left="0" w:firstLine="560" w:firstLineChars="200"/>
        <w:jc w:val="both"/>
        <w:rPr>
          <w:rFonts w:ascii="宋体" w:hAnsi="宋体"/>
          <w:color w:val="auto"/>
          <w:sz w:val="28"/>
          <w:szCs w:val="28"/>
          <w:highlight w:val="none"/>
        </w:rPr>
      </w:pPr>
      <w:r>
        <w:rPr>
          <w:rFonts w:ascii="宋体" w:hAnsi="宋体"/>
          <w:color w:val="auto"/>
          <w:sz w:val="28"/>
          <w:szCs w:val="28"/>
          <w:highlight w:val="none"/>
        </w:rPr>
        <w:t>项目</w:t>
      </w:r>
      <w:r>
        <w:rPr>
          <w:rFonts w:hint="eastAsia" w:ascii="宋体" w:hAnsi="宋体"/>
          <w:color w:val="auto"/>
          <w:sz w:val="28"/>
          <w:szCs w:val="28"/>
          <w:highlight w:val="none"/>
        </w:rPr>
        <w:t>技术</w:t>
      </w:r>
      <w:r>
        <w:rPr>
          <w:rFonts w:ascii="宋体" w:hAnsi="宋体"/>
          <w:color w:val="auto"/>
          <w:sz w:val="28"/>
          <w:szCs w:val="28"/>
          <w:highlight w:val="none"/>
        </w:rPr>
        <w:t>、</w:t>
      </w:r>
      <w:r>
        <w:rPr>
          <w:rFonts w:hint="eastAsia" w:ascii="宋体" w:hAnsi="宋体"/>
          <w:color w:val="auto"/>
          <w:sz w:val="28"/>
          <w:szCs w:val="28"/>
          <w:highlight w:val="none"/>
        </w:rPr>
        <w:t>服务及其他</w:t>
      </w:r>
      <w:r>
        <w:rPr>
          <w:rFonts w:ascii="宋体" w:hAnsi="宋体"/>
          <w:color w:val="auto"/>
          <w:sz w:val="28"/>
          <w:szCs w:val="28"/>
          <w:highlight w:val="none"/>
        </w:rPr>
        <w:t>要求</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结束后，供应商按</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小组提供的《最后报价表》提交最后报价。</w:t>
      </w:r>
    </w:p>
    <w:p>
      <w:pPr>
        <w:pStyle w:val="5"/>
        <w:snapToGrid w:val="0"/>
        <w:spacing w:line="640" w:lineRule="exact"/>
        <w:rPr>
          <w:color w:val="auto"/>
          <w:highlight w:val="none"/>
        </w:rPr>
      </w:pPr>
      <w:r>
        <w:rPr>
          <w:rFonts w:hint="eastAsia"/>
          <w:color w:val="auto"/>
          <w:highlight w:val="none"/>
        </w:rPr>
        <w:t>施工响应文件的补充、修改和撤回</w:t>
      </w:r>
      <w:r>
        <w:rPr>
          <w:rFonts w:hint="eastAsia" w:ascii="仿宋" w:hAnsi="仿宋" w:eastAsia="仿宋"/>
          <w:color w:val="auto"/>
          <w:szCs w:val="21"/>
          <w:highlight w:val="none"/>
          <w:lang w:val="zh-CN"/>
        </w:rPr>
        <w:t>（实质性要求）</w:t>
      </w:r>
    </w:p>
    <w:p>
      <w:pPr>
        <w:widowControl w:val="0"/>
        <w:numPr>
          <w:ilvl w:val="0"/>
          <w:numId w:val="20"/>
        </w:numPr>
        <w:tabs>
          <w:tab w:val="left" w:pos="1134"/>
        </w:tabs>
        <w:snapToGrid w:val="0"/>
        <w:spacing w:line="640" w:lineRule="exact"/>
        <w:ind w:left="0" w:firstLine="567"/>
        <w:jc w:val="both"/>
        <w:rPr>
          <w:rFonts w:ascii="宋体" w:hAnsi="宋体"/>
          <w:color w:val="auto"/>
          <w:sz w:val="28"/>
          <w:szCs w:val="28"/>
          <w:highlight w:val="none"/>
        </w:rPr>
      </w:pPr>
      <w:r>
        <w:rPr>
          <w:rFonts w:hint="eastAsia" w:ascii="宋体" w:hAnsi="宋体"/>
          <w:color w:val="auto"/>
          <w:sz w:val="28"/>
          <w:szCs w:val="28"/>
          <w:highlight w:val="none"/>
        </w:rPr>
        <w:t>供应商在提交施工响应文件后可对其施工响应文件进行补充、修改或者撤回，但该补充、修改或撤回的书面通知须在递交施工响应文件截止时间之前送达指定地点。补充、修改的内容为施工响应文件的组成部分，补充、修改的内容与施工响应文件不一致的，以补充、修改的内容为准。</w:t>
      </w:r>
    </w:p>
    <w:p>
      <w:pPr>
        <w:widowControl w:val="0"/>
        <w:numPr>
          <w:ilvl w:val="0"/>
          <w:numId w:val="20"/>
        </w:numPr>
        <w:tabs>
          <w:tab w:val="left" w:pos="1134"/>
        </w:tabs>
        <w:snapToGrid w:val="0"/>
        <w:spacing w:line="640" w:lineRule="exact"/>
        <w:ind w:left="0" w:firstLine="567"/>
        <w:jc w:val="both"/>
        <w:rPr>
          <w:color w:val="auto"/>
          <w:highlight w:val="none"/>
        </w:rPr>
      </w:pPr>
      <w:r>
        <w:rPr>
          <w:rFonts w:hint="eastAsia" w:ascii="宋体" w:hAnsi="宋体"/>
          <w:color w:val="auto"/>
          <w:sz w:val="28"/>
          <w:szCs w:val="28"/>
          <w:highlight w:val="none"/>
        </w:rPr>
        <w:t>补充、修改或撤回的书面通知，应由其法定代表人或授权代理人签署并盖供应商公章。补充、修改的书面通知应按第</w:t>
      </w:r>
      <w:r>
        <w:rPr>
          <w:rFonts w:ascii="宋体" w:hAnsi="宋体"/>
          <w:color w:val="auto"/>
          <w:sz w:val="28"/>
          <w:szCs w:val="28"/>
          <w:highlight w:val="none"/>
        </w:rPr>
        <w:t>2.4.1</w:t>
      </w:r>
      <w:r>
        <w:rPr>
          <w:rFonts w:hint="eastAsia" w:ascii="宋体" w:hAnsi="宋体"/>
          <w:color w:val="auto"/>
          <w:sz w:val="28"/>
          <w:szCs w:val="28"/>
          <w:highlight w:val="none"/>
          <w:lang w:val="en-US" w:eastAsia="zh-CN"/>
        </w:rPr>
        <w:t>1</w:t>
      </w:r>
      <w:r>
        <w:rPr>
          <w:rFonts w:hint="eastAsia" w:ascii="宋体" w:hAnsi="宋体"/>
          <w:color w:val="auto"/>
          <w:sz w:val="28"/>
          <w:szCs w:val="28"/>
          <w:highlight w:val="none"/>
        </w:rPr>
        <w:t>条、第</w:t>
      </w:r>
      <w:r>
        <w:rPr>
          <w:rFonts w:ascii="宋体" w:hAnsi="宋体"/>
          <w:color w:val="auto"/>
          <w:sz w:val="28"/>
          <w:szCs w:val="28"/>
          <w:highlight w:val="none"/>
        </w:rPr>
        <w:t>2.4.1</w:t>
      </w:r>
      <w:r>
        <w:rPr>
          <w:rFonts w:hint="eastAsia" w:ascii="宋体" w:hAnsi="宋体"/>
          <w:color w:val="auto"/>
          <w:sz w:val="28"/>
          <w:szCs w:val="28"/>
          <w:highlight w:val="none"/>
          <w:lang w:val="en-US" w:eastAsia="zh-CN"/>
        </w:rPr>
        <w:t>2</w:t>
      </w:r>
      <w:r>
        <w:rPr>
          <w:rFonts w:hint="eastAsia" w:ascii="宋体" w:hAnsi="宋体"/>
          <w:color w:val="auto"/>
          <w:sz w:val="28"/>
          <w:szCs w:val="28"/>
          <w:highlight w:val="none"/>
        </w:rPr>
        <w:t>条的要求进行签署、密封、标注，并在密封包装的最外层标明“补充、修改施工响应文件”。补充、修改的内容为施工响应文件的组成部分。补充、修改的内容与施工响应文件不一致的，以补充、修改的内容为准。</w:t>
      </w:r>
    </w:p>
    <w:bookmarkEnd w:id="42"/>
    <w:p>
      <w:pPr>
        <w:pStyle w:val="4"/>
        <w:snapToGrid w:val="0"/>
        <w:spacing w:line="640" w:lineRule="exact"/>
        <w:rPr>
          <w:color w:val="auto"/>
          <w:highlight w:val="none"/>
        </w:rPr>
      </w:pPr>
      <w:bookmarkStart w:id="43" w:name="_Toc60078194"/>
      <w:bookmarkStart w:id="44" w:name="_Toc14234"/>
      <w:r>
        <w:rPr>
          <w:rFonts w:hint="eastAsia"/>
          <w:color w:val="auto"/>
          <w:highlight w:val="none"/>
        </w:rPr>
        <w:t>资格</w:t>
      </w:r>
      <w:r>
        <w:rPr>
          <w:color w:val="auto"/>
          <w:highlight w:val="none"/>
        </w:rPr>
        <w:t>预审和评审</w:t>
      </w:r>
      <w:bookmarkEnd w:id="43"/>
      <w:bookmarkEnd w:id="44"/>
    </w:p>
    <w:p>
      <w:pPr>
        <w:ind w:firstLine="560" w:firstLineChars="200"/>
        <w:rPr>
          <w:rFonts w:ascii="宋体" w:hAnsi="宋体"/>
          <w:color w:val="auto"/>
          <w:sz w:val="28"/>
          <w:szCs w:val="28"/>
          <w:highlight w:val="none"/>
        </w:rPr>
      </w:pPr>
      <w:r>
        <w:rPr>
          <w:rFonts w:hint="eastAsia" w:ascii="宋体" w:hAnsi="宋体"/>
          <w:color w:val="auto"/>
          <w:sz w:val="28"/>
          <w:szCs w:val="28"/>
          <w:highlight w:val="none"/>
        </w:rPr>
        <w:t>一</w:t>
      </w:r>
      <w:r>
        <w:rPr>
          <w:rFonts w:ascii="宋体" w:hAnsi="宋体"/>
          <w:color w:val="auto"/>
          <w:sz w:val="28"/>
          <w:szCs w:val="28"/>
          <w:highlight w:val="none"/>
        </w:rPr>
        <w:t>、</w:t>
      </w:r>
      <w:r>
        <w:rPr>
          <w:rFonts w:hint="eastAsia" w:ascii="宋体" w:hAnsi="宋体"/>
          <w:color w:val="auto"/>
          <w:sz w:val="28"/>
          <w:szCs w:val="28"/>
          <w:highlight w:val="none"/>
        </w:rPr>
        <w:t>本项目资格预审已按资格预审文件完成。</w:t>
      </w:r>
    </w:p>
    <w:p>
      <w:pPr>
        <w:ind w:firstLine="560" w:firstLineChars="200"/>
        <w:rPr>
          <w:color w:val="auto"/>
          <w:highlight w:val="none"/>
        </w:rPr>
      </w:pPr>
      <w:r>
        <w:rPr>
          <w:rFonts w:hint="eastAsia" w:ascii="宋体" w:hAnsi="宋体"/>
          <w:color w:val="auto"/>
          <w:sz w:val="28"/>
          <w:szCs w:val="28"/>
          <w:highlight w:val="none"/>
        </w:rPr>
        <w:t>二、</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小组的组建及其评审工作按照有关法律制度和本文件第五章的规定进行。</w:t>
      </w:r>
    </w:p>
    <w:p>
      <w:pPr>
        <w:pStyle w:val="4"/>
        <w:snapToGrid w:val="0"/>
        <w:spacing w:line="640" w:lineRule="exact"/>
        <w:rPr>
          <w:rFonts w:cs="宋体"/>
          <w:color w:val="auto"/>
          <w:highlight w:val="none"/>
        </w:rPr>
      </w:pPr>
      <w:bookmarkStart w:id="45" w:name="_Toc3270"/>
      <w:r>
        <w:rPr>
          <w:rFonts w:cs="宋体"/>
          <w:color w:val="auto"/>
          <w:highlight w:val="none"/>
        </w:rPr>
        <w:t>成交通知书</w:t>
      </w:r>
      <w:bookmarkEnd w:id="45"/>
    </w:p>
    <w:p>
      <w:pPr>
        <w:snapToGrid w:val="0"/>
        <w:spacing w:line="640" w:lineRule="exact"/>
        <w:ind w:right="210" w:firstLine="560" w:firstLineChars="200"/>
        <w:rPr>
          <w:rFonts w:ascii="宋体" w:hAnsi="宋体"/>
          <w:color w:val="auto"/>
          <w:sz w:val="28"/>
          <w:szCs w:val="28"/>
          <w:highlight w:val="none"/>
        </w:rPr>
      </w:pPr>
      <w:r>
        <w:rPr>
          <w:rFonts w:hint="eastAsia" w:ascii="宋体" w:hAnsi="宋体"/>
          <w:color w:val="auto"/>
          <w:sz w:val="28"/>
          <w:szCs w:val="28"/>
          <w:highlight w:val="none"/>
        </w:rPr>
        <w:t>一、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pPr>
        <w:snapToGrid w:val="0"/>
        <w:spacing w:line="640" w:lineRule="exact"/>
        <w:ind w:firstLine="560" w:firstLineChars="200"/>
        <w:rPr>
          <w:rFonts w:ascii="宋体" w:hAnsi="宋体"/>
          <w:color w:val="auto"/>
          <w:sz w:val="28"/>
          <w:szCs w:val="28"/>
          <w:highlight w:val="none"/>
        </w:rPr>
      </w:pPr>
      <w:r>
        <w:rPr>
          <w:rFonts w:hint="eastAsia" w:ascii="宋体" w:hAnsi="宋体"/>
          <w:color w:val="auto"/>
          <w:sz w:val="28"/>
          <w:szCs w:val="28"/>
          <w:highlight w:val="none"/>
        </w:rPr>
        <w:t>二、成交通知书对采购人和成交供应商均具有法律效力。成交通知书发出后，采购人改变成交结果，或者成交供应商无正当理由放弃成交的，应当承担相应的法律责任。</w:t>
      </w:r>
    </w:p>
    <w:p>
      <w:pPr>
        <w:snapToGrid w:val="0"/>
        <w:spacing w:line="640" w:lineRule="exact"/>
        <w:ind w:firstLine="560" w:firstLineChars="200"/>
        <w:rPr>
          <w:rFonts w:hint="eastAsia"/>
          <w:color w:val="auto"/>
          <w:highlight w:val="none"/>
          <w:lang w:val="zh-CN" w:eastAsia="zh-CN"/>
        </w:rPr>
      </w:pPr>
      <w:r>
        <w:rPr>
          <w:rFonts w:hint="eastAsia" w:ascii="宋体" w:hAnsi="宋体"/>
          <w:color w:val="auto"/>
          <w:sz w:val="28"/>
          <w:szCs w:val="28"/>
          <w:highlight w:val="none"/>
        </w:rPr>
        <w:t>三、</w:t>
      </w:r>
      <w:r>
        <w:rPr>
          <w:rFonts w:hint="eastAsia" w:ascii="宋体" w:hAnsi="宋体" w:cs="宋体"/>
          <w:color w:val="auto"/>
          <w:sz w:val="28"/>
          <w:szCs w:val="28"/>
          <w:highlight w:val="none"/>
          <w:lang w:val="zh-CN"/>
        </w:rPr>
        <w:t>成交公告在四川政府采购网上公告后，成交供应商自行登录云平台下载成交通知书。</w:t>
      </w:r>
    </w:p>
    <w:p>
      <w:pPr>
        <w:pStyle w:val="4"/>
        <w:snapToGrid w:val="0"/>
        <w:spacing w:line="640" w:lineRule="exact"/>
        <w:rPr>
          <w:rFonts w:ascii="Times New Roman" w:hAnsi="Times New Roman" w:eastAsia="宋体" w:cs="Times New Roman"/>
          <w:color w:val="auto"/>
          <w:sz w:val="24"/>
          <w:szCs w:val="24"/>
          <w:highlight w:val="none"/>
          <w:lang w:val="en-US" w:eastAsia="zh-CN" w:bidi="ar-SA"/>
        </w:rPr>
      </w:pPr>
      <w:bookmarkStart w:id="46" w:name="_Toc25048"/>
      <w:bookmarkStart w:id="47" w:name="_Toc287623650"/>
      <w:r>
        <w:rPr>
          <w:rFonts w:hint="eastAsia"/>
          <w:color w:val="auto"/>
          <w:highlight w:val="none"/>
        </w:rPr>
        <w:t>签订及履行合同和验收</w:t>
      </w:r>
      <w:bookmarkEnd w:id="46"/>
    </w:p>
    <w:p>
      <w:pPr>
        <w:pStyle w:val="5"/>
        <w:snapToGrid w:val="0"/>
        <w:spacing w:line="640" w:lineRule="exact"/>
        <w:rPr>
          <w:color w:val="auto"/>
          <w:highlight w:val="none"/>
        </w:rPr>
      </w:pPr>
      <w:r>
        <w:rPr>
          <w:rFonts w:hint="eastAsia"/>
          <w:color w:val="auto"/>
          <w:highlight w:val="none"/>
        </w:rPr>
        <w:t>签订合同</w:t>
      </w:r>
      <w:bookmarkEnd w:id="47"/>
    </w:p>
    <w:p>
      <w:pPr>
        <w:numPr>
          <w:ilvl w:val="0"/>
          <w:numId w:val="21"/>
        </w:numPr>
        <w:tabs>
          <w:tab w:val="left" w:pos="1134"/>
        </w:tabs>
        <w:snapToGrid w:val="0"/>
        <w:spacing w:line="640" w:lineRule="exact"/>
        <w:ind w:left="0" w:firstLine="567"/>
        <w:rPr>
          <w:rFonts w:ascii="宋体" w:hAnsi="宋体" w:cs="宋体"/>
          <w:color w:val="auto"/>
          <w:sz w:val="28"/>
          <w:szCs w:val="28"/>
          <w:highlight w:val="none"/>
        </w:rPr>
      </w:pPr>
      <w:bookmarkStart w:id="48" w:name="_Toc217446069"/>
      <w:r>
        <w:rPr>
          <w:rFonts w:ascii="宋体" w:hAnsi="宋体" w:cs="宋体"/>
          <w:color w:val="auto"/>
          <w:sz w:val="28"/>
          <w:szCs w:val="28"/>
          <w:highlight w:val="none"/>
        </w:rPr>
        <w:t>成交</w:t>
      </w:r>
      <w:r>
        <w:rPr>
          <w:rFonts w:hint="eastAsia" w:ascii="宋体" w:hAnsi="宋体" w:cs="宋体"/>
          <w:color w:val="auto"/>
          <w:sz w:val="28"/>
          <w:szCs w:val="28"/>
          <w:highlight w:val="none"/>
        </w:rPr>
        <w:t>供应商在收到</w:t>
      </w:r>
      <w:r>
        <w:rPr>
          <w:rFonts w:hint="eastAsia" w:ascii="宋体" w:hAnsi="宋体" w:cs="宋体"/>
          <w:color w:val="auto"/>
          <w:sz w:val="28"/>
          <w:szCs w:val="28"/>
          <w:highlight w:val="none"/>
          <w:lang w:eastAsia="zh-CN"/>
        </w:rPr>
        <w:t>区采购中心</w:t>
      </w:r>
      <w:r>
        <w:rPr>
          <w:rFonts w:hint="eastAsia" w:ascii="宋体" w:hAnsi="宋体" w:cs="宋体"/>
          <w:color w:val="auto"/>
          <w:sz w:val="28"/>
          <w:szCs w:val="28"/>
          <w:highlight w:val="none"/>
        </w:rPr>
        <w:t>发出的成交通知书</w:t>
      </w:r>
      <w:r>
        <w:rPr>
          <w:rFonts w:hint="eastAsia" w:ascii="宋体" w:hAnsi="宋体"/>
          <w:color w:val="auto"/>
          <w:sz w:val="28"/>
          <w:szCs w:val="28"/>
          <w:highlight w:val="none"/>
          <w:lang w:val="en-US" w:eastAsia="zh-CN"/>
        </w:rPr>
        <w:t>30天</w:t>
      </w:r>
      <w:r>
        <w:rPr>
          <w:rFonts w:hint="eastAsia" w:ascii="宋体" w:hAnsi="宋体"/>
          <w:color w:val="auto"/>
          <w:sz w:val="28"/>
          <w:szCs w:val="28"/>
          <w:highlight w:val="none"/>
        </w:rPr>
        <w:t>内</w:t>
      </w:r>
      <w:r>
        <w:rPr>
          <w:rFonts w:ascii="宋体" w:hAnsi="宋体" w:cs="宋体"/>
          <w:color w:val="auto"/>
          <w:sz w:val="28"/>
          <w:szCs w:val="28"/>
          <w:highlight w:val="none"/>
        </w:rPr>
        <w:t>与采购人签订采购合同。</w:t>
      </w:r>
      <w:r>
        <w:rPr>
          <w:rFonts w:hint="eastAsia" w:ascii="宋体" w:hAnsi="宋体"/>
          <w:color w:val="auto"/>
          <w:sz w:val="28"/>
          <w:szCs w:val="28"/>
          <w:highlight w:val="none"/>
        </w:rPr>
        <w:t>因成交供应商的原因</w:t>
      </w:r>
      <w:r>
        <w:rPr>
          <w:rFonts w:ascii="宋体" w:hAnsi="宋体"/>
          <w:color w:val="auto"/>
          <w:sz w:val="28"/>
          <w:szCs w:val="28"/>
          <w:highlight w:val="none"/>
        </w:rPr>
        <w:t>在</w:t>
      </w:r>
      <w:r>
        <w:rPr>
          <w:rFonts w:hint="eastAsia" w:ascii="宋体" w:hAnsi="宋体"/>
          <w:color w:val="auto"/>
          <w:sz w:val="28"/>
          <w:szCs w:val="28"/>
          <w:highlight w:val="none"/>
        </w:rPr>
        <w:t>成交通知书发出之日起</w:t>
      </w:r>
      <w:r>
        <w:rPr>
          <w:rFonts w:ascii="宋体" w:hAnsi="宋体"/>
          <w:color w:val="auto"/>
          <w:sz w:val="28"/>
          <w:szCs w:val="28"/>
          <w:highlight w:val="none"/>
        </w:rPr>
        <w:t>30日</w:t>
      </w:r>
      <w:r>
        <w:rPr>
          <w:rFonts w:hint="eastAsia" w:ascii="宋体" w:hAnsi="宋体"/>
          <w:color w:val="auto"/>
          <w:sz w:val="28"/>
          <w:szCs w:val="28"/>
          <w:highlight w:val="none"/>
        </w:rPr>
        <w:t>内未与采购人签订采购合同或者成交供应商拒绝与采购人签订合同的，采购人可以按照评审报告推荐的</w:t>
      </w:r>
      <w:r>
        <w:rPr>
          <w:rFonts w:ascii="宋体" w:hAnsi="宋体" w:cs="宋体"/>
          <w:color w:val="auto"/>
          <w:sz w:val="28"/>
          <w:szCs w:val="28"/>
          <w:highlight w:val="none"/>
        </w:rPr>
        <w:t>成交</w:t>
      </w:r>
      <w:r>
        <w:rPr>
          <w:rFonts w:hint="eastAsia" w:ascii="宋体" w:hAnsi="宋体" w:cs="宋体"/>
          <w:color w:val="auto"/>
          <w:sz w:val="28"/>
          <w:szCs w:val="28"/>
          <w:highlight w:val="none"/>
        </w:rPr>
        <w:t>供应商</w:t>
      </w:r>
      <w:r>
        <w:rPr>
          <w:rFonts w:hint="eastAsia" w:ascii="宋体" w:hAnsi="宋体"/>
          <w:color w:val="auto"/>
          <w:sz w:val="28"/>
          <w:szCs w:val="28"/>
          <w:highlight w:val="none"/>
        </w:rPr>
        <w:t>候选人名单排序，确定下一候选人为</w:t>
      </w:r>
      <w:r>
        <w:rPr>
          <w:rFonts w:ascii="宋体" w:hAnsi="宋体" w:cs="宋体"/>
          <w:color w:val="auto"/>
          <w:sz w:val="28"/>
          <w:szCs w:val="28"/>
          <w:highlight w:val="none"/>
        </w:rPr>
        <w:t>成交</w:t>
      </w:r>
      <w:r>
        <w:rPr>
          <w:rFonts w:hint="eastAsia" w:ascii="宋体" w:hAnsi="宋体" w:cs="宋体"/>
          <w:color w:val="auto"/>
          <w:sz w:val="28"/>
          <w:szCs w:val="28"/>
          <w:highlight w:val="none"/>
        </w:rPr>
        <w:t>供应商</w:t>
      </w:r>
      <w:r>
        <w:rPr>
          <w:rFonts w:hint="eastAsia" w:ascii="宋体" w:hAnsi="宋体"/>
          <w:color w:val="auto"/>
          <w:sz w:val="28"/>
          <w:szCs w:val="28"/>
          <w:highlight w:val="none"/>
        </w:rPr>
        <w:t>，也可以重新开展政府采购活动。</w:t>
      </w:r>
    </w:p>
    <w:p>
      <w:pPr>
        <w:numPr>
          <w:ilvl w:val="0"/>
          <w:numId w:val="21"/>
        </w:numPr>
        <w:tabs>
          <w:tab w:val="left" w:pos="1134"/>
        </w:tabs>
        <w:snapToGrid w:val="0"/>
        <w:spacing w:line="640" w:lineRule="exact"/>
        <w:ind w:left="0" w:firstLine="567"/>
        <w:rPr>
          <w:rFonts w:hint="eastAsia" w:ascii="宋体" w:hAnsi="宋体" w:cs="宋体"/>
          <w:color w:val="auto"/>
          <w:sz w:val="28"/>
          <w:szCs w:val="28"/>
          <w:highlight w:val="none"/>
        </w:rPr>
      </w:pPr>
      <w:r>
        <w:rPr>
          <w:rFonts w:hint="eastAsia" w:ascii="宋体" w:hAnsi="宋体" w:cs="宋体"/>
          <w:color w:val="auto"/>
          <w:sz w:val="28"/>
          <w:szCs w:val="28"/>
          <w:highlight w:val="none"/>
          <w:lang w:val="en-US" w:eastAsia="zh-CN"/>
        </w:rPr>
        <w:t>成交供应商应携带成交通知书及以下材料与采购人签订合同：</w:t>
      </w:r>
    </w:p>
    <w:p>
      <w:pPr>
        <w:pStyle w:val="65"/>
        <w:adjustRightInd w:val="0"/>
        <w:snapToGrid w:val="0"/>
        <w:spacing w:line="240" w:lineRule="atLeast"/>
        <w:ind w:firstLine="0" w:firstLineChars="0"/>
        <w:jc w:val="left"/>
        <w:rPr>
          <w:rFonts w:ascii="宋体" w:hAnsi="宋体" w:eastAsia="宋体" w:cs="Times New Roman"/>
          <w:color w:val="000000" w:themeColor="text1"/>
          <w:sz w:val="28"/>
          <w:szCs w:val="28"/>
          <w14:textFill>
            <w14:solidFill>
              <w14:schemeClr w14:val="tx1"/>
            </w14:solidFill>
          </w14:textFill>
        </w:rPr>
      </w:pPr>
      <w:r>
        <w:rPr>
          <w:rFonts w:hint="eastAsia" w:ascii="宋体" w:hAnsi="宋体" w:eastAsia="宋体" w:cs="Times New Roman"/>
          <w:color w:val="000000" w:themeColor="text1"/>
          <w:sz w:val="28"/>
          <w:szCs w:val="28"/>
          <w14:textFill>
            <w14:solidFill>
              <w14:schemeClr w14:val="tx1"/>
            </w14:solidFill>
          </w14:textFill>
        </w:rPr>
        <w:t>（1）具备相关行政主管颁发的建筑工程施工总承包三级及以上资质；</w:t>
      </w:r>
    </w:p>
    <w:p>
      <w:pPr>
        <w:pStyle w:val="65"/>
        <w:adjustRightInd w:val="0"/>
        <w:snapToGrid w:val="0"/>
        <w:spacing w:line="360" w:lineRule="auto"/>
        <w:ind w:firstLine="0" w:firstLineChars="0"/>
        <w:jc w:val="left"/>
        <w:rPr>
          <w:rFonts w:ascii="宋体" w:hAnsi="宋体" w:eastAsia="宋体" w:cs="Times New Roman"/>
          <w:color w:val="000000" w:themeColor="text1"/>
          <w:sz w:val="28"/>
          <w:szCs w:val="28"/>
          <w14:textFill>
            <w14:solidFill>
              <w14:schemeClr w14:val="tx1"/>
            </w14:solidFill>
          </w14:textFill>
        </w:rPr>
      </w:pPr>
      <w:r>
        <w:rPr>
          <w:rFonts w:hint="eastAsia" w:ascii="宋体" w:hAnsi="宋体" w:eastAsia="宋体" w:cs="Times New Roman"/>
          <w:color w:val="000000" w:themeColor="text1"/>
          <w:sz w:val="28"/>
          <w:szCs w:val="28"/>
          <w14:textFill>
            <w14:solidFill>
              <w14:schemeClr w14:val="tx1"/>
            </w14:solidFill>
          </w14:textFill>
        </w:rPr>
        <w:t>（2）具备有效的《安全生产许可证》；</w:t>
      </w:r>
    </w:p>
    <w:p>
      <w:pPr>
        <w:pStyle w:val="65"/>
        <w:adjustRightInd w:val="0"/>
        <w:snapToGrid w:val="0"/>
        <w:spacing w:line="360" w:lineRule="auto"/>
        <w:ind w:firstLine="0" w:firstLineChars="0"/>
        <w:jc w:val="left"/>
        <w:rPr>
          <w:rFonts w:hint="eastAsia" w:ascii="宋体" w:hAnsi="宋体" w:eastAsia="宋体" w:cs="Times New Roman"/>
          <w:color w:val="000000" w:themeColor="text1"/>
          <w:kern w:val="2"/>
          <w:sz w:val="28"/>
          <w:szCs w:val="28"/>
          <w:lang w:val="en-US" w:eastAsia="zh-CN" w:bidi="ar-SA"/>
          <w14:textFill>
            <w14:solidFill>
              <w14:schemeClr w14:val="tx1"/>
            </w14:solidFill>
          </w14:textFill>
        </w:rPr>
      </w:pPr>
      <w:r>
        <w:rPr>
          <w:rFonts w:hint="eastAsia" w:ascii="宋体" w:hAnsi="宋体" w:eastAsia="宋体" w:cs="Times New Roman"/>
          <w:color w:val="000000" w:themeColor="text1"/>
          <w:kern w:val="2"/>
          <w:sz w:val="28"/>
          <w:szCs w:val="28"/>
          <w:lang w:val="en-US" w:eastAsia="zh-CN" w:bidi="ar-SA"/>
          <w14:textFill>
            <w14:solidFill>
              <w14:schemeClr w14:val="tx1"/>
            </w14:solidFill>
          </w14:textFill>
        </w:rPr>
        <w:t>（3）项目经理：具备建筑工程专业二级或以上注册建造师执业资格证书，并具备有效的安全生产考核证（B证）；</w:t>
      </w:r>
    </w:p>
    <w:p>
      <w:pPr>
        <w:pStyle w:val="65"/>
        <w:adjustRightInd w:val="0"/>
        <w:snapToGrid w:val="0"/>
        <w:spacing w:line="360" w:lineRule="auto"/>
        <w:ind w:firstLine="0" w:firstLineChars="0"/>
        <w:jc w:val="left"/>
        <w:rPr>
          <w:rFonts w:hint="eastAsia" w:ascii="宋体" w:hAnsi="宋体" w:eastAsia="宋体" w:cs="Times New Roman"/>
          <w:color w:val="000000" w:themeColor="text1"/>
          <w:kern w:val="2"/>
          <w:sz w:val="28"/>
          <w:szCs w:val="28"/>
          <w:lang w:val="en-US" w:eastAsia="zh-CN" w:bidi="ar-SA"/>
          <w14:textFill>
            <w14:solidFill>
              <w14:schemeClr w14:val="tx1"/>
            </w14:solidFill>
          </w14:textFill>
        </w:rPr>
      </w:pPr>
      <w:r>
        <w:rPr>
          <w:rFonts w:hint="eastAsia" w:ascii="宋体" w:hAnsi="宋体" w:eastAsia="宋体" w:cs="Times New Roman"/>
          <w:color w:val="000000" w:themeColor="text1"/>
          <w:sz w:val="28"/>
          <w:szCs w:val="28"/>
          <w14:textFill>
            <w14:solidFill>
              <w14:schemeClr w14:val="tx1"/>
            </w14:solidFill>
          </w14:textFill>
        </w:rPr>
        <w:t>（4）</w:t>
      </w:r>
      <w:r>
        <w:rPr>
          <w:rFonts w:hint="eastAsia" w:ascii="宋体" w:hAnsi="宋体" w:cs="Times New Roman"/>
          <w:color w:val="000000" w:themeColor="text1"/>
          <w:kern w:val="2"/>
          <w:sz w:val="28"/>
          <w:szCs w:val="28"/>
          <w:lang w:val="en-US" w:eastAsia="zh-CN" w:bidi="ar-SA"/>
          <w14:textFill>
            <w14:solidFill>
              <w14:schemeClr w14:val="tx1"/>
            </w14:solidFill>
          </w14:textFill>
        </w:rPr>
        <w:t xml:space="preserve">  </w:t>
      </w:r>
      <w:r>
        <w:rPr>
          <w:rFonts w:hint="eastAsia" w:ascii="宋体" w:hAnsi="宋体" w:eastAsia="宋体" w:cs="Times New Roman"/>
          <w:color w:val="000000" w:themeColor="text1"/>
          <w:kern w:val="2"/>
          <w:sz w:val="28"/>
          <w:szCs w:val="28"/>
          <w:lang w:val="en-US" w:eastAsia="zh-CN" w:bidi="ar-SA"/>
          <w14:textFill>
            <w14:solidFill>
              <w14:schemeClr w14:val="tx1"/>
            </w14:solidFill>
          </w14:textFill>
        </w:rPr>
        <w:t>项目技术负责人具备建筑工程专业中级及以上职称；</w:t>
      </w:r>
    </w:p>
    <w:p>
      <w:pPr>
        <w:pStyle w:val="65"/>
        <w:adjustRightInd w:val="0"/>
        <w:snapToGrid w:val="0"/>
        <w:spacing w:line="360" w:lineRule="auto"/>
        <w:ind w:firstLine="0" w:firstLineChars="0"/>
        <w:jc w:val="left"/>
        <w:rPr>
          <w:rFonts w:hint="eastAsia" w:ascii="宋体" w:hAnsi="宋体" w:eastAsia="宋体" w:cs="Times New Roman"/>
          <w:color w:val="000000" w:themeColor="text1"/>
          <w:sz w:val="28"/>
          <w:szCs w:val="28"/>
          <w14:textFill>
            <w14:solidFill>
              <w14:schemeClr w14:val="tx1"/>
            </w14:solidFill>
          </w14:textFill>
        </w:rPr>
      </w:pPr>
      <w:r>
        <w:rPr>
          <w:rFonts w:hint="eastAsia" w:ascii="宋体" w:hAnsi="宋体" w:eastAsia="宋体" w:cs="Times New Roman"/>
          <w:color w:val="000000" w:themeColor="text1"/>
          <w:sz w:val="28"/>
          <w:szCs w:val="28"/>
          <w14:textFill>
            <w14:solidFill>
              <w14:schemeClr w14:val="tx1"/>
            </w14:solidFill>
          </w14:textFill>
        </w:rPr>
        <w:t>（</w:t>
      </w:r>
      <w:r>
        <w:rPr>
          <w:rFonts w:hint="eastAsia" w:ascii="宋体" w:hAnsi="宋体" w:cs="Times New Roman"/>
          <w:color w:val="000000" w:themeColor="text1"/>
          <w:sz w:val="28"/>
          <w:szCs w:val="28"/>
          <w:lang w:val="en-US" w:eastAsia="zh-CN"/>
          <w14:textFill>
            <w14:solidFill>
              <w14:schemeClr w14:val="tx1"/>
            </w14:solidFill>
          </w14:textFill>
        </w:rPr>
        <w:t>5</w:t>
      </w:r>
      <w:r>
        <w:rPr>
          <w:rFonts w:hint="eastAsia" w:ascii="宋体" w:hAnsi="宋体" w:eastAsia="宋体" w:cs="Times New Roman"/>
          <w:color w:val="000000" w:themeColor="text1"/>
          <w:sz w:val="28"/>
          <w:szCs w:val="28"/>
          <w14:textFill>
            <w14:solidFill>
              <w14:schemeClr w14:val="tx1"/>
            </w14:solidFill>
          </w14:textFill>
        </w:rPr>
        <w:t>）供应商为省外注册企业应具有有效的《四川省省外建筑企业入川从事建筑活动备案证》或《四川省省外建筑企业入川承揽业务验证登记证》或者《四川省外省施工入川承揽业务信息录入证》，且省外企业的拟派人员需要入川备案登记证中的人员。</w:t>
      </w:r>
    </w:p>
    <w:p>
      <w:pPr>
        <w:pStyle w:val="65"/>
        <w:widowControl w:val="0"/>
        <w:numPr>
          <w:ilvl w:val="0"/>
          <w:numId w:val="0"/>
        </w:numPr>
        <w:tabs>
          <w:tab w:val="left" w:pos="567"/>
          <w:tab w:val="left" w:pos="846"/>
          <w:tab w:val="left" w:pos="960"/>
          <w:tab w:val="left" w:pos="1276"/>
        </w:tabs>
        <w:spacing w:line="600" w:lineRule="exact"/>
        <w:ind w:leftChars="200"/>
        <w:jc w:val="both"/>
        <w:rPr>
          <w:rFonts w:ascii="宋体" w:hAnsi="宋体" w:cs="宋体"/>
          <w:color w:val="auto"/>
          <w:sz w:val="28"/>
          <w:szCs w:val="28"/>
          <w:highlight w:val="none"/>
        </w:rPr>
      </w:pPr>
      <w:r>
        <w:rPr>
          <w:rFonts w:hint="eastAsia" w:ascii="宋体" w:hAnsi="宋体" w:cs="Times New Roman"/>
          <w:color w:val="auto"/>
          <w:sz w:val="28"/>
          <w:szCs w:val="28"/>
          <w:highlight w:val="none"/>
          <w:lang w:val="en-US" w:eastAsia="zh-CN"/>
        </w:rPr>
        <w:t xml:space="preserve">    </w:t>
      </w:r>
      <w:r>
        <w:rPr>
          <w:rFonts w:hint="eastAsia" w:ascii="宋体" w:hAnsi="宋体" w:cs="Times New Roman"/>
          <w:color w:val="auto"/>
          <w:sz w:val="28"/>
          <w:szCs w:val="28"/>
          <w:highlight w:val="none"/>
          <w:lang w:eastAsia="zh-CN"/>
        </w:rPr>
        <w:t>以上资料验原件、留存加盖公章的复印件。</w:t>
      </w:r>
    </w:p>
    <w:p>
      <w:pPr>
        <w:numPr>
          <w:ilvl w:val="0"/>
          <w:numId w:val="21"/>
        </w:numPr>
        <w:tabs>
          <w:tab w:val="left" w:pos="1134"/>
        </w:tabs>
        <w:snapToGrid w:val="0"/>
        <w:spacing w:line="640" w:lineRule="exact"/>
        <w:ind w:left="0" w:firstLine="567"/>
        <w:rPr>
          <w:rFonts w:ascii="宋体" w:hAnsi="宋体" w:cs="宋体"/>
          <w:color w:val="auto"/>
          <w:sz w:val="28"/>
          <w:szCs w:val="28"/>
          <w:highlight w:val="none"/>
        </w:rPr>
      </w:pPr>
      <w:bookmarkStart w:id="49" w:name="_Toc217446066"/>
      <w:r>
        <w:rPr>
          <w:rFonts w:hint="eastAsia" w:ascii="宋体" w:hAnsi="宋体"/>
          <w:color w:val="auto"/>
          <w:sz w:val="28"/>
          <w:szCs w:val="28"/>
          <w:highlight w:val="none"/>
        </w:rPr>
        <w:t>合同签订后，采购人应在</w:t>
      </w:r>
      <w:r>
        <w:rPr>
          <w:rFonts w:ascii="宋体" w:hAnsi="宋体"/>
          <w:color w:val="auto"/>
          <w:sz w:val="28"/>
          <w:szCs w:val="28"/>
          <w:highlight w:val="none"/>
        </w:rPr>
        <w:t>7</w:t>
      </w:r>
      <w:r>
        <w:rPr>
          <w:rFonts w:hint="eastAsia" w:ascii="宋体" w:hAnsi="宋体"/>
          <w:color w:val="auto"/>
          <w:sz w:val="28"/>
          <w:szCs w:val="28"/>
          <w:highlight w:val="none"/>
        </w:rPr>
        <w:t>个工作日内按照</w:t>
      </w:r>
      <w:r>
        <w:rPr>
          <w:rFonts w:hint="eastAsia" w:ascii="宋体" w:hAnsi="宋体"/>
          <w:color w:val="auto"/>
          <w:sz w:val="28"/>
          <w:szCs w:val="28"/>
          <w:highlight w:val="none"/>
          <w:lang w:eastAsia="zh-CN"/>
        </w:rPr>
        <w:t>区</w:t>
      </w:r>
      <w:r>
        <w:rPr>
          <w:rFonts w:hint="eastAsia" w:ascii="宋体" w:hAnsi="宋体"/>
          <w:color w:val="auto"/>
          <w:sz w:val="28"/>
          <w:szCs w:val="28"/>
          <w:highlight w:val="none"/>
        </w:rPr>
        <w:t>财政局的要求完成合同备案工作。</w:t>
      </w:r>
    </w:p>
    <w:p>
      <w:pPr>
        <w:numPr>
          <w:ilvl w:val="0"/>
          <w:numId w:val="21"/>
        </w:numPr>
        <w:tabs>
          <w:tab w:val="left" w:pos="1134"/>
        </w:tabs>
        <w:snapToGrid w:val="0"/>
        <w:spacing w:line="640" w:lineRule="exact"/>
        <w:ind w:left="0" w:firstLine="567"/>
        <w:rPr>
          <w:rFonts w:ascii="宋体" w:hAnsi="宋体" w:cs="宋体"/>
          <w:color w:val="auto"/>
          <w:sz w:val="28"/>
          <w:szCs w:val="28"/>
          <w:highlight w:val="none"/>
        </w:rPr>
      </w:pPr>
      <w:r>
        <w:rPr>
          <w:rFonts w:hint="eastAsia" w:ascii="宋体" w:hAnsi="宋体" w:cs="宋体"/>
          <w:color w:val="auto"/>
          <w:sz w:val="28"/>
          <w:szCs w:val="28"/>
          <w:highlight w:val="none"/>
        </w:rPr>
        <w:t>采购人不得向</w:t>
      </w:r>
      <w:r>
        <w:rPr>
          <w:rFonts w:ascii="宋体" w:hAnsi="宋体" w:cs="宋体"/>
          <w:color w:val="auto"/>
          <w:sz w:val="28"/>
          <w:szCs w:val="28"/>
          <w:highlight w:val="none"/>
        </w:rPr>
        <w:t>成交</w:t>
      </w:r>
      <w:r>
        <w:rPr>
          <w:rFonts w:hint="eastAsia" w:ascii="宋体" w:hAnsi="宋体" w:cs="宋体"/>
          <w:color w:val="auto"/>
          <w:sz w:val="28"/>
          <w:szCs w:val="28"/>
          <w:highlight w:val="none"/>
        </w:rPr>
        <w:t>供应商提出任何不合理的要求作为签订合同的条件，不得与</w:t>
      </w:r>
      <w:r>
        <w:rPr>
          <w:rFonts w:ascii="宋体" w:hAnsi="宋体" w:cs="宋体"/>
          <w:color w:val="auto"/>
          <w:sz w:val="28"/>
          <w:szCs w:val="28"/>
          <w:highlight w:val="none"/>
        </w:rPr>
        <w:t>成交</w:t>
      </w:r>
      <w:r>
        <w:rPr>
          <w:rFonts w:hint="eastAsia" w:ascii="宋体" w:hAnsi="宋体" w:cs="宋体"/>
          <w:color w:val="auto"/>
          <w:sz w:val="28"/>
          <w:szCs w:val="28"/>
          <w:highlight w:val="none"/>
        </w:rPr>
        <w:t>供应商私下订立背离合同实质性内容的任何协议，所签订的合同不得对</w:t>
      </w:r>
      <w:r>
        <w:rPr>
          <w:rFonts w:hint="eastAsia" w:ascii="宋体" w:hAnsi="宋体" w:cs="宋体"/>
          <w:color w:val="auto"/>
          <w:sz w:val="28"/>
          <w:szCs w:val="28"/>
          <w:highlight w:val="none"/>
          <w:lang w:eastAsia="zh-CN"/>
        </w:rPr>
        <w:t>磋商</w:t>
      </w:r>
      <w:r>
        <w:rPr>
          <w:rFonts w:hint="eastAsia" w:ascii="宋体" w:hAnsi="宋体" w:cs="宋体"/>
          <w:color w:val="auto"/>
          <w:sz w:val="28"/>
          <w:szCs w:val="28"/>
          <w:highlight w:val="none"/>
        </w:rPr>
        <w:t>文件和</w:t>
      </w:r>
      <w:r>
        <w:rPr>
          <w:rFonts w:ascii="宋体" w:hAnsi="宋体" w:cs="宋体"/>
          <w:color w:val="auto"/>
          <w:sz w:val="28"/>
          <w:szCs w:val="28"/>
          <w:highlight w:val="none"/>
        </w:rPr>
        <w:t>成交</w:t>
      </w:r>
      <w:r>
        <w:rPr>
          <w:rFonts w:hint="eastAsia" w:ascii="宋体" w:hAnsi="宋体" w:cs="宋体"/>
          <w:color w:val="auto"/>
          <w:sz w:val="28"/>
          <w:szCs w:val="28"/>
          <w:highlight w:val="none"/>
        </w:rPr>
        <w:t>供应商施工响应文件作实质性修改。</w:t>
      </w:r>
    </w:p>
    <w:p>
      <w:pPr>
        <w:numPr>
          <w:ilvl w:val="0"/>
          <w:numId w:val="21"/>
        </w:numPr>
        <w:tabs>
          <w:tab w:val="left" w:pos="1134"/>
        </w:tabs>
        <w:snapToGrid w:val="0"/>
        <w:spacing w:line="640" w:lineRule="exact"/>
        <w:ind w:left="0" w:firstLine="567"/>
        <w:rPr>
          <w:rFonts w:ascii="宋体" w:hAnsi="宋体" w:cs="宋体"/>
          <w:i/>
          <w:color w:val="auto"/>
          <w:sz w:val="28"/>
          <w:szCs w:val="28"/>
          <w:highlight w:val="none"/>
        </w:rPr>
      </w:pPr>
      <w:r>
        <w:rPr>
          <w:rFonts w:hint="eastAsia" w:ascii="宋体" w:hAnsi="宋体" w:cs="宋体"/>
          <w:color w:val="auto"/>
          <w:sz w:val="28"/>
          <w:szCs w:val="28"/>
          <w:highlight w:val="none"/>
          <w:lang w:eastAsia="zh-CN"/>
        </w:rPr>
        <w:t>磋商</w:t>
      </w:r>
      <w:r>
        <w:rPr>
          <w:rFonts w:hint="eastAsia" w:ascii="宋体" w:hAnsi="宋体" w:cs="宋体"/>
          <w:color w:val="auto"/>
          <w:sz w:val="28"/>
          <w:szCs w:val="28"/>
          <w:highlight w:val="none"/>
        </w:rPr>
        <w:t>文件</w:t>
      </w:r>
      <w:r>
        <w:rPr>
          <w:rFonts w:ascii="宋体" w:hAnsi="宋体" w:cs="宋体"/>
          <w:color w:val="auto"/>
          <w:sz w:val="28"/>
          <w:szCs w:val="28"/>
          <w:highlight w:val="none"/>
        </w:rPr>
        <w:t>、</w:t>
      </w:r>
      <w:r>
        <w:rPr>
          <w:rFonts w:hint="eastAsia" w:ascii="宋体" w:hAnsi="宋体" w:cs="宋体"/>
          <w:color w:val="auto"/>
          <w:sz w:val="28"/>
          <w:szCs w:val="28"/>
          <w:highlight w:val="none"/>
        </w:rPr>
        <w:t>响应</w:t>
      </w:r>
      <w:r>
        <w:rPr>
          <w:rFonts w:ascii="宋体" w:hAnsi="宋体" w:cs="宋体"/>
          <w:color w:val="auto"/>
          <w:sz w:val="28"/>
          <w:szCs w:val="28"/>
          <w:highlight w:val="none"/>
        </w:rPr>
        <w:t>文件、</w:t>
      </w:r>
      <w:r>
        <w:rPr>
          <w:rFonts w:hint="eastAsia" w:ascii="宋体" w:hAnsi="宋体" w:cs="宋体"/>
          <w:color w:val="auto"/>
          <w:sz w:val="28"/>
          <w:szCs w:val="28"/>
          <w:highlight w:val="none"/>
        </w:rPr>
        <w:t>成交</w:t>
      </w:r>
      <w:r>
        <w:rPr>
          <w:rFonts w:ascii="宋体" w:hAnsi="宋体" w:cs="宋体"/>
          <w:color w:val="auto"/>
          <w:sz w:val="28"/>
          <w:szCs w:val="28"/>
          <w:highlight w:val="none"/>
        </w:rPr>
        <w:t>通知书</w:t>
      </w:r>
      <w:r>
        <w:rPr>
          <w:rFonts w:hint="eastAsia" w:ascii="宋体" w:hAnsi="宋体" w:cs="宋体"/>
          <w:color w:val="auto"/>
          <w:sz w:val="28"/>
          <w:szCs w:val="28"/>
          <w:highlight w:val="none"/>
        </w:rPr>
        <w:t>等</w:t>
      </w:r>
      <w:r>
        <w:rPr>
          <w:rFonts w:hint="eastAsia" w:ascii="宋体" w:hAnsi="宋体"/>
          <w:color w:val="auto"/>
          <w:sz w:val="28"/>
          <w:szCs w:val="28"/>
          <w:highlight w:val="none"/>
        </w:rPr>
        <w:t>一切与本项目评审结果有关且经责任主体确认的资料</w:t>
      </w:r>
      <w:r>
        <w:rPr>
          <w:rFonts w:ascii="宋体" w:hAnsi="宋体" w:cs="宋体"/>
          <w:color w:val="auto"/>
          <w:sz w:val="28"/>
          <w:szCs w:val="28"/>
          <w:highlight w:val="none"/>
        </w:rPr>
        <w:t>均成为有法律约束力的合同组成内容。</w:t>
      </w:r>
    </w:p>
    <w:p>
      <w:pPr>
        <w:numPr>
          <w:ilvl w:val="0"/>
          <w:numId w:val="21"/>
        </w:numPr>
        <w:tabs>
          <w:tab w:val="left" w:pos="1134"/>
        </w:tabs>
        <w:snapToGrid w:val="0"/>
        <w:spacing w:line="640" w:lineRule="exact"/>
        <w:ind w:left="0" w:firstLine="567"/>
        <w:rPr>
          <w:rFonts w:ascii="宋体" w:hAnsi="宋体" w:cs="宋体"/>
          <w:color w:val="auto"/>
          <w:sz w:val="28"/>
          <w:szCs w:val="28"/>
          <w:highlight w:val="none"/>
        </w:rPr>
      </w:pPr>
      <w:r>
        <w:rPr>
          <w:rFonts w:ascii="宋体" w:hAnsi="宋体"/>
          <w:color w:val="auto"/>
          <w:sz w:val="28"/>
          <w:szCs w:val="28"/>
          <w:highlight w:val="none"/>
        </w:rPr>
        <w:t>询问或者质疑事项可能影响成交结果的，采购人应当暂停签订合同，已经签订合同的，应当中止履行合同。</w:t>
      </w:r>
    </w:p>
    <w:p>
      <w:pPr>
        <w:pStyle w:val="5"/>
        <w:snapToGrid w:val="0"/>
        <w:spacing w:line="640" w:lineRule="exact"/>
        <w:rPr>
          <w:color w:val="auto"/>
          <w:highlight w:val="none"/>
        </w:rPr>
      </w:pPr>
      <w:r>
        <w:rPr>
          <w:rFonts w:hint="eastAsia"/>
          <w:color w:val="auto"/>
          <w:highlight w:val="none"/>
        </w:rPr>
        <w:t>合同分包</w:t>
      </w:r>
      <w:bookmarkEnd w:id="49"/>
      <w:r>
        <w:rPr>
          <w:rFonts w:hint="eastAsia"/>
          <w:color w:val="auto"/>
          <w:highlight w:val="none"/>
        </w:rPr>
        <w:t>和转包</w:t>
      </w:r>
      <w:r>
        <w:rPr>
          <w:rFonts w:hint="eastAsia" w:ascii="仿宋" w:hAnsi="仿宋" w:eastAsia="仿宋"/>
          <w:color w:val="auto"/>
          <w:szCs w:val="21"/>
          <w:highlight w:val="none"/>
          <w:lang w:val="zh-CN"/>
        </w:rPr>
        <w:t>（实质性要求）</w:t>
      </w:r>
    </w:p>
    <w:p>
      <w:pPr>
        <w:pStyle w:val="5"/>
        <w:numPr>
          <w:ilvl w:val="3"/>
          <w:numId w:val="1"/>
        </w:numPr>
        <w:snapToGrid w:val="0"/>
        <w:spacing w:line="640" w:lineRule="exact"/>
        <w:ind w:left="709"/>
        <w:rPr>
          <w:color w:val="auto"/>
          <w:highlight w:val="none"/>
        </w:rPr>
      </w:pPr>
      <w:r>
        <w:rPr>
          <w:rFonts w:hint="eastAsia"/>
          <w:color w:val="auto"/>
          <w:highlight w:val="none"/>
        </w:rPr>
        <w:t>合同分包</w:t>
      </w:r>
    </w:p>
    <w:p>
      <w:pPr>
        <w:snapToGrid w:val="0"/>
        <w:spacing w:line="640" w:lineRule="exact"/>
        <w:ind w:firstLine="700" w:firstLineChars="250"/>
        <w:rPr>
          <w:rFonts w:hint="eastAsia"/>
          <w:color w:val="auto"/>
          <w:sz w:val="28"/>
          <w:szCs w:val="28"/>
          <w:highlight w:val="none"/>
        </w:rPr>
      </w:pPr>
      <w:r>
        <w:rPr>
          <w:rFonts w:hint="eastAsia"/>
          <w:color w:val="auto"/>
          <w:sz w:val="28"/>
          <w:szCs w:val="28"/>
          <w:highlight w:val="none"/>
        </w:rPr>
        <w:t>不允许分包。</w:t>
      </w:r>
    </w:p>
    <w:p>
      <w:pPr>
        <w:pStyle w:val="5"/>
        <w:numPr>
          <w:ilvl w:val="3"/>
          <w:numId w:val="1"/>
        </w:numPr>
        <w:snapToGrid w:val="0"/>
        <w:spacing w:line="640" w:lineRule="exact"/>
        <w:ind w:left="709"/>
        <w:rPr>
          <w:strike/>
          <w:color w:val="auto"/>
          <w:highlight w:val="none"/>
        </w:rPr>
      </w:pPr>
      <w:r>
        <w:rPr>
          <w:rFonts w:hint="eastAsia"/>
          <w:color w:val="auto"/>
          <w:highlight w:val="none"/>
        </w:rPr>
        <w:t>合同转包</w:t>
      </w:r>
    </w:p>
    <w:p>
      <w:pPr>
        <w:snapToGrid w:val="0"/>
        <w:spacing w:line="640" w:lineRule="exact"/>
        <w:ind w:firstLine="560" w:firstLineChars="200"/>
        <w:rPr>
          <w:rFonts w:ascii="宋体" w:hAnsi="宋体" w:cs="宋体"/>
          <w:color w:val="auto"/>
          <w:sz w:val="28"/>
          <w:szCs w:val="28"/>
          <w:highlight w:val="none"/>
        </w:rPr>
      </w:pPr>
      <w:r>
        <w:rPr>
          <w:rFonts w:hint="eastAsia" w:ascii="宋体" w:hAnsi="宋体"/>
          <w:color w:val="auto"/>
          <w:sz w:val="28"/>
          <w:szCs w:val="28"/>
          <w:highlight w:val="none"/>
        </w:rPr>
        <w:t>一、严禁成交供应商将本项目转包。本项目所称转包，是指</w:t>
      </w:r>
      <w:r>
        <w:rPr>
          <w:rFonts w:ascii="宋体" w:hAnsi="宋体" w:cs="宋体"/>
          <w:color w:val="auto"/>
          <w:sz w:val="28"/>
          <w:szCs w:val="28"/>
          <w:highlight w:val="none"/>
        </w:rPr>
        <w:t>将本项目转给他人或者将本项目全部肢解以后以分包的名义分别转给他人</w:t>
      </w:r>
      <w:r>
        <w:rPr>
          <w:rFonts w:hint="eastAsia" w:ascii="宋体" w:hAnsi="宋体" w:cs="宋体"/>
          <w:color w:val="auto"/>
          <w:sz w:val="28"/>
          <w:szCs w:val="28"/>
          <w:highlight w:val="none"/>
        </w:rPr>
        <w:t>的</w:t>
      </w:r>
      <w:r>
        <w:rPr>
          <w:rFonts w:ascii="宋体" w:hAnsi="宋体" w:cs="宋体"/>
          <w:color w:val="auto"/>
          <w:sz w:val="28"/>
          <w:szCs w:val="28"/>
          <w:highlight w:val="none"/>
        </w:rPr>
        <w:t xml:space="preserve">行为。 </w:t>
      </w:r>
    </w:p>
    <w:p>
      <w:pPr>
        <w:snapToGrid w:val="0"/>
        <w:spacing w:line="640" w:lineRule="exact"/>
        <w:ind w:firstLine="495"/>
        <w:rPr>
          <w:rFonts w:ascii="宋体" w:hAnsi="宋体"/>
          <w:color w:val="auto"/>
          <w:sz w:val="28"/>
          <w:szCs w:val="28"/>
          <w:highlight w:val="none"/>
        </w:rPr>
      </w:pPr>
      <w:r>
        <w:rPr>
          <w:rFonts w:hint="eastAsia" w:ascii="宋体" w:hAnsi="宋体"/>
          <w:color w:val="auto"/>
          <w:sz w:val="28"/>
          <w:szCs w:val="28"/>
          <w:highlight w:val="none"/>
        </w:rPr>
        <w:t>二、成交供应商转包的，视同拒绝履行政府采购合同，将依法追究法律责任。</w:t>
      </w:r>
    </w:p>
    <w:p>
      <w:pPr>
        <w:pStyle w:val="5"/>
        <w:snapToGrid w:val="0"/>
        <w:spacing w:line="640" w:lineRule="exact"/>
        <w:rPr>
          <w:color w:val="auto"/>
          <w:highlight w:val="none"/>
        </w:rPr>
      </w:pPr>
      <w:bookmarkStart w:id="50" w:name="_Toc217446067"/>
      <w:r>
        <w:rPr>
          <w:rFonts w:hint="eastAsia"/>
          <w:color w:val="auto"/>
          <w:highlight w:val="none"/>
        </w:rPr>
        <w:t>采购人增加合同标的的权</w:t>
      </w:r>
      <w:bookmarkEnd w:id="50"/>
      <w:r>
        <w:rPr>
          <w:rFonts w:hint="eastAsia"/>
          <w:color w:val="auto"/>
          <w:highlight w:val="none"/>
        </w:rPr>
        <w:t>利</w:t>
      </w:r>
    </w:p>
    <w:p>
      <w:pPr>
        <w:snapToGrid w:val="0"/>
        <w:spacing w:line="640" w:lineRule="exact"/>
        <w:ind w:firstLine="495"/>
        <w:rPr>
          <w:rFonts w:ascii="宋体" w:hAnsi="宋体"/>
          <w:color w:val="auto"/>
          <w:sz w:val="28"/>
          <w:szCs w:val="28"/>
          <w:highlight w:val="none"/>
        </w:rPr>
      </w:pPr>
      <w:r>
        <w:rPr>
          <w:rFonts w:hint="eastAsia" w:ascii="宋体" w:hAnsi="宋体"/>
          <w:color w:val="auto"/>
          <w:sz w:val="28"/>
          <w:szCs w:val="28"/>
          <w:highlight w:val="none"/>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pStyle w:val="5"/>
        <w:snapToGrid w:val="0"/>
        <w:spacing w:line="640" w:lineRule="exact"/>
        <w:rPr>
          <w:color w:val="auto"/>
          <w:highlight w:val="none"/>
        </w:rPr>
      </w:pPr>
      <w:bookmarkStart w:id="51" w:name="_Toc217446068"/>
      <w:r>
        <w:rPr>
          <w:rFonts w:hint="eastAsia"/>
          <w:color w:val="auto"/>
          <w:highlight w:val="none"/>
        </w:rPr>
        <w:t>履约保证金</w:t>
      </w:r>
      <w:bookmarkEnd w:id="51"/>
      <w:r>
        <w:rPr>
          <w:rFonts w:hint="eastAsia" w:ascii="仿宋" w:hAnsi="仿宋" w:eastAsia="仿宋"/>
          <w:color w:val="auto"/>
          <w:szCs w:val="21"/>
          <w:highlight w:val="none"/>
          <w:lang w:val="zh-CN"/>
        </w:rPr>
        <w:t>（实质性要求）</w:t>
      </w:r>
    </w:p>
    <w:p>
      <w:pPr>
        <w:ind w:firstLine="480" w:firstLineChars="200"/>
        <w:rPr>
          <w:color w:val="auto"/>
          <w:highlight w:val="none"/>
        </w:rPr>
      </w:pPr>
    </w:p>
    <w:p>
      <w:pPr>
        <w:pStyle w:val="65"/>
        <w:widowControl w:val="0"/>
        <w:numPr>
          <w:ilvl w:val="0"/>
          <w:numId w:val="22"/>
        </w:numPr>
        <w:tabs>
          <w:tab w:val="left" w:pos="1134"/>
        </w:tabs>
        <w:spacing w:after="200" w:line="600" w:lineRule="exact"/>
        <w:ind w:left="0" w:firstLine="566" w:firstLineChars="0"/>
        <w:jc w:val="both"/>
        <w:rPr>
          <w:rFonts w:hint="eastAsia" w:ascii="宋体" w:hAnsi="宋体" w:eastAsia="宋体"/>
          <w:color w:val="auto"/>
          <w:sz w:val="28"/>
          <w:szCs w:val="28"/>
          <w:highlight w:val="none"/>
        </w:rPr>
      </w:pPr>
      <w:r>
        <w:rPr>
          <w:rFonts w:hint="eastAsia" w:ascii="宋体" w:hAnsi="宋体" w:eastAsia="宋体"/>
          <w:color w:val="auto"/>
          <w:sz w:val="28"/>
          <w:szCs w:val="28"/>
          <w:highlight w:val="none"/>
        </w:rPr>
        <w:t>履约</w:t>
      </w:r>
      <w:r>
        <w:rPr>
          <w:rFonts w:hint="eastAsia" w:ascii="宋体" w:hAnsi="宋体"/>
          <w:color w:val="auto"/>
          <w:sz w:val="28"/>
          <w:szCs w:val="28"/>
          <w:highlight w:val="none"/>
          <w:lang w:eastAsia="zh-CN"/>
        </w:rPr>
        <w:t>保证</w:t>
      </w:r>
      <w:r>
        <w:rPr>
          <w:rFonts w:hint="eastAsia" w:ascii="宋体" w:hAnsi="宋体" w:eastAsia="宋体"/>
          <w:color w:val="auto"/>
          <w:sz w:val="28"/>
          <w:szCs w:val="28"/>
          <w:highlight w:val="none"/>
        </w:rPr>
        <w:t>金金额：履约保证金金额为</w:t>
      </w:r>
      <w:r>
        <w:rPr>
          <w:rFonts w:hint="eastAsia" w:ascii="宋体" w:hAnsi="宋体" w:eastAsia="宋体"/>
          <w:color w:val="auto"/>
          <w:sz w:val="28"/>
          <w:szCs w:val="28"/>
          <w:highlight w:val="none"/>
          <w:lang w:val="zh-CN"/>
        </w:rPr>
        <w:t>成交金额的</w:t>
      </w:r>
      <w:r>
        <w:rPr>
          <w:rFonts w:hint="eastAsia" w:ascii="宋体" w:hAnsi="宋体" w:eastAsia="宋体"/>
          <w:color w:val="auto"/>
          <w:sz w:val="28"/>
          <w:szCs w:val="28"/>
          <w:highlight w:val="none"/>
        </w:rPr>
        <w:t>金额的</w:t>
      </w:r>
      <w:r>
        <w:rPr>
          <w:rFonts w:hint="eastAsia" w:ascii="宋体" w:hAnsi="宋体"/>
          <w:color w:val="auto"/>
          <w:sz w:val="28"/>
          <w:szCs w:val="28"/>
          <w:highlight w:val="none"/>
          <w:lang w:val="en-US" w:eastAsia="zh-CN"/>
        </w:rPr>
        <w:t>10</w:t>
      </w:r>
      <w:r>
        <w:rPr>
          <w:rFonts w:hint="eastAsia" w:ascii="宋体" w:hAnsi="宋体" w:eastAsia="宋体"/>
          <w:color w:val="auto"/>
          <w:sz w:val="28"/>
          <w:szCs w:val="28"/>
          <w:highlight w:val="none"/>
        </w:rPr>
        <w:t>%</w:t>
      </w:r>
      <w:r>
        <w:rPr>
          <w:rFonts w:hint="eastAsia" w:ascii="宋体" w:hAnsi="宋体" w:eastAsia="宋体"/>
          <w:color w:val="auto"/>
          <w:sz w:val="28"/>
          <w:szCs w:val="28"/>
          <w:highlight w:val="none"/>
          <w:lang w:val="en-US" w:eastAsia="zh-CN"/>
        </w:rPr>
        <w:t>。</w:t>
      </w:r>
    </w:p>
    <w:p>
      <w:pPr>
        <w:pStyle w:val="65"/>
        <w:widowControl w:val="0"/>
        <w:numPr>
          <w:ilvl w:val="0"/>
          <w:numId w:val="22"/>
        </w:numPr>
        <w:tabs>
          <w:tab w:val="left" w:pos="1134"/>
        </w:tabs>
        <w:spacing w:after="200" w:line="600" w:lineRule="exact"/>
        <w:ind w:left="0" w:firstLine="566" w:firstLineChars="0"/>
        <w:jc w:val="both"/>
        <w:rPr>
          <w:rFonts w:hint="eastAsia" w:ascii="宋体" w:hAnsi="宋体" w:eastAsia="宋体"/>
          <w:color w:val="auto"/>
          <w:sz w:val="28"/>
          <w:szCs w:val="28"/>
          <w:highlight w:val="none"/>
        </w:rPr>
      </w:pPr>
      <w:r>
        <w:rPr>
          <w:rFonts w:hint="eastAsia" w:ascii="宋体" w:hAnsi="宋体" w:eastAsia="宋体"/>
          <w:color w:val="auto"/>
          <w:sz w:val="28"/>
          <w:szCs w:val="28"/>
          <w:highlight w:val="none"/>
        </w:rPr>
        <w:t>交款方式：政府采购合同签订前。履约保证金以支票、汇票、本票或者金融机构出具的保函等非现金形式缴纳。供应商未按照磋商文件要求缴纳履约保证金的，采购人有权拒绝与其签订采购合同。履约保证金作为违约金的一部分及用于补偿采购人因供应商不能履行合同义务而蒙受的损失。</w:t>
      </w:r>
    </w:p>
    <w:p>
      <w:pPr>
        <w:adjustRightInd w:val="0"/>
        <w:snapToGrid w:val="0"/>
        <w:spacing w:line="360" w:lineRule="auto"/>
        <w:jc w:val="left"/>
        <w:rPr>
          <w:rFonts w:hint="eastAsia" w:ascii="宋体" w:hAnsi="宋体" w:eastAsia="宋体" w:cs="Times New Roman"/>
          <w:color w:val="auto"/>
          <w:sz w:val="28"/>
          <w:szCs w:val="28"/>
          <w:highlight w:val="none"/>
          <w:lang w:val="en-US" w:eastAsia="zh-CN" w:bidi="ar-SA"/>
        </w:rPr>
      </w:pPr>
      <w:r>
        <w:rPr>
          <w:rFonts w:hint="eastAsia" w:ascii="宋体" w:hAnsi="宋体" w:eastAsia="宋体"/>
          <w:color w:val="auto"/>
          <w:sz w:val="28"/>
          <w:szCs w:val="28"/>
          <w:highlight w:val="none"/>
        </w:rPr>
        <w:t>履</w:t>
      </w:r>
      <w:r>
        <w:rPr>
          <w:rFonts w:hint="eastAsia" w:ascii="宋体" w:hAnsi="宋体" w:eastAsia="宋体" w:cs="Times New Roman"/>
          <w:color w:val="auto"/>
          <w:sz w:val="28"/>
          <w:szCs w:val="28"/>
          <w:highlight w:val="none"/>
          <w:lang w:val="en-US" w:eastAsia="zh-CN" w:bidi="ar-SA"/>
        </w:rPr>
        <w:t>约保证金退还：供应商向采购人递交履约保证金退付凭证资料文件，在采购人确认本项目的竣工验收后5个日历天内一次性退还；供应商履约不合格的，履约保证金不予退还。</w:t>
      </w:r>
    </w:p>
    <w:p>
      <w:pPr>
        <w:pStyle w:val="65"/>
        <w:widowControl w:val="0"/>
        <w:numPr>
          <w:ilvl w:val="0"/>
          <w:numId w:val="22"/>
        </w:numPr>
        <w:tabs>
          <w:tab w:val="left" w:pos="1134"/>
        </w:tabs>
        <w:spacing w:after="200" w:line="600" w:lineRule="exact"/>
        <w:ind w:left="0" w:firstLine="566" w:firstLineChars="0"/>
        <w:jc w:val="both"/>
        <w:rPr>
          <w:rFonts w:hint="eastAsia" w:ascii="宋体" w:hAnsi="宋体" w:eastAsia="宋体"/>
          <w:color w:val="auto"/>
          <w:sz w:val="28"/>
          <w:szCs w:val="28"/>
          <w:highlight w:val="none"/>
        </w:rPr>
      </w:pPr>
      <w:r>
        <w:rPr>
          <w:rFonts w:hint="eastAsia" w:ascii="宋体" w:hAnsi="宋体" w:eastAsia="宋体"/>
          <w:color w:val="auto"/>
          <w:sz w:val="28"/>
          <w:szCs w:val="28"/>
          <w:highlight w:val="none"/>
        </w:rPr>
        <w:t>履约保证金汇入的银行及账号</w:t>
      </w:r>
    </w:p>
    <w:p>
      <w:pPr>
        <w:pStyle w:val="65"/>
        <w:widowControl w:val="0"/>
        <w:numPr>
          <w:ilvl w:val="0"/>
          <w:numId w:val="0"/>
        </w:numPr>
        <w:tabs>
          <w:tab w:val="left" w:pos="1134"/>
        </w:tabs>
        <w:spacing w:after="200" w:line="600" w:lineRule="exact"/>
        <w:ind w:left="566" w:leftChars="0"/>
        <w:jc w:val="both"/>
        <w:rPr>
          <w:rFonts w:hint="eastAsia" w:ascii="宋体" w:hAnsi="宋体" w:eastAsia="宋体"/>
          <w:color w:val="auto"/>
          <w:sz w:val="28"/>
          <w:szCs w:val="28"/>
          <w:highlight w:val="none"/>
        </w:rPr>
      </w:pPr>
      <w:r>
        <w:rPr>
          <w:rFonts w:hint="eastAsia" w:ascii="宋体" w:hAnsi="宋体" w:eastAsia="宋体"/>
          <w:color w:val="auto"/>
          <w:sz w:val="28"/>
          <w:szCs w:val="28"/>
          <w:highlight w:val="none"/>
        </w:rPr>
        <w:t>收款单位: 成都市第二幼儿园</w:t>
      </w:r>
    </w:p>
    <w:p>
      <w:pPr>
        <w:pStyle w:val="65"/>
        <w:widowControl w:val="0"/>
        <w:numPr>
          <w:ilvl w:val="0"/>
          <w:numId w:val="0"/>
        </w:numPr>
        <w:tabs>
          <w:tab w:val="left" w:pos="1134"/>
        </w:tabs>
        <w:spacing w:after="200" w:line="600" w:lineRule="exact"/>
        <w:ind w:left="566" w:leftChars="0"/>
        <w:jc w:val="both"/>
        <w:rPr>
          <w:rFonts w:hint="eastAsia" w:ascii="宋体" w:hAnsi="宋体" w:eastAsia="宋体"/>
          <w:color w:val="auto"/>
          <w:sz w:val="28"/>
          <w:szCs w:val="28"/>
          <w:highlight w:val="none"/>
        </w:rPr>
      </w:pPr>
      <w:r>
        <w:rPr>
          <w:rFonts w:hint="eastAsia" w:ascii="宋体" w:hAnsi="宋体" w:eastAsia="宋体"/>
          <w:color w:val="auto"/>
          <w:sz w:val="28"/>
          <w:szCs w:val="28"/>
          <w:highlight w:val="none"/>
        </w:rPr>
        <w:t>纳税人识别号: 12510104450770678F</w:t>
      </w:r>
    </w:p>
    <w:p>
      <w:pPr>
        <w:pStyle w:val="65"/>
        <w:widowControl w:val="0"/>
        <w:numPr>
          <w:ilvl w:val="0"/>
          <w:numId w:val="0"/>
        </w:numPr>
        <w:tabs>
          <w:tab w:val="left" w:pos="1134"/>
        </w:tabs>
        <w:spacing w:after="200" w:line="600" w:lineRule="exact"/>
        <w:ind w:left="566" w:leftChars="0"/>
        <w:jc w:val="both"/>
        <w:rPr>
          <w:rFonts w:hint="eastAsia" w:ascii="宋体" w:hAnsi="宋体" w:eastAsia="宋体"/>
          <w:color w:val="auto"/>
          <w:sz w:val="28"/>
          <w:szCs w:val="28"/>
          <w:highlight w:val="none"/>
        </w:rPr>
      </w:pPr>
      <w:r>
        <w:rPr>
          <w:rFonts w:hint="eastAsia" w:ascii="宋体" w:hAnsi="宋体" w:eastAsia="宋体"/>
          <w:color w:val="auto"/>
          <w:sz w:val="28"/>
          <w:szCs w:val="28"/>
          <w:highlight w:val="none"/>
        </w:rPr>
        <w:t>开户行: 成都银行锦江支行</w:t>
      </w:r>
    </w:p>
    <w:p>
      <w:pPr>
        <w:pStyle w:val="65"/>
        <w:widowControl w:val="0"/>
        <w:numPr>
          <w:ilvl w:val="0"/>
          <w:numId w:val="0"/>
        </w:numPr>
        <w:tabs>
          <w:tab w:val="left" w:pos="1134"/>
        </w:tabs>
        <w:spacing w:after="200" w:line="600" w:lineRule="exact"/>
        <w:ind w:left="566" w:leftChars="0"/>
        <w:jc w:val="both"/>
        <w:rPr>
          <w:rFonts w:hint="eastAsia" w:ascii="宋体" w:hAnsi="宋体" w:eastAsia="宋体"/>
          <w:color w:val="auto"/>
          <w:sz w:val="28"/>
          <w:szCs w:val="28"/>
          <w:highlight w:val="none"/>
        </w:rPr>
      </w:pPr>
      <w:r>
        <w:rPr>
          <w:rFonts w:hint="eastAsia" w:ascii="宋体" w:hAnsi="宋体" w:eastAsia="宋体"/>
          <w:color w:val="auto"/>
          <w:sz w:val="28"/>
          <w:szCs w:val="28"/>
          <w:highlight w:val="none"/>
        </w:rPr>
        <w:t>银行账号: 1001300000451099</w:t>
      </w:r>
    </w:p>
    <w:p>
      <w:pPr>
        <w:pStyle w:val="2"/>
        <w:ind w:firstLine="560" w:firstLineChars="200"/>
        <w:rPr>
          <w:rFonts w:ascii="宋体" w:hAnsi="宋体" w:eastAsia="宋体"/>
          <w:color w:val="auto"/>
          <w:sz w:val="28"/>
          <w:szCs w:val="28"/>
          <w:highlight w:val="none"/>
        </w:rPr>
      </w:pPr>
      <w:r>
        <w:rPr>
          <w:rFonts w:hint="eastAsia" w:ascii="宋体" w:hAnsi="宋体" w:eastAsia="宋体"/>
          <w:color w:val="auto"/>
          <w:sz w:val="28"/>
          <w:szCs w:val="28"/>
          <w:highlight w:val="none"/>
        </w:rPr>
        <w:t>交款时间：成交通知书发放后 ，政府采购合同签订前向采购人提交规定金额的履约保证金。</w:t>
      </w:r>
    </w:p>
    <w:p>
      <w:pPr>
        <w:pStyle w:val="65"/>
        <w:widowControl w:val="0"/>
        <w:numPr>
          <w:ilvl w:val="0"/>
          <w:numId w:val="22"/>
        </w:numPr>
        <w:tabs>
          <w:tab w:val="left" w:pos="1134"/>
        </w:tabs>
        <w:spacing w:after="200" w:line="600" w:lineRule="exact"/>
        <w:ind w:left="0" w:firstLine="566" w:firstLineChars="0"/>
        <w:jc w:val="both"/>
        <w:rPr>
          <w:rFonts w:ascii="宋体" w:hAnsi="宋体" w:eastAsia="宋体"/>
          <w:color w:val="auto"/>
          <w:sz w:val="28"/>
          <w:szCs w:val="28"/>
          <w:highlight w:val="none"/>
        </w:rPr>
      </w:pPr>
      <w:r>
        <w:rPr>
          <w:rFonts w:hint="eastAsia" w:ascii="宋体" w:hAnsi="宋体" w:eastAsia="宋体"/>
          <w:color w:val="auto"/>
          <w:sz w:val="28"/>
          <w:szCs w:val="28"/>
          <w:highlight w:val="none"/>
        </w:rPr>
        <w:t>履约保证金不予退还情形：未能履行合同规定的部分或全部义务。履约保证金不予退还的，将按照有关规定上缴国库。</w:t>
      </w:r>
    </w:p>
    <w:p>
      <w:pPr>
        <w:pStyle w:val="65"/>
        <w:widowControl w:val="0"/>
        <w:numPr>
          <w:ilvl w:val="0"/>
          <w:numId w:val="22"/>
        </w:numPr>
        <w:tabs>
          <w:tab w:val="left" w:pos="1134"/>
        </w:tabs>
        <w:spacing w:after="200" w:line="600" w:lineRule="exact"/>
        <w:ind w:left="0" w:firstLine="566" w:firstLineChars="0"/>
        <w:jc w:val="both"/>
        <w:rPr>
          <w:rFonts w:ascii="宋体" w:hAnsi="宋体" w:eastAsia="宋体"/>
          <w:color w:val="auto"/>
          <w:sz w:val="28"/>
          <w:szCs w:val="28"/>
          <w:highlight w:val="none"/>
        </w:rPr>
      </w:pPr>
      <w:r>
        <w:rPr>
          <w:rFonts w:ascii="宋体" w:hAnsi="宋体" w:eastAsia="宋体"/>
          <w:color w:val="auto"/>
          <w:sz w:val="28"/>
          <w:szCs w:val="28"/>
          <w:highlight w:val="none"/>
        </w:rPr>
        <w:t>如</w:t>
      </w:r>
      <w:r>
        <w:rPr>
          <w:rFonts w:hint="eastAsia" w:ascii="宋体" w:hAnsi="宋体" w:eastAsia="宋体"/>
          <w:color w:val="auto"/>
          <w:sz w:val="28"/>
          <w:szCs w:val="28"/>
          <w:highlight w:val="none"/>
        </w:rPr>
        <w:t>供应商</w:t>
      </w:r>
      <w:r>
        <w:rPr>
          <w:rFonts w:ascii="宋体" w:hAnsi="宋体" w:eastAsia="宋体"/>
          <w:color w:val="auto"/>
          <w:sz w:val="28"/>
          <w:szCs w:val="28"/>
          <w:highlight w:val="none"/>
        </w:rPr>
        <w:t>未按时足额向采购人交纳履约保证金，采购人有权按照评审报告确定的</w:t>
      </w:r>
      <w:r>
        <w:rPr>
          <w:rFonts w:hint="eastAsia" w:ascii="宋体" w:hAnsi="宋体" w:eastAsia="宋体"/>
          <w:color w:val="auto"/>
          <w:sz w:val="28"/>
          <w:szCs w:val="28"/>
          <w:highlight w:val="none"/>
        </w:rPr>
        <w:t>成交</w:t>
      </w:r>
      <w:r>
        <w:rPr>
          <w:rFonts w:ascii="宋体" w:hAnsi="宋体" w:eastAsia="宋体"/>
          <w:color w:val="auto"/>
          <w:sz w:val="28"/>
          <w:szCs w:val="28"/>
          <w:highlight w:val="none"/>
        </w:rPr>
        <w:t>候选</w:t>
      </w:r>
      <w:r>
        <w:rPr>
          <w:rFonts w:hint="eastAsia" w:ascii="宋体" w:hAnsi="宋体" w:eastAsia="宋体"/>
          <w:color w:val="auto"/>
          <w:sz w:val="28"/>
          <w:szCs w:val="28"/>
          <w:highlight w:val="none"/>
        </w:rPr>
        <w:t>供应商</w:t>
      </w:r>
      <w:r>
        <w:rPr>
          <w:rFonts w:ascii="宋体" w:hAnsi="宋体" w:eastAsia="宋体"/>
          <w:color w:val="auto"/>
          <w:sz w:val="28"/>
          <w:szCs w:val="28"/>
          <w:highlight w:val="none"/>
        </w:rPr>
        <w:t>名单顺序，确定下一候选人为</w:t>
      </w:r>
      <w:r>
        <w:rPr>
          <w:rFonts w:hint="eastAsia" w:ascii="宋体" w:hAnsi="宋体" w:eastAsia="宋体"/>
          <w:color w:val="auto"/>
          <w:sz w:val="28"/>
          <w:szCs w:val="28"/>
          <w:highlight w:val="none"/>
        </w:rPr>
        <w:t>成交</w:t>
      </w:r>
      <w:r>
        <w:rPr>
          <w:rFonts w:ascii="宋体" w:hAnsi="宋体" w:eastAsia="宋体"/>
          <w:color w:val="auto"/>
          <w:sz w:val="28"/>
          <w:szCs w:val="28"/>
          <w:highlight w:val="none"/>
        </w:rPr>
        <w:t>供应商，或重新开展政府采购活动。</w:t>
      </w:r>
    </w:p>
    <w:p>
      <w:pPr>
        <w:pStyle w:val="5"/>
        <w:snapToGrid w:val="0"/>
        <w:spacing w:line="640" w:lineRule="exact"/>
        <w:rPr>
          <w:color w:val="auto"/>
          <w:highlight w:val="none"/>
        </w:rPr>
      </w:pPr>
      <w:r>
        <w:rPr>
          <w:rFonts w:hint="eastAsia"/>
          <w:color w:val="auto"/>
          <w:highlight w:val="none"/>
          <w:lang w:eastAsia="zh-CN"/>
        </w:rPr>
        <w:t>质量</w:t>
      </w:r>
      <w:r>
        <w:rPr>
          <w:rFonts w:hint="eastAsia"/>
          <w:color w:val="auto"/>
          <w:highlight w:val="none"/>
        </w:rPr>
        <w:t>保证金</w:t>
      </w:r>
      <w:r>
        <w:rPr>
          <w:rFonts w:hint="eastAsia" w:ascii="仿宋" w:hAnsi="仿宋" w:eastAsia="仿宋"/>
          <w:color w:val="auto"/>
          <w:szCs w:val="21"/>
          <w:highlight w:val="none"/>
          <w:lang w:val="zh-CN"/>
        </w:rPr>
        <w:t>（实质性要求）</w:t>
      </w:r>
    </w:p>
    <w:p>
      <w:pPr>
        <w:pStyle w:val="65"/>
        <w:widowControl w:val="0"/>
        <w:numPr>
          <w:ilvl w:val="0"/>
          <w:numId w:val="0"/>
        </w:numPr>
        <w:tabs>
          <w:tab w:val="left" w:pos="1134"/>
        </w:tabs>
        <w:spacing w:after="200" w:line="600" w:lineRule="exact"/>
        <w:ind w:left="566" w:leftChars="0"/>
        <w:jc w:val="both"/>
        <w:rPr>
          <w:rFonts w:hint="eastAsia" w:ascii="宋体" w:hAnsi="宋体" w:eastAsia="宋体"/>
          <w:color w:val="auto"/>
          <w:sz w:val="28"/>
          <w:szCs w:val="28"/>
          <w:highlight w:val="none"/>
        </w:rPr>
      </w:pPr>
      <w:r>
        <w:rPr>
          <w:rFonts w:hint="eastAsia" w:ascii="宋体" w:hAnsi="宋体"/>
          <w:color w:val="auto"/>
          <w:sz w:val="28"/>
          <w:szCs w:val="28"/>
          <w:highlight w:val="none"/>
          <w:lang w:eastAsia="zh-CN"/>
        </w:rPr>
        <w:t>一、</w:t>
      </w:r>
      <w:r>
        <w:rPr>
          <w:rFonts w:hint="eastAsia" w:ascii="宋体" w:hAnsi="宋体" w:eastAsia="宋体"/>
          <w:color w:val="auto"/>
          <w:sz w:val="28"/>
          <w:szCs w:val="28"/>
          <w:highlight w:val="none"/>
        </w:rPr>
        <w:t xml:space="preserve"> 质量保证金金额:质量保证金为履约验收后确认金额的3%。</w:t>
      </w:r>
    </w:p>
    <w:p>
      <w:pPr>
        <w:pStyle w:val="65"/>
        <w:widowControl w:val="0"/>
        <w:numPr>
          <w:ilvl w:val="0"/>
          <w:numId w:val="0"/>
        </w:numPr>
        <w:tabs>
          <w:tab w:val="left" w:pos="1134"/>
        </w:tabs>
        <w:spacing w:after="200" w:line="600" w:lineRule="exact"/>
        <w:ind w:left="0" w:leftChars="0" w:hanging="5" w:firstLineChars="0"/>
        <w:jc w:val="both"/>
        <w:rPr>
          <w:rFonts w:hint="eastAsia" w:ascii="宋体" w:hAnsi="宋体" w:eastAsia="宋体"/>
          <w:color w:val="auto"/>
          <w:sz w:val="28"/>
          <w:szCs w:val="28"/>
          <w:highlight w:val="none"/>
        </w:rPr>
      </w:pPr>
      <w:r>
        <w:rPr>
          <w:rFonts w:hint="eastAsia" w:ascii="宋体" w:hAnsi="宋体"/>
          <w:color w:val="auto"/>
          <w:sz w:val="28"/>
          <w:szCs w:val="28"/>
          <w:highlight w:val="none"/>
          <w:lang w:val="en-US" w:eastAsia="zh-CN"/>
        </w:rPr>
        <w:tab/>
      </w:r>
      <w:r>
        <w:rPr>
          <w:rFonts w:hint="eastAsia" w:ascii="宋体" w:hAnsi="宋体"/>
          <w:color w:val="auto"/>
          <w:sz w:val="28"/>
          <w:szCs w:val="28"/>
          <w:highlight w:val="none"/>
          <w:lang w:val="en-US" w:eastAsia="zh-CN"/>
        </w:rPr>
        <w:t xml:space="preserve">    </w:t>
      </w:r>
      <w:r>
        <w:rPr>
          <w:rFonts w:hint="eastAsia" w:ascii="宋体" w:hAnsi="宋体" w:eastAsia="宋体"/>
          <w:color w:val="auto"/>
          <w:sz w:val="28"/>
          <w:szCs w:val="28"/>
          <w:highlight w:val="none"/>
        </w:rPr>
        <w:t>二、交款方式: 质量保证金以支票、汇票、本票或者金融机构出具的保函等非现金形式缴纳。</w:t>
      </w:r>
    </w:p>
    <w:p>
      <w:pPr>
        <w:pStyle w:val="65"/>
        <w:widowControl w:val="0"/>
        <w:numPr>
          <w:ilvl w:val="0"/>
          <w:numId w:val="0"/>
        </w:numPr>
        <w:tabs>
          <w:tab w:val="left" w:pos="1134"/>
        </w:tabs>
        <w:spacing w:after="200" w:line="600" w:lineRule="exact"/>
        <w:ind w:left="0" w:leftChars="0" w:hanging="5" w:firstLineChars="0"/>
        <w:jc w:val="both"/>
        <w:rPr>
          <w:rFonts w:hint="eastAsia" w:ascii="宋体" w:hAnsi="宋体" w:eastAsia="宋体"/>
          <w:color w:val="auto"/>
          <w:sz w:val="28"/>
          <w:szCs w:val="28"/>
          <w:highlight w:val="none"/>
        </w:rPr>
      </w:pPr>
      <w:r>
        <w:rPr>
          <w:rFonts w:hint="eastAsia" w:ascii="宋体" w:hAnsi="宋体"/>
          <w:color w:val="auto"/>
          <w:sz w:val="28"/>
          <w:szCs w:val="28"/>
          <w:highlight w:val="none"/>
          <w:lang w:val="en-US" w:eastAsia="zh-CN"/>
        </w:rPr>
        <w:t xml:space="preserve">    </w:t>
      </w:r>
      <w:r>
        <w:rPr>
          <w:rFonts w:hint="eastAsia" w:ascii="宋体" w:hAnsi="宋体" w:eastAsia="宋体"/>
          <w:color w:val="auto"/>
          <w:sz w:val="28"/>
          <w:szCs w:val="28"/>
          <w:highlight w:val="none"/>
        </w:rPr>
        <w:t>三、质量保证金退还: 质保期为是2年，防水为5年，待质保期满验收无质量问题后，项目业主把质量保金按期退还给施工单位。</w:t>
      </w:r>
    </w:p>
    <w:p>
      <w:pPr>
        <w:pStyle w:val="65"/>
        <w:widowControl w:val="0"/>
        <w:numPr>
          <w:ilvl w:val="0"/>
          <w:numId w:val="0"/>
        </w:numPr>
        <w:tabs>
          <w:tab w:val="left" w:pos="1134"/>
        </w:tabs>
        <w:spacing w:after="200" w:line="600" w:lineRule="exact"/>
        <w:ind w:left="565" w:leftChars="0" w:hanging="565" w:hangingChars="202"/>
        <w:jc w:val="both"/>
        <w:rPr>
          <w:rFonts w:hint="eastAsia" w:ascii="宋体" w:hAnsi="宋体" w:eastAsia="宋体"/>
          <w:color w:val="auto"/>
          <w:sz w:val="28"/>
          <w:szCs w:val="28"/>
          <w:highlight w:val="none"/>
        </w:rPr>
      </w:pPr>
      <w:r>
        <w:rPr>
          <w:rFonts w:hint="eastAsia" w:ascii="宋体" w:hAnsi="宋体"/>
          <w:color w:val="auto"/>
          <w:sz w:val="28"/>
          <w:szCs w:val="28"/>
          <w:highlight w:val="none"/>
          <w:lang w:val="en-US" w:eastAsia="zh-CN"/>
        </w:rPr>
        <w:t xml:space="preserve">    </w:t>
      </w:r>
      <w:r>
        <w:rPr>
          <w:rFonts w:hint="eastAsia" w:ascii="宋体" w:hAnsi="宋体"/>
          <w:color w:val="auto"/>
          <w:sz w:val="28"/>
          <w:szCs w:val="28"/>
          <w:highlight w:val="none"/>
          <w:lang w:eastAsia="zh-CN"/>
        </w:rPr>
        <w:t>四、</w:t>
      </w:r>
      <w:r>
        <w:rPr>
          <w:rFonts w:hint="eastAsia" w:ascii="宋体" w:hAnsi="宋体" w:eastAsia="宋体"/>
          <w:color w:val="auto"/>
          <w:sz w:val="28"/>
          <w:szCs w:val="28"/>
          <w:highlight w:val="none"/>
        </w:rPr>
        <w:t>质量保证金汇入的银行及账号</w:t>
      </w:r>
    </w:p>
    <w:p>
      <w:pPr>
        <w:pStyle w:val="65"/>
        <w:widowControl w:val="0"/>
        <w:numPr>
          <w:ilvl w:val="0"/>
          <w:numId w:val="0"/>
        </w:numPr>
        <w:tabs>
          <w:tab w:val="left" w:pos="1134"/>
        </w:tabs>
        <w:spacing w:after="200" w:line="600" w:lineRule="exact"/>
        <w:ind w:left="566" w:leftChars="0"/>
        <w:jc w:val="both"/>
        <w:rPr>
          <w:rFonts w:hint="eastAsia" w:ascii="宋体" w:hAnsi="宋体" w:eastAsia="宋体"/>
          <w:color w:val="auto"/>
          <w:sz w:val="28"/>
          <w:szCs w:val="28"/>
          <w:highlight w:val="none"/>
        </w:rPr>
      </w:pPr>
      <w:r>
        <w:rPr>
          <w:rFonts w:hint="eastAsia" w:ascii="宋体" w:hAnsi="宋体" w:eastAsia="宋体"/>
          <w:color w:val="auto"/>
          <w:sz w:val="28"/>
          <w:szCs w:val="28"/>
          <w:highlight w:val="none"/>
        </w:rPr>
        <w:t>收款单位: 成都市第二幼儿园</w:t>
      </w:r>
    </w:p>
    <w:p>
      <w:pPr>
        <w:pStyle w:val="65"/>
        <w:widowControl w:val="0"/>
        <w:numPr>
          <w:ilvl w:val="0"/>
          <w:numId w:val="0"/>
        </w:numPr>
        <w:tabs>
          <w:tab w:val="left" w:pos="1134"/>
        </w:tabs>
        <w:spacing w:after="200" w:line="600" w:lineRule="exact"/>
        <w:ind w:left="566" w:leftChars="0"/>
        <w:jc w:val="both"/>
        <w:rPr>
          <w:rFonts w:hint="eastAsia" w:ascii="宋体" w:hAnsi="宋体" w:eastAsia="宋体"/>
          <w:color w:val="auto"/>
          <w:sz w:val="28"/>
          <w:szCs w:val="28"/>
          <w:highlight w:val="none"/>
        </w:rPr>
      </w:pPr>
      <w:r>
        <w:rPr>
          <w:rFonts w:hint="eastAsia" w:ascii="宋体" w:hAnsi="宋体" w:eastAsia="宋体"/>
          <w:color w:val="auto"/>
          <w:sz w:val="28"/>
          <w:szCs w:val="28"/>
          <w:highlight w:val="none"/>
        </w:rPr>
        <w:t>纳税人识别号: 12510104450770678F</w:t>
      </w:r>
    </w:p>
    <w:p>
      <w:pPr>
        <w:pStyle w:val="65"/>
        <w:widowControl w:val="0"/>
        <w:numPr>
          <w:ilvl w:val="0"/>
          <w:numId w:val="0"/>
        </w:numPr>
        <w:tabs>
          <w:tab w:val="left" w:pos="1134"/>
        </w:tabs>
        <w:spacing w:after="200" w:line="600" w:lineRule="exact"/>
        <w:ind w:left="566" w:leftChars="0"/>
        <w:jc w:val="both"/>
        <w:rPr>
          <w:rFonts w:hint="eastAsia" w:ascii="宋体" w:hAnsi="宋体" w:eastAsia="宋体"/>
          <w:color w:val="auto"/>
          <w:sz w:val="28"/>
          <w:szCs w:val="28"/>
          <w:highlight w:val="none"/>
        </w:rPr>
      </w:pPr>
      <w:r>
        <w:rPr>
          <w:rFonts w:hint="eastAsia" w:ascii="宋体" w:hAnsi="宋体" w:eastAsia="宋体"/>
          <w:color w:val="auto"/>
          <w:sz w:val="28"/>
          <w:szCs w:val="28"/>
          <w:highlight w:val="none"/>
        </w:rPr>
        <w:t>开户行: 成都银行锦江支行</w:t>
      </w:r>
    </w:p>
    <w:p>
      <w:pPr>
        <w:pStyle w:val="65"/>
        <w:widowControl w:val="0"/>
        <w:numPr>
          <w:ilvl w:val="0"/>
          <w:numId w:val="0"/>
        </w:numPr>
        <w:tabs>
          <w:tab w:val="left" w:pos="1134"/>
        </w:tabs>
        <w:spacing w:after="200" w:line="600" w:lineRule="exact"/>
        <w:ind w:left="566" w:leftChars="0"/>
        <w:jc w:val="both"/>
        <w:rPr>
          <w:rFonts w:hint="eastAsia" w:ascii="宋体" w:hAnsi="宋体" w:eastAsia="宋体"/>
          <w:color w:val="auto"/>
          <w:sz w:val="28"/>
          <w:szCs w:val="28"/>
          <w:highlight w:val="none"/>
        </w:rPr>
      </w:pPr>
      <w:r>
        <w:rPr>
          <w:rFonts w:hint="eastAsia" w:ascii="宋体" w:hAnsi="宋体" w:eastAsia="宋体"/>
          <w:color w:val="auto"/>
          <w:sz w:val="28"/>
          <w:szCs w:val="28"/>
          <w:highlight w:val="none"/>
        </w:rPr>
        <w:t>银行账号: 1001300000451099</w:t>
      </w:r>
    </w:p>
    <w:p>
      <w:pPr>
        <w:pStyle w:val="65"/>
        <w:widowControl w:val="0"/>
        <w:numPr>
          <w:ilvl w:val="0"/>
          <w:numId w:val="0"/>
        </w:numPr>
        <w:tabs>
          <w:tab w:val="left" w:pos="1134"/>
        </w:tabs>
        <w:spacing w:after="200" w:line="600" w:lineRule="exact"/>
        <w:ind w:left="565" w:leftChars="0" w:hanging="565" w:hangingChars="202"/>
        <w:jc w:val="both"/>
        <w:rPr>
          <w:rFonts w:hint="eastAsia" w:ascii="宋体" w:hAnsi="宋体" w:eastAsia="宋体"/>
          <w:color w:val="auto"/>
          <w:sz w:val="28"/>
          <w:szCs w:val="28"/>
          <w:highlight w:val="none"/>
        </w:rPr>
      </w:pPr>
      <w:r>
        <w:rPr>
          <w:rFonts w:hint="eastAsia" w:ascii="宋体" w:hAnsi="宋体"/>
          <w:color w:val="auto"/>
          <w:sz w:val="28"/>
          <w:szCs w:val="28"/>
          <w:highlight w:val="none"/>
          <w:lang w:val="en-US" w:eastAsia="zh-CN"/>
        </w:rPr>
        <w:t xml:space="preserve"> </w:t>
      </w:r>
      <w:r>
        <w:rPr>
          <w:rFonts w:hint="eastAsia" w:ascii="宋体" w:hAnsi="宋体"/>
          <w:color w:val="auto"/>
          <w:sz w:val="28"/>
          <w:szCs w:val="28"/>
          <w:highlight w:val="none"/>
          <w:lang w:eastAsia="zh-CN"/>
        </w:rPr>
        <w:t>五、</w:t>
      </w:r>
      <w:r>
        <w:rPr>
          <w:rFonts w:hint="eastAsia" w:ascii="宋体" w:hAnsi="宋体" w:eastAsia="宋体"/>
          <w:color w:val="auto"/>
          <w:sz w:val="28"/>
          <w:szCs w:val="28"/>
          <w:highlight w:val="none"/>
        </w:rPr>
        <w:t>交款时间:由施工单位在申请第三笔付款时先行支付给项目业主。</w:t>
      </w:r>
    </w:p>
    <w:p>
      <w:pPr>
        <w:pStyle w:val="5"/>
        <w:snapToGrid w:val="0"/>
        <w:spacing w:line="640" w:lineRule="exact"/>
        <w:rPr>
          <w:color w:val="auto"/>
          <w:highlight w:val="none"/>
        </w:rPr>
      </w:pPr>
      <w:r>
        <w:rPr>
          <w:color w:val="auto"/>
          <w:highlight w:val="none"/>
        </w:rPr>
        <w:t>合同公告</w:t>
      </w:r>
    </w:p>
    <w:p>
      <w:pPr>
        <w:snapToGrid w:val="0"/>
        <w:spacing w:line="640" w:lineRule="exact"/>
        <w:ind w:firstLine="560" w:firstLineChars="200"/>
        <w:rPr>
          <w:rFonts w:ascii="宋体" w:hAnsi="宋体"/>
          <w:color w:val="auto"/>
          <w:sz w:val="28"/>
          <w:szCs w:val="28"/>
          <w:highlight w:val="none"/>
        </w:rPr>
      </w:pPr>
      <w:r>
        <w:rPr>
          <w:rFonts w:hint="eastAsia" w:ascii="宋体" w:hAnsi="宋体"/>
          <w:color w:val="auto"/>
          <w:sz w:val="28"/>
          <w:szCs w:val="28"/>
          <w:highlight w:val="none"/>
        </w:rPr>
        <w:t>采购人应当自政府采购合同签订之日起</w:t>
      </w:r>
      <w:r>
        <w:rPr>
          <w:rFonts w:ascii="宋体" w:hAnsi="宋体"/>
          <w:color w:val="auto"/>
          <w:sz w:val="28"/>
          <w:szCs w:val="28"/>
          <w:highlight w:val="none"/>
        </w:rPr>
        <w:t>2个工作日内，</w:t>
      </w:r>
      <w:r>
        <w:rPr>
          <w:rFonts w:hint="eastAsia" w:ascii="宋体" w:hAnsi="宋体"/>
          <w:color w:val="auto"/>
          <w:sz w:val="28"/>
          <w:szCs w:val="28"/>
          <w:highlight w:val="none"/>
        </w:rPr>
        <w:t>将政府采购合同在四川政府采购网上公告，但政府采购合同中涉及国家秘密、商业秘密的内容除外。</w:t>
      </w:r>
    </w:p>
    <w:p>
      <w:pPr>
        <w:pStyle w:val="5"/>
        <w:snapToGrid w:val="0"/>
        <w:spacing w:line="640" w:lineRule="exact"/>
        <w:rPr>
          <w:color w:val="auto"/>
          <w:highlight w:val="none"/>
        </w:rPr>
      </w:pPr>
      <w:r>
        <w:rPr>
          <w:color w:val="auto"/>
          <w:highlight w:val="none"/>
        </w:rPr>
        <w:t>合同备案</w:t>
      </w:r>
    </w:p>
    <w:p>
      <w:pPr>
        <w:tabs>
          <w:tab w:val="left" w:pos="1134"/>
        </w:tabs>
        <w:snapToGrid w:val="0"/>
        <w:spacing w:line="640" w:lineRule="exact"/>
        <w:ind w:firstLine="560" w:firstLineChars="200"/>
        <w:rPr>
          <w:rFonts w:hint="eastAsia" w:ascii="宋体" w:hAnsi="宋体"/>
          <w:color w:val="auto"/>
          <w:sz w:val="28"/>
          <w:szCs w:val="28"/>
          <w:highlight w:val="none"/>
          <w:lang w:eastAsia="zh-CN"/>
        </w:rPr>
      </w:pPr>
      <w:r>
        <w:rPr>
          <w:rFonts w:hint="eastAsia" w:ascii="宋体" w:hAnsi="宋体"/>
          <w:color w:val="auto"/>
          <w:sz w:val="28"/>
          <w:szCs w:val="28"/>
          <w:highlight w:val="none"/>
        </w:rPr>
        <w:t>合同签订后，采购人应在7个工作日内按照</w:t>
      </w:r>
      <w:r>
        <w:rPr>
          <w:rFonts w:hint="eastAsia" w:ascii="宋体" w:hAnsi="宋体"/>
          <w:color w:val="auto"/>
          <w:sz w:val="28"/>
          <w:szCs w:val="28"/>
          <w:highlight w:val="none"/>
          <w:lang w:eastAsia="zh-CN"/>
        </w:rPr>
        <w:t>区</w:t>
      </w:r>
      <w:r>
        <w:rPr>
          <w:rFonts w:hint="eastAsia" w:ascii="宋体" w:hAnsi="宋体"/>
          <w:color w:val="auto"/>
          <w:sz w:val="28"/>
          <w:szCs w:val="28"/>
          <w:highlight w:val="none"/>
        </w:rPr>
        <w:t>财政局的要求完成合同备案工作。</w:t>
      </w:r>
    </w:p>
    <w:bookmarkEnd w:id="48"/>
    <w:p>
      <w:pPr>
        <w:pStyle w:val="5"/>
        <w:snapToGrid w:val="0"/>
        <w:spacing w:line="640" w:lineRule="exact"/>
        <w:rPr>
          <w:color w:val="auto"/>
          <w:highlight w:val="none"/>
        </w:rPr>
      </w:pPr>
      <w:bookmarkStart w:id="52" w:name="_Toc217446070"/>
      <w:r>
        <w:rPr>
          <w:rFonts w:hint="eastAsia" w:cs="宋体"/>
          <w:color w:val="auto"/>
          <w:highlight w:val="none"/>
        </w:rPr>
        <w:t>履行</w:t>
      </w:r>
      <w:r>
        <w:rPr>
          <w:rFonts w:hint="eastAsia"/>
          <w:color w:val="auto"/>
          <w:highlight w:val="none"/>
        </w:rPr>
        <w:t>合同</w:t>
      </w:r>
    </w:p>
    <w:p>
      <w:pPr>
        <w:widowControl w:val="0"/>
        <w:numPr>
          <w:ilvl w:val="0"/>
          <w:numId w:val="23"/>
        </w:numPr>
        <w:tabs>
          <w:tab w:val="left" w:pos="1134"/>
        </w:tabs>
        <w:snapToGrid w:val="0"/>
        <w:spacing w:line="640" w:lineRule="exact"/>
        <w:ind w:left="0" w:firstLine="565" w:firstLineChars="202"/>
        <w:jc w:val="both"/>
        <w:rPr>
          <w:rFonts w:ascii="宋体" w:hAnsi="宋体"/>
          <w:color w:val="auto"/>
          <w:sz w:val="28"/>
          <w:szCs w:val="28"/>
          <w:highlight w:val="none"/>
        </w:rPr>
      </w:pPr>
      <w:r>
        <w:rPr>
          <w:rFonts w:hint="eastAsia" w:ascii="宋体" w:hAnsi="宋体"/>
          <w:color w:val="auto"/>
          <w:sz w:val="28"/>
          <w:szCs w:val="28"/>
          <w:highlight w:val="none"/>
        </w:rPr>
        <w:t>合同一经签订，双方应严格履行合同规定的义务。</w:t>
      </w:r>
    </w:p>
    <w:p>
      <w:pPr>
        <w:widowControl w:val="0"/>
        <w:numPr>
          <w:ilvl w:val="0"/>
          <w:numId w:val="23"/>
        </w:numPr>
        <w:tabs>
          <w:tab w:val="left" w:pos="1134"/>
        </w:tabs>
        <w:snapToGrid w:val="0"/>
        <w:spacing w:line="640" w:lineRule="exact"/>
        <w:ind w:left="0" w:firstLine="565" w:firstLineChars="202"/>
        <w:jc w:val="both"/>
        <w:rPr>
          <w:color w:val="auto"/>
          <w:highlight w:val="none"/>
        </w:rPr>
      </w:pPr>
      <w:r>
        <w:rPr>
          <w:rFonts w:hint="eastAsia" w:ascii="宋体" w:hAnsi="宋体"/>
          <w:color w:val="auto"/>
          <w:sz w:val="28"/>
          <w:szCs w:val="28"/>
          <w:highlight w:val="none"/>
        </w:rPr>
        <w:t>在合同履行过程中，如发生合同纠纷，合同双方应按照《中华人民</w:t>
      </w:r>
      <w:r>
        <w:rPr>
          <w:rFonts w:ascii="宋体" w:hAnsi="宋体"/>
          <w:color w:val="auto"/>
          <w:sz w:val="28"/>
          <w:szCs w:val="28"/>
          <w:highlight w:val="none"/>
        </w:rPr>
        <w:t>共和国民法典</w:t>
      </w:r>
      <w:r>
        <w:rPr>
          <w:rFonts w:hint="eastAsia" w:ascii="宋体" w:hAnsi="宋体"/>
          <w:color w:val="auto"/>
          <w:sz w:val="28"/>
          <w:szCs w:val="28"/>
          <w:highlight w:val="none"/>
        </w:rPr>
        <w:t>》及合同条款的有关规定进行处理。</w:t>
      </w:r>
    </w:p>
    <w:p>
      <w:pPr>
        <w:pStyle w:val="5"/>
        <w:snapToGrid w:val="0"/>
        <w:spacing w:line="640" w:lineRule="exact"/>
        <w:rPr>
          <w:color w:val="auto"/>
          <w:highlight w:val="none"/>
        </w:rPr>
      </w:pPr>
      <w:r>
        <w:rPr>
          <w:rFonts w:hint="eastAsia"/>
          <w:color w:val="auto"/>
          <w:highlight w:val="none"/>
        </w:rPr>
        <w:t>验收</w:t>
      </w:r>
      <w:bookmarkEnd w:id="52"/>
    </w:p>
    <w:p>
      <w:pPr>
        <w:widowControl w:val="0"/>
        <w:numPr>
          <w:ilvl w:val="0"/>
          <w:numId w:val="0"/>
        </w:numPr>
        <w:tabs>
          <w:tab w:val="left" w:pos="1134"/>
        </w:tabs>
        <w:snapToGrid w:val="0"/>
        <w:spacing w:line="640" w:lineRule="exact"/>
        <w:ind w:leftChars="202"/>
        <w:jc w:val="both"/>
        <w:rPr>
          <w:rFonts w:hint="eastAsia" w:ascii="宋体" w:hAnsi="宋体"/>
          <w:color w:val="auto"/>
          <w:sz w:val="28"/>
          <w:szCs w:val="28"/>
          <w:highlight w:val="none"/>
        </w:rPr>
      </w:pPr>
      <w:r>
        <w:rPr>
          <w:rFonts w:hint="eastAsia" w:ascii="宋体" w:hAnsi="宋体"/>
          <w:color w:val="auto"/>
          <w:sz w:val="28"/>
          <w:szCs w:val="28"/>
          <w:highlight w:val="none"/>
        </w:rPr>
        <w:t>采购人严格按照国家相关法律法规的要求组织验收或考核。</w:t>
      </w:r>
    </w:p>
    <w:p>
      <w:pPr>
        <w:pStyle w:val="5"/>
        <w:snapToGrid w:val="0"/>
        <w:spacing w:line="640" w:lineRule="exact"/>
        <w:rPr>
          <w:color w:val="auto"/>
          <w:highlight w:val="none"/>
        </w:rPr>
      </w:pPr>
      <w:r>
        <w:rPr>
          <w:rFonts w:hint="eastAsia"/>
          <w:color w:val="auto"/>
          <w:highlight w:val="none"/>
        </w:rPr>
        <w:t>资金支付</w:t>
      </w:r>
    </w:p>
    <w:p>
      <w:pPr>
        <w:pStyle w:val="29"/>
        <w:snapToGrid w:val="0"/>
        <w:spacing w:line="640" w:lineRule="exact"/>
        <w:ind w:firstLine="565" w:firstLineChars="202"/>
        <w:rPr>
          <w:rFonts w:ascii="宋体" w:hAnsi="宋体"/>
          <w:color w:val="auto"/>
          <w:sz w:val="28"/>
          <w:szCs w:val="28"/>
          <w:highlight w:val="none"/>
        </w:rPr>
      </w:pPr>
      <w:r>
        <w:rPr>
          <w:rFonts w:hint="eastAsia" w:ascii="宋体" w:hAnsi="宋体"/>
          <w:color w:val="auto"/>
          <w:sz w:val="28"/>
          <w:szCs w:val="28"/>
          <w:highlight w:val="none"/>
        </w:rPr>
        <w:t>采购人按财政部门的有关规定及采购合同的约定进行支付。</w:t>
      </w:r>
    </w:p>
    <w:p>
      <w:pPr>
        <w:pStyle w:val="4"/>
        <w:snapToGrid w:val="0"/>
        <w:spacing w:line="640" w:lineRule="exact"/>
        <w:rPr>
          <w:color w:val="auto"/>
          <w:highlight w:val="none"/>
        </w:rPr>
      </w:pPr>
      <w:bookmarkStart w:id="53" w:name="_Toc16271"/>
      <w:r>
        <w:rPr>
          <w:rFonts w:hint="eastAsia"/>
          <w:color w:val="auto"/>
          <w:highlight w:val="none"/>
        </w:rPr>
        <w:t>竞争性</w:t>
      </w:r>
      <w:r>
        <w:rPr>
          <w:rFonts w:hint="eastAsia"/>
          <w:color w:val="auto"/>
          <w:highlight w:val="none"/>
          <w:lang w:eastAsia="zh-CN"/>
        </w:rPr>
        <w:t>磋商</w:t>
      </w:r>
      <w:r>
        <w:rPr>
          <w:rFonts w:hint="eastAsia"/>
          <w:color w:val="auto"/>
          <w:highlight w:val="none"/>
        </w:rPr>
        <w:t>工作纪律及要求</w:t>
      </w:r>
      <w:bookmarkEnd w:id="53"/>
    </w:p>
    <w:p>
      <w:pPr>
        <w:pStyle w:val="5"/>
        <w:snapToGrid w:val="0"/>
        <w:spacing w:line="640" w:lineRule="exact"/>
        <w:ind w:left="0" w:firstLine="0"/>
        <w:rPr>
          <w:color w:val="auto"/>
          <w:highlight w:val="none"/>
        </w:rPr>
      </w:pPr>
      <w:bookmarkStart w:id="54" w:name="_Toc217446075"/>
      <w:r>
        <w:rPr>
          <w:rFonts w:hint="eastAsia"/>
          <w:color w:val="auto"/>
          <w:highlight w:val="none"/>
        </w:rPr>
        <w:t>供应商不得具有的情形</w:t>
      </w:r>
      <w:bookmarkEnd w:id="54"/>
    </w:p>
    <w:p>
      <w:pPr>
        <w:pStyle w:val="16"/>
        <w:snapToGrid w:val="0"/>
        <w:spacing w:line="640" w:lineRule="exact"/>
        <w:ind w:firstLine="560"/>
        <w:rPr>
          <w:rFonts w:ascii="宋体" w:hAnsi="宋体"/>
          <w:color w:val="auto"/>
          <w:sz w:val="28"/>
          <w:szCs w:val="28"/>
          <w:highlight w:val="none"/>
        </w:rPr>
      </w:pPr>
      <w:r>
        <w:rPr>
          <w:rFonts w:hint="eastAsia" w:ascii="宋体" w:hAnsi="宋体"/>
          <w:color w:val="auto"/>
          <w:sz w:val="28"/>
          <w:szCs w:val="28"/>
          <w:highlight w:val="none"/>
        </w:rPr>
        <w:t>供应商参加</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不得有下列情形：</w:t>
      </w:r>
    </w:p>
    <w:p>
      <w:pPr>
        <w:widowControl w:val="0"/>
        <w:numPr>
          <w:ilvl w:val="1"/>
          <w:numId w:val="24"/>
        </w:numPr>
        <w:tabs>
          <w:tab w:val="left" w:pos="1134"/>
        </w:tabs>
        <w:snapToGrid w:val="0"/>
        <w:spacing w:line="640" w:lineRule="exact"/>
        <w:ind w:left="0" w:firstLine="567"/>
        <w:jc w:val="both"/>
        <w:rPr>
          <w:rFonts w:ascii="宋体" w:hAnsi="宋体"/>
          <w:color w:val="auto"/>
          <w:sz w:val="28"/>
          <w:szCs w:val="28"/>
          <w:highlight w:val="none"/>
        </w:rPr>
      </w:pPr>
      <w:r>
        <w:rPr>
          <w:rFonts w:hint="eastAsia" w:ascii="宋体" w:hAnsi="宋体"/>
          <w:color w:val="auto"/>
          <w:sz w:val="28"/>
          <w:szCs w:val="28"/>
          <w:highlight w:val="none"/>
        </w:rPr>
        <w:t>有下列情形之一的，视为供应商串通参加本次竞争性</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采购活动：</w:t>
      </w:r>
    </w:p>
    <w:p>
      <w:pPr>
        <w:tabs>
          <w:tab w:val="left" w:pos="1134"/>
        </w:tabs>
        <w:snapToGrid w:val="0"/>
        <w:spacing w:line="640" w:lineRule="exact"/>
        <w:ind w:left="538"/>
        <w:rPr>
          <w:rFonts w:ascii="宋体" w:hAnsi="宋体"/>
          <w:color w:val="auto"/>
          <w:sz w:val="28"/>
          <w:szCs w:val="28"/>
          <w:highlight w:val="none"/>
        </w:rPr>
      </w:pPr>
      <w:r>
        <w:rPr>
          <w:rFonts w:hint="eastAsia" w:ascii="宋体" w:hAnsi="宋体"/>
          <w:color w:val="auto"/>
          <w:sz w:val="28"/>
          <w:szCs w:val="28"/>
          <w:highlight w:val="none"/>
        </w:rPr>
        <w:t>（一）不同供应商的施工响应文件由同一单位或者个人编制；</w:t>
      </w:r>
    </w:p>
    <w:p>
      <w:pPr>
        <w:tabs>
          <w:tab w:val="left" w:pos="1134"/>
        </w:tabs>
        <w:snapToGrid w:val="0"/>
        <w:spacing w:line="640" w:lineRule="exact"/>
        <w:ind w:left="538"/>
        <w:rPr>
          <w:rFonts w:ascii="宋体" w:hAnsi="宋体"/>
          <w:color w:val="auto"/>
          <w:sz w:val="28"/>
          <w:szCs w:val="28"/>
          <w:highlight w:val="none"/>
        </w:rPr>
      </w:pPr>
      <w:r>
        <w:rPr>
          <w:rFonts w:hint="eastAsia" w:ascii="宋体" w:hAnsi="宋体"/>
          <w:color w:val="auto"/>
          <w:sz w:val="28"/>
          <w:szCs w:val="28"/>
          <w:highlight w:val="none"/>
        </w:rPr>
        <w:t>（二）不同供应商委托同一单位或者个人办理</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事宜；</w:t>
      </w:r>
    </w:p>
    <w:p>
      <w:pPr>
        <w:tabs>
          <w:tab w:val="left" w:pos="1134"/>
        </w:tabs>
        <w:snapToGrid w:val="0"/>
        <w:spacing w:line="640" w:lineRule="exact"/>
        <w:ind w:firstLine="537" w:firstLineChars="192"/>
        <w:rPr>
          <w:rFonts w:ascii="宋体" w:hAnsi="宋体"/>
          <w:color w:val="auto"/>
          <w:sz w:val="28"/>
          <w:szCs w:val="28"/>
          <w:highlight w:val="none"/>
        </w:rPr>
      </w:pPr>
      <w:r>
        <w:rPr>
          <w:rFonts w:hint="eastAsia" w:ascii="宋体" w:hAnsi="宋体"/>
          <w:color w:val="auto"/>
          <w:sz w:val="28"/>
          <w:szCs w:val="28"/>
          <w:highlight w:val="none"/>
        </w:rPr>
        <w:t>（三）不同供应商的施工响应文件载明的项目管理成员或者联系人员为同一人；</w:t>
      </w:r>
    </w:p>
    <w:p>
      <w:pPr>
        <w:tabs>
          <w:tab w:val="left" w:pos="1134"/>
        </w:tabs>
        <w:snapToGrid w:val="0"/>
        <w:spacing w:line="640" w:lineRule="exact"/>
        <w:ind w:left="538"/>
        <w:rPr>
          <w:rFonts w:ascii="宋体" w:hAnsi="宋体"/>
          <w:color w:val="auto"/>
          <w:sz w:val="28"/>
          <w:szCs w:val="28"/>
          <w:highlight w:val="none"/>
        </w:rPr>
      </w:pPr>
      <w:r>
        <w:rPr>
          <w:rFonts w:hint="eastAsia" w:ascii="宋体" w:hAnsi="宋体"/>
          <w:color w:val="auto"/>
          <w:sz w:val="28"/>
          <w:szCs w:val="28"/>
          <w:highlight w:val="none"/>
        </w:rPr>
        <w:t>（四）不同供应商的施工响应文件异常一致或者最后报价呈规律性差异；</w:t>
      </w:r>
    </w:p>
    <w:p>
      <w:pPr>
        <w:tabs>
          <w:tab w:val="left" w:pos="1134"/>
        </w:tabs>
        <w:snapToGrid w:val="0"/>
        <w:spacing w:line="640" w:lineRule="exact"/>
        <w:ind w:left="538"/>
        <w:rPr>
          <w:rFonts w:ascii="宋体" w:hAnsi="宋体"/>
          <w:color w:val="auto"/>
          <w:sz w:val="28"/>
          <w:szCs w:val="28"/>
          <w:highlight w:val="none"/>
        </w:rPr>
      </w:pPr>
      <w:r>
        <w:rPr>
          <w:rFonts w:hint="eastAsia" w:ascii="宋体" w:hAnsi="宋体"/>
          <w:color w:val="auto"/>
          <w:sz w:val="28"/>
          <w:szCs w:val="28"/>
          <w:highlight w:val="none"/>
        </w:rPr>
        <w:t>（五）不同供应商的施工响应文件相互混装；</w:t>
      </w:r>
    </w:p>
    <w:p>
      <w:pPr>
        <w:tabs>
          <w:tab w:val="left" w:pos="1134"/>
        </w:tabs>
        <w:snapToGrid w:val="0"/>
        <w:spacing w:line="640" w:lineRule="exact"/>
        <w:ind w:left="538"/>
        <w:rPr>
          <w:rFonts w:ascii="宋体" w:hAnsi="宋体"/>
          <w:color w:val="auto"/>
          <w:sz w:val="28"/>
          <w:szCs w:val="28"/>
          <w:highlight w:val="none"/>
        </w:rPr>
      </w:pPr>
      <w:r>
        <w:rPr>
          <w:rFonts w:hint="eastAsia" w:ascii="宋体" w:hAnsi="宋体"/>
          <w:color w:val="auto"/>
          <w:sz w:val="28"/>
          <w:szCs w:val="28"/>
          <w:highlight w:val="none"/>
        </w:rPr>
        <w:t>（六）不同供应商的</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保证金从同一单位或者个人的账户转出；</w:t>
      </w:r>
    </w:p>
    <w:p>
      <w:pPr>
        <w:widowControl w:val="0"/>
        <w:numPr>
          <w:ilvl w:val="1"/>
          <w:numId w:val="24"/>
        </w:numPr>
        <w:tabs>
          <w:tab w:val="left" w:pos="1134"/>
        </w:tabs>
        <w:snapToGrid w:val="0"/>
        <w:spacing w:line="640" w:lineRule="exact"/>
        <w:ind w:left="0" w:firstLine="567"/>
        <w:jc w:val="both"/>
        <w:rPr>
          <w:rFonts w:ascii="宋体" w:hAnsi="宋体"/>
          <w:color w:val="auto"/>
          <w:sz w:val="28"/>
          <w:szCs w:val="28"/>
          <w:highlight w:val="none"/>
        </w:rPr>
      </w:pPr>
      <w:r>
        <w:rPr>
          <w:rFonts w:hint="eastAsia" w:ascii="宋体" w:hAnsi="宋体"/>
          <w:color w:val="auto"/>
          <w:sz w:val="28"/>
          <w:szCs w:val="28"/>
          <w:highlight w:val="none"/>
        </w:rPr>
        <w:t>提供虚假材料谋取成交；</w:t>
      </w:r>
    </w:p>
    <w:p>
      <w:pPr>
        <w:widowControl w:val="0"/>
        <w:numPr>
          <w:ilvl w:val="1"/>
          <w:numId w:val="24"/>
        </w:numPr>
        <w:tabs>
          <w:tab w:val="left" w:pos="1134"/>
        </w:tabs>
        <w:snapToGrid w:val="0"/>
        <w:spacing w:line="640" w:lineRule="exact"/>
        <w:ind w:left="0" w:firstLine="567"/>
        <w:jc w:val="both"/>
        <w:rPr>
          <w:rFonts w:ascii="宋体" w:hAnsi="宋体"/>
          <w:color w:val="auto"/>
          <w:sz w:val="28"/>
          <w:szCs w:val="28"/>
          <w:highlight w:val="none"/>
        </w:rPr>
      </w:pPr>
      <w:r>
        <w:rPr>
          <w:rFonts w:hint="eastAsia" w:ascii="宋体" w:hAnsi="宋体"/>
          <w:color w:val="auto"/>
          <w:sz w:val="28"/>
          <w:szCs w:val="28"/>
          <w:highlight w:val="none"/>
        </w:rPr>
        <w:t>采取不正当手段诋毁、排挤其他供应商；</w:t>
      </w:r>
    </w:p>
    <w:p>
      <w:pPr>
        <w:widowControl w:val="0"/>
        <w:numPr>
          <w:ilvl w:val="1"/>
          <w:numId w:val="24"/>
        </w:numPr>
        <w:tabs>
          <w:tab w:val="left" w:pos="1134"/>
        </w:tabs>
        <w:snapToGrid w:val="0"/>
        <w:spacing w:line="640" w:lineRule="exact"/>
        <w:ind w:left="0" w:firstLine="567"/>
        <w:jc w:val="both"/>
        <w:rPr>
          <w:rFonts w:ascii="宋体" w:hAnsi="宋体"/>
          <w:color w:val="auto"/>
          <w:sz w:val="28"/>
          <w:szCs w:val="28"/>
          <w:highlight w:val="none"/>
        </w:rPr>
      </w:pPr>
      <w:r>
        <w:rPr>
          <w:rFonts w:hint="eastAsia" w:ascii="宋体" w:hAnsi="宋体"/>
          <w:color w:val="auto"/>
          <w:sz w:val="28"/>
          <w:szCs w:val="28"/>
          <w:highlight w:val="none"/>
        </w:rPr>
        <w:t>与采购人或</w:t>
      </w:r>
      <w:r>
        <w:rPr>
          <w:rFonts w:hint="eastAsia" w:ascii="宋体" w:hAnsi="宋体"/>
          <w:color w:val="auto"/>
          <w:sz w:val="28"/>
          <w:szCs w:val="28"/>
          <w:highlight w:val="none"/>
          <w:lang w:eastAsia="zh-CN"/>
        </w:rPr>
        <w:t>区采购中心</w:t>
      </w:r>
      <w:r>
        <w:rPr>
          <w:rFonts w:hint="eastAsia" w:ascii="宋体" w:hAnsi="宋体"/>
          <w:color w:val="auto"/>
          <w:sz w:val="28"/>
          <w:szCs w:val="28"/>
          <w:highlight w:val="none"/>
        </w:rPr>
        <w:t>、其他供应商恶意串通；</w:t>
      </w:r>
    </w:p>
    <w:p>
      <w:pPr>
        <w:widowControl w:val="0"/>
        <w:numPr>
          <w:ilvl w:val="1"/>
          <w:numId w:val="24"/>
        </w:numPr>
        <w:tabs>
          <w:tab w:val="left" w:pos="1134"/>
        </w:tabs>
        <w:snapToGrid w:val="0"/>
        <w:spacing w:line="640" w:lineRule="exact"/>
        <w:ind w:left="0" w:firstLine="567"/>
        <w:jc w:val="both"/>
        <w:rPr>
          <w:rFonts w:ascii="宋体" w:hAnsi="宋体"/>
          <w:color w:val="auto"/>
          <w:sz w:val="28"/>
          <w:szCs w:val="28"/>
          <w:highlight w:val="none"/>
        </w:rPr>
      </w:pPr>
      <w:r>
        <w:rPr>
          <w:rFonts w:hint="eastAsia" w:ascii="宋体" w:hAnsi="宋体"/>
          <w:color w:val="auto"/>
          <w:sz w:val="28"/>
          <w:szCs w:val="28"/>
          <w:highlight w:val="none"/>
        </w:rPr>
        <w:t>向采购人或</w:t>
      </w:r>
      <w:r>
        <w:rPr>
          <w:rFonts w:hint="eastAsia" w:ascii="宋体" w:hAnsi="宋体"/>
          <w:color w:val="auto"/>
          <w:sz w:val="28"/>
          <w:szCs w:val="28"/>
          <w:highlight w:val="none"/>
          <w:lang w:eastAsia="zh-CN"/>
        </w:rPr>
        <w:t>区采购中心</w:t>
      </w:r>
      <w:r>
        <w:rPr>
          <w:rFonts w:hint="eastAsia" w:ascii="宋体" w:hAnsi="宋体"/>
          <w:color w:val="auto"/>
          <w:sz w:val="28"/>
          <w:szCs w:val="28"/>
          <w:highlight w:val="none"/>
        </w:rPr>
        <w:t>、</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小组成员行贿或者提供其他不正当利益；</w:t>
      </w:r>
    </w:p>
    <w:p>
      <w:pPr>
        <w:widowControl w:val="0"/>
        <w:numPr>
          <w:ilvl w:val="1"/>
          <w:numId w:val="24"/>
        </w:numPr>
        <w:tabs>
          <w:tab w:val="left" w:pos="1134"/>
        </w:tabs>
        <w:snapToGrid w:val="0"/>
        <w:spacing w:line="640" w:lineRule="exact"/>
        <w:ind w:left="0" w:firstLine="567"/>
        <w:jc w:val="both"/>
        <w:rPr>
          <w:rFonts w:ascii="宋体" w:hAnsi="宋体"/>
          <w:color w:val="auto"/>
          <w:sz w:val="28"/>
          <w:szCs w:val="28"/>
          <w:highlight w:val="none"/>
        </w:rPr>
      </w:pPr>
      <w:r>
        <w:rPr>
          <w:rFonts w:hint="eastAsia" w:ascii="宋体" w:hAnsi="宋体"/>
          <w:color w:val="auto"/>
          <w:sz w:val="28"/>
          <w:szCs w:val="28"/>
          <w:highlight w:val="none"/>
          <w:lang w:val="en-US" w:eastAsia="zh-CN"/>
        </w:rPr>
        <w:t>成交</w:t>
      </w:r>
      <w:r>
        <w:rPr>
          <w:rFonts w:hint="eastAsia" w:ascii="宋体" w:hAnsi="宋体"/>
          <w:color w:val="auto"/>
          <w:sz w:val="28"/>
          <w:szCs w:val="28"/>
          <w:highlight w:val="none"/>
        </w:rPr>
        <w:t>后无正当理由拒不与采购人签订政府采购合同；</w:t>
      </w:r>
    </w:p>
    <w:p>
      <w:pPr>
        <w:widowControl w:val="0"/>
        <w:numPr>
          <w:ilvl w:val="1"/>
          <w:numId w:val="24"/>
        </w:numPr>
        <w:tabs>
          <w:tab w:val="left" w:pos="1134"/>
        </w:tabs>
        <w:snapToGrid w:val="0"/>
        <w:spacing w:line="640" w:lineRule="exact"/>
        <w:ind w:left="0" w:firstLine="567"/>
        <w:jc w:val="both"/>
        <w:rPr>
          <w:rFonts w:ascii="宋体" w:hAnsi="宋体"/>
          <w:color w:val="auto"/>
          <w:sz w:val="28"/>
          <w:szCs w:val="28"/>
          <w:highlight w:val="none"/>
        </w:rPr>
      </w:pPr>
      <w:r>
        <w:rPr>
          <w:rFonts w:hint="eastAsia" w:ascii="宋体" w:hAnsi="宋体"/>
          <w:color w:val="auto"/>
          <w:sz w:val="28"/>
          <w:szCs w:val="28"/>
          <w:highlight w:val="none"/>
        </w:rPr>
        <w:t>未按照采购文件确定的事项签订政府采购合同；</w:t>
      </w:r>
    </w:p>
    <w:p>
      <w:pPr>
        <w:widowControl w:val="0"/>
        <w:numPr>
          <w:ilvl w:val="1"/>
          <w:numId w:val="24"/>
        </w:numPr>
        <w:tabs>
          <w:tab w:val="left" w:pos="1134"/>
        </w:tabs>
        <w:snapToGrid w:val="0"/>
        <w:spacing w:line="640" w:lineRule="exact"/>
        <w:ind w:left="0" w:firstLine="567"/>
        <w:jc w:val="both"/>
        <w:rPr>
          <w:rFonts w:ascii="宋体" w:hAnsi="宋体"/>
          <w:color w:val="auto"/>
          <w:sz w:val="28"/>
          <w:szCs w:val="28"/>
          <w:highlight w:val="none"/>
        </w:rPr>
      </w:pPr>
      <w:r>
        <w:rPr>
          <w:rFonts w:hint="eastAsia" w:ascii="宋体" w:hAnsi="宋体"/>
          <w:color w:val="auto"/>
          <w:sz w:val="28"/>
          <w:szCs w:val="28"/>
          <w:highlight w:val="none"/>
        </w:rPr>
        <w:t>将政府采购合同转包或者违规分包；</w:t>
      </w:r>
    </w:p>
    <w:p>
      <w:pPr>
        <w:widowControl w:val="0"/>
        <w:numPr>
          <w:ilvl w:val="1"/>
          <w:numId w:val="24"/>
        </w:numPr>
        <w:tabs>
          <w:tab w:val="left" w:pos="1134"/>
        </w:tabs>
        <w:snapToGrid w:val="0"/>
        <w:spacing w:line="640" w:lineRule="exact"/>
        <w:ind w:left="0" w:firstLine="567"/>
        <w:jc w:val="both"/>
        <w:rPr>
          <w:rFonts w:ascii="宋体" w:hAnsi="宋体"/>
          <w:color w:val="auto"/>
          <w:sz w:val="28"/>
          <w:szCs w:val="28"/>
          <w:highlight w:val="none"/>
        </w:rPr>
      </w:pPr>
      <w:r>
        <w:rPr>
          <w:rFonts w:hint="eastAsia" w:ascii="宋体" w:hAnsi="宋体"/>
          <w:color w:val="auto"/>
          <w:sz w:val="28"/>
          <w:szCs w:val="28"/>
          <w:highlight w:val="none"/>
        </w:rPr>
        <w:t>提供假冒伪劣产品；</w:t>
      </w:r>
    </w:p>
    <w:p>
      <w:pPr>
        <w:widowControl w:val="0"/>
        <w:numPr>
          <w:ilvl w:val="1"/>
          <w:numId w:val="24"/>
        </w:numPr>
        <w:tabs>
          <w:tab w:val="left" w:pos="1134"/>
        </w:tabs>
        <w:snapToGrid w:val="0"/>
        <w:spacing w:line="640" w:lineRule="exact"/>
        <w:ind w:left="0" w:firstLine="567"/>
        <w:jc w:val="both"/>
        <w:rPr>
          <w:rFonts w:ascii="宋体" w:hAnsi="宋体"/>
          <w:color w:val="auto"/>
          <w:sz w:val="28"/>
          <w:szCs w:val="28"/>
          <w:highlight w:val="none"/>
        </w:rPr>
      </w:pPr>
      <w:r>
        <w:rPr>
          <w:rFonts w:hint="eastAsia" w:ascii="宋体" w:hAnsi="宋体"/>
          <w:color w:val="auto"/>
          <w:sz w:val="28"/>
          <w:szCs w:val="28"/>
          <w:highlight w:val="none"/>
        </w:rPr>
        <w:t>擅自变更、中止或者终止政府采购合同；</w:t>
      </w:r>
    </w:p>
    <w:p>
      <w:pPr>
        <w:widowControl w:val="0"/>
        <w:numPr>
          <w:ilvl w:val="1"/>
          <w:numId w:val="24"/>
        </w:numPr>
        <w:tabs>
          <w:tab w:val="left" w:pos="1418"/>
        </w:tabs>
        <w:snapToGrid w:val="0"/>
        <w:spacing w:line="640" w:lineRule="exact"/>
        <w:ind w:left="0" w:firstLine="567"/>
        <w:jc w:val="both"/>
        <w:rPr>
          <w:rFonts w:ascii="宋体" w:hAnsi="宋体"/>
          <w:color w:val="auto"/>
          <w:sz w:val="28"/>
          <w:szCs w:val="28"/>
          <w:highlight w:val="none"/>
        </w:rPr>
      </w:pPr>
      <w:r>
        <w:rPr>
          <w:rFonts w:hint="eastAsia" w:ascii="宋体" w:hAnsi="宋体"/>
          <w:color w:val="auto"/>
          <w:sz w:val="28"/>
          <w:szCs w:val="28"/>
          <w:highlight w:val="none"/>
        </w:rPr>
        <w:t>被列入失信被执行人、重大税收违法案件当事人名单、政府采购严重违法失信行为记录名单。参加政府采购活动前三年内，在经营活动中有重大违法记录</w:t>
      </w:r>
      <w:r>
        <w:rPr>
          <w:rFonts w:ascii="宋体" w:hAnsi="宋体"/>
          <w:color w:val="auto"/>
          <w:sz w:val="28"/>
          <w:szCs w:val="28"/>
          <w:highlight w:val="none"/>
        </w:rPr>
        <w:t>；</w:t>
      </w:r>
    </w:p>
    <w:p>
      <w:pPr>
        <w:widowControl w:val="0"/>
        <w:numPr>
          <w:ilvl w:val="1"/>
          <w:numId w:val="24"/>
        </w:numPr>
        <w:tabs>
          <w:tab w:val="left" w:pos="1418"/>
        </w:tabs>
        <w:snapToGrid w:val="0"/>
        <w:spacing w:line="640" w:lineRule="exact"/>
        <w:ind w:left="0" w:firstLine="567"/>
        <w:jc w:val="both"/>
        <w:rPr>
          <w:rFonts w:ascii="宋体" w:hAnsi="宋体"/>
          <w:color w:val="auto"/>
          <w:sz w:val="28"/>
          <w:szCs w:val="28"/>
          <w:highlight w:val="none"/>
        </w:rPr>
      </w:pPr>
      <w:r>
        <w:rPr>
          <w:rFonts w:hint="eastAsia" w:ascii="宋体" w:hAnsi="宋体"/>
          <w:color w:val="auto"/>
          <w:sz w:val="28"/>
          <w:szCs w:val="28"/>
          <w:highlight w:val="none"/>
        </w:rPr>
        <w:t>在行贿犯罪信息查询期限内，根据中国裁判文书网（</w:t>
      </w:r>
      <w:r>
        <w:rPr>
          <w:rFonts w:ascii="宋体" w:hAnsi="宋体"/>
          <w:color w:val="auto"/>
          <w:sz w:val="28"/>
          <w:szCs w:val="28"/>
          <w:highlight w:val="none"/>
        </w:rPr>
        <w:t>http://wenshu.court.gov.cn</w:t>
      </w:r>
      <w:r>
        <w:rPr>
          <w:rFonts w:hint="eastAsia" w:ascii="宋体" w:hAnsi="宋体"/>
          <w:color w:val="auto"/>
          <w:sz w:val="28"/>
          <w:szCs w:val="28"/>
          <w:highlight w:val="none"/>
        </w:rPr>
        <w:t>）查询结果供应商及其现任法定代表人、主要负责人有行贿犯罪记录。</w:t>
      </w:r>
    </w:p>
    <w:p>
      <w:pPr>
        <w:widowControl w:val="0"/>
        <w:numPr>
          <w:ilvl w:val="1"/>
          <w:numId w:val="24"/>
        </w:numPr>
        <w:tabs>
          <w:tab w:val="left" w:pos="1418"/>
        </w:tabs>
        <w:snapToGrid w:val="0"/>
        <w:spacing w:line="640" w:lineRule="exact"/>
        <w:ind w:left="0" w:firstLine="567"/>
        <w:jc w:val="both"/>
        <w:rPr>
          <w:rFonts w:ascii="宋体" w:hAnsi="宋体"/>
          <w:color w:val="auto"/>
          <w:sz w:val="28"/>
          <w:szCs w:val="28"/>
          <w:highlight w:val="none"/>
        </w:rPr>
      </w:pPr>
      <w:r>
        <w:rPr>
          <w:rFonts w:hint="eastAsia" w:ascii="宋体" w:hAnsi="宋体"/>
          <w:color w:val="auto"/>
          <w:sz w:val="28"/>
          <w:szCs w:val="28"/>
          <w:highlight w:val="none"/>
        </w:rPr>
        <w:t>处于被行政部门禁止参与政府采购活动的期限内；</w:t>
      </w:r>
    </w:p>
    <w:p>
      <w:pPr>
        <w:widowControl w:val="0"/>
        <w:numPr>
          <w:ilvl w:val="1"/>
          <w:numId w:val="24"/>
        </w:numPr>
        <w:tabs>
          <w:tab w:val="left" w:pos="1418"/>
        </w:tabs>
        <w:snapToGrid w:val="0"/>
        <w:spacing w:line="640" w:lineRule="exact"/>
        <w:ind w:left="0" w:firstLine="567"/>
        <w:jc w:val="both"/>
        <w:rPr>
          <w:rFonts w:ascii="宋体" w:hAnsi="宋体"/>
          <w:color w:val="auto"/>
          <w:sz w:val="28"/>
          <w:szCs w:val="28"/>
          <w:highlight w:val="none"/>
        </w:rPr>
      </w:pPr>
      <w:r>
        <w:rPr>
          <w:rFonts w:hint="eastAsia" w:ascii="宋体" w:hAnsi="宋体"/>
          <w:color w:val="auto"/>
          <w:sz w:val="28"/>
          <w:szCs w:val="28"/>
          <w:highlight w:val="none"/>
        </w:rPr>
        <w:t>拒绝有关部门的监督检查或者向监督检查部门提供虚假情况；</w:t>
      </w:r>
    </w:p>
    <w:p>
      <w:pPr>
        <w:widowControl w:val="0"/>
        <w:numPr>
          <w:ilvl w:val="1"/>
          <w:numId w:val="24"/>
        </w:numPr>
        <w:tabs>
          <w:tab w:val="left" w:pos="1134"/>
          <w:tab w:val="left" w:pos="1418"/>
        </w:tabs>
        <w:snapToGrid w:val="0"/>
        <w:spacing w:line="640" w:lineRule="exact"/>
        <w:ind w:left="0" w:firstLine="567"/>
        <w:jc w:val="both"/>
        <w:rPr>
          <w:rFonts w:ascii="宋体" w:hAnsi="宋体"/>
          <w:color w:val="auto"/>
          <w:sz w:val="28"/>
          <w:szCs w:val="28"/>
          <w:highlight w:val="none"/>
        </w:rPr>
      </w:pPr>
      <w:r>
        <w:rPr>
          <w:rFonts w:hint="eastAsia" w:ascii="宋体" w:hAnsi="宋体"/>
          <w:color w:val="auto"/>
          <w:sz w:val="28"/>
          <w:szCs w:val="28"/>
          <w:highlight w:val="none"/>
        </w:rPr>
        <w:t>法律法规规定的其他情形。</w:t>
      </w:r>
    </w:p>
    <w:p>
      <w:pPr>
        <w:pStyle w:val="16"/>
        <w:snapToGrid w:val="0"/>
        <w:spacing w:line="640" w:lineRule="exact"/>
        <w:ind w:firstLine="568" w:firstLineChars="202"/>
        <w:rPr>
          <w:rFonts w:ascii="宋体" w:hAnsi="宋体"/>
          <w:b/>
          <w:bCs/>
          <w:color w:val="auto"/>
          <w:sz w:val="28"/>
          <w:szCs w:val="28"/>
          <w:highlight w:val="none"/>
        </w:rPr>
      </w:pPr>
      <w:r>
        <w:rPr>
          <w:rFonts w:hint="eastAsia" w:ascii="宋体" w:hAnsi="宋体"/>
          <w:b/>
          <w:bCs/>
          <w:color w:val="auto"/>
          <w:sz w:val="28"/>
          <w:szCs w:val="28"/>
          <w:highlight w:val="none"/>
        </w:rPr>
        <w:t>供应商有上述情形的，按照规定追究法律责任，具备一至十四条情形之一的，同时将认定供应商施工响应文件无效或不确定其为成交供应商，或者取消成交资格或认定成交无效。</w:t>
      </w:r>
    </w:p>
    <w:p>
      <w:pPr>
        <w:pStyle w:val="5"/>
        <w:snapToGrid w:val="0"/>
        <w:spacing w:line="640" w:lineRule="exact"/>
        <w:ind w:left="0" w:firstLine="0"/>
        <w:rPr>
          <w:color w:val="auto"/>
          <w:highlight w:val="none"/>
        </w:rPr>
      </w:pPr>
      <w:bookmarkStart w:id="55" w:name="_Toc314574786"/>
      <w:r>
        <w:rPr>
          <w:rFonts w:hint="eastAsia"/>
          <w:color w:val="auto"/>
          <w:highlight w:val="none"/>
        </w:rPr>
        <w:t>保密</w:t>
      </w:r>
      <w:bookmarkEnd w:id="55"/>
    </w:p>
    <w:p>
      <w:pPr>
        <w:pStyle w:val="16"/>
        <w:numPr>
          <w:ilvl w:val="0"/>
          <w:numId w:val="25"/>
        </w:numPr>
        <w:tabs>
          <w:tab w:val="left" w:pos="1134"/>
        </w:tabs>
        <w:snapToGrid w:val="0"/>
        <w:spacing w:line="640" w:lineRule="exact"/>
        <w:ind w:left="0" w:firstLine="567" w:firstLineChars="0"/>
        <w:rPr>
          <w:rFonts w:ascii="宋体" w:hAnsi="宋体"/>
          <w:color w:val="auto"/>
          <w:sz w:val="28"/>
          <w:szCs w:val="28"/>
          <w:highlight w:val="none"/>
        </w:rPr>
      </w:pPr>
      <w:r>
        <w:rPr>
          <w:rFonts w:hint="eastAsia" w:ascii="宋体" w:hAnsi="宋体"/>
          <w:color w:val="auto"/>
          <w:sz w:val="28"/>
          <w:szCs w:val="28"/>
          <w:highlight w:val="none"/>
        </w:rPr>
        <w:t>不得透露有关供应商的任何情况。</w:t>
      </w:r>
    </w:p>
    <w:p>
      <w:pPr>
        <w:pStyle w:val="16"/>
        <w:numPr>
          <w:ilvl w:val="0"/>
          <w:numId w:val="25"/>
        </w:numPr>
        <w:tabs>
          <w:tab w:val="left" w:pos="1134"/>
        </w:tabs>
        <w:snapToGrid w:val="0"/>
        <w:spacing w:line="640" w:lineRule="exact"/>
        <w:ind w:left="0" w:firstLine="567" w:firstLineChars="0"/>
        <w:rPr>
          <w:rFonts w:ascii="宋体" w:hAnsi="宋体"/>
          <w:color w:val="auto"/>
          <w:sz w:val="28"/>
          <w:szCs w:val="28"/>
          <w:highlight w:val="none"/>
        </w:rPr>
      </w:pPr>
      <w:r>
        <w:rPr>
          <w:rFonts w:hint="eastAsia" w:ascii="宋体" w:hAnsi="宋体"/>
          <w:color w:val="auto"/>
          <w:sz w:val="28"/>
          <w:szCs w:val="28"/>
          <w:highlight w:val="none"/>
        </w:rPr>
        <w:t>有关施工响应文件的审查、澄清、评估和比较以及合同授予意向等情况都不得对外透露。</w:t>
      </w:r>
    </w:p>
    <w:p>
      <w:pPr>
        <w:pStyle w:val="5"/>
        <w:snapToGrid w:val="0"/>
        <w:spacing w:line="640" w:lineRule="exact"/>
        <w:ind w:left="0" w:firstLine="0"/>
        <w:rPr>
          <w:color w:val="auto"/>
          <w:highlight w:val="none"/>
        </w:rPr>
      </w:pPr>
      <w:r>
        <w:rPr>
          <w:rFonts w:hint="eastAsia"/>
          <w:color w:val="auto"/>
          <w:highlight w:val="none"/>
        </w:rPr>
        <w:t>回避</w:t>
      </w:r>
    </w:p>
    <w:p>
      <w:pPr>
        <w:pStyle w:val="42"/>
        <w:snapToGrid w:val="0"/>
        <w:spacing w:before="0" w:beforeAutospacing="0" w:after="0" w:afterAutospacing="0" w:line="640" w:lineRule="exact"/>
        <w:ind w:firstLine="560" w:firstLineChars="200"/>
        <w:rPr>
          <w:rFonts w:cs="Helvetica"/>
          <w:color w:val="auto"/>
          <w:sz w:val="28"/>
          <w:szCs w:val="28"/>
          <w:highlight w:val="none"/>
        </w:rPr>
      </w:pPr>
      <w:r>
        <w:rPr>
          <w:rFonts w:cs="Helvetica"/>
          <w:color w:val="auto"/>
          <w:sz w:val="28"/>
          <w:szCs w:val="28"/>
          <w:highlight w:val="none"/>
        </w:rPr>
        <w:t>在政府采购活动中，采购人员</w:t>
      </w:r>
      <w:r>
        <w:rPr>
          <w:rFonts w:hint="eastAsia" w:cs="Helvetica"/>
          <w:color w:val="auto"/>
          <w:sz w:val="28"/>
          <w:szCs w:val="28"/>
          <w:highlight w:val="none"/>
        </w:rPr>
        <w:t>（</w:t>
      </w:r>
      <w:r>
        <w:rPr>
          <w:color w:val="auto"/>
          <w:sz w:val="28"/>
          <w:szCs w:val="28"/>
          <w:highlight w:val="none"/>
        </w:rPr>
        <w:t>在政府采购活动中需要依法回避的采购人员包括采购人内部负责采购项目的具体经办工作人员和直接分管采购项目的负责人，以及采购代理机构负责采购项目的具体经办工作人员和直接分管采购活动的负责人</w:t>
      </w:r>
      <w:r>
        <w:rPr>
          <w:rFonts w:hint="eastAsia" w:cs="Helvetica"/>
          <w:color w:val="auto"/>
          <w:sz w:val="28"/>
          <w:szCs w:val="28"/>
          <w:highlight w:val="none"/>
        </w:rPr>
        <w:t>）</w:t>
      </w:r>
      <w:r>
        <w:rPr>
          <w:rFonts w:cs="Helvetica"/>
          <w:color w:val="auto"/>
          <w:sz w:val="28"/>
          <w:szCs w:val="28"/>
          <w:highlight w:val="none"/>
        </w:rPr>
        <w:t>及相关人员与供应商有下列利害关系之一的，应当回避：</w:t>
      </w:r>
    </w:p>
    <w:p>
      <w:pPr>
        <w:pStyle w:val="42"/>
        <w:snapToGrid w:val="0"/>
        <w:spacing w:before="0" w:beforeAutospacing="0" w:after="0" w:afterAutospacing="0" w:line="640" w:lineRule="exact"/>
        <w:rPr>
          <w:rFonts w:cs="Helvetica"/>
          <w:color w:val="auto"/>
          <w:sz w:val="28"/>
          <w:szCs w:val="28"/>
          <w:highlight w:val="none"/>
        </w:rPr>
      </w:pPr>
      <w:r>
        <w:rPr>
          <w:rFonts w:cs="Helvetica"/>
          <w:color w:val="auto"/>
          <w:sz w:val="28"/>
          <w:szCs w:val="28"/>
          <w:highlight w:val="none"/>
        </w:rPr>
        <w:t>　　（一）参加采购活动前3年内与供应商存在劳动关系；</w:t>
      </w:r>
    </w:p>
    <w:p>
      <w:pPr>
        <w:pStyle w:val="42"/>
        <w:snapToGrid w:val="0"/>
        <w:spacing w:before="0" w:beforeAutospacing="0" w:after="0" w:afterAutospacing="0" w:line="640" w:lineRule="exact"/>
        <w:rPr>
          <w:rFonts w:cs="Helvetica"/>
          <w:color w:val="auto"/>
          <w:sz w:val="28"/>
          <w:szCs w:val="28"/>
          <w:highlight w:val="none"/>
        </w:rPr>
      </w:pPr>
      <w:r>
        <w:rPr>
          <w:rFonts w:cs="Helvetica"/>
          <w:color w:val="auto"/>
          <w:sz w:val="28"/>
          <w:szCs w:val="28"/>
          <w:highlight w:val="none"/>
        </w:rPr>
        <w:t>　　（二）参加采购活动前3年内担任供应商的董事、监事；</w:t>
      </w:r>
    </w:p>
    <w:p>
      <w:pPr>
        <w:pStyle w:val="42"/>
        <w:snapToGrid w:val="0"/>
        <w:spacing w:before="0" w:beforeAutospacing="0" w:after="0" w:afterAutospacing="0" w:line="640" w:lineRule="exact"/>
        <w:rPr>
          <w:rFonts w:cs="Helvetica"/>
          <w:color w:val="auto"/>
          <w:sz w:val="28"/>
          <w:szCs w:val="28"/>
          <w:highlight w:val="none"/>
        </w:rPr>
      </w:pPr>
      <w:r>
        <w:rPr>
          <w:rFonts w:cs="Helvetica"/>
          <w:color w:val="auto"/>
          <w:sz w:val="28"/>
          <w:szCs w:val="28"/>
          <w:highlight w:val="none"/>
        </w:rPr>
        <w:t>　　（三）参加采购活动前3年内是供应商的控股股东或者实际控制人；</w:t>
      </w:r>
    </w:p>
    <w:p>
      <w:pPr>
        <w:pStyle w:val="42"/>
        <w:snapToGrid w:val="0"/>
        <w:spacing w:before="0" w:beforeAutospacing="0" w:after="0" w:afterAutospacing="0" w:line="640" w:lineRule="exact"/>
        <w:rPr>
          <w:rFonts w:cs="Helvetica"/>
          <w:color w:val="auto"/>
          <w:sz w:val="28"/>
          <w:szCs w:val="28"/>
          <w:highlight w:val="none"/>
        </w:rPr>
      </w:pPr>
      <w:r>
        <w:rPr>
          <w:rFonts w:cs="Helvetica"/>
          <w:color w:val="auto"/>
          <w:sz w:val="28"/>
          <w:szCs w:val="28"/>
          <w:highlight w:val="none"/>
        </w:rPr>
        <w:t>　　（四）与供应商的法定代表人或者负责人有夫妻、直系血亲、三代以内旁系血亲或者近姻亲关系；</w:t>
      </w:r>
    </w:p>
    <w:p>
      <w:pPr>
        <w:pStyle w:val="42"/>
        <w:snapToGrid w:val="0"/>
        <w:spacing w:before="0" w:beforeAutospacing="0" w:after="0" w:afterAutospacing="0" w:line="640" w:lineRule="exact"/>
        <w:rPr>
          <w:rFonts w:cs="Helvetica"/>
          <w:color w:val="auto"/>
          <w:sz w:val="28"/>
          <w:szCs w:val="28"/>
          <w:highlight w:val="none"/>
        </w:rPr>
      </w:pPr>
      <w:r>
        <w:rPr>
          <w:rFonts w:cs="Helvetica"/>
          <w:color w:val="auto"/>
          <w:sz w:val="28"/>
          <w:szCs w:val="28"/>
          <w:highlight w:val="none"/>
        </w:rPr>
        <w:t>　　（五）与供应商有其他可能影响政府采购活动公平、公正进行的关系。</w:t>
      </w:r>
    </w:p>
    <w:p>
      <w:pPr>
        <w:snapToGrid w:val="0"/>
        <w:spacing w:line="640" w:lineRule="exact"/>
        <w:ind w:firstLine="565" w:firstLineChars="202"/>
        <w:rPr>
          <w:rFonts w:cs="Helvetica"/>
          <w:color w:val="auto"/>
          <w:sz w:val="28"/>
          <w:szCs w:val="28"/>
          <w:highlight w:val="none"/>
        </w:rPr>
      </w:pPr>
      <w:r>
        <w:rPr>
          <w:rFonts w:hint="eastAsia" w:cs="Helvetica"/>
          <w:color w:val="auto"/>
          <w:sz w:val="28"/>
          <w:szCs w:val="28"/>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4"/>
        <w:snapToGrid w:val="0"/>
        <w:spacing w:line="640" w:lineRule="exact"/>
        <w:rPr>
          <w:color w:val="auto"/>
          <w:highlight w:val="none"/>
        </w:rPr>
      </w:pPr>
      <w:bookmarkStart w:id="56" w:name="_Toc405886181"/>
      <w:bookmarkStart w:id="57" w:name="_Toc16280"/>
      <w:r>
        <w:rPr>
          <w:rFonts w:hint="eastAsia"/>
          <w:color w:val="auto"/>
          <w:highlight w:val="none"/>
        </w:rPr>
        <w:t>询问、质疑</w:t>
      </w:r>
      <w:bookmarkEnd w:id="56"/>
      <w:r>
        <w:rPr>
          <w:rFonts w:hint="eastAsia"/>
          <w:color w:val="auto"/>
          <w:highlight w:val="none"/>
        </w:rPr>
        <w:t>和投诉</w:t>
      </w:r>
      <w:bookmarkEnd w:id="57"/>
    </w:p>
    <w:p>
      <w:pPr>
        <w:pStyle w:val="29"/>
        <w:numPr>
          <w:ilvl w:val="0"/>
          <w:numId w:val="26"/>
        </w:numPr>
        <w:tabs>
          <w:tab w:val="left" w:pos="1134"/>
        </w:tabs>
        <w:snapToGrid w:val="0"/>
        <w:spacing w:line="640" w:lineRule="exact"/>
        <w:ind w:left="0" w:leftChars="0" w:firstLine="420" w:firstLineChars="0"/>
        <w:rPr>
          <w:rFonts w:ascii="宋体" w:hAnsi="宋体" w:cs="宋体"/>
          <w:color w:val="auto"/>
          <w:sz w:val="28"/>
          <w:szCs w:val="28"/>
          <w:highlight w:val="none"/>
        </w:rPr>
      </w:pPr>
      <w:r>
        <w:rPr>
          <w:rFonts w:hint="eastAsia" w:ascii="宋体" w:hAnsi="宋体" w:cs="宋体"/>
          <w:color w:val="auto"/>
          <w:sz w:val="28"/>
          <w:szCs w:val="28"/>
          <w:highlight w:val="none"/>
        </w:rPr>
        <w:t>供应商认为</w:t>
      </w:r>
      <w:r>
        <w:rPr>
          <w:rFonts w:hint="eastAsia" w:ascii="宋体" w:hAnsi="宋体" w:cs="宋体"/>
          <w:color w:val="auto"/>
          <w:sz w:val="28"/>
          <w:szCs w:val="28"/>
          <w:highlight w:val="none"/>
          <w:lang w:eastAsia="zh-CN"/>
        </w:rPr>
        <w:t>磋商</w:t>
      </w:r>
      <w:r>
        <w:rPr>
          <w:rFonts w:hint="eastAsia" w:ascii="宋体" w:hAnsi="宋体" w:cs="宋体"/>
          <w:color w:val="auto"/>
          <w:sz w:val="28"/>
          <w:szCs w:val="28"/>
          <w:highlight w:val="none"/>
        </w:rPr>
        <w:t>文件、</w:t>
      </w:r>
      <w:r>
        <w:rPr>
          <w:rFonts w:hint="eastAsia" w:ascii="宋体" w:hAnsi="宋体" w:cs="宋体"/>
          <w:color w:val="auto"/>
          <w:sz w:val="28"/>
          <w:szCs w:val="28"/>
          <w:highlight w:val="none"/>
          <w:lang w:eastAsia="zh-CN"/>
        </w:rPr>
        <w:t>磋商</w:t>
      </w:r>
      <w:r>
        <w:rPr>
          <w:rFonts w:hint="eastAsia" w:ascii="宋体" w:hAnsi="宋体" w:cs="宋体"/>
          <w:color w:val="auto"/>
          <w:sz w:val="28"/>
          <w:szCs w:val="28"/>
          <w:highlight w:val="none"/>
        </w:rPr>
        <w:t>过程和成交结果使自己的合法权益受到损害的，可以依法进行质疑。</w:t>
      </w:r>
    </w:p>
    <w:p>
      <w:pPr>
        <w:pStyle w:val="29"/>
        <w:numPr>
          <w:ilvl w:val="0"/>
          <w:numId w:val="26"/>
        </w:numPr>
        <w:tabs>
          <w:tab w:val="left" w:pos="1134"/>
        </w:tabs>
        <w:snapToGrid w:val="0"/>
        <w:spacing w:line="640" w:lineRule="exact"/>
        <w:ind w:left="0" w:leftChars="0" w:firstLine="420" w:firstLineChars="0"/>
        <w:rPr>
          <w:rFonts w:ascii="宋体" w:hAnsi="宋体" w:cs="宋体"/>
          <w:color w:val="auto"/>
          <w:sz w:val="28"/>
          <w:szCs w:val="28"/>
          <w:highlight w:val="none"/>
        </w:rPr>
      </w:pPr>
      <w:r>
        <w:rPr>
          <w:rFonts w:hint="eastAsia" w:ascii="宋体" w:hAnsi="宋体" w:eastAsiaTheme="minorEastAsia" w:cstheme="minorBidi"/>
          <w:color w:val="auto"/>
          <w:sz w:val="28"/>
          <w:szCs w:val="28"/>
          <w:highlight w:val="none"/>
        </w:rPr>
        <w:t>询问、质疑、投诉的接收和处理严格按照《中华人民共和国</w:t>
      </w:r>
      <w:r>
        <w:rPr>
          <w:rFonts w:hint="eastAsia" w:ascii="宋体" w:hAnsi="宋体"/>
          <w:color w:val="auto"/>
          <w:sz w:val="28"/>
          <w:szCs w:val="28"/>
          <w:highlight w:val="none"/>
        </w:rPr>
        <w:t>政府采购法》《中华人民共和国政府采购法实施条例》和《政府采购质疑和投诉办法》（财政部94号令）的规定办理。</w:t>
      </w:r>
    </w:p>
    <w:p>
      <w:pPr>
        <w:pStyle w:val="29"/>
        <w:numPr>
          <w:ilvl w:val="0"/>
          <w:numId w:val="26"/>
        </w:numPr>
        <w:tabs>
          <w:tab w:val="left" w:pos="1134"/>
        </w:tabs>
        <w:snapToGrid w:val="0"/>
        <w:spacing w:line="640" w:lineRule="exact"/>
        <w:ind w:left="0" w:leftChars="0" w:firstLine="420" w:firstLineChars="0"/>
        <w:rPr>
          <w:rFonts w:ascii="宋体" w:hAnsi="宋体"/>
          <w:color w:val="auto"/>
          <w:sz w:val="28"/>
          <w:szCs w:val="28"/>
          <w:highlight w:val="none"/>
        </w:rPr>
      </w:pPr>
      <w:r>
        <w:rPr>
          <w:rFonts w:hint="eastAsia" w:ascii="宋体" w:hAnsi="宋体"/>
          <w:color w:val="auto"/>
          <w:sz w:val="28"/>
          <w:szCs w:val="28"/>
          <w:highlight w:val="none"/>
        </w:rPr>
        <w:t>供应商询问、质疑的对象</w:t>
      </w:r>
    </w:p>
    <w:p>
      <w:pPr>
        <w:pStyle w:val="29"/>
        <w:tabs>
          <w:tab w:val="left" w:pos="1134"/>
          <w:tab w:val="left" w:pos="1276"/>
        </w:tabs>
        <w:snapToGrid w:val="0"/>
        <w:spacing w:line="640" w:lineRule="exact"/>
        <w:ind w:firstLineChars="0"/>
        <w:rPr>
          <w:rFonts w:ascii="宋体" w:hAnsi="宋体"/>
          <w:color w:val="auto"/>
          <w:sz w:val="28"/>
          <w:szCs w:val="28"/>
          <w:highlight w:val="none"/>
        </w:rPr>
      </w:pPr>
      <w:r>
        <w:rPr>
          <w:rFonts w:hint="eastAsia" w:ascii="宋体" w:hAnsi="宋体"/>
          <w:color w:val="auto"/>
          <w:sz w:val="28"/>
          <w:szCs w:val="28"/>
          <w:highlight w:val="none"/>
        </w:rPr>
        <w:t>（一）供应商对</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文件中供应商参加本次政府采购活动应当具备的条件、项目技术、服务</w:t>
      </w:r>
      <w:r>
        <w:rPr>
          <w:rFonts w:hint="eastAsia" w:ascii="宋体" w:hAnsi="宋体"/>
          <w:color w:val="auto"/>
          <w:sz w:val="28"/>
          <w:szCs w:val="28"/>
          <w:highlight w:val="none"/>
          <w:lang w:eastAsia="zh-CN"/>
        </w:rPr>
        <w:t>、商务</w:t>
      </w:r>
      <w:r>
        <w:rPr>
          <w:rFonts w:hint="eastAsia" w:ascii="宋体" w:hAnsi="宋体"/>
          <w:color w:val="auto"/>
          <w:sz w:val="28"/>
          <w:szCs w:val="28"/>
          <w:highlight w:val="none"/>
        </w:rPr>
        <w:t>及其他要求</w:t>
      </w:r>
      <w:r>
        <w:rPr>
          <w:rFonts w:hint="eastAsia" w:ascii="宋体" w:hAnsi="宋体"/>
          <w:color w:val="auto"/>
          <w:sz w:val="28"/>
          <w:szCs w:val="28"/>
          <w:highlight w:val="none"/>
          <w:lang w:eastAsia="zh-CN"/>
        </w:rPr>
        <w:t>，评分细则及标准</w:t>
      </w:r>
      <w:r>
        <w:rPr>
          <w:rFonts w:hint="eastAsia" w:ascii="宋体" w:hAnsi="宋体"/>
          <w:color w:val="auto"/>
          <w:sz w:val="28"/>
          <w:szCs w:val="28"/>
          <w:highlight w:val="none"/>
        </w:rPr>
        <w:t>提出询问或质疑的，应向采购人提出；</w:t>
      </w:r>
    </w:p>
    <w:p>
      <w:pPr>
        <w:pStyle w:val="29"/>
        <w:tabs>
          <w:tab w:val="left" w:pos="1134"/>
          <w:tab w:val="left" w:pos="1276"/>
        </w:tabs>
        <w:snapToGrid w:val="0"/>
        <w:spacing w:line="640" w:lineRule="exact"/>
        <w:ind w:firstLineChars="0"/>
        <w:rPr>
          <w:rFonts w:ascii="宋体" w:hAnsi="宋体"/>
          <w:color w:val="auto"/>
          <w:sz w:val="28"/>
          <w:szCs w:val="28"/>
          <w:highlight w:val="none"/>
        </w:rPr>
      </w:pPr>
      <w:r>
        <w:rPr>
          <w:rFonts w:hint="eastAsia" w:ascii="宋体" w:hAnsi="宋体"/>
          <w:color w:val="auto"/>
          <w:sz w:val="28"/>
          <w:szCs w:val="28"/>
          <w:highlight w:val="none"/>
        </w:rPr>
        <w:t>（二）供应商对除上述</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文件中的其他内容、采购过程及成交结果提出询问或质疑的，应向</w:t>
      </w:r>
      <w:r>
        <w:rPr>
          <w:rFonts w:hint="eastAsia" w:ascii="宋体" w:hAnsi="宋体"/>
          <w:color w:val="auto"/>
          <w:sz w:val="28"/>
          <w:szCs w:val="28"/>
          <w:highlight w:val="none"/>
          <w:lang w:eastAsia="zh-CN"/>
        </w:rPr>
        <w:t>区采购中心</w:t>
      </w:r>
      <w:r>
        <w:rPr>
          <w:rFonts w:hint="eastAsia" w:ascii="宋体" w:hAnsi="宋体"/>
          <w:color w:val="auto"/>
          <w:sz w:val="28"/>
          <w:szCs w:val="28"/>
          <w:highlight w:val="none"/>
        </w:rPr>
        <w:t>提出。</w:t>
      </w:r>
    </w:p>
    <w:p>
      <w:pPr>
        <w:pStyle w:val="29"/>
        <w:numPr>
          <w:ilvl w:val="0"/>
          <w:numId w:val="26"/>
        </w:numPr>
        <w:tabs>
          <w:tab w:val="left" w:pos="1134"/>
        </w:tabs>
        <w:snapToGrid w:val="0"/>
        <w:spacing w:line="640" w:lineRule="exact"/>
        <w:ind w:left="0" w:leftChars="0" w:firstLine="420" w:firstLineChars="0"/>
        <w:rPr>
          <w:rFonts w:ascii="宋体" w:hAnsi="宋体"/>
          <w:color w:val="auto"/>
          <w:sz w:val="28"/>
          <w:szCs w:val="28"/>
          <w:highlight w:val="none"/>
        </w:rPr>
      </w:pPr>
      <w:r>
        <w:rPr>
          <w:rFonts w:hint="eastAsia" w:ascii="宋体" w:hAnsi="宋体"/>
          <w:color w:val="auto"/>
          <w:sz w:val="28"/>
          <w:szCs w:val="28"/>
          <w:highlight w:val="none"/>
        </w:rPr>
        <w:t>供应商提出的询问，应当明确询问事项，如以书面形式提出的，应由供应商签字并加盖公章。</w:t>
      </w:r>
    </w:p>
    <w:p>
      <w:pPr>
        <w:pStyle w:val="29"/>
        <w:numPr>
          <w:ilvl w:val="0"/>
          <w:numId w:val="26"/>
        </w:numPr>
        <w:tabs>
          <w:tab w:val="left" w:pos="1134"/>
        </w:tabs>
        <w:snapToGrid w:val="0"/>
        <w:spacing w:line="640" w:lineRule="exact"/>
        <w:ind w:left="0" w:leftChars="0" w:firstLine="420" w:firstLineChars="0"/>
        <w:rPr>
          <w:rFonts w:ascii="宋体" w:hAnsi="宋体"/>
          <w:color w:val="auto"/>
          <w:sz w:val="28"/>
          <w:szCs w:val="28"/>
          <w:highlight w:val="none"/>
        </w:rPr>
      </w:pPr>
      <w:r>
        <w:rPr>
          <w:rFonts w:hint="eastAsia" w:ascii="宋体" w:hAnsi="宋体"/>
          <w:color w:val="auto"/>
          <w:sz w:val="28"/>
          <w:szCs w:val="28"/>
          <w:highlight w:val="none"/>
        </w:rPr>
        <w:t>供应商应在法定质疑期内一次性提出针对同一采购程序环节的质疑。</w:t>
      </w:r>
    </w:p>
    <w:p>
      <w:pPr>
        <w:pStyle w:val="29"/>
        <w:numPr>
          <w:ilvl w:val="0"/>
          <w:numId w:val="26"/>
        </w:numPr>
        <w:tabs>
          <w:tab w:val="left" w:pos="1134"/>
        </w:tabs>
        <w:snapToGrid w:val="0"/>
        <w:spacing w:line="640" w:lineRule="exact"/>
        <w:ind w:left="0" w:leftChars="0" w:firstLine="420" w:firstLineChars="0"/>
        <w:rPr>
          <w:rFonts w:ascii="宋体" w:hAnsi="宋体"/>
          <w:color w:val="auto"/>
          <w:sz w:val="28"/>
          <w:szCs w:val="28"/>
          <w:highlight w:val="none"/>
        </w:rPr>
      </w:pPr>
      <w:r>
        <w:rPr>
          <w:rFonts w:hint="eastAsia" w:ascii="宋体" w:hAnsi="宋体"/>
          <w:color w:val="auto"/>
          <w:sz w:val="28"/>
          <w:szCs w:val="28"/>
          <w:highlight w:val="none"/>
        </w:rPr>
        <w:t>供应商提出质疑时应当准备的资料</w:t>
      </w:r>
    </w:p>
    <w:p>
      <w:pPr>
        <w:snapToGrid w:val="0"/>
        <w:spacing w:line="640" w:lineRule="exact"/>
        <w:ind w:firstLine="420" w:firstLineChars="150"/>
        <w:rPr>
          <w:rFonts w:ascii="宋体" w:hAnsi="宋体"/>
          <w:color w:val="auto"/>
          <w:sz w:val="28"/>
          <w:szCs w:val="28"/>
          <w:highlight w:val="none"/>
        </w:rPr>
      </w:pPr>
      <w:r>
        <w:rPr>
          <w:rFonts w:hint="eastAsia" w:ascii="宋体" w:hAnsi="宋体"/>
          <w:color w:val="auto"/>
          <w:sz w:val="28"/>
          <w:szCs w:val="28"/>
          <w:highlight w:val="none"/>
        </w:rPr>
        <w:t>（一）</w:t>
      </w:r>
      <w:r>
        <w:rPr>
          <w:rFonts w:ascii="宋体" w:hAnsi="宋体"/>
          <w:color w:val="auto"/>
          <w:sz w:val="28"/>
          <w:szCs w:val="28"/>
          <w:highlight w:val="none"/>
        </w:rPr>
        <w:t>质疑书1份</w:t>
      </w:r>
      <w:r>
        <w:rPr>
          <w:rFonts w:hint="eastAsia" w:ascii="宋体" w:hAnsi="宋体"/>
          <w:color w:val="auto"/>
          <w:sz w:val="28"/>
          <w:szCs w:val="28"/>
          <w:highlight w:val="none"/>
        </w:rPr>
        <w:t>（加盖公章）；</w:t>
      </w:r>
    </w:p>
    <w:p>
      <w:pPr>
        <w:snapToGrid w:val="0"/>
        <w:spacing w:line="640" w:lineRule="exact"/>
        <w:ind w:firstLine="420" w:firstLineChars="150"/>
        <w:rPr>
          <w:rFonts w:ascii="宋体" w:hAnsi="宋体"/>
          <w:color w:val="auto"/>
          <w:sz w:val="28"/>
          <w:szCs w:val="28"/>
          <w:highlight w:val="none"/>
        </w:rPr>
      </w:pPr>
      <w:r>
        <w:rPr>
          <w:rFonts w:hint="eastAsia" w:ascii="宋体" w:hAnsi="宋体"/>
          <w:color w:val="auto"/>
          <w:sz w:val="28"/>
          <w:szCs w:val="28"/>
          <w:highlight w:val="none"/>
        </w:rPr>
        <w:t>（二）</w:t>
      </w:r>
      <w:r>
        <w:rPr>
          <w:rFonts w:hint="eastAsia" w:cs="Helvetica"/>
          <w:color w:val="auto"/>
          <w:sz w:val="28"/>
          <w:szCs w:val="28"/>
          <w:highlight w:val="none"/>
        </w:rPr>
        <w:t>委托代理人办理质疑事宜的需提供：法定代表人授权委托书1份（加盖公章）</w:t>
      </w:r>
      <w:r>
        <w:rPr>
          <w:rFonts w:hint="eastAsia" w:ascii="宋体" w:hAnsi="宋体"/>
          <w:color w:val="auto"/>
          <w:sz w:val="28"/>
          <w:szCs w:val="28"/>
          <w:highlight w:val="none"/>
        </w:rPr>
        <w:t>；</w:t>
      </w:r>
    </w:p>
    <w:p>
      <w:pPr>
        <w:snapToGrid w:val="0"/>
        <w:spacing w:line="640" w:lineRule="exact"/>
        <w:ind w:firstLine="420" w:firstLineChars="150"/>
        <w:rPr>
          <w:rFonts w:ascii="宋体" w:hAnsi="宋体"/>
          <w:color w:val="auto"/>
          <w:sz w:val="28"/>
          <w:szCs w:val="28"/>
          <w:highlight w:val="none"/>
        </w:rPr>
      </w:pPr>
      <w:r>
        <w:rPr>
          <w:rFonts w:hint="eastAsia" w:ascii="宋体" w:hAnsi="宋体"/>
          <w:color w:val="auto"/>
          <w:sz w:val="28"/>
          <w:szCs w:val="28"/>
          <w:highlight w:val="none"/>
        </w:rPr>
        <w:t>（三）</w:t>
      </w:r>
      <w:r>
        <w:rPr>
          <w:rFonts w:hint="eastAsia" w:cs="Helvetica"/>
          <w:color w:val="auto"/>
          <w:sz w:val="28"/>
          <w:szCs w:val="28"/>
          <w:highlight w:val="none"/>
        </w:rPr>
        <w:t>营业执照或法人证书复印件1份</w:t>
      </w:r>
      <w:r>
        <w:rPr>
          <w:rFonts w:hint="eastAsia" w:ascii="宋体" w:hAnsi="宋体"/>
          <w:color w:val="auto"/>
          <w:sz w:val="28"/>
          <w:szCs w:val="28"/>
          <w:highlight w:val="none"/>
        </w:rPr>
        <w:t>；</w:t>
      </w:r>
    </w:p>
    <w:p>
      <w:pPr>
        <w:snapToGrid w:val="0"/>
        <w:spacing w:line="640" w:lineRule="exact"/>
        <w:ind w:firstLine="420" w:firstLineChars="150"/>
        <w:rPr>
          <w:rFonts w:ascii="宋体" w:hAnsi="宋体"/>
          <w:color w:val="auto"/>
          <w:sz w:val="28"/>
          <w:szCs w:val="28"/>
          <w:highlight w:val="none"/>
        </w:rPr>
      </w:pPr>
      <w:r>
        <w:rPr>
          <w:rFonts w:hint="eastAsia" w:ascii="宋体" w:hAnsi="宋体"/>
          <w:color w:val="auto"/>
          <w:sz w:val="28"/>
          <w:szCs w:val="28"/>
          <w:highlight w:val="none"/>
        </w:rPr>
        <w:t>（四）法定代表人身份证复印件</w:t>
      </w:r>
      <w:r>
        <w:rPr>
          <w:rFonts w:ascii="宋体" w:hAnsi="宋体"/>
          <w:color w:val="auto"/>
          <w:sz w:val="28"/>
          <w:szCs w:val="28"/>
          <w:highlight w:val="none"/>
        </w:rPr>
        <w:t>1份；</w:t>
      </w:r>
    </w:p>
    <w:p>
      <w:pPr>
        <w:snapToGrid w:val="0"/>
        <w:spacing w:line="640" w:lineRule="exact"/>
        <w:ind w:firstLine="420" w:firstLineChars="150"/>
        <w:rPr>
          <w:rFonts w:ascii="宋体" w:hAnsi="宋体"/>
          <w:color w:val="auto"/>
          <w:sz w:val="28"/>
          <w:szCs w:val="28"/>
          <w:highlight w:val="none"/>
        </w:rPr>
      </w:pPr>
      <w:r>
        <w:rPr>
          <w:rFonts w:hint="eastAsia" w:ascii="宋体" w:hAnsi="宋体"/>
          <w:color w:val="auto"/>
          <w:sz w:val="28"/>
          <w:szCs w:val="28"/>
          <w:highlight w:val="none"/>
        </w:rPr>
        <w:t>（五）委托代理人身份证复印件</w:t>
      </w:r>
      <w:r>
        <w:rPr>
          <w:rFonts w:ascii="宋体" w:hAnsi="宋体"/>
          <w:color w:val="auto"/>
          <w:sz w:val="28"/>
          <w:szCs w:val="28"/>
          <w:highlight w:val="none"/>
        </w:rPr>
        <w:t>1份（委托代理人办理质疑事宜的需提供）；</w:t>
      </w:r>
    </w:p>
    <w:p>
      <w:pPr>
        <w:snapToGrid w:val="0"/>
        <w:spacing w:line="640" w:lineRule="exact"/>
        <w:ind w:firstLine="420" w:firstLineChars="150"/>
        <w:rPr>
          <w:rFonts w:ascii="宋体" w:hAnsi="宋体"/>
          <w:color w:val="auto"/>
          <w:sz w:val="28"/>
          <w:szCs w:val="28"/>
          <w:highlight w:val="none"/>
        </w:rPr>
      </w:pPr>
      <w:r>
        <w:rPr>
          <w:rFonts w:hint="eastAsia" w:ascii="宋体" w:hAnsi="宋体"/>
          <w:color w:val="auto"/>
          <w:sz w:val="28"/>
          <w:szCs w:val="28"/>
          <w:highlight w:val="none"/>
        </w:rPr>
        <w:t>（六）针对质疑事项必要的证明材料。</w:t>
      </w:r>
    </w:p>
    <w:p>
      <w:pPr>
        <w:pStyle w:val="29"/>
        <w:numPr>
          <w:ilvl w:val="0"/>
          <w:numId w:val="0"/>
        </w:numPr>
        <w:tabs>
          <w:tab w:val="left" w:pos="1134"/>
        </w:tabs>
        <w:snapToGrid w:val="0"/>
        <w:spacing w:line="640" w:lineRule="exact"/>
        <w:ind w:left="0" w:leftChars="0" w:firstLine="420" w:firstLineChars="150"/>
        <w:rPr>
          <w:color w:val="auto"/>
          <w:highlight w:val="none"/>
        </w:rPr>
      </w:pPr>
      <w:r>
        <w:rPr>
          <w:rFonts w:hint="eastAsia" w:ascii="宋体" w:hAnsi="宋体"/>
          <w:color w:val="auto"/>
          <w:sz w:val="28"/>
          <w:szCs w:val="28"/>
          <w:highlight w:val="none"/>
          <w:lang w:eastAsia="zh-CN"/>
        </w:rPr>
        <w:t>七、</w:t>
      </w:r>
      <w:r>
        <w:rPr>
          <w:rFonts w:hint="eastAsia" w:ascii="宋体" w:hAnsi="宋体"/>
          <w:color w:val="auto"/>
          <w:sz w:val="28"/>
          <w:szCs w:val="28"/>
          <w:highlight w:val="none"/>
        </w:rPr>
        <w:t>供应商对采购人、集中代理机构的质疑答复不满意，或者采购人、集中代理机构未在规定期限内作出答复的，供应商可以在答复期满后</w:t>
      </w:r>
      <w:r>
        <w:rPr>
          <w:rFonts w:ascii="宋体" w:hAnsi="宋体"/>
          <w:color w:val="auto"/>
          <w:sz w:val="28"/>
          <w:szCs w:val="28"/>
          <w:highlight w:val="none"/>
        </w:rPr>
        <w:t>15个工作日内向同级财政部门提起投诉。</w:t>
      </w:r>
    </w:p>
    <w:p>
      <w:pPr>
        <w:pStyle w:val="4"/>
        <w:snapToGrid w:val="0"/>
        <w:spacing w:line="640" w:lineRule="exact"/>
        <w:rPr>
          <w:color w:val="auto"/>
          <w:highlight w:val="none"/>
        </w:rPr>
      </w:pPr>
      <w:bookmarkStart w:id="58" w:name="_Toc376425021"/>
      <w:bookmarkEnd w:id="58"/>
      <w:bookmarkStart w:id="59" w:name="_Toc375126477"/>
      <w:bookmarkStart w:id="60" w:name="_Toc9249"/>
      <w:r>
        <w:rPr>
          <w:rFonts w:hint="eastAsia"/>
          <w:color w:val="auto"/>
          <w:highlight w:val="none"/>
        </w:rPr>
        <w:t>中小企业信用担保融资</w:t>
      </w:r>
      <w:bookmarkEnd w:id="59"/>
      <w:bookmarkEnd w:id="60"/>
    </w:p>
    <w:p>
      <w:pPr>
        <w:widowControl w:val="0"/>
        <w:numPr>
          <w:ilvl w:val="2"/>
          <w:numId w:val="27"/>
        </w:numPr>
        <w:tabs>
          <w:tab w:val="left" w:pos="1134"/>
        </w:tabs>
        <w:snapToGrid w:val="0"/>
        <w:spacing w:line="640" w:lineRule="exact"/>
        <w:ind w:left="0" w:firstLine="560" w:firstLineChars="200"/>
        <w:jc w:val="both"/>
        <w:rPr>
          <w:rFonts w:ascii="宋体" w:hAnsi="宋体"/>
          <w:color w:val="auto"/>
          <w:sz w:val="28"/>
          <w:szCs w:val="28"/>
          <w:highlight w:val="none"/>
        </w:rPr>
      </w:pPr>
      <w:r>
        <w:rPr>
          <w:rFonts w:hint="eastAsia" w:ascii="宋体" w:hAnsi="宋体"/>
          <w:color w:val="auto"/>
          <w:sz w:val="28"/>
          <w:szCs w:val="28"/>
          <w:highlight w:val="none"/>
        </w:rPr>
        <w:t>参与本次采购活动成交的中小企业无需提供财产抵押或第三方担保，凭借政府采购合同可向融资机构申请融资。</w:t>
      </w:r>
    </w:p>
    <w:p>
      <w:pPr>
        <w:spacing w:line="360" w:lineRule="auto"/>
        <w:ind w:firstLine="565" w:firstLineChars="202"/>
        <w:rPr>
          <w:rFonts w:ascii="宋体" w:hAnsi="宋体"/>
          <w:color w:val="auto"/>
          <w:sz w:val="28"/>
          <w:szCs w:val="28"/>
          <w:highlight w:val="none"/>
        </w:rPr>
      </w:pPr>
      <w:r>
        <w:rPr>
          <w:rFonts w:hint="eastAsia" w:ascii="宋体" w:hAnsi="宋体"/>
          <w:color w:val="auto"/>
          <w:sz w:val="28"/>
          <w:szCs w:val="28"/>
          <w:highlight w:val="none"/>
          <w:lang w:eastAsia="zh-CN"/>
        </w:rPr>
        <w:t>二、</w:t>
      </w:r>
      <w:r>
        <w:rPr>
          <w:rFonts w:ascii="宋体" w:hAnsi="宋体"/>
          <w:color w:val="auto"/>
          <w:sz w:val="28"/>
          <w:szCs w:val="28"/>
          <w:highlight w:val="none"/>
        </w:rPr>
        <w:t>参加本次招标活动的中小企业供应商无需提供财产抵押或第三方担保，凭借政府采购合同可向融资机构申请融资。具体内容详见招标文件附件《四川省财政厅关于推进四川省政府采购供应商信用融资工作的通知》(川财采[2018]123号)和《成都市财政局 中国人民银行成都分行营业管理部关于印发〈成都市中小企业政府采购信用融资暂行办法〉和〈成都市级支持中小企业政府采购信用融资实施方案〉的通知》（成财采[2019]17号）</w:t>
      </w:r>
      <w:r>
        <w:rPr>
          <w:rFonts w:hint="eastAsia" w:ascii="宋体" w:hAnsi="宋体"/>
          <w:color w:val="auto"/>
          <w:sz w:val="28"/>
          <w:szCs w:val="28"/>
          <w:highlight w:val="none"/>
        </w:rPr>
        <w:t>和《成都市锦江区区财政局关于印发&lt;成都市锦江区支持中小企业政府采购信用融资实施方案&gt;的通知》（锦财发〔2019〕28号）和成都市锦江区政府采购信用融资机构名单（http://www.cdjinjiang.gov.cn/jjq/c133389/cgrz.shtml）见附件。</w:t>
      </w:r>
    </w:p>
    <w:p>
      <w:pPr>
        <w:pStyle w:val="4"/>
        <w:snapToGrid w:val="0"/>
        <w:spacing w:line="640" w:lineRule="exact"/>
        <w:rPr>
          <w:color w:val="auto"/>
          <w:highlight w:val="none"/>
        </w:rPr>
      </w:pPr>
      <w:bookmarkStart w:id="61" w:name="_Toc30726"/>
      <w:r>
        <w:rPr>
          <w:rFonts w:hint="eastAsia"/>
          <w:color w:val="auto"/>
          <w:highlight w:val="none"/>
        </w:rPr>
        <w:t>其他</w:t>
      </w:r>
      <w:bookmarkEnd w:id="61"/>
    </w:p>
    <w:p>
      <w:pPr>
        <w:tabs>
          <w:tab w:val="left" w:pos="1134"/>
        </w:tabs>
        <w:spacing w:after="200" w:line="600" w:lineRule="exact"/>
        <w:ind w:firstLine="484" w:firstLineChars="202"/>
        <w:rPr>
          <w:rFonts w:ascii="宋体" w:hAnsi="宋体"/>
          <w:color w:val="auto"/>
          <w:sz w:val="28"/>
          <w:szCs w:val="28"/>
          <w:highlight w:val="none"/>
        </w:rPr>
        <w:sectPr>
          <w:pgSz w:w="11906" w:h="16838"/>
          <w:pgMar w:top="1134" w:right="1274" w:bottom="1440" w:left="2138" w:header="851" w:footer="992" w:gutter="0"/>
          <w:cols w:space="720" w:num="1"/>
          <w:titlePg/>
          <w:docGrid w:type="lines" w:linePitch="312" w:charSpace="0"/>
        </w:sectPr>
      </w:pPr>
      <w:r>
        <w:rPr>
          <w:rFonts w:hint="eastAsia" w:ascii="仿宋" w:hAnsi="仿宋" w:eastAsia="仿宋"/>
          <w:color w:val="auto"/>
          <w:szCs w:val="21"/>
          <w:highlight w:val="none"/>
          <w:lang w:val="zh-CN"/>
        </w:rPr>
        <w:t>（实质性要求）</w:t>
      </w:r>
      <w:r>
        <w:rPr>
          <w:rFonts w:hint="eastAsia" w:ascii="宋体" w:hAnsi="宋体"/>
          <w:color w:val="auto"/>
          <w:sz w:val="28"/>
          <w:szCs w:val="28"/>
          <w:highlight w:val="none"/>
        </w:rPr>
        <w:t>国家或行业主管部门对工程项目的技术标准、质量标准等有强制性规定的，必须符合其要求。</w:t>
      </w:r>
    </w:p>
    <w:p>
      <w:pPr>
        <w:pStyle w:val="3"/>
        <w:numPr>
          <w:ilvl w:val="0"/>
          <w:numId w:val="1"/>
        </w:numPr>
        <w:snapToGrid w:val="0"/>
        <w:spacing w:before="0" w:after="0"/>
        <w:ind w:left="0" w:firstLine="0"/>
        <w:rPr>
          <w:color w:val="auto"/>
          <w:highlight w:val="none"/>
        </w:rPr>
      </w:pPr>
      <w:bookmarkStart w:id="62" w:name="_Toc10629"/>
      <w:r>
        <w:rPr>
          <w:rFonts w:hint="eastAsia"/>
          <w:color w:val="auto"/>
          <w:highlight w:val="none"/>
        </w:rPr>
        <w:t>施工响应文件格式</w:t>
      </w:r>
      <w:bookmarkEnd w:id="62"/>
    </w:p>
    <w:p>
      <w:pPr>
        <w:pStyle w:val="4"/>
        <w:snapToGrid w:val="0"/>
        <w:rPr>
          <w:color w:val="auto"/>
          <w:highlight w:val="none"/>
        </w:rPr>
      </w:pPr>
      <w:bookmarkStart w:id="63" w:name="_Toc14447"/>
      <w:bookmarkStart w:id="64" w:name="_Toc448403805"/>
      <w:bookmarkStart w:id="65" w:name="_Toc320698765"/>
      <w:r>
        <w:rPr>
          <w:rFonts w:hint="eastAsia"/>
          <w:color w:val="auto"/>
          <w:highlight w:val="none"/>
        </w:rPr>
        <w:t>施工响应文件格式</w:t>
      </w:r>
      <w:bookmarkEnd w:id="63"/>
      <w:bookmarkEnd w:id="64"/>
    </w:p>
    <w:p>
      <w:pPr>
        <w:pStyle w:val="5"/>
        <w:tabs>
          <w:tab w:val="left" w:pos="709"/>
        </w:tabs>
        <w:ind w:left="1135" w:hanging="1135"/>
        <w:jc w:val="left"/>
        <w:rPr>
          <w:color w:val="auto"/>
          <w:highlight w:val="none"/>
        </w:rPr>
      </w:pPr>
      <w:r>
        <w:rPr>
          <w:rFonts w:hint="eastAsia"/>
          <w:color w:val="auto"/>
          <w:highlight w:val="none"/>
        </w:rPr>
        <w:t>施工响应文件封面格式</w:t>
      </w:r>
    </w:p>
    <w:p>
      <w:pPr>
        <w:rPr>
          <w:rFonts w:hint="eastAsia"/>
          <w:color w:val="auto"/>
          <w:highlight w:val="none"/>
        </w:rPr>
      </w:pPr>
    </w:p>
    <w:p>
      <w:pPr>
        <w:spacing w:line="360" w:lineRule="auto"/>
        <w:jc w:val="center"/>
        <w:rPr>
          <w:rFonts w:hint="eastAsia" w:ascii="宋体" w:hAnsi="宋体"/>
          <w:color w:val="auto"/>
          <w:spacing w:val="78"/>
          <w:sz w:val="96"/>
          <w:szCs w:val="120"/>
          <w:highlight w:val="none"/>
        </w:rPr>
      </w:pPr>
    </w:p>
    <w:p>
      <w:pPr>
        <w:spacing w:line="360" w:lineRule="auto"/>
        <w:jc w:val="center"/>
        <w:rPr>
          <w:rFonts w:hint="eastAsia" w:ascii="宋体" w:hAnsi="宋体"/>
          <w:color w:val="auto"/>
          <w:spacing w:val="78"/>
          <w:sz w:val="96"/>
          <w:szCs w:val="120"/>
          <w:highlight w:val="none"/>
        </w:rPr>
      </w:pPr>
      <w:r>
        <w:rPr>
          <w:rFonts w:hint="eastAsia" w:ascii="宋体" w:hAnsi="宋体"/>
          <w:color w:val="auto"/>
          <w:spacing w:val="78"/>
          <w:sz w:val="96"/>
          <w:szCs w:val="120"/>
          <w:highlight w:val="none"/>
        </w:rPr>
        <w:t>施工响应文件</w:t>
      </w:r>
    </w:p>
    <w:p>
      <w:pPr>
        <w:pStyle w:val="2"/>
        <w:rPr>
          <w:rFonts w:hint="eastAsia" w:ascii="宋体" w:hAnsi="宋体"/>
          <w:color w:val="auto"/>
          <w:spacing w:val="78"/>
          <w:sz w:val="96"/>
          <w:szCs w:val="120"/>
          <w:highlight w:val="none"/>
        </w:rPr>
      </w:pPr>
    </w:p>
    <w:p>
      <w:pPr>
        <w:rPr>
          <w:rFonts w:hint="eastAsia"/>
          <w:color w:val="auto"/>
          <w:highlight w:val="none"/>
        </w:rPr>
      </w:pPr>
    </w:p>
    <w:p>
      <w:pPr>
        <w:rPr>
          <w:rFonts w:hint="eastAsia" w:ascii="宋体" w:hAnsi="宋体"/>
          <w:color w:val="auto"/>
          <w:spacing w:val="78"/>
          <w:sz w:val="96"/>
          <w:szCs w:val="120"/>
          <w:highlight w:val="none"/>
        </w:rPr>
      </w:pPr>
    </w:p>
    <w:p>
      <w:pPr>
        <w:pStyle w:val="2"/>
        <w:rPr>
          <w:rFonts w:hint="eastAsia"/>
          <w:color w:val="auto"/>
          <w:highlight w:val="none"/>
        </w:rPr>
      </w:pPr>
    </w:p>
    <w:p>
      <w:pPr>
        <w:snapToGrid w:val="0"/>
        <w:spacing w:line="360" w:lineRule="auto"/>
        <w:rPr>
          <w:rFonts w:ascii="宋体" w:hAnsi="宋体"/>
          <w:b/>
          <w:color w:val="auto"/>
          <w:sz w:val="28"/>
          <w:szCs w:val="28"/>
          <w:highlight w:val="none"/>
        </w:rPr>
      </w:pPr>
      <w:r>
        <w:rPr>
          <w:rFonts w:hint="eastAsia" w:ascii="宋体" w:hAnsi="宋体"/>
          <w:b/>
          <w:color w:val="auto"/>
          <w:sz w:val="28"/>
          <w:szCs w:val="28"/>
          <w:highlight w:val="none"/>
        </w:rPr>
        <w:t>项目名称：</w:t>
      </w:r>
      <w:r>
        <w:rPr>
          <w:rFonts w:hint="eastAsia" w:ascii="宋体" w:hAnsi="宋体"/>
          <w:b/>
          <w:color w:val="auto"/>
          <w:sz w:val="28"/>
          <w:szCs w:val="28"/>
          <w:highlight w:val="none"/>
          <w:lang w:eastAsia="zh-CN"/>
        </w:rPr>
        <w:t>成都市第二幼儿园督院园区食堂改造工程项目</w:t>
      </w:r>
    </w:p>
    <w:p>
      <w:pPr>
        <w:snapToGrid w:val="0"/>
        <w:spacing w:line="360" w:lineRule="auto"/>
        <w:rPr>
          <w:rFonts w:ascii="宋体" w:hAnsi="宋体"/>
          <w:b/>
          <w:color w:val="auto"/>
          <w:sz w:val="28"/>
          <w:szCs w:val="28"/>
          <w:highlight w:val="none"/>
        </w:rPr>
      </w:pPr>
      <w:r>
        <w:rPr>
          <w:rFonts w:hint="eastAsia" w:ascii="宋体" w:hAnsi="宋体"/>
          <w:b/>
          <w:color w:val="auto"/>
          <w:sz w:val="28"/>
          <w:highlight w:val="none"/>
        </w:rPr>
        <w:t>项目编号</w:t>
      </w:r>
      <w:r>
        <w:rPr>
          <w:rFonts w:hint="eastAsia" w:ascii="宋体" w:hAnsi="宋体"/>
          <w:b/>
          <w:color w:val="auto"/>
          <w:sz w:val="28"/>
          <w:szCs w:val="28"/>
          <w:highlight w:val="none"/>
        </w:rPr>
        <w:t>：</w:t>
      </w:r>
      <w:r>
        <w:rPr>
          <w:rFonts w:hint="eastAsia" w:ascii="宋体" w:hAnsi="宋体"/>
          <w:b/>
          <w:color w:val="auto"/>
          <w:sz w:val="28"/>
          <w:szCs w:val="28"/>
          <w:highlight w:val="none"/>
          <w:lang w:eastAsia="zh-CN"/>
        </w:rPr>
        <w:t>锦江政采（2021）A0011号</w:t>
      </w:r>
    </w:p>
    <w:p>
      <w:pPr>
        <w:spacing w:line="360" w:lineRule="auto"/>
        <w:ind w:firstLine="630" w:firstLineChars="196"/>
        <w:rPr>
          <w:rFonts w:hint="eastAsia" w:ascii="宋体" w:hAnsi="宋体"/>
          <w:b/>
          <w:bCs/>
          <w:color w:val="auto"/>
          <w:sz w:val="32"/>
          <w:szCs w:val="32"/>
          <w:highlight w:val="none"/>
        </w:rPr>
      </w:pPr>
    </w:p>
    <w:p>
      <w:pPr>
        <w:spacing w:line="360" w:lineRule="auto"/>
        <w:ind w:firstLine="630" w:firstLineChars="196"/>
        <w:rPr>
          <w:rFonts w:hint="eastAsia" w:ascii="宋体" w:hAnsi="宋体"/>
          <w:b/>
          <w:bCs/>
          <w:color w:val="auto"/>
          <w:sz w:val="32"/>
          <w:szCs w:val="32"/>
          <w:highlight w:val="none"/>
        </w:rPr>
      </w:pPr>
    </w:p>
    <w:p>
      <w:pPr>
        <w:spacing w:line="360" w:lineRule="auto"/>
        <w:ind w:firstLine="630" w:firstLineChars="196"/>
        <w:rPr>
          <w:rFonts w:hint="eastAsia" w:ascii="宋体" w:hAnsi="宋体"/>
          <w:b/>
          <w:bCs/>
          <w:color w:val="auto"/>
          <w:sz w:val="32"/>
          <w:szCs w:val="32"/>
          <w:highlight w:val="none"/>
        </w:rPr>
      </w:pPr>
    </w:p>
    <w:p>
      <w:pPr>
        <w:spacing w:line="360" w:lineRule="auto"/>
        <w:ind w:left="0" w:leftChars="0" w:firstLine="0" w:firstLineChars="0"/>
        <w:rPr>
          <w:rFonts w:ascii="宋体" w:hAnsi="宋体"/>
          <w:b/>
          <w:bCs/>
          <w:color w:val="auto"/>
          <w:sz w:val="32"/>
          <w:szCs w:val="32"/>
          <w:highlight w:val="none"/>
        </w:rPr>
      </w:pPr>
      <w:r>
        <w:rPr>
          <w:rFonts w:hint="eastAsia" w:ascii="宋体" w:hAnsi="宋体"/>
          <w:b/>
          <w:bCs/>
          <w:color w:val="auto"/>
          <w:sz w:val="32"/>
          <w:szCs w:val="32"/>
          <w:highlight w:val="none"/>
        </w:rPr>
        <w:t>供应商名称：XXXX</w:t>
      </w:r>
      <w:r>
        <w:rPr>
          <w:rFonts w:hint="eastAsia" w:ascii="宋体" w:hAnsi="宋体"/>
          <w:bCs/>
          <w:color w:val="auto"/>
          <w:sz w:val="28"/>
          <w:szCs w:val="28"/>
          <w:highlight w:val="none"/>
          <w:lang w:eastAsia="zh-CN"/>
        </w:rPr>
        <w:t>（加盖公章）</w:t>
      </w:r>
    </w:p>
    <w:p>
      <w:pPr>
        <w:spacing w:line="360" w:lineRule="auto"/>
        <w:ind w:left="0" w:leftChars="0" w:firstLine="0" w:firstLineChars="0"/>
        <w:rPr>
          <w:rFonts w:hint="eastAsia" w:ascii="宋体" w:hAnsi="宋体"/>
          <w:b/>
          <w:bCs/>
          <w:color w:val="auto"/>
          <w:sz w:val="32"/>
          <w:szCs w:val="32"/>
          <w:highlight w:val="none"/>
        </w:rPr>
      </w:pPr>
      <w:r>
        <w:rPr>
          <w:rFonts w:hint="eastAsia" w:ascii="宋体" w:hAnsi="宋体"/>
          <w:b/>
          <w:bCs/>
          <w:color w:val="auto"/>
          <w:sz w:val="32"/>
          <w:szCs w:val="32"/>
          <w:highlight w:val="none"/>
        </w:rPr>
        <w:t>日      期：202X年XX月XX日</w:t>
      </w:r>
    </w:p>
    <w:p>
      <w:pPr>
        <w:spacing w:line="360" w:lineRule="auto"/>
        <w:ind w:left="0" w:leftChars="0" w:firstLine="0" w:firstLineChars="0"/>
        <w:rPr>
          <w:rFonts w:hint="eastAsia" w:ascii="宋体" w:hAnsi="宋体"/>
          <w:b/>
          <w:bCs/>
          <w:color w:val="auto"/>
          <w:sz w:val="32"/>
          <w:szCs w:val="32"/>
          <w:highlight w:val="none"/>
        </w:rPr>
      </w:pPr>
      <w:r>
        <w:rPr>
          <w:rFonts w:hint="eastAsia" w:ascii="宋体" w:hAnsi="宋体"/>
          <w:b/>
          <w:bCs/>
          <w:color w:val="auto"/>
          <w:sz w:val="32"/>
          <w:szCs w:val="32"/>
          <w:highlight w:val="none"/>
        </w:rPr>
        <w:br w:type="page"/>
      </w:r>
    </w:p>
    <w:p>
      <w:pPr>
        <w:pStyle w:val="5"/>
        <w:tabs>
          <w:tab w:val="left" w:pos="709"/>
        </w:tabs>
        <w:ind w:left="1135" w:hanging="1135"/>
        <w:jc w:val="left"/>
        <w:rPr>
          <w:color w:val="auto"/>
          <w:highlight w:val="none"/>
        </w:rPr>
      </w:pPr>
      <w:r>
        <w:rPr>
          <w:rFonts w:hint="eastAsia"/>
          <w:color w:val="auto"/>
          <w:highlight w:val="none"/>
        </w:rPr>
        <w:t>商务技术响应文件</w:t>
      </w:r>
    </w:p>
    <w:p>
      <w:pPr>
        <w:pStyle w:val="5"/>
        <w:numPr>
          <w:ilvl w:val="3"/>
          <w:numId w:val="1"/>
        </w:numPr>
        <w:tabs>
          <w:tab w:val="left" w:pos="709"/>
        </w:tabs>
        <w:jc w:val="left"/>
        <w:rPr>
          <w:color w:val="auto"/>
          <w:highlight w:val="none"/>
        </w:rPr>
      </w:pPr>
      <w:r>
        <w:rPr>
          <w:rFonts w:hint="eastAsia"/>
          <w:color w:val="auto"/>
          <w:highlight w:val="none"/>
          <w:lang w:eastAsia="zh-CN"/>
        </w:rPr>
        <w:t>报价函</w:t>
      </w:r>
    </w:p>
    <w:p>
      <w:pPr>
        <w:snapToGrid w:val="0"/>
        <w:spacing w:line="360" w:lineRule="auto"/>
        <w:rPr>
          <w:rFonts w:ascii="宋体" w:hAnsi="宋体"/>
          <w:b/>
          <w:color w:val="auto"/>
          <w:sz w:val="28"/>
          <w:szCs w:val="28"/>
          <w:highlight w:val="none"/>
        </w:rPr>
      </w:pPr>
      <w:r>
        <w:rPr>
          <w:rFonts w:hint="eastAsia" w:ascii="宋体" w:hAnsi="宋体"/>
          <w:b/>
          <w:color w:val="auto"/>
          <w:sz w:val="28"/>
          <w:szCs w:val="28"/>
          <w:highlight w:val="none"/>
        </w:rPr>
        <w:t>项目名称：</w:t>
      </w:r>
      <w:r>
        <w:rPr>
          <w:rFonts w:hint="eastAsia" w:ascii="宋体" w:hAnsi="宋体"/>
          <w:b/>
          <w:color w:val="auto"/>
          <w:sz w:val="28"/>
          <w:szCs w:val="28"/>
          <w:highlight w:val="none"/>
          <w:lang w:eastAsia="zh-CN"/>
        </w:rPr>
        <w:t>成都市第二幼儿园督院园区食堂改造工程项目</w:t>
      </w:r>
    </w:p>
    <w:p>
      <w:pPr>
        <w:snapToGrid w:val="0"/>
        <w:spacing w:line="360" w:lineRule="auto"/>
        <w:rPr>
          <w:rFonts w:ascii="宋体" w:hAnsi="宋体"/>
          <w:color w:val="auto"/>
          <w:sz w:val="28"/>
          <w:szCs w:val="28"/>
          <w:highlight w:val="none"/>
        </w:rPr>
      </w:pPr>
      <w:r>
        <w:rPr>
          <w:rFonts w:hint="eastAsia" w:ascii="宋体" w:hAnsi="宋体"/>
          <w:b/>
          <w:color w:val="auto"/>
          <w:sz w:val="28"/>
          <w:highlight w:val="none"/>
        </w:rPr>
        <w:t>项目编号</w:t>
      </w:r>
      <w:r>
        <w:rPr>
          <w:rFonts w:hint="eastAsia" w:ascii="宋体" w:hAnsi="宋体"/>
          <w:b/>
          <w:color w:val="auto"/>
          <w:sz w:val="28"/>
          <w:szCs w:val="28"/>
          <w:highlight w:val="none"/>
        </w:rPr>
        <w:t>：</w:t>
      </w:r>
      <w:r>
        <w:rPr>
          <w:rFonts w:hint="eastAsia" w:ascii="宋体" w:hAnsi="宋体"/>
          <w:b/>
          <w:color w:val="auto"/>
          <w:sz w:val="28"/>
          <w:szCs w:val="28"/>
          <w:highlight w:val="none"/>
          <w:lang w:eastAsia="zh-CN"/>
        </w:rPr>
        <w:t>锦江政采（2021）A0011号</w:t>
      </w:r>
    </w:p>
    <w:p>
      <w:pPr>
        <w:rPr>
          <w:color w:val="auto"/>
          <w:highlight w:val="none"/>
        </w:rPr>
      </w:pPr>
    </w:p>
    <w:p>
      <w:pPr>
        <w:spacing w:line="588" w:lineRule="exact"/>
        <w:rPr>
          <w:rFonts w:ascii="宋体" w:hAnsi="宋体"/>
          <w:color w:val="auto"/>
          <w:spacing w:val="6"/>
          <w:sz w:val="28"/>
          <w:szCs w:val="28"/>
          <w:highlight w:val="none"/>
        </w:rPr>
      </w:pPr>
      <w:r>
        <w:rPr>
          <w:rFonts w:hint="eastAsia" w:ascii="宋体" w:hAnsi="宋体"/>
          <w:color w:val="auto"/>
          <w:spacing w:val="6"/>
          <w:sz w:val="28"/>
          <w:szCs w:val="28"/>
          <w:highlight w:val="none"/>
          <w:lang w:eastAsia="zh-CN"/>
        </w:rPr>
        <w:t>成都市锦江区政府采购中心</w:t>
      </w:r>
      <w:r>
        <w:rPr>
          <w:rFonts w:ascii="宋体" w:hAnsi="宋体"/>
          <w:color w:val="auto"/>
          <w:spacing w:val="6"/>
          <w:sz w:val="28"/>
          <w:szCs w:val="28"/>
          <w:highlight w:val="none"/>
        </w:rPr>
        <w:t xml:space="preserve">: </w:t>
      </w:r>
    </w:p>
    <w:p>
      <w:pPr>
        <w:snapToGrid w:val="0"/>
        <w:spacing w:line="360" w:lineRule="auto"/>
        <w:rPr>
          <w:rFonts w:ascii="宋体" w:hAnsi="宋体"/>
          <w:color w:val="auto"/>
          <w:spacing w:val="6"/>
          <w:sz w:val="28"/>
          <w:szCs w:val="28"/>
          <w:highlight w:val="none"/>
        </w:rPr>
      </w:pPr>
      <w:r>
        <w:rPr>
          <w:rFonts w:hint="eastAsia" w:ascii="宋体" w:hAnsi="宋体"/>
          <w:bCs/>
          <w:color w:val="auto"/>
          <w:sz w:val="28"/>
          <w:szCs w:val="28"/>
          <w:highlight w:val="none"/>
          <w:lang w:val="en-US" w:eastAsia="zh-CN"/>
        </w:rPr>
        <w:t xml:space="preserve">    </w:t>
      </w:r>
      <w:r>
        <w:rPr>
          <w:rFonts w:hint="eastAsia" w:ascii="宋体" w:hAnsi="宋体"/>
          <w:bCs/>
          <w:color w:val="auto"/>
          <w:sz w:val="28"/>
          <w:szCs w:val="28"/>
          <w:highlight w:val="none"/>
        </w:rPr>
        <w:t>我方全面研究了“</w:t>
      </w:r>
      <w:r>
        <w:rPr>
          <w:rFonts w:hint="eastAsia" w:ascii="宋体" w:hAnsi="宋体"/>
          <w:b/>
          <w:color w:val="auto"/>
          <w:sz w:val="28"/>
          <w:szCs w:val="28"/>
          <w:highlight w:val="none"/>
          <w:u w:val="single"/>
          <w:lang w:eastAsia="zh-CN"/>
        </w:rPr>
        <w:t>成都市第二幼儿园督院园区食堂改造工程项目</w:t>
      </w:r>
      <w:r>
        <w:rPr>
          <w:rFonts w:hint="eastAsia" w:ascii="宋体" w:hAnsi="宋体"/>
          <w:b/>
          <w:bCs/>
          <w:color w:val="auto"/>
          <w:sz w:val="28"/>
          <w:szCs w:val="28"/>
          <w:highlight w:val="none"/>
        </w:rPr>
        <w:t>”</w:t>
      </w:r>
      <w:r>
        <w:rPr>
          <w:rFonts w:hint="eastAsia" w:ascii="宋体" w:hAnsi="宋体"/>
          <w:b/>
          <w:bCs/>
          <w:color w:val="auto"/>
          <w:sz w:val="28"/>
          <w:szCs w:val="28"/>
          <w:highlight w:val="none"/>
          <w:u w:val="single"/>
        </w:rPr>
        <w:t>（项目编号：</w:t>
      </w:r>
      <w:r>
        <w:rPr>
          <w:rFonts w:hint="eastAsia" w:ascii="宋体" w:hAnsi="宋体"/>
          <w:b/>
          <w:color w:val="auto"/>
          <w:sz w:val="28"/>
          <w:szCs w:val="28"/>
          <w:highlight w:val="none"/>
          <w:u w:val="single"/>
          <w:lang w:eastAsia="zh-CN"/>
        </w:rPr>
        <w:t>锦江政采（2021）A0011号</w:t>
      </w:r>
      <w:r>
        <w:rPr>
          <w:rFonts w:hint="eastAsia" w:ascii="宋体" w:hAnsi="宋体"/>
          <w:b/>
          <w:bCs/>
          <w:color w:val="auto"/>
          <w:sz w:val="28"/>
          <w:szCs w:val="28"/>
          <w:highlight w:val="none"/>
        </w:rPr>
        <w:t>）</w:t>
      </w:r>
      <w:r>
        <w:rPr>
          <w:rFonts w:hint="eastAsia" w:ascii="宋体" w:hAnsi="宋体"/>
          <w:bCs/>
          <w:color w:val="auto"/>
          <w:sz w:val="28"/>
          <w:szCs w:val="28"/>
          <w:highlight w:val="none"/>
        </w:rPr>
        <w:t>的</w:t>
      </w:r>
      <w:r>
        <w:rPr>
          <w:rFonts w:hint="eastAsia" w:ascii="宋体" w:hAnsi="宋体"/>
          <w:bCs/>
          <w:color w:val="auto"/>
          <w:sz w:val="28"/>
          <w:szCs w:val="28"/>
          <w:highlight w:val="none"/>
          <w:lang w:eastAsia="zh-CN"/>
        </w:rPr>
        <w:t>磋商</w:t>
      </w:r>
      <w:r>
        <w:rPr>
          <w:rFonts w:hint="eastAsia" w:ascii="宋体" w:hAnsi="宋体"/>
          <w:bCs/>
          <w:color w:val="auto"/>
          <w:sz w:val="28"/>
          <w:szCs w:val="28"/>
          <w:highlight w:val="none"/>
        </w:rPr>
        <w:t>文件，决定参加贵单位组织的本项目的</w:t>
      </w:r>
      <w:r>
        <w:rPr>
          <w:rFonts w:hint="eastAsia" w:ascii="宋体" w:hAnsi="宋体"/>
          <w:bCs/>
          <w:color w:val="auto"/>
          <w:sz w:val="28"/>
          <w:szCs w:val="28"/>
          <w:highlight w:val="none"/>
          <w:lang w:eastAsia="zh-CN"/>
        </w:rPr>
        <w:t>磋商</w:t>
      </w:r>
      <w:r>
        <w:rPr>
          <w:rFonts w:hint="eastAsia" w:ascii="宋体" w:hAnsi="宋体"/>
          <w:bCs/>
          <w:color w:val="auto"/>
          <w:sz w:val="28"/>
          <w:szCs w:val="28"/>
          <w:highlight w:val="none"/>
        </w:rPr>
        <w:t>。我方授权</w:t>
      </w:r>
      <w:r>
        <w:rPr>
          <w:rFonts w:ascii="宋体" w:hAnsi="宋体"/>
          <w:bCs/>
          <w:color w:val="auto"/>
          <w:sz w:val="28"/>
          <w:szCs w:val="28"/>
          <w:highlight w:val="none"/>
          <w:u w:val="single"/>
        </w:rPr>
        <w:t>XXX（姓名、职务）</w:t>
      </w:r>
      <w:r>
        <w:rPr>
          <w:rFonts w:hint="eastAsia" w:ascii="宋体" w:hAnsi="宋体"/>
          <w:bCs/>
          <w:color w:val="auto"/>
          <w:sz w:val="28"/>
          <w:szCs w:val="28"/>
          <w:highlight w:val="none"/>
        </w:rPr>
        <w:t>代表我方</w:t>
      </w:r>
      <w:r>
        <w:rPr>
          <w:rFonts w:ascii="宋体" w:hAnsi="宋体"/>
          <w:bCs/>
          <w:color w:val="auto"/>
          <w:sz w:val="28"/>
          <w:szCs w:val="28"/>
          <w:highlight w:val="none"/>
          <w:u w:val="single"/>
        </w:rPr>
        <w:t>XXXXXXX（</w:t>
      </w:r>
      <w:r>
        <w:rPr>
          <w:rFonts w:hint="eastAsia" w:ascii="宋体" w:hAnsi="宋体"/>
          <w:bCs/>
          <w:color w:val="auto"/>
          <w:sz w:val="28"/>
          <w:szCs w:val="28"/>
          <w:highlight w:val="none"/>
          <w:u w:val="single"/>
        </w:rPr>
        <w:t>供应商名称）</w:t>
      </w:r>
      <w:r>
        <w:rPr>
          <w:rFonts w:hint="eastAsia" w:ascii="宋体" w:hAnsi="宋体"/>
          <w:bCs/>
          <w:color w:val="auto"/>
          <w:sz w:val="28"/>
          <w:szCs w:val="28"/>
          <w:highlight w:val="none"/>
        </w:rPr>
        <w:t>全权处理本项目</w:t>
      </w:r>
      <w:r>
        <w:rPr>
          <w:rFonts w:hint="eastAsia" w:ascii="宋体" w:hAnsi="宋体"/>
          <w:bCs/>
          <w:color w:val="auto"/>
          <w:sz w:val="28"/>
          <w:szCs w:val="28"/>
          <w:highlight w:val="none"/>
          <w:lang w:eastAsia="zh-CN"/>
        </w:rPr>
        <w:t>磋商</w:t>
      </w:r>
      <w:r>
        <w:rPr>
          <w:rFonts w:hint="eastAsia" w:ascii="宋体" w:hAnsi="宋体"/>
          <w:bCs/>
          <w:color w:val="auto"/>
          <w:sz w:val="28"/>
          <w:szCs w:val="28"/>
          <w:highlight w:val="none"/>
        </w:rPr>
        <w:t>的有关事宜。</w:t>
      </w:r>
    </w:p>
    <w:p>
      <w:pPr>
        <w:pStyle w:val="65"/>
        <w:numPr>
          <w:ilvl w:val="3"/>
          <w:numId w:val="28"/>
        </w:numPr>
        <w:tabs>
          <w:tab w:val="left" w:pos="1134"/>
        </w:tabs>
        <w:spacing w:line="588" w:lineRule="exact"/>
        <w:ind w:left="0" w:firstLine="567" w:firstLineChars="0"/>
        <w:rPr>
          <w:rFonts w:ascii="宋体" w:hAnsi="宋体"/>
          <w:color w:val="auto"/>
          <w:sz w:val="28"/>
          <w:szCs w:val="28"/>
          <w:highlight w:val="none"/>
        </w:rPr>
      </w:pPr>
      <w:r>
        <w:rPr>
          <w:rFonts w:hint="eastAsia" w:ascii="宋体" w:hAnsi="宋体"/>
          <w:color w:val="auto"/>
          <w:sz w:val="28"/>
          <w:szCs w:val="28"/>
          <w:highlight w:val="none"/>
        </w:rPr>
        <w:t>我方已知晓全部</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文件的内容，包括修改文件（如有）以及全部相关资料和有关附件，并对上述文件均无异议，愿意以</w:t>
      </w:r>
      <w:r>
        <w:rPr>
          <w:rFonts w:hint="eastAsia" w:ascii="宋体" w:hAnsi="宋体"/>
          <w:b/>
          <w:bCs/>
          <w:color w:val="auto"/>
          <w:sz w:val="28"/>
          <w:szCs w:val="28"/>
          <w:highlight w:val="none"/>
        </w:rPr>
        <w:t>人民币（大写）</w:t>
      </w:r>
      <w:r>
        <w:rPr>
          <w:rFonts w:hint="eastAsia" w:ascii="宋体" w:hAnsi="宋体"/>
          <w:b/>
          <w:bCs/>
          <w:color w:val="auto"/>
          <w:sz w:val="28"/>
          <w:szCs w:val="28"/>
          <w:highlight w:val="none"/>
          <w:u w:val="single"/>
        </w:rPr>
        <w:t>　</w:t>
      </w:r>
      <w:r>
        <w:rPr>
          <w:rFonts w:ascii="宋体" w:hAnsi="宋体"/>
          <w:b/>
          <w:bCs/>
          <w:color w:val="auto"/>
          <w:sz w:val="28"/>
          <w:szCs w:val="28"/>
          <w:highlight w:val="none"/>
          <w:u w:val="single"/>
        </w:rPr>
        <w:t>XX</w:t>
      </w:r>
      <w:r>
        <w:rPr>
          <w:rFonts w:hint="eastAsia" w:ascii="宋体" w:hAnsi="宋体"/>
          <w:b/>
          <w:bCs/>
          <w:color w:val="auto"/>
          <w:sz w:val="28"/>
          <w:szCs w:val="28"/>
          <w:highlight w:val="none"/>
          <w:u w:val="single"/>
        </w:rPr>
        <w:t>　</w:t>
      </w:r>
      <w:r>
        <w:rPr>
          <w:rFonts w:hint="eastAsia" w:ascii="宋体" w:hAnsi="宋体"/>
          <w:b/>
          <w:bCs/>
          <w:color w:val="auto"/>
          <w:sz w:val="28"/>
          <w:szCs w:val="28"/>
          <w:highlight w:val="none"/>
        </w:rPr>
        <w:t>（￥）的总报价，工期</w:t>
      </w:r>
      <w:r>
        <w:rPr>
          <w:rFonts w:hint="eastAsia" w:ascii="宋体" w:hAnsi="宋体"/>
          <w:b/>
          <w:bCs/>
          <w:color w:val="auto"/>
          <w:sz w:val="28"/>
          <w:szCs w:val="28"/>
          <w:highlight w:val="none"/>
          <w:u w:val="single"/>
        </w:rPr>
        <w:t>　</w:t>
      </w:r>
      <w:r>
        <w:rPr>
          <w:rFonts w:ascii="宋体" w:hAnsi="宋体"/>
          <w:b/>
          <w:bCs/>
          <w:color w:val="auto"/>
          <w:sz w:val="28"/>
          <w:szCs w:val="28"/>
          <w:highlight w:val="none"/>
          <w:u w:val="single"/>
        </w:rPr>
        <w:t>XX</w:t>
      </w:r>
      <w:r>
        <w:rPr>
          <w:rFonts w:hint="eastAsia" w:ascii="宋体" w:hAnsi="宋体"/>
          <w:b/>
          <w:bCs/>
          <w:color w:val="auto"/>
          <w:sz w:val="28"/>
          <w:szCs w:val="28"/>
          <w:highlight w:val="none"/>
          <w:u w:val="single"/>
        </w:rPr>
        <w:t>　</w:t>
      </w:r>
      <w:r>
        <w:rPr>
          <w:rFonts w:hint="eastAsia" w:ascii="宋体" w:hAnsi="宋体"/>
          <w:b/>
          <w:bCs/>
          <w:color w:val="auto"/>
          <w:sz w:val="28"/>
          <w:szCs w:val="28"/>
          <w:highlight w:val="none"/>
        </w:rPr>
        <w:t>日历天</w:t>
      </w:r>
      <w:r>
        <w:rPr>
          <w:rFonts w:hint="eastAsia" w:ascii="宋体" w:hAnsi="宋体"/>
          <w:color w:val="auto"/>
          <w:sz w:val="28"/>
          <w:szCs w:val="28"/>
          <w:highlight w:val="none"/>
        </w:rPr>
        <w:t>，按合同约定实施和完成承包工程，修补工程中的任何缺陷，工程质量达到规定要求标准。</w:t>
      </w:r>
    </w:p>
    <w:p>
      <w:pPr>
        <w:pStyle w:val="65"/>
        <w:numPr>
          <w:ilvl w:val="3"/>
          <w:numId w:val="28"/>
        </w:numPr>
        <w:tabs>
          <w:tab w:val="left" w:pos="1134"/>
        </w:tabs>
        <w:spacing w:line="588" w:lineRule="exact"/>
        <w:ind w:left="0" w:firstLine="567" w:firstLineChars="0"/>
        <w:rPr>
          <w:rFonts w:ascii="宋体" w:hAnsi="宋体"/>
          <w:color w:val="auto"/>
          <w:sz w:val="28"/>
          <w:szCs w:val="28"/>
          <w:highlight w:val="none"/>
        </w:rPr>
      </w:pPr>
      <w:r>
        <w:rPr>
          <w:rFonts w:hint="eastAsia" w:ascii="宋体" w:hAnsi="宋体"/>
          <w:color w:val="auto"/>
          <w:sz w:val="28"/>
          <w:szCs w:val="28"/>
          <w:highlight w:val="none"/>
        </w:rPr>
        <w:t>施工响应文件有效期为从递交施工响应文件截止之日起</w:t>
      </w:r>
      <w:r>
        <w:rPr>
          <w:rFonts w:ascii="宋体" w:hAnsi="宋体"/>
          <w:color w:val="auto"/>
          <w:sz w:val="28"/>
          <w:szCs w:val="28"/>
          <w:highlight w:val="none"/>
        </w:rPr>
        <w:t>120天。</w:t>
      </w:r>
      <w:r>
        <w:rPr>
          <w:rFonts w:hint="eastAsia" w:ascii="宋体" w:hAnsi="宋体"/>
          <w:color w:val="auto"/>
          <w:sz w:val="28"/>
          <w:szCs w:val="28"/>
          <w:highlight w:val="none"/>
        </w:rPr>
        <w:t>我方承诺在施工响应文件有效期天内不修改、撤销施工响应文件。</w:t>
      </w:r>
    </w:p>
    <w:p>
      <w:pPr>
        <w:pStyle w:val="65"/>
        <w:numPr>
          <w:ilvl w:val="3"/>
          <w:numId w:val="28"/>
        </w:numPr>
        <w:tabs>
          <w:tab w:val="left" w:pos="1134"/>
        </w:tabs>
        <w:spacing w:line="588" w:lineRule="exact"/>
        <w:ind w:left="0" w:firstLine="567" w:firstLineChars="0"/>
        <w:rPr>
          <w:rFonts w:ascii="宋体" w:hAnsi="宋体"/>
          <w:color w:val="auto"/>
          <w:sz w:val="28"/>
          <w:szCs w:val="28"/>
          <w:highlight w:val="none"/>
        </w:rPr>
      </w:pPr>
      <w:r>
        <w:rPr>
          <w:rFonts w:hint="eastAsia" w:ascii="宋体" w:hAnsi="宋体"/>
          <w:color w:val="auto"/>
          <w:sz w:val="28"/>
          <w:szCs w:val="28"/>
          <w:highlight w:val="none"/>
        </w:rPr>
        <w:t>我方愿意提供贵中心可能另外要求的，与本项目有关的文件资料，并保证我方已提供和将要提供的文件资料是真实、准确的，并对此承担一切法律后果。</w:t>
      </w:r>
    </w:p>
    <w:p>
      <w:pPr>
        <w:pStyle w:val="65"/>
        <w:numPr>
          <w:ilvl w:val="3"/>
          <w:numId w:val="28"/>
        </w:numPr>
        <w:tabs>
          <w:tab w:val="left" w:pos="1134"/>
        </w:tabs>
        <w:spacing w:line="588" w:lineRule="exact"/>
        <w:ind w:left="0" w:firstLine="567" w:firstLineChars="0"/>
        <w:rPr>
          <w:rFonts w:ascii="宋体" w:hAnsi="宋体"/>
          <w:color w:val="auto"/>
          <w:sz w:val="28"/>
          <w:szCs w:val="28"/>
          <w:highlight w:val="none"/>
        </w:rPr>
      </w:pPr>
      <w:r>
        <w:rPr>
          <w:rFonts w:hint="eastAsia" w:ascii="宋体" w:hAnsi="宋体"/>
          <w:color w:val="auto"/>
          <w:sz w:val="28"/>
          <w:szCs w:val="28"/>
          <w:highlight w:val="none"/>
        </w:rPr>
        <w:t>我方同意本</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文件依据《四川省政府采购当事人诚信管理办法》（川财采〔</w:t>
      </w:r>
      <w:r>
        <w:rPr>
          <w:rFonts w:ascii="宋体" w:hAnsi="宋体"/>
          <w:color w:val="auto"/>
          <w:sz w:val="28"/>
          <w:szCs w:val="28"/>
          <w:highlight w:val="none"/>
        </w:rPr>
        <w:t>2015</w:t>
      </w:r>
      <w:r>
        <w:rPr>
          <w:rFonts w:hint="eastAsia" w:ascii="宋体" w:hAnsi="宋体"/>
          <w:color w:val="auto"/>
          <w:sz w:val="28"/>
          <w:szCs w:val="28"/>
          <w:highlight w:val="none"/>
        </w:rPr>
        <w:t>〕</w:t>
      </w:r>
      <w:r>
        <w:rPr>
          <w:rFonts w:ascii="宋体" w:hAnsi="宋体"/>
          <w:color w:val="auto"/>
          <w:sz w:val="28"/>
          <w:szCs w:val="28"/>
          <w:highlight w:val="none"/>
        </w:rPr>
        <w:t>33</w:t>
      </w:r>
      <w:r>
        <w:rPr>
          <w:rFonts w:hint="eastAsia" w:ascii="宋体" w:hAnsi="宋体"/>
          <w:color w:val="auto"/>
          <w:sz w:val="28"/>
          <w:szCs w:val="28"/>
          <w:highlight w:val="none"/>
        </w:rPr>
        <w:t>号文件）对我方可能存在的失信行为进行惩戒。</w:t>
      </w:r>
    </w:p>
    <w:p>
      <w:pPr>
        <w:pStyle w:val="65"/>
        <w:numPr>
          <w:ilvl w:val="3"/>
          <w:numId w:val="28"/>
        </w:numPr>
        <w:tabs>
          <w:tab w:val="left" w:pos="1134"/>
        </w:tabs>
        <w:spacing w:line="588" w:lineRule="exact"/>
        <w:ind w:left="0" w:firstLine="567" w:firstLineChars="0"/>
        <w:rPr>
          <w:rFonts w:ascii="宋体" w:hAnsi="宋体"/>
          <w:color w:val="auto"/>
          <w:sz w:val="28"/>
          <w:szCs w:val="28"/>
          <w:highlight w:val="none"/>
        </w:rPr>
      </w:pPr>
      <w:r>
        <w:rPr>
          <w:rFonts w:hint="eastAsia" w:ascii="宋体" w:hAnsi="宋体"/>
          <w:color w:val="auto"/>
          <w:sz w:val="28"/>
          <w:szCs w:val="28"/>
          <w:highlight w:val="none"/>
        </w:rPr>
        <w:t>如我方成交：</w:t>
      </w:r>
    </w:p>
    <w:p>
      <w:pPr>
        <w:pStyle w:val="65"/>
        <w:numPr>
          <w:ilvl w:val="0"/>
          <w:numId w:val="29"/>
        </w:numPr>
        <w:spacing w:line="588" w:lineRule="exact"/>
        <w:ind w:left="0" w:firstLine="584" w:firstLineChars="0"/>
        <w:rPr>
          <w:rFonts w:ascii="宋体" w:hAnsi="宋体"/>
          <w:color w:val="auto"/>
          <w:spacing w:val="6"/>
          <w:sz w:val="28"/>
          <w:szCs w:val="28"/>
          <w:highlight w:val="none"/>
        </w:rPr>
      </w:pPr>
      <w:r>
        <w:rPr>
          <w:rFonts w:hint="eastAsia" w:ascii="宋体" w:hAnsi="宋体"/>
          <w:color w:val="auto"/>
          <w:spacing w:val="6"/>
          <w:sz w:val="28"/>
          <w:szCs w:val="28"/>
          <w:highlight w:val="none"/>
        </w:rPr>
        <w:t>我方承诺在收到成交通知书后，在规定的期限内与采购人签订合同。</w:t>
      </w:r>
    </w:p>
    <w:p>
      <w:pPr>
        <w:pStyle w:val="65"/>
        <w:numPr>
          <w:ilvl w:val="0"/>
          <w:numId w:val="29"/>
        </w:numPr>
        <w:spacing w:line="588" w:lineRule="exact"/>
        <w:ind w:left="0" w:firstLine="584" w:firstLineChars="0"/>
        <w:rPr>
          <w:rFonts w:ascii="宋体" w:hAnsi="宋体"/>
          <w:color w:val="auto"/>
          <w:spacing w:val="6"/>
          <w:sz w:val="28"/>
          <w:szCs w:val="28"/>
          <w:highlight w:val="none"/>
        </w:rPr>
      </w:pPr>
      <w:r>
        <w:rPr>
          <w:rFonts w:hint="eastAsia" w:ascii="宋体" w:hAnsi="宋体"/>
          <w:color w:val="auto"/>
          <w:spacing w:val="6"/>
          <w:sz w:val="28"/>
          <w:szCs w:val="28"/>
          <w:highlight w:val="none"/>
        </w:rPr>
        <w:t>我方承诺按照</w:t>
      </w:r>
      <w:r>
        <w:rPr>
          <w:rFonts w:hint="eastAsia" w:ascii="宋体" w:hAnsi="宋体"/>
          <w:color w:val="auto"/>
          <w:spacing w:val="6"/>
          <w:sz w:val="28"/>
          <w:szCs w:val="28"/>
          <w:highlight w:val="none"/>
          <w:lang w:eastAsia="zh-CN"/>
        </w:rPr>
        <w:t>磋商</w:t>
      </w:r>
      <w:r>
        <w:rPr>
          <w:rFonts w:hint="eastAsia" w:ascii="宋体" w:hAnsi="宋体"/>
          <w:color w:val="auto"/>
          <w:spacing w:val="6"/>
          <w:sz w:val="28"/>
          <w:szCs w:val="28"/>
          <w:highlight w:val="none"/>
        </w:rPr>
        <w:t>文件规定的金额和方式向采购人缴纳履约保证金。</w:t>
      </w:r>
    </w:p>
    <w:p>
      <w:pPr>
        <w:pStyle w:val="65"/>
        <w:numPr>
          <w:ilvl w:val="0"/>
          <w:numId w:val="29"/>
        </w:numPr>
        <w:spacing w:line="588" w:lineRule="exact"/>
        <w:ind w:left="0" w:firstLine="584" w:firstLineChars="0"/>
        <w:rPr>
          <w:rFonts w:ascii="宋体" w:hAnsi="宋体"/>
          <w:color w:val="auto"/>
          <w:spacing w:val="6"/>
          <w:sz w:val="28"/>
          <w:szCs w:val="28"/>
          <w:highlight w:val="none"/>
        </w:rPr>
      </w:pPr>
      <w:r>
        <w:rPr>
          <w:rFonts w:hint="eastAsia" w:ascii="宋体" w:hAnsi="宋体"/>
          <w:color w:val="auto"/>
          <w:spacing w:val="6"/>
          <w:sz w:val="28"/>
          <w:szCs w:val="28"/>
          <w:highlight w:val="none"/>
        </w:rPr>
        <w:t>我方将严格履行政府采购合同规定的责任和义务。</w:t>
      </w:r>
    </w:p>
    <w:p>
      <w:pPr>
        <w:pStyle w:val="65"/>
        <w:numPr>
          <w:ilvl w:val="0"/>
          <w:numId w:val="29"/>
        </w:numPr>
        <w:spacing w:line="588" w:lineRule="exact"/>
        <w:ind w:left="0" w:firstLine="584" w:firstLineChars="0"/>
        <w:rPr>
          <w:rFonts w:ascii="宋体" w:hAnsi="宋体"/>
          <w:color w:val="auto"/>
          <w:spacing w:val="6"/>
          <w:sz w:val="28"/>
          <w:szCs w:val="28"/>
          <w:highlight w:val="none"/>
        </w:rPr>
      </w:pPr>
      <w:r>
        <w:rPr>
          <w:rFonts w:hint="eastAsia" w:ascii="宋体" w:hAnsi="宋体"/>
          <w:color w:val="auto"/>
          <w:spacing w:val="6"/>
          <w:sz w:val="28"/>
          <w:szCs w:val="28"/>
          <w:highlight w:val="none"/>
        </w:rPr>
        <w:t>我方愿意提供贵单位可能另外要求的，与</w:t>
      </w:r>
      <w:r>
        <w:rPr>
          <w:rFonts w:hint="eastAsia" w:ascii="宋体" w:hAnsi="宋体"/>
          <w:color w:val="auto"/>
          <w:spacing w:val="6"/>
          <w:sz w:val="28"/>
          <w:szCs w:val="28"/>
          <w:highlight w:val="none"/>
          <w:lang w:eastAsia="zh-CN"/>
        </w:rPr>
        <w:t>磋商</w:t>
      </w:r>
      <w:r>
        <w:rPr>
          <w:rFonts w:hint="eastAsia" w:ascii="宋体" w:hAnsi="宋体"/>
          <w:color w:val="auto"/>
          <w:spacing w:val="6"/>
          <w:sz w:val="28"/>
          <w:szCs w:val="28"/>
          <w:highlight w:val="none"/>
        </w:rPr>
        <w:t>报价有关的文件资料，并保证我方已提供和将要提供的文件资料是真实、准确的。</w:t>
      </w:r>
    </w:p>
    <w:p>
      <w:pPr>
        <w:pStyle w:val="65"/>
        <w:numPr>
          <w:ilvl w:val="0"/>
          <w:numId w:val="29"/>
        </w:numPr>
        <w:shd w:val="clear"/>
        <w:spacing w:line="588" w:lineRule="exact"/>
        <w:ind w:left="0" w:firstLine="584" w:firstLineChars="0"/>
        <w:rPr>
          <w:rFonts w:ascii="宋体" w:hAnsi="宋体"/>
          <w:color w:val="auto"/>
          <w:spacing w:val="6"/>
          <w:sz w:val="28"/>
          <w:szCs w:val="28"/>
          <w:highlight w:val="none"/>
        </w:rPr>
      </w:pPr>
      <w:r>
        <w:rPr>
          <w:rFonts w:hint="eastAsia" w:ascii="宋体" w:hAnsi="宋体"/>
          <w:color w:val="auto"/>
          <w:spacing w:val="6"/>
          <w:sz w:val="28"/>
          <w:szCs w:val="28"/>
          <w:highlight w:val="none"/>
        </w:rPr>
        <w:t>我方自愿按照</w:t>
      </w:r>
      <w:r>
        <w:rPr>
          <w:rFonts w:hint="eastAsia" w:ascii="宋体" w:hAnsi="宋体"/>
          <w:color w:val="auto"/>
          <w:spacing w:val="6"/>
          <w:sz w:val="28"/>
          <w:szCs w:val="28"/>
          <w:highlight w:val="none"/>
          <w:lang w:eastAsia="zh-CN"/>
        </w:rPr>
        <w:t>磋商</w:t>
      </w:r>
      <w:r>
        <w:rPr>
          <w:rFonts w:hint="eastAsia" w:ascii="宋体" w:hAnsi="宋体"/>
          <w:color w:val="auto"/>
          <w:spacing w:val="6"/>
          <w:sz w:val="28"/>
          <w:szCs w:val="28"/>
          <w:highlight w:val="none"/>
        </w:rPr>
        <w:t>文件规定的各项要求完成工程建设项目，最后报价以《最后报价表》为准，接受采购人按照政府采购合同约定金额支付采购资金。</w:t>
      </w:r>
    </w:p>
    <w:p>
      <w:pPr>
        <w:pStyle w:val="65"/>
        <w:numPr>
          <w:ilvl w:val="3"/>
          <w:numId w:val="28"/>
        </w:numPr>
        <w:tabs>
          <w:tab w:val="left" w:pos="1134"/>
        </w:tabs>
        <w:spacing w:line="588" w:lineRule="exact"/>
        <w:ind w:left="0" w:firstLine="567" w:firstLineChars="0"/>
        <w:rPr>
          <w:rFonts w:ascii="宋体" w:hAnsi="宋体"/>
          <w:color w:val="auto"/>
          <w:sz w:val="28"/>
          <w:szCs w:val="28"/>
          <w:highlight w:val="none"/>
        </w:rPr>
      </w:pPr>
      <w:r>
        <w:rPr>
          <w:rFonts w:hint="eastAsia" w:ascii="宋体" w:hAnsi="宋体"/>
          <w:color w:val="auto"/>
          <w:sz w:val="28"/>
          <w:szCs w:val="28"/>
          <w:highlight w:val="none"/>
        </w:rPr>
        <w:t>我单位联系方式：</w:t>
      </w:r>
    </w:p>
    <w:p>
      <w:pPr>
        <w:pStyle w:val="29"/>
        <w:snapToGrid w:val="0"/>
        <w:spacing w:line="620" w:lineRule="exact"/>
        <w:ind w:firstLine="565" w:firstLineChars="202"/>
        <w:rPr>
          <w:rFonts w:ascii="宋体" w:hAnsi="宋体"/>
          <w:color w:val="auto"/>
          <w:sz w:val="28"/>
          <w:szCs w:val="28"/>
          <w:highlight w:val="none"/>
          <w:u w:val="single"/>
        </w:rPr>
      </w:pPr>
      <w:r>
        <w:rPr>
          <w:rFonts w:hint="eastAsia" w:ascii="宋体" w:hAnsi="宋体"/>
          <w:color w:val="auto"/>
          <w:sz w:val="28"/>
          <w:szCs w:val="28"/>
          <w:highlight w:val="none"/>
        </w:rPr>
        <w:t>地址：</w:t>
      </w:r>
      <w:r>
        <w:rPr>
          <w:rFonts w:ascii="宋体" w:hAnsi="宋体"/>
          <w:color w:val="auto"/>
          <w:sz w:val="28"/>
          <w:szCs w:val="28"/>
          <w:highlight w:val="none"/>
          <w:u w:val="single"/>
        </w:rPr>
        <w:t>XXXX</w:t>
      </w:r>
    </w:p>
    <w:p>
      <w:pPr>
        <w:pStyle w:val="29"/>
        <w:snapToGrid w:val="0"/>
        <w:spacing w:line="620" w:lineRule="exact"/>
        <w:ind w:firstLine="565" w:firstLineChars="202"/>
        <w:rPr>
          <w:rFonts w:ascii="宋体" w:hAnsi="宋体"/>
          <w:color w:val="auto"/>
          <w:sz w:val="28"/>
          <w:szCs w:val="28"/>
          <w:highlight w:val="none"/>
          <w:u w:val="single"/>
        </w:rPr>
      </w:pPr>
      <w:r>
        <w:rPr>
          <w:rFonts w:hint="eastAsia" w:ascii="宋体" w:hAnsi="宋体"/>
          <w:color w:val="auto"/>
          <w:sz w:val="28"/>
          <w:szCs w:val="28"/>
          <w:highlight w:val="none"/>
        </w:rPr>
        <w:t>传真：</w:t>
      </w:r>
      <w:r>
        <w:rPr>
          <w:rFonts w:ascii="宋体" w:hAnsi="宋体"/>
          <w:color w:val="auto"/>
          <w:sz w:val="28"/>
          <w:szCs w:val="28"/>
          <w:highlight w:val="none"/>
          <w:u w:val="single"/>
        </w:rPr>
        <w:t>XXXX</w:t>
      </w:r>
    </w:p>
    <w:p>
      <w:pPr>
        <w:pStyle w:val="29"/>
        <w:snapToGrid w:val="0"/>
        <w:spacing w:line="620" w:lineRule="exact"/>
        <w:ind w:firstLine="565" w:firstLineChars="202"/>
        <w:rPr>
          <w:rFonts w:ascii="宋体" w:hAnsi="宋体"/>
          <w:color w:val="auto"/>
          <w:sz w:val="28"/>
          <w:szCs w:val="28"/>
          <w:highlight w:val="none"/>
          <w:u w:val="single"/>
        </w:rPr>
      </w:pPr>
      <w:r>
        <w:rPr>
          <w:rFonts w:hint="eastAsia" w:ascii="宋体" w:hAnsi="宋体"/>
          <w:color w:val="auto"/>
          <w:sz w:val="28"/>
          <w:szCs w:val="28"/>
          <w:highlight w:val="none"/>
        </w:rPr>
        <w:t>邮政编码：</w:t>
      </w:r>
      <w:r>
        <w:rPr>
          <w:rFonts w:ascii="宋体" w:hAnsi="宋体"/>
          <w:color w:val="auto"/>
          <w:sz w:val="28"/>
          <w:szCs w:val="28"/>
          <w:highlight w:val="none"/>
          <w:u w:val="single"/>
        </w:rPr>
        <w:t>XXXX</w:t>
      </w:r>
    </w:p>
    <w:p>
      <w:pPr>
        <w:spacing w:line="360" w:lineRule="auto"/>
        <w:ind w:left="0" w:leftChars="0" w:firstLine="0" w:firstLineChars="0"/>
        <w:rPr>
          <w:rFonts w:ascii="宋体" w:hAnsi="宋体"/>
          <w:b/>
          <w:bCs/>
          <w:color w:val="auto"/>
          <w:sz w:val="32"/>
          <w:szCs w:val="32"/>
          <w:highlight w:val="none"/>
        </w:rPr>
      </w:pPr>
      <w:r>
        <w:rPr>
          <w:rFonts w:hint="eastAsia" w:ascii="宋体" w:hAnsi="宋体"/>
          <w:bCs/>
          <w:color w:val="auto"/>
          <w:sz w:val="28"/>
          <w:szCs w:val="28"/>
          <w:highlight w:val="none"/>
          <w:lang w:val="en-US" w:eastAsia="zh-CN"/>
        </w:rPr>
        <w:t xml:space="preserve">    </w:t>
      </w:r>
      <w:r>
        <w:rPr>
          <w:rFonts w:hint="eastAsia" w:ascii="宋体" w:hAnsi="宋体"/>
          <w:bCs/>
          <w:color w:val="auto"/>
          <w:sz w:val="28"/>
          <w:szCs w:val="28"/>
          <w:highlight w:val="none"/>
        </w:rPr>
        <w:t>供应商名称：</w:t>
      </w:r>
      <w:r>
        <w:rPr>
          <w:rFonts w:ascii="宋体" w:hAnsi="宋体"/>
          <w:bCs/>
          <w:color w:val="auto"/>
          <w:sz w:val="28"/>
          <w:szCs w:val="28"/>
          <w:highlight w:val="none"/>
          <w:u w:val="single"/>
        </w:rPr>
        <w:t>XXXXXXXXXX</w:t>
      </w:r>
      <w:r>
        <w:rPr>
          <w:rFonts w:hint="eastAsia" w:ascii="宋体" w:hAnsi="宋体"/>
          <w:bCs/>
          <w:color w:val="auto"/>
          <w:sz w:val="28"/>
          <w:szCs w:val="28"/>
          <w:highlight w:val="none"/>
          <w:lang w:eastAsia="zh-CN"/>
        </w:rPr>
        <w:t>（加盖公章）</w:t>
      </w:r>
    </w:p>
    <w:p>
      <w:pPr>
        <w:pStyle w:val="29"/>
        <w:snapToGrid w:val="0"/>
        <w:spacing w:line="620" w:lineRule="exact"/>
        <w:ind w:firstLine="560" w:firstLineChars="200"/>
        <w:rPr>
          <w:rFonts w:ascii="宋体" w:hAnsi="宋体"/>
          <w:bCs/>
          <w:color w:val="auto"/>
          <w:sz w:val="28"/>
          <w:szCs w:val="28"/>
          <w:highlight w:val="none"/>
        </w:rPr>
      </w:pPr>
      <w:r>
        <w:rPr>
          <w:rFonts w:hint="eastAsia" w:ascii="宋体" w:hAnsi="宋体"/>
          <w:bCs/>
          <w:color w:val="auto"/>
          <w:sz w:val="28"/>
          <w:szCs w:val="28"/>
          <w:highlight w:val="none"/>
        </w:rPr>
        <w:t>法定代表人或代理人：</w:t>
      </w:r>
      <w:r>
        <w:rPr>
          <w:rFonts w:ascii="宋体" w:hAnsi="宋体"/>
          <w:bCs/>
          <w:color w:val="auto"/>
          <w:sz w:val="28"/>
          <w:szCs w:val="28"/>
          <w:highlight w:val="none"/>
          <w:u w:val="single"/>
        </w:rPr>
        <w:t>XXXXX</w:t>
      </w:r>
      <w:r>
        <w:rPr>
          <w:rFonts w:hint="eastAsia" w:ascii="宋体" w:hAnsi="宋体"/>
          <w:bCs/>
          <w:color w:val="auto"/>
          <w:sz w:val="28"/>
          <w:szCs w:val="28"/>
          <w:highlight w:val="none"/>
        </w:rPr>
        <w:t>（签字）</w:t>
      </w:r>
    </w:p>
    <w:p>
      <w:pPr>
        <w:snapToGrid w:val="0"/>
        <w:spacing w:line="620" w:lineRule="exact"/>
        <w:ind w:firstLine="560" w:firstLineChars="200"/>
        <w:jc w:val="both"/>
        <w:rPr>
          <w:rFonts w:hint="eastAsia" w:ascii="宋体" w:hAnsi="宋体"/>
          <w:color w:val="auto"/>
          <w:sz w:val="28"/>
          <w:szCs w:val="28"/>
          <w:highlight w:val="none"/>
        </w:rPr>
      </w:pPr>
      <w:r>
        <w:rPr>
          <w:rFonts w:hint="eastAsia" w:ascii="宋体" w:hAnsi="宋体"/>
          <w:color w:val="auto"/>
          <w:sz w:val="28"/>
          <w:szCs w:val="28"/>
          <w:highlight w:val="none"/>
        </w:rPr>
        <w:t>日期：</w:t>
      </w:r>
      <w:r>
        <w:rPr>
          <w:rFonts w:ascii="宋体" w:hAnsi="宋体"/>
          <w:color w:val="auto"/>
          <w:sz w:val="28"/>
          <w:szCs w:val="28"/>
          <w:highlight w:val="none"/>
          <w:u w:val="single"/>
        </w:rPr>
        <w:t>XX</w:t>
      </w:r>
      <w:r>
        <w:rPr>
          <w:rFonts w:hint="eastAsia" w:ascii="宋体" w:hAnsi="宋体"/>
          <w:color w:val="auto"/>
          <w:sz w:val="28"/>
          <w:szCs w:val="28"/>
          <w:highlight w:val="none"/>
        </w:rPr>
        <w:t>年</w:t>
      </w:r>
      <w:r>
        <w:rPr>
          <w:rFonts w:ascii="宋体" w:hAnsi="宋体"/>
          <w:color w:val="auto"/>
          <w:sz w:val="28"/>
          <w:szCs w:val="28"/>
          <w:highlight w:val="none"/>
          <w:u w:val="single"/>
        </w:rPr>
        <w:t>XX</w:t>
      </w:r>
      <w:r>
        <w:rPr>
          <w:rFonts w:hint="eastAsia" w:ascii="宋体" w:hAnsi="宋体"/>
          <w:color w:val="auto"/>
          <w:sz w:val="28"/>
          <w:szCs w:val="28"/>
          <w:highlight w:val="none"/>
        </w:rPr>
        <w:t>月</w:t>
      </w:r>
      <w:r>
        <w:rPr>
          <w:rFonts w:ascii="宋体" w:hAnsi="宋体"/>
          <w:color w:val="auto"/>
          <w:sz w:val="28"/>
          <w:szCs w:val="28"/>
          <w:highlight w:val="none"/>
          <w:u w:val="single"/>
        </w:rPr>
        <w:t>XX</w:t>
      </w:r>
      <w:r>
        <w:rPr>
          <w:rFonts w:hint="eastAsia" w:ascii="宋体" w:hAnsi="宋体"/>
          <w:color w:val="auto"/>
          <w:sz w:val="28"/>
          <w:szCs w:val="28"/>
          <w:highlight w:val="none"/>
        </w:rPr>
        <w:t>日</w:t>
      </w:r>
    </w:p>
    <w:p>
      <w:pPr>
        <w:snapToGrid w:val="0"/>
        <w:spacing w:line="620" w:lineRule="exact"/>
        <w:ind w:firstLine="560" w:firstLineChars="200"/>
        <w:jc w:val="both"/>
        <w:rPr>
          <w:rFonts w:hint="eastAsia" w:ascii="宋体" w:hAnsi="宋体"/>
          <w:color w:val="auto"/>
          <w:sz w:val="28"/>
          <w:szCs w:val="28"/>
          <w:highlight w:val="none"/>
        </w:rPr>
      </w:pPr>
      <w:r>
        <w:rPr>
          <w:rFonts w:hint="eastAsia" w:ascii="宋体" w:hAnsi="宋体"/>
          <w:color w:val="auto"/>
          <w:sz w:val="28"/>
          <w:szCs w:val="28"/>
          <w:highlight w:val="none"/>
        </w:rPr>
        <w:br w:type="page"/>
      </w:r>
    </w:p>
    <w:p>
      <w:pPr>
        <w:pStyle w:val="5"/>
        <w:numPr>
          <w:ilvl w:val="3"/>
          <w:numId w:val="1"/>
        </w:numPr>
        <w:tabs>
          <w:tab w:val="left" w:pos="709"/>
        </w:tabs>
        <w:jc w:val="left"/>
        <w:rPr>
          <w:color w:val="auto"/>
          <w:highlight w:val="none"/>
        </w:rPr>
      </w:pPr>
      <w:r>
        <w:rPr>
          <w:rFonts w:hint="eastAsia"/>
          <w:color w:val="auto"/>
          <w:highlight w:val="none"/>
        </w:rPr>
        <w:t>法定代表人身份证明书</w:t>
      </w:r>
    </w:p>
    <w:p>
      <w:pPr>
        <w:tabs>
          <w:tab w:val="left" w:pos="6300"/>
        </w:tabs>
        <w:spacing w:line="360" w:lineRule="auto"/>
        <w:ind w:firstLine="573"/>
        <w:rPr>
          <w:rFonts w:ascii="宋体" w:hAnsi="宋体"/>
          <w:color w:val="auto"/>
          <w:sz w:val="28"/>
          <w:szCs w:val="28"/>
          <w:highlight w:val="none"/>
          <w:lang w:val="zh-CN"/>
        </w:rPr>
      </w:pPr>
      <w:r>
        <w:rPr>
          <w:rFonts w:hint="eastAsia" w:ascii="宋体" w:hAnsi="宋体"/>
          <w:color w:val="auto"/>
          <w:sz w:val="28"/>
          <w:szCs w:val="28"/>
          <w:highlight w:val="none"/>
          <w:u w:val="single"/>
          <w:lang w:val="zh-CN"/>
        </w:rPr>
        <w:t xml:space="preserve">       （法定代表人姓名）       </w:t>
      </w:r>
      <w:r>
        <w:rPr>
          <w:rFonts w:hint="eastAsia" w:ascii="宋体" w:hAnsi="宋体"/>
          <w:color w:val="auto"/>
          <w:sz w:val="28"/>
          <w:szCs w:val="28"/>
          <w:highlight w:val="none"/>
          <w:lang w:val="zh-CN"/>
        </w:rPr>
        <w:t>在</w:t>
      </w:r>
      <w:r>
        <w:rPr>
          <w:rFonts w:hint="eastAsia" w:ascii="宋体" w:hAnsi="宋体"/>
          <w:color w:val="auto"/>
          <w:sz w:val="28"/>
          <w:szCs w:val="28"/>
          <w:highlight w:val="none"/>
          <w:u w:val="single"/>
          <w:lang w:val="zh-CN"/>
        </w:rPr>
        <w:t xml:space="preserve">       （供应商名称）       </w:t>
      </w:r>
      <w:r>
        <w:rPr>
          <w:rFonts w:hint="eastAsia" w:ascii="宋体" w:hAnsi="宋体"/>
          <w:color w:val="auto"/>
          <w:sz w:val="28"/>
          <w:szCs w:val="28"/>
          <w:highlight w:val="none"/>
          <w:lang w:val="zh-CN"/>
        </w:rPr>
        <w:t>处任</w:t>
      </w:r>
      <w:r>
        <w:rPr>
          <w:rFonts w:hint="eastAsia" w:ascii="宋体" w:hAnsi="宋体"/>
          <w:color w:val="auto"/>
          <w:sz w:val="28"/>
          <w:szCs w:val="28"/>
          <w:highlight w:val="none"/>
          <w:u w:val="single"/>
          <w:lang w:val="zh-CN"/>
        </w:rPr>
        <w:t xml:space="preserve">       （职务名称）       </w:t>
      </w:r>
      <w:r>
        <w:rPr>
          <w:rFonts w:hint="eastAsia" w:ascii="宋体" w:hAnsi="宋体"/>
          <w:color w:val="auto"/>
          <w:sz w:val="28"/>
          <w:szCs w:val="28"/>
          <w:highlight w:val="none"/>
          <w:lang w:val="zh-CN"/>
        </w:rPr>
        <w:t>职务，是</w:t>
      </w:r>
      <w:r>
        <w:rPr>
          <w:rFonts w:hint="eastAsia" w:ascii="宋体" w:hAnsi="宋体"/>
          <w:color w:val="auto"/>
          <w:sz w:val="28"/>
          <w:szCs w:val="28"/>
          <w:highlight w:val="none"/>
          <w:u w:val="single"/>
          <w:lang w:val="zh-CN"/>
        </w:rPr>
        <w:t xml:space="preserve">       （供应商名称）       </w:t>
      </w:r>
      <w:r>
        <w:rPr>
          <w:rFonts w:hint="eastAsia" w:ascii="宋体" w:hAnsi="宋体"/>
          <w:color w:val="auto"/>
          <w:sz w:val="28"/>
          <w:szCs w:val="28"/>
          <w:highlight w:val="none"/>
          <w:lang w:val="zh-CN"/>
        </w:rPr>
        <w:t>的法定代表人。</w:t>
      </w:r>
    </w:p>
    <w:p>
      <w:pPr>
        <w:tabs>
          <w:tab w:val="left" w:pos="6300"/>
        </w:tabs>
        <w:spacing w:line="360" w:lineRule="auto"/>
        <w:ind w:firstLine="573"/>
        <w:rPr>
          <w:rFonts w:ascii="宋体" w:hAnsi="宋体"/>
          <w:color w:val="auto"/>
          <w:sz w:val="28"/>
          <w:szCs w:val="28"/>
          <w:highlight w:val="none"/>
          <w:lang w:val="zh-CN"/>
        </w:rPr>
      </w:pPr>
      <w:r>
        <w:rPr>
          <w:rFonts w:hint="eastAsia" w:ascii="宋体" w:hAnsi="宋体"/>
          <w:color w:val="auto"/>
          <w:sz w:val="28"/>
          <w:szCs w:val="28"/>
          <w:highlight w:val="none"/>
          <w:lang w:val="zh-CN"/>
        </w:rPr>
        <w:t>特此证明。</w:t>
      </w:r>
    </w:p>
    <w:p>
      <w:pPr>
        <w:tabs>
          <w:tab w:val="left" w:pos="6300"/>
        </w:tabs>
        <w:spacing w:line="360" w:lineRule="auto"/>
        <w:ind w:firstLine="573"/>
        <w:rPr>
          <w:rFonts w:ascii="宋体" w:hAnsi="宋体"/>
          <w:color w:val="auto"/>
          <w:sz w:val="28"/>
          <w:szCs w:val="28"/>
          <w:highlight w:val="none"/>
          <w:lang w:val="zh-CN"/>
        </w:rPr>
      </w:pPr>
    </w:p>
    <w:p>
      <w:pPr>
        <w:tabs>
          <w:tab w:val="left" w:pos="6300"/>
        </w:tabs>
        <w:spacing w:line="360" w:lineRule="auto"/>
        <w:ind w:firstLine="573"/>
        <w:rPr>
          <w:rFonts w:ascii="宋体" w:hAnsi="宋体"/>
          <w:color w:val="auto"/>
          <w:sz w:val="28"/>
          <w:szCs w:val="28"/>
          <w:highlight w:val="none"/>
          <w:lang w:val="zh-CN"/>
        </w:rPr>
      </w:pPr>
    </w:p>
    <w:p>
      <w:pPr>
        <w:tabs>
          <w:tab w:val="left" w:pos="6300"/>
        </w:tabs>
        <w:spacing w:line="360" w:lineRule="auto"/>
        <w:ind w:firstLine="573"/>
        <w:rPr>
          <w:rFonts w:ascii="宋体" w:hAnsi="宋体"/>
          <w:color w:val="auto"/>
          <w:sz w:val="28"/>
          <w:szCs w:val="28"/>
          <w:highlight w:val="none"/>
          <w:lang w:val="zh-CN"/>
        </w:rPr>
      </w:pPr>
    </w:p>
    <w:p>
      <w:pPr>
        <w:tabs>
          <w:tab w:val="left" w:pos="6300"/>
        </w:tabs>
        <w:spacing w:line="360" w:lineRule="auto"/>
        <w:ind w:firstLine="573"/>
        <w:rPr>
          <w:rFonts w:ascii="宋体" w:hAnsi="宋体"/>
          <w:color w:val="auto"/>
          <w:sz w:val="28"/>
          <w:szCs w:val="28"/>
          <w:highlight w:val="none"/>
          <w:lang w:val="zh-CN"/>
        </w:rPr>
      </w:pPr>
    </w:p>
    <w:p>
      <w:pPr>
        <w:tabs>
          <w:tab w:val="left" w:pos="6300"/>
        </w:tabs>
        <w:spacing w:line="360" w:lineRule="auto"/>
        <w:ind w:firstLine="573"/>
        <w:rPr>
          <w:rFonts w:ascii="宋体" w:hAnsi="宋体"/>
          <w:color w:val="auto"/>
          <w:sz w:val="28"/>
          <w:szCs w:val="28"/>
          <w:highlight w:val="none"/>
          <w:lang w:val="zh-CN"/>
        </w:rPr>
      </w:pPr>
    </w:p>
    <w:p>
      <w:pPr>
        <w:spacing w:line="360" w:lineRule="auto"/>
        <w:ind w:left="0" w:leftChars="0" w:firstLine="0" w:firstLineChars="0"/>
        <w:rPr>
          <w:rFonts w:ascii="宋体" w:hAnsi="宋体"/>
          <w:b/>
          <w:bCs/>
          <w:color w:val="auto"/>
          <w:sz w:val="32"/>
          <w:szCs w:val="32"/>
          <w:highlight w:val="none"/>
        </w:rPr>
      </w:pPr>
      <w:r>
        <w:rPr>
          <w:rFonts w:hint="eastAsia" w:ascii="宋体" w:hAnsi="宋体"/>
          <w:color w:val="auto"/>
          <w:sz w:val="28"/>
          <w:szCs w:val="28"/>
          <w:highlight w:val="none"/>
          <w:lang w:val="zh-CN"/>
        </w:rPr>
        <w:t>供应商名称：</w:t>
      </w:r>
      <w:r>
        <w:rPr>
          <w:rFonts w:hint="eastAsia" w:ascii="宋体" w:hAnsi="宋体"/>
          <w:color w:val="auto"/>
          <w:sz w:val="28"/>
          <w:szCs w:val="28"/>
          <w:highlight w:val="none"/>
          <w:u w:val="single"/>
          <w:lang w:val="zh-CN"/>
        </w:rPr>
        <w:t>XXXX</w:t>
      </w:r>
      <w:r>
        <w:rPr>
          <w:rFonts w:hint="eastAsia" w:ascii="宋体" w:hAnsi="宋体"/>
          <w:bCs/>
          <w:color w:val="auto"/>
          <w:sz w:val="28"/>
          <w:szCs w:val="28"/>
          <w:highlight w:val="none"/>
          <w:lang w:eastAsia="zh-CN"/>
        </w:rPr>
        <w:t>（加盖公章）</w:t>
      </w:r>
    </w:p>
    <w:p>
      <w:pPr>
        <w:spacing w:line="500" w:lineRule="exact"/>
        <w:ind w:right="560"/>
        <w:rPr>
          <w:rFonts w:ascii="宋体" w:hAnsi="宋体"/>
          <w:color w:val="auto"/>
          <w:sz w:val="28"/>
          <w:szCs w:val="28"/>
          <w:highlight w:val="none"/>
        </w:rPr>
      </w:pPr>
      <w:r>
        <w:rPr>
          <w:rFonts w:hint="eastAsia" w:ascii="宋体" w:hAnsi="宋体"/>
          <w:color w:val="auto"/>
          <w:sz w:val="28"/>
          <w:szCs w:val="28"/>
          <w:highlight w:val="none"/>
        </w:rPr>
        <w:t>日      期：</w:t>
      </w:r>
      <w:r>
        <w:rPr>
          <w:rFonts w:hint="eastAsia" w:ascii="宋体" w:hAnsi="宋体"/>
          <w:color w:val="auto"/>
          <w:sz w:val="28"/>
          <w:szCs w:val="28"/>
          <w:highlight w:val="none"/>
          <w:u w:val="single"/>
          <w:lang w:val="zh-CN"/>
        </w:rPr>
        <w:t>XX</w:t>
      </w:r>
      <w:r>
        <w:rPr>
          <w:rFonts w:hint="eastAsia" w:ascii="宋体" w:hAnsi="宋体"/>
          <w:color w:val="auto"/>
          <w:sz w:val="28"/>
          <w:szCs w:val="28"/>
          <w:highlight w:val="none"/>
        </w:rPr>
        <w:t>年</w:t>
      </w:r>
      <w:r>
        <w:rPr>
          <w:rFonts w:hint="eastAsia" w:ascii="宋体" w:hAnsi="宋体"/>
          <w:color w:val="auto"/>
          <w:sz w:val="28"/>
          <w:szCs w:val="28"/>
          <w:highlight w:val="none"/>
          <w:u w:val="single"/>
          <w:lang w:val="zh-CN"/>
        </w:rPr>
        <w:t>XX</w:t>
      </w:r>
      <w:r>
        <w:rPr>
          <w:rFonts w:hint="eastAsia" w:ascii="宋体" w:hAnsi="宋体"/>
          <w:color w:val="auto"/>
          <w:sz w:val="28"/>
          <w:szCs w:val="28"/>
          <w:highlight w:val="none"/>
        </w:rPr>
        <w:t>月</w:t>
      </w:r>
      <w:r>
        <w:rPr>
          <w:rFonts w:hint="eastAsia" w:ascii="宋体" w:hAnsi="宋体"/>
          <w:color w:val="auto"/>
          <w:sz w:val="28"/>
          <w:szCs w:val="28"/>
          <w:highlight w:val="none"/>
          <w:u w:val="single"/>
          <w:lang w:val="zh-CN"/>
        </w:rPr>
        <w:t>XX</w:t>
      </w:r>
      <w:r>
        <w:rPr>
          <w:rFonts w:hint="eastAsia" w:ascii="宋体" w:hAnsi="宋体"/>
          <w:color w:val="auto"/>
          <w:sz w:val="28"/>
          <w:szCs w:val="28"/>
          <w:highlight w:val="none"/>
        </w:rPr>
        <w:t>日</w:t>
      </w:r>
    </w:p>
    <w:p>
      <w:pPr>
        <w:spacing w:line="360" w:lineRule="auto"/>
        <w:rPr>
          <w:rFonts w:ascii="宋体" w:hAnsi="宋体"/>
          <w:color w:val="auto"/>
          <w:sz w:val="28"/>
          <w:szCs w:val="28"/>
          <w:highlight w:val="none"/>
          <w:lang w:val="zh-CN"/>
        </w:rPr>
      </w:pPr>
    </w:p>
    <w:p>
      <w:pPr>
        <w:spacing w:line="360" w:lineRule="auto"/>
        <w:ind w:firstLine="568" w:firstLineChars="202"/>
        <w:rPr>
          <w:rFonts w:ascii="宋体" w:hAnsi="宋体"/>
          <w:b/>
          <w:color w:val="auto"/>
          <w:sz w:val="28"/>
          <w:szCs w:val="28"/>
          <w:highlight w:val="none"/>
          <w:lang w:val="zh-CN"/>
        </w:rPr>
      </w:pPr>
      <w:r>
        <w:rPr>
          <w:rFonts w:hint="eastAsia" w:ascii="宋体" w:hAnsi="宋体"/>
          <w:b/>
          <w:color w:val="auto"/>
          <w:sz w:val="28"/>
          <w:szCs w:val="28"/>
          <w:highlight w:val="none"/>
          <w:lang w:val="zh-CN"/>
        </w:rPr>
        <w:t>说明：上述证明文件在施工响应文件中附有法定代表人身份证复印件（</w:t>
      </w:r>
      <w:r>
        <w:rPr>
          <w:rFonts w:ascii="宋体" w:hAnsi="宋体"/>
          <w:b/>
          <w:color w:val="auto"/>
          <w:sz w:val="28"/>
          <w:highlight w:val="none"/>
          <w:lang w:val="zh-CN"/>
        </w:rPr>
        <w:t>身份证</w:t>
      </w:r>
      <w:r>
        <w:rPr>
          <w:rFonts w:hint="eastAsia" w:ascii="宋体" w:hAnsi="宋体"/>
          <w:b/>
          <w:color w:val="auto"/>
          <w:sz w:val="28"/>
          <w:highlight w:val="none"/>
          <w:lang w:val="zh-CN"/>
        </w:rPr>
        <w:t>两面均应复印</w:t>
      </w:r>
      <w:r>
        <w:rPr>
          <w:rFonts w:hint="eastAsia" w:ascii="宋体" w:hAnsi="宋体"/>
          <w:b/>
          <w:color w:val="auto"/>
          <w:sz w:val="28"/>
          <w:szCs w:val="28"/>
          <w:highlight w:val="none"/>
          <w:lang w:val="zh-CN"/>
        </w:rPr>
        <w:t>）或护照复印件（供应商的法定代表人为外籍人士的，则提供护照复印件）时才能生效。</w:t>
      </w:r>
    </w:p>
    <w:p>
      <w:pPr>
        <w:pStyle w:val="2"/>
        <w:rPr>
          <w:color w:val="auto"/>
          <w:highlight w:val="none"/>
          <w:lang w:val="zh-CN"/>
        </w:rPr>
      </w:pPr>
    </w:p>
    <w:p>
      <w:pPr>
        <w:rPr>
          <w:color w:val="auto"/>
          <w:highlight w:val="none"/>
        </w:rPr>
      </w:pPr>
      <w:r>
        <w:rPr>
          <w:color w:val="auto"/>
          <w:highlight w:val="none"/>
          <w:lang w:val="zh-CN"/>
        </w:rPr>
        <w:br w:type="page"/>
      </w:r>
    </w:p>
    <w:p>
      <w:pPr>
        <w:pStyle w:val="5"/>
        <w:numPr>
          <w:ilvl w:val="3"/>
          <w:numId w:val="1"/>
        </w:numPr>
        <w:tabs>
          <w:tab w:val="left" w:pos="709"/>
        </w:tabs>
        <w:jc w:val="left"/>
        <w:rPr>
          <w:color w:val="auto"/>
        </w:rPr>
      </w:pPr>
      <w:r>
        <w:rPr>
          <w:rFonts w:hint="eastAsia"/>
          <w:color w:val="auto"/>
        </w:rPr>
        <w:t>法定代表人授权委托书</w:t>
      </w:r>
    </w:p>
    <w:p>
      <w:pPr>
        <w:shd w:val="clear"/>
        <w:snapToGrid w:val="0"/>
        <w:spacing w:line="620" w:lineRule="exact"/>
        <w:rPr>
          <w:rFonts w:ascii="宋体" w:hAnsi="宋体"/>
          <w:sz w:val="28"/>
          <w:szCs w:val="28"/>
        </w:rPr>
      </w:pPr>
      <w:r>
        <w:rPr>
          <w:rFonts w:hint="eastAsia" w:ascii="宋体" w:hAnsi="宋体"/>
          <w:sz w:val="28"/>
          <w:szCs w:val="28"/>
          <w:lang w:eastAsia="zh-CN"/>
        </w:rPr>
        <w:t>成都市锦江区政府采购中心</w:t>
      </w:r>
      <w:r>
        <w:rPr>
          <w:rFonts w:hint="eastAsia" w:ascii="宋体" w:hAnsi="宋体"/>
          <w:sz w:val="28"/>
          <w:szCs w:val="28"/>
        </w:rPr>
        <w:t>：</w:t>
      </w:r>
    </w:p>
    <w:p>
      <w:pPr>
        <w:shd w:val="clear"/>
        <w:snapToGrid w:val="0"/>
        <w:spacing w:line="620" w:lineRule="exact"/>
        <w:ind w:left="1" w:firstLine="565" w:firstLineChars="202"/>
        <w:rPr>
          <w:rFonts w:ascii="宋体" w:hAnsi="宋体"/>
          <w:sz w:val="28"/>
          <w:szCs w:val="28"/>
        </w:rPr>
      </w:pPr>
      <w:r>
        <w:rPr>
          <w:rFonts w:hint="eastAsia" w:ascii="宋体" w:hAnsi="宋体"/>
          <w:sz w:val="28"/>
          <w:szCs w:val="28"/>
          <w:u w:val="single"/>
        </w:rPr>
        <w:t>（供应商名称）</w:t>
      </w:r>
      <w:r>
        <w:rPr>
          <w:rFonts w:hint="eastAsia" w:ascii="宋体" w:hAnsi="宋体"/>
          <w:sz w:val="28"/>
          <w:szCs w:val="28"/>
        </w:rPr>
        <w:t>法定代表人</w:t>
      </w:r>
      <w:r>
        <w:rPr>
          <w:rFonts w:hint="eastAsia" w:ascii="宋体" w:hAnsi="宋体"/>
          <w:sz w:val="28"/>
          <w:szCs w:val="28"/>
          <w:u w:val="single"/>
        </w:rPr>
        <w:t>（法定代表人姓名）</w:t>
      </w:r>
      <w:r>
        <w:rPr>
          <w:rFonts w:hint="eastAsia" w:ascii="宋体" w:hAnsi="宋体"/>
          <w:sz w:val="28"/>
          <w:szCs w:val="28"/>
        </w:rPr>
        <w:t>授权委托</w:t>
      </w:r>
      <w:r>
        <w:rPr>
          <w:rFonts w:hint="eastAsia" w:ascii="宋体" w:hAnsi="宋体"/>
          <w:sz w:val="28"/>
          <w:szCs w:val="28"/>
          <w:u w:val="single"/>
        </w:rPr>
        <w:t>（代理人姓名）</w:t>
      </w:r>
      <w:r>
        <w:rPr>
          <w:rFonts w:hint="eastAsia" w:ascii="宋体" w:hAnsi="宋体"/>
          <w:sz w:val="28"/>
          <w:szCs w:val="28"/>
        </w:rPr>
        <w:t>为我的代理人，参加贵单位组织的</w:t>
      </w:r>
      <w:r>
        <w:rPr>
          <w:rFonts w:hint="eastAsia" w:ascii="宋体" w:hAnsi="宋体"/>
          <w:b/>
          <w:color w:val="auto"/>
          <w:sz w:val="28"/>
          <w:szCs w:val="28"/>
          <w:highlight w:val="none"/>
          <w:u w:val="single"/>
          <w:lang w:eastAsia="zh-CN"/>
        </w:rPr>
        <w:t>成都市第二幼儿园督院园区食堂改造工程项目</w:t>
      </w:r>
      <w:r>
        <w:rPr>
          <w:rFonts w:hint="eastAsia" w:ascii="宋体" w:hAnsi="宋体" w:cs="宋体"/>
          <w:b/>
          <w:sz w:val="28"/>
          <w:szCs w:val="28"/>
        </w:rPr>
        <w:t>（</w:t>
      </w:r>
      <w:r>
        <w:rPr>
          <w:rFonts w:hint="eastAsia" w:ascii="宋体" w:hAnsi="宋体" w:cs="宋体"/>
          <w:b/>
          <w:sz w:val="28"/>
          <w:szCs w:val="28"/>
          <w:u w:val="single"/>
        </w:rPr>
        <w:t>项目编号：</w:t>
      </w:r>
      <w:r>
        <w:rPr>
          <w:rFonts w:hint="eastAsia" w:ascii="宋体" w:hAnsi="宋体"/>
          <w:b/>
          <w:sz w:val="28"/>
          <w:szCs w:val="28"/>
          <w:u w:val="single"/>
          <w:lang w:eastAsia="zh-CN"/>
        </w:rPr>
        <w:t>锦江政采（2021）A00</w:t>
      </w:r>
      <w:r>
        <w:rPr>
          <w:rFonts w:hint="eastAsia" w:ascii="宋体" w:hAnsi="宋体"/>
          <w:b/>
          <w:sz w:val="28"/>
          <w:szCs w:val="28"/>
          <w:u w:val="single"/>
          <w:lang w:val="en-US" w:eastAsia="zh-CN"/>
        </w:rPr>
        <w:t>11</w:t>
      </w:r>
      <w:r>
        <w:rPr>
          <w:rFonts w:hint="eastAsia" w:ascii="宋体" w:hAnsi="宋体"/>
          <w:b/>
          <w:sz w:val="28"/>
          <w:szCs w:val="28"/>
          <w:u w:val="single"/>
          <w:lang w:eastAsia="zh-CN"/>
        </w:rPr>
        <w:t>号</w:t>
      </w:r>
      <w:r>
        <w:rPr>
          <w:rFonts w:hint="eastAsia" w:ascii="宋体" w:hAnsi="宋体"/>
          <w:b/>
          <w:sz w:val="28"/>
          <w:szCs w:val="28"/>
        </w:rPr>
        <w:t>）</w:t>
      </w:r>
      <w:r>
        <w:rPr>
          <w:rFonts w:hint="eastAsia" w:ascii="宋体" w:hAnsi="宋体"/>
          <w:sz w:val="28"/>
          <w:szCs w:val="28"/>
        </w:rPr>
        <w:t>的竞争性</w:t>
      </w:r>
      <w:r>
        <w:rPr>
          <w:rFonts w:hint="eastAsia" w:ascii="宋体" w:hAnsi="宋体"/>
          <w:sz w:val="28"/>
          <w:szCs w:val="28"/>
          <w:lang w:eastAsia="zh-CN"/>
        </w:rPr>
        <w:t>磋商</w:t>
      </w:r>
      <w:r>
        <w:rPr>
          <w:rFonts w:hint="eastAsia" w:ascii="宋体" w:hAnsi="宋体"/>
          <w:sz w:val="28"/>
          <w:szCs w:val="28"/>
        </w:rPr>
        <w:t>。代理人在本次竞争性</w:t>
      </w:r>
      <w:r>
        <w:rPr>
          <w:rFonts w:hint="eastAsia" w:ascii="宋体" w:hAnsi="宋体"/>
          <w:sz w:val="28"/>
          <w:szCs w:val="28"/>
          <w:lang w:eastAsia="zh-CN"/>
        </w:rPr>
        <w:t>磋商</w:t>
      </w:r>
      <w:r>
        <w:rPr>
          <w:rFonts w:hint="eastAsia" w:ascii="宋体" w:hAnsi="宋体"/>
          <w:sz w:val="28"/>
          <w:szCs w:val="28"/>
        </w:rPr>
        <w:t>中所签署的一切文件和处理的一切有关事宜，我单位均予承认，所产生的法律后果均由我单位承担。</w:t>
      </w:r>
    </w:p>
    <w:p>
      <w:pPr>
        <w:shd w:val="clear"/>
        <w:snapToGrid w:val="0"/>
        <w:spacing w:line="620" w:lineRule="exact"/>
        <w:ind w:firstLine="570"/>
        <w:rPr>
          <w:rFonts w:ascii="宋体" w:hAnsi="宋体"/>
          <w:b/>
          <w:sz w:val="28"/>
          <w:szCs w:val="28"/>
        </w:rPr>
      </w:pPr>
      <w:r>
        <w:rPr>
          <w:rFonts w:hint="eastAsia" w:ascii="宋体" w:hAnsi="宋体"/>
          <w:sz w:val="28"/>
          <w:szCs w:val="28"/>
        </w:rPr>
        <w:t>代理人无转委托权，本授权书</w:t>
      </w:r>
      <w:r>
        <w:rPr>
          <w:rFonts w:hint="eastAsia" w:ascii="宋体" w:hAnsi="宋体"/>
          <w:b/>
          <w:sz w:val="28"/>
          <w:szCs w:val="28"/>
        </w:rPr>
        <w:t>自</w:t>
      </w:r>
      <w:r>
        <w:rPr>
          <w:rFonts w:ascii="宋体" w:hAnsi="宋体"/>
          <w:b/>
          <w:sz w:val="28"/>
          <w:szCs w:val="28"/>
        </w:rPr>
        <w:t>XX年XX月XX日</w:t>
      </w:r>
      <w:r>
        <w:rPr>
          <w:rFonts w:ascii="宋体" w:hAnsi="宋体"/>
          <w:sz w:val="28"/>
          <w:szCs w:val="28"/>
        </w:rPr>
        <w:t>签字生效，特此声明。</w:t>
      </w:r>
    </w:p>
    <w:p>
      <w:pPr>
        <w:shd w:val="clear"/>
        <w:snapToGrid w:val="0"/>
        <w:spacing w:line="620" w:lineRule="exact"/>
        <w:ind w:firstLine="570"/>
        <w:rPr>
          <w:rFonts w:ascii="宋体" w:hAnsi="宋体"/>
          <w:sz w:val="28"/>
          <w:szCs w:val="28"/>
        </w:rPr>
      </w:pPr>
    </w:p>
    <w:p>
      <w:pPr>
        <w:shd w:val="clear"/>
        <w:snapToGrid w:val="0"/>
        <w:spacing w:line="620" w:lineRule="exact"/>
        <w:ind w:firstLine="570"/>
        <w:rPr>
          <w:rFonts w:ascii="宋体" w:hAnsi="宋体"/>
          <w:sz w:val="28"/>
          <w:szCs w:val="28"/>
        </w:rPr>
      </w:pPr>
    </w:p>
    <w:p>
      <w:pPr>
        <w:shd w:val="clear"/>
        <w:snapToGrid w:val="0"/>
        <w:spacing w:line="620" w:lineRule="exact"/>
        <w:ind w:firstLine="570"/>
        <w:rPr>
          <w:rFonts w:ascii="宋体" w:hAnsi="宋体"/>
          <w:sz w:val="28"/>
          <w:szCs w:val="28"/>
        </w:rPr>
      </w:pPr>
    </w:p>
    <w:p>
      <w:pPr>
        <w:shd w:val="clear"/>
        <w:snapToGrid w:val="0"/>
        <w:spacing w:line="620" w:lineRule="exact"/>
        <w:ind w:firstLine="570"/>
        <w:rPr>
          <w:rFonts w:ascii="宋体" w:hAnsi="宋体"/>
          <w:sz w:val="28"/>
          <w:szCs w:val="28"/>
        </w:rPr>
      </w:pPr>
      <w:r>
        <w:rPr>
          <w:rFonts w:hint="eastAsia" w:ascii="宋体" w:hAnsi="宋体"/>
          <w:sz w:val="28"/>
          <w:szCs w:val="28"/>
        </w:rPr>
        <w:t>法定代表人：</w:t>
      </w:r>
      <w:r>
        <w:rPr>
          <w:rFonts w:ascii="宋体" w:hAnsi="宋体"/>
          <w:sz w:val="28"/>
          <w:szCs w:val="28"/>
          <w:u w:val="single"/>
        </w:rPr>
        <w:t>XXXX</w:t>
      </w:r>
      <w:r>
        <w:rPr>
          <w:rFonts w:hint="eastAsia" w:ascii="宋体" w:hAnsi="宋体"/>
          <w:sz w:val="28"/>
          <w:szCs w:val="28"/>
        </w:rPr>
        <w:t>（签字或盖法定代表人印章）</w:t>
      </w:r>
    </w:p>
    <w:p>
      <w:pPr>
        <w:shd w:val="clear"/>
        <w:snapToGrid w:val="0"/>
        <w:spacing w:line="620" w:lineRule="exact"/>
        <w:ind w:firstLine="570"/>
        <w:rPr>
          <w:rFonts w:ascii="宋体" w:hAnsi="宋体"/>
          <w:sz w:val="28"/>
          <w:szCs w:val="28"/>
        </w:rPr>
      </w:pPr>
      <w:r>
        <w:rPr>
          <w:rFonts w:hint="eastAsia" w:ascii="宋体" w:hAnsi="宋体"/>
          <w:sz w:val="28"/>
          <w:szCs w:val="28"/>
        </w:rPr>
        <w:t>代理人：</w:t>
      </w:r>
      <w:r>
        <w:rPr>
          <w:rFonts w:ascii="宋体" w:hAnsi="宋体"/>
          <w:sz w:val="28"/>
          <w:szCs w:val="28"/>
          <w:u w:val="single"/>
        </w:rPr>
        <w:t>XXXX</w:t>
      </w:r>
      <w:r>
        <w:rPr>
          <w:rFonts w:hint="eastAsia" w:ascii="宋体" w:hAnsi="宋体"/>
          <w:sz w:val="28"/>
          <w:szCs w:val="28"/>
        </w:rPr>
        <w:t>（签字）</w:t>
      </w:r>
    </w:p>
    <w:p>
      <w:pPr>
        <w:shd w:val="clear"/>
        <w:snapToGrid w:val="0"/>
        <w:spacing w:line="620" w:lineRule="exact"/>
        <w:ind w:firstLine="560" w:firstLineChars="200"/>
        <w:rPr>
          <w:rFonts w:ascii="宋体" w:hAnsi="宋体"/>
          <w:sz w:val="28"/>
          <w:szCs w:val="28"/>
        </w:rPr>
      </w:pPr>
      <w:r>
        <w:rPr>
          <w:rFonts w:hint="eastAsia" w:ascii="宋体" w:hAnsi="宋体"/>
          <w:sz w:val="28"/>
          <w:szCs w:val="28"/>
        </w:rPr>
        <w:t>供应商名称：</w:t>
      </w:r>
      <w:r>
        <w:rPr>
          <w:rFonts w:ascii="宋体" w:hAnsi="宋体"/>
          <w:sz w:val="28"/>
          <w:szCs w:val="28"/>
          <w:u w:val="single"/>
        </w:rPr>
        <w:t>XXXX</w:t>
      </w:r>
      <w:r>
        <w:rPr>
          <w:rFonts w:hint="eastAsia" w:ascii="宋体" w:hAnsi="宋体"/>
          <w:sz w:val="28"/>
          <w:szCs w:val="28"/>
        </w:rPr>
        <w:t>（加盖公章）</w:t>
      </w:r>
    </w:p>
    <w:p>
      <w:pPr>
        <w:shd w:val="clear"/>
        <w:snapToGrid w:val="0"/>
        <w:spacing w:line="620" w:lineRule="exact"/>
        <w:ind w:firstLine="424" w:firstLineChars="151"/>
        <w:rPr>
          <w:rFonts w:ascii="宋体" w:hAnsi="宋体"/>
          <w:b/>
          <w:sz w:val="28"/>
          <w:szCs w:val="28"/>
        </w:rPr>
      </w:pPr>
    </w:p>
    <w:p>
      <w:pPr>
        <w:shd w:val="clear"/>
        <w:snapToGrid w:val="0"/>
        <w:spacing w:line="620" w:lineRule="exact"/>
        <w:ind w:firstLine="424" w:firstLineChars="151"/>
        <w:rPr>
          <w:rFonts w:ascii="宋体" w:hAnsi="宋体"/>
          <w:b/>
          <w:sz w:val="28"/>
          <w:szCs w:val="28"/>
        </w:rPr>
      </w:pPr>
      <w:r>
        <w:rPr>
          <w:rFonts w:hint="eastAsia" w:ascii="宋体" w:hAnsi="宋体"/>
          <w:b/>
          <w:sz w:val="28"/>
          <w:szCs w:val="28"/>
        </w:rPr>
        <w:t>说明：</w:t>
      </w:r>
    </w:p>
    <w:p>
      <w:pPr>
        <w:numPr>
          <w:ilvl w:val="0"/>
          <w:numId w:val="30"/>
        </w:numPr>
        <w:shd w:val="clear"/>
        <w:tabs>
          <w:tab w:val="left" w:pos="993"/>
        </w:tabs>
        <w:snapToGrid w:val="0"/>
        <w:spacing w:line="620" w:lineRule="exact"/>
        <w:ind w:left="0" w:firstLine="426"/>
        <w:rPr>
          <w:rFonts w:ascii="宋体" w:hAnsi="宋体"/>
          <w:b/>
          <w:sz w:val="28"/>
          <w:szCs w:val="28"/>
        </w:rPr>
      </w:pPr>
      <w:r>
        <w:rPr>
          <w:rFonts w:hint="eastAsia" w:ascii="宋体" w:hAnsi="宋体"/>
          <w:b/>
          <w:sz w:val="28"/>
          <w:szCs w:val="28"/>
          <w:lang w:val="zh-CN"/>
        </w:rPr>
        <w:t>上述证明文件在资格性施工响应文件中附有</w:t>
      </w:r>
      <w:r>
        <w:rPr>
          <w:rFonts w:hint="eastAsia" w:ascii="宋体" w:hAnsi="宋体"/>
          <w:b/>
          <w:sz w:val="28"/>
          <w:szCs w:val="28"/>
        </w:rPr>
        <w:t>代理人身份证复印件</w:t>
      </w:r>
      <w:r>
        <w:rPr>
          <w:rFonts w:ascii="宋体" w:hAnsi="宋体"/>
          <w:b/>
          <w:sz w:val="28"/>
          <w:lang w:val="zh-CN"/>
        </w:rPr>
        <w:t>（身份证</w:t>
      </w:r>
      <w:r>
        <w:rPr>
          <w:rFonts w:hint="eastAsia" w:ascii="宋体" w:hAnsi="宋体"/>
          <w:b/>
          <w:sz w:val="28"/>
          <w:lang w:val="zh-CN"/>
        </w:rPr>
        <w:t>两面均应复印</w:t>
      </w:r>
      <w:r>
        <w:rPr>
          <w:rFonts w:ascii="宋体" w:hAnsi="宋体"/>
          <w:b/>
          <w:sz w:val="28"/>
          <w:lang w:val="zh-CN"/>
        </w:rPr>
        <w:t>）</w:t>
      </w:r>
      <w:r>
        <w:rPr>
          <w:rFonts w:hint="eastAsia" w:ascii="宋体" w:hAnsi="宋体"/>
          <w:b/>
          <w:sz w:val="28"/>
          <w:szCs w:val="28"/>
        </w:rPr>
        <w:t>时才能生效；</w:t>
      </w:r>
    </w:p>
    <w:p>
      <w:pPr>
        <w:numPr>
          <w:ilvl w:val="0"/>
          <w:numId w:val="30"/>
        </w:numPr>
        <w:shd w:val="clear"/>
        <w:tabs>
          <w:tab w:val="left" w:pos="993"/>
        </w:tabs>
        <w:snapToGrid w:val="0"/>
        <w:spacing w:line="620" w:lineRule="exact"/>
        <w:ind w:left="0" w:firstLine="426"/>
        <w:rPr>
          <w:rFonts w:ascii="宋体" w:hAnsi="宋体"/>
          <w:b/>
          <w:sz w:val="28"/>
          <w:szCs w:val="28"/>
          <w:lang w:val="zh-CN"/>
        </w:rPr>
      </w:pPr>
      <w:r>
        <w:rPr>
          <w:rFonts w:hint="eastAsia" w:ascii="宋体" w:hAnsi="宋体"/>
          <w:b/>
          <w:sz w:val="28"/>
          <w:szCs w:val="28"/>
          <w:lang w:val="zh-CN"/>
        </w:rPr>
        <w:t>供应商法定代表人或其代理人应参加磋商，必须带身份证；</w:t>
      </w:r>
    </w:p>
    <w:p>
      <w:pPr>
        <w:numPr>
          <w:ilvl w:val="0"/>
          <w:numId w:val="30"/>
        </w:numPr>
        <w:shd w:val="clear"/>
        <w:tabs>
          <w:tab w:val="left" w:pos="993"/>
        </w:tabs>
        <w:snapToGrid w:val="0"/>
        <w:spacing w:line="620" w:lineRule="exact"/>
        <w:ind w:left="0" w:firstLine="426"/>
        <w:rPr>
          <w:rFonts w:ascii="宋体" w:hAnsi="宋体"/>
          <w:b/>
          <w:sz w:val="28"/>
          <w:szCs w:val="28"/>
          <w:lang w:val="zh-CN"/>
        </w:rPr>
      </w:pPr>
      <w:r>
        <w:rPr>
          <w:rFonts w:hint="eastAsia" w:ascii="宋体" w:hAnsi="宋体"/>
          <w:b/>
          <w:sz w:val="28"/>
          <w:szCs w:val="28"/>
          <w:lang w:val="zh-CN"/>
        </w:rPr>
        <w:t>供应商的施工响应文件均由供应商法定代表人签字的，可不提供该附件的内容。</w:t>
      </w:r>
    </w:p>
    <w:p>
      <w:pPr>
        <w:widowControl w:val="0"/>
        <w:shd w:val="clear"/>
        <w:tabs>
          <w:tab w:val="left" w:pos="630"/>
          <w:tab w:val="left" w:pos="1854"/>
          <w:tab w:val="left" w:pos="7560"/>
        </w:tabs>
        <w:snapToGrid w:val="0"/>
        <w:spacing w:line="360" w:lineRule="auto"/>
        <w:ind w:firstLine="551" w:firstLineChars="196"/>
        <w:jc w:val="both"/>
        <w:rPr>
          <w:rFonts w:ascii="宋体" w:hAnsi="宋体"/>
          <w:b/>
          <w:sz w:val="28"/>
        </w:rPr>
      </w:pPr>
    </w:p>
    <w:p>
      <w:pPr>
        <w:pStyle w:val="5"/>
        <w:numPr>
          <w:ilvl w:val="3"/>
          <w:numId w:val="1"/>
        </w:numPr>
        <w:tabs>
          <w:tab w:val="left" w:pos="709"/>
        </w:tabs>
        <w:jc w:val="left"/>
        <w:rPr>
          <w:color w:val="auto"/>
          <w:highlight w:val="none"/>
        </w:rPr>
      </w:pPr>
      <w:r>
        <w:rPr>
          <w:rFonts w:hint="eastAsia"/>
          <w:color w:val="auto"/>
          <w:highlight w:val="none"/>
          <w:lang w:eastAsia="zh-CN"/>
        </w:rPr>
        <w:t>承诺函</w:t>
      </w:r>
    </w:p>
    <w:p>
      <w:pPr>
        <w:snapToGrid w:val="0"/>
        <w:spacing w:line="360" w:lineRule="auto"/>
        <w:rPr>
          <w:rFonts w:ascii="宋体" w:hAnsi="宋体"/>
          <w:b/>
          <w:color w:val="auto"/>
          <w:sz w:val="28"/>
          <w:szCs w:val="28"/>
          <w:highlight w:val="none"/>
        </w:rPr>
      </w:pPr>
      <w:r>
        <w:rPr>
          <w:rFonts w:hint="eastAsia" w:ascii="宋体" w:hAnsi="宋体"/>
          <w:b/>
          <w:color w:val="auto"/>
          <w:sz w:val="28"/>
          <w:szCs w:val="28"/>
          <w:highlight w:val="none"/>
        </w:rPr>
        <w:t>项目名称：</w:t>
      </w:r>
      <w:r>
        <w:rPr>
          <w:rFonts w:hint="eastAsia" w:ascii="宋体" w:hAnsi="宋体"/>
          <w:b/>
          <w:color w:val="auto"/>
          <w:sz w:val="28"/>
          <w:szCs w:val="28"/>
          <w:highlight w:val="none"/>
          <w:lang w:eastAsia="zh-CN"/>
        </w:rPr>
        <w:t>成都市第二幼儿园督院园区食堂改造工程项目</w:t>
      </w:r>
    </w:p>
    <w:p>
      <w:pPr>
        <w:snapToGrid w:val="0"/>
        <w:spacing w:line="360" w:lineRule="auto"/>
        <w:rPr>
          <w:rFonts w:ascii="宋体" w:hAnsi="宋体"/>
          <w:color w:val="auto"/>
          <w:sz w:val="28"/>
          <w:szCs w:val="28"/>
          <w:highlight w:val="none"/>
        </w:rPr>
      </w:pPr>
      <w:r>
        <w:rPr>
          <w:rFonts w:hint="eastAsia" w:ascii="宋体" w:hAnsi="宋体"/>
          <w:b/>
          <w:color w:val="auto"/>
          <w:sz w:val="28"/>
          <w:highlight w:val="none"/>
        </w:rPr>
        <w:t>项目编号</w:t>
      </w:r>
      <w:r>
        <w:rPr>
          <w:rFonts w:hint="eastAsia" w:ascii="宋体" w:hAnsi="宋体"/>
          <w:b/>
          <w:color w:val="auto"/>
          <w:sz w:val="28"/>
          <w:szCs w:val="28"/>
          <w:highlight w:val="none"/>
        </w:rPr>
        <w:t>：</w:t>
      </w:r>
      <w:r>
        <w:rPr>
          <w:rFonts w:hint="eastAsia" w:ascii="宋体" w:hAnsi="宋体"/>
          <w:b/>
          <w:color w:val="auto"/>
          <w:sz w:val="28"/>
          <w:szCs w:val="28"/>
          <w:highlight w:val="none"/>
          <w:lang w:eastAsia="zh-CN"/>
        </w:rPr>
        <w:t>锦江政采（2021）A0011号</w:t>
      </w:r>
    </w:p>
    <w:p>
      <w:pPr>
        <w:snapToGrid w:val="0"/>
        <w:spacing w:line="360" w:lineRule="auto"/>
        <w:ind w:firstLine="560" w:firstLineChars="200"/>
        <w:rPr>
          <w:rFonts w:ascii="宋体" w:hAnsi="宋体"/>
          <w:color w:val="auto"/>
          <w:sz w:val="28"/>
          <w:highlight w:val="none"/>
        </w:rPr>
      </w:pPr>
      <w:r>
        <w:rPr>
          <w:rFonts w:hint="eastAsia" w:ascii="宋体" w:hAnsi="宋体"/>
          <w:color w:val="auto"/>
          <w:sz w:val="28"/>
          <w:highlight w:val="none"/>
        </w:rPr>
        <w:t>我公司作为参加</w:t>
      </w:r>
      <w:r>
        <w:rPr>
          <w:rFonts w:hint="eastAsia" w:ascii="宋体" w:hAnsi="宋体"/>
          <w:b/>
          <w:color w:val="auto"/>
          <w:sz w:val="28"/>
          <w:highlight w:val="none"/>
          <w:u w:val="single"/>
          <w:lang w:eastAsia="zh-CN"/>
        </w:rPr>
        <w:t>成都市第二幼儿园督院园区食堂改造工程项目</w:t>
      </w:r>
      <w:r>
        <w:rPr>
          <w:rFonts w:hint="eastAsia" w:ascii="宋体" w:hAnsi="宋体"/>
          <w:color w:val="auto"/>
          <w:sz w:val="28"/>
          <w:highlight w:val="none"/>
        </w:rPr>
        <w:t>的竞争性</w:t>
      </w:r>
      <w:r>
        <w:rPr>
          <w:rFonts w:hint="eastAsia" w:ascii="宋体" w:hAnsi="宋体"/>
          <w:color w:val="auto"/>
          <w:sz w:val="28"/>
          <w:highlight w:val="none"/>
          <w:lang w:eastAsia="zh-CN"/>
        </w:rPr>
        <w:t>磋商</w:t>
      </w:r>
      <w:r>
        <w:rPr>
          <w:rFonts w:hint="eastAsia" w:ascii="宋体" w:hAnsi="宋体"/>
          <w:color w:val="auto"/>
          <w:sz w:val="28"/>
          <w:highlight w:val="none"/>
        </w:rPr>
        <w:t>的供应商，在此郑重承诺：</w:t>
      </w:r>
    </w:p>
    <w:p>
      <w:pPr>
        <w:pStyle w:val="65"/>
        <w:numPr>
          <w:ilvl w:val="0"/>
          <w:numId w:val="31"/>
        </w:numPr>
        <w:tabs>
          <w:tab w:val="left" w:pos="1134"/>
        </w:tabs>
        <w:snapToGrid w:val="0"/>
        <w:spacing w:line="360" w:lineRule="auto"/>
        <w:ind w:left="0" w:firstLine="560" w:firstLineChars="0"/>
        <w:rPr>
          <w:rFonts w:cs="仿宋" w:asciiTheme="minorEastAsia" w:hAnsiTheme="minorEastAsia" w:eastAsiaTheme="minorEastAsia"/>
          <w:color w:val="auto"/>
          <w:sz w:val="28"/>
          <w:szCs w:val="28"/>
          <w:highlight w:val="none"/>
        </w:rPr>
      </w:pPr>
      <w:r>
        <w:rPr>
          <w:rFonts w:hint="eastAsia" w:cs="仿宋" w:asciiTheme="minorEastAsia" w:hAnsiTheme="minorEastAsia" w:eastAsiaTheme="minorEastAsia"/>
          <w:color w:val="auto"/>
          <w:sz w:val="28"/>
          <w:szCs w:val="28"/>
          <w:highlight w:val="none"/>
        </w:rPr>
        <w:t>为本项目提供的所有产品、辅材中</w:t>
      </w:r>
      <w:r>
        <w:rPr>
          <w:rFonts w:cs="仿宋" w:asciiTheme="minorEastAsia" w:hAnsiTheme="minorEastAsia" w:eastAsiaTheme="minorEastAsia"/>
          <w:color w:val="auto"/>
          <w:sz w:val="28"/>
          <w:szCs w:val="28"/>
          <w:highlight w:val="none"/>
        </w:rPr>
        <w:t>属于《国家强制性产品认证目录》范围内产品的，均通过国家强制性产品认证并取得认证证书。</w:t>
      </w:r>
    </w:p>
    <w:p>
      <w:pPr>
        <w:pStyle w:val="65"/>
        <w:numPr>
          <w:ilvl w:val="0"/>
          <w:numId w:val="31"/>
        </w:numPr>
        <w:tabs>
          <w:tab w:val="left" w:pos="1134"/>
        </w:tabs>
        <w:snapToGrid w:val="0"/>
        <w:spacing w:line="360" w:lineRule="auto"/>
        <w:ind w:left="0" w:firstLine="560" w:firstLineChars="0"/>
        <w:rPr>
          <w:rFonts w:cs="仿宋" w:asciiTheme="minorEastAsia" w:hAnsiTheme="minorEastAsia" w:eastAsiaTheme="minorEastAsia"/>
          <w:color w:val="auto"/>
          <w:sz w:val="28"/>
          <w:szCs w:val="28"/>
          <w:highlight w:val="none"/>
        </w:rPr>
      </w:pPr>
      <w:r>
        <w:rPr>
          <w:rFonts w:hint="eastAsia" w:cs="仿宋" w:asciiTheme="minorEastAsia" w:hAnsiTheme="minorEastAsia" w:eastAsiaTheme="minorEastAsia"/>
          <w:color w:val="auto"/>
          <w:sz w:val="28"/>
          <w:szCs w:val="28"/>
          <w:highlight w:val="none"/>
        </w:rPr>
        <w:t>为本项目提供的所有产品、辅材等符合现行的强制性国家相关标准、行业标准。</w:t>
      </w:r>
    </w:p>
    <w:p>
      <w:pPr>
        <w:pStyle w:val="65"/>
        <w:numPr>
          <w:ilvl w:val="0"/>
          <w:numId w:val="31"/>
        </w:numPr>
        <w:tabs>
          <w:tab w:val="left" w:pos="1134"/>
        </w:tabs>
        <w:snapToGrid w:val="0"/>
        <w:spacing w:line="360" w:lineRule="auto"/>
        <w:ind w:left="0" w:firstLine="560" w:firstLineChars="0"/>
        <w:rPr>
          <w:rFonts w:cs="仿宋" w:asciiTheme="minorEastAsia" w:hAnsiTheme="minorEastAsia" w:eastAsiaTheme="minorEastAsia"/>
          <w:color w:val="auto"/>
          <w:sz w:val="28"/>
          <w:szCs w:val="28"/>
          <w:highlight w:val="none"/>
        </w:rPr>
      </w:pPr>
      <w:r>
        <w:rPr>
          <w:rFonts w:hint="eastAsia" w:cs="仿宋" w:asciiTheme="minorEastAsia" w:hAnsiTheme="minorEastAsia" w:eastAsiaTheme="minorEastAsia"/>
          <w:color w:val="auto"/>
          <w:sz w:val="28"/>
          <w:szCs w:val="28"/>
          <w:highlight w:val="none"/>
        </w:rPr>
        <w:t>我方为本项目提供的所有产品中属于节能产品政府采购品目清单中的政府强制采购产品的，均具有国家确定的认证机构出具的有效期内的节能产品认证证书。</w:t>
      </w:r>
    </w:p>
    <w:p>
      <w:pPr>
        <w:pStyle w:val="65"/>
        <w:numPr>
          <w:ilvl w:val="0"/>
          <w:numId w:val="31"/>
        </w:numPr>
        <w:tabs>
          <w:tab w:val="left" w:pos="1134"/>
        </w:tabs>
        <w:snapToGrid w:val="0"/>
        <w:spacing w:line="360" w:lineRule="auto"/>
        <w:ind w:left="0" w:firstLine="560" w:firstLineChars="0"/>
        <w:rPr>
          <w:rFonts w:cs="仿宋" w:asciiTheme="minorEastAsia" w:hAnsiTheme="minorEastAsia" w:eastAsiaTheme="minorEastAsia"/>
          <w:color w:val="auto"/>
          <w:sz w:val="28"/>
          <w:szCs w:val="28"/>
          <w:highlight w:val="none"/>
        </w:rPr>
      </w:pPr>
      <w:r>
        <w:rPr>
          <w:rFonts w:hint="eastAsia" w:cs="仿宋" w:asciiTheme="minorEastAsia" w:hAnsiTheme="minorEastAsia" w:eastAsiaTheme="minorEastAsia"/>
          <w:color w:val="auto"/>
          <w:sz w:val="28"/>
          <w:szCs w:val="28"/>
          <w:highlight w:val="none"/>
        </w:rPr>
        <w:t>我方承诺为本工程项目实施涉及的商品包装和快递包装，均符合财政部等三部门联合印发商品包装和快递包装政府采购需求标准（试行）（财办库[2020]123号）的要求。</w:t>
      </w:r>
    </w:p>
    <w:p>
      <w:pPr>
        <w:pStyle w:val="65"/>
        <w:numPr>
          <w:ilvl w:val="0"/>
          <w:numId w:val="31"/>
        </w:numPr>
        <w:tabs>
          <w:tab w:val="left" w:pos="1134"/>
        </w:tabs>
        <w:snapToGrid w:val="0"/>
        <w:spacing w:line="360" w:lineRule="auto"/>
        <w:ind w:left="0" w:firstLine="560" w:firstLineChars="0"/>
        <w:rPr>
          <w:rFonts w:cs="仿宋" w:asciiTheme="minorEastAsia" w:hAnsiTheme="minorEastAsia" w:eastAsiaTheme="minorEastAsia"/>
          <w:color w:val="auto"/>
          <w:sz w:val="28"/>
          <w:szCs w:val="28"/>
          <w:highlight w:val="none"/>
        </w:rPr>
      </w:pPr>
      <w:r>
        <w:rPr>
          <w:rFonts w:hint="eastAsia" w:cs="仿宋" w:asciiTheme="minorEastAsia" w:hAnsiTheme="minorEastAsia" w:eastAsiaTheme="minorEastAsia"/>
          <w:color w:val="auto"/>
          <w:sz w:val="28"/>
          <w:szCs w:val="28"/>
          <w:highlight w:val="none"/>
        </w:rPr>
        <w:t>我方承诺为本项目提供的工程、货物及服务均为本国工程、货物及服务。</w:t>
      </w:r>
    </w:p>
    <w:p>
      <w:pPr>
        <w:pStyle w:val="65"/>
        <w:numPr>
          <w:ilvl w:val="0"/>
          <w:numId w:val="31"/>
        </w:numPr>
        <w:tabs>
          <w:tab w:val="left" w:pos="1134"/>
        </w:tabs>
        <w:snapToGrid w:val="0"/>
        <w:spacing w:line="360" w:lineRule="auto"/>
        <w:ind w:left="0" w:firstLine="560" w:firstLineChars="0"/>
        <w:rPr>
          <w:rFonts w:cs="仿宋" w:asciiTheme="minorEastAsia" w:hAnsiTheme="minorEastAsia" w:eastAsiaTheme="minorEastAsia"/>
          <w:color w:val="auto"/>
          <w:sz w:val="28"/>
          <w:szCs w:val="28"/>
          <w:highlight w:val="none"/>
        </w:rPr>
      </w:pPr>
      <w:r>
        <w:rPr>
          <w:rFonts w:hint="eastAsia" w:cs="仿宋" w:asciiTheme="minorEastAsia" w:hAnsiTheme="minorEastAsia" w:eastAsiaTheme="minorEastAsia"/>
          <w:color w:val="auto"/>
          <w:sz w:val="28"/>
          <w:szCs w:val="28"/>
          <w:highlight w:val="none"/>
        </w:rPr>
        <w:t>我方承诺严格按照工程量清单、工程量清单编制说明、设计图纸进行施工，工程施工满足当地建设行政主管部门对工程建设的有关规定，并按经批准的施工组织设计实施，并符合施工规范及验收标准的相关要求。</w:t>
      </w:r>
    </w:p>
    <w:p>
      <w:pPr>
        <w:pStyle w:val="65"/>
        <w:numPr>
          <w:ilvl w:val="0"/>
          <w:numId w:val="31"/>
        </w:numPr>
        <w:tabs>
          <w:tab w:val="left" w:pos="1134"/>
        </w:tabs>
        <w:snapToGrid w:val="0"/>
        <w:spacing w:line="360" w:lineRule="auto"/>
        <w:ind w:left="0" w:firstLine="560" w:firstLineChars="0"/>
        <w:rPr>
          <w:rFonts w:cs="仿宋" w:asciiTheme="minorEastAsia" w:hAnsiTheme="minorEastAsia" w:eastAsiaTheme="minorEastAsia"/>
          <w:color w:val="auto"/>
          <w:sz w:val="28"/>
          <w:szCs w:val="28"/>
          <w:highlight w:val="none"/>
        </w:rPr>
      </w:pPr>
      <w:r>
        <w:rPr>
          <w:rFonts w:hint="eastAsia" w:cs="仿宋" w:asciiTheme="minorEastAsia" w:hAnsiTheme="minorEastAsia" w:eastAsiaTheme="minorEastAsia"/>
          <w:color w:val="auto"/>
          <w:sz w:val="28"/>
          <w:szCs w:val="28"/>
          <w:highlight w:val="none"/>
        </w:rPr>
        <w:t>我单位具有《四川省政府采购当事人诚信管理办法》（川财采</w:t>
      </w:r>
      <w:r>
        <w:rPr>
          <w:rFonts w:cs="仿宋" w:asciiTheme="minorEastAsia" w:hAnsiTheme="minorEastAsia" w:eastAsiaTheme="minorEastAsia"/>
          <w:color w:val="auto"/>
          <w:sz w:val="28"/>
          <w:szCs w:val="28"/>
          <w:highlight w:val="none"/>
        </w:rPr>
        <w:t>[2015]33</w:t>
      </w:r>
      <w:r>
        <w:rPr>
          <w:rFonts w:hint="eastAsia" w:cs="仿宋" w:asciiTheme="minorEastAsia" w:hAnsiTheme="minorEastAsia" w:eastAsiaTheme="minorEastAsia"/>
          <w:color w:val="auto"/>
          <w:sz w:val="28"/>
          <w:szCs w:val="28"/>
          <w:highlight w:val="none"/>
        </w:rPr>
        <w:t>号）所规定的失信行为</w:t>
      </w:r>
      <w:r>
        <w:rPr>
          <w:rFonts w:hint="eastAsia" w:cs="仿宋" w:asciiTheme="minorEastAsia" w:hAnsiTheme="minorEastAsia" w:eastAsiaTheme="minorEastAsia"/>
          <w:b/>
          <w:color w:val="auto"/>
          <w:sz w:val="28"/>
          <w:szCs w:val="28"/>
          <w:highlight w:val="none"/>
          <w:u w:val="single"/>
        </w:rPr>
        <w:t>　　</w:t>
      </w:r>
      <w:r>
        <w:rPr>
          <w:rFonts w:cs="仿宋" w:asciiTheme="minorEastAsia" w:hAnsiTheme="minorEastAsia" w:eastAsiaTheme="minorEastAsia"/>
          <w:b/>
          <w:color w:val="auto"/>
          <w:sz w:val="28"/>
          <w:szCs w:val="28"/>
          <w:highlight w:val="none"/>
          <w:u w:val="single"/>
        </w:rPr>
        <w:t>XXXX</w:t>
      </w:r>
      <w:r>
        <w:rPr>
          <w:rFonts w:hint="eastAsia" w:cs="仿宋" w:asciiTheme="minorEastAsia" w:hAnsiTheme="minorEastAsia" w:eastAsiaTheme="minorEastAsia"/>
          <w:b/>
          <w:color w:val="auto"/>
          <w:sz w:val="28"/>
          <w:szCs w:val="28"/>
          <w:highlight w:val="none"/>
          <w:u w:val="single"/>
        </w:rPr>
        <w:t>　　</w:t>
      </w:r>
      <w:r>
        <w:rPr>
          <w:rFonts w:hint="eastAsia" w:cs="仿宋" w:asciiTheme="minorEastAsia" w:hAnsiTheme="minorEastAsia" w:eastAsiaTheme="minorEastAsia"/>
          <w:b/>
          <w:color w:val="auto"/>
          <w:sz w:val="28"/>
          <w:szCs w:val="28"/>
          <w:highlight w:val="none"/>
        </w:rPr>
        <w:t>次</w:t>
      </w:r>
      <w:r>
        <w:rPr>
          <w:rFonts w:hint="eastAsia" w:cs="仿宋" w:asciiTheme="minorEastAsia" w:hAnsiTheme="minorEastAsia" w:eastAsiaTheme="minorEastAsia"/>
          <w:color w:val="auto"/>
          <w:sz w:val="28"/>
          <w:szCs w:val="28"/>
          <w:highlight w:val="none"/>
        </w:rPr>
        <w:t>。（说明：（１）填写失信行为的次数时，建议使用大写数字，如零、壹、贰、叁、肆等。（２）仅限递交施工响应文件截止当日仍在有效期的次数）</w:t>
      </w:r>
    </w:p>
    <w:p>
      <w:pPr>
        <w:pStyle w:val="65"/>
        <w:numPr>
          <w:ilvl w:val="0"/>
          <w:numId w:val="31"/>
        </w:numPr>
        <w:tabs>
          <w:tab w:val="left" w:pos="1134"/>
        </w:tabs>
        <w:snapToGrid w:val="0"/>
        <w:spacing w:line="360" w:lineRule="auto"/>
        <w:ind w:left="0" w:firstLine="560" w:firstLineChars="0"/>
        <w:rPr>
          <w:rFonts w:cs="仿宋" w:asciiTheme="minorEastAsia" w:hAnsiTheme="minorEastAsia" w:eastAsiaTheme="minorEastAsia"/>
          <w:color w:val="auto"/>
          <w:sz w:val="28"/>
          <w:szCs w:val="28"/>
          <w:highlight w:val="none"/>
        </w:rPr>
      </w:pPr>
      <w:r>
        <w:rPr>
          <w:rFonts w:hint="eastAsia" w:cs="仿宋" w:asciiTheme="minorEastAsia" w:hAnsiTheme="minorEastAsia" w:eastAsiaTheme="minorEastAsia"/>
          <w:color w:val="auto"/>
          <w:sz w:val="28"/>
          <w:szCs w:val="28"/>
          <w:highlight w:val="none"/>
        </w:rPr>
        <w:t>在参加本次采购活动中，不存在与单位负责人为同一人或者存在直接控股、管理关系的其他供应商参与同一合同项下的政府采购活动的行为。</w:t>
      </w:r>
    </w:p>
    <w:p>
      <w:pPr>
        <w:pStyle w:val="65"/>
        <w:numPr>
          <w:ilvl w:val="0"/>
          <w:numId w:val="31"/>
        </w:numPr>
        <w:tabs>
          <w:tab w:val="left" w:pos="1134"/>
        </w:tabs>
        <w:snapToGrid w:val="0"/>
        <w:spacing w:line="360" w:lineRule="auto"/>
        <w:ind w:left="0" w:firstLine="560" w:firstLineChars="0"/>
        <w:rPr>
          <w:rFonts w:cs="仿宋" w:asciiTheme="minorEastAsia" w:hAnsiTheme="minorEastAsia" w:eastAsiaTheme="minorEastAsia"/>
          <w:color w:val="auto"/>
          <w:sz w:val="28"/>
          <w:szCs w:val="28"/>
          <w:highlight w:val="none"/>
        </w:rPr>
      </w:pPr>
      <w:r>
        <w:rPr>
          <w:rFonts w:hint="eastAsia" w:cs="仿宋" w:asciiTheme="minorEastAsia" w:hAnsiTheme="minorEastAsia" w:eastAsiaTheme="minorEastAsia"/>
          <w:color w:val="auto"/>
          <w:sz w:val="28"/>
          <w:szCs w:val="28"/>
          <w:highlight w:val="none"/>
        </w:rPr>
        <w:t>为采购项目提供整体设计、规范编制或者项目管理、监理、检测等服务的供应商，不得再参加该采购项目的其他采购活动，我方承诺不属于此类禁止参加本项目的供应商。</w:t>
      </w:r>
    </w:p>
    <w:p>
      <w:pPr>
        <w:pStyle w:val="65"/>
        <w:numPr>
          <w:ilvl w:val="0"/>
          <w:numId w:val="31"/>
        </w:numPr>
        <w:tabs>
          <w:tab w:val="left" w:pos="1134"/>
        </w:tabs>
        <w:snapToGrid w:val="0"/>
        <w:spacing w:line="360" w:lineRule="auto"/>
        <w:ind w:left="0" w:firstLine="560" w:firstLineChars="0"/>
        <w:rPr>
          <w:rFonts w:cs="仿宋" w:asciiTheme="minorEastAsia" w:hAnsiTheme="minorEastAsia" w:eastAsiaTheme="minorEastAsia"/>
          <w:color w:val="auto"/>
          <w:sz w:val="28"/>
          <w:szCs w:val="28"/>
          <w:highlight w:val="none"/>
        </w:rPr>
      </w:pPr>
      <w:r>
        <w:rPr>
          <w:rFonts w:hint="eastAsia" w:cs="仿宋" w:asciiTheme="minorEastAsia" w:hAnsiTheme="minorEastAsia" w:eastAsiaTheme="minorEastAsia"/>
          <w:color w:val="auto"/>
          <w:sz w:val="28"/>
          <w:szCs w:val="28"/>
          <w:highlight w:val="none"/>
        </w:rPr>
        <w:t>在参加本次采购活动中，不存在和其他供应商在同一合同项下的采购项目中，同时委托同一个自然人、同一家庭的人员、同一单位的人员作为代理人的行为。</w:t>
      </w:r>
    </w:p>
    <w:p>
      <w:pPr>
        <w:pStyle w:val="65"/>
        <w:numPr>
          <w:ilvl w:val="0"/>
          <w:numId w:val="31"/>
        </w:numPr>
        <w:tabs>
          <w:tab w:val="left" w:pos="1134"/>
        </w:tabs>
        <w:snapToGrid w:val="0"/>
        <w:spacing w:line="360" w:lineRule="auto"/>
        <w:ind w:left="0" w:firstLine="560" w:firstLineChars="0"/>
        <w:rPr>
          <w:rFonts w:cs="仿宋" w:asciiTheme="minorEastAsia" w:hAnsiTheme="minorEastAsia" w:eastAsiaTheme="minorEastAsia"/>
          <w:color w:val="auto"/>
          <w:sz w:val="28"/>
          <w:szCs w:val="28"/>
          <w:highlight w:val="none"/>
        </w:rPr>
      </w:pPr>
      <w:r>
        <w:rPr>
          <w:rFonts w:hint="eastAsia" w:cs="仿宋" w:asciiTheme="minorEastAsia" w:hAnsiTheme="minorEastAsia" w:eastAsiaTheme="minorEastAsia"/>
          <w:color w:val="auto"/>
          <w:sz w:val="28"/>
          <w:szCs w:val="28"/>
          <w:highlight w:val="none"/>
        </w:rPr>
        <w:t>我单位承诺中标后为本项目</w:t>
      </w:r>
      <w:r>
        <w:rPr>
          <w:rFonts w:cs="仿宋" w:asciiTheme="minorEastAsia" w:hAnsiTheme="minorEastAsia" w:eastAsiaTheme="minorEastAsia"/>
          <w:color w:val="auto"/>
          <w:sz w:val="28"/>
          <w:szCs w:val="28"/>
          <w:highlight w:val="none"/>
        </w:rPr>
        <w:t>提供</w:t>
      </w:r>
      <w:r>
        <w:rPr>
          <w:rFonts w:hint="eastAsia" w:cs="仿宋" w:asciiTheme="minorEastAsia" w:hAnsiTheme="minorEastAsia" w:eastAsiaTheme="minorEastAsia"/>
          <w:color w:val="auto"/>
          <w:sz w:val="28"/>
          <w:szCs w:val="28"/>
          <w:highlight w:val="none"/>
        </w:rPr>
        <w:t>项目经理的</w:t>
      </w:r>
      <w:r>
        <w:rPr>
          <w:rFonts w:cs="仿宋" w:asciiTheme="minorEastAsia" w:hAnsiTheme="minorEastAsia" w:eastAsiaTheme="minorEastAsia"/>
          <w:color w:val="auto"/>
          <w:sz w:val="28"/>
          <w:szCs w:val="28"/>
          <w:highlight w:val="none"/>
        </w:rPr>
        <w:t>注册资格证书原件后</w:t>
      </w:r>
      <w:r>
        <w:rPr>
          <w:rFonts w:hint="eastAsia" w:cs="仿宋" w:asciiTheme="minorEastAsia" w:hAnsiTheme="minorEastAsia" w:eastAsiaTheme="minorEastAsia"/>
          <w:color w:val="auto"/>
          <w:sz w:val="28"/>
          <w:szCs w:val="28"/>
          <w:highlight w:val="none"/>
        </w:rPr>
        <w:t>再</w:t>
      </w:r>
      <w:r>
        <w:rPr>
          <w:rFonts w:cs="仿宋" w:asciiTheme="minorEastAsia" w:hAnsiTheme="minorEastAsia" w:eastAsiaTheme="minorEastAsia"/>
          <w:color w:val="auto"/>
          <w:sz w:val="28"/>
          <w:szCs w:val="28"/>
          <w:highlight w:val="none"/>
        </w:rPr>
        <w:t>签订合同，至合同标的的主体工程完工后才能退还。</w:t>
      </w:r>
    </w:p>
    <w:p>
      <w:pPr>
        <w:pStyle w:val="65"/>
        <w:numPr>
          <w:ilvl w:val="0"/>
          <w:numId w:val="31"/>
        </w:numPr>
        <w:tabs>
          <w:tab w:val="left" w:pos="1418"/>
        </w:tabs>
        <w:snapToGrid w:val="0"/>
        <w:spacing w:line="360" w:lineRule="auto"/>
        <w:ind w:left="0" w:firstLine="560" w:firstLineChars="0"/>
        <w:rPr>
          <w:rFonts w:cs="仿宋" w:asciiTheme="minorEastAsia" w:hAnsiTheme="minorEastAsia" w:eastAsiaTheme="minorEastAsia"/>
          <w:color w:val="auto"/>
          <w:sz w:val="28"/>
          <w:szCs w:val="28"/>
          <w:highlight w:val="none"/>
        </w:rPr>
      </w:pPr>
      <w:r>
        <w:rPr>
          <w:rFonts w:hint="eastAsia" w:cs="仿宋" w:asciiTheme="minorEastAsia" w:hAnsiTheme="minorEastAsia" w:eastAsiaTheme="minorEastAsia"/>
          <w:color w:val="auto"/>
          <w:sz w:val="28"/>
          <w:szCs w:val="28"/>
          <w:highlight w:val="none"/>
        </w:rPr>
        <w:t>如果有《四川省政府采购当事人诚信管理办法》（川财采</w:t>
      </w:r>
      <w:r>
        <w:rPr>
          <w:rFonts w:cs="仿宋" w:asciiTheme="minorEastAsia" w:hAnsiTheme="minorEastAsia" w:eastAsiaTheme="minorEastAsia"/>
          <w:color w:val="auto"/>
          <w:sz w:val="28"/>
          <w:szCs w:val="28"/>
          <w:highlight w:val="none"/>
        </w:rPr>
        <w:t>[2015]33</w:t>
      </w:r>
      <w:r>
        <w:rPr>
          <w:rFonts w:hint="eastAsia" w:cs="仿宋" w:asciiTheme="minorEastAsia" w:hAnsiTheme="minorEastAsia" w:eastAsiaTheme="minorEastAsia"/>
          <w:color w:val="auto"/>
          <w:sz w:val="28"/>
          <w:szCs w:val="28"/>
          <w:highlight w:val="none"/>
        </w:rPr>
        <w:t>号）规定的记入诚信档案的失信行为，将在施工响应文件中全面如实反映。</w:t>
      </w:r>
    </w:p>
    <w:p>
      <w:pPr>
        <w:pStyle w:val="65"/>
        <w:numPr>
          <w:ilvl w:val="0"/>
          <w:numId w:val="31"/>
        </w:numPr>
        <w:tabs>
          <w:tab w:val="left" w:pos="1418"/>
        </w:tabs>
        <w:snapToGrid w:val="0"/>
        <w:spacing w:line="360" w:lineRule="auto"/>
        <w:ind w:left="0" w:firstLine="560" w:firstLineChars="0"/>
        <w:rPr>
          <w:rFonts w:cs="仿宋" w:asciiTheme="minorEastAsia" w:hAnsiTheme="minorEastAsia" w:eastAsiaTheme="minorEastAsia"/>
          <w:color w:val="auto"/>
          <w:sz w:val="28"/>
          <w:szCs w:val="28"/>
          <w:highlight w:val="none"/>
        </w:rPr>
      </w:pPr>
      <w:r>
        <w:rPr>
          <w:rFonts w:hint="eastAsia" w:cs="仿宋" w:asciiTheme="minorEastAsia" w:hAnsiTheme="minorEastAsia" w:eastAsiaTheme="minorEastAsia"/>
          <w:color w:val="auto"/>
          <w:sz w:val="28"/>
          <w:szCs w:val="28"/>
          <w:highlight w:val="none"/>
        </w:rPr>
        <w:t>施工响应文件中提供的任何资料和技术、服务、商务等响应承诺情况都是真实的、有效的、合法的。</w:t>
      </w:r>
    </w:p>
    <w:p>
      <w:pPr>
        <w:pStyle w:val="65"/>
        <w:numPr>
          <w:ilvl w:val="0"/>
          <w:numId w:val="31"/>
        </w:numPr>
        <w:tabs>
          <w:tab w:val="left" w:pos="1418"/>
        </w:tabs>
        <w:snapToGrid w:val="0"/>
        <w:spacing w:line="360" w:lineRule="auto"/>
        <w:ind w:left="0" w:firstLine="560" w:firstLineChars="0"/>
        <w:rPr>
          <w:rFonts w:cs="仿宋" w:asciiTheme="minorEastAsia" w:hAnsiTheme="minorEastAsia" w:eastAsiaTheme="minorEastAsia"/>
          <w:color w:val="auto"/>
          <w:sz w:val="28"/>
          <w:szCs w:val="28"/>
          <w:highlight w:val="none"/>
        </w:rPr>
      </w:pPr>
      <w:r>
        <w:rPr>
          <w:rFonts w:hint="eastAsia" w:cs="仿宋" w:asciiTheme="minorEastAsia" w:hAnsiTheme="minorEastAsia" w:eastAsiaTheme="minorEastAsia"/>
          <w:color w:val="auto"/>
          <w:sz w:val="28"/>
          <w:szCs w:val="28"/>
          <w:highlight w:val="none"/>
        </w:rPr>
        <w:t>如本项目</w:t>
      </w:r>
      <w:r>
        <w:rPr>
          <w:rFonts w:hint="eastAsia" w:cs="仿宋" w:asciiTheme="minorEastAsia" w:hAnsiTheme="minorEastAsia" w:eastAsiaTheme="minorEastAsia"/>
          <w:color w:val="auto"/>
          <w:sz w:val="28"/>
          <w:szCs w:val="28"/>
          <w:highlight w:val="none"/>
          <w:lang w:eastAsia="zh-CN"/>
        </w:rPr>
        <w:t>磋商</w:t>
      </w:r>
      <w:r>
        <w:rPr>
          <w:rFonts w:hint="eastAsia" w:cs="仿宋" w:asciiTheme="minorEastAsia" w:hAnsiTheme="minorEastAsia" w:eastAsiaTheme="minorEastAsia"/>
          <w:color w:val="auto"/>
          <w:sz w:val="28"/>
          <w:szCs w:val="28"/>
          <w:highlight w:val="none"/>
        </w:rPr>
        <w:t>采购过程中需要提供样品，则我方提供的样品即为成交后将要提供的成交产品，我方对提供样品的性能和质量负责，因样品存在缺陷或者不符合</w:t>
      </w:r>
      <w:r>
        <w:rPr>
          <w:rFonts w:hint="eastAsia" w:cs="仿宋" w:asciiTheme="minorEastAsia" w:hAnsiTheme="minorEastAsia" w:eastAsiaTheme="minorEastAsia"/>
          <w:color w:val="auto"/>
          <w:sz w:val="28"/>
          <w:szCs w:val="28"/>
          <w:highlight w:val="none"/>
          <w:lang w:eastAsia="zh-CN"/>
        </w:rPr>
        <w:t>磋商</w:t>
      </w:r>
      <w:r>
        <w:rPr>
          <w:rFonts w:hint="eastAsia" w:cs="仿宋" w:asciiTheme="minorEastAsia" w:hAnsiTheme="minorEastAsia" w:eastAsiaTheme="minorEastAsia"/>
          <w:color w:val="auto"/>
          <w:sz w:val="28"/>
          <w:szCs w:val="28"/>
          <w:highlight w:val="none"/>
        </w:rPr>
        <w:t>文件要求导致未能成交的，我方愿意承担相应不利后果。</w:t>
      </w:r>
    </w:p>
    <w:p>
      <w:pPr>
        <w:pStyle w:val="65"/>
        <w:numPr>
          <w:ilvl w:val="0"/>
          <w:numId w:val="31"/>
        </w:numPr>
        <w:tabs>
          <w:tab w:val="left" w:pos="1418"/>
        </w:tabs>
        <w:snapToGrid w:val="0"/>
        <w:spacing w:line="360" w:lineRule="auto"/>
        <w:ind w:left="0" w:firstLine="560" w:firstLineChars="0"/>
        <w:rPr>
          <w:rFonts w:hint="eastAsia" w:cs="仿宋" w:asciiTheme="minorEastAsia" w:hAnsiTheme="minorEastAsia" w:eastAsiaTheme="minorEastAsia"/>
          <w:color w:val="auto"/>
          <w:sz w:val="28"/>
          <w:szCs w:val="28"/>
          <w:highlight w:val="none"/>
        </w:rPr>
      </w:pPr>
      <w:r>
        <w:rPr>
          <w:rFonts w:hint="eastAsia" w:cs="仿宋" w:asciiTheme="minorEastAsia" w:hAnsiTheme="minorEastAsia" w:eastAsiaTheme="minorEastAsia"/>
          <w:color w:val="auto"/>
          <w:sz w:val="28"/>
          <w:szCs w:val="28"/>
          <w:highlight w:val="none"/>
        </w:rPr>
        <w:t>国家或行业主管部门对工程项目的技术标准、质量标准和资格资质条件等有强制性规定的，我方承诺符合其要求。</w:t>
      </w:r>
    </w:p>
    <w:p>
      <w:pPr>
        <w:pStyle w:val="65"/>
        <w:numPr>
          <w:ilvl w:val="0"/>
          <w:numId w:val="31"/>
        </w:numPr>
        <w:tabs>
          <w:tab w:val="left" w:pos="1418"/>
        </w:tabs>
        <w:snapToGrid w:val="0"/>
        <w:spacing w:line="360" w:lineRule="auto"/>
        <w:ind w:left="0" w:firstLine="560" w:firstLineChars="0"/>
        <w:rPr>
          <w:rFonts w:cs="仿宋" w:asciiTheme="minorEastAsia" w:hAnsiTheme="minorEastAsia" w:eastAsiaTheme="minorEastAsia"/>
          <w:color w:val="auto"/>
          <w:sz w:val="28"/>
          <w:szCs w:val="28"/>
          <w:highlight w:val="none"/>
        </w:rPr>
      </w:pPr>
      <w:r>
        <w:rPr>
          <w:rFonts w:hint="eastAsia" w:cs="仿宋" w:asciiTheme="minorEastAsia" w:hAnsiTheme="minorEastAsia" w:eastAsiaTheme="minorEastAsia"/>
          <w:color w:val="auto"/>
          <w:sz w:val="28"/>
          <w:szCs w:val="28"/>
          <w:highlight w:val="none"/>
        </w:rPr>
        <w:t>参加本次采购活动，我方完全同意</w:t>
      </w:r>
      <w:r>
        <w:rPr>
          <w:rFonts w:hint="eastAsia" w:cs="仿宋" w:asciiTheme="minorEastAsia" w:hAnsiTheme="minorEastAsia" w:eastAsiaTheme="minorEastAsia"/>
          <w:color w:val="auto"/>
          <w:sz w:val="28"/>
          <w:szCs w:val="28"/>
          <w:highlight w:val="none"/>
          <w:lang w:eastAsia="zh-CN"/>
        </w:rPr>
        <w:t>磋商</w:t>
      </w:r>
      <w:r>
        <w:rPr>
          <w:rFonts w:hint="eastAsia" w:cs="仿宋" w:asciiTheme="minorEastAsia" w:hAnsiTheme="minorEastAsia" w:eastAsiaTheme="minorEastAsia"/>
          <w:color w:val="auto"/>
          <w:sz w:val="28"/>
          <w:szCs w:val="28"/>
          <w:highlight w:val="none"/>
        </w:rPr>
        <w:t>文件第二章关于“</w:t>
      </w:r>
      <w:r>
        <w:rPr>
          <w:rFonts w:hint="eastAsia" w:cs="仿宋" w:asciiTheme="minorEastAsia" w:hAnsiTheme="minorEastAsia" w:eastAsiaTheme="minorEastAsia"/>
          <w:color w:val="auto"/>
          <w:sz w:val="28"/>
          <w:szCs w:val="28"/>
          <w:highlight w:val="none"/>
          <w:lang w:eastAsia="zh-CN"/>
        </w:rPr>
        <w:t>磋商</w:t>
      </w:r>
      <w:r>
        <w:rPr>
          <w:rFonts w:hint="eastAsia" w:cs="仿宋" w:asciiTheme="minorEastAsia" w:hAnsiTheme="minorEastAsia" w:eastAsiaTheme="minorEastAsia"/>
          <w:color w:val="auto"/>
          <w:sz w:val="28"/>
          <w:szCs w:val="28"/>
          <w:highlight w:val="none"/>
        </w:rPr>
        <w:t>费用”、“合同分包”、“合同转包”、“履约保证金”的实质性要求，并承诺严格按照</w:t>
      </w:r>
      <w:r>
        <w:rPr>
          <w:rFonts w:hint="eastAsia" w:cs="仿宋" w:asciiTheme="minorEastAsia" w:hAnsiTheme="minorEastAsia" w:eastAsiaTheme="minorEastAsia"/>
          <w:color w:val="auto"/>
          <w:sz w:val="28"/>
          <w:szCs w:val="28"/>
          <w:highlight w:val="none"/>
          <w:lang w:eastAsia="zh-CN"/>
        </w:rPr>
        <w:t>磋商</w:t>
      </w:r>
      <w:r>
        <w:rPr>
          <w:rFonts w:hint="eastAsia" w:cs="仿宋" w:asciiTheme="minorEastAsia" w:hAnsiTheme="minorEastAsia" w:eastAsiaTheme="minorEastAsia"/>
          <w:color w:val="auto"/>
          <w:sz w:val="28"/>
          <w:szCs w:val="28"/>
          <w:highlight w:val="none"/>
        </w:rPr>
        <w:t>文件要求履行。</w:t>
      </w:r>
    </w:p>
    <w:p>
      <w:pPr>
        <w:pStyle w:val="65"/>
        <w:numPr>
          <w:ilvl w:val="0"/>
          <w:numId w:val="31"/>
        </w:numPr>
        <w:tabs>
          <w:tab w:val="left" w:pos="1418"/>
        </w:tabs>
        <w:snapToGrid w:val="0"/>
        <w:spacing w:line="360" w:lineRule="auto"/>
        <w:ind w:left="0" w:firstLine="560" w:firstLineChars="0"/>
        <w:rPr>
          <w:rFonts w:cs="仿宋" w:asciiTheme="minorEastAsia" w:hAnsiTheme="minorEastAsia" w:eastAsiaTheme="minorEastAsia"/>
          <w:color w:val="auto"/>
          <w:sz w:val="28"/>
          <w:szCs w:val="28"/>
          <w:highlight w:val="none"/>
        </w:rPr>
      </w:pPr>
      <w:r>
        <w:rPr>
          <w:rFonts w:hint="eastAsia" w:cs="仿宋" w:asciiTheme="minorEastAsia" w:hAnsiTheme="minorEastAsia" w:eastAsiaTheme="minorEastAsia"/>
          <w:color w:val="auto"/>
          <w:sz w:val="28"/>
          <w:szCs w:val="28"/>
          <w:highlight w:val="none"/>
        </w:rPr>
        <w:t>我方保证在本项目使用的任何技术、产品和服务（包括部分使用）时，不会产生因第三方提出侵犯其专利权、商标权或其它知识产权而引起的法律和经济纠纷，如因专利权、商标权或其它知识产权而引起法律和经济纠纷，由我方承担所有相关责任。除非</w:t>
      </w:r>
      <w:r>
        <w:rPr>
          <w:rFonts w:hint="eastAsia" w:cs="仿宋" w:asciiTheme="minorEastAsia" w:hAnsiTheme="minorEastAsia" w:eastAsiaTheme="minorEastAsia"/>
          <w:color w:val="auto"/>
          <w:sz w:val="28"/>
          <w:szCs w:val="28"/>
          <w:highlight w:val="none"/>
          <w:lang w:eastAsia="zh-CN"/>
        </w:rPr>
        <w:t>磋商</w:t>
      </w:r>
      <w:r>
        <w:rPr>
          <w:rFonts w:hint="eastAsia" w:cs="仿宋" w:asciiTheme="minorEastAsia" w:hAnsiTheme="minorEastAsia" w:eastAsiaTheme="minorEastAsia"/>
          <w:color w:val="auto"/>
          <w:sz w:val="28"/>
          <w:szCs w:val="28"/>
          <w:highlight w:val="none"/>
        </w:rPr>
        <w:t>文件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pPr>
        <w:pStyle w:val="65"/>
        <w:numPr>
          <w:ilvl w:val="0"/>
          <w:numId w:val="31"/>
        </w:numPr>
        <w:tabs>
          <w:tab w:val="left" w:pos="1418"/>
        </w:tabs>
        <w:snapToGrid w:val="0"/>
        <w:spacing w:line="360" w:lineRule="auto"/>
        <w:ind w:left="0" w:firstLine="560" w:firstLineChars="0"/>
        <w:rPr>
          <w:rFonts w:cs="仿宋" w:asciiTheme="minorEastAsia" w:hAnsiTheme="minorEastAsia" w:eastAsiaTheme="minorEastAsia"/>
          <w:color w:val="auto"/>
          <w:sz w:val="28"/>
          <w:szCs w:val="28"/>
          <w:highlight w:val="none"/>
        </w:rPr>
      </w:pPr>
      <w:r>
        <w:rPr>
          <w:rFonts w:hint="eastAsia" w:cs="仿宋" w:asciiTheme="minorEastAsia" w:hAnsiTheme="minorEastAsia" w:eastAsiaTheme="minorEastAsia"/>
          <w:color w:val="auto"/>
          <w:sz w:val="28"/>
          <w:szCs w:val="28"/>
          <w:highlight w:val="none"/>
        </w:rPr>
        <w:t>与我方存在直接控股关系的单位为：</w:t>
      </w:r>
      <w:r>
        <w:rPr>
          <w:rFonts w:hint="eastAsia" w:cs="仿宋" w:asciiTheme="minorEastAsia" w:hAnsiTheme="minorEastAsia" w:eastAsiaTheme="minorEastAsia"/>
          <w:b/>
          <w:color w:val="auto"/>
          <w:sz w:val="28"/>
          <w:szCs w:val="28"/>
          <w:highlight w:val="none"/>
          <w:u w:val="single"/>
        </w:rPr>
        <w:t>　　</w:t>
      </w:r>
      <w:r>
        <w:rPr>
          <w:rFonts w:cs="仿宋" w:asciiTheme="minorEastAsia" w:hAnsiTheme="minorEastAsia" w:eastAsiaTheme="minorEastAsia"/>
          <w:b/>
          <w:color w:val="auto"/>
          <w:sz w:val="28"/>
          <w:szCs w:val="28"/>
          <w:highlight w:val="none"/>
          <w:u w:val="single"/>
        </w:rPr>
        <w:t>XXXX</w:t>
      </w:r>
      <w:r>
        <w:rPr>
          <w:rFonts w:hint="eastAsia" w:ascii="宋体" w:hAnsi="宋体" w:eastAsia="宋体" w:cs="仿宋"/>
          <w:b/>
          <w:color w:val="auto"/>
          <w:sz w:val="28"/>
          <w:szCs w:val="28"/>
          <w:highlight w:val="none"/>
          <w:u w:val="single"/>
        </w:rPr>
        <w:t>（说明：填写“无”或“（一）供应商名称１；（二）供应商名称２ ；（三）……”）</w:t>
      </w:r>
      <w:r>
        <w:rPr>
          <w:rFonts w:hint="eastAsia" w:ascii="宋体" w:hAnsi="宋体" w:cs="仿宋"/>
          <w:b/>
          <w:color w:val="auto"/>
          <w:sz w:val="28"/>
          <w:szCs w:val="28"/>
          <w:highlight w:val="none"/>
          <w:u w:val="single"/>
          <w:lang w:eastAsia="zh-CN"/>
        </w:rPr>
        <w:t>（</w:t>
      </w:r>
      <w:r>
        <w:rPr>
          <w:rFonts w:hint="eastAsia" w:ascii="宋体" w:hAnsi="宋体" w:cs="仿宋"/>
          <w:b/>
          <w:color w:val="auto"/>
          <w:sz w:val="28"/>
          <w:szCs w:val="28"/>
          <w:highlight w:val="none"/>
          <w:u w:val="single"/>
          <w:lang w:val="en-US" w:eastAsia="zh-CN"/>
        </w:rPr>
        <w:t>加</w:t>
      </w:r>
      <w:r>
        <w:rPr>
          <w:rFonts w:hint="eastAsia" w:ascii="宋体" w:hAnsi="宋体" w:cs="仿宋"/>
          <w:b/>
          <w:color w:val="auto"/>
          <w:sz w:val="28"/>
          <w:szCs w:val="28"/>
          <w:highlight w:val="none"/>
          <w:u w:val="single"/>
          <w:lang w:eastAsia="zh-CN"/>
        </w:rPr>
        <w:t>）</w:t>
      </w:r>
      <w:r>
        <w:rPr>
          <w:rFonts w:hint="eastAsia" w:cs="仿宋" w:asciiTheme="minorEastAsia" w:hAnsiTheme="minorEastAsia" w:eastAsiaTheme="minorEastAsia"/>
          <w:b/>
          <w:color w:val="auto"/>
          <w:sz w:val="28"/>
          <w:szCs w:val="28"/>
          <w:highlight w:val="none"/>
          <w:u w:val="single"/>
        </w:rPr>
        <w:t>　　</w:t>
      </w:r>
      <w:r>
        <w:rPr>
          <w:rFonts w:hint="eastAsia" w:cs="仿宋" w:asciiTheme="minorEastAsia" w:hAnsiTheme="minorEastAsia" w:eastAsiaTheme="minorEastAsia"/>
          <w:color w:val="auto"/>
          <w:sz w:val="28"/>
          <w:szCs w:val="28"/>
          <w:highlight w:val="none"/>
        </w:rPr>
        <w:t>；存在管理关系单位为：</w:t>
      </w:r>
      <w:r>
        <w:rPr>
          <w:rFonts w:hint="eastAsia" w:cs="仿宋" w:asciiTheme="minorEastAsia" w:hAnsiTheme="minorEastAsia" w:eastAsiaTheme="minorEastAsia"/>
          <w:b/>
          <w:color w:val="auto"/>
          <w:sz w:val="28"/>
          <w:szCs w:val="28"/>
          <w:highlight w:val="none"/>
          <w:u w:val="single"/>
        </w:rPr>
        <w:t>　　</w:t>
      </w:r>
      <w:r>
        <w:rPr>
          <w:rFonts w:cs="仿宋" w:asciiTheme="minorEastAsia" w:hAnsiTheme="minorEastAsia" w:eastAsiaTheme="minorEastAsia"/>
          <w:b/>
          <w:color w:val="auto"/>
          <w:sz w:val="28"/>
          <w:szCs w:val="28"/>
          <w:highlight w:val="none"/>
          <w:u w:val="single"/>
        </w:rPr>
        <w:t>XXXX</w:t>
      </w:r>
      <w:r>
        <w:rPr>
          <w:rFonts w:hint="eastAsia" w:ascii="宋体" w:hAnsi="宋体" w:eastAsia="宋体" w:cs="仿宋"/>
          <w:b/>
          <w:color w:val="auto"/>
          <w:sz w:val="28"/>
          <w:szCs w:val="28"/>
          <w:highlight w:val="none"/>
          <w:u w:val="single"/>
        </w:rPr>
        <w:t>（说明：填写“无”或“（一）供应商名称１；（二）供应商名称２ ；（三）……”）</w:t>
      </w:r>
      <w:r>
        <w:rPr>
          <w:rFonts w:hint="eastAsia" w:cs="仿宋" w:asciiTheme="minorEastAsia" w:hAnsiTheme="minorEastAsia" w:eastAsiaTheme="minorEastAsia"/>
          <w:b/>
          <w:color w:val="auto"/>
          <w:sz w:val="28"/>
          <w:szCs w:val="28"/>
          <w:highlight w:val="none"/>
          <w:u w:val="single"/>
        </w:rPr>
        <w:t>　　</w:t>
      </w:r>
      <w:r>
        <w:rPr>
          <w:rFonts w:hint="eastAsia" w:cs="仿宋" w:asciiTheme="minorEastAsia" w:hAnsiTheme="minorEastAsia" w:eastAsiaTheme="minorEastAsia"/>
          <w:color w:val="auto"/>
          <w:sz w:val="28"/>
          <w:szCs w:val="28"/>
          <w:highlight w:val="none"/>
        </w:rPr>
        <w:t>。</w:t>
      </w:r>
    </w:p>
    <w:p>
      <w:pPr>
        <w:pStyle w:val="65"/>
        <w:numPr>
          <w:ilvl w:val="0"/>
          <w:numId w:val="31"/>
        </w:numPr>
        <w:tabs>
          <w:tab w:val="left" w:pos="1418"/>
        </w:tabs>
        <w:snapToGrid w:val="0"/>
        <w:spacing w:line="360" w:lineRule="auto"/>
        <w:ind w:left="0" w:firstLine="560" w:firstLineChars="0"/>
        <w:rPr>
          <w:rFonts w:cs="仿宋" w:asciiTheme="minorEastAsia" w:hAnsiTheme="minorEastAsia" w:eastAsiaTheme="minorEastAsia"/>
          <w:color w:val="auto"/>
          <w:sz w:val="28"/>
          <w:szCs w:val="28"/>
          <w:highlight w:val="none"/>
        </w:rPr>
      </w:pPr>
      <w:r>
        <w:rPr>
          <w:rFonts w:hint="eastAsia" w:ascii="宋体" w:hAnsi="宋体" w:eastAsia="宋体" w:cs="仿宋"/>
          <w:color w:val="auto"/>
          <w:spacing w:val="-6"/>
          <w:sz w:val="28"/>
          <w:szCs w:val="28"/>
          <w:highlight w:val="none"/>
        </w:rPr>
        <w:t>我方承诺负责施工现场安全并承担施工期间一切安全责任。</w:t>
      </w:r>
    </w:p>
    <w:p>
      <w:pPr>
        <w:pStyle w:val="65"/>
        <w:numPr>
          <w:ilvl w:val="0"/>
          <w:numId w:val="31"/>
        </w:numPr>
        <w:tabs>
          <w:tab w:val="left" w:pos="1418"/>
        </w:tabs>
        <w:snapToGrid w:val="0"/>
        <w:spacing w:line="360" w:lineRule="auto"/>
        <w:ind w:left="0" w:firstLine="560" w:firstLineChars="0"/>
        <w:rPr>
          <w:rFonts w:cs="仿宋" w:asciiTheme="minorEastAsia" w:hAnsiTheme="minorEastAsia" w:eastAsiaTheme="minorEastAsia"/>
          <w:color w:val="auto"/>
          <w:sz w:val="28"/>
          <w:szCs w:val="28"/>
          <w:highlight w:val="none"/>
        </w:rPr>
      </w:pPr>
      <w:r>
        <w:rPr>
          <w:rFonts w:hint="eastAsia" w:cs="仿宋" w:asciiTheme="minorEastAsia" w:hAnsiTheme="minorEastAsia" w:eastAsiaTheme="minorEastAsia"/>
          <w:color w:val="auto"/>
          <w:sz w:val="28"/>
          <w:szCs w:val="28"/>
          <w:highlight w:val="none"/>
        </w:rPr>
        <w:t>我方承诺针对本项目的施工，达到国家及行业现行技术规范标准，符合国家及行业验收合格标准。</w:t>
      </w:r>
    </w:p>
    <w:p>
      <w:pPr>
        <w:pStyle w:val="65"/>
        <w:numPr>
          <w:ilvl w:val="0"/>
          <w:numId w:val="31"/>
        </w:numPr>
        <w:tabs>
          <w:tab w:val="left" w:pos="1418"/>
        </w:tabs>
        <w:snapToGrid w:val="0"/>
        <w:spacing w:line="360" w:lineRule="auto"/>
        <w:ind w:left="0" w:leftChars="0" w:firstLine="720" w:firstLineChars="0"/>
        <w:rPr>
          <w:rFonts w:cs="仿宋" w:asciiTheme="minorEastAsia" w:hAnsiTheme="minorEastAsia" w:eastAsiaTheme="minorEastAsia"/>
          <w:color w:val="auto"/>
          <w:sz w:val="28"/>
          <w:szCs w:val="28"/>
          <w:highlight w:val="none"/>
        </w:rPr>
      </w:pPr>
      <w:r>
        <w:rPr>
          <w:rFonts w:hint="eastAsia" w:cs="仿宋" w:asciiTheme="minorEastAsia" w:hAnsiTheme="minorEastAsia" w:eastAsiaTheme="minorEastAsia"/>
          <w:color w:val="auto"/>
          <w:sz w:val="28"/>
          <w:szCs w:val="28"/>
          <w:highlight w:val="none"/>
        </w:rPr>
        <w:t>我方承诺成交通知书发出后</w:t>
      </w:r>
      <w:r>
        <w:rPr>
          <w:rFonts w:hint="eastAsia" w:cs="仿宋" w:asciiTheme="minorEastAsia" w:hAnsiTheme="minorEastAsia" w:eastAsiaTheme="minorEastAsia"/>
          <w:color w:val="auto"/>
          <w:sz w:val="28"/>
          <w:szCs w:val="28"/>
          <w:highlight w:val="none"/>
          <w:lang w:val="en-US" w:eastAsia="zh-CN"/>
        </w:rPr>
        <w:t>30天</w:t>
      </w:r>
      <w:r>
        <w:rPr>
          <w:rFonts w:hint="eastAsia" w:cs="仿宋" w:asciiTheme="minorEastAsia" w:hAnsiTheme="minorEastAsia" w:eastAsiaTheme="minorEastAsia"/>
          <w:color w:val="auto"/>
          <w:sz w:val="28"/>
          <w:szCs w:val="28"/>
          <w:highlight w:val="none"/>
        </w:rPr>
        <w:t>内，我方与采购人签订合同(逾期视为我方放弃本次成交资格，采购人有权按照评审报告确定的成交候选供应商名单顺序，确定下一候选人为成交供应商，或重新开展政府采购活动)。</w:t>
      </w:r>
    </w:p>
    <w:p>
      <w:pPr>
        <w:snapToGrid w:val="0"/>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我方对上述承诺的内容事项真实性负责。如经查实上述承诺的内容事项存在虚假，我方愿意接受以提供虚假材料谋取成交的法律责任。</w:t>
      </w:r>
    </w:p>
    <w:p>
      <w:pPr>
        <w:snapToGrid w:val="0"/>
        <w:spacing w:line="360" w:lineRule="auto"/>
        <w:ind w:firstLine="560" w:firstLineChars="200"/>
        <w:rPr>
          <w:rFonts w:hint="eastAsia" w:ascii="宋体" w:hAnsi="宋体"/>
          <w:color w:val="auto"/>
          <w:sz w:val="28"/>
          <w:szCs w:val="28"/>
          <w:highlight w:val="none"/>
          <w:lang w:val="en-US" w:eastAsia="zh-CN"/>
        </w:rPr>
      </w:pPr>
      <w:r>
        <w:rPr>
          <w:rFonts w:hint="eastAsia" w:ascii="宋体" w:hAnsi="宋体"/>
          <w:color w:val="auto"/>
          <w:sz w:val="28"/>
          <w:szCs w:val="28"/>
          <w:highlight w:val="none"/>
        </w:rPr>
        <w:t>特此承诺。</w:t>
      </w:r>
      <w:r>
        <w:rPr>
          <w:rFonts w:hint="eastAsia" w:ascii="宋体" w:hAnsi="宋体"/>
          <w:color w:val="auto"/>
          <w:sz w:val="28"/>
          <w:szCs w:val="28"/>
          <w:highlight w:val="none"/>
          <w:lang w:val="en-US" w:eastAsia="zh-CN"/>
        </w:rPr>
        <w:t xml:space="preserve">       </w:t>
      </w:r>
    </w:p>
    <w:p>
      <w:pPr>
        <w:spacing w:line="360" w:lineRule="auto"/>
        <w:ind w:left="0" w:leftChars="0" w:firstLine="0" w:firstLineChars="0"/>
        <w:rPr>
          <w:rFonts w:hint="eastAsia"/>
          <w:color w:val="auto"/>
          <w:sz w:val="28"/>
          <w:szCs w:val="28"/>
          <w:highlight w:val="none"/>
          <w:lang w:val="en-US" w:eastAsia="zh-CN"/>
        </w:rPr>
      </w:pPr>
      <w:r>
        <w:rPr>
          <w:rFonts w:hint="eastAsia" w:ascii="宋体" w:hAnsi="宋体"/>
          <w:color w:val="auto"/>
          <w:sz w:val="28"/>
          <w:szCs w:val="28"/>
          <w:highlight w:val="none"/>
          <w:lang w:val="en-US" w:eastAsia="zh-CN"/>
        </w:rPr>
        <w:t xml:space="preserve">    </w:t>
      </w:r>
      <w:r>
        <w:rPr>
          <w:rFonts w:hint="eastAsia" w:ascii="宋体" w:hAnsi="宋体"/>
          <w:color w:val="auto"/>
          <w:sz w:val="28"/>
          <w:szCs w:val="28"/>
          <w:highlight w:val="none"/>
        </w:rPr>
        <w:t>供应商名称：</w:t>
      </w:r>
      <w:r>
        <w:rPr>
          <w:rFonts w:ascii="宋体" w:hAnsi="宋体"/>
          <w:color w:val="auto"/>
          <w:sz w:val="28"/>
          <w:szCs w:val="28"/>
          <w:highlight w:val="none"/>
          <w:u w:val="single"/>
        </w:rPr>
        <w:t>XXXXXXXXX</w:t>
      </w:r>
      <w:r>
        <w:rPr>
          <w:rFonts w:hint="eastAsia"/>
          <w:color w:val="auto"/>
          <w:sz w:val="28"/>
          <w:szCs w:val="28"/>
          <w:highlight w:val="none"/>
          <w:lang w:val="en-US" w:eastAsia="zh-CN"/>
        </w:rPr>
        <w:t xml:space="preserve">  </w:t>
      </w:r>
      <w:r>
        <w:rPr>
          <w:rFonts w:hint="eastAsia" w:ascii="宋体" w:hAnsi="宋体"/>
          <w:bCs/>
          <w:color w:val="auto"/>
          <w:sz w:val="28"/>
          <w:szCs w:val="28"/>
          <w:highlight w:val="none"/>
          <w:lang w:eastAsia="zh-CN"/>
        </w:rPr>
        <w:t>（加盖公章）</w:t>
      </w:r>
      <w:r>
        <w:rPr>
          <w:rFonts w:hint="eastAsia"/>
          <w:color w:val="auto"/>
          <w:sz w:val="28"/>
          <w:szCs w:val="28"/>
          <w:highlight w:val="none"/>
          <w:lang w:val="en-US" w:eastAsia="zh-CN"/>
        </w:rPr>
        <w:t xml:space="preserve">                      </w:t>
      </w:r>
    </w:p>
    <w:p>
      <w:pPr>
        <w:snapToGrid w:val="0"/>
        <w:spacing w:line="360" w:lineRule="auto"/>
        <w:ind w:firstLine="560" w:firstLineChars="200"/>
        <w:rPr>
          <w:color w:val="auto"/>
          <w:sz w:val="28"/>
          <w:szCs w:val="28"/>
          <w:highlight w:val="none"/>
        </w:rPr>
      </w:pPr>
      <w:r>
        <w:rPr>
          <w:rFonts w:hint="eastAsia"/>
          <w:color w:val="auto"/>
          <w:sz w:val="28"/>
          <w:szCs w:val="28"/>
          <w:highlight w:val="none"/>
          <w:lang w:val="en-US" w:eastAsia="zh-CN"/>
        </w:rPr>
        <w:t xml:space="preserve">    </w:t>
      </w:r>
      <w:r>
        <w:rPr>
          <w:color w:val="auto"/>
          <w:sz w:val="28"/>
          <w:szCs w:val="28"/>
          <w:highlight w:val="none"/>
        </w:rPr>
        <w:t>日期：XX年XX月XX日</w:t>
      </w:r>
    </w:p>
    <w:p>
      <w:pPr>
        <w:snapToGrid w:val="0"/>
        <w:spacing w:line="360" w:lineRule="auto"/>
        <w:ind w:firstLine="560" w:firstLineChars="200"/>
        <w:rPr>
          <w:color w:val="auto"/>
          <w:sz w:val="28"/>
          <w:szCs w:val="28"/>
          <w:highlight w:val="none"/>
        </w:rPr>
      </w:pPr>
      <w:r>
        <w:rPr>
          <w:color w:val="auto"/>
          <w:sz w:val="28"/>
          <w:szCs w:val="28"/>
          <w:highlight w:val="none"/>
        </w:rPr>
        <w:br w:type="page"/>
      </w:r>
    </w:p>
    <w:p>
      <w:pPr>
        <w:pStyle w:val="2"/>
        <w:rPr>
          <w:color w:val="auto"/>
          <w:highlight w:val="none"/>
        </w:rPr>
      </w:pPr>
    </w:p>
    <w:p>
      <w:pPr>
        <w:pStyle w:val="5"/>
        <w:numPr>
          <w:ilvl w:val="3"/>
          <w:numId w:val="1"/>
        </w:numPr>
        <w:tabs>
          <w:tab w:val="left" w:pos="709"/>
        </w:tabs>
        <w:jc w:val="left"/>
        <w:rPr>
          <w:color w:val="auto"/>
          <w:highlight w:val="none"/>
        </w:rPr>
      </w:pPr>
      <w:r>
        <w:rPr>
          <w:rFonts w:hint="eastAsia"/>
          <w:color w:val="auto"/>
          <w:highlight w:val="none"/>
          <w:lang w:eastAsia="zh-CN"/>
        </w:rPr>
        <w:t>技术</w:t>
      </w:r>
      <w:r>
        <w:rPr>
          <w:rFonts w:hint="eastAsia"/>
          <w:color w:val="auto"/>
          <w:highlight w:val="none"/>
        </w:rPr>
        <w:t>、服务、合同条款要求应答表</w:t>
      </w:r>
    </w:p>
    <w:tbl>
      <w:tblPr>
        <w:tblStyle w:val="50"/>
        <w:tblW w:w="8613" w:type="dxa"/>
        <w:tblInd w:w="2" w:type="dxa"/>
        <w:tblLayout w:type="fixed"/>
        <w:tblCellMar>
          <w:top w:w="0" w:type="dxa"/>
          <w:left w:w="108" w:type="dxa"/>
          <w:bottom w:w="0" w:type="dxa"/>
          <w:right w:w="108" w:type="dxa"/>
        </w:tblCellMar>
      </w:tblPr>
      <w:tblGrid>
        <w:gridCol w:w="877"/>
        <w:gridCol w:w="2990"/>
        <w:gridCol w:w="3452"/>
        <w:gridCol w:w="1294"/>
      </w:tblGrid>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olor w:val="auto"/>
                <w:highlight w:val="none"/>
              </w:rPr>
            </w:pPr>
            <w:r>
              <w:rPr>
                <w:rFonts w:hint="eastAsia" w:ascii="宋体" w:hAnsi="宋体" w:cs="仿宋"/>
                <w:color w:val="auto"/>
                <w:highlight w:val="none"/>
              </w:rPr>
              <w:t>序号</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olor w:val="auto"/>
                <w:highlight w:val="none"/>
              </w:rPr>
            </w:pPr>
            <w:r>
              <w:rPr>
                <w:rFonts w:hint="eastAsia" w:ascii="宋体" w:hAnsi="宋体" w:cs="仿宋"/>
                <w:color w:val="auto"/>
                <w:highlight w:val="none"/>
              </w:rPr>
              <w:t>项目</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olor w:val="auto"/>
                <w:highlight w:val="none"/>
              </w:rPr>
            </w:pPr>
            <w:r>
              <w:rPr>
                <w:rFonts w:hint="eastAsia" w:ascii="宋体" w:hAnsi="宋体" w:cs="仿宋"/>
                <w:color w:val="auto"/>
                <w:highlight w:val="none"/>
              </w:rPr>
              <w:t>响应内容</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olor w:val="auto"/>
                <w:highlight w:val="none"/>
              </w:rPr>
            </w:pPr>
            <w:r>
              <w:rPr>
                <w:rFonts w:hint="eastAsia" w:ascii="宋体" w:hAnsi="宋体" w:cs="仿宋"/>
                <w:color w:val="auto"/>
                <w:highlight w:val="none"/>
              </w:rPr>
              <w:t>备注</w:t>
            </w:r>
          </w:p>
        </w:tc>
      </w:tr>
      <w:tr>
        <w:tblPrEx>
          <w:tblLayout w:type="fixed"/>
          <w:tblCellMar>
            <w:top w:w="0" w:type="dxa"/>
            <w:left w:w="108" w:type="dxa"/>
            <w:bottom w:w="0" w:type="dxa"/>
            <w:right w:w="108" w:type="dxa"/>
          </w:tblCellMar>
        </w:tblPrEx>
        <w:trPr>
          <w:trHeight w:val="120"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olor w:val="auto"/>
                <w:highlight w:val="none"/>
              </w:rPr>
            </w:pPr>
            <w:r>
              <w:rPr>
                <w:rFonts w:ascii="宋体" w:hAnsi="宋体" w:cs="仿宋"/>
                <w:color w:val="auto"/>
                <w:highlight w:val="none"/>
              </w:rPr>
              <w:t>1</w:t>
            </w:r>
          </w:p>
        </w:tc>
        <w:tc>
          <w:tcPr>
            <w:tcW w:w="299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b w:val="0"/>
                <w:bCs/>
                <w:color w:val="auto"/>
                <w:sz w:val="21"/>
                <w:szCs w:val="21"/>
                <w:highlight w:val="none"/>
              </w:rPr>
            </w:pPr>
            <w:r>
              <w:rPr>
                <w:rFonts w:hint="eastAsia" w:ascii="宋体" w:hAnsi="宋体"/>
                <w:b w:val="0"/>
                <w:bCs/>
                <w:color w:val="auto"/>
                <w:sz w:val="21"/>
                <w:szCs w:val="21"/>
                <w:highlight w:val="none"/>
              </w:rPr>
              <w:t>项目负责人（项目经理）</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rPr>
                <w:rFonts w:ascii="宋体" w:hAnsi="宋体"/>
                <w:color w:val="auto"/>
                <w:highlight w:val="none"/>
              </w:rPr>
            </w:pPr>
            <w:r>
              <w:rPr>
                <w:rFonts w:hint="eastAsia" w:ascii="宋体" w:hAnsi="宋体" w:cs="仿宋"/>
                <w:color w:val="auto"/>
                <w:highlight w:val="none"/>
              </w:rPr>
              <w:t>姓名：</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olor w:val="auto"/>
                <w:highlight w:val="none"/>
              </w:rPr>
            </w:pPr>
          </w:p>
        </w:tc>
      </w:tr>
      <w:tr>
        <w:tblPrEx>
          <w:tblLayout w:type="fixed"/>
          <w:tblCellMar>
            <w:top w:w="0" w:type="dxa"/>
            <w:left w:w="108" w:type="dxa"/>
            <w:bottom w:w="0" w:type="dxa"/>
            <w:right w:w="108" w:type="dxa"/>
          </w:tblCellMar>
        </w:tblPrEx>
        <w:trPr>
          <w:trHeight w:val="690"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仿宋"/>
                <w:color w:val="auto"/>
                <w:highlight w:val="none"/>
              </w:rPr>
            </w:pPr>
            <w:r>
              <w:rPr>
                <w:rFonts w:ascii="宋体" w:hAnsi="宋体" w:cs="仿宋"/>
                <w:color w:val="auto"/>
                <w:highlight w:val="none"/>
              </w:rPr>
              <w:t>2</w:t>
            </w:r>
          </w:p>
        </w:tc>
        <w:tc>
          <w:tcPr>
            <w:tcW w:w="299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s="仿宋"/>
                <w:b w:val="0"/>
                <w:bCs/>
                <w:color w:val="auto"/>
                <w:sz w:val="21"/>
                <w:szCs w:val="21"/>
                <w:highlight w:val="none"/>
              </w:rPr>
            </w:pPr>
            <w:r>
              <w:rPr>
                <w:rFonts w:hint="eastAsia" w:ascii="宋体" w:hAnsi="宋体"/>
                <w:b w:val="0"/>
                <w:bCs/>
                <w:color w:val="auto"/>
                <w:sz w:val="21"/>
                <w:szCs w:val="21"/>
                <w:highlight w:val="none"/>
              </w:rPr>
              <w:t>技术负责人</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rPr>
                <w:rFonts w:ascii="宋体" w:hAnsi="宋体" w:cs="仿宋"/>
                <w:color w:val="auto"/>
                <w:highlight w:val="none"/>
              </w:rPr>
            </w:pPr>
            <w:r>
              <w:rPr>
                <w:rFonts w:hint="eastAsia" w:ascii="宋体" w:hAnsi="宋体" w:cs="仿宋"/>
                <w:color w:val="auto"/>
                <w:highlight w:val="none"/>
              </w:rPr>
              <w:t>姓名：</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olor w:val="auto"/>
                <w:highlight w:val="none"/>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olor w:val="auto"/>
                <w:highlight w:val="none"/>
              </w:rPr>
            </w:pPr>
            <w:r>
              <w:rPr>
                <w:rFonts w:ascii="宋体" w:hAnsi="宋体" w:cs="仿宋"/>
                <w:color w:val="auto"/>
                <w:highlight w:val="none"/>
              </w:rPr>
              <w:t>3</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b w:val="0"/>
                <w:bCs/>
                <w:color w:val="auto"/>
                <w:sz w:val="21"/>
                <w:szCs w:val="21"/>
                <w:highlight w:val="none"/>
              </w:rPr>
            </w:pPr>
            <w:r>
              <w:rPr>
                <w:rFonts w:hint="eastAsia" w:ascii="宋体" w:hAnsi="宋体"/>
                <w:b w:val="0"/>
                <w:bCs/>
                <w:color w:val="auto"/>
                <w:sz w:val="21"/>
                <w:szCs w:val="21"/>
                <w:highlight w:val="none"/>
              </w:rPr>
              <w:t>工期</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94" w:rightChars="-39"/>
              <w:rPr>
                <w:rFonts w:hint="eastAsia" w:ascii="宋体" w:hAnsi="宋体" w:eastAsia="宋体"/>
                <w:color w:val="auto"/>
                <w:highlight w:val="none"/>
                <w:lang w:val="en-US" w:eastAsia="zh-CN"/>
              </w:rPr>
            </w:pPr>
            <w:r>
              <w:rPr>
                <w:rFonts w:hint="eastAsia" w:ascii="宋体" w:hAnsi="宋体" w:eastAsia="宋体" w:cs="Times New Roman"/>
                <w:color w:val="auto"/>
                <w:szCs w:val="21"/>
                <w:highlight w:val="none"/>
                <w:lang w:val="zh-CN"/>
              </w:rPr>
              <w:t>合同签订之日起</w:t>
            </w:r>
            <w:r>
              <w:rPr>
                <w:rFonts w:hint="eastAsia" w:ascii="宋体" w:hAnsi="宋体"/>
                <w:sz w:val="28"/>
                <w:szCs w:val="28"/>
                <w:lang w:val="en-US" w:eastAsia="zh-CN"/>
              </w:rPr>
              <w:t>100</w:t>
            </w:r>
            <w:r>
              <w:rPr>
                <w:rFonts w:hint="eastAsia" w:ascii="宋体" w:hAnsi="宋体"/>
                <w:sz w:val="28"/>
                <w:szCs w:val="28"/>
                <w:lang w:val="zh-CN"/>
              </w:rPr>
              <w:t>日历天（具体以实际工期为准）。</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olor w:val="auto"/>
                <w:highlight w:val="none"/>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olor w:val="auto"/>
                <w:highlight w:val="none"/>
              </w:rPr>
            </w:pPr>
            <w:r>
              <w:rPr>
                <w:rFonts w:ascii="宋体" w:hAnsi="宋体" w:cs="仿宋"/>
                <w:color w:val="auto"/>
                <w:highlight w:val="none"/>
              </w:rPr>
              <w:t>4</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b w:val="0"/>
                <w:bCs/>
                <w:color w:val="auto"/>
                <w:sz w:val="21"/>
                <w:szCs w:val="21"/>
                <w:highlight w:val="none"/>
              </w:rPr>
            </w:pPr>
            <w:r>
              <w:rPr>
                <w:rFonts w:hint="eastAsia" w:ascii="宋体" w:hAnsi="宋体"/>
                <w:b w:val="0"/>
                <w:bCs/>
                <w:color w:val="auto"/>
                <w:sz w:val="21"/>
                <w:szCs w:val="21"/>
                <w:highlight w:val="none"/>
              </w:rPr>
              <w:t>缺陷责任期</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olor w:val="auto"/>
                <w:highlight w:val="none"/>
              </w:rPr>
            </w:pPr>
            <w:r>
              <w:rPr>
                <w:rFonts w:hint="eastAsia" w:ascii="宋体" w:hAnsi="宋体" w:cs="微软雅黑"/>
                <w:color w:val="auto"/>
                <w:highlight w:val="none"/>
                <w:u w:val="single"/>
                <w:lang w:val="en-US" w:eastAsia="zh-CN"/>
              </w:rPr>
              <w:t>24</w:t>
            </w:r>
            <w:r>
              <w:rPr>
                <w:rFonts w:hint="eastAsia" w:ascii="宋体" w:hAnsi="宋体" w:cs="仿宋"/>
                <w:color w:val="auto"/>
                <w:highlight w:val="none"/>
              </w:rPr>
              <w:t>个月</w:t>
            </w:r>
            <w:bookmarkStart w:id="1129" w:name="_GoBack"/>
            <w:bookmarkEnd w:id="1129"/>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olor w:val="auto"/>
                <w:highlight w:val="none"/>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olor w:val="auto"/>
                <w:highlight w:val="none"/>
              </w:rPr>
            </w:pPr>
            <w:r>
              <w:rPr>
                <w:rFonts w:ascii="宋体" w:hAnsi="宋体" w:cs="仿宋"/>
                <w:color w:val="auto"/>
                <w:highlight w:val="none"/>
              </w:rPr>
              <w:t>5</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b w:val="0"/>
                <w:bCs/>
                <w:color w:val="auto"/>
                <w:sz w:val="21"/>
                <w:szCs w:val="21"/>
                <w:highlight w:val="none"/>
              </w:rPr>
            </w:pPr>
            <w:r>
              <w:rPr>
                <w:rFonts w:hint="eastAsia" w:ascii="宋体" w:hAnsi="宋体"/>
                <w:b w:val="0"/>
                <w:bCs/>
                <w:color w:val="auto"/>
                <w:sz w:val="21"/>
                <w:szCs w:val="21"/>
                <w:highlight w:val="none"/>
              </w:rPr>
              <w:t>分包</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olor w:val="auto"/>
                <w:highlight w:val="none"/>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olor w:val="auto"/>
                <w:highlight w:val="none"/>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olor w:val="auto"/>
                <w:highlight w:val="none"/>
              </w:rPr>
            </w:pPr>
            <w:r>
              <w:rPr>
                <w:rFonts w:ascii="宋体" w:hAnsi="宋体" w:cs="仿宋"/>
                <w:color w:val="auto"/>
                <w:highlight w:val="none"/>
              </w:rPr>
              <w:t>6</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b w:val="0"/>
                <w:bCs/>
                <w:color w:val="auto"/>
                <w:sz w:val="21"/>
                <w:szCs w:val="21"/>
                <w:highlight w:val="none"/>
              </w:rPr>
            </w:pPr>
            <w:r>
              <w:rPr>
                <w:rFonts w:hint="eastAsia" w:ascii="宋体" w:hAnsi="宋体"/>
                <w:b w:val="0"/>
                <w:bCs/>
                <w:color w:val="auto"/>
                <w:sz w:val="21"/>
                <w:szCs w:val="21"/>
                <w:highlight w:val="none"/>
              </w:rPr>
              <w:t>价格调整</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olor w:val="auto"/>
                <w:highlight w:val="none"/>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olor w:val="auto"/>
                <w:highlight w:val="none"/>
              </w:rPr>
            </w:pPr>
            <w:r>
              <w:rPr>
                <w:rFonts w:ascii="宋体" w:hAnsi="宋体" w:cs="仿宋"/>
                <w:color w:val="auto"/>
                <w:highlight w:val="none"/>
              </w:rPr>
              <w:t>7</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b w:val="0"/>
                <w:bCs/>
                <w:color w:val="auto"/>
                <w:sz w:val="21"/>
                <w:szCs w:val="21"/>
                <w:highlight w:val="none"/>
              </w:rPr>
            </w:pPr>
            <w:r>
              <w:rPr>
                <w:rFonts w:hint="eastAsia" w:ascii="宋体" w:hAnsi="宋体" w:cs="MingLiU"/>
                <w:b w:val="0"/>
                <w:bCs/>
                <w:color w:val="auto"/>
                <w:sz w:val="21"/>
                <w:szCs w:val="21"/>
                <w:highlight w:val="none"/>
              </w:rPr>
              <w:t>履约保证金</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olor w:val="auto"/>
                <w:highlight w:val="none"/>
              </w:rPr>
            </w:pPr>
          </w:p>
        </w:tc>
      </w:tr>
      <w:tr>
        <w:tblPrEx>
          <w:tblLayout w:type="fixed"/>
          <w:tblCellMar>
            <w:top w:w="0" w:type="dxa"/>
            <w:left w:w="108" w:type="dxa"/>
            <w:bottom w:w="0" w:type="dxa"/>
            <w:right w:w="108" w:type="dxa"/>
          </w:tblCellMar>
        </w:tblPrEx>
        <w:trPr>
          <w:trHeight w:val="562"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olor w:val="auto"/>
                <w:highlight w:val="none"/>
              </w:rPr>
            </w:pP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b w:val="0"/>
                <w:bCs/>
                <w:color w:val="auto"/>
                <w:sz w:val="21"/>
                <w:szCs w:val="21"/>
                <w:highlight w:val="none"/>
              </w:rPr>
            </w:pPr>
            <w:r>
              <w:rPr>
                <w:rFonts w:hint="eastAsia" w:ascii="宋体" w:hAnsi="宋体"/>
                <w:b w:val="0"/>
                <w:bCs/>
                <w:color w:val="auto"/>
                <w:sz w:val="21"/>
                <w:szCs w:val="21"/>
                <w:highlight w:val="none"/>
              </w:rPr>
              <w:t>质</w:t>
            </w:r>
            <w:r>
              <w:rPr>
                <w:rFonts w:hint="eastAsia" w:ascii="宋体" w:hAnsi="宋体"/>
                <w:b w:val="0"/>
                <w:bCs/>
                <w:color w:val="auto"/>
                <w:sz w:val="21"/>
                <w:szCs w:val="21"/>
                <w:highlight w:val="none"/>
                <w:lang w:eastAsia="zh-CN"/>
              </w:rPr>
              <w:t>量</w:t>
            </w:r>
            <w:r>
              <w:rPr>
                <w:rFonts w:hint="eastAsia" w:ascii="宋体" w:hAnsi="宋体"/>
                <w:b w:val="0"/>
                <w:bCs/>
                <w:color w:val="auto"/>
                <w:sz w:val="21"/>
                <w:szCs w:val="21"/>
                <w:highlight w:val="none"/>
              </w:rPr>
              <w:t>保</w:t>
            </w:r>
            <w:r>
              <w:rPr>
                <w:rFonts w:hint="eastAsia" w:ascii="宋体" w:hAnsi="宋体"/>
                <w:b w:val="0"/>
                <w:bCs/>
                <w:color w:val="auto"/>
                <w:sz w:val="21"/>
                <w:szCs w:val="21"/>
                <w:highlight w:val="none"/>
                <w:lang w:eastAsia="zh-CN"/>
              </w:rPr>
              <w:t>证</w:t>
            </w:r>
            <w:r>
              <w:rPr>
                <w:rFonts w:hint="eastAsia" w:ascii="宋体" w:hAnsi="宋体"/>
                <w:b w:val="0"/>
                <w:bCs/>
                <w:color w:val="auto"/>
                <w:sz w:val="21"/>
                <w:szCs w:val="21"/>
                <w:highlight w:val="none"/>
              </w:rPr>
              <w:t>金</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olor w:val="auto"/>
                <w:highlight w:val="none"/>
              </w:rPr>
            </w:pPr>
          </w:p>
        </w:tc>
      </w:tr>
      <w:tr>
        <w:tblPrEx>
          <w:tblLayout w:type="fixed"/>
          <w:tblCellMar>
            <w:top w:w="0" w:type="dxa"/>
            <w:left w:w="108" w:type="dxa"/>
            <w:bottom w:w="0" w:type="dxa"/>
            <w:right w:w="108" w:type="dxa"/>
          </w:tblCellMar>
        </w:tblPrEx>
        <w:trPr>
          <w:trHeight w:val="562"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olor w:val="auto"/>
                <w:highlight w:val="none"/>
              </w:rPr>
            </w:pP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宋体" w:hAnsi="宋体" w:cs="仿宋"/>
                <w:b w:val="0"/>
                <w:bCs/>
                <w:color w:val="auto"/>
                <w:sz w:val="21"/>
                <w:szCs w:val="21"/>
                <w:highlight w:val="none"/>
              </w:rPr>
            </w:pPr>
            <w:r>
              <w:rPr>
                <w:rFonts w:hint="eastAsia" w:ascii="宋体" w:hAnsi="宋体" w:cs="MingLiU"/>
                <w:b w:val="0"/>
                <w:bCs/>
                <w:color w:val="auto"/>
                <w:sz w:val="21"/>
                <w:szCs w:val="21"/>
                <w:highlight w:val="none"/>
              </w:rPr>
              <w:t>付款方式</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olor w:val="auto"/>
                <w:highlight w:val="none"/>
              </w:rPr>
            </w:pPr>
          </w:p>
        </w:tc>
      </w:tr>
      <w:tr>
        <w:tblPrEx>
          <w:tblLayout w:type="fixed"/>
          <w:tblCellMar>
            <w:top w:w="0" w:type="dxa"/>
            <w:left w:w="108" w:type="dxa"/>
            <w:bottom w:w="0" w:type="dxa"/>
            <w:right w:w="108" w:type="dxa"/>
          </w:tblCellMar>
        </w:tblPrEx>
        <w:trPr>
          <w:trHeight w:val="562"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olor w:val="auto"/>
                <w:highlight w:val="none"/>
              </w:rPr>
            </w:pP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宋体" w:hAnsi="宋体" w:cs="仿宋"/>
                <w:b w:val="0"/>
                <w:bCs/>
                <w:color w:val="auto"/>
                <w:sz w:val="21"/>
                <w:szCs w:val="21"/>
                <w:highlight w:val="none"/>
              </w:rPr>
            </w:pPr>
            <w:r>
              <w:rPr>
                <w:rFonts w:hint="eastAsia" w:ascii="宋体" w:hAnsi="宋体" w:cs="MingLiU"/>
                <w:b w:val="0"/>
                <w:bCs/>
                <w:color w:val="auto"/>
                <w:sz w:val="21"/>
                <w:szCs w:val="21"/>
                <w:highlight w:val="none"/>
              </w:rPr>
              <w:t>质保期</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olor w:val="auto"/>
                <w:highlight w:val="none"/>
              </w:rPr>
            </w:pPr>
          </w:p>
        </w:tc>
      </w:tr>
      <w:tr>
        <w:tblPrEx>
          <w:tblLayout w:type="fixed"/>
          <w:tblCellMar>
            <w:top w:w="0" w:type="dxa"/>
            <w:left w:w="108" w:type="dxa"/>
            <w:bottom w:w="0" w:type="dxa"/>
            <w:right w:w="108" w:type="dxa"/>
          </w:tblCellMar>
        </w:tblPrEx>
        <w:trPr>
          <w:trHeight w:val="254"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olor w:val="auto"/>
                <w:highlight w:val="none"/>
              </w:rPr>
            </w:pPr>
            <w:r>
              <w:rPr>
                <w:rFonts w:hint="eastAsia" w:ascii="宋体" w:hAnsi="宋体" w:cs="仿宋"/>
                <w:color w:val="auto"/>
                <w:highlight w:val="none"/>
              </w:rPr>
              <w:t>…</w:t>
            </w:r>
          </w:p>
        </w:tc>
        <w:tc>
          <w:tcPr>
            <w:tcW w:w="2990"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b w:val="0"/>
                <w:bCs/>
                <w:color w:val="auto"/>
                <w:sz w:val="21"/>
                <w:szCs w:val="21"/>
                <w:highlight w:val="none"/>
                <w:lang w:eastAsia="zh-CN"/>
              </w:rPr>
            </w:pPr>
            <w:r>
              <w:rPr>
                <w:rFonts w:hint="eastAsia" w:ascii="宋体" w:hAnsi="宋体" w:cs="仿宋"/>
                <w:color w:val="auto"/>
                <w:highlight w:val="none"/>
              </w:rPr>
              <w:t>…</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r>
              <w:rPr>
                <w:rFonts w:hint="eastAsia" w:ascii="宋体" w:hAnsi="宋体" w:cs="仿宋"/>
                <w:color w:val="auto"/>
                <w:highlight w:val="none"/>
              </w:rPr>
              <w:t>…</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olor w:val="auto"/>
                <w:highlight w:val="none"/>
              </w:rPr>
            </w:pPr>
            <w:r>
              <w:rPr>
                <w:rFonts w:hint="eastAsia" w:ascii="宋体" w:hAnsi="宋体" w:cs="仿宋"/>
                <w:color w:val="auto"/>
                <w:highlight w:val="none"/>
              </w:rPr>
              <w:t>…</w:t>
            </w:r>
          </w:p>
        </w:tc>
      </w:tr>
    </w:tbl>
    <w:p>
      <w:pPr>
        <w:snapToGrid w:val="0"/>
        <w:spacing w:line="360" w:lineRule="auto"/>
        <w:ind w:firstLine="584" w:firstLineChars="200"/>
        <w:rPr>
          <w:rFonts w:hint="eastAsia" w:ascii="宋体" w:hAnsi="宋体"/>
          <w:color w:val="auto"/>
          <w:spacing w:val="6"/>
          <w:sz w:val="28"/>
          <w:szCs w:val="28"/>
          <w:highlight w:val="none"/>
        </w:rPr>
      </w:pPr>
    </w:p>
    <w:p>
      <w:pPr>
        <w:snapToGrid w:val="0"/>
        <w:spacing w:line="360" w:lineRule="auto"/>
        <w:ind w:firstLine="584" w:firstLineChars="200"/>
        <w:rPr>
          <w:rFonts w:ascii="宋体" w:hAnsi="宋体"/>
          <w:color w:val="auto"/>
          <w:spacing w:val="6"/>
          <w:sz w:val="28"/>
          <w:szCs w:val="28"/>
          <w:highlight w:val="none"/>
        </w:rPr>
      </w:pPr>
      <w:r>
        <w:rPr>
          <w:rFonts w:hint="eastAsia" w:ascii="宋体" w:hAnsi="宋体"/>
          <w:color w:val="auto"/>
          <w:spacing w:val="6"/>
          <w:sz w:val="28"/>
          <w:szCs w:val="28"/>
          <w:highlight w:val="none"/>
        </w:rPr>
        <w:t>注：供应商必须根据磋商文件要求据实逐条填写，不得虚假陈述，否则，其施工响应文件无效并按规定追究其相关责任。</w:t>
      </w:r>
    </w:p>
    <w:p>
      <w:pPr>
        <w:snapToGrid w:val="0"/>
        <w:spacing w:line="360" w:lineRule="auto"/>
        <w:ind w:firstLine="584" w:firstLineChars="200"/>
        <w:rPr>
          <w:rFonts w:ascii="宋体" w:hAnsi="宋体"/>
          <w:color w:val="auto"/>
          <w:spacing w:val="6"/>
          <w:sz w:val="28"/>
          <w:szCs w:val="28"/>
          <w:highlight w:val="none"/>
        </w:rPr>
      </w:pPr>
    </w:p>
    <w:p>
      <w:pPr>
        <w:pStyle w:val="2"/>
        <w:rPr>
          <w:rFonts w:ascii="宋体" w:hAnsi="宋体"/>
          <w:color w:val="auto"/>
          <w:spacing w:val="6"/>
          <w:sz w:val="28"/>
          <w:szCs w:val="28"/>
          <w:highlight w:val="none"/>
        </w:rPr>
      </w:pPr>
    </w:p>
    <w:p>
      <w:pPr>
        <w:spacing w:line="360" w:lineRule="auto"/>
        <w:ind w:left="0" w:leftChars="0" w:firstLine="0" w:firstLineChars="0"/>
        <w:rPr>
          <w:rFonts w:ascii="宋体" w:hAnsi="宋体"/>
          <w:b/>
          <w:bCs/>
          <w:color w:val="auto"/>
          <w:sz w:val="32"/>
          <w:szCs w:val="32"/>
          <w:highlight w:val="none"/>
        </w:rPr>
      </w:pPr>
      <w:r>
        <w:rPr>
          <w:rFonts w:hint="eastAsia" w:ascii="宋体" w:hAnsi="宋体"/>
          <w:color w:val="auto"/>
          <w:spacing w:val="6"/>
          <w:sz w:val="28"/>
          <w:szCs w:val="28"/>
          <w:highlight w:val="none"/>
        </w:rPr>
        <w:t>供应商名称：</w:t>
      </w:r>
      <w:r>
        <w:rPr>
          <w:rFonts w:hint="eastAsia" w:ascii="宋体" w:hAnsi="宋体"/>
          <w:color w:val="auto"/>
          <w:spacing w:val="6"/>
          <w:sz w:val="28"/>
          <w:szCs w:val="28"/>
          <w:highlight w:val="none"/>
          <w:u w:val="single"/>
        </w:rPr>
        <w:t>　</w:t>
      </w:r>
      <w:r>
        <w:rPr>
          <w:rFonts w:ascii="宋体" w:hAnsi="宋体"/>
          <w:color w:val="auto"/>
          <w:spacing w:val="6"/>
          <w:sz w:val="28"/>
          <w:szCs w:val="28"/>
          <w:highlight w:val="none"/>
          <w:u w:val="single"/>
        </w:rPr>
        <w:t>XXX</w:t>
      </w:r>
      <w:r>
        <w:rPr>
          <w:rFonts w:hint="eastAsia" w:ascii="宋体" w:hAnsi="宋体"/>
          <w:color w:val="auto"/>
          <w:spacing w:val="6"/>
          <w:sz w:val="28"/>
          <w:szCs w:val="28"/>
          <w:highlight w:val="none"/>
          <w:u w:val="single"/>
        </w:rPr>
        <w:t>　</w:t>
      </w:r>
      <w:r>
        <w:rPr>
          <w:rFonts w:hint="eastAsia" w:ascii="宋体" w:hAnsi="宋体"/>
          <w:bCs/>
          <w:color w:val="auto"/>
          <w:sz w:val="28"/>
          <w:szCs w:val="28"/>
          <w:highlight w:val="none"/>
          <w:lang w:eastAsia="zh-CN"/>
        </w:rPr>
        <w:t>（加盖公章）</w:t>
      </w:r>
    </w:p>
    <w:p>
      <w:pPr>
        <w:snapToGrid w:val="0"/>
        <w:spacing w:line="360" w:lineRule="auto"/>
        <w:rPr>
          <w:rFonts w:hint="eastAsia" w:ascii="宋体" w:hAnsi="宋体"/>
          <w:color w:val="auto"/>
          <w:spacing w:val="6"/>
          <w:sz w:val="28"/>
          <w:szCs w:val="28"/>
          <w:highlight w:val="none"/>
        </w:rPr>
      </w:pPr>
      <w:r>
        <w:rPr>
          <w:rFonts w:hint="eastAsia" w:ascii="宋体" w:hAnsi="宋体"/>
          <w:color w:val="auto"/>
          <w:spacing w:val="6"/>
          <w:sz w:val="28"/>
          <w:szCs w:val="28"/>
          <w:highlight w:val="none"/>
        </w:rPr>
        <w:t>日期：</w:t>
      </w:r>
      <w:r>
        <w:rPr>
          <w:rFonts w:ascii="宋体" w:hAnsi="宋体"/>
          <w:color w:val="auto"/>
          <w:spacing w:val="6"/>
          <w:sz w:val="28"/>
          <w:szCs w:val="28"/>
          <w:highlight w:val="none"/>
          <w:u w:val="single"/>
        </w:rPr>
        <w:t>XXX</w:t>
      </w:r>
      <w:r>
        <w:rPr>
          <w:rFonts w:hint="eastAsia" w:ascii="宋体" w:hAnsi="宋体"/>
          <w:color w:val="auto"/>
          <w:spacing w:val="6"/>
          <w:sz w:val="28"/>
          <w:szCs w:val="28"/>
          <w:highlight w:val="none"/>
        </w:rPr>
        <w:t>年</w:t>
      </w:r>
      <w:r>
        <w:rPr>
          <w:rFonts w:ascii="宋体" w:hAnsi="宋体"/>
          <w:color w:val="auto"/>
          <w:spacing w:val="6"/>
          <w:sz w:val="28"/>
          <w:szCs w:val="28"/>
          <w:highlight w:val="none"/>
          <w:u w:val="single"/>
        </w:rPr>
        <w:t>XXX</w:t>
      </w:r>
      <w:r>
        <w:rPr>
          <w:rFonts w:hint="eastAsia" w:ascii="宋体" w:hAnsi="宋体"/>
          <w:color w:val="auto"/>
          <w:spacing w:val="6"/>
          <w:sz w:val="28"/>
          <w:szCs w:val="28"/>
          <w:highlight w:val="none"/>
        </w:rPr>
        <w:t>月</w:t>
      </w:r>
      <w:r>
        <w:rPr>
          <w:rFonts w:ascii="宋体" w:hAnsi="宋体"/>
          <w:color w:val="auto"/>
          <w:spacing w:val="6"/>
          <w:sz w:val="28"/>
          <w:szCs w:val="28"/>
          <w:highlight w:val="none"/>
          <w:u w:val="single"/>
        </w:rPr>
        <w:t>XXX</w:t>
      </w:r>
      <w:r>
        <w:rPr>
          <w:rFonts w:hint="eastAsia" w:ascii="宋体" w:hAnsi="宋体"/>
          <w:color w:val="auto"/>
          <w:spacing w:val="6"/>
          <w:sz w:val="28"/>
          <w:szCs w:val="28"/>
          <w:highlight w:val="none"/>
        </w:rPr>
        <w:t>日</w:t>
      </w:r>
      <w:r>
        <w:rPr>
          <w:rFonts w:hint="eastAsia" w:ascii="宋体" w:hAnsi="宋体"/>
          <w:color w:val="auto"/>
          <w:spacing w:val="6"/>
          <w:sz w:val="28"/>
          <w:szCs w:val="28"/>
          <w:highlight w:val="none"/>
        </w:rPr>
        <w:br w:type="page"/>
      </w:r>
    </w:p>
    <w:p>
      <w:pPr>
        <w:pStyle w:val="5"/>
        <w:numPr>
          <w:ilvl w:val="3"/>
          <w:numId w:val="1"/>
        </w:numPr>
        <w:tabs>
          <w:tab w:val="left" w:pos="709"/>
        </w:tabs>
        <w:jc w:val="left"/>
        <w:rPr>
          <w:color w:val="auto"/>
          <w:highlight w:val="none"/>
        </w:rPr>
      </w:pPr>
      <w:r>
        <w:rPr>
          <w:rFonts w:hint="eastAsia"/>
          <w:color w:val="auto"/>
          <w:highlight w:val="none"/>
          <w:lang w:eastAsia="zh-CN"/>
        </w:rPr>
        <w:t>项目管理机构组成表</w:t>
      </w:r>
    </w:p>
    <w:tbl>
      <w:tblPr>
        <w:tblStyle w:val="50"/>
        <w:tblW w:w="9366" w:type="dxa"/>
        <w:jc w:val="center"/>
        <w:tblInd w:w="0" w:type="dxa"/>
        <w:tblLayout w:type="fixed"/>
        <w:tblCellMar>
          <w:top w:w="0" w:type="dxa"/>
          <w:left w:w="0" w:type="dxa"/>
          <w:bottom w:w="0" w:type="dxa"/>
          <w:right w:w="0" w:type="dxa"/>
        </w:tblCellMar>
      </w:tblPr>
      <w:tblGrid>
        <w:gridCol w:w="857"/>
        <w:gridCol w:w="1695"/>
        <w:gridCol w:w="1423"/>
        <w:gridCol w:w="1276"/>
        <w:gridCol w:w="1301"/>
        <w:gridCol w:w="1134"/>
        <w:gridCol w:w="1680"/>
      </w:tblGrid>
      <w:tr>
        <w:tblPrEx>
          <w:tblLayout w:type="fixed"/>
          <w:tblCellMar>
            <w:top w:w="0" w:type="dxa"/>
            <w:left w:w="0" w:type="dxa"/>
            <w:bottom w:w="0" w:type="dxa"/>
            <w:right w:w="0" w:type="dxa"/>
          </w:tblCellMar>
        </w:tblPrEx>
        <w:trPr>
          <w:trHeight w:val="614" w:hRule="atLeast"/>
          <w:jc w:val="center"/>
        </w:trPr>
        <w:tc>
          <w:tcPr>
            <w:tcW w:w="857" w:type="dxa"/>
            <w:vMerge w:val="restart"/>
            <w:tcBorders>
              <w:top w:val="single" w:color="auto" w:sz="4" w:space="0"/>
              <w:left w:val="single" w:color="auto" w:sz="4" w:space="0"/>
              <w:right w:val="single" w:color="auto" w:sz="4" w:space="0"/>
            </w:tcBorders>
            <w:vAlign w:val="center"/>
          </w:tcPr>
          <w:p>
            <w:pPr>
              <w:spacing w:line="360" w:lineRule="auto"/>
              <w:jc w:val="center"/>
              <w:rPr>
                <w:rFonts w:ascii="宋体" w:hAnsi="宋体"/>
                <w:color w:val="auto"/>
                <w:highlight w:val="none"/>
              </w:rPr>
            </w:pPr>
            <w:r>
              <w:rPr>
                <w:rFonts w:hint="eastAsia" w:ascii="宋体" w:hAnsi="宋体" w:cs="仿宋"/>
                <w:color w:val="auto"/>
                <w:highlight w:val="none"/>
              </w:rPr>
              <w:t>序号</w:t>
            </w:r>
          </w:p>
        </w:tc>
        <w:tc>
          <w:tcPr>
            <w:tcW w:w="1695" w:type="dxa"/>
            <w:vMerge w:val="restart"/>
            <w:tcBorders>
              <w:top w:val="single" w:color="auto" w:sz="4" w:space="0"/>
              <w:left w:val="nil"/>
              <w:right w:val="single" w:color="auto" w:sz="4" w:space="0"/>
            </w:tcBorders>
            <w:vAlign w:val="center"/>
          </w:tcPr>
          <w:p>
            <w:pPr>
              <w:spacing w:line="360" w:lineRule="auto"/>
              <w:jc w:val="center"/>
              <w:rPr>
                <w:rFonts w:ascii="宋体" w:hAnsi="宋体"/>
                <w:color w:val="auto"/>
                <w:highlight w:val="none"/>
              </w:rPr>
            </w:pPr>
            <w:r>
              <w:rPr>
                <w:rFonts w:hint="eastAsia" w:ascii="宋体" w:hAnsi="宋体" w:cs="仿宋"/>
                <w:color w:val="auto"/>
                <w:highlight w:val="none"/>
              </w:rPr>
              <w:t>职务</w:t>
            </w:r>
          </w:p>
        </w:tc>
        <w:tc>
          <w:tcPr>
            <w:tcW w:w="1423" w:type="dxa"/>
            <w:vMerge w:val="restart"/>
            <w:tcBorders>
              <w:top w:val="single" w:color="auto" w:sz="4" w:space="0"/>
              <w:left w:val="nil"/>
              <w:right w:val="single" w:color="auto" w:sz="4" w:space="0"/>
            </w:tcBorders>
            <w:vAlign w:val="center"/>
          </w:tcPr>
          <w:p>
            <w:pPr>
              <w:spacing w:line="360" w:lineRule="auto"/>
              <w:jc w:val="center"/>
              <w:rPr>
                <w:rFonts w:ascii="宋体" w:hAnsi="宋体"/>
                <w:color w:val="auto"/>
                <w:highlight w:val="none"/>
              </w:rPr>
            </w:pPr>
            <w:r>
              <w:rPr>
                <w:rFonts w:hint="eastAsia" w:ascii="宋体" w:hAnsi="宋体" w:cs="仿宋"/>
                <w:color w:val="auto"/>
                <w:highlight w:val="none"/>
              </w:rPr>
              <w:t>姓名</w:t>
            </w:r>
          </w:p>
        </w:tc>
        <w:tc>
          <w:tcPr>
            <w:tcW w:w="2577" w:type="dxa"/>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r>
              <w:rPr>
                <w:rFonts w:hint="eastAsia" w:ascii="宋体" w:hAnsi="宋体" w:cs="仿宋"/>
                <w:color w:val="auto"/>
                <w:highlight w:val="none"/>
              </w:rPr>
              <w:t>执业或职业资格</w:t>
            </w:r>
          </w:p>
        </w:tc>
        <w:tc>
          <w:tcPr>
            <w:tcW w:w="2814" w:type="dxa"/>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r>
              <w:rPr>
                <w:rFonts w:hint="eastAsia" w:ascii="宋体" w:hAnsi="宋体" w:cs="仿宋"/>
                <w:color w:val="auto"/>
                <w:highlight w:val="none"/>
              </w:rPr>
              <w:t>职称</w:t>
            </w:r>
          </w:p>
        </w:tc>
      </w:tr>
      <w:tr>
        <w:tblPrEx>
          <w:tblLayout w:type="fixed"/>
          <w:tblCellMar>
            <w:top w:w="0" w:type="dxa"/>
            <w:left w:w="0" w:type="dxa"/>
            <w:bottom w:w="0" w:type="dxa"/>
            <w:right w:w="0" w:type="dxa"/>
          </w:tblCellMar>
        </w:tblPrEx>
        <w:trPr>
          <w:trHeight w:val="614" w:hRule="atLeast"/>
          <w:jc w:val="center"/>
        </w:trPr>
        <w:tc>
          <w:tcPr>
            <w:tcW w:w="857" w:type="dxa"/>
            <w:vMerge w:val="continue"/>
            <w:tcBorders>
              <w:left w:val="single" w:color="auto" w:sz="4" w:space="0"/>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1695" w:type="dxa"/>
            <w:vMerge w:val="continue"/>
            <w:tcBorders>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1423" w:type="dxa"/>
            <w:vMerge w:val="continue"/>
            <w:tcBorders>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r>
              <w:rPr>
                <w:rFonts w:hint="eastAsia" w:ascii="宋体" w:hAnsi="宋体" w:cs="仿宋"/>
                <w:color w:val="auto"/>
                <w:highlight w:val="none"/>
              </w:rPr>
              <w:t>证书名称</w:t>
            </w: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r>
              <w:rPr>
                <w:rFonts w:hint="eastAsia" w:ascii="宋体" w:hAnsi="宋体" w:cs="仿宋"/>
                <w:color w:val="auto"/>
                <w:highlight w:val="none"/>
              </w:rPr>
              <w:t>证书编号</w:t>
            </w: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r>
              <w:rPr>
                <w:rFonts w:hint="eastAsia" w:ascii="宋体" w:hAnsi="宋体" w:cs="仿宋"/>
                <w:color w:val="auto"/>
                <w:highlight w:val="none"/>
              </w:rPr>
              <w:t>职称专业</w:t>
            </w:r>
          </w:p>
        </w:tc>
        <w:tc>
          <w:tcPr>
            <w:tcW w:w="168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r>
              <w:rPr>
                <w:rFonts w:hint="eastAsia" w:ascii="宋体" w:hAnsi="宋体" w:cs="仿宋"/>
                <w:color w:val="auto"/>
                <w:highlight w:val="none"/>
              </w:rPr>
              <w:t>级别</w:t>
            </w: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auto"/>
                <w:highlight w:val="none"/>
              </w:rPr>
            </w:pPr>
            <w:r>
              <w:rPr>
                <w:rFonts w:ascii="宋体" w:hAnsi="宋体" w:cs="仿宋"/>
                <w:color w:val="auto"/>
                <w:highlight w:val="none"/>
              </w:rPr>
              <w:t>1</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r>
              <w:rPr>
                <w:rFonts w:hint="eastAsia" w:ascii="宋体" w:hAnsi="宋体" w:cs="仿宋"/>
                <w:color w:val="auto"/>
                <w:highlight w:val="none"/>
              </w:rPr>
              <w:t>项目负责人</w:t>
            </w:r>
          </w:p>
          <w:p>
            <w:pPr>
              <w:spacing w:line="360" w:lineRule="auto"/>
              <w:jc w:val="center"/>
              <w:rPr>
                <w:rFonts w:ascii="宋体" w:hAnsi="宋体"/>
                <w:color w:val="auto"/>
                <w:highlight w:val="none"/>
              </w:rPr>
            </w:pPr>
            <w:r>
              <w:rPr>
                <w:rFonts w:hint="eastAsia" w:ascii="宋体" w:hAnsi="宋体" w:cs="仿宋"/>
                <w:color w:val="auto"/>
                <w:highlight w:val="none"/>
              </w:rPr>
              <w:t>（项目经理）</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color w:val="auto"/>
                <w:highlight w:val="none"/>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auto"/>
                <w:highlight w:val="none"/>
              </w:rPr>
            </w:pPr>
            <w:r>
              <w:rPr>
                <w:rFonts w:ascii="宋体" w:hAnsi="宋体" w:cs="仿宋"/>
                <w:color w:val="auto"/>
                <w:highlight w:val="none"/>
              </w:rPr>
              <w:t>2</w:t>
            </w:r>
          </w:p>
        </w:tc>
        <w:tc>
          <w:tcPr>
            <w:tcW w:w="1695" w:type="dxa"/>
            <w:tcBorders>
              <w:top w:val="single" w:color="auto" w:sz="4" w:space="0"/>
              <w:left w:val="nil"/>
              <w:bottom w:val="single" w:color="auto" w:sz="4" w:space="0"/>
              <w:right w:val="single" w:color="auto" w:sz="4" w:space="0"/>
            </w:tcBorders>
            <w:vAlign w:val="center"/>
          </w:tcPr>
          <w:p>
            <w:pPr>
              <w:spacing w:line="360" w:lineRule="auto"/>
              <w:rPr>
                <w:rFonts w:ascii="宋体" w:hAnsi="宋体"/>
                <w:color w:val="auto"/>
                <w:highlight w:val="none"/>
              </w:rPr>
            </w:pPr>
            <w:r>
              <w:rPr>
                <w:rFonts w:hint="eastAsia" w:ascii="宋体" w:hAnsi="宋体" w:cs="仿宋"/>
                <w:color w:val="auto"/>
                <w:highlight w:val="none"/>
              </w:rPr>
              <w:t>项目技术负责人</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color w:val="auto"/>
                <w:highlight w:val="none"/>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auto"/>
                <w:highlight w:val="none"/>
              </w:rPr>
            </w:pPr>
            <w:r>
              <w:rPr>
                <w:rFonts w:ascii="宋体" w:hAnsi="宋体" w:cs="仿宋"/>
                <w:color w:val="auto"/>
                <w:highlight w:val="none"/>
              </w:rPr>
              <w:t>3</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r>
              <w:rPr>
                <w:rFonts w:hint="eastAsia" w:ascii="宋体" w:hAnsi="宋体" w:cs="仿宋"/>
                <w:color w:val="auto"/>
                <w:highlight w:val="none"/>
              </w:rPr>
              <w:t>施工员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color w:val="auto"/>
                <w:highlight w:val="none"/>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auto"/>
                <w:highlight w:val="none"/>
              </w:rPr>
            </w:pPr>
            <w:r>
              <w:rPr>
                <w:rFonts w:ascii="宋体" w:hAnsi="宋体" w:cs="仿宋"/>
                <w:color w:val="auto"/>
                <w:highlight w:val="none"/>
              </w:rPr>
              <w:t>4</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r>
              <w:rPr>
                <w:rFonts w:hint="eastAsia" w:ascii="宋体" w:hAnsi="宋体" w:cs="仿宋"/>
                <w:color w:val="auto"/>
                <w:highlight w:val="none"/>
              </w:rPr>
              <w:t>质量员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color w:val="auto"/>
                <w:highlight w:val="none"/>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auto"/>
                <w:highlight w:val="none"/>
              </w:rPr>
            </w:pPr>
            <w:r>
              <w:rPr>
                <w:rFonts w:ascii="宋体" w:hAnsi="宋体" w:cs="仿宋"/>
                <w:color w:val="auto"/>
                <w:highlight w:val="none"/>
              </w:rPr>
              <w:t>5</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r>
              <w:rPr>
                <w:rFonts w:hint="eastAsia" w:ascii="宋体" w:hAnsi="宋体" w:cs="仿宋"/>
                <w:color w:val="auto"/>
                <w:highlight w:val="none"/>
              </w:rPr>
              <w:t>安全员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color w:val="auto"/>
                <w:highlight w:val="none"/>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auto"/>
                <w:highlight w:val="none"/>
              </w:rPr>
            </w:pPr>
            <w:r>
              <w:rPr>
                <w:rFonts w:hint="eastAsia" w:ascii="宋体" w:hAnsi="宋体" w:cs="仿宋"/>
                <w:color w:val="auto"/>
                <w:highlight w:val="none"/>
              </w:rPr>
              <w:t>…</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r>
              <w:rPr>
                <w:rFonts w:hint="eastAsia" w:ascii="宋体" w:hAnsi="宋体" w:cs="仿宋"/>
                <w:color w:val="auto"/>
                <w:highlight w:val="none"/>
              </w:rPr>
              <w:t>…</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color w:val="auto"/>
                <w:highlight w:val="none"/>
              </w:rPr>
            </w:pPr>
          </w:p>
        </w:tc>
      </w:tr>
    </w:tbl>
    <w:p>
      <w:pPr>
        <w:spacing w:line="360" w:lineRule="auto"/>
        <w:ind w:left="410" w:leftChars="171"/>
        <w:rPr>
          <w:rFonts w:ascii="宋体" w:hAnsi="宋体"/>
          <w:color w:val="auto"/>
          <w:highlight w:val="none"/>
        </w:rPr>
      </w:pPr>
    </w:p>
    <w:p>
      <w:pPr>
        <w:spacing w:line="360" w:lineRule="auto"/>
        <w:ind w:left="0" w:leftChars="0" w:firstLine="0" w:firstLineChars="0"/>
        <w:rPr>
          <w:rFonts w:ascii="宋体" w:hAnsi="宋体"/>
          <w:b/>
          <w:bCs/>
          <w:color w:val="auto"/>
          <w:sz w:val="32"/>
          <w:szCs w:val="32"/>
          <w:highlight w:val="none"/>
        </w:rPr>
      </w:pPr>
      <w:r>
        <w:rPr>
          <w:rFonts w:hint="eastAsia" w:ascii="宋体" w:hAnsi="宋体"/>
          <w:color w:val="auto"/>
          <w:spacing w:val="6"/>
          <w:sz w:val="28"/>
          <w:szCs w:val="28"/>
          <w:highlight w:val="none"/>
        </w:rPr>
        <w:t>供应商名称：</w:t>
      </w:r>
      <w:r>
        <w:rPr>
          <w:rFonts w:hint="eastAsia" w:ascii="宋体" w:hAnsi="宋体"/>
          <w:color w:val="auto"/>
          <w:spacing w:val="6"/>
          <w:sz w:val="28"/>
          <w:szCs w:val="28"/>
          <w:highlight w:val="none"/>
          <w:u w:val="single"/>
        </w:rPr>
        <w:t>　</w:t>
      </w:r>
      <w:r>
        <w:rPr>
          <w:rFonts w:ascii="宋体" w:hAnsi="宋体"/>
          <w:color w:val="auto"/>
          <w:spacing w:val="6"/>
          <w:sz w:val="28"/>
          <w:szCs w:val="28"/>
          <w:highlight w:val="none"/>
          <w:u w:val="single"/>
        </w:rPr>
        <w:t>XXX</w:t>
      </w:r>
      <w:r>
        <w:rPr>
          <w:rFonts w:hint="eastAsia" w:ascii="宋体" w:hAnsi="宋体"/>
          <w:color w:val="auto"/>
          <w:spacing w:val="6"/>
          <w:sz w:val="28"/>
          <w:szCs w:val="28"/>
          <w:highlight w:val="none"/>
          <w:u w:val="single"/>
        </w:rPr>
        <w:t>　</w:t>
      </w:r>
      <w:r>
        <w:rPr>
          <w:rFonts w:hint="eastAsia" w:ascii="宋体" w:hAnsi="宋体"/>
          <w:bCs/>
          <w:color w:val="auto"/>
          <w:sz w:val="28"/>
          <w:szCs w:val="28"/>
          <w:highlight w:val="none"/>
          <w:lang w:eastAsia="zh-CN"/>
        </w:rPr>
        <w:t>（加盖公章）</w:t>
      </w:r>
    </w:p>
    <w:p>
      <w:pPr>
        <w:snapToGrid w:val="0"/>
        <w:spacing w:line="360" w:lineRule="auto"/>
        <w:rPr>
          <w:rFonts w:ascii="宋体" w:hAnsi="宋体"/>
          <w:color w:val="auto"/>
          <w:spacing w:val="6"/>
          <w:sz w:val="28"/>
          <w:szCs w:val="28"/>
          <w:highlight w:val="none"/>
        </w:rPr>
      </w:pPr>
      <w:r>
        <w:rPr>
          <w:rFonts w:hint="eastAsia" w:ascii="宋体" w:hAnsi="宋体"/>
          <w:color w:val="auto"/>
          <w:spacing w:val="6"/>
          <w:sz w:val="28"/>
          <w:szCs w:val="28"/>
          <w:highlight w:val="none"/>
        </w:rPr>
        <w:t>日期：</w:t>
      </w:r>
      <w:r>
        <w:rPr>
          <w:rFonts w:ascii="宋体" w:hAnsi="宋体"/>
          <w:color w:val="auto"/>
          <w:spacing w:val="6"/>
          <w:sz w:val="28"/>
          <w:szCs w:val="28"/>
          <w:highlight w:val="none"/>
          <w:u w:val="single"/>
        </w:rPr>
        <w:t>XXX</w:t>
      </w:r>
      <w:r>
        <w:rPr>
          <w:rFonts w:hint="eastAsia" w:ascii="宋体" w:hAnsi="宋体"/>
          <w:color w:val="auto"/>
          <w:spacing w:val="6"/>
          <w:sz w:val="28"/>
          <w:szCs w:val="28"/>
          <w:highlight w:val="none"/>
        </w:rPr>
        <w:t>年</w:t>
      </w:r>
      <w:r>
        <w:rPr>
          <w:rFonts w:ascii="宋体" w:hAnsi="宋体"/>
          <w:color w:val="auto"/>
          <w:spacing w:val="6"/>
          <w:sz w:val="28"/>
          <w:szCs w:val="28"/>
          <w:highlight w:val="none"/>
          <w:u w:val="single"/>
        </w:rPr>
        <w:t>XXX</w:t>
      </w:r>
      <w:r>
        <w:rPr>
          <w:rFonts w:hint="eastAsia" w:ascii="宋体" w:hAnsi="宋体"/>
          <w:color w:val="auto"/>
          <w:spacing w:val="6"/>
          <w:sz w:val="28"/>
          <w:szCs w:val="28"/>
          <w:highlight w:val="none"/>
        </w:rPr>
        <w:t>月</w:t>
      </w:r>
      <w:r>
        <w:rPr>
          <w:rFonts w:ascii="宋体" w:hAnsi="宋体"/>
          <w:color w:val="auto"/>
          <w:spacing w:val="6"/>
          <w:sz w:val="28"/>
          <w:szCs w:val="28"/>
          <w:highlight w:val="none"/>
          <w:u w:val="single"/>
        </w:rPr>
        <w:t>XXX</w:t>
      </w:r>
      <w:r>
        <w:rPr>
          <w:rFonts w:hint="eastAsia" w:ascii="宋体" w:hAnsi="宋体"/>
          <w:color w:val="auto"/>
          <w:spacing w:val="6"/>
          <w:sz w:val="28"/>
          <w:szCs w:val="28"/>
          <w:highlight w:val="none"/>
        </w:rPr>
        <w:t>日</w:t>
      </w:r>
    </w:p>
    <w:p>
      <w:pPr>
        <w:spacing w:line="360" w:lineRule="auto"/>
        <w:rPr>
          <w:rFonts w:ascii="宋体" w:hAnsi="宋体" w:cs="仿宋"/>
          <w:color w:val="auto"/>
          <w:highlight w:val="none"/>
        </w:rPr>
      </w:pPr>
    </w:p>
    <w:p>
      <w:pPr>
        <w:spacing w:line="360" w:lineRule="auto"/>
        <w:rPr>
          <w:rFonts w:hint="eastAsia" w:ascii="宋体" w:hAnsi="宋体" w:cs="仿宋"/>
          <w:color w:val="auto"/>
          <w:highlight w:val="none"/>
        </w:rPr>
      </w:pPr>
      <w:r>
        <w:rPr>
          <w:rFonts w:hint="eastAsia" w:ascii="宋体" w:hAnsi="宋体" w:cs="仿宋"/>
          <w:b/>
          <w:color w:val="auto"/>
          <w:highlight w:val="none"/>
        </w:rPr>
        <w:t>注：</w:t>
      </w:r>
      <w:r>
        <w:rPr>
          <w:rFonts w:hint="eastAsia" w:ascii="宋体" w:hAnsi="宋体" w:cs="仿宋"/>
          <w:color w:val="auto"/>
          <w:highlight w:val="none"/>
        </w:rPr>
        <w:t>为降低供应商参加政府采购活动成本，除项目负责人、项目技术负责人以外，该表中的施工员、质量员、安全员等可以在供应商成交后在政府采购合同中约定，不得要求必须在参加采购活动前提供该类工作人员信息，如需办理施工许可证，人员配备需满足办理施工许可证相关要求。</w:t>
      </w:r>
    </w:p>
    <w:p>
      <w:pPr>
        <w:spacing w:line="360" w:lineRule="auto"/>
        <w:rPr>
          <w:rFonts w:hint="eastAsia" w:ascii="宋体" w:hAnsi="宋体" w:cs="仿宋"/>
          <w:color w:val="auto"/>
          <w:highlight w:val="none"/>
        </w:rPr>
      </w:pPr>
      <w:r>
        <w:rPr>
          <w:rFonts w:hint="eastAsia" w:ascii="宋体" w:hAnsi="宋体" w:cs="仿宋"/>
          <w:color w:val="auto"/>
          <w:highlight w:val="none"/>
        </w:rPr>
        <w:br w:type="page"/>
      </w:r>
    </w:p>
    <w:p>
      <w:pPr>
        <w:pStyle w:val="5"/>
        <w:numPr>
          <w:ilvl w:val="3"/>
          <w:numId w:val="1"/>
        </w:numPr>
        <w:tabs>
          <w:tab w:val="left" w:pos="709"/>
        </w:tabs>
        <w:jc w:val="left"/>
        <w:rPr>
          <w:color w:val="auto"/>
          <w:highlight w:val="none"/>
        </w:rPr>
      </w:pPr>
      <w:r>
        <w:rPr>
          <w:rFonts w:hint="eastAsia"/>
          <w:color w:val="auto"/>
          <w:highlight w:val="none"/>
          <w:lang w:eastAsia="zh-CN"/>
        </w:rPr>
        <w:t>相关</w:t>
      </w:r>
      <w:r>
        <w:rPr>
          <w:rFonts w:hint="eastAsia"/>
          <w:color w:val="auto"/>
          <w:highlight w:val="none"/>
        </w:rPr>
        <w:t>管理机构主要人员简历表</w:t>
      </w:r>
    </w:p>
    <w:tbl>
      <w:tblPr>
        <w:tblStyle w:val="50"/>
        <w:tblW w:w="9406" w:type="dxa"/>
        <w:jc w:val="center"/>
        <w:tblInd w:w="0" w:type="dxa"/>
        <w:tblLayout w:type="fixed"/>
        <w:tblCellMar>
          <w:top w:w="0" w:type="dxa"/>
          <w:left w:w="0" w:type="dxa"/>
          <w:bottom w:w="0" w:type="dxa"/>
          <w:right w:w="0" w:type="dxa"/>
        </w:tblCellMar>
      </w:tblPr>
      <w:tblGrid>
        <w:gridCol w:w="1595"/>
        <w:gridCol w:w="25"/>
        <w:gridCol w:w="1215"/>
        <w:gridCol w:w="1134"/>
        <w:gridCol w:w="1276"/>
        <w:gridCol w:w="1843"/>
        <w:gridCol w:w="2318"/>
      </w:tblGrid>
      <w:tr>
        <w:tblPrEx>
          <w:tblLayout w:type="fixed"/>
          <w:tblCellMar>
            <w:top w:w="0" w:type="dxa"/>
            <w:left w:w="0" w:type="dxa"/>
            <w:bottom w:w="0" w:type="dxa"/>
            <w:right w:w="0" w:type="dxa"/>
          </w:tblCellMar>
        </w:tblPrEx>
        <w:trPr>
          <w:trHeight w:val="463" w:hRule="atLeast"/>
          <w:jc w:val="center"/>
        </w:trPr>
        <w:tc>
          <w:tcPr>
            <w:tcW w:w="159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auto"/>
                <w:highlight w:val="none"/>
              </w:rPr>
            </w:pPr>
            <w:r>
              <w:rPr>
                <w:rFonts w:hint="eastAsia" w:ascii="宋体" w:hAnsi="宋体" w:cs="仿宋"/>
                <w:color w:val="auto"/>
                <w:highlight w:val="none"/>
              </w:rPr>
              <w:t>姓名</w:t>
            </w:r>
          </w:p>
        </w:tc>
        <w:tc>
          <w:tcPr>
            <w:tcW w:w="1240" w:type="dxa"/>
            <w:gridSpan w:val="2"/>
            <w:tcBorders>
              <w:top w:val="single" w:color="auto" w:sz="4" w:space="0"/>
              <w:left w:val="nil"/>
              <w:bottom w:val="single" w:color="auto" w:sz="4" w:space="0"/>
              <w:right w:val="single" w:color="auto" w:sz="4" w:space="0"/>
            </w:tcBorders>
          </w:tcPr>
          <w:p>
            <w:pPr>
              <w:spacing w:line="360" w:lineRule="auto"/>
              <w:jc w:val="center"/>
              <w:rPr>
                <w:rFonts w:ascii="宋体" w:hAnsi="宋体"/>
                <w:color w:val="auto"/>
                <w:highlight w:val="none"/>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r>
              <w:rPr>
                <w:rFonts w:hint="eastAsia" w:ascii="宋体" w:hAnsi="宋体" w:cs="仿宋"/>
                <w:color w:val="auto"/>
                <w:highlight w:val="none"/>
              </w:rPr>
              <w:t>年龄</w:t>
            </w:r>
          </w:p>
        </w:tc>
        <w:tc>
          <w:tcPr>
            <w:tcW w:w="5437" w:type="dxa"/>
            <w:gridSpan w:val="3"/>
            <w:tcBorders>
              <w:top w:val="single" w:color="auto" w:sz="4" w:space="0"/>
              <w:left w:val="nil"/>
              <w:bottom w:val="single" w:color="auto" w:sz="4" w:space="0"/>
              <w:right w:val="single" w:color="auto" w:sz="4" w:space="0"/>
            </w:tcBorders>
          </w:tcPr>
          <w:p>
            <w:pPr>
              <w:spacing w:line="360" w:lineRule="auto"/>
              <w:jc w:val="center"/>
              <w:rPr>
                <w:rFonts w:ascii="宋体" w:hAnsi="宋体"/>
                <w:color w:val="auto"/>
                <w:highlight w:val="none"/>
              </w:rPr>
            </w:pPr>
          </w:p>
        </w:tc>
      </w:tr>
      <w:tr>
        <w:tblPrEx>
          <w:tblLayout w:type="fixed"/>
          <w:tblCellMar>
            <w:top w:w="0" w:type="dxa"/>
            <w:left w:w="0" w:type="dxa"/>
            <w:bottom w:w="0" w:type="dxa"/>
            <w:right w:w="0" w:type="dxa"/>
          </w:tblCellMar>
        </w:tblPrEx>
        <w:trPr>
          <w:trHeight w:val="451" w:hRule="atLeast"/>
          <w:jc w:val="center"/>
        </w:trPr>
        <w:tc>
          <w:tcPr>
            <w:tcW w:w="159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auto"/>
                <w:highlight w:val="none"/>
              </w:rPr>
            </w:pPr>
            <w:r>
              <w:rPr>
                <w:rFonts w:hint="eastAsia" w:ascii="宋体" w:hAnsi="宋体" w:cs="仿宋"/>
                <w:color w:val="auto"/>
                <w:highlight w:val="none"/>
              </w:rPr>
              <w:t>职称</w:t>
            </w:r>
          </w:p>
        </w:tc>
        <w:tc>
          <w:tcPr>
            <w:tcW w:w="1240" w:type="dxa"/>
            <w:gridSpan w:val="2"/>
            <w:tcBorders>
              <w:top w:val="single" w:color="auto" w:sz="4" w:space="0"/>
              <w:left w:val="nil"/>
              <w:bottom w:val="single" w:color="auto" w:sz="4" w:space="0"/>
              <w:right w:val="single" w:color="auto" w:sz="4" w:space="0"/>
            </w:tcBorders>
          </w:tcPr>
          <w:p>
            <w:pPr>
              <w:spacing w:line="360" w:lineRule="auto"/>
              <w:jc w:val="center"/>
              <w:rPr>
                <w:rFonts w:ascii="宋体" w:hAnsi="宋体"/>
                <w:color w:val="auto"/>
                <w:highlight w:val="none"/>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r>
              <w:rPr>
                <w:rFonts w:hint="eastAsia" w:ascii="宋体" w:hAnsi="宋体" w:cs="仿宋"/>
                <w:color w:val="auto"/>
                <w:highlight w:val="none"/>
              </w:rPr>
              <w:t>职务</w:t>
            </w:r>
          </w:p>
        </w:tc>
        <w:tc>
          <w:tcPr>
            <w:tcW w:w="1276" w:type="dxa"/>
            <w:tcBorders>
              <w:top w:val="single" w:color="auto" w:sz="4" w:space="0"/>
              <w:left w:val="nil"/>
              <w:bottom w:val="single" w:color="auto" w:sz="4" w:space="0"/>
              <w:right w:val="single" w:color="auto" w:sz="4" w:space="0"/>
            </w:tcBorders>
          </w:tcPr>
          <w:p>
            <w:pPr>
              <w:spacing w:line="360" w:lineRule="auto"/>
              <w:jc w:val="center"/>
              <w:rPr>
                <w:rFonts w:ascii="宋体" w:hAnsi="宋体"/>
                <w:color w:val="auto"/>
                <w:highlight w:val="none"/>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r>
              <w:rPr>
                <w:rFonts w:hint="eastAsia" w:ascii="宋体" w:hAnsi="宋体" w:cs="仿宋"/>
                <w:color w:val="auto"/>
                <w:highlight w:val="none"/>
              </w:rPr>
              <w:t>拟在本合同任职</w:t>
            </w:r>
          </w:p>
        </w:tc>
        <w:tc>
          <w:tcPr>
            <w:tcW w:w="2318" w:type="dxa"/>
            <w:tcBorders>
              <w:top w:val="single" w:color="auto" w:sz="4" w:space="0"/>
              <w:left w:val="nil"/>
              <w:bottom w:val="single" w:color="auto" w:sz="4" w:space="0"/>
              <w:right w:val="single" w:color="auto" w:sz="4" w:space="0"/>
            </w:tcBorders>
          </w:tcPr>
          <w:p>
            <w:pPr>
              <w:spacing w:line="360" w:lineRule="auto"/>
              <w:jc w:val="center"/>
              <w:rPr>
                <w:rFonts w:ascii="宋体" w:hAnsi="宋体"/>
                <w:color w:val="auto"/>
                <w:highlight w:val="none"/>
              </w:rPr>
            </w:pPr>
          </w:p>
        </w:tc>
      </w:tr>
      <w:tr>
        <w:tblPrEx>
          <w:tblLayout w:type="fixed"/>
          <w:tblCellMar>
            <w:top w:w="0" w:type="dxa"/>
            <w:left w:w="0" w:type="dxa"/>
            <w:bottom w:w="0" w:type="dxa"/>
            <w:right w:w="0" w:type="dxa"/>
          </w:tblCellMar>
        </w:tblPrEx>
        <w:trPr>
          <w:trHeight w:val="613" w:hRule="atLeast"/>
          <w:jc w:val="center"/>
        </w:trPr>
        <w:tc>
          <w:tcPr>
            <w:tcW w:w="9406" w:type="dxa"/>
            <w:gridSpan w:val="7"/>
            <w:tcBorders>
              <w:top w:val="single" w:color="auto" w:sz="4" w:space="0"/>
              <w:left w:val="single" w:color="auto" w:sz="4" w:space="0"/>
              <w:bottom w:val="single" w:color="auto" w:sz="4" w:space="0"/>
              <w:right w:val="single" w:color="auto" w:sz="4" w:space="0"/>
            </w:tcBorders>
            <w:vAlign w:val="center"/>
          </w:tcPr>
          <w:p>
            <w:pPr>
              <w:spacing w:line="360" w:lineRule="auto"/>
              <w:ind w:firstLine="4800" w:firstLineChars="2000"/>
              <w:rPr>
                <w:rFonts w:ascii="宋体" w:hAnsi="宋体"/>
                <w:color w:val="auto"/>
                <w:highlight w:val="none"/>
              </w:rPr>
            </w:pPr>
            <w:r>
              <w:rPr>
                <w:rFonts w:hint="eastAsia" w:ascii="宋体" w:hAnsi="宋体" w:cs="仿宋"/>
                <w:color w:val="auto"/>
                <w:highlight w:val="none"/>
              </w:rPr>
              <w:t>主要工作经历</w:t>
            </w:r>
          </w:p>
        </w:tc>
      </w:tr>
      <w:tr>
        <w:tblPrEx>
          <w:tblLayout w:type="fixed"/>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auto"/>
                <w:highlight w:val="none"/>
              </w:rPr>
            </w:pPr>
            <w:r>
              <w:rPr>
                <w:rFonts w:hint="eastAsia" w:ascii="宋体" w:hAnsi="宋体" w:cs="仿宋"/>
                <w:color w:val="auto"/>
                <w:highlight w:val="none"/>
              </w:rPr>
              <w:t>时间</w:t>
            </w: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r>
              <w:rPr>
                <w:rFonts w:hint="eastAsia" w:ascii="宋体" w:hAnsi="宋体" w:cs="仿宋"/>
                <w:color w:val="auto"/>
                <w:highlight w:val="none"/>
              </w:rPr>
              <w:t>项目名称</w:t>
            </w: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r>
              <w:rPr>
                <w:rFonts w:hint="eastAsia" w:ascii="宋体" w:hAnsi="宋体" w:cs="仿宋"/>
                <w:color w:val="auto"/>
                <w:highlight w:val="none"/>
              </w:rPr>
              <w:t>担任职务</w:t>
            </w: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r>
              <w:rPr>
                <w:rFonts w:hint="eastAsia" w:ascii="宋体" w:hAnsi="宋体" w:cs="仿宋"/>
                <w:color w:val="auto"/>
                <w:highlight w:val="none"/>
              </w:rPr>
              <w:t>发包人</w:t>
            </w:r>
          </w:p>
        </w:tc>
      </w:tr>
      <w:tr>
        <w:tblPrEx>
          <w:tblLayout w:type="fixed"/>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r>
      <w:tr>
        <w:tblPrEx>
          <w:tblLayout w:type="fixed"/>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r>
      <w:tr>
        <w:tblPrEx>
          <w:tblLayout w:type="fixed"/>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highlight w:val="none"/>
              </w:rPr>
            </w:pPr>
          </w:p>
        </w:tc>
      </w:tr>
    </w:tbl>
    <w:p>
      <w:pPr>
        <w:spacing w:line="360" w:lineRule="auto"/>
        <w:ind w:left="120" w:hanging="120" w:hangingChars="50"/>
        <w:rPr>
          <w:rFonts w:ascii="宋体" w:hAnsi="宋体"/>
          <w:b/>
          <w:color w:val="auto"/>
          <w:highlight w:val="none"/>
        </w:rPr>
      </w:pPr>
      <w:r>
        <w:rPr>
          <w:rFonts w:hint="eastAsia" w:ascii="宋体" w:hAnsi="宋体" w:cs="仿宋"/>
          <w:b/>
          <w:color w:val="auto"/>
          <w:highlight w:val="none"/>
        </w:rPr>
        <w:t>注：</w:t>
      </w:r>
    </w:p>
    <w:p>
      <w:pPr>
        <w:spacing w:line="360" w:lineRule="auto"/>
        <w:ind w:left="120" w:hanging="120" w:hangingChars="50"/>
        <w:rPr>
          <w:rFonts w:ascii="宋体" w:hAnsi="宋体"/>
          <w:color w:val="auto"/>
          <w:highlight w:val="none"/>
        </w:rPr>
      </w:pPr>
      <w:r>
        <w:rPr>
          <w:rFonts w:ascii="宋体" w:hAnsi="宋体" w:cs="仿宋"/>
          <w:color w:val="auto"/>
          <w:highlight w:val="none"/>
        </w:rPr>
        <w:t>1</w:t>
      </w:r>
      <w:r>
        <w:rPr>
          <w:rFonts w:hint="eastAsia" w:ascii="宋体" w:hAnsi="宋体" w:cs="仿宋"/>
          <w:color w:val="auto"/>
          <w:highlight w:val="none"/>
        </w:rPr>
        <w:t>、人员应附身份证复印件。</w:t>
      </w:r>
    </w:p>
    <w:p>
      <w:pPr>
        <w:spacing w:line="360" w:lineRule="auto"/>
        <w:ind w:left="120" w:hanging="120" w:hangingChars="50"/>
        <w:rPr>
          <w:color w:val="auto"/>
          <w:highlight w:val="none"/>
        </w:rPr>
      </w:pPr>
      <w:r>
        <w:rPr>
          <w:rFonts w:ascii="宋体" w:hAnsi="宋体" w:cs="仿宋"/>
          <w:color w:val="auto"/>
          <w:highlight w:val="none"/>
        </w:rPr>
        <w:t>2</w:t>
      </w:r>
      <w:r>
        <w:rPr>
          <w:rFonts w:hint="eastAsia" w:ascii="宋体" w:hAnsi="宋体" w:cs="仿宋"/>
          <w:color w:val="auto"/>
          <w:highlight w:val="none"/>
        </w:rPr>
        <w:t>、人员应附执业或职业资格证或上岗证或职称证复印件。</w:t>
      </w:r>
      <w:r>
        <w:rPr>
          <w:rFonts w:hint="eastAsia" w:ascii="宋体" w:hAnsi="宋体" w:cs="仿宋"/>
          <w:color w:val="auto"/>
          <w:highlight w:val="none"/>
        </w:rPr>
        <w:br w:type="page"/>
      </w:r>
    </w:p>
    <w:p>
      <w:pPr>
        <w:rPr>
          <w:color w:val="auto"/>
          <w:highlight w:val="none"/>
        </w:rPr>
      </w:pPr>
    </w:p>
    <w:p>
      <w:pPr>
        <w:pStyle w:val="5"/>
        <w:numPr>
          <w:ilvl w:val="3"/>
          <w:numId w:val="1"/>
        </w:numPr>
        <w:tabs>
          <w:tab w:val="left" w:pos="709"/>
        </w:tabs>
        <w:jc w:val="left"/>
        <w:rPr>
          <w:color w:val="auto"/>
          <w:highlight w:val="none"/>
        </w:rPr>
      </w:pPr>
      <w:r>
        <w:rPr>
          <w:rFonts w:hint="eastAsia"/>
          <w:color w:val="auto"/>
          <w:highlight w:val="none"/>
          <w:lang w:eastAsia="zh-CN"/>
        </w:rPr>
        <w:t>中小企业申明函</w:t>
      </w:r>
    </w:p>
    <w:p>
      <w:pPr>
        <w:snapToGrid w:val="0"/>
        <w:spacing w:line="360" w:lineRule="auto"/>
        <w:jc w:val="center"/>
        <w:rPr>
          <w:rFonts w:ascii="宋体" w:hAnsi="宋体"/>
          <w:b/>
          <w:color w:val="auto"/>
          <w:spacing w:val="6"/>
          <w:sz w:val="28"/>
          <w:szCs w:val="28"/>
          <w:highlight w:val="none"/>
        </w:rPr>
      </w:pPr>
      <w:r>
        <w:rPr>
          <w:rFonts w:hint="eastAsia" w:ascii="宋体" w:hAnsi="宋体"/>
          <w:b/>
          <w:color w:val="auto"/>
          <w:spacing w:val="6"/>
          <w:sz w:val="28"/>
          <w:szCs w:val="28"/>
          <w:highlight w:val="none"/>
        </w:rPr>
        <w:t>中小企业声明函</w:t>
      </w:r>
    </w:p>
    <w:p>
      <w:pPr>
        <w:spacing w:line="360" w:lineRule="auto"/>
        <w:ind w:firstLine="689" w:firstLineChars="236"/>
        <w:rPr>
          <w:rFonts w:ascii="宋体" w:hAnsi="宋体"/>
          <w:color w:val="auto"/>
          <w:spacing w:val="6"/>
          <w:sz w:val="28"/>
          <w:szCs w:val="28"/>
          <w:highlight w:val="none"/>
        </w:rPr>
      </w:pPr>
      <w:r>
        <w:rPr>
          <w:rFonts w:ascii="宋体" w:hAnsi="宋体"/>
          <w:color w:val="auto"/>
          <w:spacing w:val="6"/>
          <w:sz w:val="28"/>
          <w:szCs w:val="28"/>
          <w:highlight w:val="none"/>
        </w:rPr>
        <w:t>本公司郑重声明，根据《政府采购促进中小企业发展管理办法》（财库﹝2020﹞46号）的规定，本公司参加</w:t>
      </w:r>
      <w:r>
        <w:rPr>
          <w:rFonts w:hint="eastAsia" w:ascii="宋体" w:hAnsi="宋体"/>
          <w:b/>
          <w:color w:val="auto"/>
          <w:sz w:val="28"/>
          <w:szCs w:val="28"/>
          <w:highlight w:val="none"/>
          <w:u w:val="single"/>
          <w:lang w:eastAsia="zh-CN"/>
        </w:rPr>
        <w:t>成都市第二幼儿园督院园区食堂改造工程项目</w:t>
      </w:r>
      <w:r>
        <w:rPr>
          <w:rFonts w:ascii="宋体" w:hAnsi="宋体"/>
          <w:color w:val="auto"/>
          <w:spacing w:val="6"/>
          <w:sz w:val="28"/>
          <w:szCs w:val="28"/>
          <w:highlight w:val="none"/>
        </w:rPr>
        <w:t>采购活动，工程的施工单位全部为符合政策要求的中小企业。相关企业的具体情况如下：</w:t>
      </w:r>
    </w:p>
    <w:p>
      <w:pPr>
        <w:spacing w:line="360" w:lineRule="auto"/>
        <w:ind w:firstLine="689" w:firstLineChars="236"/>
        <w:rPr>
          <w:rFonts w:ascii="宋体" w:hAnsi="宋体"/>
          <w:color w:val="auto"/>
          <w:spacing w:val="6"/>
          <w:sz w:val="28"/>
          <w:szCs w:val="28"/>
          <w:highlight w:val="none"/>
        </w:rPr>
      </w:pPr>
      <w:r>
        <w:rPr>
          <w:rFonts w:ascii="宋体" w:hAnsi="宋体"/>
          <w:color w:val="auto"/>
          <w:spacing w:val="6"/>
          <w:sz w:val="28"/>
          <w:szCs w:val="28"/>
          <w:highlight w:val="none"/>
        </w:rPr>
        <w:t>1.</w:t>
      </w:r>
      <w:r>
        <w:rPr>
          <w:rFonts w:hint="eastAsia" w:ascii="宋体" w:hAnsi="宋体"/>
          <w:b/>
          <w:color w:val="auto"/>
          <w:sz w:val="28"/>
          <w:szCs w:val="28"/>
          <w:highlight w:val="none"/>
          <w:u w:val="single"/>
          <w:lang w:eastAsia="zh-CN"/>
        </w:rPr>
        <w:t>成都市第二幼儿园督院园区食堂改造工程项目</w:t>
      </w:r>
      <w:r>
        <w:rPr>
          <w:rFonts w:ascii="宋体" w:hAnsi="宋体"/>
          <w:color w:val="auto"/>
          <w:spacing w:val="6"/>
          <w:sz w:val="28"/>
          <w:szCs w:val="28"/>
          <w:highlight w:val="none"/>
        </w:rPr>
        <w:t>，属于</w:t>
      </w:r>
      <w:r>
        <w:rPr>
          <w:rFonts w:ascii="宋体" w:hAnsi="宋体"/>
          <w:b/>
          <w:color w:val="auto"/>
          <w:sz w:val="28"/>
          <w:szCs w:val="28"/>
          <w:highlight w:val="none"/>
          <w:u w:val="single"/>
        </w:rPr>
        <w:t>建筑业</w:t>
      </w:r>
      <w:r>
        <w:rPr>
          <w:rFonts w:ascii="宋体" w:hAnsi="宋体"/>
          <w:color w:val="auto"/>
          <w:spacing w:val="6"/>
          <w:sz w:val="28"/>
          <w:szCs w:val="28"/>
          <w:highlight w:val="none"/>
        </w:rPr>
        <w:t>；承建（承接）企业为</w:t>
      </w:r>
      <w:r>
        <w:rPr>
          <w:rFonts w:hint="eastAsia" w:ascii="宋体" w:hAnsi="宋体"/>
          <w:color w:val="auto"/>
          <w:spacing w:val="6"/>
          <w:sz w:val="28"/>
          <w:szCs w:val="28"/>
          <w:highlight w:val="none"/>
          <w:u w:val="single"/>
        </w:rPr>
        <w:t xml:space="preserve">  XXX</w:t>
      </w:r>
      <w:r>
        <w:rPr>
          <w:rFonts w:ascii="宋体" w:hAnsi="宋体"/>
          <w:color w:val="auto"/>
          <w:spacing w:val="6"/>
          <w:sz w:val="28"/>
          <w:szCs w:val="28"/>
          <w:highlight w:val="none"/>
          <w:u w:val="single"/>
        </w:rPr>
        <w:t>（</w:t>
      </w:r>
      <w:r>
        <w:rPr>
          <w:rFonts w:hint="eastAsia" w:ascii="宋体" w:hAnsi="宋体"/>
          <w:color w:val="auto"/>
          <w:spacing w:val="6"/>
          <w:sz w:val="28"/>
          <w:szCs w:val="28"/>
          <w:highlight w:val="none"/>
          <w:u w:val="single"/>
        </w:rPr>
        <w:t>供应商</w:t>
      </w:r>
      <w:r>
        <w:rPr>
          <w:rFonts w:ascii="宋体" w:hAnsi="宋体"/>
          <w:color w:val="auto"/>
          <w:spacing w:val="6"/>
          <w:sz w:val="28"/>
          <w:szCs w:val="28"/>
          <w:highlight w:val="none"/>
          <w:u w:val="single"/>
        </w:rPr>
        <w:t>名称）</w:t>
      </w:r>
      <w:r>
        <w:rPr>
          <w:rFonts w:ascii="宋体" w:hAnsi="宋体"/>
          <w:color w:val="auto"/>
          <w:spacing w:val="6"/>
          <w:sz w:val="28"/>
          <w:szCs w:val="28"/>
          <w:highlight w:val="none"/>
        </w:rPr>
        <w:t>，从业人员</w:t>
      </w:r>
      <w:r>
        <w:rPr>
          <w:rFonts w:hint="eastAsia" w:ascii="宋体" w:hAnsi="宋体"/>
          <w:color w:val="auto"/>
          <w:spacing w:val="6"/>
          <w:sz w:val="28"/>
          <w:szCs w:val="28"/>
          <w:highlight w:val="none"/>
          <w:u w:val="single"/>
        </w:rPr>
        <w:t>　XXX　</w:t>
      </w:r>
      <w:r>
        <w:rPr>
          <w:rFonts w:ascii="宋体" w:hAnsi="宋体"/>
          <w:color w:val="auto"/>
          <w:spacing w:val="6"/>
          <w:sz w:val="28"/>
          <w:szCs w:val="28"/>
          <w:highlight w:val="none"/>
        </w:rPr>
        <w:t>人，营业收入为</w:t>
      </w:r>
      <w:r>
        <w:rPr>
          <w:rFonts w:hint="eastAsia" w:ascii="宋体" w:hAnsi="宋体"/>
          <w:color w:val="auto"/>
          <w:spacing w:val="6"/>
          <w:sz w:val="28"/>
          <w:szCs w:val="28"/>
          <w:highlight w:val="none"/>
          <w:u w:val="single"/>
        </w:rPr>
        <w:t>　XXX　</w:t>
      </w:r>
      <w:r>
        <w:rPr>
          <w:rFonts w:ascii="宋体" w:hAnsi="宋体"/>
          <w:color w:val="auto"/>
          <w:spacing w:val="6"/>
          <w:sz w:val="28"/>
          <w:szCs w:val="28"/>
          <w:highlight w:val="none"/>
        </w:rPr>
        <w:t>万元，资产总额为</w:t>
      </w:r>
      <w:r>
        <w:rPr>
          <w:rFonts w:hint="eastAsia" w:ascii="宋体" w:hAnsi="宋体"/>
          <w:color w:val="auto"/>
          <w:spacing w:val="6"/>
          <w:sz w:val="28"/>
          <w:szCs w:val="28"/>
          <w:highlight w:val="none"/>
          <w:u w:val="single"/>
        </w:rPr>
        <w:t>　XXX　</w:t>
      </w:r>
      <w:r>
        <w:rPr>
          <w:rFonts w:ascii="宋体" w:hAnsi="宋体"/>
          <w:color w:val="auto"/>
          <w:spacing w:val="6"/>
          <w:sz w:val="28"/>
          <w:szCs w:val="28"/>
          <w:highlight w:val="none"/>
        </w:rPr>
        <w:t>万元</w:t>
      </w:r>
      <w:r>
        <w:rPr>
          <w:rFonts w:hint="eastAsia" w:ascii="宋体" w:hAnsi="宋体"/>
          <w:color w:val="auto"/>
          <w:spacing w:val="6"/>
          <w:sz w:val="28"/>
          <w:szCs w:val="28"/>
          <w:highlight w:val="none"/>
          <w:vertAlign w:val="superscript"/>
        </w:rPr>
        <w:t>1</w:t>
      </w:r>
      <w:r>
        <w:rPr>
          <w:rFonts w:ascii="宋体" w:hAnsi="宋体"/>
          <w:color w:val="auto"/>
          <w:spacing w:val="6"/>
          <w:sz w:val="28"/>
          <w:szCs w:val="28"/>
          <w:highlight w:val="none"/>
        </w:rPr>
        <w:t>，属于</w:t>
      </w:r>
      <w:r>
        <w:rPr>
          <w:rFonts w:ascii="宋体" w:hAnsi="宋体"/>
          <w:color w:val="auto"/>
          <w:spacing w:val="6"/>
          <w:sz w:val="28"/>
          <w:szCs w:val="28"/>
          <w:highlight w:val="none"/>
          <w:u w:val="single"/>
        </w:rPr>
        <w:t>（</w:t>
      </w:r>
      <w:r>
        <w:rPr>
          <w:rFonts w:hint="eastAsia" w:ascii="宋体" w:hAnsi="宋体"/>
          <w:color w:val="auto"/>
          <w:spacing w:val="6"/>
          <w:sz w:val="28"/>
          <w:szCs w:val="28"/>
          <w:highlight w:val="none"/>
          <w:u w:val="single"/>
        </w:rPr>
        <w:t>说明：填写“</w:t>
      </w:r>
      <w:r>
        <w:rPr>
          <w:rFonts w:ascii="宋体" w:hAnsi="宋体"/>
          <w:color w:val="auto"/>
          <w:spacing w:val="6"/>
          <w:sz w:val="28"/>
          <w:szCs w:val="28"/>
          <w:highlight w:val="none"/>
          <w:u w:val="single"/>
        </w:rPr>
        <w:t>中型企业</w:t>
      </w:r>
      <w:r>
        <w:rPr>
          <w:rFonts w:hint="eastAsia" w:ascii="宋体" w:hAnsi="宋体"/>
          <w:color w:val="auto"/>
          <w:spacing w:val="6"/>
          <w:sz w:val="28"/>
          <w:szCs w:val="28"/>
          <w:highlight w:val="none"/>
          <w:u w:val="single"/>
        </w:rPr>
        <w:t>”或“</w:t>
      </w:r>
      <w:r>
        <w:rPr>
          <w:rFonts w:ascii="宋体" w:hAnsi="宋体"/>
          <w:color w:val="auto"/>
          <w:spacing w:val="6"/>
          <w:sz w:val="28"/>
          <w:szCs w:val="28"/>
          <w:highlight w:val="none"/>
          <w:u w:val="single"/>
        </w:rPr>
        <w:t>小型企业</w:t>
      </w:r>
      <w:r>
        <w:rPr>
          <w:rFonts w:hint="eastAsia" w:ascii="宋体" w:hAnsi="宋体"/>
          <w:color w:val="auto"/>
          <w:spacing w:val="6"/>
          <w:sz w:val="28"/>
          <w:szCs w:val="28"/>
          <w:highlight w:val="none"/>
          <w:u w:val="single"/>
        </w:rPr>
        <w:t>”或“</w:t>
      </w:r>
      <w:r>
        <w:rPr>
          <w:rFonts w:ascii="宋体" w:hAnsi="宋体"/>
          <w:color w:val="auto"/>
          <w:spacing w:val="6"/>
          <w:sz w:val="28"/>
          <w:szCs w:val="28"/>
          <w:highlight w:val="none"/>
          <w:u w:val="single"/>
        </w:rPr>
        <w:t>微型企业</w:t>
      </w:r>
      <w:r>
        <w:rPr>
          <w:rFonts w:hint="eastAsia" w:ascii="宋体" w:hAnsi="宋体"/>
          <w:color w:val="auto"/>
          <w:spacing w:val="6"/>
          <w:sz w:val="28"/>
          <w:szCs w:val="28"/>
          <w:highlight w:val="none"/>
          <w:u w:val="single"/>
        </w:rPr>
        <w:t>”</w:t>
      </w:r>
      <w:r>
        <w:rPr>
          <w:rFonts w:ascii="宋体" w:hAnsi="宋体"/>
          <w:color w:val="auto"/>
          <w:spacing w:val="6"/>
          <w:sz w:val="28"/>
          <w:szCs w:val="28"/>
          <w:highlight w:val="none"/>
          <w:u w:val="single"/>
        </w:rPr>
        <w:t>）</w:t>
      </w:r>
      <w:r>
        <w:rPr>
          <w:rFonts w:hint="eastAsia" w:ascii="宋体" w:hAnsi="宋体"/>
          <w:color w:val="auto"/>
          <w:spacing w:val="6"/>
          <w:sz w:val="28"/>
          <w:szCs w:val="28"/>
          <w:highlight w:val="none"/>
        </w:rPr>
        <w:t>。</w:t>
      </w:r>
    </w:p>
    <w:p>
      <w:pPr>
        <w:spacing w:line="360" w:lineRule="auto"/>
        <w:ind w:firstLine="689" w:firstLineChars="236"/>
        <w:rPr>
          <w:rFonts w:ascii="宋体" w:hAnsi="宋体"/>
          <w:color w:val="auto"/>
          <w:spacing w:val="6"/>
          <w:sz w:val="28"/>
          <w:szCs w:val="28"/>
          <w:highlight w:val="none"/>
        </w:rPr>
      </w:pPr>
      <w:r>
        <w:rPr>
          <w:rFonts w:ascii="宋体" w:hAnsi="宋体"/>
          <w:color w:val="auto"/>
          <w:spacing w:val="6"/>
          <w:sz w:val="28"/>
          <w:szCs w:val="28"/>
          <w:highlight w:val="none"/>
        </w:rPr>
        <w:t>以上企业，不属于大企业的分支机构，不存在控股股东为大企业的情形，也不存在与大企业的负责人为同一人的情形。</w:t>
      </w:r>
    </w:p>
    <w:p>
      <w:pPr>
        <w:spacing w:line="360" w:lineRule="auto"/>
        <w:ind w:firstLine="689" w:firstLineChars="236"/>
        <w:rPr>
          <w:rFonts w:ascii="宋体" w:hAnsi="宋体"/>
          <w:color w:val="auto"/>
          <w:spacing w:val="6"/>
          <w:sz w:val="28"/>
          <w:szCs w:val="28"/>
          <w:highlight w:val="none"/>
        </w:rPr>
      </w:pPr>
      <w:r>
        <w:rPr>
          <w:rFonts w:ascii="宋体" w:hAnsi="宋体"/>
          <w:color w:val="auto"/>
          <w:spacing w:val="6"/>
          <w:sz w:val="28"/>
          <w:szCs w:val="28"/>
          <w:highlight w:val="none"/>
        </w:rPr>
        <w:t xml:space="preserve">本企业对上述声明内容的真实性负责。如有虚假，将依法承担相应责任。 </w:t>
      </w:r>
    </w:p>
    <w:p>
      <w:pPr>
        <w:spacing w:line="360" w:lineRule="auto"/>
        <w:ind w:left="0" w:leftChars="0" w:firstLine="0" w:firstLineChars="0"/>
        <w:rPr>
          <w:rFonts w:ascii="宋体" w:hAnsi="宋体"/>
          <w:color w:val="auto"/>
          <w:spacing w:val="6"/>
          <w:sz w:val="28"/>
          <w:szCs w:val="28"/>
          <w:highlight w:val="none"/>
        </w:rPr>
      </w:pPr>
      <w:r>
        <w:rPr>
          <w:rFonts w:hint="eastAsia" w:ascii="宋体" w:hAnsi="宋体"/>
          <w:color w:val="auto"/>
          <w:spacing w:val="6"/>
          <w:sz w:val="28"/>
          <w:szCs w:val="28"/>
          <w:highlight w:val="none"/>
        </w:rPr>
        <w:t>供应商</w:t>
      </w:r>
      <w:r>
        <w:rPr>
          <w:rFonts w:ascii="宋体" w:hAnsi="宋体"/>
          <w:color w:val="auto"/>
          <w:spacing w:val="6"/>
          <w:sz w:val="28"/>
          <w:szCs w:val="28"/>
          <w:highlight w:val="none"/>
        </w:rPr>
        <w:t>名称</w:t>
      </w:r>
      <w:r>
        <w:rPr>
          <w:rFonts w:hint="eastAsia" w:ascii="宋体" w:hAnsi="宋体"/>
          <w:color w:val="auto"/>
          <w:spacing w:val="6"/>
          <w:sz w:val="28"/>
          <w:szCs w:val="28"/>
          <w:highlight w:val="none"/>
        </w:rPr>
        <w:t>：</w:t>
      </w:r>
      <w:r>
        <w:rPr>
          <w:rFonts w:hint="eastAsia" w:ascii="宋体" w:hAnsi="宋体"/>
          <w:color w:val="auto"/>
          <w:spacing w:val="6"/>
          <w:sz w:val="28"/>
          <w:szCs w:val="28"/>
          <w:highlight w:val="none"/>
          <w:u w:val="single"/>
        </w:rPr>
        <w:t xml:space="preserve">  XXXXXX  </w:t>
      </w:r>
      <w:r>
        <w:rPr>
          <w:rFonts w:hint="eastAsia" w:ascii="宋体" w:hAnsi="宋体"/>
          <w:bCs/>
          <w:color w:val="auto"/>
          <w:sz w:val="28"/>
          <w:szCs w:val="28"/>
          <w:highlight w:val="none"/>
          <w:lang w:eastAsia="zh-CN"/>
        </w:rPr>
        <w:t>（加盖公章）</w:t>
      </w:r>
    </w:p>
    <w:p>
      <w:pPr>
        <w:spacing w:line="360" w:lineRule="auto"/>
        <w:rPr>
          <w:rFonts w:ascii="宋体" w:hAnsi="宋体"/>
          <w:bCs/>
          <w:color w:val="auto"/>
          <w:sz w:val="28"/>
          <w:highlight w:val="none"/>
        </w:rPr>
      </w:pPr>
      <w:r>
        <w:rPr>
          <w:rFonts w:ascii="宋体" w:hAnsi="宋体"/>
          <w:color w:val="auto"/>
          <w:spacing w:val="6"/>
          <w:sz w:val="28"/>
          <w:szCs w:val="28"/>
          <w:highlight w:val="none"/>
        </w:rPr>
        <w:t>日 期：</w:t>
      </w:r>
      <w:r>
        <w:rPr>
          <w:rFonts w:ascii="宋体" w:hAnsi="宋体"/>
          <w:bCs/>
          <w:color w:val="auto"/>
          <w:sz w:val="28"/>
          <w:highlight w:val="none"/>
          <w:u w:val="single"/>
        </w:rPr>
        <w:t>XX</w:t>
      </w:r>
      <w:r>
        <w:rPr>
          <w:rFonts w:hint="eastAsia" w:ascii="宋体" w:hAnsi="宋体"/>
          <w:bCs/>
          <w:color w:val="auto"/>
          <w:sz w:val="28"/>
          <w:highlight w:val="none"/>
        </w:rPr>
        <w:t>年</w:t>
      </w:r>
      <w:r>
        <w:rPr>
          <w:rFonts w:ascii="宋体" w:hAnsi="宋体"/>
          <w:bCs/>
          <w:color w:val="auto"/>
          <w:sz w:val="28"/>
          <w:highlight w:val="none"/>
          <w:u w:val="single"/>
        </w:rPr>
        <w:t>XX</w:t>
      </w:r>
      <w:r>
        <w:rPr>
          <w:rFonts w:hint="eastAsia" w:ascii="宋体" w:hAnsi="宋体"/>
          <w:bCs/>
          <w:color w:val="auto"/>
          <w:sz w:val="28"/>
          <w:highlight w:val="none"/>
        </w:rPr>
        <w:t>月</w:t>
      </w:r>
      <w:r>
        <w:rPr>
          <w:rFonts w:ascii="宋体" w:hAnsi="宋体"/>
          <w:bCs/>
          <w:color w:val="auto"/>
          <w:sz w:val="28"/>
          <w:highlight w:val="none"/>
          <w:u w:val="single"/>
        </w:rPr>
        <w:t>XX</w:t>
      </w:r>
      <w:r>
        <w:rPr>
          <w:rFonts w:hint="eastAsia" w:ascii="宋体" w:hAnsi="宋体"/>
          <w:bCs/>
          <w:color w:val="auto"/>
          <w:sz w:val="28"/>
          <w:highlight w:val="none"/>
        </w:rPr>
        <w:t>日</w:t>
      </w:r>
    </w:p>
    <w:p>
      <w:pPr>
        <w:spacing w:line="360" w:lineRule="auto"/>
        <w:ind w:firstLine="660" w:firstLineChars="236"/>
        <w:rPr>
          <w:rFonts w:ascii="宋体" w:hAnsi="宋体"/>
          <w:bCs/>
          <w:color w:val="auto"/>
          <w:sz w:val="28"/>
          <w:highlight w:val="none"/>
        </w:rPr>
      </w:pPr>
    </w:p>
    <w:p>
      <w:pPr>
        <w:spacing w:line="360" w:lineRule="auto"/>
        <w:ind w:firstLine="689" w:firstLineChars="236"/>
        <w:rPr>
          <w:rFonts w:ascii="宋体" w:hAnsi="宋体"/>
          <w:color w:val="auto"/>
          <w:spacing w:val="6"/>
          <w:sz w:val="28"/>
          <w:szCs w:val="28"/>
          <w:highlight w:val="none"/>
        </w:rPr>
      </w:pPr>
      <w:r>
        <w:rPr>
          <w:rFonts w:hint="eastAsia" w:ascii="宋体" w:hAnsi="宋体"/>
          <w:color w:val="auto"/>
          <w:spacing w:val="6"/>
          <w:sz w:val="28"/>
          <w:szCs w:val="28"/>
          <w:highlight w:val="none"/>
        </w:rPr>
        <w:t>说明：</w:t>
      </w:r>
      <w:r>
        <w:rPr>
          <w:rFonts w:ascii="宋体" w:hAnsi="宋体"/>
          <w:color w:val="auto"/>
          <w:spacing w:val="6"/>
          <w:sz w:val="28"/>
          <w:szCs w:val="28"/>
          <w:highlight w:val="none"/>
          <w:vertAlign w:val="superscript"/>
        </w:rPr>
        <w:t>1</w:t>
      </w:r>
      <w:r>
        <w:rPr>
          <w:rFonts w:ascii="宋体" w:hAnsi="宋体"/>
          <w:color w:val="auto"/>
          <w:spacing w:val="6"/>
          <w:sz w:val="28"/>
          <w:szCs w:val="28"/>
          <w:highlight w:val="none"/>
        </w:rPr>
        <w:t>从业人员、营业收入、资产总额填报上一年度数据，无上一年度数据的新成立企业可不填报。</w:t>
      </w:r>
    </w:p>
    <w:p>
      <w:pPr>
        <w:spacing w:line="360" w:lineRule="auto"/>
        <w:ind w:firstLine="689" w:firstLineChars="236"/>
        <w:rPr>
          <w:rFonts w:asciiTheme="minorEastAsia" w:hAnsiTheme="minorEastAsia" w:eastAsiaTheme="minorEastAsia"/>
          <w:color w:val="auto"/>
          <w:spacing w:val="6"/>
          <w:sz w:val="28"/>
          <w:szCs w:val="28"/>
          <w:highlight w:val="none"/>
        </w:rPr>
      </w:pPr>
    </w:p>
    <w:p>
      <w:pPr>
        <w:spacing w:line="360" w:lineRule="auto"/>
        <w:ind w:firstLine="689" w:firstLineChars="236"/>
        <w:rPr>
          <w:rFonts w:asciiTheme="minorEastAsia" w:hAnsiTheme="minorEastAsia" w:eastAsiaTheme="minorEastAsia"/>
          <w:color w:val="auto"/>
          <w:spacing w:val="6"/>
          <w:sz w:val="28"/>
          <w:szCs w:val="28"/>
          <w:highlight w:val="none"/>
        </w:rPr>
      </w:pPr>
      <w:r>
        <w:rPr>
          <w:rFonts w:asciiTheme="minorEastAsia" w:hAnsiTheme="minorEastAsia" w:eastAsiaTheme="minorEastAsia"/>
          <w:color w:val="auto"/>
          <w:spacing w:val="6"/>
          <w:sz w:val="28"/>
          <w:szCs w:val="28"/>
          <w:highlight w:val="none"/>
        </w:rPr>
        <w:br w:type="page"/>
      </w:r>
    </w:p>
    <w:p>
      <w:pPr>
        <w:pStyle w:val="5"/>
        <w:numPr>
          <w:ilvl w:val="3"/>
          <w:numId w:val="1"/>
        </w:numPr>
        <w:tabs>
          <w:tab w:val="left" w:pos="709"/>
        </w:tabs>
        <w:jc w:val="left"/>
        <w:rPr>
          <w:color w:val="auto"/>
          <w:highlight w:val="none"/>
        </w:rPr>
      </w:pPr>
      <w:r>
        <w:rPr>
          <w:rFonts w:hint="eastAsia"/>
          <w:color w:val="auto"/>
          <w:highlight w:val="none"/>
          <w:lang w:eastAsia="zh-CN"/>
        </w:rPr>
        <w:t>残疾人福利性单位声明函</w:t>
      </w:r>
    </w:p>
    <w:p>
      <w:pPr>
        <w:spacing w:line="588" w:lineRule="exact"/>
        <w:ind w:firstLine="562" w:firstLineChars="200"/>
        <w:jc w:val="center"/>
        <w:rPr>
          <w:rFonts w:ascii="宋体" w:hAnsi="宋体"/>
          <w:b/>
          <w:color w:val="auto"/>
          <w:sz w:val="28"/>
          <w:szCs w:val="28"/>
          <w:highlight w:val="none"/>
        </w:rPr>
      </w:pPr>
      <w:r>
        <w:rPr>
          <w:rFonts w:hint="eastAsia" w:ascii="宋体" w:hAnsi="宋体"/>
          <w:b/>
          <w:color w:val="auto"/>
          <w:sz w:val="28"/>
          <w:szCs w:val="28"/>
          <w:highlight w:val="none"/>
        </w:rPr>
        <w:t>残疾人福利性单位声明函</w:t>
      </w:r>
    </w:p>
    <w:p>
      <w:pPr>
        <w:spacing w:line="588" w:lineRule="exact"/>
        <w:ind w:firstLine="584" w:firstLineChars="200"/>
        <w:rPr>
          <w:rFonts w:ascii="宋体" w:hAnsi="宋体"/>
          <w:color w:val="auto"/>
          <w:spacing w:val="6"/>
          <w:sz w:val="28"/>
          <w:szCs w:val="28"/>
          <w:highlight w:val="none"/>
        </w:rPr>
      </w:pPr>
      <w:r>
        <w:rPr>
          <w:rFonts w:hint="eastAsia" w:ascii="宋体" w:hAnsi="宋体"/>
          <w:color w:val="auto"/>
          <w:spacing w:val="6"/>
          <w:sz w:val="28"/>
          <w:szCs w:val="28"/>
          <w:highlight w:val="none"/>
        </w:rPr>
        <w:t>本单位郑重声明，根据《财政部 民政部 中国残疾人联合会关于促进残疾人就业政府采购政策的通知》（财库〔2017〕141号）的规定，本单位参加</w:t>
      </w:r>
      <w:r>
        <w:rPr>
          <w:rFonts w:hint="eastAsia" w:ascii="宋体" w:hAnsi="宋体"/>
          <w:b/>
          <w:color w:val="auto"/>
          <w:sz w:val="28"/>
          <w:szCs w:val="28"/>
          <w:highlight w:val="none"/>
          <w:u w:val="single"/>
          <w:lang w:eastAsia="zh-CN"/>
        </w:rPr>
        <w:t>成都市第二幼儿园督院园区食堂改造工程项目</w:t>
      </w:r>
      <w:r>
        <w:rPr>
          <w:rFonts w:hint="eastAsia" w:ascii="宋体" w:hAnsi="宋体"/>
          <w:color w:val="auto"/>
          <w:spacing w:val="6"/>
          <w:sz w:val="28"/>
          <w:szCs w:val="28"/>
          <w:highlight w:val="none"/>
        </w:rPr>
        <w:t>采购活动由</w:t>
      </w:r>
      <w:r>
        <w:rPr>
          <w:rFonts w:ascii="宋体" w:hAnsi="宋体"/>
          <w:color w:val="auto"/>
          <w:spacing w:val="6"/>
          <w:sz w:val="28"/>
          <w:szCs w:val="28"/>
          <w:highlight w:val="none"/>
        </w:rPr>
        <w:t>本单位承担工程</w:t>
      </w:r>
      <w:r>
        <w:rPr>
          <w:rFonts w:hint="eastAsia" w:ascii="宋体" w:hAnsi="宋体"/>
          <w:color w:val="auto"/>
          <w:spacing w:val="6"/>
          <w:sz w:val="28"/>
          <w:szCs w:val="28"/>
          <w:highlight w:val="none"/>
        </w:rPr>
        <w:t>。</w:t>
      </w:r>
    </w:p>
    <w:p>
      <w:pPr>
        <w:spacing w:line="588" w:lineRule="exact"/>
        <w:ind w:firstLine="584" w:firstLineChars="200"/>
        <w:rPr>
          <w:rFonts w:ascii="宋体" w:hAnsi="宋体"/>
          <w:color w:val="auto"/>
          <w:spacing w:val="6"/>
          <w:sz w:val="28"/>
          <w:szCs w:val="28"/>
          <w:highlight w:val="none"/>
        </w:rPr>
      </w:pPr>
      <w:r>
        <w:rPr>
          <w:rFonts w:hint="eastAsia" w:ascii="宋体" w:hAnsi="宋体"/>
          <w:color w:val="auto"/>
          <w:spacing w:val="6"/>
          <w:sz w:val="28"/>
          <w:szCs w:val="28"/>
          <w:highlight w:val="none"/>
        </w:rPr>
        <w:t>本单位对上述声明的真实性负责。如有虚假，将依法承担相应责任。</w:t>
      </w:r>
    </w:p>
    <w:p>
      <w:pPr>
        <w:spacing w:line="588" w:lineRule="exact"/>
        <w:ind w:firstLine="584" w:firstLineChars="200"/>
        <w:rPr>
          <w:rFonts w:ascii="宋体" w:hAnsi="宋体"/>
          <w:color w:val="auto"/>
          <w:spacing w:val="6"/>
          <w:sz w:val="28"/>
          <w:szCs w:val="28"/>
          <w:highlight w:val="none"/>
        </w:rPr>
      </w:pPr>
    </w:p>
    <w:p>
      <w:pPr>
        <w:pStyle w:val="2"/>
        <w:spacing w:before="312"/>
        <w:rPr>
          <w:rFonts w:ascii="宋体" w:hAnsi="宋体"/>
          <w:color w:val="auto"/>
          <w:highlight w:val="none"/>
        </w:rPr>
      </w:pPr>
    </w:p>
    <w:p>
      <w:pPr>
        <w:spacing w:line="360" w:lineRule="auto"/>
        <w:ind w:left="0" w:leftChars="0" w:firstLine="0" w:firstLineChars="0"/>
        <w:rPr>
          <w:rFonts w:ascii="宋体" w:hAnsi="宋体"/>
          <w:color w:val="auto"/>
          <w:spacing w:val="6"/>
          <w:sz w:val="28"/>
          <w:szCs w:val="28"/>
          <w:highlight w:val="none"/>
        </w:rPr>
      </w:pPr>
      <w:r>
        <w:rPr>
          <w:rFonts w:hint="eastAsia" w:ascii="宋体" w:hAnsi="宋体"/>
          <w:color w:val="auto"/>
          <w:spacing w:val="6"/>
          <w:sz w:val="28"/>
          <w:szCs w:val="28"/>
          <w:highlight w:val="none"/>
        </w:rPr>
        <w:t>供应商名称：</w:t>
      </w:r>
      <w:r>
        <w:rPr>
          <w:rFonts w:hint="eastAsia" w:ascii="宋体" w:hAnsi="宋体"/>
          <w:color w:val="auto"/>
          <w:spacing w:val="6"/>
          <w:sz w:val="28"/>
          <w:szCs w:val="28"/>
          <w:highlight w:val="none"/>
          <w:u w:val="single"/>
        </w:rPr>
        <w:t xml:space="preserve">  XXXXXX  </w:t>
      </w:r>
      <w:r>
        <w:rPr>
          <w:rFonts w:hint="eastAsia" w:ascii="宋体" w:hAnsi="宋体"/>
          <w:bCs/>
          <w:color w:val="auto"/>
          <w:sz w:val="28"/>
          <w:szCs w:val="28"/>
          <w:highlight w:val="none"/>
          <w:lang w:eastAsia="zh-CN"/>
        </w:rPr>
        <w:t>（加盖公章）</w:t>
      </w:r>
    </w:p>
    <w:p>
      <w:pPr>
        <w:tabs>
          <w:tab w:val="left" w:pos="3969"/>
        </w:tabs>
        <w:spacing w:line="588" w:lineRule="exact"/>
        <w:ind w:right="-58"/>
        <w:rPr>
          <w:rFonts w:ascii="宋体" w:hAnsi="宋体"/>
          <w:color w:val="auto"/>
          <w:spacing w:val="6"/>
          <w:sz w:val="28"/>
          <w:szCs w:val="28"/>
          <w:highlight w:val="none"/>
        </w:rPr>
      </w:pPr>
      <w:r>
        <w:rPr>
          <w:rFonts w:hint="eastAsia" w:ascii="宋体" w:hAnsi="宋体"/>
          <w:color w:val="auto"/>
          <w:spacing w:val="6"/>
          <w:sz w:val="28"/>
          <w:szCs w:val="28"/>
          <w:highlight w:val="none"/>
        </w:rPr>
        <w:t>日  期：</w:t>
      </w:r>
      <w:r>
        <w:rPr>
          <w:rFonts w:hint="eastAsia" w:ascii="宋体" w:hAnsi="宋体"/>
          <w:bCs/>
          <w:color w:val="auto"/>
          <w:sz w:val="28"/>
          <w:highlight w:val="none"/>
        </w:rPr>
        <w:t>20XX年XX月XX日</w:t>
      </w:r>
    </w:p>
    <w:p>
      <w:pPr>
        <w:spacing w:line="360" w:lineRule="auto"/>
        <w:ind w:firstLine="561"/>
        <w:rPr>
          <w:rFonts w:ascii="宋体" w:hAnsi="宋体"/>
          <w:b/>
          <w:color w:val="auto"/>
          <w:spacing w:val="6"/>
          <w:sz w:val="28"/>
          <w:szCs w:val="28"/>
          <w:highlight w:val="none"/>
        </w:rPr>
      </w:pPr>
    </w:p>
    <w:p>
      <w:pPr>
        <w:tabs>
          <w:tab w:val="left" w:pos="3969"/>
        </w:tabs>
        <w:snapToGrid w:val="0"/>
        <w:spacing w:line="360" w:lineRule="auto"/>
        <w:ind w:right="-58"/>
        <w:rPr>
          <w:rFonts w:ascii="宋体" w:hAnsi="宋体"/>
          <w:color w:val="auto"/>
          <w:spacing w:val="6"/>
          <w:highlight w:val="none"/>
        </w:rPr>
      </w:pPr>
      <w:r>
        <w:rPr>
          <w:rFonts w:hint="eastAsia" w:ascii="宋体" w:hAnsi="宋体"/>
          <w:b/>
          <w:color w:val="auto"/>
          <w:spacing w:val="6"/>
          <w:sz w:val="28"/>
          <w:szCs w:val="28"/>
          <w:highlight w:val="none"/>
        </w:rPr>
        <w:t>说明：（1）供应商为中小型企业、监狱</w:t>
      </w:r>
      <w:r>
        <w:rPr>
          <w:rFonts w:ascii="宋体" w:hAnsi="宋体"/>
          <w:b/>
          <w:color w:val="auto"/>
          <w:spacing w:val="6"/>
          <w:sz w:val="28"/>
          <w:szCs w:val="28"/>
          <w:highlight w:val="none"/>
        </w:rPr>
        <w:t>企业</w:t>
      </w:r>
      <w:r>
        <w:rPr>
          <w:rFonts w:hint="eastAsia" w:ascii="宋体" w:hAnsi="宋体"/>
          <w:b/>
          <w:color w:val="auto"/>
          <w:spacing w:val="6"/>
          <w:sz w:val="28"/>
          <w:szCs w:val="28"/>
          <w:highlight w:val="none"/>
        </w:rPr>
        <w:t>的不需提供。（2）残疾人福利性单位视同小型和微型企业。</w:t>
      </w:r>
    </w:p>
    <w:p>
      <w:pPr>
        <w:snapToGrid w:val="0"/>
        <w:spacing w:line="360" w:lineRule="auto"/>
        <w:ind w:firstLine="563"/>
        <w:rPr>
          <w:rFonts w:ascii="宋体" w:hAnsi="宋体"/>
          <w:color w:val="auto"/>
          <w:sz w:val="28"/>
          <w:szCs w:val="28"/>
          <w:highlight w:val="none"/>
        </w:rPr>
      </w:pPr>
    </w:p>
    <w:p>
      <w:pPr>
        <w:rPr>
          <w:rFonts w:ascii="宋体" w:hAnsi="宋体"/>
          <w:color w:val="auto"/>
          <w:sz w:val="28"/>
          <w:szCs w:val="28"/>
          <w:highlight w:val="none"/>
        </w:rPr>
      </w:pPr>
      <w:r>
        <w:rPr>
          <w:rFonts w:ascii="宋体" w:hAnsi="宋体"/>
          <w:color w:val="auto"/>
          <w:sz w:val="28"/>
          <w:szCs w:val="28"/>
          <w:highlight w:val="none"/>
        </w:rPr>
        <w:br w:type="page"/>
      </w:r>
      <w:bookmarkEnd w:id="65"/>
      <w:bookmarkStart w:id="66" w:name="_Toc320698766"/>
      <w:bookmarkStart w:id="67" w:name="_Toc386099146"/>
    </w:p>
    <w:p>
      <w:pPr>
        <w:pStyle w:val="5"/>
        <w:tabs>
          <w:tab w:val="left" w:pos="709"/>
        </w:tabs>
        <w:snapToGrid w:val="0"/>
        <w:rPr>
          <w:color w:val="auto"/>
          <w:highlight w:val="none"/>
        </w:rPr>
      </w:pPr>
      <w:r>
        <w:rPr>
          <w:rFonts w:hint="eastAsia"/>
          <w:color w:val="auto"/>
          <w:highlight w:val="none"/>
        </w:rPr>
        <w:t>已标价工程量清单、施工组织设计（实施方案）</w:t>
      </w:r>
    </w:p>
    <w:p>
      <w:pPr>
        <w:snapToGrid w:val="0"/>
        <w:spacing w:line="360" w:lineRule="auto"/>
        <w:ind w:firstLine="584" w:firstLineChars="200"/>
      </w:pPr>
      <w:r>
        <w:rPr>
          <w:rFonts w:hint="eastAsia" w:ascii="宋体" w:hAnsi="宋体"/>
          <w:color w:val="auto"/>
          <w:spacing w:val="6"/>
          <w:sz w:val="28"/>
          <w:szCs w:val="28"/>
          <w:highlight w:val="none"/>
        </w:rPr>
        <w:t>一、已标价工程量清单应符合</w:t>
      </w:r>
      <w:r>
        <w:rPr>
          <w:rFonts w:hint="eastAsia" w:ascii="宋体" w:hAnsi="宋体"/>
          <w:color w:val="auto"/>
          <w:spacing w:val="6"/>
          <w:sz w:val="28"/>
          <w:szCs w:val="28"/>
          <w:highlight w:val="none"/>
          <w:lang w:eastAsia="zh-CN"/>
        </w:rPr>
        <w:t>磋商</w:t>
      </w:r>
      <w:r>
        <w:rPr>
          <w:rFonts w:hint="eastAsia" w:ascii="宋体" w:hAnsi="宋体"/>
          <w:color w:val="auto"/>
          <w:spacing w:val="6"/>
          <w:sz w:val="28"/>
          <w:szCs w:val="28"/>
          <w:highlight w:val="none"/>
        </w:rPr>
        <w:t>文件“第二章</w:t>
      </w:r>
      <w:r>
        <w:rPr>
          <w:rFonts w:hint="eastAsia" w:ascii="宋体" w:hAnsi="宋体"/>
          <w:color w:val="auto"/>
          <w:spacing w:val="6"/>
          <w:sz w:val="28"/>
          <w:szCs w:val="28"/>
          <w:highlight w:val="none"/>
          <w:lang w:eastAsia="zh-CN"/>
        </w:rPr>
        <w:t>磋商</w:t>
      </w:r>
      <w:r>
        <w:rPr>
          <w:rFonts w:hint="eastAsia" w:ascii="宋体" w:hAnsi="宋体"/>
          <w:color w:val="auto"/>
          <w:spacing w:val="6"/>
          <w:sz w:val="28"/>
          <w:szCs w:val="28"/>
          <w:highlight w:val="none"/>
        </w:rPr>
        <w:t>须知”第2.4.3条报价货币及报价要求的相关要求以及工程量清单总说明的相关要求。</w:t>
      </w:r>
      <w:r>
        <w:rPr>
          <w:color w:val="auto"/>
          <w:highlight w:val="none"/>
        </w:rPr>
        <w:br w:type="page"/>
      </w:r>
    </w:p>
    <w:p/>
    <w:p>
      <w:pPr>
        <w:pStyle w:val="4"/>
        <w:shd w:val="clear"/>
        <w:tabs>
          <w:tab w:val="left" w:pos="-240"/>
          <w:tab w:val="clear" w:pos="426"/>
          <w:tab w:val="clear" w:pos="567"/>
        </w:tabs>
        <w:snapToGrid w:val="0"/>
        <w:ind w:left="567" w:leftChars="0" w:right="192" w:rightChars="80" w:hanging="807" w:firstLineChars="0"/>
      </w:pPr>
      <w:bookmarkStart w:id="68" w:name="_Toc451340457"/>
      <w:bookmarkStart w:id="69" w:name="_Toc20530"/>
      <w:bookmarkStart w:id="70" w:name="_Toc24751"/>
      <w:r>
        <w:rPr>
          <w:rFonts w:hint="eastAsia"/>
        </w:rPr>
        <w:t>最后报价</w:t>
      </w:r>
      <w:bookmarkEnd w:id="68"/>
      <w:r>
        <w:rPr>
          <w:rFonts w:hint="eastAsia"/>
        </w:rPr>
        <w:t>表</w:t>
      </w:r>
      <w:bookmarkEnd w:id="69"/>
      <w:bookmarkEnd w:id="70"/>
    </w:p>
    <w:p>
      <w:pPr>
        <w:shd w:val="clear"/>
        <w:snapToGrid w:val="0"/>
        <w:spacing w:line="360" w:lineRule="auto"/>
        <w:ind w:right="-713" w:rightChars="-297"/>
        <w:rPr>
          <w:rFonts w:hint="eastAsia" w:ascii="宋体" w:hAnsi="宋体"/>
          <w:b/>
          <w:color w:val="auto"/>
          <w:sz w:val="28"/>
          <w:szCs w:val="28"/>
          <w:highlight w:val="none"/>
          <w:u w:val="single"/>
          <w:lang w:eastAsia="zh-CN"/>
        </w:rPr>
      </w:pPr>
      <w:r>
        <w:rPr>
          <w:rFonts w:hint="eastAsia" w:ascii="宋体" w:hAnsi="宋体"/>
          <w:b/>
          <w:sz w:val="28"/>
        </w:rPr>
        <w:t>项目名称：</w:t>
      </w:r>
      <w:r>
        <w:rPr>
          <w:rFonts w:hint="eastAsia" w:ascii="宋体" w:hAnsi="宋体"/>
          <w:b/>
          <w:color w:val="auto"/>
          <w:sz w:val="28"/>
          <w:szCs w:val="28"/>
          <w:highlight w:val="none"/>
          <w:u w:val="single"/>
          <w:lang w:eastAsia="zh-CN"/>
        </w:rPr>
        <w:t>成都市第二幼儿园督院园区食堂改造工程项目</w:t>
      </w:r>
    </w:p>
    <w:p>
      <w:pPr>
        <w:shd w:val="clear"/>
        <w:snapToGrid w:val="0"/>
        <w:spacing w:line="360" w:lineRule="auto"/>
        <w:ind w:right="-713" w:rightChars="-297"/>
        <w:rPr>
          <w:rFonts w:ascii="宋体" w:hAnsi="宋体"/>
          <w:b/>
          <w:sz w:val="28"/>
          <w:szCs w:val="28"/>
          <w:u w:val="single"/>
        </w:rPr>
      </w:pPr>
      <w:r>
        <w:rPr>
          <w:rFonts w:hint="eastAsia" w:ascii="宋体" w:hAnsi="宋体"/>
          <w:b/>
          <w:sz w:val="28"/>
        </w:rPr>
        <w:t>项目编号：</w:t>
      </w:r>
      <w:r>
        <w:rPr>
          <w:rFonts w:hint="eastAsia" w:ascii="宋体" w:hAnsi="宋体"/>
          <w:b/>
          <w:sz w:val="28"/>
          <w:szCs w:val="28"/>
          <w:u w:val="single"/>
          <w:lang w:eastAsia="zh-CN"/>
        </w:rPr>
        <w:t>锦江政采（2021）A00</w:t>
      </w:r>
      <w:r>
        <w:rPr>
          <w:rFonts w:hint="eastAsia" w:ascii="宋体" w:hAnsi="宋体"/>
          <w:b/>
          <w:sz w:val="28"/>
          <w:szCs w:val="28"/>
          <w:u w:val="single"/>
          <w:lang w:val="en-US" w:eastAsia="zh-CN"/>
        </w:rPr>
        <w:t>11</w:t>
      </w:r>
      <w:r>
        <w:rPr>
          <w:rFonts w:hint="eastAsia" w:ascii="宋体" w:hAnsi="宋体"/>
          <w:b/>
          <w:sz w:val="28"/>
          <w:szCs w:val="28"/>
          <w:u w:val="single"/>
          <w:lang w:eastAsia="zh-CN"/>
        </w:rPr>
        <w:t>号</w:t>
      </w:r>
    </w:p>
    <w:tbl>
      <w:tblPr>
        <w:tblStyle w:val="50"/>
        <w:tblpPr w:leftFromText="180" w:rightFromText="180" w:vertAnchor="text" w:tblpXSpec="center" w:tblpY="128"/>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7"/>
        <w:gridCol w:w="5282"/>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9" w:hRule="atLeast"/>
        </w:trPr>
        <w:tc>
          <w:tcPr>
            <w:tcW w:w="1347" w:type="dxa"/>
            <w:vAlign w:val="center"/>
          </w:tcPr>
          <w:p>
            <w:pPr>
              <w:shd w:val="clear"/>
              <w:jc w:val="center"/>
              <w:rPr>
                <w:rFonts w:asciiTheme="minorEastAsia" w:hAnsiTheme="minorEastAsia" w:eastAsiaTheme="minorEastAsia"/>
                <w:b/>
              </w:rPr>
            </w:pPr>
            <w:r>
              <w:rPr>
                <w:rFonts w:hint="eastAsia" w:cs="仿宋" w:asciiTheme="minorEastAsia" w:hAnsiTheme="minorEastAsia" w:eastAsiaTheme="minorEastAsia"/>
                <w:b/>
              </w:rPr>
              <w:t>序号</w:t>
            </w:r>
          </w:p>
        </w:tc>
        <w:tc>
          <w:tcPr>
            <w:tcW w:w="5282" w:type="dxa"/>
            <w:vAlign w:val="center"/>
          </w:tcPr>
          <w:p>
            <w:pPr>
              <w:shd w:val="clear"/>
              <w:jc w:val="center"/>
              <w:rPr>
                <w:rFonts w:asciiTheme="minorEastAsia" w:hAnsiTheme="minorEastAsia" w:eastAsiaTheme="minorEastAsia"/>
                <w:b/>
              </w:rPr>
            </w:pPr>
            <w:r>
              <w:rPr>
                <w:rFonts w:hint="eastAsia" w:cs="仿宋" w:asciiTheme="minorEastAsia" w:hAnsiTheme="minorEastAsia" w:eastAsiaTheme="minorEastAsia"/>
                <w:b/>
              </w:rPr>
              <w:t>采购内容</w:t>
            </w:r>
          </w:p>
        </w:tc>
        <w:tc>
          <w:tcPr>
            <w:tcW w:w="2693" w:type="dxa"/>
            <w:vAlign w:val="center"/>
          </w:tcPr>
          <w:p>
            <w:pPr>
              <w:shd w:val="clear"/>
              <w:jc w:val="center"/>
              <w:rPr>
                <w:rFonts w:asciiTheme="minorEastAsia" w:hAnsiTheme="minorEastAsia" w:eastAsiaTheme="minorEastAsia"/>
                <w:b/>
              </w:rPr>
            </w:pPr>
            <w:r>
              <w:rPr>
                <w:rFonts w:hint="eastAsia" w:cs="仿宋" w:asciiTheme="minorEastAsia" w:hAnsiTheme="minorEastAsia" w:eastAsiaTheme="minorEastAsia"/>
                <w:b/>
              </w:rPr>
              <w:t>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9" w:hRule="atLeast"/>
        </w:trPr>
        <w:tc>
          <w:tcPr>
            <w:tcW w:w="1347" w:type="dxa"/>
            <w:vAlign w:val="center"/>
          </w:tcPr>
          <w:p>
            <w:pPr>
              <w:shd w:val="clear"/>
              <w:jc w:val="center"/>
              <w:rPr>
                <w:rFonts w:cs="仿宋" w:asciiTheme="minorEastAsia" w:hAnsiTheme="minorEastAsia" w:eastAsiaTheme="minorEastAsia"/>
              </w:rPr>
            </w:pPr>
            <w:r>
              <w:rPr>
                <w:rFonts w:cs="仿宋" w:asciiTheme="minorEastAsia" w:hAnsiTheme="minorEastAsia" w:eastAsiaTheme="minorEastAsia"/>
              </w:rPr>
              <w:t>1</w:t>
            </w:r>
          </w:p>
        </w:tc>
        <w:tc>
          <w:tcPr>
            <w:tcW w:w="5282" w:type="dxa"/>
            <w:vAlign w:val="center"/>
          </w:tcPr>
          <w:p>
            <w:pPr>
              <w:shd w:val="clear"/>
              <w:jc w:val="center"/>
              <w:rPr>
                <w:rFonts w:cs="仿宋" w:asciiTheme="minorEastAsia" w:hAnsiTheme="minorEastAsia" w:eastAsiaTheme="minorEastAsia"/>
              </w:rPr>
            </w:pPr>
            <w:r>
              <w:rPr>
                <w:rFonts w:ascii="宋体" w:hAnsi="宋体"/>
              </w:rPr>
              <w:t>XXXX</w:t>
            </w:r>
          </w:p>
        </w:tc>
        <w:tc>
          <w:tcPr>
            <w:tcW w:w="2693" w:type="dxa"/>
            <w:vAlign w:val="center"/>
          </w:tcPr>
          <w:p>
            <w:pPr>
              <w:shd w:val="clear"/>
              <w:ind w:firstLine="748" w:firstLineChars="312"/>
              <w:rPr>
                <w:rFonts w:asciiTheme="minorEastAsia" w:hAnsiTheme="minorEastAsia" w:eastAsiaTheme="minorEastAsia"/>
              </w:rPr>
            </w:pPr>
            <w:r>
              <w:rPr>
                <w:rFonts w:cs="仿宋" w:asciiTheme="minorEastAsia" w:hAnsiTheme="minorEastAsia" w:eastAsiaTheme="minorEastAsia"/>
              </w:rPr>
              <w:t xml:space="preserve"> </w:t>
            </w:r>
            <w:r>
              <w:rPr>
                <w:rFonts w:ascii="宋体" w:hAnsi="宋体"/>
                <w:u w:val="single"/>
              </w:rPr>
              <w:t xml:space="preserve"> XXXX</w:t>
            </w:r>
            <w:r>
              <w:rPr>
                <w:rFonts w:hint="eastAsia" w:cs="仿宋" w:asciiTheme="minorEastAsia" w:hAnsiTheme="minorEastAsia" w:eastAsiaTheme="minorEastAsia"/>
                <w:u w:val="single"/>
              </w:rPr>
              <w:t xml:space="preserve"> </w:t>
            </w:r>
            <w:r>
              <w:rPr>
                <w:rFonts w:hint="eastAsia" w:cs="仿宋" w:asciiTheme="minorEastAsia" w:hAnsiTheme="minorEastAsia" w:eastAsiaTheme="minorEastAsia"/>
              </w:rPr>
              <w:t>元</w:t>
            </w:r>
          </w:p>
        </w:tc>
      </w:tr>
    </w:tbl>
    <w:p>
      <w:pPr>
        <w:pStyle w:val="67"/>
        <w:shd w:val="clear"/>
        <w:snapToGrid w:val="0"/>
        <w:rPr>
          <w:rFonts w:asciiTheme="minorEastAsia" w:hAnsiTheme="minorEastAsia" w:eastAsiaTheme="minorEastAsia"/>
          <w:sz w:val="28"/>
        </w:rPr>
      </w:pPr>
    </w:p>
    <w:p>
      <w:pPr>
        <w:pStyle w:val="67"/>
        <w:shd w:val="clear"/>
        <w:snapToGrid w:val="0"/>
        <w:ind w:firstLine="567"/>
        <w:rPr>
          <w:sz w:val="28"/>
        </w:rPr>
      </w:pPr>
      <w:r>
        <w:rPr>
          <w:rFonts w:hint="eastAsia"/>
          <w:sz w:val="28"/>
        </w:rPr>
        <w:t>最后报价（大写人民币）：</w:t>
      </w:r>
      <w:r>
        <w:rPr>
          <w:rFonts w:ascii="宋体" w:hAnsi="宋体"/>
          <w:u w:val="single"/>
        </w:rPr>
        <w:t>XXXX</w:t>
      </w:r>
    </w:p>
    <w:p>
      <w:pPr>
        <w:pStyle w:val="67"/>
        <w:shd w:val="clear"/>
        <w:snapToGrid w:val="0"/>
        <w:ind w:firstLine="560" w:firstLineChars="200"/>
        <w:rPr>
          <w:sz w:val="28"/>
        </w:rPr>
      </w:pPr>
      <w:r>
        <w:rPr>
          <w:rFonts w:hint="eastAsia"/>
          <w:sz w:val="28"/>
        </w:rPr>
        <w:t>供应商名称：</w:t>
      </w:r>
      <w:r>
        <w:rPr>
          <w:rFonts w:ascii="宋体" w:hAnsi="宋体"/>
          <w:u w:val="single"/>
        </w:rPr>
        <w:t>XXXX</w:t>
      </w:r>
    </w:p>
    <w:p>
      <w:pPr>
        <w:pStyle w:val="67"/>
        <w:shd w:val="clear"/>
        <w:snapToGrid w:val="0"/>
        <w:ind w:firstLine="560" w:firstLineChars="200"/>
        <w:rPr>
          <w:rFonts w:ascii="宋体" w:hAnsi="宋体"/>
          <w:sz w:val="28"/>
        </w:rPr>
      </w:pPr>
      <w:r>
        <w:rPr>
          <w:rFonts w:hint="eastAsia"/>
          <w:sz w:val="28"/>
        </w:rPr>
        <w:t>法定代表人或代理人：</w:t>
      </w:r>
      <w:r>
        <w:rPr>
          <w:rFonts w:ascii="宋体" w:hAnsi="宋体"/>
          <w:u w:val="single"/>
        </w:rPr>
        <w:t>XXXX</w:t>
      </w:r>
      <w:r>
        <w:rPr>
          <w:rFonts w:hint="eastAsia" w:ascii="宋体" w:hAnsi="宋体"/>
          <w:sz w:val="28"/>
        </w:rPr>
        <w:t>（签字）</w:t>
      </w:r>
    </w:p>
    <w:p>
      <w:pPr>
        <w:pStyle w:val="67"/>
        <w:shd w:val="clear"/>
        <w:snapToGrid w:val="0"/>
        <w:ind w:firstLine="560" w:firstLineChars="200"/>
        <w:rPr>
          <w:rFonts w:ascii="宋体" w:hAnsi="宋体"/>
          <w:sz w:val="28"/>
        </w:rPr>
      </w:pPr>
      <w:r>
        <w:rPr>
          <w:rFonts w:hint="eastAsia"/>
          <w:sz w:val="28"/>
        </w:rPr>
        <w:t>日期：</w:t>
      </w:r>
      <w:r>
        <w:rPr>
          <w:rFonts w:ascii="宋体" w:hAnsi="宋体"/>
          <w:u w:val="single"/>
        </w:rPr>
        <w:t>XX</w:t>
      </w:r>
      <w:r>
        <w:rPr>
          <w:rFonts w:hint="eastAsia" w:ascii="宋体" w:hAnsi="宋体"/>
          <w:sz w:val="28"/>
        </w:rPr>
        <w:t>年</w:t>
      </w:r>
      <w:r>
        <w:rPr>
          <w:rFonts w:ascii="宋体" w:hAnsi="宋体"/>
          <w:u w:val="single"/>
        </w:rPr>
        <w:t>XX</w:t>
      </w:r>
      <w:r>
        <w:rPr>
          <w:rFonts w:hint="eastAsia" w:ascii="宋体" w:hAnsi="宋体"/>
          <w:sz w:val="28"/>
        </w:rPr>
        <w:t>月</w:t>
      </w:r>
      <w:r>
        <w:rPr>
          <w:rFonts w:ascii="宋体" w:hAnsi="宋体"/>
          <w:u w:val="single"/>
        </w:rPr>
        <w:t>XX</w:t>
      </w:r>
      <w:r>
        <w:rPr>
          <w:rFonts w:hint="eastAsia" w:ascii="宋体" w:hAnsi="宋体"/>
          <w:sz w:val="28"/>
        </w:rPr>
        <w:t>日</w:t>
      </w:r>
    </w:p>
    <w:p>
      <w:pPr>
        <w:pStyle w:val="67"/>
        <w:shd w:val="clear"/>
        <w:snapToGrid w:val="0"/>
        <w:ind w:firstLineChars="176"/>
        <w:rPr>
          <w:sz w:val="28"/>
          <w:u w:val="single"/>
        </w:rPr>
      </w:pPr>
    </w:p>
    <w:p>
      <w:pPr>
        <w:shd w:val="clear"/>
        <w:snapToGrid w:val="0"/>
        <w:spacing w:line="360" w:lineRule="auto"/>
        <w:ind w:firstLine="562" w:firstLineChars="200"/>
        <w:rPr>
          <w:b/>
          <w:bCs w:val="0"/>
          <w:sz w:val="28"/>
          <w:szCs w:val="28"/>
        </w:rPr>
      </w:pPr>
      <w:r>
        <w:rPr>
          <w:rFonts w:hint="eastAsia" w:ascii="宋体" w:hAnsi="宋体"/>
          <w:b/>
          <w:bCs w:val="0"/>
          <w:sz w:val="28"/>
        </w:rPr>
        <w:t>说明：</w:t>
      </w:r>
      <w:r>
        <w:rPr>
          <w:b/>
          <w:bCs w:val="0"/>
          <w:sz w:val="28"/>
          <w:szCs w:val="28"/>
        </w:rPr>
        <w:t>1</w:t>
      </w:r>
      <w:r>
        <w:rPr>
          <w:rFonts w:hint="eastAsia"/>
          <w:b/>
          <w:bCs w:val="0"/>
          <w:sz w:val="28"/>
          <w:szCs w:val="28"/>
        </w:rPr>
        <w:t>、供应商可不在施工响应文件中填写并提供此表。此表为</w:t>
      </w:r>
      <w:r>
        <w:rPr>
          <w:rFonts w:hint="eastAsia"/>
          <w:b/>
          <w:bCs w:val="0"/>
          <w:sz w:val="28"/>
          <w:szCs w:val="28"/>
          <w:lang w:eastAsia="zh-CN"/>
        </w:rPr>
        <w:t>磋商</w:t>
      </w:r>
      <w:r>
        <w:rPr>
          <w:rFonts w:hint="eastAsia"/>
          <w:b/>
          <w:bCs w:val="0"/>
          <w:sz w:val="28"/>
          <w:szCs w:val="28"/>
        </w:rPr>
        <w:t>结束后，由供应商填写“最后报价”（表格由</w:t>
      </w:r>
      <w:r>
        <w:rPr>
          <w:rFonts w:hint="eastAsia"/>
          <w:b/>
          <w:bCs w:val="0"/>
          <w:sz w:val="28"/>
          <w:szCs w:val="28"/>
          <w:lang w:eastAsia="zh-CN"/>
        </w:rPr>
        <w:t>磋商</w:t>
      </w:r>
      <w:r>
        <w:rPr>
          <w:rFonts w:hint="eastAsia"/>
          <w:b/>
          <w:bCs w:val="0"/>
          <w:sz w:val="28"/>
          <w:szCs w:val="28"/>
        </w:rPr>
        <w:t>小组提供），经供应商法定代表人或代理人签字后密封递交给采购代理机构工作人员，由其收集齐后集中递交</w:t>
      </w:r>
      <w:r>
        <w:rPr>
          <w:rFonts w:hint="eastAsia"/>
          <w:b/>
          <w:bCs w:val="0"/>
          <w:sz w:val="28"/>
          <w:szCs w:val="28"/>
          <w:lang w:eastAsia="zh-CN"/>
        </w:rPr>
        <w:t>磋商</w:t>
      </w:r>
      <w:r>
        <w:rPr>
          <w:rFonts w:hint="eastAsia"/>
          <w:b/>
          <w:bCs w:val="0"/>
          <w:sz w:val="28"/>
          <w:szCs w:val="28"/>
        </w:rPr>
        <w:t>小组。供应商在施工响应文件中提交此表的，不影响其施工响应文件的有效性，其最后报价以</w:t>
      </w:r>
      <w:r>
        <w:rPr>
          <w:rFonts w:hint="eastAsia"/>
          <w:b/>
          <w:bCs w:val="0"/>
          <w:sz w:val="28"/>
          <w:szCs w:val="28"/>
          <w:lang w:eastAsia="zh-CN"/>
        </w:rPr>
        <w:t>磋商</w:t>
      </w:r>
      <w:r>
        <w:rPr>
          <w:rFonts w:hint="eastAsia"/>
          <w:b/>
          <w:bCs w:val="0"/>
          <w:sz w:val="28"/>
          <w:szCs w:val="28"/>
        </w:rPr>
        <w:t>结束后提交的“最后报价”为准。</w:t>
      </w:r>
    </w:p>
    <w:p>
      <w:pPr>
        <w:snapToGrid w:val="0"/>
        <w:spacing w:line="360" w:lineRule="auto"/>
        <w:ind w:firstLine="584" w:firstLineChars="200"/>
        <w:rPr>
          <w:rFonts w:ascii="宋体" w:hAnsi="宋体"/>
          <w:color w:val="auto"/>
          <w:sz w:val="28"/>
          <w:szCs w:val="28"/>
          <w:highlight w:val="none"/>
        </w:rPr>
      </w:pPr>
      <w:r>
        <w:rPr>
          <w:b/>
          <w:bCs w:val="0"/>
          <w:kern w:val="2"/>
          <w:sz w:val="28"/>
          <w:szCs w:val="28"/>
        </w:rPr>
        <w:t>2</w:t>
      </w:r>
      <w:r>
        <w:rPr>
          <w:rFonts w:hint="eastAsia"/>
          <w:b/>
          <w:bCs w:val="0"/>
          <w:kern w:val="2"/>
          <w:sz w:val="28"/>
          <w:szCs w:val="28"/>
        </w:rPr>
        <w:t>、报价应是包括</w:t>
      </w:r>
      <w:r>
        <w:rPr>
          <w:rFonts w:hint="eastAsia"/>
          <w:b/>
          <w:bCs w:val="0"/>
          <w:kern w:val="2"/>
          <w:sz w:val="28"/>
          <w:szCs w:val="28"/>
          <w:lang w:eastAsia="zh-CN"/>
        </w:rPr>
        <w:t>磋商</w:t>
      </w:r>
      <w:r>
        <w:rPr>
          <w:rFonts w:hint="eastAsia"/>
          <w:b/>
          <w:bCs w:val="0"/>
          <w:kern w:val="2"/>
          <w:sz w:val="28"/>
          <w:szCs w:val="28"/>
        </w:rPr>
        <w:t>文件规定的全部相应内容的报价。</w:t>
      </w:r>
      <w:r>
        <w:rPr>
          <w:b/>
          <w:bCs w:val="0"/>
          <w:kern w:val="2"/>
          <w:sz w:val="28"/>
          <w:szCs w:val="28"/>
        </w:rPr>
        <w:br w:type="page"/>
      </w:r>
    </w:p>
    <w:bookmarkEnd w:id="66"/>
    <w:bookmarkEnd w:id="67"/>
    <w:p>
      <w:pPr>
        <w:rPr>
          <w:rFonts w:asciiTheme="minorEastAsia" w:hAnsiTheme="minorEastAsia" w:eastAsiaTheme="minorEastAsia"/>
          <w:color w:val="auto"/>
          <w:kern w:val="2"/>
          <w:highlight w:val="none"/>
        </w:rPr>
      </w:pPr>
    </w:p>
    <w:p>
      <w:pPr>
        <w:pStyle w:val="3"/>
        <w:numPr>
          <w:ilvl w:val="0"/>
          <w:numId w:val="1"/>
        </w:numPr>
        <w:snapToGrid w:val="0"/>
        <w:spacing w:before="0" w:after="0"/>
        <w:ind w:left="0" w:firstLine="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 xml:space="preserve"> </w:t>
      </w:r>
      <w:bookmarkStart w:id="71" w:name="_Toc72938441"/>
      <w:r>
        <w:rPr>
          <w:rFonts w:hint="eastAsia" w:asciiTheme="minorEastAsia" w:hAnsiTheme="minorEastAsia" w:eastAsiaTheme="minorEastAsia"/>
          <w:color w:val="auto"/>
          <w:highlight w:val="none"/>
          <w:lang w:val="en-US" w:eastAsia="zh-CN"/>
        </w:rPr>
        <w:t xml:space="preserve">  </w:t>
      </w:r>
      <w:bookmarkStart w:id="72" w:name="_Toc27494"/>
      <w:r>
        <w:rPr>
          <w:rFonts w:hint="eastAsia"/>
          <w:color w:val="auto"/>
          <w:highlight w:val="none"/>
        </w:rPr>
        <w:t>技术、服务、商务及其他要求</w:t>
      </w:r>
      <w:bookmarkEnd w:id="71"/>
      <w:bookmarkEnd w:id="72"/>
    </w:p>
    <w:p>
      <w:pPr>
        <w:ind w:firstLine="480" w:firstLineChars="200"/>
        <w:rPr>
          <w:rFonts w:ascii="仿宋" w:hAnsi="仿宋" w:eastAsia="仿宋"/>
          <w:color w:val="auto"/>
          <w:highlight w:val="none"/>
        </w:rPr>
      </w:pPr>
    </w:p>
    <w:p>
      <w:pPr>
        <w:ind w:firstLine="562" w:firstLineChars="200"/>
        <w:rPr>
          <w:rFonts w:ascii="宋体" w:hAnsi="宋体"/>
          <w:b/>
          <w:color w:val="auto"/>
          <w:sz w:val="28"/>
          <w:szCs w:val="28"/>
          <w:highlight w:val="none"/>
        </w:rPr>
      </w:pPr>
      <w:r>
        <w:rPr>
          <w:rFonts w:ascii="宋体" w:hAnsi="宋体"/>
          <w:b/>
          <w:color w:val="auto"/>
          <w:sz w:val="28"/>
          <w:szCs w:val="28"/>
          <w:highlight w:val="none"/>
        </w:rPr>
        <w:t>本章采购需求中标注“</w:t>
      </w:r>
      <w:r>
        <w:rPr>
          <w:rFonts w:hint="eastAsia" w:ascii="宋体" w:hAnsi="宋体"/>
          <w:b/>
          <w:color w:val="auto"/>
          <w:sz w:val="28"/>
          <w:szCs w:val="28"/>
          <w:highlight w:val="none"/>
        </w:rPr>
        <w:t>★</w:t>
      </w:r>
      <w:r>
        <w:rPr>
          <w:rFonts w:ascii="宋体" w:hAnsi="宋体"/>
          <w:b/>
          <w:color w:val="auto"/>
          <w:sz w:val="28"/>
          <w:szCs w:val="28"/>
          <w:highlight w:val="none"/>
        </w:rPr>
        <w:t>”号的条款为本次采购项目的实质性要求，供应商</w:t>
      </w:r>
      <w:r>
        <w:rPr>
          <w:rFonts w:hint="eastAsia" w:ascii="宋体" w:hAnsi="宋体"/>
          <w:b/>
          <w:color w:val="auto"/>
          <w:sz w:val="28"/>
          <w:szCs w:val="28"/>
          <w:highlight w:val="none"/>
        </w:rPr>
        <w:t>在</w:t>
      </w:r>
      <w:r>
        <w:rPr>
          <w:rFonts w:hint="eastAsia" w:ascii="宋体" w:hAnsi="宋体"/>
          <w:b/>
          <w:color w:val="auto"/>
          <w:sz w:val="28"/>
          <w:szCs w:val="28"/>
          <w:highlight w:val="none"/>
          <w:lang w:eastAsia="zh-CN"/>
        </w:rPr>
        <w:t>磋商</w:t>
      </w:r>
      <w:r>
        <w:rPr>
          <w:rFonts w:ascii="宋体" w:hAnsi="宋体"/>
          <w:b/>
          <w:color w:val="auto"/>
          <w:sz w:val="28"/>
          <w:szCs w:val="28"/>
          <w:highlight w:val="none"/>
        </w:rPr>
        <w:t>结束后应全部满足</w:t>
      </w:r>
      <w:r>
        <w:rPr>
          <w:rFonts w:hint="eastAsia" w:ascii="宋体" w:hAnsi="宋体"/>
          <w:b/>
          <w:color w:val="auto"/>
          <w:sz w:val="28"/>
          <w:szCs w:val="28"/>
          <w:highlight w:val="none"/>
        </w:rPr>
        <w:t>。</w:t>
      </w:r>
    </w:p>
    <w:p>
      <w:pPr>
        <w:pStyle w:val="4"/>
        <w:tabs>
          <w:tab w:val="left" w:pos="0"/>
          <w:tab w:val="left" w:pos="576"/>
          <w:tab w:val="left" w:pos="786"/>
          <w:tab w:val="clear" w:pos="567"/>
        </w:tabs>
        <w:spacing w:before="260" w:after="260" w:line="416" w:lineRule="auto"/>
        <w:ind w:left="0" w:firstLine="0"/>
        <w:rPr>
          <w:color w:val="auto"/>
          <w:highlight w:val="none"/>
        </w:rPr>
      </w:pPr>
      <w:bookmarkStart w:id="73" w:name="_Toc31117"/>
      <w:bookmarkStart w:id="74" w:name="_Toc321334066"/>
      <w:bookmarkStart w:id="75" w:name="_Toc496702872"/>
      <w:r>
        <w:rPr>
          <w:rFonts w:hint="eastAsia"/>
          <w:color w:val="auto"/>
          <w:highlight w:val="none"/>
          <w:lang w:eastAsia="zh-CN"/>
        </w:rPr>
        <w:t>项目介绍</w:t>
      </w:r>
      <w:bookmarkEnd w:id="73"/>
    </w:p>
    <w:p>
      <w:pPr>
        <w:spacing w:line="600" w:lineRule="exact"/>
        <w:ind w:right="-21" w:rightChars="-10" w:firstLine="562" w:firstLineChars="201"/>
        <w:rPr>
          <w:rFonts w:hint="eastAsia" w:ascii="宋体" w:hAnsi="宋体"/>
          <w:color w:val="auto"/>
          <w:sz w:val="28"/>
          <w:szCs w:val="28"/>
          <w:lang w:eastAsia="zh-CN"/>
        </w:rPr>
      </w:pPr>
      <w:r>
        <w:rPr>
          <w:rFonts w:hint="eastAsia" w:ascii="宋体" w:hAnsi="宋体"/>
          <w:color w:val="auto"/>
          <w:sz w:val="28"/>
          <w:szCs w:val="28"/>
          <w:highlight w:val="none"/>
          <w:lang w:val="en-US" w:eastAsia="zh-CN"/>
        </w:rPr>
        <w:t xml:space="preserve"> </w:t>
      </w:r>
      <w:r>
        <w:rPr>
          <w:rFonts w:hint="eastAsia" w:ascii="宋体" w:hAnsi="宋体"/>
          <w:color w:val="auto"/>
          <w:sz w:val="28"/>
          <w:szCs w:val="28"/>
        </w:rPr>
        <w:t xml:space="preserve"> </w:t>
      </w:r>
      <w:r>
        <w:rPr>
          <w:rFonts w:hint="eastAsia" w:ascii="宋体" w:hAnsi="宋体"/>
          <w:color w:val="auto"/>
          <w:sz w:val="28"/>
          <w:szCs w:val="28"/>
          <w:lang w:val="zh-CN" w:eastAsia="zh-CN"/>
        </w:rPr>
        <w:t>本次项目主要内容为成都市第二幼儿园督院园区食堂改造工程，总建筑面积</w:t>
      </w:r>
      <w:r>
        <w:rPr>
          <w:rFonts w:hint="eastAsia" w:ascii="宋体" w:hAnsi="宋体"/>
          <w:color w:val="auto"/>
          <w:sz w:val="28"/>
          <w:szCs w:val="28"/>
          <w:lang w:val="en-US" w:eastAsia="zh-CN"/>
        </w:rPr>
        <w:t>255.00㎡，建筑高度为8.40m，层数为地上2层。</w:t>
      </w:r>
      <w:r>
        <w:rPr>
          <w:rFonts w:hint="eastAsia" w:ascii="宋体" w:hAnsi="宋体"/>
          <w:color w:val="auto"/>
          <w:sz w:val="28"/>
          <w:szCs w:val="28"/>
          <w:lang w:val="zh-CN" w:eastAsia="zh-CN"/>
        </w:rPr>
        <w:t>具体以施工图及工程量清单的范围为准。</w:t>
      </w:r>
    </w:p>
    <w:p>
      <w:pPr>
        <w:pStyle w:val="4"/>
        <w:tabs>
          <w:tab w:val="left" w:pos="0"/>
          <w:tab w:val="left" w:pos="576"/>
          <w:tab w:val="left" w:pos="786"/>
          <w:tab w:val="clear" w:pos="567"/>
        </w:tabs>
        <w:spacing w:before="260" w:after="260" w:line="416" w:lineRule="auto"/>
        <w:ind w:left="0" w:firstLine="0"/>
        <w:rPr>
          <w:color w:val="auto"/>
          <w:highlight w:val="none"/>
        </w:rPr>
      </w:pPr>
      <w:bookmarkStart w:id="76" w:name="_Toc23074"/>
      <w:r>
        <w:rPr>
          <w:rFonts w:hint="eastAsia"/>
          <w:color w:val="auto"/>
          <w:highlight w:val="none"/>
          <w:lang w:eastAsia="zh-CN"/>
        </w:rPr>
        <w:t>工程内容</w:t>
      </w:r>
      <w:bookmarkEnd w:id="76"/>
    </w:p>
    <w:p>
      <w:pPr>
        <w:spacing w:line="600" w:lineRule="exact"/>
        <w:ind w:right="-21" w:rightChars="-10" w:firstLine="562" w:firstLineChars="201"/>
        <w:rPr>
          <w:rFonts w:hint="eastAsia" w:ascii="宋体" w:hAnsi="宋体"/>
          <w:color w:val="auto"/>
          <w:sz w:val="28"/>
          <w:szCs w:val="28"/>
          <w:lang w:eastAsia="zh-CN"/>
        </w:rPr>
      </w:pPr>
      <w:r>
        <w:rPr>
          <w:rFonts w:hint="eastAsia" w:ascii="宋体" w:hAnsi="宋体"/>
          <w:color w:val="auto"/>
          <w:sz w:val="28"/>
          <w:szCs w:val="28"/>
          <w:highlight w:val="none"/>
          <w:lang w:val="en-US" w:eastAsia="zh-CN"/>
        </w:rPr>
        <w:t xml:space="preserve">   </w:t>
      </w:r>
      <w:r>
        <w:rPr>
          <w:rFonts w:hint="eastAsia" w:ascii="宋体" w:hAnsi="宋体"/>
          <w:color w:val="auto"/>
          <w:sz w:val="28"/>
          <w:szCs w:val="28"/>
        </w:rPr>
        <w:t xml:space="preserve"> </w:t>
      </w:r>
      <w:r>
        <w:rPr>
          <w:rFonts w:hint="eastAsia" w:ascii="宋体" w:hAnsi="宋体"/>
          <w:color w:val="auto"/>
          <w:sz w:val="28"/>
          <w:szCs w:val="28"/>
          <w:lang w:val="zh-CN" w:eastAsia="zh-CN"/>
        </w:rPr>
        <w:t>本次项目主要内容为成都市第二幼儿园督院园区食堂改造工程，总建筑面积</w:t>
      </w:r>
      <w:r>
        <w:rPr>
          <w:rFonts w:hint="eastAsia" w:ascii="宋体" w:hAnsi="宋体"/>
          <w:color w:val="auto"/>
          <w:sz w:val="28"/>
          <w:szCs w:val="28"/>
          <w:lang w:val="en-US" w:eastAsia="zh-CN"/>
        </w:rPr>
        <w:t>255.00㎡，建筑高度为8.40m，层数为地上2层。</w:t>
      </w:r>
      <w:r>
        <w:rPr>
          <w:rFonts w:hint="eastAsia" w:ascii="宋体" w:hAnsi="宋体"/>
          <w:color w:val="auto"/>
          <w:sz w:val="28"/>
          <w:szCs w:val="28"/>
          <w:lang w:val="zh-CN" w:eastAsia="zh-CN"/>
        </w:rPr>
        <w:t>具体以施工图及工程量清单的范围为准。</w:t>
      </w:r>
    </w:p>
    <w:p>
      <w:pPr>
        <w:tabs>
          <w:tab w:val="left" w:pos="1134"/>
        </w:tabs>
        <w:snapToGrid w:val="0"/>
        <w:spacing w:line="620" w:lineRule="exact"/>
        <w:ind w:firstLine="840" w:firstLineChars="300"/>
        <w:rPr>
          <w:rFonts w:hint="eastAsia" w:ascii="宋体" w:hAnsi="宋体"/>
          <w:color w:val="auto"/>
          <w:sz w:val="28"/>
          <w:szCs w:val="28"/>
          <w:highlight w:val="none"/>
          <w:lang w:val="zh-CN"/>
        </w:rPr>
      </w:pPr>
    </w:p>
    <w:p>
      <w:pPr>
        <w:pStyle w:val="4"/>
        <w:tabs>
          <w:tab w:val="left" w:pos="0"/>
          <w:tab w:val="left" w:pos="576"/>
          <w:tab w:val="left" w:pos="786"/>
          <w:tab w:val="clear" w:pos="567"/>
        </w:tabs>
        <w:spacing w:before="260" w:after="260" w:line="416" w:lineRule="auto"/>
        <w:ind w:left="0" w:firstLine="0"/>
        <w:rPr>
          <w:rFonts w:hint="eastAsia"/>
          <w:color w:val="auto"/>
          <w:highlight w:val="none"/>
        </w:rPr>
      </w:pPr>
      <w:bookmarkStart w:id="77" w:name="_Toc5492"/>
      <w:r>
        <w:rPr>
          <w:rFonts w:hint="eastAsia"/>
          <w:color w:val="auto"/>
          <w:highlight w:val="none"/>
        </w:rPr>
        <w:t>技术、服务、合同</w:t>
      </w:r>
      <w:r>
        <w:rPr>
          <w:color w:val="auto"/>
          <w:highlight w:val="none"/>
        </w:rPr>
        <w:t>条款</w:t>
      </w:r>
      <w:r>
        <w:rPr>
          <w:rFonts w:hint="eastAsia"/>
          <w:color w:val="auto"/>
          <w:highlight w:val="none"/>
        </w:rPr>
        <w:t>要求</w:t>
      </w:r>
      <w:bookmarkEnd w:id="77"/>
    </w:p>
    <w:tbl>
      <w:tblPr>
        <w:tblStyle w:val="50"/>
        <w:tblW w:w="8897" w:type="dxa"/>
        <w:tblInd w:w="0" w:type="dxa"/>
        <w:tblLayout w:type="fixed"/>
        <w:tblCellMar>
          <w:top w:w="0" w:type="dxa"/>
          <w:left w:w="108" w:type="dxa"/>
          <w:bottom w:w="0" w:type="dxa"/>
          <w:right w:w="108" w:type="dxa"/>
        </w:tblCellMar>
      </w:tblPr>
      <w:tblGrid>
        <w:gridCol w:w="877"/>
        <w:gridCol w:w="2066"/>
        <w:gridCol w:w="5954"/>
      </w:tblGrid>
      <w:tr>
        <w:tblPrEx>
          <w:tblLayout w:type="fixed"/>
          <w:tblCellMar>
            <w:top w:w="0" w:type="dxa"/>
            <w:left w:w="108" w:type="dxa"/>
            <w:bottom w:w="0" w:type="dxa"/>
            <w:right w:w="108" w:type="dxa"/>
          </w:tblCellMar>
        </w:tblPrEx>
        <w:trPr>
          <w:trHeight w:val="664"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Arial"/>
                <w:color w:val="auto"/>
                <w:sz w:val="28"/>
                <w:szCs w:val="28"/>
                <w:highlight w:val="none"/>
              </w:rPr>
            </w:pPr>
            <w:r>
              <w:rPr>
                <w:rFonts w:hint="eastAsia" w:ascii="宋体" w:hAnsi="宋体"/>
                <w:color w:val="auto"/>
                <w:sz w:val="28"/>
                <w:szCs w:val="28"/>
                <w:highlight w:val="none"/>
              </w:rPr>
              <w:t>序号</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Arial"/>
                <w:color w:val="auto"/>
                <w:sz w:val="28"/>
                <w:szCs w:val="28"/>
                <w:highlight w:val="none"/>
              </w:rPr>
            </w:pPr>
            <w:r>
              <w:rPr>
                <w:rFonts w:hint="eastAsia" w:ascii="宋体" w:hAnsi="宋体"/>
                <w:color w:val="auto"/>
                <w:sz w:val="28"/>
                <w:szCs w:val="28"/>
                <w:highlight w:val="none"/>
              </w:rPr>
              <w:t>项目</w:t>
            </w:r>
          </w:p>
        </w:tc>
        <w:tc>
          <w:tcPr>
            <w:tcW w:w="595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Arial"/>
                <w:color w:val="auto"/>
                <w:sz w:val="28"/>
                <w:szCs w:val="28"/>
                <w:highlight w:val="none"/>
              </w:rPr>
            </w:pPr>
            <w:r>
              <w:rPr>
                <w:rFonts w:hint="eastAsia" w:ascii="宋体" w:hAnsi="宋体"/>
                <w:color w:val="auto"/>
                <w:sz w:val="28"/>
                <w:szCs w:val="28"/>
                <w:highlight w:val="none"/>
              </w:rPr>
              <w:t>要求</w:t>
            </w:r>
          </w:p>
        </w:tc>
      </w:tr>
      <w:tr>
        <w:tblPrEx>
          <w:tblLayout w:type="fixed"/>
          <w:tblCellMar>
            <w:top w:w="0" w:type="dxa"/>
            <w:left w:w="108" w:type="dxa"/>
            <w:bottom w:w="0" w:type="dxa"/>
            <w:right w:w="108" w:type="dxa"/>
          </w:tblCellMar>
        </w:tblPrEx>
        <w:trPr>
          <w:trHeight w:val="655"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Arial"/>
                <w:color w:val="auto"/>
                <w:sz w:val="28"/>
                <w:szCs w:val="28"/>
                <w:highlight w:val="none"/>
              </w:rPr>
            </w:pPr>
            <w:r>
              <w:rPr>
                <w:rFonts w:hint="eastAsia" w:ascii="宋体" w:hAnsi="宋体"/>
                <w:color w:val="auto"/>
                <w:sz w:val="28"/>
                <w:szCs w:val="28"/>
                <w:highlight w:val="none"/>
              </w:rPr>
              <w:t>1</w:t>
            </w:r>
          </w:p>
        </w:tc>
        <w:tc>
          <w:tcPr>
            <w:tcW w:w="206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s="Arial"/>
                <w:b/>
                <w:color w:val="auto"/>
                <w:sz w:val="28"/>
                <w:szCs w:val="28"/>
                <w:highlight w:val="none"/>
              </w:rPr>
            </w:pPr>
            <w:r>
              <w:rPr>
                <w:rFonts w:hint="eastAsia" w:ascii="宋体" w:hAnsi="宋体"/>
                <w:b/>
                <w:color w:val="auto"/>
                <w:sz w:val="28"/>
                <w:szCs w:val="28"/>
                <w:highlight w:val="none"/>
              </w:rPr>
              <w:t>★项目负责人（项目经理）</w:t>
            </w:r>
          </w:p>
        </w:tc>
        <w:tc>
          <w:tcPr>
            <w:tcW w:w="5954" w:type="dxa"/>
            <w:tcBorders>
              <w:top w:val="single" w:color="auto" w:sz="4" w:space="0"/>
              <w:left w:val="nil"/>
              <w:bottom w:val="single" w:color="auto" w:sz="4" w:space="0"/>
              <w:right w:val="single" w:color="auto" w:sz="4" w:space="0"/>
            </w:tcBorders>
            <w:vAlign w:val="center"/>
          </w:tcPr>
          <w:p>
            <w:pPr>
              <w:spacing w:line="360" w:lineRule="auto"/>
              <w:ind w:right="24" w:rightChars="10"/>
              <w:rPr>
                <w:rFonts w:ascii="宋体" w:hAnsi="宋体" w:cs="Arial"/>
                <w:color w:val="auto"/>
                <w:sz w:val="28"/>
                <w:szCs w:val="28"/>
                <w:highlight w:val="none"/>
              </w:rPr>
            </w:pPr>
            <w:r>
              <w:rPr>
                <w:rFonts w:hint="eastAsia" w:ascii="宋体" w:hAnsi="宋体"/>
                <w:color w:val="auto"/>
                <w:sz w:val="28"/>
                <w:szCs w:val="28"/>
                <w:highlight w:val="none"/>
              </w:rPr>
              <w:t>姓名：</w:t>
            </w:r>
          </w:p>
        </w:tc>
      </w:tr>
      <w:tr>
        <w:tblPrEx>
          <w:tblLayout w:type="fixed"/>
          <w:tblCellMar>
            <w:top w:w="0" w:type="dxa"/>
            <w:left w:w="108" w:type="dxa"/>
            <w:bottom w:w="0" w:type="dxa"/>
            <w:right w:w="108" w:type="dxa"/>
          </w:tblCellMar>
        </w:tblPrEx>
        <w:trPr>
          <w:trHeight w:val="551"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Arial"/>
                <w:color w:val="auto"/>
                <w:sz w:val="28"/>
                <w:szCs w:val="28"/>
                <w:highlight w:val="none"/>
              </w:rPr>
            </w:pPr>
            <w:r>
              <w:rPr>
                <w:rFonts w:hint="eastAsia" w:ascii="宋体" w:hAnsi="宋体"/>
                <w:color w:val="auto"/>
                <w:sz w:val="28"/>
                <w:szCs w:val="28"/>
                <w:highlight w:val="none"/>
              </w:rPr>
              <w:t>2</w:t>
            </w:r>
          </w:p>
        </w:tc>
        <w:tc>
          <w:tcPr>
            <w:tcW w:w="206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s="Arial"/>
                <w:b/>
                <w:color w:val="auto"/>
                <w:sz w:val="28"/>
                <w:szCs w:val="28"/>
                <w:highlight w:val="none"/>
              </w:rPr>
            </w:pPr>
            <w:r>
              <w:rPr>
                <w:rFonts w:hint="eastAsia" w:ascii="宋体" w:hAnsi="宋体"/>
                <w:b/>
                <w:color w:val="auto"/>
                <w:sz w:val="28"/>
                <w:szCs w:val="28"/>
                <w:highlight w:val="none"/>
              </w:rPr>
              <w:t>★技术负责人</w:t>
            </w:r>
          </w:p>
        </w:tc>
        <w:tc>
          <w:tcPr>
            <w:tcW w:w="5954" w:type="dxa"/>
            <w:tcBorders>
              <w:top w:val="single" w:color="auto" w:sz="4" w:space="0"/>
              <w:left w:val="nil"/>
              <w:bottom w:val="single" w:color="auto" w:sz="4" w:space="0"/>
              <w:right w:val="single" w:color="auto" w:sz="4" w:space="0"/>
            </w:tcBorders>
            <w:vAlign w:val="center"/>
          </w:tcPr>
          <w:p>
            <w:pPr>
              <w:spacing w:line="360" w:lineRule="auto"/>
              <w:ind w:right="24" w:rightChars="10"/>
              <w:rPr>
                <w:rFonts w:ascii="宋体" w:hAnsi="宋体"/>
                <w:color w:val="auto"/>
                <w:sz w:val="28"/>
                <w:szCs w:val="28"/>
                <w:highlight w:val="none"/>
              </w:rPr>
            </w:pPr>
            <w:r>
              <w:rPr>
                <w:rFonts w:hint="eastAsia" w:ascii="宋体" w:hAnsi="宋体"/>
                <w:color w:val="auto"/>
                <w:sz w:val="28"/>
                <w:szCs w:val="28"/>
                <w:highlight w:val="none"/>
              </w:rPr>
              <w:t>姓名：</w:t>
            </w:r>
          </w:p>
        </w:tc>
      </w:tr>
      <w:tr>
        <w:tblPrEx>
          <w:tblLayout w:type="fixed"/>
          <w:tblCellMar>
            <w:top w:w="0" w:type="dxa"/>
            <w:left w:w="108" w:type="dxa"/>
            <w:bottom w:w="0" w:type="dxa"/>
            <w:right w:w="108" w:type="dxa"/>
          </w:tblCellMar>
        </w:tblPrEx>
        <w:trPr>
          <w:trHeight w:val="258"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Arial"/>
                <w:color w:val="auto"/>
                <w:sz w:val="28"/>
                <w:szCs w:val="28"/>
                <w:highlight w:val="none"/>
              </w:rPr>
            </w:pPr>
            <w:r>
              <w:rPr>
                <w:rFonts w:hint="eastAsia" w:ascii="宋体" w:hAnsi="宋体"/>
                <w:color w:val="auto"/>
                <w:sz w:val="28"/>
                <w:szCs w:val="28"/>
                <w:highlight w:val="none"/>
              </w:rPr>
              <w:t>3</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Arial"/>
                <w:color w:val="auto"/>
                <w:sz w:val="28"/>
                <w:szCs w:val="28"/>
                <w:highlight w:val="none"/>
              </w:rPr>
            </w:pPr>
            <w:r>
              <w:rPr>
                <w:rFonts w:hint="eastAsia" w:ascii="宋体" w:hAnsi="宋体"/>
                <w:b/>
                <w:color w:val="auto"/>
                <w:sz w:val="28"/>
                <w:szCs w:val="28"/>
                <w:highlight w:val="none"/>
              </w:rPr>
              <w:t>★</w:t>
            </w:r>
            <w:r>
              <w:rPr>
                <w:rFonts w:hint="eastAsia" w:ascii="宋体" w:hAnsi="宋体"/>
                <w:color w:val="auto"/>
                <w:sz w:val="28"/>
                <w:szCs w:val="28"/>
                <w:highlight w:val="none"/>
              </w:rPr>
              <w:t>工期</w:t>
            </w:r>
          </w:p>
        </w:tc>
        <w:tc>
          <w:tcPr>
            <w:tcW w:w="5954" w:type="dxa"/>
            <w:tcBorders>
              <w:top w:val="single" w:color="auto" w:sz="4" w:space="0"/>
              <w:left w:val="nil"/>
              <w:bottom w:val="single" w:color="auto" w:sz="4" w:space="0"/>
              <w:right w:val="single" w:color="auto" w:sz="4" w:space="0"/>
            </w:tcBorders>
            <w:vAlign w:val="center"/>
          </w:tcPr>
          <w:p>
            <w:pPr>
              <w:spacing w:line="600" w:lineRule="exact"/>
              <w:ind w:right="-21" w:rightChars="-10"/>
              <w:rPr>
                <w:rFonts w:hint="eastAsia" w:ascii="宋体" w:hAnsi="宋体" w:eastAsia="宋体"/>
                <w:b/>
                <w:color w:val="auto"/>
                <w:sz w:val="28"/>
                <w:szCs w:val="28"/>
                <w:highlight w:val="none"/>
                <w:lang w:val="en-US" w:eastAsia="zh-CN"/>
              </w:rPr>
            </w:pPr>
            <w:r>
              <w:rPr>
                <w:rFonts w:hint="eastAsia" w:ascii="宋体" w:hAnsi="宋体" w:eastAsia="宋体" w:cs="Times New Roman"/>
                <w:color w:val="auto"/>
                <w:szCs w:val="21"/>
                <w:highlight w:val="none"/>
                <w:lang w:val="zh-CN"/>
              </w:rPr>
              <w:t>合同签订之日起</w:t>
            </w:r>
            <w:r>
              <w:rPr>
                <w:rFonts w:hint="eastAsia" w:ascii="宋体" w:hAnsi="宋体"/>
                <w:sz w:val="28"/>
                <w:szCs w:val="28"/>
                <w:lang w:val="en-US" w:eastAsia="zh-CN"/>
              </w:rPr>
              <w:t>100</w:t>
            </w:r>
            <w:r>
              <w:rPr>
                <w:rFonts w:hint="eastAsia" w:ascii="宋体" w:hAnsi="宋体"/>
                <w:sz w:val="28"/>
                <w:szCs w:val="28"/>
                <w:lang w:val="zh-CN"/>
              </w:rPr>
              <w:t>日历天（具体以实际工期为准）。</w:t>
            </w:r>
          </w:p>
        </w:tc>
      </w:tr>
      <w:tr>
        <w:tblPrEx>
          <w:tblLayout w:type="fixed"/>
          <w:tblCellMar>
            <w:top w:w="0" w:type="dxa"/>
            <w:left w:w="108" w:type="dxa"/>
            <w:bottom w:w="0" w:type="dxa"/>
            <w:right w:w="108" w:type="dxa"/>
          </w:tblCellMar>
        </w:tblPrEx>
        <w:trPr>
          <w:trHeight w:val="786"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hint="eastAsia" w:ascii="宋体" w:hAnsi="宋体" w:eastAsia="宋体"/>
                <w:color w:val="auto"/>
                <w:sz w:val="28"/>
                <w:szCs w:val="28"/>
                <w:highlight w:val="none"/>
                <w:lang w:val="en-US" w:eastAsia="zh-CN"/>
              </w:rPr>
            </w:pPr>
            <w:r>
              <w:rPr>
                <w:rFonts w:hint="eastAsia" w:ascii="宋体" w:hAnsi="宋体"/>
                <w:color w:val="auto"/>
                <w:sz w:val="28"/>
                <w:szCs w:val="28"/>
                <w:highlight w:val="none"/>
                <w:lang w:val="en-US" w:eastAsia="zh-CN"/>
              </w:rPr>
              <w:t>4</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宋体" w:hAnsi="宋体" w:eastAsia="宋体"/>
                <w:color w:val="auto"/>
                <w:sz w:val="28"/>
                <w:szCs w:val="28"/>
                <w:highlight w:val="none"/>
                <w:lang w:eastAsia="zh-CN"/>
              </w:rPr>
            </w:pPr>
            <w:r>
              <w:rPr>
                <w:rFonts w:hint="eastAsia" w:ascii="宋体" w:hAnsi="宋体"/>
                <w:b/>
                <w:color w:val="auto"/>
                <w:sz w:val="28"/>
                <w:szCs w:val="28"/>
                <w:highlight w:val="none"/>
              </w:rPr>
              <w:t>★</w:t>
            </w:r>
            <w:r>
              <w:rPr>
                <w:rFonts w:hint="eastAsia" w:ascii="宋体" w:hAnsi="宋体"/>
                <w:color w:val="auto"/>
                <w:sz w:val="28"/>
                <w:szCs w:val="28"/>
                <w:highlight w:val="none"/>
                <w:lang w:eastAsia="zh-CN"/>
              </w:rPr>
              <w:t>缺陷责任期</w:t>
            </w:r>
          </w:p>
        </w:tc>
        <w:tc>
          <w:tcPr>
            <w:tcW w:w="5954" w:type="dxa"/>
            <w:tcBorders>
              <w:top w:val="single" w:color="auto" w:sz="4" w:space="0"/>
              <w:left w:val="nil"/>
              <w:bottom w:val="single" w:color="auto" w:sz="4" w:space="0"/>
              <w:right w:val="single" w:color="auto" w:sz="4" w:space="0"/>
            </w:tcBorders>
            <w:vAlign w:val="center"/>
          </w:tcPr>
          <w:p>
            <w:pPr>
              <w:spacing w:line="360" w:lineRule="auto"/>
              <w:ind w:right="-94" w:rightChars="-39"/>
              <w:jc w:val="center"/>
              <w:rPr>
                <w:rFonts w:hint="eastAsia" w:ascii="宋体" w:hAnsi="宋体" w:eastAsia="宋体" w:cs="Times New Roman"/>
                <w:color w:val="auto"/>
                <w:szCs w:val="21"/>
                <w:highlight w:val="none"/>
                <w:lang w:val="en-US" w:eastAsia="zh-CN"/>
              </w:rPr>
            </w:pPr>
            <w:r>
              <w:rPr>
                <w:rFonts w:hint="eastAsia" w:ascii="宋体" w:hAnsi="宋体"/>
                <w:b/>
                <w:color w:val="auto"/>
                <w:sz w:val="28"/>
                <w:szCs w:val="28"/>
                <w:highlight w:val="none"/>
              </w:rPr>
              <w:t>★</w:t>
            </w:r>
            <w:r>
              <w:rPr>
                <w:rFonts w:hint="eastAsia" w:ascii="宋体" w:hAnsi="宋体"/>
                <w:b/>
                <w:color w:val="auto"/>
                <w:sz w:val="28"/>
                <w:szCs w:val="28"/>
                <w:highlight w:val="none"/>
                <w:lang w:val="en-US" w:eastAsia="zh-CN"/>
              </w:rPr>
              <w:t>24个月</w:t>
            </w:r>
          </w:p>
        </w:tc>
      </w:tr>
      <w:tr>
        <w:tblPrEx>
          <w:tblLayout w:type="fixed"/>
          <w:tblCellMar>
            <w:top w:w="0" w:type="dxa"/>
            <w:left w:w="108" w:type="dxa"/>
            <w:bottom w:w="0" w:type="dxa"/>
            <w:right w:w="108" w:type="dxa"/>
          </w:tblCellMar>
        </w:tblPrEx>
        <w:trPr>
          <w:trHeight w:val="872"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Arial"/>
                <w:color w:val="auto"/>
                <w:sz w:val="28"/>
                <w:szCs w:val="28"/>
                <w:highlight w:val="none"/>
              </w:rPr>
            </w:pPr>
            <w:r>
              <w:rPr>
                <w:rFonts w:hint="eastAsia" w:ascii="宋体" w:hAnsi="宋体"/>
                <w:color w:val="auto"/>
                <w:sz w:val="28"/>
                <w:szCs w:val="28"/>
                <w:highlight w:val="none"/>
              </w:rPr>
              <w:t>5</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Arial"/>
                <w:color w:val="auto"/>
                <w:sz w:val="28"/>
                <w:szCs w:val="28"/>
                <w:highlight w:val="none"/>
              </w:rPr>
            </w:pPr>
            <w:r>
              <w:rPr>
                <w:rFonts w:hint="eastAsia" w:ascii="宋体" w:hAnsi="宋体"/>
                <w:color w:val="auto"/>
                <w:sz w:val="28"/>
                <w:szCs w:val="28"/>
                <w:highlight w:val="none"/>
              </w:rPr>
              <w:t>分包</w:t>
            </w:r>
          </w:p>
        </w:tc>
        <w:tc>
          <w:tcPr>
            <w:tcW w:w="595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Arial"/>
                <w:b/>
                <w:color w:val="auto"/>
                <w:sz w:val="28"/>
                <w:szCs w:val="28"/>
                <w:highlight w:val="none"/>
              </w:rPr>
            </w:pPr>
            <w:r>
              <w:rPr>
                <w:rFonts w:hint="eastAsia" w:ascii="宋体" w:hAnsi="宋体"/>
                <w:b/>
                <w:color w:val="auto"/>
                <w:sz w:val="28"/>
                <w:szCs w:val="28"/>
                <w:highlight w:val="none"/>
              </w:rPr>
              <w:t>★不允许</w:t>
            </w:r>
          </w:p>
        </w:tc>
      </w:tr>
      <w:tr>
        <w:tblPrEx>
          <w:tblLayout w:type="fixed"/>
          <w:tblCellMar>
            <w:top w:w="0" w:type="dxa"/>
            <w:left w:w="108" w:type="dxa"/>
            <w:bottom w:w="0" w:type="dxa"/>
            <w:right w:w="108" w:type="dxa"/>
          </w:tblCellMar>
        </w:tblPrEx>
        <w:trPr>
          <w:trHeight w:val="808"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Arial"/>
                <w:color w:val="auto"/>
                <w:sz w:val="28"/>
                <w:szCs w:val="28"/>
                <w:highlight w:val="none"/>
              </w:rPr>
            </w:pPr>
            <w:r>
              <w:rPr>
                <w:rFonts w:hint="eastAsia" w:ascii="宋体" w:hAnsi="宋体"/>
                <w:color w:val="auto"/>
                <w:sz w:val="28"/>
                <w:szCs w:val="28"/>
                <w:highlight w:val="none"/>
              </w:rPr>
              <w:t>6</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Arial"/>
                <w:color w:val="auto"/>
                <w:sz w:val="28"/>
                <w:szCs w:val="28"/>
                <w:highlight w:val="none"/>
              </w:rPr>
            </w:pPr>
            <w:r>
              <w:rPr>
                <w:rFonts w:hint="eastAsia" w:ascii="宋体" w:hAnsi="宋体"/>
                <w:b/>
                <w:color w:val="auto"/>
                <w:sz w:val="28"/>
                <w:szCs w:val="28"/>
                <w:highlight w:val="none"/>
              </w:rPr>
              <w:t>★</w:t>
            </w:r>
            <w:r>
              <w:rPr>
                <w:rFonts w:hint="eastAsia" w:ascii="宋体" w:hAnsi="宋体"/>
                <w:color w:val="auto"/>
                <w:sz w:val="28"/>
                <w:szCs w:val="28"/>
                <w:highlight w:val="none"/>
              </w:rPr>
              <w:t>价格调整</w:t>
            </w:r>
          </w:p>
        </w:tc>
        <w:tc>
          <w:tcPr>
            <w:tcW w:w="595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s="Arial"/>
                <w:b/>
                <w:color w:val="auto"/>
                <w:sz w:val="28"/>
                <w:szCs w:val="28"/>
                <w:highlight w:val="none"/>
              </w:rPr>
            </w:pPr>
            <w:r>
              <w:rPr>
                <w:rFonts w:hint="eastAsia" w:ascii="宋体" w:hAnsi="宋体"/>
                <w:b/>
                <w:color w:val="auto"/>
                <w:sz w:val="28"/>
                <w:szCs w:val="28"/>
                <w:highlight w:val="none"/>
              </w:rPr>
              <w:t>市场价格波动不调整合同价格。</w:t>
            </w:r>
          </w:p>
        </w:tc>
      </w:tr>
      <w:tr>
        <w:tblPrEx>
          <w:tblLayout w:type="fixed"/>
          <w:tblCellMar>
            <w:top w:w="0" w:type="dxa"/>
            <w:left w:w="108" w:type="dxa"/>
            <w:bottom w:w="0" w:type="dxa"/>
            <w:right w:w="108" w:type="dxa"/>
          </w:tblCellMar>
        </w:tblPrEx>
        <w:trPr>
          <w:trHeight w:val="604"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olor w:val="auto"/>
                <w:sz w:val="28"/>
                <w:szCs w:val="28"/>
                <w:highlight w:val="none"/>
              </w:rPr>
            </w:pPr>
            <w:r>
              <w:rPr>
                <w:rFonts w:hint="eastAsia" w:ascii="宋体" w:hAnsi="宋体"/>
                <w:color w:val="auto"/>
                <w:sz w:val="28"/>
                <w:szCs w:val="28"/>
                <w:highlight w:val="none"/>
              </w:rPr>
              <w:t>7</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MingLiU"/>
                <w:color w:val="auto"/>
                <w:sz w:val="28"/>
                <w:szCs w:val="28"/>
                <w:highlight w:val="none"/>
              </w:rPr>
            </w:pPr>
            <w:r>
              <w:rPr>
                <w:rFonts w:hint="eastAsia" w:ascii="宋体" w:hAnsi="宋体"/>
                <w:b/>
                <w:color w:val="auto"/>
                <w:sz w:val="28"/>
                <w:szCs w:val="28"/>
                <w:highlight w:val="none"/>
              </w:rPr>
              <w:t>★</w:t>
            </w:r>
            <w:r>
              <w:rPr>
                <w:rFonts w:hint="eastAsia" w:ascii="宋体" w:hAnsi="宋体" w:cs="MingLiU"/>
                <w:color w:val="auto"/>
                <w:sz w:val="28"/>
                <w:szCs w:val="28"/>
                <w:highlight w:val="none"/>
              </w:rPr>
              <w:t>履约保证金</w:t>
            </w:r>
          </w:p>
        </w:tc>
        <w:tc>
          <w:tcPr>
            <w:tcW w:w="5954" w:type="dxa"/>
            <w:tcBorders>
              <w:top w:val="single" w:color="auto" w:sz="4" w:space="0"/>
              <w:left w:val="nil"/>
              <w:bottom w:val="single" w:color="auto" w:sz="4" w:space="0"/>
              <w:right w:val="single" w:color="auto" w:sz="4" w:space="0"/>
            </w:tcBorders>
            <w:vAlign w:val="center"/>
          </w:tcPr>
          <w:p>
            <w:pPr>
              <w:tabs>
                <w:tab w:val="left" w:pos="1134"/>
              </w:tabs>
              <w:snapToGrid w:val="0"/>
              <w:spacing w:line="620" w:lineRule="exact"/>
              <w:rPr>
                <w:rFonts w:hint="eastAsia" w:ascii="宋体" w:hAnsi="宋体"/>
                <w:color w:val="auto"/>
                <w:sz w:val="28"/>
                <w:szCs w:val="28"/>
                <w:highlight w:val="none"/>
                <w:lang w:val="zh-CN"/>
              </w:rPr>
            </w:pPr>
            <w:r>
              <w:rPr>
                <w:rFonts w:hint="eastAsia" w:ascii="宋体" w:hAnsi="宋体"/>
                <w:color w:val="auto"/>
                <w:sz w:val="28"/>
                <w:szCs w:val="28"/>
                <w:highlight w:val="none"/>
                <w:lang w:val="en-US" w:eastAsia="zh-CN"/>
              </w:rPr>
              <w:t>1、</w:t>
            </w:r>
            <w:r>
              <w:rPr>
                <w:rFonts w:hint="eastAsia" w:ascii="宋体" w:hAnsi="宋体"/>
                <w:color w:val="auto"/>
                <w:sz w:val="28"/>
                <w:szCs w:val="28"/>
                <w:highlight w:val="none"/>
                <w:lang w:val="zh-CN"/>
              </w:rPr>
              <w:t>履约保证金</w:t>
            </w:r>
            <w:r>
              <w:rPr>
                <w:rFonts w:hint="eastAsia" w:ascii="宋体" w:hAnsi="宋体"/>
                <w:color w:val="auto"/>
                <w:sz w:val="28"/>
                <w:szCs w:val="28"/>
                <w:highlight w:val="none"/>
                <w:lang w:val="en-US" w:eastAsia="zh-CN"/>
              </w:rPr>
              <w:t>为成交</w:t>
            </w:r>
            <w:r>
              <w:rPr>
                <w:rFonts w:hint="eastAsia" w:ascii="宋体" w:hAnsi="宋体"/>
                <w:color w:val="auto"/>
                <w:sz w:val="28"/>
                <w:szCs w:val="28"/>
                <w:highlight w:val="none"/>
                <w:lang w:val="zh-CN"/>
              </w:rPr>
              <w:t xml:space="preserve">金额的 </w:t>
            </w:r>
            <w:r>
              <w:rPr>
                <w:rFonts w:hint="eastAsia" w:ascii="宋体" w:hAnsi="宋体"/>
                <w:color w:val="auto"/>
                <w:sz w:val="28"/>
                <w:szCs w:val="28"/>
                <w:highlight w:val="none"/>
                <w:lang w:val="en-US" w:eastAsia="zh-CN"/>
              </w:rPr>
              <w:t>10</w:t>
            </w:r>
            <w:r>
              <w:rPr>
                <w:rFonts w:hint="eastAsia" w:ascii="宋体" w:hAnsi="宋体"/>
                <w:color w:val="auto"/>
                <w:sz w:val="28"/>
                <w:szCs w:val="28"/>
                <w:highlight w:val="none"/>
                <w:lang w:val="zh-CN"/>
              </w:rPr>
              <w:t xml:space="preserve"> %；</w:t>
            </w:r>
          </w:p>
          <w:p>
            <w:pPr>
              <w:tabs>
                <w:tab w:val="left" w:pos="1134"/>
              </w:tabs>
              <w:snapToGrid w:val="0"/>
              <w:spacing w:line="620" w:lineRule="exact"/>
              <w:rPr>
                <w:rFonts w:hint="eastAsia" w:ascii="宋体" w:hAnsi="宋体"/>
                <w:color w:val="auto"/>
                <w:sz w:val="28"/>
                <w:szCs w:val="28"/>
                <w:highlight w:val="none"/>
                <w:lang w:val="zh-CN"/>
              </w:rPr>
            </w:pPr>
            <w:r>
              <w:rPr>
                <w:rFonts w:hint="eastAsia" w:ascii="宋体" w:hAnsi="宋体"/>
                <w:color w:val="auto"/>
                <w:sz w:val="28"/>
                <w:szCs w:val="28"/>
                <w:highlight w:val="none"/>
                <w:lang w:val="en-US" w:eastAsia="zh-CN"/>
              </w:rPr>
              <w:t>2、</w:t>
            </w:r>
            <w:r>
              <w:rPr>
                <w:rFonts w:hint="eastAsia" w:ascii="宋体" w:hAnsi="宋体"/>
                <w:color w:val="auto"/>
                <w:sz w:val="28"/>
                <w:szCs w:val="28"/>
                <w:highlight w:val="none"/>
                <w:lang w:val="zh-CN"/>
              </w:rPr>
              <w:t>供应商交纳时间</w:t>
            </w:r>
            <w:r>
              <w:rPr>
                <w:rFonts w:hint="eastAsia" w:ascii="宋体" w:hAnsi="宋体"/>
                <w:color w:val="auto"/>
                <w:sz w:val="28"/>
                <w:szCs w:val="28"/>
                <w:highlight w:val="none"/>
                <w:lang w:val="en-US" w:eastAsia="zh-CN"/>
              </w:rPr>
              <w:t>履约保证金为</w:t>
            </w:r>
            <w:r>
              <w:rPr>
                <w:rFonts w:hint="eastAsia" w:ascii="宋体" w:hAnsi="宋体"/>
                <w:color w:val="auto"/>
                <w:sz w:val="28"/>
                <w:szCs w:val="28"/>
                <w:highlight w:val="none"/>
                <w:lang w:val="zh-CN"/>
              </w:rPr>
              <w:t>成交通知书发放后，签订施工合同之前；</w:t>
            </w:r>
          </w:p>
          <w:p>
            <w:pPr>
              <w:tabs>
                <w:tab w:val="left" w:pos="1134"/>
              </w:tabs>
              <w:snapToGrid w:val="0"/>
              <w:spacing w:line="620" w:lineRule="exact"/>
              <w:rPr>
                <w:rFonts w:ascii="宋体" w:hAnsi="宋体"/>
                <w:b/>
                <w:color w:val="auto"/>
                <w:sz w:val="28"/>
                <w:szCs w:val="28"/>
                <w:highlight w:val="none"/>
              </w:rPr>
            </w:pPr>
            <w:r>
              <w:rPr>
                <w:rFonts w:hint="eastAsia" w:ascii="宋体" w:hAnsi="宋体"/>
                <w:color w:val="auto"/>
                <w:sz w:val="28"/>
                <w:szCs w:val="28"/>
                <w:highlight w:val="none"/>
                <w:lang w:val="en-US" w:eastAsia="zh-CN"/>
              </w:rPr>
              <w:t>3、</w:t>
            </w:r>
            <w:r>
              <w:rPr>
                <w:rFonts w:hint="eastAsia" w:ascii="宋体" w:hAnsi="宋体"/>
                <w:color w:val="auto"/>
                <w:sz w:val="28"/>
                <w:szCs w:val="28"/>
                <w:highlight w:val="none"/>
                <w:lang w:val="zh-CN"/>
              </w:rPr>
              <w:t>采购人验收后5个日历天内一次性退还 。</w:t>
            </w:r>
          </w:p>
        </w:tc>
      </w:tr>
      <w:tr>
        <w:tblPrEx>
          <w:tblLayout w:type="fixed"/>
          <w:tblCellMar>
            <w:top w:w="0" w:type="dxa"/>
            <w:left w:w="108" w:type="dxa"/>
            <w:bottom w:w="0" w:type="dxa"/>
            <w:right w:w="108" w:type="dxa"/>
          </w:tblCellMar>
        </w:tblPrEx>
        <w:trPr>
          <w:trHeight w:val="604"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hint="eastAsia" w:ascii="宋体" w:hAnsi="宋体" w:eastAsia="宋体"/>
                <w:color w:val="auto"/>
                <w:sz w:val="28"/>
                <w:szCs w:val="28"/>
                <w:highlight w:val="none"/>
                <w:lang w:val="en-US" w:eastAsia="zh-CN"/>
              </w:rPr>
            </w:pPr>
            <w:r>
              <w:rPr>
                <w:rFonts w:hint="eastAsia" w:ascii="宋体" w:hAnsi="宋体"/>
                <w:color w:val="auto"/>
                <w:sz w:val="28"/>
                <w:szCs w:val="28"/>
                <w:highlight w:val="none"/>
                <w:lang w:val="en-US" w:eastAsia="zh-CN"/>
              </w:rPr>
              <w:t>8</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宋体" w:hAnsi="宋体" w:eastAsia="宋体"/>
                <w:b/>
                <w:color w:val="auto"/>
                <w:sz w:val="28"/>
                <w:szCs w:val="28"/>
                <w:highlight w:val="none"/>
                <w:lang w:eastAsia="zh-CN"/>
              </w:rPr>
            </w:pPr>
            <w:r>
              <w:rPr>
                <w:rFonts w:hint="eastAsia" w:ascii="宋体" w:hAnsi="宋体"/>
                <w:b/>
                <w:color w:val="auto"/>
                <w:sz w:val="28"/>
                <w:szCs w:val="28"/>
                <w:highlight w:val="none"/>
              </w:rPr>
              <w:t>★</w:t>
            </w:r>
            <w:r>
              <w:rPr>
                <w:rFonts w:hint="eastAsia" w:ascii="宋体" w:hAnsi="宋体"/>
                <w:b/>
                <w:color w:val="auto"/>
                <w:sz w:val="28"/>
                <w:szCs w:val="28"/>
                <w:highlight w:val="none"/>
                <w:lang w:eastAsia="zh-CN"/>
              </w:rPr>
              <w:t>质量保证金</w:t>
            </w:r>
          </w:p>
        </w:tc>
        <w:tc>
          <w:tcPr>
            <w:tcW w:w="5954" w:type="dxa"/>
            <w:tcBorders>
              <w:top w:val="single" w:color="auto" w:sz="4" w:space="0"/>
              <w:left w:val="nil"/>
              <w:bottom w:val="single" w:color="auto" w:sz="4" w:space="0"/>
              <w:right w:val="single" w:color="auto" w:sz="4" w:space="0"/>
            </w:tcBorders>
            <w:vAlign w:val="center"/>
          </w:tcPr>
          <w:p>
            <w:pPr>
              <w:tabs>
                <w:tab w:val="left" w:pos="1134"/>
              </w:tabs>
              <w:snapToGrid w:val="0"/>
              <w:spacing w:line="620" w:lineRule="exact"/>
              <w:rPr>
                <w:rFonts w:hint="eastAsia" w:ascii="宋体" w:hAnsi="宋体"/>
                <w:color w:val="auto"/>
                <w:sz w:val="28"/>
                <w:szCs w:val="28"/>
                <w:highlight w:val="none"/>
                <w:lang w:val="zh-CN"/>
              </w:rPr>
            </w:pPr>
            <w:r>
              <w:rPr>
                <w:rFonts w:hint="eastAsia" w:ascii="宋体" w:hAnsi="宋体"/>
                <w:color w:val="auto"/>
                <w:sz w:val="28"/>
                <w:szCs w:val="28"/>
                <w:highlight w:val="none"/>
                <w:lang w:val="en-US" w:eastAsia="zh-CN"/>
              </w:rPr>
              <w:t>1、</w:t>
            </w:r>
            <w:r>
              <w:rPr>
                <w:rFonts w:hint="eastAsia" w:ascii="宋体" w:hAnsi="宋体"/>
                <w:color w:val="auto"/>
                <w:sz w:val="28"/>
                <w:szCs w:val="28"/>
                <w:highlight w:val="none"/>
                <w:lang w:val="zh-CN"/>
              </w:rPr>
              <w:t xml:space="preserve"> 质量保证金金额:质量保证金为履约验收后确认金额的3%。</w:t>
            </w:r>
          </w:p>
          <w:p>
            <w:pPr>
              <w:tabs>
                <w:tab w:val="left" w:pos="1134"/>
              </w:tabs>
              <w:snapToGrid w:val="0"/>
              <w:spacing w:line="620" w:lineRule="exact"/>
              <w:rPr>
                <w:rFonts w:hint="eastAsia" w:ascii="宋体" w:hAnsi="宋体"/>
                <w:color w:val="auto"/>
                <w:sz w:val="28"/>
                <w:szCs w:val="28"/>
                <w:highlight w:val="none"/>
                <w:lang w:val="zh-CN"/>
              </w:rPr>
            </w:pPr>
            <w:r>
              <w:rPr>
                <w:rFonts w:hint="eastAsia" w:ascii="宋体" w:hAnsi="宋体"/>
                <w:color w:val="auto"/>
                <w:sz w:val="28"/>
                <w:szCs w:val="28"/>
                <w:highlight w:val="none"/>
                <w:lang w:val="en-US" w:eastAsia="zh-CN"/>
              </w:rPr>
              <w:t>2、</w:t>
            </w:r>
            <w:r>
              <w:rPr>
                <w:rFonts w:hint="eastAsia" w:ascii="宋体" w:hAnsi="宋体"/>
                <w:color w:val="auto"/>
                <w:sz w:val="28"/>
                <w:szCs w:val="28"/>
                <w:highlight w:val="none"/>
                <w:lang w:val="zh-CN"/>
              </w:rPr>
              <w:t>交款方式: 质量保证金以支票、汇票、本票或者金融机构出具的保函等非现金形式缴纳。</w:t>
            </w:r>
          </w:p>
          <w:p>
            <w:pPr>
              <w:tabs>
                <w:tab w:val="left" w:pos="1134"/>
              </w:tabs>
              <w:snapToGrid w:val="0"/>
              <w:spacing w:line="620" w:lineRule="exact"/>
              <w:rPr>
                <w:rFonts w:hint="eastAsia" w:ascii="宋体" w:hAnsi="宋体"/>
                <w:color w:val="auto"/>
                <w:sz w:val="28"/>
                <w:szCs w:val="28"/>
                <w:highlight w:val="none"/>
                <w:lang w:val="zh-CN"/>
              </w:rPr>
            </w:pPr>
            <w:r>
              <w:rPr>
                <w:rFonts w:hint="eastAsia" w:ascii="宋体" w:hAnsi="宋体"/>
                <w:color w:val="auto"/>
                <w:sz w:val="28"/>
                <w:szCs w:val="28"/>
                <w:highlight w:val="none"/>
                <w:lang w:val="en-US" w:eastAsia="zh-CN"/>
              </w:rPr>
              <w:t>3、</w:t>
            </w:r>
            <w:r>
              <w:rPr>
                <w:rFonts w:hint="eastAsia" w:ascii="宋体" w:hAnsi="宋体"/>
                <w:color w:val="auto"/>
                <w:sz w:val="28"/>
                <w:szCs w:val="28"/>
                <w:highlight w:val="none"/>
                <w:lang w:val="zh-CN"/>
              </w:rPr>
              <w:t>交款时间:由施工单位在申请第三笔付款时先行支付给项目业主。</w:t>
            </w:r>
          </w:p>
          <w:p>
            <w:pPr>
              <w:tabs>
                <w:tab w:val="left" w:pos="1134"/>
              </w:tabs>
              <w:snapToGrid w:val="0"/>
              <w:spacing w:line="620" w:lineRule="exact"/>
              <w:rPr>
                <w:rFonts w:hint="eastAsia" w:ascii="宋体" w:hAnsi="宋体"/>
                <w:color w:val="auto"/>
                <w:sz w:val="28"/>
                <w:szCs w:val="28"/>
                <w:highlight w:val="none"/>
                <w:lang w:val="en-US" w:eastAsia="zh-CN"/>
              </w:rPr>
            </w:pPr>
            <w:r>
              <w:rPr>
                <w:rFonts w:hint="eastAsia" w:ascii="宋体" w:hAnsi="宋体"/>
                <w:color w:val="auto"/>
                <w:sz w:val="28"/>
                <w:szCs w:val="28"/>
                <w:highlight w:val="none"/>
                <w:lang w:val="en-US" w:eastAsia="zh-CN"/>
              </w:rPr>
              <w:t>4、</w:t>
            </w:r>
            <w:r>
              <w:rPr>
                <w:rFonts w:hint="eastAsia" w:ascii="宋体" w:hAnsi="宋体"/>
                <w:color w:val="auto"/>
                <w:sz w:val="28"/>
                <w:szCs w:val="28"/>
                <w:highlight w:val="none"/>
                <w:lang w:val="zh-CN"/>
              </w:rPr>
              <w:t>质量保证金退还: 质保期为是2年，防水为5年，待质保期满验收无质量问题后，项目业主把质量保金按期退还给施工单位。</w:t>
            </w:r>
          </w:p>
        </w:tc>
      </w:tr>
      <w:tr>
        <w:tblPrEx>
          <w:tblLayout w:type="fixed"/>
          <w:tblCellMar>
            <w:top w:w="0" w:type="dxa"/>
            <w:left w:w="108" w:type="dxa"/>
            <w:bottom w:w="0" w:type="dxa"/>
            <w:right w:w="108" w:type="dxa"/>
          </w:tblCellMar>
        </w:tblPrEx>
        <w:trPr>
          <w:trHeight w:val="698"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hint="eastAsia" w:ascii="宋体" w:hAnsi="宋体" w:eastAsia="宋体"/>
                <w:color w:val="auto"/>
                <w:sz w:val="28"/>
                <w:szCs w:val="28"/>
                <w:highlight w:val="none"/>
                <w:lang w:val="en-US" w:eastAsia="zh-CN"/>
              </w:rPr>
            </w:pPr>
            <w:r>
              <w:rPr>
                <w:rFonts w:hint="eastAsia" w:ascii="宋体" w:hAnsi="宋体"/>
                <w:color w:val="auto"/>
                <w:sz w:val="28"/>
                <w:szCs w:val="28"/>
                <w:highlight w:val="none"/>
                <w:lang w:val="en-US" w:eastAsia="zh-CN"/>
              </w:rPr>
              <w:t>9</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宋体" w:hAnsi="宋体"/>
                <w:b/>
                <w:color w:val="auto"/>
                <w:sz w:val="28"/>
                <w:szCs w:val="28"/>
                <w:highlight w:val="none"/>
              </w:rPr>
            </w:pPr>
            <w:r>
              <w:rPr>
                <w:rFonts w:hint="eastAsia" w:ascii="宋体" w:hAnsi="宋体"/>
                <w:b/>
                <w:color w:val="auto"/>
                <w:sz w:val="28"/>
                <w:szCs w:val="28"/>
                <w:highlight w:val="none"/>
              </w:rPr>
              <w:t>★</w:t>
            </w:r>
            <w:r>
              <w:rPr>
                <w:rFonts w:hint="eastAsia" w:ascii="宋体" w:hAnsi="宋体" w:cs="MingLiU"/>
                <w:color w:val="auto"/>
                <w:sz w:val="28"/>
                <w:szCs w:val="28"/>
                <w:highlight w:val="none"/>
              </w:rPr>
              <w:t>付款方式</w:t>
            </w:r>
          </w:p>
        </w:tc>
        <w:tc>
          <w:tcPr>
            <w:tcW w:w="5954" w:type="dxa"/>
            <w:tcBorders>
              <w:top w:val="single" w:color="auto" w:sz="4" w:space="0"/>
              <w:left w:val="nil"/>
              <w:bottom w:val="single" w:color="auto" w:sz="4" w:space="0"/>
              <w:right w:val="single" w:color="auto" w:sz="4" w:space="0"/>
            </w:tcBorders>
            <w:vAlign w:val="center"/>
          </w:tcPr>
          <w:p>
            <w:pPr>
              <w:adjustRightInd w:val="0"/>
              <w:snapToGrid w:val="0"/>
              <w:spacing w:line="240" w:lineRule="atLeast"/>
              <w:jc w:val="left"/>
              <w:rPr>
                <w:rFonts w:ascii="宋体" w:hAnsi="宋体" w:eastAsia="宋体" w:cs="宋体"/>
                <w:color w:val="auto"/>
                <w:sz w:val="24"/>
                <w:szCs w:val="24"/>
                <w:highlight w:val="none"/>
              </w:rPr>
            </w:pPr>
            <w:r>
              <w:rPr>
                <w:rFonts w:hint="eastAsia" w:ascii="宋体" w:hAnsi="宋体"/>
                <w:color w:val="auto"/>
                <w:sz w:val="28"/>
                <w:szCs w:val="28"/>
                <w:highlight w:val="none"/>
                <w:lang w:val="zh-CN"/>
              </w:rPr>
              <w:t>签订施工合同并进场施工，支付合同金额30%的预付款；工程竣工验收合格，支付合同金额40%的工程款；工程竣工结算审计后，支付至审定金额97%的工程款；审计总额的3%预留质量保证金，质保期满验收无质量问题后支付。所有工程款支付，成交供应商必须提供正规票据后，方可付款。</w:t>
            </w:r>
          </w:p>
        </w:tc>
      </w:tr>
      <w:tr>
        <w:tblPrEx>
          <w:tblLayout w:type="fixed"/>
          <w:tblCellMar>
            <w:top w:w="0" w:type="dxa"/>
            <w:left w:w="108" w:type="dxa"/>
            <w:bottom w:w="0" w:type="dxa"/>
            <w:right w:w="108" w:type="dxa"/>
          </w:tblCellMar>
        </w:tblPrEx>
        <w:trPr>
          <w:trHeight w:val="698"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仿宋"/>
                <w:color w:val="auto"/>
                <w:sz w:val="28"/>
                <w:szCs w:val="28"/>
                <w:highlight w:val="none"/>
              </w:rPr>
            </w:pPr>
            <w:r>
              <w:rPr>
                <w:rFonts w:hint="eastAsia" w:ascii="宋体" w:hAnsi="宋体" w:cs="仿宋"/>
                <w:color w:val="auto"/>
                <w:sz w:val="28"/>
                <w:szCs w:val="28"/>
                <w:highlight w:val="none"/>
              </w:rPr>
              <w:t>10</w:t>
            </w:r>
          </w:p>
        </w:tc>
        <w:tc>
          <w:tcPr>
            <w:tcW w:w="2066" w:type="dxa"/>
            <w:tcBorders>
              <w:top w:val="single" w:color="auto" w:sz="4" w:space="0"/>
              <w:left w:val="nil"/>
              <w:bottom w:val="single" w:color="auto" w:sz="4" w:space="0"/>
              <w:right w:val="single" w:color="auto" w:sz="4" w:space="0"/>
            </w:tcBorders>
            <w:vAlign w:val="center"/>
          </w:tcPr>
          <w:p>
            <w:pPr>
              <w:pStyle w:val="4"/>
              <w:numPr>
                <w:numId w:val="0"/>
              </w:numPr>
              <w:tabs>
                <w:tab w:val="left" w:pos="0"/>
                <w:tab w:val="left" w:pos="786"/>
              </w:tabs>
              <w:spacing w:before="260" w:after="260" w:line="416" w:lineRule="auto"/>
              <w:ind w:leftChars="0"/>
              <w:rPr>
                <w:rFonts w:hint="eastAsia" w:cs="仿宋" w:asciiTheme="minorEastAsia" w:hAnsiTheme="minorEastAsia" w:eastAsiaTheme="minorEastAsia"/>
                <w:b/>
                <w:bCs w:val="0"/>
                <w:color w:val="auto"/>
                <w:highlight w:val="none"/>
              </w:rPr>
            </w:pPr>
            <w:bookmarkStart w:id="78" w:name="_Toc4535"/>
            <w:r>
              <w:rPr>
                <w:rFonts w:hint="eastAsia" w:cs="仿宋" w:asciiTheme="minorEastAsia" w:hAnsiTheme="minorEastAsia" w:eastAsiaTheme="minorEastAsia"/>
                <w:b/>
                <w:bCs w:val="0"/>
                <w:color w:val="auto"/>
                <w:highlight w:val="none"/>
              </w:rPr>
              <w:t>★质保期</w:t>
            </w:r>
            <w:bookmarkEnd w:id="78"/>
          </w:p>
        </w:tc>
        <w:tc>
          <w:tcPr>
            <w:tcW w:w="5954" w:type="dxa"/>
            <w:tcBorders>
              <w:top w:val="single" w:color="auto" w:sz="4" w:space="0"/>
              <w:left w:val="nil"/>
              <w:bottom w:val="single" w:color="auto" w:sz="4" w:space="0"/>
              <w:right w:val="single" w:color="auto" w:sz="4" w:space="0"/>
            </w:tcBorders>
            <w:vAlign w:val="center"/>
          </w:tcPr>
          <w:p>
            <w:pPr>
              <w:pStyle w:val="4"/>
              <w:numPr>
                <w:numId w:val="0"/>
              </w:numPr>
              <w:tabs>
                <w:tab w:val="left" w:pos="0"/>
                <w:tab w:val="left" w:pos="786"/>
              </w:tabs>
              <w:spacing w:before="260" w:after="260" w:line="416" w:lineRule="auto"/>
              <w:ind w:leftChars="0"/>
              <w:rPr>
                <w:rFonts w:hint="eastAsia" w:cs="仿宋" w:asciiTheme="minorEastAsia" w:hAnsiTheme="minorEastAsia" w:eastAsiaTheme="minorEastAsia"/>
                <w:b/>
                <w:bCs w:val="0"/>
                <w:color w:val="auto"/>
                <w:highlight w:val="none"/>
              </w:rPr>
            </w:pPr>
            <w:bookmarkStart w:id="79" w:name="_Toc503"/>
            <w:r>
              <w:rPr>
                <w:rFonts w:hint="eastAsia" w:cs="仿宋" w:asciiTheme="minorEastAsia" w:hAnsiTheme="minorEastAsia" w:eastAsiaTheme="minorEastAsia"/>
                <w:b/>
                <w:bCs w:val="0"/>
                <w:color w:val="auto"/>
                <w:highlight w:val="none"/>
                <w:lang w:val="en-US" w:eastAsia="zh-CN"/>
              </w:rPr>
              <w:t>2</w:t>
            </w:r>
            <w:r>
              <w:rPr>
                <w:rFonts w:hint="eastAsia" w:cs="仿宋" w:asciiTheme="minorEastAsia" w:hAnsiTheme="minorEastAsia" w:eastAsiaTheme="minorEastAsia"/>
                <w:b/>
                <w:bCs w:val="0"/>
                <w:color w:val="auto"/>
                <w:highlight w:val="none"/>
                <w:lang w:val="zh-CN" w:eastAsia="zh-CN"/>
              </w:rPr>
              <w:t>年</w:t>
            </w:r>
            <w:bookmarkEnd w:id="79"/>
          </w:p>
        </w:tc>
      </w:tr>
    </w:tbl>
    <w:p>
      <w:pPr>
        <w:pStyle w:val="4"/>
        <w:tabs>
          <w:tab w:val="left" w:pos="0"/>
          <w:tab w:val="left" w:pos="786"/>
        </w:tabs>
        <w:spacing w:before="260" w:after="260" w:line="416" w:lineRule="auto"/>
        <w:ind w:left="0" w:firstLine="0"/>
        <w:rPr>
          <w:rFonts w:cs="仿宋" w:asciiTheme="minorEastAsia" w:hAnsiTheme="minorEastAsia" w:eastAsiaTheme="minorEastAsia"/>
          <w:b w:val="0"/>
          <w:color w:val="auto"/>
          <w:highlight w:val="none"/>
        </w:rPr>
      </w:pPr>
      <w:r>
        <w:rPr>
          <w:rFonts w:hint="eastAsia" w:cs="仿宋" w:asciiTheme="minorEastAsia" w:hAnsiTheme="minorEastAsia" w:eastAsiaTheme="minorEastAsia"/>
          <w:b w:val="0"/>
          <w:color w:val="auto"/>
          <w:highlight w:val="none"/>
        </w:rPr>
        <w:t xml:space="preserve"> </w:t>
      </w:r>
      <w:bookmarkStart w:id="80" w:name="_Toc29455"/>
      <w:r>
        <w:rPr>
          <w:rFonts w:hint="eastAsia" w:ascii="仿宋" w:hAnsi="仿宋" w:eastAsia="仿宋"/>
          <w:b/>
          <w:color w:val="auto"/>
          <w:highlight w:val="none"/>
        </w:rPr>
        <w:t>★</w:t>
      </w:r>
      <w:r>
        <w:rPr>
          <w:rFonts w:hint="eastAsia" w:cs="仿宋" w:asciiTheme="minorEastAsia" w:hAnsiTheme="minorEastAsia" w:eastAsiaTheme="minorEastAsia"/>
          <w:b/>
          <w:bCs w:val="0"/>
          <w:color w:val="auto"/>
          <w:highlight w:val="none"/>
        </w:rPr>
        <w:t>漏项工程处理</w:t>
      </w:r>
      <w:bookmarkEnd w:id="80"/>
    </w:p>
    <w:p>
      <w:pPr>
        <w:tabs>
          <w:tab w:val="left" w:pos="1134"/>
        </w:tabs>
        <w:snapToGrid w:val="0"/>
        <w:spacing w:line="620" w:lineRule="exact"/>
        <w:ind w:firstLine="565" w:firstLineChars="202"/>
        <w:rPr>
          <w:rFonts w:hint="eastAsia" w:ascii="宋体" w:hAnsi="宋体"/>
          <w:color w:val="auto"/>
          <w:sz w:val="28"/>
          <w:szCs w:val="28"/>
          <w:highlight w:val="none"/>
        </w:rPr>
      </w:pPr>
      <w:r>
        <w:rPr>
          <w:rFonts w:hint="eastAsia" w:ascii="宋体" w:hAnsi="宋体"/>
          <w:color w:val="auto"/>
          <w:sz w:val="28"/>
          <w:szCs w:val="28"/>
          <w:highlight w:val="none"/>
        </w:rPr>
        <w:t>施工过程中，发现工程量清单存在漏项工程的，该漏项工程作为本项目本章采购需求的组成部分，采购人和供应商可以按照《中华人民共和国政府采购法》的规定签订不超过成交金额百分之十的补充合同。</w:t>
      </w:r>
    </w:p>
    <w:p>
      <w:pPr>
        <w:pStyle w:val="4"/>
        <w:tabs>
          <w:tab w:val="left" w:pos="0"/>
          <w:tab w:val="left" w:pos="786"/>
        </w:tabs>
        <w:spacing w:before="260" w:after="260" w:line="416" w:lineRule="auto"/>
        <w:ind w:left="0" w:firstLine="0"/>
        <w:rPr>
          <w:rFonts w:hint="eastAsia" w:cs="仿宋" w:asciiTheme="minorEastAsia" w:hAnsiTheme="minorEastAsia" w:eastAsiaTheme="minorEastAsia"/>
          <w:b/>
          <w:bCs w:val="0"/>
          <w:color w:val="auto"/>
          <w:highlight w:val="none"/>
          <w:lang w:eastAsia="zh-CN"/>
        </w:rPr>
      </w:pPr>
      <w:r>
        <w:rPr>
          <w:rFonts w:hint="eastAsia" w:ascii="仿宋" w:hAnsi="仿宋" w:eastAsia="仿宋" w:cs="仿宋"/>
          <w:color w:val="auto"/>
          <w:sz w:val="24"/>
          <w:highlight w:val="none"/>
        </w:rPr>
        <w:t xml:space="preserve"> </w:t>
      </w:r>
      <w:bookmarkStart w:id="81" w:name="_Toc18284"/>
      <w:r>
        <w:rPr>
          <w:rFonts w:hint="eastAsia" w:ascii="仿宋" w:hAnsi="仿宋" w:eastAsia="仿宋"/>
          <w:b/>
          <w:color w:val="auto"/>
          <w:highlight w:val="none"/>
        </w:rPr>
        <w:t>★</w:t>
      </w:r>
      <w:r>
        <w:rPr>
          <w:rFonts w:hint="eastAsia" w:cs="仿宋" w:asciiTheme="minorEastAsia" w:hAnsiTheme="minorEastAsia" w:eastAsiaTheme="minorEastAsia"/>
          <w:b/>
          <w:bCs w:val="0"/>
          <w:color w:val="auto"/>
          <w:highlight w:val="none"/>
          <w:lang w:eastAsia="zh-CN"/>
        </w:rPr>
        <w:t>工程量清单及图纸</w:t>
      </w:r>
      <w:bookmarkEnd w:id="81"/>
    </w:p>
    <w:p>
      <w:pPr>
        <w:widowControl w:val="0"/>
        <w:tabs>
          <w:tab w:val="left" w:pos="1134"/>
        </w:tabs>
        <w:snapToGrid w:val="0"/>
        <w:spacing w:line="620" w:lineRule="exact"/>
        <w:ind w:firstLine="565" w:firstLineChars="202"/>
        <w:jc w:val="both"/>
        <w:rPr>
          <w:color w:val="auto"/>
          <w:highlight w:val="none"/>
        </w:rPr>
      </w:pPr>
      <w:r>
        <w:rPr>
          <w:rFonts w:hint="eastAsia" w:ascii="宋体" w:hAnsi="宋体"/>
          <w:color w:val="auto"/>
          <w:sz w:val="28"/>
          <w:szCs w:val="28"/>
          <w:highlight w:val="none"/>
        </w:rPr>
        <w:t>根据工程量清单、工程量清单编制说明、设计图纸进行施工。工程施工应满足当地建设行政主管部门对工程建设的有关规定，并按经批准的施工组织设计实施，并要符合施工规范及验收标准的相关要求。</w:t>
      </w:r>
    </w:p>
    <w:p>
      <w:pPr>
        <w:pStyle w:val="4"/>
        <w:tabs>
          <w:tab w:val="left" w:pos="0"/>
          <w:tab w:val="left" w:pos="786"/>
        </w:tabs>
        <w:spacing w:before="260" w:after="260" w:line="416" w:lineRule="auto"/>
        <w:ind w:left="0" w:firstLine="0"/>
        <w:rPr>
          <w:rFonts w:ascii="仿宋" w:hAnsi="仿宋" w:eastAsia="仿宋" w:cs="仿宋"/>
          <w:color w:val="auto"/>
          <w:sz w:val="24"/>
          <w:highlight w:val="none"/>
        </w:rPr>
      </w:pPr>
      <w:bookmarkStart w:id="82" w:name="_Toc19419"/>
      <w:r>
        <w:rPr>
          <w:rFonts w:hint="eastAsia" w:ascii="仿宋" w:hAnsi="仿宋" w:eastAsia="仿宋"/>
          <w:b/>
          <w:color w:val="auto"/>
          <w:highlight w:val="none"/>
        </w:rPr>
        <w:t>★</w:t>
      </w:r>
      <w:r>
        <w:rPr>
          <w:rFonts w:hint="eastAsia" w:cs="仿宋" w:asciiTheme="minorEastAsia" w:hAnsiTheme="minorEastAsia" w:eastAsiaTheme="minorEastAsia"/>
          <w:b/>
          <w:bCs w:val="0"/>
          <w:color w:val="auto"/>
          <w:highlight w:val="none"/>
          <w:lang w:eastAsia="zh-CN"/>
        </w:rPr>
        <w:t>工程质量</w:t>
      </w:r>
      <w:bookmarkEnd w:id="82"/>
    </w:p>
    <w:p>
      <w:pPr>
        <w:tabs>
          <w:tab w:val="left" w:pos="1134"/>
        </w:tabs>
        <w:snapToGrid w:val="0"/>
        <w:spacing w:line="620" w:lineRule="exact"/>
        <w:rPr>
          <w:rFonts w:hint="eastAsia" w:ascii="宋体" w:hAnsi="宋体"/>
          <w:color w:val="auto"/>
          <w:sz w:val="28"/>
          <w:szCs w:val="28"/>
          <w:highlight w:val="none"/>
          <w:lang w:val="en-US" w:eastAsia="zh-CN"/>
        </w:rPr>
      </w:pPr>
      <w:r>
        <w:rPr>
          <w:rFonts w:hint="eastAsia" w:ascii="宋体" w:hAnsi="宋体"/>
          <w:color w:val="auto"/>
          <w:sz w:val="28"/>
          <w:szCs w:val="28"/>
          <w:highlight w:val="none"/>
          <w:lang w:val="en-US" w:eastAsia="zh-CN"/>
        </w:rPr>
        <w:t xml:space="preserve">    </w:t>
      </w:r>
      <w:r>
        <w:rPr>
          <w:rFonts w:hint="eastAsia" w:ascii="宋体" w:hAnsi="宋体"/>
          <w:color w:val="auto"/>
          <w:sz w:val="28"/>
          <w:szCs w:val="28"/>
          <w:highlight w:val="none"/>
        </w:rPr>
        <w:t>供应商针对本项目的施工，</w:t>
      </w:r>
      <w:r>
        <w:rPr>
          <w:rFonts w:hint="eastAsia" w:ascii="宋体" w:hAnsi="宋体"/>
          <w:color w:val="auto"/>
          <w:sz w:val="28"/>
          <w:szCs w:val="28"/>
          <w:highlight w:val="none"/>
          <w:lang w:eastAsia="zh-CN"/>
        </w:rPr>
        <w:t>满足现行最新质量标准，</w:t>
      </w:r>
      <w:r>
        <w:rPr>
          <w:rFonts w:hint="eastAsia" w:ascii="宋体" w:hAnsi="宋体"/>
          <w:color w:val="auto"/>
          <w:sz w:val="28"/>
          <w:szCs w:val="28"/>
          <w:highlight w:val="none"/>
        </w:rPr>
        <w:t>必须达到国家及行业现行技术规范标准，符合国家及行业验收合格标准</w:t>
      </w:r>
      <w:r>
        <w:rPr>
          <w:rFonts w:hint="eastAsia" w:ascii="宋体" w:hAnsi="宋体"/>
          <w:color w:val="auto"/>
          <w:sz w:val="28"/>
          <w:szCs w:val="28"/>
          <w:highlight w:val="none"/>
          <w:lang w:val="en-US" w:eastAsia="zh-CN"/>
        </w:rPr>
        <w:t>,</w:t>
      </w:r>
      <w:r>
        <w:rPr>
          <w:rFonts w:hint="eastAsia" w:ascii="宋体" w:hAnsi="宋体"/>
          <w:color w:val="auto"/>
          <w:sz w:val="28"/>
          <w:szCs w:val="28"/>
          <w:highlight w:val="none"/>
          <w:lang w:val="zh-CN"/>
        </w:rPr>
        <w:t>《建筑工程施工质量验收统一标准》合格标准</w:t>
      </w:r>
      <w:r>
        <w:rPr>
          <w:rFonts w:hint="eastAsia" w:ascii="宋体" w:hAnsi="宋体"/>
          <w:color w:val="auto"/>
          <w:sz w:val="28"/>
          <w:szCs w:val="28"/>
          <w:highlight w:val="none"/>
        </w:rPr>
        <w:t>。</w:t>
      </w:r>
    </w:p>
    <w:p>
      <w:pPr>
        <w:pStyle w:val="4"/>
        <w:tabs>
          <w:tab w:val="left" w:pos="0"/>
          <w:tab w:val="left" w:pos="786"/>
        </w:tabs>
        <w:spacing w:before="260" w:after="260" w:line="416" w:lineRule="auto"/>
        <w:ind w:left="0" w:firstLine="0"/>
        <w:rPr>
          <w:rFonts w:hint="eastAsia" w:ascii="宋体" w:hAnsi="宋体"/>
          <w:color w:val="auto"/>
          <w:sz w:val="28"/>
          <w:szCs w:val="28"/>
          <w:highlight w:val="none"/>
        </w:rPr>
      </w:pPr>
      <w:r>
        <w:rPr>
          <w:rFonts w:hint="eastAsia" w:cs="仿宋" w:asciiTheme="minorEastAsia" w:hAnsiTheme="minorEastAsia" w:eastAsiaTheme="minorEastAsia"/>
          <w:b w:val="0"/>
          <w:color w:val="auto"/>
          <w:highlight w:val="none"/>
        </w:rPr>
        <w:t xml:space="preserve"> </w:t>
      </w:r>
      <w:bookmarkStart w:id="83" w:name="_Toc4268"/>
      <w:r>
        <w:rPr>
          <w:rFonts w:hint="eastAsia" w:ascii="仿宋" w:hAnsi="仿宋" w:eastAsia="仿宋"/>
          <w:b/>
          <w:bCs/>
          <w:color w:val="auto"/>
          <w:highlight w:val="none"/>
        </w:rPr>
        <w:t>★</w:t>
      </w:r>
      <w:r>
        <w:rPr>
          <w:rFonts w:hint="eastAsia" w:cs="仿宋" w:asciiTheme="minorEastAsia" w:hAnsiTheme="minorEastAsia" w:eastAsiaTheme="minorEastAsia"/>
          <w:b/>
          <w:bCs/>
          <w:color w:val="auto"/>
          <w:highlight w:val="none"/>
          <w:lang w:eastAsia="zh-CN"/>
        </w:rPr>
        <w:t>材料要求</w:t>
      </w:r>
      <w:bookmarkEnd w:id="83"/>
    </w:p>
    <w:p>
      <w:pPr>
        <w:rPr>
          <w:rFonts w:hint="eastAsia" w:ascii="宋体" w:hAnsi="宋体"/>
          <w:color w:val="auto"/>
          <w:sz w:val="28"/>
          <w:szCs w:val="28"/>
          <w:highlight w:val="none"/>
        </w:rPr>
      </w:pPr>
      <w:r>
        <w:rPr>
          <w:rFonts w:hint="eastAsia" w:cs="仿宋" w:asciiTheme="minorEastAsia" w:hAnsiTheme="minorEastAsia" w:eastAsiaTheme="minorEastAsia"/>
          <w:b/>
          <w:bCs/>
          <w:color w:val="auto"/>
          <w:highlight w:val="none"/>
          <w:lang w:val="en-US" w:eastAsia="zh-CN"/>
        </w:rPr>
        <w:t xml:space="preserve"> </w:t>
      </w:r>
      <w:r>
        <w:rPr>
          <w:rFonts w:hint="eastAsia" w:ascii="宋体" w:hAnsi="宋体"/>
          <w:color w:val="auto"/>
          <w:sz w:val="28"/>
          <w:szCs w:val="28"/>
          <w:highlight w:val="none"/>
          <w:lang w:val="en-US" w:eastAsia="zh-CN"/>
        </w:rPr>
        <w:t xml:space="preserve">   </w:t>
      </w:r>
      <w:r>
        <w:rPr>
          <w:rFonts w:hint="eastAsia" w:ascii="宋体" w:hAnsi="宋体"/>
          <w:color w:val="auto"/>
          <w:sz w:val="28"/>
          <w:szCs w:val="28"/>
          <w:highlight w:val="none"/>
          <w:lang w:eastAsia="zh-CN"/>
        </w:rPr>
        <w:t>符合国家相关技术标准。</w:t>
      </w:r>
    </w:p>
    <w:p>
      <w:pPr>
        <w:pStyle w:val="4"/>
        <w:tabs>
          <w:tab w:val="left" w:pos="0"/>
          <w:tab w:val="left" w:pos="786"/>
        </w:tabs>
        <w:spacing w:before="260" w:after="260" w:line="416" w:lineRule="auto"/>
        <w:ind w:left="0" w:firstLine="0"/>
        <w:rPr>
          <w:rFonts w:hint="eastAsia" w:eastAsiaTheme="minorEastAsia"/>
          <w:b/>
          <w:bCs w:val="0"/>
          <w:color w:val="auto"/>
          <w:highlight w:val="none"/>
          <w:lang w:eastAsia="zh-CN"/>
        </w:rPr>
      </w:pPr>
      <w:bookmarkStart w:id="84" w:name="_Toc1998"/>
      <w:r>
        <w:rPr>
          <w:rFonts w:hint="eastAsia" w:ascii="仿宋" w:hAnsi="仿宋" w:eastAsia="仿宋"/>
          <w:b/>
          <w:color w:val="auto"/>
          <w:highlight w:val="none"/>
        </w:rPr>
        <w:t>★</w:t>
      </w:r>
      <w:r>
        <w:rPr>
          <w:rFonts w:hint="eastAsia" w:cs="仿宋" w:asciiTheme="minorEastAsia" w:hAnsiTheme="minorEastAsia" w:eastAsiaTheme="minorEastAsia"/>
          <w:b/>
          <w:bCs w:val="0"/>
          <w:color w:val="auto"/>
          <w:highlight w:val="none"/>
          <w:lang w:eastAsia="zh-CN"/>
        </w:rPr>
        <w:t>质量保修期</w:t>
      </w:r>
      <w:bookmarkEnd w:id="84"/>
    </w:p>
    <w:p>
      <w:pPr>
        <w:rPr>
          <w:rFonts w:hint="eastAsia" w:ascii="宋体" w:hAnsi="宋体"/>
          <w:color w:val="auto"/>
          <w:sz w:val="28"/>
          <w:szCs w:val="28"/>
          <w:highlight w:val="none"/>
          <w:lang w:val="en-US" w:eastAsia="zh-CN"/>
        </w:rPr>
      </w:pPr>
      <w:r>
        <w:rPr>
          <w:rFonts w:hint="eastAsia" w:cs="仿宋" w:asciiTheme="minorEastAsia" w:hAnsiTheme="minorEastAsia" w:eastAsiaTheme="minorEastAsia"/>
          <w:b/>
          <w:bCs w:val="0"/>
          <w:color w:val="auto"/>
          <w:highlight w:val="none"/>
          <w:lang w:val="en-US" w:eastAsia="zh-CN"/>
        </w:rPr>
        <w:t xml:space="preserve">   </w:t>
      </w:r>
      <w:r>
        <w:rPr>
          <w:rFonts w:hint="eastAsia" w:ascii="宋体" w:hAnsi="宋体"/>
          <w:color w:val="auto"/>
          <w:sz w:val="28"/>
          <w:szCs w:val="28"/>
          <w:highlight w:val="none"/>
          <w:lang w:val="en-US" w:eastAsia="zh-CN"/>
        </w:rPr>
        <w:t xml:space="preserve">  2年</w:t>
      </w:r>
    </w:p>
    <w:p>
      <w:pPr>
        <w:pStyle w:val="4"/>
        <w:tabs>
          <w:tab w:val="left" w:pos="0"/>
          <w:tab w:val="left" w:pos="786"/>
        </w:tabs>
        <w:spacing w:before="260" w:after="260" w:line="416" w:lineRule="auto"/>
        <w:ind w:left="0" w:firstLine="0"/>
        <w:rPr>
          <w:rFonts w:hint="eastAsia" w:cs="仿宋" w:asciiTheme="minorEastAsia" w:hAnsiTheme="minorEastAsia" w:eastAsiaTheme="minorEastAsia"/>
          <w:b/>
          <w:bCs w:val="0"/>
          <w:color w:val="auto"/>
          <w:highlight w:val="none"/>
          <w:lang w:eastAsia="zh-CN"/>
        </w:rPr>
      </w:pPr>
      <w:bookmarkStart w:id="85" w:name="_Toc24023"/>
      <w:r>
        <w:rPr>
          <w:rFonts w:hint="eastAsia" w:cs="仿宋" w:asciiTheme="minorEastAsia" w:hAnsiTheme="minorEastAsia" w:eastAsiaTheme="minorEastAsia"/>
          <w:b/>
          <w:bCs w:val="0"/>
          <w:color w:val="auto"/>
          <w:highlight w:val="none"/>
          <w:lang w:eastAsia="zh-CN"/>
        </w:rPr>
        <w:t>★安全责任</w:t>
      </w:r>
      <w:bookmarkEnd w:id="85"/>
    </w:p>
    <w:p>
      <w:pPr>
        <w:adjustRightInd w:val="0"/>
        <w:snapToGrid w:val="0"/>
        <w:spacing w:line="240" w:lineRule="atLeast"/>
        <w:jc w:val="left"/>
        <w:rPr>
          <w:rFonts w:hint="eastAsia" w:ascii="宋体" w:hAnsi="宋体"/>
          <w:color w:val="auto"/>
          <w:sz w:val="28"/>
          <w:szCs w:val="28"/>
          <w:highlight w:val="none"/>
          <w:lang w:eastAsia="zh-CN"/>
        </w:rPr>
      </w:pPr>
      <w:r>
        <w:rPr>
          <w:rFonts w:hint="eastAsia" w:ascii="宋体" w:hAnsi="宋体"/>
          <w:color w:val="auto"/>
          <w:sz w:val="28"/>
          <w:szCs w:val="28"/>
          <w:highlight w:val="none"/>
          <w:lang w:val="en-US" w:eastAsia="zh-CN"/>
        </w:rPr>
        <w:t xml:space="preserve">    </w:t>
      </w:r>
      <w:r>
        <w:rPr>
          <w:rFonts w:hint="eastAsia" w:ascii="宋体" w:hAnsi="宋体"/>
          <w:color w:val="auto"/>
          <w:sz w:val="28"/>
          <w:szCs w:val="28"/>
          <w:highlight w:val="none"/>
        </w:rPr>
        <w:t>建设工程在运输、安装、调试等整个工程活动期间，在工程实施地点范围内，所有安全责任均由施工方负责</w:t>
      </w:r>
      <w:r>
        <w:rPr>
          <w:rFonts w:hint="eastAsia" w:ascii="宋体" w:hAnsi="宋体"/>
          <w:color w:val="auto"/>
          <w:sz w:val="28"/>
          <w:szCs w:val="28"/>
          <w:highlight w:val="none"/>
          <w:lang w:eastAsia="zh-CN"/>
        </w:rPr>
        <w:t>。</w:t>
      </w:r>
    </w:p>
    <w:p>
      <w:pPr>
        <w:pStyle w:val="4"/>
        <w:tabs>
          <w:tab w:val="left" w:pos="0"/>
          <w:tab w:val="left" w:pos="786"/>
        </w:tabs>
        <w:spacing w:before="260" w:after="260" w:line="416" w:lineRule="auto"/>
        <w:ind w:left="0" w:firstLine="0"/>
        <w:rPr>
          <w:rFonts w:hint="eastAsia" w:eastAsiaTheme="minorEastAsia"/>
          <w:b/>
          <w:bCs w:val="0"/>
          <w:color w:val="auto"/>
          <w:highlight w:val="none"/>
          <w:lang w:eastAsia="zh-CN"/>
        </w:rPr>
      </w:pPr>
      <w:bookmarkStart w:id="86" w:name="_Toc17629"/>
      <w:r>
        <w:rPr>
          <w:rFonts w:hint="eastAsia" w:ascii="仿宋" w:hAnsi="仿宋" w:eastAsia="仿宋"/>
          <w:b/>
          <w:color w:val="auto"/>
          <w:highlight w:val="none"/>
        </w:rPr>
        <w:t>★</w:t>
      </w:r>
      <w:r>
        <w:rPr>
          <w:rFonts w:hint="eastAsia" w:eastAsiaTheme="minorEastAsia"/>
          <w:b/>
          <w:bCs w:val="0"/>
          <w:color w:val="auto"/>
          <w:highlight w:val="none"/>
          <w:lang w:eastAsia="zh-CN"/>
        </w:rPr>
        <w:t>现场踏勘</w:t>
      </w:r>
      <w:bookmarkEnd w:id="86"/>
    </w:p>
    <w:p>
      <w:pPr>
        <w:ind w:firstLine="420" w:firstLineChars="0"/>
        <w:rPr>
          <w:rFonts w:hint="eastAsia" w:cs="仿宋" w:asciiTheme="minorEastAsia" w:hAnsiTheme="minorEastAsia" w:eastAsiaTheme="minorEastAsia"/>
          <w:b w:val="0"/>
          <w:bCs/>
          <w:iCs/>
          <w:color w:val="auto"/>
          <w:sz w:val="28"/>
          <w:szCs w:val="28"/>
          <w:highlight w:val="none"/>
          <w:lang w:val="zh-CN" w:eastAsia="zh-CN" w:bidi="ar-SA"/>
        </w:rPr>
      </w:pPr>
      <w:r>
        <w:rPr>
          <w:rFonts w:hint="eastAsia"/>
          <w:color w:val="auto"/>
          <w:highlight w:val="none"/>
          <w:lang w:val="en-US" w:eastAsia="zh-CN"/>
        </w:rPr>
        <w:t xml:space="preserve"> </w:t>
      </w:r>
      <w:r>
        <w:rPr>
          <w:rFonts w:hint="eastAsia" w:cs="仿宋" w:asciiTheme="minorEastAsia" w:hAnsiTheme="minorEastAsia" w:eastAsiaTheme="minorEastAsia"/>
          <w:b w:val="0"/>
          <w:bCs/>
          <w:iCs/>
          <w:color w:val="auto"/>
          <w:sz w:val="28"/>
          <w:szCs w:val="28"/>
          <w:highlight w:val="none"/>
          <w:lang w:val="zh-CN" w:eastAsia="zh-CN" w:bidi="ar-SA"/>
        </w:rPr>
        <w:t>供应商自行前往现场踏勘，发生费用自理。</w:t>
      </w:r>
    </w:p>
    <w:p>
      <w:pPr>
        <w:pStyle w:val="4"/>
        <w:tabs>
          <w:tab w:val="left" w:pos="0"/>
          <w:tab w:val="left" w:pos="786"/>
        </w:tabs>
        <w:spacing w:before="260" w:after="260" w:line="416" w:lineRule="auto"/>
        <w:ind w:left="0" w:firstLine="0"/>
        <w:rPr>
          <w:rFonts w:hint="eastAsia" w:cs="仿宋" w:asciiTheme="minorEastAsia" w:hAnsiTheme="minorEastAsia" w:eastAsiaTheme="minorEastAsia"/>
          <w:b/>
          <w:bCs w:val="0"/>
          <w:color w:val="auto"/>
          <w:sz w:val="24"/>
          <w:szCs w:val="24"/>
          <w:highlight w:val="none"/>
          <w:lang w:val="en-US" w:eastAsia="zh-CN" w:bidi="ar-SA"/>
        </w:rPr>
      </w:pPr>
      <w:r>
        <w:rPr>
          <w:rFonts w:hint="eastAsia"/>
          <w:color w:val="auto"/>
          <w:highlight w:val="none"/>
        </w:rPr>
        <w:t xml:space="preserve"> </w:t>
      </w:r>
      <w:bookmarkStart w:id="87" w:name="_Toc16924"/>
      <w:r>
        <w:rPr>
          <w:rFonts w:hint="eastAsia" w:ascii="仿宋" w:hAnsi="仿宋" w:eastAsia="仿宋"/>
          <w:b/>
          <w:color w:val="auto"/>
          <w:sz w:val="28"/>
          <w:szCs w:val="28"/>
          <w:highlight w:val="none"/>
        </w:rPr>
        <w:t>★</w:t>
      </w:r>
      <w:r>
        <w:rPr>
          <w:rFonts w:hint="eastAsia" w:cs="仿宋" w:asciiTheme="minorEastAsia" w:hAnsiTheme="minorEastAsia" w:eastAsiaTheme="minorEastAsia"/>
          <w:b/>
          <w:bCs w:val="0"/>
          <w:color w:val="auto"/>
          <w:sz w:val="28"/>
          <w:szCs w:val="28"/>
          <w:highlight w:val="none"/>
        </w:rPr>
        <w:t>针对本项目的其他技术服务要求</w:t>
      </w:r>
      <w:bookmarkEnd w:id="87"/>
    </w:p>
    <w:p>
      <w:pPr>
        <w:tabs>
          <w:tab w:val="left" w:pos="0"/>
        </w:tabs>
        <w:jc w:val="left"/>
        <w:rPr>
          <w:rFonts w:hint="eastAsia" w:eastAsia="宋体"/>
          <w:color w:val="auto"/>
          <w:highlight w:val="none"/>
          <w:lang w:eastAsia="zh-CN"/>
        </w:rPr>
      </w:pPr>
      <w:r>
        <w:rPr>
          <w:rFonts w:hint="eastAsia" w:cs="仿宋" w:asciiTheme="minorEastAsia" w:hAnsiTheme="minorEastAsia" w:eastAsiaTheme="minorEastAsia"/>
          <w:b w:val="0"/>
          <w:color w:val="auto"/>
          <w:highlight w:val="none"/>
          <w:lang w:val="en-US" w:eastAsia="zh-CN"/>
        </w:rPr>
        <w:tab/>
      </w:r>
      <w:r>
        <w:rPr>
          <w:rFonts w:hint="eastAsia" w:cs="仿宋" w:asciiTheme="minorEastAsia" w:hAnsiTheme="minorEastAsia" w:eastAsiaTheme="minorEastAsia"/>
          <w:b w:val="0"/>
          <w:color w:val="auto"/>
          <w:highlight w:val="none"/>
          <w:lang w:val="en-US" w:eastAsia="zh-CN"/>
        </w:rPr>
        <w:t xml:space="preserve"> </w:t>
      </w:r>
      <w:r>
        <w:rPr>
          <w:rFonts w:hint="eastAsia" w:cs="仿宋" w:asciiTheme="minorEastAsia" w:hAnsiTheme="minorEastAsia" w:eastAsiaTheme="minorEastAsia"/>
          <w:b w:val="0"/>
          <w:bCs/>
          <w:iCs/>
          <w:color w:val="auto"/>
          <w:sz w:val="28"/>
          <w:szCs w:val="28"/>
          <w:highlight w:val="none"/>
          <w:lang w:val="en-US" w:eastAsia="zh-CN" w:bidi="ar-SA"/>
        </w:rPr>
        <w:t>本项目</w:t>
      </w:r>
      <w:r>
        <w:rPr>
          <w:rFonts w:hint="default" w:cs="仿宋" w:asciiTheme="minorEastAsia" w:hAnsiTheme="minorEastAsia" w:eastAsiaTheme="minorEastAsia"/>
          <w:b w:val="0"/>
          <w:bCs/>
          <w:iCs/>
          <w:color w:val="auto"/>
          <w:sz w:val="28"/>
          <w:szCs w:val="28"/>
          <w:highlight w:val="none"/>
          <w:lang w:val="zh-CN" w:eastAsia="zh-CN" w:bidi="ar-SA"/>
        </w:rPr>
        <w:t>材料及技术规范</w:t>
      </w:r>
      <w:r>
        <w:rPr>
          <w:rFonts w:hint="eastAsia" w:cs="仿宋" w:asciiTheme="minorEastAsia" w:hAnsiTheme="minorEastAsia" w:eastAsiaTheme="minorEastAsia"/>
          <w:b w:val="0"/>
          <w:bCs/>
          <w:iCs/>
          <w:color w:val="auto"/>
          <w:sz w:val="28"/>
          <w:szCs w:val="28"/>
          <w:highlight w:val="none"/>
          <w:lang w:val="en-US" w:eastAsia="zh-CN" w:bidi="ar-SA"/>
        </w:rPr>
        <w:t>严格按照</w:t>
      </w:r>
      <w:r>
        <w:rPr>
          <w:rFonts w:hint="eastAsia" w:cs="仿宋" w:asciiTheme="minorEastAsia" w:hAnsiTheme="minorEastAsia" w:eastAsiaTheme="minorEastAsia"/>
          <w:b w:val="0"/>
          <w:bCs/>
          <w:iCs/>
          <w:color w:val="auto"/>
          <w:sz w:val="28"/>
          <w:szCs w:val="28"/>
          <w:highlight w:val="none"/>
          <w:lang w:val="zh-CN" w:eastAsia="zh-CN" w:bidi="ar-SA"/>
        </w:rPr>
        <w:t>中华人民共和国现行</w:t>
      </w:r>
      <w:r>
        <w:rPr>
          <w:rFonts w:hint="eastAsia" w:cs="仿宋" w:asciiTheme="minorEastAsia" w:hAnsiTheme="minorEastAsia" w:eastAsiaTheme="minorEastAsia"/>
          <w:b w:val="0"/>
          <w:bCs/>
          <w:iCs/>
          <w:color w:val="auto"/>
          <w:sz w:val="28"/>
          <w:szCs w:val="28"/>
          <w:highlight w:val="none"/>
          <w:lang w:val="en-US" w:eastAsia="zh-CN" w:bidi="ar-SA"/>
        </w:rPr>
        <w:t>有关</w:t>
      </w:r>
      <w:r>
        <w:rPr>
          <w:rFonts w:hint="default" w:cs="仿宋" w:asciiTheme="minorEastAsia" w:hAnsiTheme="minorEastAsia" w:eastAsiaTheme="minorEastAsia"/>
          <w:b w:val="0"/>
          <w:bCs/>
          <w:iCs/>
          <w:color w:val="auto"/>
          <w:sz w:val="28"/>
          <w:szCs w:val="28"/>
          <w:highlight w:val="none"/>
          <w:lang w:val="zh-CN" w:eastAsia="zh-CN" w:bidi="ar-SA"/>
        </w:rPr>
        <w:t>材料及技术规范要求</w:t>
      </w:r>
      <w:r>
        <w:rPr>
          <w:rFonts w:hint="eastAsia" w:cs="仿宋" w:asciiTheme="minorEastAsia" w:hAnsiTheme="minorEastAsia" w:eastAsiaTheme="minorEastAsia"/>
          <w:b w:val="0"/>
          <w:bCs/>
          <w:iCs/>
          <w:color w:val="auto"/>
          <w:sz w:val="28"/>
          <w:szCs w:val="28"/>
          <w:highlight w:val="none"/>
          <w:lang w:val="en-US" w:eastAsia="zh-CN" w:bidi="ar-SA"/>
        </w:rPr>
        <w:t>执行</w:t>
      </w:r>
      <w:r>
        <w:rPr>
          <w:rFonts w:hint="eastAsia" w:cs="仿宋" w:asciiTheme="minorEastAsia" w:hAnsiTheme="minorEastAsia" w:eastAsiaTheme="minorEastAsia"/>
          <w:b w:val="0"/>
          <w:bCs/>
          <w:iCs/>
          <w:color w:val="auto"/>
          <w:sz w:val="28"/>
          <w:szCs w:val="28"/>
          <w:highlight w:val="none"/>
          <w:lang w:val="zh-CN" w:eastAsia="zh-CN" w:bidi="ar-SA"/>
        </w:rPr>
        <w:t>。</w:t>
      </w:r>
    </w:p>
    <w:p>
      <w:pPr>
        <w:pStyle w:val="4"/>
        <w:tabs>
          <w:tab w:val="left" w:pos="0"/>
          <w:tab w:val="left" w:pos="786"/>
        </w:tabs>
        <w:spacing w:before="260" w:after="260" w:line="416" w:lineRule="auto"/>
        <w:ind w:left="0" w:firstLine="0"/>
        <w:rPr>
          <w:color w:val="auto"/>
          <w:highlight w:val="none"/>
        </w:rPr>
      </w:pPr>
      <w:bookmarkStart w:id="88" w:name="_Toc10844"/>
      <w:r>
        <w:rPr>
          <w:rFonts w:hint="eastAsia" w:ascii="仿宋" w:hAnsi="仿宋" w:eastAsia="仿宋"/>
          <w:b/>
          <w:color w:val="auto"/>
          <w:highlight w:val="none"/>
        </w:rPr>
        <w:t>★</w:t>
      </w:r>
      <w:r>
        <w:rPr>
          <w:rFonts w:hint="eastAsia"/>
          <w:color w:val="auto"/>
          <w:highlight w:val="none"/>
          <w:lang w:eastAsia="zh-CN"/>
        </w:rPr>
        <w:t>验收标准和方法</w:t>
      </w:r>
      <w:bookmarkEnd w:id="88"/>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0"/>
        <w:jc w:val="left"/>
        <w:textAlignment w:val="auto"/>
        <w:rPr>
          <w:rFonts w:hint="eastAsia" w:cs="仿宋" w:asciiTheme="minorEastAsia" w:hAnsiTheme="minorEastAsia" w:eastAsiaTheme="minorEastAsia"/>
          <w:b w:val="0"/>
          <w:bCs/>
          <w:iCs/>
          <w:color w:val="auto"/>
          <w:sz w:val="28"/>
          <w:szCs w:val="28"/>
          <w:highlight w:val="none"/>
          <w:lang w:val="zh-CN" w:eastAsia="zh-CN" w:bidi="ar-SA"/>
        </w:rPr>
      </w:pPr>
      <w:r>
        <w:rPr>
          <w:rFonts w:hint="eastAsia" w:cs="仿宋" w:asciiTheme="minorEastAsia" w:hAnsiTheme="minorEastAsia" w:eastAsiaTheme="minorEastAsia"/>
          <w:b w:val="0"/>
          <w:bCs/>
          <w:iCs/>
          <w:color w:val="auto"/>
          <w:sz w:val="28"/>
          <w:szCs w:val="28"/>
          <w:highlight w:val="none"/>
          <w:lang w:val="en-US" w:eastAsia="zh-CN" w:bidi="ar-SA"/>
        </w:rPr>
        <w:t xml:space="preserve"> </w:t>
      </w:r>
      <w:r>
        <w:rPr>
          <w:rFonts w:hint="eastAsia" w:cs="仿宋" w:asciiTheme="minorEastAsia" w:hAnsiTheme="minorEastAsia" w:eastAsiaTheme="minorEastAsia"/>
          <w:b w:val="0"/>
          <w:bCs/>
          <w:iCs/>
          <w:color w:val="auto"/>
          <w:sz w:val="28"/>
          <w:szCs w:val="28"/>
          <w:highlight w:val="none"/>
          <w:lang w:val="zh-CN" w:eastAsia="zh-CN" w:bidi="ar-SA"/>
        </w:rPr>
        <w:t>按照按磋商文件要求、成交供应商的响应文件及承诺、签订的施工合同、财政部关于进一步加强政府采购需求和履约验收管理的指导意见（财库〔2016〕205号）要求进行验收。</w:t>
      </w:r>
    </w:p>
    <w:p>
      <w:pPr>
        <w:pStyle w:val="4"/>
        <w:tabs>
          <w:tab w:val="left" w:pos="0"/>
          <w:tab w:val="left" w:pos="786"/>
        </w:tabs>
        <w:spacing w:before="260" w:after="260" w:line="416" w:lineRule="auto"/>
        <w:ind w:left="0" w:firstLine="0"/>
        <w:rPr>
          <w:color w:val="auto"/>
          <w:highlight w:val="none"/>
        </w:rPr>
      </w:pPr>
      <w:bookmarkStart w:id="89" w:name="_Toc11476"/>
      <w:bookmarkStart w:id="90" w:name="_Toc54948228"/>
      <w:r>
        <w:rPr>
          <w:rFonts w:hint="eastAsia"/>
          <w:color w:val="auto"/>
          <w:highlight w:val="none"/>
          <w:lang w:eastAsia="zh-CN"/>
        </w:rPr>
        <w:t>报价要求</w:t>
      </w:r>
      <w:bookmarkEnd w:id="89"/>
    </w:p>
    <w:p>
      <w:pPr>
        <w:adjustRightInd w:val="0"/>
        <w:snapToGrid w:val="0"/>
        <w:spacing w:line="240" w:lineRule="atLeast"/>
        <w:jc w:val="left"/>
      </w:pPr>
      <w:r>
        <w:rPr>
          <w:rFonts w:hint="eastAsia" w:ascii="宋体" w:hAnsi="宋体" w:cs="Times New Roman"/>
          <w:szCs w:val="21"/>
          <w:lang w:val="en-US" w:eastAsia="zh-CN"/>
        </w:rPr>
        <w:t xml:space="preserve">    </w:t>
      </w:r>
      <w:r>
        <w:rPr>
          <w:rFonts w:hint="eastAsia" w:ascii="宋体" w:hAnsi="宋体" w:eastAsia="宋体" w:cs="Times New Roman"/>
          <w:szCs w:val="21"/>
          <w:lang w:val="zh-CN"/>
        </w:rPr>
        <w:t>供应商须根据本竞争性磋商文件及相关设计技术文件等，编制符合国家相关规范、规定、标准的工程量清单报价表。</w:t>
      </w:r>
    </w:p>
    <w:p>
      <w:pPr>
        <w:pStyle w:val="4"/>
        <w:tabs>
          <w:tab w:val="left" w:pos="0"/>
          <w:tab w:val="left" w:pos="786"/>
        </w:tabs>
        <w:spacing w:before="260" w:after="260" w:line="416" w:lineRule="auto"/>
        <w:ind w:left="0" w:firstLine="0"/>
        <w:rPr>
          <w:color w:val="auto"/>
          <w:highlight w:val="none"/>
        </w:rPr>
      </w:pPr>
      <w:bookmarkStart w:id="91" w:name="_Toc8754"/>
      <w:r>
        <w:rPr>
          <w:rFonts w:hint="eastAsia"/>
          <w:color w:val="auto"/>
          <w:highlight w:val="none"/>
        </w:rPr>
        <w:t>满足采购需求的最低要求</w:t>
      </w:r>
      <w:bookmarkEnd w:id="90"/>
      <w:bookmarkEnd w:id="91"/>
    </w:p>
    <w:p>
      <w:pPr>
        <w:widowControl w:val="0"/>
        <w:tabs>
          <w:tab w:val="left" w:pos="1134"/>
        </w:tabs>
        <w:snapToGrid w:val="0"/>
        <w:spacing w:line="620" w:lineRule="exact"/>
        <w:ind w:firstLine="568" w:firstLineChars="202"/>
        <w:jc w:val="both"/>
        <w:rPr>
          <w:rFonts w:ascii="宋体" w:hAnsi="宋体"/>
          <w:color w:val="auto"/>
          <w:sz w:val="28"/>
          <w:szCs w:val="28"/>
          <w:highlight w:val="none"/>
        </w:rPr>
      </w:pPr>
      <w:r>
        <w:rPr>
          <w:rFonts w:hint="eastAsia" w:ascii="宋体" w:hAnsi="宋体"/>
          <w:b/>
          <w:color w:val="auto"/>
          <w:sz w:val="28"/>
          <w:szCs w:val="20"/>
          <w:highlight w:val="none"/>
        </w:rPr>
        <w:t>技术、服务、商务及其他要求中加★号的要求为满足采购需求的最低要求。</w:t>
      </w:r>
    </w:p>
    <w:bookmarkEnd w:id="74"/>
    <w:bookmarkEnd w:id="75"/>
    <w:p>
      <w:pPr>
        <w:rPr>
          <w:rFonts w:ascii="宋体" w:hAnsi="宋体"/>
          <w:b/>
          <w:color w:val="auto"/>
          <w:sz w:val="28"/>
          <w:szCs w:val="28"/>
          <w:highlight w:val="none"/>
        </w:rPr>
      </w:pPr>
    </w:p>
    <w:p>
      <w:pPr>
        <w:pStyle w:val="2"/>
        <w:rPr>
          <w:rFonts w:ascii="宋体" w:hAnsi="宋体"/>
          <w:b/>
          <w:color w:val="auto"/>
          <w:sz w:val="28"/>
          <w:szCs w:val="28"/>
          <w:highlight w:val="none"/>
        </w:rPr>
      </w:pPr>
      <w:r>
        <w:rPr>
          <w:rFonts w:ascii="宋体" w:hAnsi="宋体"/>
          <w:b/>
          <w:color w:val="auto"/>
          <w:sz w:val="28"/>
          <w:szCs w:val="28"/>
          <w:highlight w:val="none"/>
        </w:rPr>
        <w:br w:type="page"/>
      </w:r>
    </w:p>
    <w:p>
      <w:pPr>
        <w:rPr>
          <w:rFonts w:ascii="Times New Roman" w:hAnsi="Times New Roman" w:eastAsia="宋体" w:cs="Times New Roman"/>
          <w:color w:val="auto"/>
          <w:sz w:val="24"/>
          <w:szCs w:val="24"/>
          <w:highlight w:val="none"/>
          <w:lang w:val="en-US" w:eastAsia="zh-CN" w:bidi="ar-SA"/>
        </w:rPr>
      </w:pPr>
    </w:p>
    <w:p>
      <w:pPr>
        <w:pStyle w:val="3"/>
        <w:numPr>
          <w:ilvl w:val="0"/>
          <w:numId w:val="1"/>
        </w:numPr>
        <w:snapToGrid w:val="0"/>
        <w:spacing w:before="0" w:after="0"/>
        <w:ind w:left="0" w:firstLine="0"/>
        <w:rPr>
          <w:color w:val="auto"/>
          <w:highlight w:val="none"/>
        </w:rPr>
      </w:pPr>
      <w:bookmarkStart w:id="92" w:name="_Toc119"/>
      <w:bookmarkStart w:id="93" w:name="_Toc360696963"/>
      <w:bookmarkStart w:id="94" w:name="_Toc236285891"/>
      <w:bookmarkStart w:id="95" w:name="_Toc238273564"/>
      <w:bookmarkStart w:id="96" w:name="_Toc205604899"/>
      <w:r>
        <w:rPr>
          <w:rFonts w:hint="eastAsia"/>
          <w:color w:val="auto"/>
          <w:highlight w:val="none"/>
          <w:lang w:eastAsia="zh-CN"/>
        </w:rPr>
        <w:t>磋商办法</w:t>
      </w:r>
      <w:bookmarkEnd w:id="92"/>
    </w:p>
    <w:p>
      <w:pPr>
        <w:rPr>
          <w:color w:val="auto"/>
          <w:highlight w:val="none"/>
        </w:rPr>
      </w:pPr>
    </w:p>
    <w:p>
      <w:pPr>
        <w:pStyle w:val="4"/>
        <w:numPr>
          <w:ilvl w:val="1"/>
          <w:numId w:val="1"/>
        </w:numPr>
        <w:tabs>
          <w:tab w:val="left" w:pos="993"/>
          <w:tab w:val="clear" w:pos="426"/>
          <w:tab w:val="clear" w:pos="567"/>
        </w:tabs>
        <w:spacing w:before="0" w:after="0"/>
        <w:ind w:left="0" w:firstLine="0"/>
        <w:jc w:val="both"/>
        <w:rPr>
          <w:color w:val="auto"/>
          <w:highlight w:val="none"/>
        </w:rPr>
      </w:pPr>
      <w:bookmarkStart w:id="97" w:name="_Toc61004790"/>
      <w:bookmarkStart w:id="98" w:name="_Toc19577"/>
      <w:r>
        <w:rPr>
          <w:rFonts w:hint="eastAsia"/>
          <w:color w:val="auto"/>
          <w:highlight w:val="none"/>
        </w:rPr>
        <w:t>总则</w:t>
      </w:r>
      <w:bookmarkEnd w:id="97"/>
      <w:bookmarkEnd w:id="98"/>
    </w:p>
    <w:p>
      <w:pPr>
        <w:numPr>
          <w:ilvl w:val="0"/>
          <w:numId w:val="32"/>
        </w:numPr>
        <w:tabs>
          <w:tab w:val="left" w:pos="1134"/>
        </w:tabs>
        <w:spacing w:after="0" w:line="360" w:lineRule="auto"/>
        <w:ind w:left="0" w:firstLine="565" w:firstLineChars="202"/>
        <w:rPr>
          <w:rFonts w:ascii="宋体" w:hAnsi="宋体"/>
          <w:color w:val="auto"/>
          <w:sz w:val="28"/>
          <w:szCs w:val="28"/>
          <w:highlight w:val="none"/>
        </w:rPr>
      </w:pPr>
      <w:r>
        <w:rPr>
          <w:rFonts w:hint="eastAsia" w:ascii="宋体" w:hAnsi="宋体"/>
          <w:color w:val="auto"/>
          <w:sz w:val="28"/>
          <w:szCs w:val="28"/>
          <w:highlight w:val="none"/>
        </w:rPr>
        <w:t>根据《中华人民共和国政府采购法》、《中华人民共和国政府采购法实施条例》和《政府采购竞争性磋商采购方式管理暂行办法》等法律规章，结合采购项目特点制定本办法。</w:t>
      </w:r>
    </w:p>
    <w:p>
      <w:pPr>
        <w:numPr>
          <w:ilvl w:val="0"/>
          <w:numId w:val="32"/>
        </w:numPr>
        <w:tabs>
          <w:tab w:val="left" w:pos="1134"/>
        </w:tabs>
        <w:spacing w:after="0" w:line="360" w:lineRule="auto"/>
        <w:ind w:left="0" w:firstLine="565" w:firstLineChars="202"/>
        <w:rPr>
          <w:rFonts w:ascii="宋体" w:hAnsi="宋体"/>
          <w:color w:val="auto"/>
          <w:sz w:val="28"/>
          <w:szCs w:val="28"/>
          <w:highlight w:val="none"/>
        </w:rPr>
      </w:pPr>
      <w:r>
        <w:rPr>
          <w:rFonts w:hint="eastAsia" w:ascii="宋体" w:hAnsi="宋体"/>
          <w:color w:val="auto"/>
          <w:sz w:val="28"/>
          <w:szCs w:val="28"/>
          <w:highlight w:val="none"/>
        </w:rPr>
        <w:t>磋商工作由</w:t>
      </w:r>
      <w:r>
        <w:rPr>
          <w:rFonts w:hint="eastAsia" w:ascii="宋体" w:hAnsi="宋体"/>
          <w:color w:val="auto"/>
          <w:sz w:val="28"/>
          <w:szCs w:val="28"/>
          <w:highlight w:val="none"/>
          <w:lang w:eastAsia="zh-CN"/>
        </w:rPr>
        <w:t>区采购中心</w:t>
      </w:r>
      <w:r>
        <w:rPr>
          <w:rFonts w:hint="eastAsia" w:ascii="宋体" w:hAnsi="宋体"/>
          <w:color w:val="auto"/>
          <w:sz w:val="28"/>
          <w:szCs w:val="28"/>
          <w:highlight w:val="none"/>
        </w:rPr>
        <w:t>负责组织，具体评审事务由采购人和</w:t>
      </w:r>
      <w:r>
        <w:rPr>
          <w:rFonts w:hint="eastAsia" w:ascii="宋体" w:hAnsi="宋体"/>
          <w:color w:val="auto"/>
          <w:sz w:val="28"/>
          <w:szCs w:val="28"/>
          <w:highlight w:val="none"/>
          <w:lang w:eastAsia="zh-CN"/>
        </w:rPr>
        <w:t>区采购中心</w:t>
      </w:r>
      <w:r>
        <w:rPr>
          <w:rFonts w:hint="eastAsia" w:ascii="宋体" w:hAnsi="宋体"/>
          <w:color w:val="auto"/>
          <w:sz w:val="28"/>
          <w:szCs w:val="28"/>
          <w:highlight w:val="none"/>
        </w:rPr>
        <w:t>依法组建的磋商小组负责。磋商小组由采购人代表和评审专家组成。</w:t>
      </w:r>
    </w:p>
    <w:p>
      <w:pPr>
        <w:numPr>
          <w:ilvl w:val="0"/>
          <w:numId w:val="32"/>
        </w:numPr>
        <w:tabs>
          <w:tab w:val="left" w:pos="1134"/>
        </w:tabs>
        <w:spacing w:after="0" w:line="360" w:lineRule="auto"/>
        <w:ind w:left="0" w:firstLine="565" w:firstLineChars="202"/>
        <w:rPr>
          <w:rFonts w:ascii="宋体" w:hAnsi="宋体"/>
          <w:color w:val="auto"/>
          <w:sz w:val="28"/>
          <w:szCs w:val="28"/>
          <w:highlight w:val="none"/>
        </w:rPr>
      </w:pPr>
      <w:r>
        <w:rPr>
          <w:rFonts w:hint="eastAsia" w:ascii="宋体" w:hAnsi="宋体"/>
          <w:color w:val="auto"/>
          <w:sz w:val="28"/>
          <w:szCs w:val="28"/>
          <w:highlight w:val="none"/>
        </w:rPr>
        <w:t>磋商工作应遵循公平、公正、科学及择优的原则，并以相同的评审程序和标准对待所有的供应商。</w:t>
      </w:r>
    </w:p>
    <w:p>
      <w:pPr>
        <w:numPr>
          <w:ilvl w:val="0"/>
          <w:numId w:val="32"/>
        </w:numPr>
        <w:tabs>
          <w:tab w:val="left" w:pos="1134"/>
        </w:tabs>
        <w:spacing w:after="0" w:line="360" w:lineRule="auto"/>
        <w:ind w:left="0" w:firstLine="565" w:firstLineChars="202"/>
        <w:rPr>
          <w:rFonts w:ascii="宋体" w:hAnsi="宋体"/>
          <w:color w:val="auto"/>
          <w:sz w:val="28"/>
          <w:szCs w:val="28"/>
          <w:highlight w:val="none"/>
        </w:rPr>
      </w:pPr>
      <w:r>
        <w:rPr>
          <w:rFonts w:hint="eastAsia" w:ascii="宋体" w:hAnsi="宋体"/>
          <w:color w:val="auto"/>
          <w:sz w:val="28"/>
          <w:szCs w:val="28"/>
          <w:highlight w:val="none"/>
        </w:rPr>
        <w:t>磋商小组按照磋商文件规定的磋商程序、评分方法和标准进行独立评审，并独立履行下列职责：</w:t>
      </w:r>
    </w:p>
    <w:p>
      <w:pPr>
        <w:numPr>
          <w:ilvl w:val="1"/>
          <w:numId w:val="33"/>
        </w:numPr>
        <w:tabs>
          <w:tab w:val="left" w:pos="1134"/>
        </w:tabs>
        <w:spacing w:after="0" w:line="360" w:lineRule="auto"/>
        <w:ind w:left="0" w:firstLine="567"/>
        <w:rPr>
          <w:rFonts w:ascii="宋体" w:hAnsi="宋体" w:cs="宋体"/>
          <w:color w:val="auto"/>
          <w:sz w:val="28"/>
          <w:szCs w:val="28"/>
          <w:highlight w:val="none"/>
        </w:rPr>
      </w:pPr>
      <w:r>
        <w:rPr>
          <w:rFonts w:hint="eastAsia" w:ascii="宋体" w:hAnsi="宋体" w:cs="宋体"/>
          <w:color w:val="auto"/>
          <w:sz w:val="28"/>
          <w:szCs w:val="28"/>
          <w:highlight w:val="none"/>
        </w:rPr>
        <w:t>熟悉和理解</w:t>
      </w:r>
      <w:r>
        <w:rPr>
          <w:rFonts w:hint="eastAsia" w:ascii="宋体" w:hAnsi="宋体" w:cs="宋体"/>
          <w:color w:val="auto"/>
          <w:sz w:val="28"/>
          <w:szCs w:val="28"/>
          <w:highlight w:val="none"/>
          <w:lang w:val="en-US" w:eastAsia="zh-CN"/>
        </w:rPr>
        <w:t>磋</w:t>
      </w:r>
      <w:r>
        <w:rPr>
          <w:rFonts w:hint="eastAsia" w:ascii="宋体" w:hAnsi="宋体" w:cs="宋体"/>
          <w:color w:val="auto"/>
          <w:sz w:val="28"/>
          <w:szCs w:val="28"/>
          <w:highlight w:val="none"/>
        </w:rPr>
        <w:t>商文件，确定</w:t>
      </w:r>
      <w:r>
        <w:rPr>
          <w:rFonts w:hint="eastAsia" w:ascii="宋体" w:hAnsi="宋体" w:cs="宋体"/>
          <w:color w:val="auto"/>
          <w:sz w:val="28"/>
          <w:szCs w:val="28"/>
          <w:highlight w:val="none"/>
          <w:lang w:val="en-US" w:eastAsia="zh-CN"/>
        </w:rPr>
        <w:t>磋</w:t>
      </w:r>
      <w:r>
        <w:rPr>
          <w:rFonts w:hint="eastAsia" w:ascii="宋体" w:hAnsi="宋体" w:cs="宋体"/>
          <w:color w:val="auto"/>
          <w:sz w:val="28"/>
          <w:szCs w:val="28"/>
          <w:highlight w:val="none"/>
        </w:rPr>
        <w:t>商文件内容是否违反国家有关强制性规定或者</w:t>
      </w:r>
      <w:r>
        <w:rPr>
          <w:rFonts w:hint="eastAsia" w:ascii="宋体" w:hAnsi="宋体" w:cs="宋体"/>
          <w:color w:val="auto"/>
          <w:sz w:val="28"/>
          <w:szCs w:val="28"/>
          <w:highlight w:val="none"/>
          <w:lang w:eastAsia="zh-CN"/>
        </w:rPr>
        <w:t>磋</w:t>
      </w:r>
      <w:r>
        <w:rPr>
          <w:rFonts w:hint="eastAsia" w:ascii="宋体" w:hAnsi="宋体" w:cs="宋体"/>
          <w:color w:val="auto"/>
          <w:sz w:val="28"/>
          <w:szCs w:val="28"/>
          <w:highlight w:val="none"/>
        </w:rPr>
        <w:t>商文件存在歧义、重大缺陷，根据需要书面要求采购人、采购代理机构对</w:t>
      </w:r>
      <w:r>
        <w:rPr>
          <w:rFonts w:hint="eastAsia" w:ascii="宋体" w:hAnsi="宋体" w:cs="宋体"/>
          <w:color w:val="auto"/>
          <w:sz w:val="28"/>
          <w:szCs w:val="28"/>
          <w:highlight w:val="none"/>
          <w:lang w:val="en-US" w:eastAsia="zh-CN"/>
        </w:rPr>
        <w:t>磋</w:t>
      </w:r>
      <w:r>
        <w:rPr>
          <w:rFonts w:hint="eastAsia" w:ascii="宋体" w:hAnsi="宋体" w:cs="宋体"/>
          <w:color w:val="auto"/>
          <w:sz w:val="28"/>
          <w:szCs w:val="28"/>
          <w:highlight w:val="none"/>
        </w:rPr>
        <w:t>商文件作出解释</w:t>
      </w:r>
      <w:r>
        <w:rPr>
          <w:rFonts w:ascii="宋体" w:hAnsi="宋体" w:cs="宋体"/>
          <w:color w:val="auto"/>
          <w:sz w:val="28"/>
          <w:szCs w:val="28"/>
          <w:highlight w:val="none"/>
        </w:rPr>
        <w:t>；</w:t>
      </w:r>
    </w:p>
    <w:p>
      <w:pPr>
        <w:numPr>
          <w:ilvl w:val="1"/>
          <w:numId w:val="33"/>
        </w:numPr>
        <w:tabs>
          <w:tab w:val="left" w:pos="1134"/>
        </w:tabs>
        <w:spacing w:after="0" w:line="360" w:lineRule="auto"/>
        <w:ind w:left="0" w:firstLine="567"/>
        <w:rPr>
          <w:rFonts w:ascii="宋体" w:hAnsi="宋体" w:cs="宋体"/>
          <w:color w:val="auto"/>
          <w:sz w:val="28"/>
          <w:szCs w:val="28"/>
          <w:highlight w:val="none"/>
        </w:rPr>
      </w:pPr>
      <w:r>
        <w:rPr>
          <w:rFonts w:hint="eastAsia" w:ascii="宋体" w:hAnsi="宋体" w:cs="宋体"/>
          <w:color w:val="auto"/>
          <w:sz w:val="28"/>
          <w:szCs w:val="28"/>
          <w:highlight w:val="none"/>
        </w:rPr>
        <w:t>审查供应商的施工响应文件并作出公正评价；</w:t>
      </w:r>
    </w:p>
    <w:p>
      <w:pPr>
        <w:numPr>
          <w:ilvl w:val="1"/>
          <w:numId w:val="33"/>
        </w:numPr>
        <w:tabs>
          <w:tab w:val="left" w:pos="1134"/>
        </w:tabs>
        <w:spacing w:after="0" w:line="360" w:lineRule="auto"/>
        <w:ind w:left="0" w:firstLine="567"/>
        <w:rPr>
          <w:rFonts w:ascii="宋体" w:hAnsi="宋体" w:cs="宋体"/>
          <w:color w:val="auto"/>
          <w:sz w:val="28"/>
          <w:szCs w:val="28"/>
          <w:highlight w:val="none"/>
        </w:rPr>
      </w:pPr>
      <w:r>
        <w:rPr>
          <w:rFonts w:hint="eastAsia" w:ascii="宋体" w:hAnsi="宋体" w:cs="宋体"/>
          <w:color w:val="auto"/>
          <w:sz w:val="28"/>
          <w:szCs w:val="28"/>
          <w:highlight w:val="none"/>
        </w:rPr>
        <w:t>根据需要要求供应商对施工响应文件中含义不明确、同类问题表述不一致或者有明显文字和计算错误的内容等作出必要的澄清、说明或者更正；</w:t>
      </w:r>
    </w:p>
    <w:p>
      <w:pPr>
        <w:numPr>
          <w:ilvl w:val="1"/>
          <w:numId w:val="33"/>
        </w:numPr>
        <w:tabs>
          <w:tab w:val="left" w:pos="1134"/>
        </w:tabs>
        <w:spacing w:after="0" w:line="360" w:lineRule="auto"/>
        <w:ind w:left="0" w:firstLine="567"/>
        <w:rPr>
          <w:rFonts w:ascii="宋体" w:hAnsi="宋体" w:cs="宋体"/>
          <w:color w:val="auto"/>
          <w:sz w:val="28"/>
          <w:szCs w:val="28"/>
          <w:highlight w:val="none"/>
        </w:rPr>
      </w:pPr>
      <w:r>
        <w:rPr>
          <w:rFonts w:hint="eastAsia" w:ascii="宋体" w:hAnsi="宋体" w:cs="宋体"/>
          <w:color w:val="auto"/>
          <w:sz w:val="28"/>
          <w:szCs w:val="28"/>
          <w:highlight w:val="none"/>
        </w:rPr>
        <w:t>依法、客观、公平、公正开展供应商资格性审查、</w:t>
      </w:r>
      <w:r>
        <w:rPr>
          <w:rFonts w:hint="eastAsia" w:ascii="宋体" w:hAnsi="宋体" w:cs="宋体"/>
          <w:color w:val="auto"/>
          <w:sz w:val="28"/>
          <w:szCs w:val="28"/>
          <w:highlight w:val="none"/>
          <w:lang w:eastAsia="zh-CN"/>
        </w:rPr>
        <w:t>磋</w:t>
      </w:r>
      <w:r>
        <w:rPr>
          <w:rFonts w:hint="eastAsia" w:ascii="宋体" w:hAnsi="宋体" w:cs="宋体"/>
          <w:color w:val="auto"/>
          <w:sz w:val="28"/>
          <w:szCs w:val="28"/>
          <w:highlight w:val="none"/>
        </w:rPr>
        <w:t>商和推荐成交候选供应商；</w:t>
      </w:r>
    </w:p>
    <w:p>
      <w:pPr>
        <w:numPr>
          <w:ilvl w:val="1"/>
          <w:numId w:val="33"/>
        </w:numPr>
        <w:tabs>
          <w:tab w:val="left" w:pos="1134"/>
        </w:tabs>
        <w:spacing w:after="0" w:line="360" w:lineRule="auto"/>
        <w:ind w:left="0" w:firstLine="567"/>
        <w:rPr>
          <w:rFonts w:ascii="宋体" w:hAnsi="宋体" w:cs="宋体"/>
          <w:color w:val="auto"/>
          <w:sz w:val="28"/>
          <w:szCs w:val="28"/>
          <w:highlight w:val="none"/>
        </w:rPr>
      </w:pPr>
      <w:r>
        <w:rPr>
          <w:rFonts w:hint="eastAsia" w:ascii="宋体" w:hAnsi="宋体" w:cs="宋体"/>
          <w:color w:val="auto"/>
          <w:sz w:val="28"/>
          <w:szCs w:val="28"/>
          <w:highlight w:val="none"/>
        </w:rPr>
        <w:t>编写评审报告；</w:t>
      </w:r>
    </w:p>
    <w:p>
      <w:pPr>
        <w:numPr>
          <w:ilvl w:val="1"/>
          <w:numId w:val="33"/>
        </w:numPr>
        <w:tabs>
          <w:tab w:val="left" w:pos="1134"/>
        </w:tabs>
        <w:spacing w:after="0" w:line="360" w:lineRule="auto"/>
        <w:ind w:left="0" w:firstLine="567"/>
        <w:rPr>
          <w:rFonts w:ascii="宋体" w:hAnsi="宋体" w:cs="宋体"/>
          <w:color w:val="auto"/>
          <w:sz w:val="28"/>
          <w:szCs w:val="28"/>
          <w:highlight w:val="none"/>
        </w:rPr>
      </w:pPr>
      <w:r>
        <w:rPr>
          <w:rFonts w:hint="eastAsia" w:ascii="宋体" w:hAnsi="宋体" w:cs="宋体"/>
          <w:color w:val="auto"/>
          <w:sz w:val="28"/>
          <w:szCs w:val="28"/>
          <w:highlight w:val="none"/>
        </w:rPr>
        <w:t>告知采购人、采购代理机构在评审过程中发现的供应商的违法违规行为；</w:t>
      </w:r>
    </w:p>
    <w:p>
      <w:pPr>
        <w:numPr>
          <w:ilvl w:val="1"/>
          <w:numId w:val="33"/>
        </w:numPr>
        <w:tabs>
          <w:tab w:val="left" w:pos="1134"/>
        </w:tabs>
        <w:spacing w:after="0" w:line="360" w:lineRule="auto"/>
        <w:ind w:left="0" w:firstLine="567"/>
        <w:rPr>
          <w:rFonts w:ascii="宋体" w:hAnsi="宋体" w:cs="宋体"/>
          <w:color w:val="auto"/>
          <w:sz w:val="28"/>
          <w:szCs w:val="28"/>
          <w:highlight w:val="none"/>
        </w:rPr>
      </w:pPr>
      <w:r>
        <w:rPr>
          <w:rFonts w:hint="eastAsia" w:ascii="宋体" w:hAnsi="宋体" w:cs="宋体"/>
          <w:color w:val="auto"/>
          <w:sz w:val="28"/>
          <w:szCs w:val="28"/>
          <w:highlight w:val="none"/>
        </w:rPr>
        <w:t>保守供应商的商业秘密；</w:t>
      </w:r>
    </w:p>
    <w:p>
      <w:pPr>
        <w:numPr>
          <w:ilvl w:val="1"/>
          <w:numId w:val="33"/>
        </w:numPr>
        <w:tabs>
          <w:tab w:val="left" w:pos="1134"/>
        </w:tabs>
        <w:spacing w:after="0" w:line="360" w:lineRule="auto"/>
        <w:ind w:left="0" w:firstLine="567"/>
        <w:rPr>
          <w:rFonts w:ascii="宋体" w:hAnsi="宋体" w:cs="宋体"/>
          <w:color w:val="auto"/>
          <w:sz w:val="28"/>
          <w:szCs w:val="28"/>
          <w:highlight w:val="none"/>
        </w:rPr>
      </w:pPr>
      <w:r>
        <w:rPr>
          <w:rFonts w:hint="eastAsia" w:ascii="宋体" w:hAnsi="宋体" w:cs="宋体"/>
          <w:color w:val="auto"/>
          <w:sz w:val="28"/>
          <w:szCs w:val="28"/>
          <w:highlight w:val="none"/>
        </w:rPr>
        <w:t>配合处理供应商质疑；</w:t>
      </w:r>
    </w:p>
    <w:p>
      <w:pPr>
        <w:numPr>
          <w:ilvl w:val="1"/>
          <w:numId w:val="33"/>
        </w:numPr>
        <w:tabs>
          <w:tab w:val="left" w:pos="1134"/>
        </w:tabs>
        <w:spacing w:after="0" w:line="360" w:lineRule="auto"/>
        <w:ind w:left="0" w:firstLine="567"/>
        <w:rPr>
          <w:rFonts w:ascii="宋体" w:hAnsi="宋体" w:cs="宋体"/>
          <w:color w:val="auto"/>
          <w:sz w:val="28"/>
          <w:szCs w:val="28"/>
          <w:highlight w:val="none"/>
        </w:rPr>
      </w:pPr>
      <w:r>
        <w:rPr>
          <w:rFonts w:hint="eastAsia" w:ascii="宋体" w:hAnsi="宋体" w:cs="宋体"/>
          <w:color w:val="auto"/>
          <w:sz w:val="28"/>
          <w:szCs w:val="28"/>
          <w:highlight w:val="none"/>
        </w:rPr>
        <w:t>配合处理供应商投诉；</w:t>
      </w:r>
    </w:p>
    <w:p>
      <w:pPr>
        <w:numPr>
          <w:ilvl w:val="1"/>
          <w:numId w:val="33"/>
        </w:numPr>
        <w:tabs>
          <w:tab w:val="left" w:pos="1134"/>
        </w:tabs>
        <w:spacing w:after="0" w:line="360" w:lineRule="auto"/>
        <w:ind w:left="0" w:firstLine="567"/>
        <w:rPr>
          <w:rFonts w:ascii="宋体" w:hAnsi="宋体" w:cs="宋体"/>
          <w:color w:val="auto"/>
          <w:sz w:val="28"/>
          <w:szCs w:val="28"/>
          <w:highlight w:val="none"/>
        </w:rPr>
      </w:pPr>
      <w:r>
        <w:rPr>
          <w:rFonts w:hint="eastAsia" w:ascii="宋体" w:hAnsi="宋体" w:cs="宋体"/>
          <w:color w:val="auto"/>
          <w:sz w:val="28"/>
          <w:szCs w:val="28"/>
          <w:highlight w:val="none"/>
        </w:rPr>
        <w:t>法律、法规和规章规定的其他职责；</w:t>
      </w:r>
    </w:p>
    <w:p>
      <w:pPr>
        <w:numPr>
          <w:ilvl w:val="0"/>
          <w:numId w:val="32"/>
        </w:numPr>
        <w:tabs>
          <w:tab w:val="left" w:pos="1134"/>
        </w:tabs>
        <w:spacing w:after="0" w:line="360" w:lineRule="auto"/>
        <w:ind w:left="0" w:firstLine="565" w:firstLineChars="202"/>
        <w:rPr>
          <w:rFonts w:ascii="宋体" w:hAnsi="宋体"/>
          <w:color w:val="auto"/>
          <w:sz w:val="28"/>
          <w:szCs w:val="28"/>
          <w:highlight w:val="none"/>
        </w:rPr>
      </w:pPr>
      <w:r>
        <w:rPr>
          <w:rFonts w:hint="eastAsia" w:ascii="宋体" w:hAnsi="宋体"/>
          <w:color w:val="auto"/>
          <w:sz w:val="28"/>
          <w:szCs w:val="28"/>
          <w:highlight w:val="none"/>
        </w:rPr>
        <w:t>评审过程独立、保密。供应商非法干预评审过程的行为将导致其施工响应文件作为无效处理。</w:t>
      </w:r>
    </w:p>
    <w:p>
      <w:pPr>
        <w:numPr>
          <w:ilvl w:val="0"/>
          <w:numId w:val="32"/>
        </w:numPr>
        <w:tabs>
          <w:tab w:val="left" w:pos="1134"/>
        </w:tabs>
        <w:spacing w:after="0" w:line="360" w:lineRule="auto"/>
        <w:ind w:left="0" w:firstLine="565" w:firstLineChars="202"/>
        <w:rPr>
          <w:rFonts w:ascii="宋体" w:hAnsi="宋体"/>
          <w:color w:val="auto"/>
          <w:sz w:val="28"/>
          <w:szCs w:val="28"/>
          <w:highlight w:val="none"/>
        </w:rPr>
      </w:pPr>
      <w:r>
        <w:rPr>
          <w:rFonts w:hint="eastAsia" w:ascii="宋体" w:hAnsi="宋体"/>
          <w:color w:val="auto"/>
          <w:sz w:val="28"/>
          <w:szCs w:val="28"/>
          <w:highlight w:val="none"/>
        </w:rPr>
        <w:t>磋商小组决定施工响应文件的响应性依据施工响应文件本身的内容，而不寻求外部的证据，磋商文件有明确约定的除外。</w:t>
      </w:r>
    </w:p>
    <w:p>
      <w:pPr>
        <w:pStyle w:val="4"/>
        <w:numPr>
          <w:ilvl w:val="1"/>
          <w:numId w:val="1"/>
        </w:numPr>
        <w:tabs>
          <w:tab w:val="left" w:pos="993"/>
          <w:tab w:val="clear" w:pos="426"/>
          <w:tab w:val="clear" w:pos="567"/>
        </w:tabs>
        <w:spacing w:before="0" w:after="0"/>
        <w:ind w:left="0" w:firstLine="0"/>
        <w:jc w:val="both"/>
        <w:rPr>
          <w:color w:val="auto"/>
          <w:highlight w:val="none"/>
        </w:rPr>
      </w:pPr>
      <w:bookmarkStart w:id="99" w:name="_Toc3633"/>
      <w:bookmarkStart w:id="100" w:name="_Toc61004791"/>
      <w:r>
        <w:rPr>
          <w:rFonts w:hint="eastAsia"/>
          <w:color w:val="auto"/>
          <w:highlight w:val="none"/>
        </w:rPr>
        <w:t>磋商程序</w:t>
      </w:r>
      <w:bookmarkEnd w:id="99"/>
    </w:p>
    <w:p>
      <w:pPr>
        <w:spacing w:line="360" w:lineRule="auto"/>
        <w:ind w:firstLine="570"/>
        <w:rPr>
          <w:rFonts w:ascii="宋体" w:hAnsi="宋体"/>
          <w:color w:val="auto"/>
          <w:sz w:val="28"/>
          <w:szCs w:val="28"/>
          <w:highlight w:val="none"/>
        </w:rPr>
      </w:pPr>
      <w:r>
        <w:rPr>
          <w:rFonts w:hint="eastAsia" w:ascii="宋体" w:hAnsi="宋体"/>
          <w:color w:val="auto"/>
          <w:sz w:val="28"/>
          <w:szCs w:val="28"/>
          <w:highlight w:val="none"/>
        </w:rPr>
        <w:t>磋商会议地点应当为竞争性磋商文件中预先确定的地点。磋商会议由</w:t>
      </w:r>
      <w:r>
        <w:rPr>
          <w:rFonts w:hint="eastAsia" w:ascii="宋体" w:hAnsi="宋体"/>
          <w:color w:val="auto"/>
          <w:sz w:val="28"/>
          <w:szCs w:val="28"/>
          <w:highlight w:val="none"/>
          <w:lang w:eastAsia="zh-CN"/>
        </w:rPr>
        <w:t>区采购中心</w:t>
      </w:r>
      <w:r>
        <w:rPr>
          <w:rFonts w:hint="eastAsia" w:ascii="宋体" w:hAnsi="宋体"/>
          <w:color w:val="auto"/>
          <w:sz w:val="28"/>
          <w:szCs w:val="28"/>
          <w:highlight w:val="none"/>
        </w:rPr>
        <w:t>主持，供应商代表参加。</w:t>
      </w:r>
    </w:p>
    <w:p>
      <w:pPr>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磋商应由监督人员对现场进行监督，且可根据具体情况邀请有关监督管理部门对采购活动进行现场监督。</w:t>
      </w:r>
    </w:p>
    <w:p>
      <w:pPr>
        <w:pStyle w:val="4"/>
        <w:numPr>
          <w:ilvl w:val="2"/>
          <w:numId w:val="1"/>
        </w:numPr>
        <w:tabs>
          <w:tab w:val="left" w:pos="993"/>
          <w:tab w:val="clear" w:pos="426"/>
          <w:tab w:val="clear" w:pos="567"/>
        </w:tabs>
        <w:rPr>
          <w:color w:val="auto"/>
          <w:highlight w:val="none"/>
        </w:rPr>
      </w:pPr>
      <w:bookmarkStart w:id="101" w:name="_Toc320698735"/>
      <w:bookmarkStart w:id="102" w:name="_Toc15374"/>
      <w:bookmarkStart w:id="103" w:name="_Toc2367"/>
      <w:bookmarkStart w:id="104" w:name="_Toc63437907"/>
      <w:bookmarkStart w:id="105" w:name="_Toc63084321"/>
      <w:bookmarkStart w:id="106" w:name="_Toc72938451"/>
      <w:bookmarkStart w:id="107" w:name="_Toc61004793"/>
      <w:bookmarkStart w:id="108" w:name="_Toc320698736"/>
      <w:r>
        <w:rPr>
          <w:rFonts w:hint="eastAsia"/>
          <w:color w:val="auto"/>
          <w:highlight w:val="none"/>
        </w:rPr>
        <w:t>供应商</w:t>
      </w:r>
      <w:bookmarkEnd w:id="101"/>
      <w:r>
        <w:rPr>
          <w:rFonts w:hint="eastAsia"/>
          <w:color w:val="auto"/>
          <w:highlight w:val="none"/>
        </w:rPr>
        <w:t>参与</w:t>
      </w:r>
      <w:bookmarkEnd w:id="102"/>
      <w:bookmarkEnd w:id="103"/>
    </w:p>
    <w:p>
      <w:pPr>
        <w:spacing w:line="360" w:lineRule="auto"/>
        <w:ind w:firstLine="565" w:firstLineChars="202"/>
        <w:rPr>
          <w:color w:val="auto"/>
          <w:highlight w:val="none"/>
        </w:rPr>
      </w:pPr>
      <w:r>
        <w:rPr>
          <w:rFonts w:hint="eastAsia" w:ascii="宋体" w:hAnsi="宋体"/>
          <w:color w:val="auto"/>
          <w:sz w:val="28"/>
          <w:szCs w:val="28"/>
          <w:highlight w:val="none"/>
        </w:rPr>
        <w:t>供应商应按</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文件要求获取</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文件后，参与的供应商不足3家的，本次竞争性</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采购活动终止，发布终止竞争性</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公告。</w:t>
      </w:r>
    </w:p>
    <w:p>
      <w:pPr>
        <w:pStyle w:val="4"/>
        <w:numPr>
          <w:ilvl w:val="2"/>
          <w:numId w:val="1"/>
        </w:numPr>
        <w:tabs>
          <w:tab w:val="left" w:pos="993"/>
          <w:tab w:val="clear" w:pos="426"/>
          <w:tab w:val="clear" w:pos="567"/>
        </w:tabs>
        <w:rPr>
          <w:color w:val="auto"/>
          <w:highlight w:val="none"/>
        </w:rPr>
      </w:pPr>
      <w:bookmarkStart w:id="109" w:name="_Toc800"/>
      <w:r>
        <w:rPr>
          <w:rFonts w:hint="eastAsia"/>
          <w:color w:val="auto"/>
          <w:highlight w:val="none"/>
        </w:rPr>
        <w:t>递交施工响应文件</w:t>
      </w:r>
      <w:bookmarkEnd w:id="104"/>
      <w:bookmarkEnd w:id="105"/>
      <w:bookmarkEnd w:id="106"/>
      <w:bookmarkEnd w:id="109"/>
    </w:p>
    <w:p>
      <w:pPr>
        <w:widowControl w:val="0"/>
        <w:tabs>
          <w:tab w:val="left" w:pos="1134"/>
        </w:tabs>
        <w:snapToGrid w:val="0"/>
        <w:spacing w:line="360" w:lineRule="auto"/>
        <w:ind w:firstLine="560" w:firstLineChars="200"/>
        <w:jc w:val="both"/>
        <w:rPr>
          <w:rFonts w:ascii="宋体" w:hAnsi="宋体"/>
          <w:color w:val="auto"/>
          <w:sz w:val="28"/>
          <w:szCs w:val="28"/>
          <w:highlight w:val="none"/>
        </w:rPr>
      </w:pPr>
      <w:r>
        <w:rPr>
          <w:rFonts w:hint="eastAsia" w:ascii="宋体" w:hAnsi="宋体"/>
          <w:color w:val="auto"/>
          <w:sz w:val="28"/>
          <w:szCs w:val="28"/>
          <w:highlight w:val="none"/>
        </w:rPr>
        <w:t>供应商应按</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文件要求递交施工响应文件。递交施工响应文件截止时间结束后，递交施工响应文件的供应商不足三家的，本次竞争性</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采购活动终止，发布终止竞争性</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公告。</w:t>
      </w:r>
    </w:p>
    <w:bookmarkEnd w:id="107"/>
    <w:bookmarkEnd w:id="108"/>
    <w:p>
      <w:pPr>
        <w:pStyle w:val="4"/>
        <w:numPr>
          <w:ilvl w:val="2"/>
          <w:numId w:val="1"/>
        </w:numPr>
        <w:tabs>
          <w:tab w:val="left" w:pos="993"/>
          <w:tab w:val="clear" w:pos="426"/>
          <w:tab w:val="clear" w:pos="567"/>
        </w:tabs>
        <w:spacing w:before="0" w:after="0"/>
        <w:jc w:val="both"/>
        <w:rPr>
          <w:color w:val="auto"/>
          <w:highlight w:val="none"/>
        </w:rPr>
      </w:pPr>
      <w:bookmarkStart w:id="110" w:name="_Toc61004794"/>
      <w:bookmarkStart w:id="111" w:name="_Toc4430"/>
      <w:r>
        <w:rPr>
          <w:rFonts w:hint="eastAsia"/>
          <w:color w:val="auto"/>
          <w:highlight w:val="none"/>
        </w:rPr>
        <w:t>确定邀请参加磋商的供应商数量</w:t>
      </w:r>
      <w:bookmarkEnd w:id="110"/>
      <w:bookmarkEnd w:id="111"/>
    </w:p>
    <w:p>
      <w:pPr>
        <w:tabs>
          <w:tab w:val="left" w:pos="1134"/>
        </w:tabs>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邀请已通过本次采购资格审查并随机抽取选中的供应商参加本项目的竞争性磋商。</w:t>
      </w:r>
    </w:p>
    <w:p>
      <w:pPr>
        <w:pStyle w:val="4"/>
        <w:numPr>
          <w:ilvl w:val="2"/>
          <w:numId w:val="1"/>
        </w:numPr>
        <w:tabs>
          <w:tab w:val="left" w:pos="993"/>
          <w:tab w:val="clear" w:pos="426"/>
          <w:tab w:val="clear" w:pos="567"/>
        </w:tabs>
        <w:spacing w:before="0" w:after="0"/>
        <w:jc w:val="both"/>
        <w:rPr>
          <w:color w:val="auto"/>
          <w:highlight w:val="none"/>
        </w:rPr>
      </w:pPr>
      <w:bookmarkStart w:id="112" w:name="_Toc287623646"/>
      <w:bookmarkStart w:id="113" w:name="_Toc61004795"/>
      <w:bookmarkStart w:id="114" w:name="_Toc31874"/>
      <w:r>
        <w:rPr>
          <w:rFonts w:hint="eastAsia"/>
          <w:color w:val="auto"/>
          <w:highlight w:val="none"/>
        </w:rPr>
        <w:t>成立磋商小组</w:t>
      </w:r>
      <w:bookmarkEnd w:id="112"/>
      <w:bookmarkEnd w:id="113"/>
      <w:bookmarkEnd w:id="114"/>
    </w:p>
    <w:p>
      <w:pPr>
        <w:pStyle w:val="26"/>
        <w:spacing w:line="360" w:lineRule="auto"/>
        <w:ind w:firstLine="560" w:firstLineChars="200"/>
        <w:rPr>
          <w:rFonts w:hAnsi="宋体" w:eastAsia="宋体"/>
          <w:color w:val="auto"/>
          <w:sz w:val="28"/>
          <w:szCs w:val="28"/>
          <w:highlight w:val="none"/>
        </w:rPr>
      </w:pPr>
      <w:r>
        <w:rPr>
          <w:rFonts w:hint="eastAsia" w:hAnsi="宋体" w:eastAsia="宋体"/>
          <w:color w:val="auto"/>
          <w:sz w:val="28"/>
          <w:szCs w:val="28"/>
          <w:highlight w:val="none"/>
        </w:rPr>
        <w:t>磋商小组</w:t>
      </w:r>
      <w:r>
        <w:rPr>
          <w:rFonts w:hAnsi="宋体" w:eastAsia="宋体"/>
          <w:color w:val="auto"/>
          <w:sz w:val="28"/>
          <w:szCs w:val="28"/>
          <w:highlight w:val="none"/>
        </w:rPr>
        <w:t>由采购人代表和</w:t>
      </w:r>
      <w:r>
        <w:rPr>
          <w:rFonts w:hint="eastAsia" w:hAnsi="宋体" w:eastAsia="宋体"/>
          <w:color w:val="auto"/>
          <w:sz w:val="28"/>
          <w:szCs w:val="28"/>
          <w:highlight w:val="none"/>
        </w:rPr>
        <w:t>根据采购项目情况确定的技术或经济或法律等有关专家3人</w:t>
      </w:r>
      <w:r>
        <w:rPr>
          <w:rFonts w:hAnsi="宋体" w:eastAsia="宋体"/>
          <w:color w:val="auto"/>
          <w:sz w:val="28"/>
          <w:szCs w:val="28"/>
          <w:highlight w:val="none"/>
        </w:rPr>
        <w:t>以上的单数组成</w:t>
      </w:r>
      <w:r>
        <w:rPr>
          <w:rFonts w:hint="eastAsia" w:hAnsi="宋体" w:eastAsia="宋体"/>
          <w:color w:val="auto"/>
          <w:sz w:val="28"/>
          <w:szCs w:val="28"/>
          <w:highlight w:val="none"/>
        </w:rPr>
        <w:t>。磋商小组</w:t>
      </w:r>
      <w:r>
        <w:rPr>
          <w:rFonts w:hAnsi="宋体" w:eastAsia="宋体"/>
          <w:color w:val="auto"/>
          <w:sz w:val="28"/>
          <w:szCs w:val="28"/>
          <w:highlight w:val="none"/>
        </w:rPr>
        <w:t>负责本项目的</w:t>
      </w:r>
      <w:r>
        <w:rPr>
          <w:rFonts w:hint="eastAsia" w:hAnsi="宋体" w:eastAsia="宋体"/>
          <w:color w:val="auto"/>
          <w:sz w:val="28"/>
          <w:szCs w:val="28"/>
          <w:highlight w:val="none"/>
        </w:rPr>
        <w:t>磋商</w:t>
      </w:r>
      <w:r>
        <w:rPr>
          <w:rFonts w:hAnsi="宋体" w:eastAsia="宋体"/>
          <w:color w:val="auto"/>
          <w:sz w:val="28"/>
          <w:szCs w:val="28"/>
          <w:highlight w:val="none"/>
        </w:rPr>
        <w:t>和评</w:t>
      </w:r>
      <w:r>
        <w:rPr>
          <w:rFonts w:hint="eastAsia" w:hAnsi="宋体" w:eastAsia="宋体"/>
          <w:color w:val="auto"/>
          <w:sz w:val="28"/>
          <w:szCs w:val="28"/>
          <w:highlight w:val="none"/>
        </w:rPr>
        <w:t>审</w:t>
      </w:r>
      <w:r>
        <w:rPr>
          <w:rFonts w:hAnsi="宋体" w:eastAsia="宋体"/>
          <w:color w:val="auto"/>
          <w:sz w:val="28"/>
          <w:szCs w:val="28"/>
          <w:highlight w:val="none"/>
        </w:rPr>
        <w:t>工作。</w:t>
      </w:r>
    </w:p>
    <w:p>
      <w:pPr>
        <w:pStyle w:val="4"/>
        <w:numPr>
          <w:ilvl w:val="2"/>
          <w:numId w:val="1"/>
        </w:numPr>
        <w:tabs>
          <w:tab w:val="left" w:pos="993"/>
          <w:tab w:val="clear" w:pos="426"/>
          <w:tab w:val="clear" w:pos="567"/>
        </w:tabs>
        <w:spacing w:before="0" w:after="0"/>
        <w:jc w:val="both"/>
        <w:rPr>
          <w:color w:val="auto"/>
          <w:highlight w:val="none"/>
        </w:rPr>
      </w:pPr>
      <w:bookmarkStart w:id="115" w:name="_Toc61004796"/>
      <w:bookmarkStart w:id="116" w:name="_Toc7708"/>
      <w:r>
        <w:rPr>
          <w:rFonts w:hint="eastAsia"/>
          <w:color w:val="auto"/>
          <w:highlight w:val="none"/>
        </w:rPr>
        <w:t>磋商</w:t>
      </w:r>
      <w:bookmarkEnd w:id="115"/>
      <w:bookmarkEnd w:id="116"/>
    </w:p>
    <w:p>
      <w:pPr>
        <w:widowControl w:val="0"/>
        <w:numPr>
          <w:ilvl w:val="1"/>
          <w:numId w:val="34"/>
        </w:numPr>
        <w:tabs>
          <w:tab w:val="left" w:pos="1134"/>
        </w:tabs>
        <w:snapToGrid w:val="0"/>
        <w:spacing w:line="620" w:lineRule="exact"/>
        <w:ind w:left="0" w:firstLine="565" w:firstLineChars="202"/>
        <w:jc w:val="both"/>
        <w:rPr>
          <w:rFonts w:ascii="宋体" w:hAnsi="宋体"/>
          <w:color w:val="auto"/>
          <w:sz w:val="28"/>
          <w:szCs w:val="28"/>
          <w:highlight w:val="none"/>
        </w:rPr>
      </w:pPr>
      <w:r>
        <w:rPr>
          <w:rFonts w:hint="eastAsia" w:ascii="宋体" w:hAnsi="宋体"/>
          <w:color w:val="auto"/>
          <w:sz w:val="28"/>
          <w:szCs w:val="28"/>
          <w:highlight w:val="none"/>
        </w:rPr>
        <w:t>确定</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顺序：</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小组与邀请参加</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的供应商分别进行</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顺序以现场抽签的方式确定</w:t>
      </w:r>
      <w:r>
        <w:rPr>
          <w:rFonts w:hint="eastAsia" w:ascii="宋体" w:hAnsi="宋体"/>
          <w:b/>
          <w:color w:val="auto"/>
          <w:sz w:val="28"/>
          <w:szCs w:val="28"/>
          <w:highlight w:val="none"/>
        </w:rPr>
        <w:t>（查验供应商法定代表人或其代理人身份证原件）</w:t>
      </w:r>
      <w:r>
        <w:rPr>
          <w:rFonts w:hint="eastAsia" w:ascii="宋体" w:hAnsi="宋体"/>
          <w:color w:val="auto"/>
          <w:sz w:val="28"/>
          <w:szCs w:val="28"/>
          <w:highlight w:val="none"/>
        </w:rPr>
        <w:t>。如供应商法定代表人或其代理人未携带身份证的，可在收到</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邀请书起</w:t>
      </w:r>
      <w:r>
        <w:rPr>
          <w:rFonts w:ascii="宋体" w:hAnsi="宋体"/>
          <w:color w:val="auto"/>
          <w:sz w:val="28"/>
          <w:szCs w:val="28"/>
          <w:highlight w:val="none"/>
        </w:rPr>
        <w:t>90分钟内</w:t>
      </w:r>
      <w:r>
        <w:rPr>
          <w:rFonts w:hint="eastAsia" w:ascii="宋体" w:hAnsi="宋体"/>
          <w:color w:val="auto"/>
          <w:sz w:val="28"/>
          <w:szCs w:val="28"/>
          <w:highlight w:val="none"/>
        </w:rPr>
        <w:t>补查身份证原件，逾期未提供的，</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小组应拒绝其参与</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w:t>
      </w:r>
    </w:p>
    <w:p>
      <w:pPr>
        <w:widowControl w:val="0"/>
        <w:numPr>
          <w:ilvl w:val="0"/>
          <w:numId w:val="0"/>
        </w:numPr>
        <w:tabs>
          <w:tab w:val="left" w:pos="1134"/>
        </w:tabs>
        <w:spacing w:after="200" w:line="360" w:lineRule="auto"/>
        <w:ind w:leftChars="200"/>
        <w:jc w:val="both"/>
        <w:rPr>
          <w:rFonts w:ascii="宋体" w:hAnsi="宋体"/>
          <w:color w:val="auto"/>
          <w:sz w:val="28"/>
          <w:szCs w:val="28"/>
          <w:highlight w:val="none"/>
        </w:rPr>
      </w:pPr>
      <w:r>
        <w:rPr>
          <w:rFonts w:hint="eastAsia" w:ascii="宋体" w:hAnsi="宋体"/>
          <w:color w:val="auto"/>
          <w:sz w:val="28"/>
          <w:szCs w:val="28"/>
          <w:highlight w:val="none"/>
          <w:lang w:eastAsia="zh-CN"/>
        </w:rPr>
        <w:t>二、</w:t>
      </w:r>
      <w:r>
        <w:rPr>
          <w:rFonts w:hint="eastAsia" w:ascii="宋体" w:hAnsi="宋体"/>
          <w:color w:val="auto"/>
          <w:sz w:val="28"/>
          <w:szCs w:val="28"/>
          <w:highlight w:val="none"/>
        </w:rPr>
        <w:t>磋商小组所有成员集中与单一供应商对技术、服务、合同条款等内容分别进行一轮或多轮的磋商。在磋商中，磋商的任何一方不得透露与磋商有关的其他供应商的技术资料、价格和其他信息。</w:t>
      </w:r>
    </w:p>
    <w:p>
      <w:pPr>
        <w:numPr>
          <w:ilvl w:val="0"/>
          <w:numId w:val="0"/>
        </w:numPr>
        <w:tabs>
          <w:tab w:val="left" w:pos="1134"/>
        </w:tabs>
        <w:spacing w:line="360" w:lineRule="auto"/>
        <w:ind w:leftChars="200"/>
        <w:rPr>
          <w:rFonts w:ascii="宋体" w:hAnsi="宋体"/>
          <w:color w:val="auto"/>
          <w:sz w:val="28"/>
          <w:szCs w:val="28"/>
          <w:highlight w:val="none"/>
        </w:rPr>
      </w:pPr>
      <w:r>
        <w:rPr>
          <w:rFonts w:hint="eastAsia" w:ascii="宋体" w:hAnsi="宋体"/>
          <w:color w:val="auto"/>
          <w:sz w:val="28"/>
          <w:szCs w:val="28"/>
          <w:highlight w:val="none"/>
          <w:lang w:eastAsia="zh-CN"/>
        </w:rPr>
        <w:t>三、</w:t>
      </w:r>
      <w:r>
        <w:rPr>
          <w:rFonts w:hint="eastAsia" w:ascii="宋体" w:hAnsi="宋体"/>
          <w:color w:val="auto"/>
          <w:sz w:val="28"/>
          <w:szCs w:val="28"/>
          <w:highlight w:val="none"/>
        </w:rPr>
        <w:t>磋商内容为第4章中“技术、服务、商务及其他要求”、第6章“合同草案条款”。其中第4章中加★号的条款为采购项目的</w:t>
      </w:r>
      <w:r>
        <w:rPr>
          <w:rFonts w:hint="eastAsia" w:ascii="宋体" w:hAnsi="宋体" w:cs="宋体"/>
          <w:color w:val="auto"/>
          <w:sz w:val="28"/>
          <w:szCs w:val="28"/>
          <w:highlight w:val="none"/>
        </w:rPr>
        <w:t>最低要求</w:t>
      </w:r>
      <w:r>
        <w:rPr>
          <w:rFonts w:hint="eastAsia" w:ascii="宋体" w:hAnsi="宋体"/>
          <w:color w:val="auto"/>
          <w:sz w:val="28"/>
          <w:szCs w:val="28"/>
          <w:highlight w:val="none"/>
        </w:rPr>
        <w:t>，为非磋商可以降低标准的内容。</w:t>
      </w:r>
    </w:p>
    <w:p>
      <w:pPr>
        <w:numPr>
          <w:ilvl w:val="0"/>
          <w:numId w:val="0"/>
        </w:numPr>
        <w:tabs>
          <w:tab w:val="left" w:pos="1134"/>
        </w:tabs>
        <w:spacing w:line="360" w:lineRule="auto"/>
        <w:ind w:leftChars="200"/>
        <w:rPr>
          <w:rFonts w:ascii="宋体" w:hAnsi="宋体"/>
          <w:color w:val="auto"/>
          <w:sz w:val="28"/>
          <w:szCs w:val="28"/>
          <w:highlight w:val="none"/>
        </w:rPr>
      </w:pPr>
      <w:r>
        <w:rPr>
          <w:rFonts w:hint="eastAsia" w:ascii="宋体" w:hAnsi="宋体"/>
          <w:color w:val="auto"/>
          <w:sz w:val="28"/>
          <w:szCs w:val="28"/>
          <w:highlight w:val="none"/>
          <w:lang w:eastAsia="zh-CN"/>
        </w:rPr>
        <w:t>四、</w:t>
      </w:r>
      <w:r>
        <w:rPr>
          <w:rFonts w:hint="eastAsia" w:ascii="宋体" w:hAnsi="宋体"/>
          <w:color w:val="auto"/>
          <w:sz w:val="28"/>
          <w:szCs w:val="28"/>
          <w:highlight w:val="none"/>
        </w:rPr>
        <w:t>磋商过程中，磋商小组获得采购人同意（由采购人代表签字确认）后，可以根据磋商文件和磋商情况实质性变动磋商文件中的第4章技术、服务、商务及其他要求、第6章合同草案条款，但不得变动磋商文件中的其他内容。对磋商文件作出的实质性变动是磋商文件的有效组成部分，磋商小组应通过“询标”功能，将变动情况通知所有参加磋商的供应商。磋商过程中，磋商小组可以根据磋商情况调整磋商轮次。</w:t>
      </w:r>
    </w:p>
    <w:p>
      <w:pPr>
        <w:widowControl w:val="0"/>
        <w:numPr>
          <w:ilvl w:val="0"/>
          <w:numId w:val="0"/>
        </w:numPr>
        <w:tabs>
          <w:tab w:val="left" w:pos="1134"/>
        </w:tabs>
        <w:spacing w:after="200" w:line="360" w:lineRule="auto"/>
        <w:ind w:leftChars="200"/>
        <w:jc w:val="both"/>
        <w:rPr>
          <w:rFonts w:ascii="宋体" w:hAnsi="宋体"/>
          <w:color w:val="auto"/>
          <w:sz w:val="28"/>
          <w:szCs w:val="28"/>
          <w:highlight w:val="none"/>
        </w:rPr>
      </w:pPr>
      <w:r>
        <w:rPr>
          <w:rFonts w:hint="eastAsia" w:ascii="宋体" w:hAnsi="宋体"/>
          <w:color w:val="auto"/>
          <w:sz w:val="28"/>
          <w:szCs w:val="28"/>
          <w:highlight w:val="none"/>
          <w:lang w:eastAsia="zh-CN"/>
        </w:rPr>
        <w:t>五、</w:t>
      </w:r>
      <w:r>
        <w:rPr>
          <w:rFonts w:hint="eastAsia" w:ascii="宋体" w:hAnsi="宋体"/>
          <w:color w:val="auto"/>
          <w:sz w:val="28"/>
          <w:szCs w:val="28"/>
          <w:highlight w:val="none"/>
        </w:rPr>
        <w:t>磋商过程中，供应商可以根据磋商情况变更其施工响应文件，并将变更内容通过“澄清”功能送磋商小组。变更内容作为施工响应文件的一部分。供应商书面材料应加盖供应商（法定名称）电子签章，否则无效。</w:t>
      </w:r>
    </w:p>
    <w:p>
      <w:pPr>
        <w:numPr>
          <w:ilvl w:val="0"/>
          <w:numId w:val="0"/>
        </w:numPr>
        <w:tabs>
          <w:tab w:val="left" w:pos="1134"/>
        </w:tabs>
        <w:spacing w:line="360" w:lineRule="auto"/>
        <w:ind w:leftChars="200"/>
        <w:rPr>
          <w:rFonts w:ascii="宋体" w:hAnsi="宋体"/>
          <w:color w:val="auto"/>
          <w:sz w:val="28"/>
          <w:szCs w:val="28"/>
          <w:highlight w:val="none"/>
        </w:rPr>
      </w:pPr>
      <w:r>
        <w:rPr>
          <w:rFonts w:hint="eastAsia" w:ascii="宋体" w:hAnsi="宋体"/>
          <w:color w:val="auto"/>
          <w:sz w:val="28"/>
          <w:szCs w:val="28"/>
          <w:highlight w:val="none"/>
          <w:lang w:eastAsia="zh-CN"/>
        </w:rPr>
        <w:t>六、</w:t>
      </w:r>
      <w:r>
        <w:rPr>
          <w:rFonts w:hint="eastAsia" w:ascii="宋体" w:hAnsi="宋体"/>
          <w:color w:val="auto"/>
          <w:sz w:val="28"/>
          <w:szCs w:val="28"/>
          <w:highlight w:val="none"/>
        </w:rPr>
        <w:t>磋商小组经过一轮或多轮磋商后，供应商的施工响应文件仍然不能满足磋商文件中采购项目的最低要求，或者磋商过程中，磋商小组发现或者知晓供应商存在违法、违纪行为的，磋商小组应当将该供应商淘汰，不允许其参加最后报价。</w:t>
      </w:r>
    </w:p>
    <w:p>
      <w:pPr>
        <w:pStyle w:val="4"/>
        <w:numPr>
          <w:ilvl w:val="2"/>
          <w:numId w:val="1"/>
        </w:numPr>
        <w:tabs>
          <w:tab w:val="left" w:pos="993"/>
          <w:tab w:val="clear" w:pos="426"/>
          <w:tab w:val="clear" w:pos="567"/>
        </w:tabs>
        <w:spacing w:before="0" w:after="0"/>
        <w:jc w:val="both"/>
        <w:rPr>
          <w:color w:val="auto"/>
          <w:highlight w:val="none"/>
        </w:rPr>
      </w:pPr>
      <w:bookmarkStart w:id="117" w:name="_Toc61004797"/>
      <w:bookmarkStart w:id="118" w:name="_Toc25183"/>
      <w:r>
        <w:rPr>
          <w:rFonts w:hint="eastAsia"/>
          <w:color w:val="auto"/>
          <w:highlight w:val="none"/>
        </w:rPr>
        <w:t>符合性审查</w:t>
      </w:r>
      <w:bookmarkEnd w:id="117"/>
      <w:bookmarkEnd w:id="118"/>
    </w:p>
    <w:p>
      <w:pPr>
        <w:pStyle w:val="26"/>
        <w:numPr>
          <w:ilvl w:val="0"/>
          <w:numId w:val="35"/>
        </w:numPr>
        <w:tabs>
          <w:tab w:val="left" w:pos="1134"/>
        </w:tabs>
        <w:snapToGrid w:val="0"/>
        <w:spacing w:line="360" w:lineRule="auto"/>
        <w:ind w:left="0" w:firstLine="560"/>
        <w:rPr>
          <w:rFonts w:hAnsi="宋体" w:eastAsia="宋体" w:cs="Times New Roman"/>
          <w:color w:val="auto"/>
          <w:sz w:val="28"/>
          <w:szCs w:val="28"/>
          <w:highlight w:val="none"/>
        </w:rPr>
      </w:pPr>
      <w:r>
        <w:rPr>
          <w:rFonts w:hAnsi="宋体" w:eastAsia="宋体" w:cs="Times New Roman"/>
          <w:color w:val="auto"/>
          <w:sz w:val="28"/>
          <w:szCs w:val="28"/>
          <w:highlight w:val="none"/>
        </w:rPr>
        <w:t>磋商过程中，磋商小组对</w:t>
      </w:r>
      <w:r>
        <w:rPr>
          <w:rFonts w:hint="eastAsia" w:hAnsi="宋体" w:eastAsia="宋体" w:cs="Times New Roman"/>
          <w:color w:val="auto"/>
          <w:sz w:val="28"/>
          <w:szCs w:val="28"/>
          <w:highlight w:val="none"/>
        </w:rPr>
        <w:t>供应商递交的首次</w:t>
      </w:r>
      <w:r>
        <w:rPr>
          <w:rFonts w:hAnsi="宋体" w:eastAsia="宋体" w:cs="Times New Roman"/>
          <w:color w:val="auto"/>
          <w:sz w:val="28"/>
          <w:szCs w:val="28"/>
          <w:highlight w:val="none"/>
        </w:rPr>
        <w:t>施工响应文件进行审查，审查中发现供应商</w:t>
      </w:r>
      <w:r>
        <w:rPr>
          <w:rFonts w:hint="eastAsia" w:hAnsi="宋体" w:eastAsia="宋体" w:cs="Times New Roman"/>
          <w:color w:val="auto"/>
          <w:sz w:val="28"/>
          <w:szCs w:val="28"/>
          <w:highlight w:val="none"/>
        </w:rPr>
        <w:t>首次</w:t>
      </w:r>
      <w:r>
        <w:rPr>
          <w:rFonts w:hAnsi="宋体" w:eastAsia="宋体" w:cs="Times New Roman"/>
          <w:color w:val="auto"/>
          <w:sz w:val="28"/>
          <w:szCs w:val="28"/>
          <w:highlight w:val="none"/>
        </w:rPr>
        <w:t>施工响应文件</w:t>
      </w:r>
      <w:r>
        <w:rPr>
          <w:rFonts w:hint="eastAsia" w:hAnsi="宋体" w:eastAsia="宋体" w:cs="Times New Roman"/>
          <w:color w:val="auto"/>
          <w:sz w:val="28"/>
          <w:szCs w:val="28"/>
          <w:highlight w:val="none"/>
        </w:rPr>
        <w:t>有</w:t>
      </w:r>
      <w:r>
        <w:rPr>
          <w:rFonts w:hAnsi="宋体" w:eastAsia="宋体" w:cs="Times New Roman"/>
          <w:color w:val="auto"/>
          <w:sz w:val="28"/>
          <w:szCs w:val="28"/>
          <w:highlight w:val="none"/>
        </w:rPr>
        <w:t>下列情况之一的，应按照无效施工响应文件处理：</w:t>
      </w:r>
    </w:p>
    <w:p>
      <w:pPr>
        <w:pStyle w:val="26"/>
        <w:numPr>
          <w:ilvl w:val="0"/>
          <w:numId w:val="36"/>
        </w:numPr>
        <w:tabs>
          <w:tab w:val="left" w:pos="1134"/>
        </w:tabs>
        <w:snapToGrid w:val="0"/>
        <w:spacing w:line="360" w:lineRule="auto"/>
        <w:ind w:left="0" w:firstLine="560"/>
        <w:rPr>
          <w:rFonts w:hAnsi="宋体" w:eastAsia="宋体" w:cs="Times New Roman"/>
          <w:color w:val="auto"/>
          <w:sz w:val="28"/>
          <w:szCs w:val="28"/>
          <w:highlight w:val="none"/>
        </w:rPr>
      </w:pPr>
      <w:r>
        <w:rPr>
          <w:rFonts w:hAnsi="宋体" w:eastAsia="宋体" w:cs="Times New Roman"/>
          <w:color w:val="auto"/>
          <w:sz w:val="28"/>
          <w:szCs w:val="28"/>
          <w:highlight w:val="none"/>
        </w:rPr>
        <w:t>施工响应文件的语言、报价货币</w:t>
      </w:r>
      <w:r>
        <w:rPr>
          <w:rFonts w:hint="eastAsia" w:hAnsi="宋体" w:eastAsia="宋体" w:cs="Times New Roman"/>
          <w:color w:val="auto"/>
          <w:sz w:val="28"/>
          <w:szCs w:val="28"/>
          <w:highlight w:val="none"/>
        </w:rPr>
        <w:t>、</w:t>
      </w:r>
      <w:r>
        <w:rPr>
          <w:rFonts w:hAnsi="宋体" w:eastAsia="宋体" w:cs="Times New Roman"/>
          <w:color w:val="auto"/>
          <w:sz w:val="28"/>
          <w:szCs w:val="28"/>
          <w:highlight w:val="none"/>
        </w:rPr>
        <w:t>知识产权</w:t>
      </w:r>
      <w:r>
        <w:rPr>
          <w:rFonts w:hint="eastAsia" w:hAnsi="宋体" w:eastAsia="宋体" w:cs="Times New Roman"/>
          <w:color w:val="auto"/>
          <w:sz w:val="28"/>
          <w:szCs w:val="28"/>
          <w:highlight w:val="none"/>
        </w:rPr>
        <w:t>、施工响应文件有效期</w:t>
      </w:r>
      <w:r>
        <w:rPr>
          <w:rFonts w:hAnsi="宋体" w:eastAsia="宋体" w:cs="Times New Roman"/>
          <w:color w:val="auto"/>
          <w:sz w:val="28"/>
          <w:szCs w:val="28"/>
          <w:highlight w:val="none"/>
        </w:rPr>
        <w:t>不符合采购文件的规定，影响磋商小组评判的；</w:t>
      </w:r>
    </w:p>
    <w:p>
      <w:pPr>
        <w:pStyle w:val="26"/>
        <w:numPr>
          <w:ilvl w:val="0"/>
          <w:numId w:val="36"/>
        </w:numPr>
        <w:tabs>
          <w:tab w:val="left" w:pos="1134"/>
        </w:tabs>
        <w:snapToGrid w:val="0"/>
        <w:spacing w:line="360" w:lineRule="auto"/>
        <w:ind w:left="0" w:firstLine="560"/>
        <w:rPr>
          <w:rFonts w:hAnsi="宋体" w:eastAsia="宋体" w:cs="Times New Roman"/>
          <w:color w:val="auto"/>
          <w:sz w:val="28"/>
          <w:szCs w:val="28"/>
          <w:highlight w:val="none"/>
        </w:rPr>
      </w:pPr>
      <w:r>
        <w:rPr>
          <w:rFonts w:hint="eastAsia" w:hAnsi="宋体" w:eastAsia="宋体" w:cs="Times New Roman"/>
          <w:color w:val="auto"/>
          <w:sz w:val="28"/>
          <w:szCs w:val="28"/>
          <w:highlight w:val="none"/>
        </w:rPr>
        <w:t>施工响应文件中未附已标价工程量清单（已明确</w:t>
      </w:r>
      <w:r>
        <w:rPr>
          <w:rFonts w:hAnsi="宋体" w:eastAsia="宋体" w:cs="Times New Roman"/>
          <w:color w:val="auto"/>
          <w:sz w:val="28"/>
          <w:szCs w:val="28"/>
          <w:highlight w:val="none"/>
        </w:rPr>
        <w:t>要求不需要</w:t>
      </w:r>
      <w:r>
        <w:rPr>
          <w:rFonts w:hint="eastAsia" w:hAnsi="宋体" w:eastAsia="宋体" w:cs="Times New Roman"/>
          <w:color w:val="auto"/>
          <w:sz w:val="28"/>
          <w:szCs w:val="28"/>
          <w:highlight w:val="none"/>
        </w:rPr>
        <w:t>提供</w:t>
      </w:r>
      <w:r>
        <w:rPr>
          <w:rFonts w:hAnsi="宋体" w:eastAsia="宋体" w:cs="Times New Roman"/>
          <w:color w:val="auto"/>
          <w:sz w:val="28"/>
          <w:szCs w:val="28"/>
          <w:highlight w:val="none"/>
        </w:rPr>
        <w:t>的除外）</w:t>
      </w:r>
      <w:r>
        <w:rPr>
          <w:rFonts w:hint="eastAsia" w:hAnsi="宋体" w:eastAsia="宋体" w:cs="Times New Roman"/>
          <w:color w:val="auto"/>
          <w:sz w:val="28"/>
          <w:szCs w:val="28"/>
          <w:highlight w:val="none"/>
        </w:rPr>
        <w:t>。</w:t>
      </w:r>
    </w:p>
    <w:p>
      <w:pPr>
        <w:pStyle w:val="26"/>
        <w:numPr>
          <w:ilvl w:val="0"/>
          <w:numId w:val="35"/>
        </w:numPr>
        <w:tabs>
          <w:tab w:val="left" w:pos="1134"/>
        </w:tabs>
        <w:snapToGrid w:val="0"/>
        <w:spacing w:line="360" w:lineRule="auto"/>
        <w:ind w:left="0" w:firstLine="560"/>
        <w:rPr>
          <w:rFonts w:hAnsi="宋体" w:eastAsia="宋体" w:cs="Times New Roman"/>
          <w:color w:val="auto"/>
          <w:sz w:val="28"/>
          <w:szCs w:val="28"/>
          <w:highlight w:val="none"/>
        </w:rPr>
      </w:pPr>
      <w:r>
        <w:rPr>
          <w:rFonts w:hint="eastAsia" w:hAnsi="宋体" w:eastAsia="宋体" w:cs="Times New Roman"/>
          <w:color w:val="auto"/>
          <w:sz w:val="28"/>
          <w:szCs w:val="28"/>
          <w:highlight w:val="none"/>
        </w:rPr>
        <w:t xml:space="preserve">经最终磋商后，施工响应文件仍有下列情况之一的，应按照无效施工响应文件处理： </w:t>
      </w:r>
    </w:p>
    <w:p>
      <w:pPr>
        <w:pStyle w:val="26"/>
        <w:numPr>
          <w:ilvl w:val="0"/>
          <w:numId w:val="37"/>
        </w:numPr>
        <w:tabs>
          <w:tab w:val="left" w:pos="1134"/>
        </w:tabs>
        <w:snapToGrid w:val="0"/>
        <w:spacing w:line="360" w:lineRule="auto"/>
        <w:ind w:left="0" w:firstLine="567"/>
        <w:rPr>
          <w:rFonts w:hAnsi="宋体" w:eastAsia="宋体" w:cs="Times New Roman"/>
          <w:color w:val="auto"/>
          <w:sz w:val="28"/>
          <w:szCs w:val="28"/>
          <w:highlight w:val="none"/>
        </w:rPr>
      </w:pPr>
      <w:r>
        <w:rPr>
          <w:rFonts w:hAnsi="宋体" w:eastAsia="宋体" w:cs="Times New Roman"/>
          <w:color w:val="auto"/>
          <w:sz w:val="28"/>
          <w:szCs w:val="28"/>
          <w:highlight w:val="none"/>
        </w:rPr>
        <w:t>施工响应文件仍不能完全响应采购文件的实质性要求的</w:t>
      </w:r>
      <w:r>
        <w:rPr>
          <w:rFonts w:hint="eastAsia" w:hAnsi="宋体" w:eastAsia="宋体" w:cs="Times New Roman"/>
          <w:color w:val="auto"/>
          <w:sz w:val="28"/>
          <w:szCs w:val="28"/>
          <w:highlight w:val="none"/>
        </w:rPr>
        <w:t>；</w:t>
      </w:r>
    </w:p>
    <w:p>
      <w:pPr>
        <w:pStyle w:val="26"/>
        <w:numPr>
          <w:ilvl w:val="0"/>
          <w:numId w:val="37"/>
        </w:numPr>
        <w:tabs>
          <w:tab w:val="left" w:pos="1134"/>
        </w:tabs>
        <w:snapToGrid w:val="0"/>
        <w:spacing w:line="360" w:lineRule="auto"/>
        <w:ind w:left="0" w:firstLine="567"/>
        <w:rPr>
          <w:rFonts w:hAnsi="宋体" w:eastAsia="宋体" w:cs="Times New Roman"/>
          <w:color w:val="auto"/>
          <w:sz w:val="28"/>
          <w:szCs w:val="28"/>
          <w:highlight w:val="none"/>
        </w:rPr>
      </w:pPr>
      <w:r>
        <w:rPr>
          <w:rFonts w:hint="eastAsia" w:hAnsi="宋体" w:eastAsia="宋体" w:cs="Times New Roman"/>
          <w:color w:val="auto"/>
          <w:sz w:val="28"/>
          <w:szCs w:val="28"/>
          <w:highlight w:val="none"/>
        </w:rPr>
        <w:t>施工响应文件仍中有规定的其他无效响应情形的。</w:t>
      </w:r>
    </w:p>
    <w:p>
      <w:pPr>
        <w:pStyle w:val="26"/>
        <w:numPr>
          <w:ilvl w:val="0"/>
          <w:numId w:val="35"/>
        </w:numPr>
        <w:tabs>
          <w:tab w:val="left" w:pos="1134"/>
        </w:tabs>
        <w:snapToGrid w:val="0"/>
        <w:spacing w:line="360" w:lineRule="auto"/>
        <w:ind w:left="0" w:firstLine="560"/>
        <w:rPr>
          <w:rFonts w:hAnsi="宋体" w:eastAsia="宋体" w:cs="Times New Roman"/>
          <w:color w:val="auto"/>
          <w:sz w:val="28"/>
          <w:szCs w:val="28"/>
          <w:highlight w:val="none"/>
        </w:rPr>
      </w:pPr>
      <w:r>
        <w:rPr>
          <w:rFonts w:hint="eastAsia" w:hAnsi="宋体" w:eastAsia="宋体" w:cs="Times New Roman"/>
          <w:color w:val="auto"/>
          <w:sz w:val="28"/>
          <w:szCs w:val="28"/>
          <w:highlight w:val="none"/>
        </w:rPr>
        <w:t>供应商首次施工响应文件中的报价（已标价工程量清单）进行评审</w:t>
      </w:r>
    </w:p>
    <w:p>
      <w:pPr>
        <w:pStyle w:val="65"/>
        <w:numPr>
          <w:ilvl w:val="0"/>
          <w:numId w:val="38"/>
        </w:numPr>
        <w:tabs>
          <w:tab w:val="left" w:pos="1134"/>
        </w:tabs>
        <w:snapToGrid w:val="0"/>
        <w:spacing w:after="0" w:line="360" w:lineRule="auto"/>
        <w:ind w:left="0" w:firstLine="567" w:firstLineChars="0"/>
        <w:rPr>
          <w:rFonts w:ascii="宋体" w:hAnsi="宋体" w:eastAsia="宋体"/>
          <w:color w:val="auto"/>
          <w:sz w:val="28"/>
          <w:szCs w:val="28"/>
          <w:highlight w:val="none"/>
        </w:rPr>
      </w:pPr>
      <w:r>
        <w:rPr>
          <w:rFonts w:hint="eastAsia" w:ascii="宋体" w:hAnsi="宋体" w:eastAsia="宋体"/>
          <w:color w:val="auto"/>
          <w:sz w:val="28"/>
          <w:szCs w:val="28"/>
          <w:highlight w:val="none"/>
        </w:rPr>
        <w:t>供应商已标价工程量清单出现</w:t>
      </w:r>
      <w:r>
        <w:rPr>
          <w:rFonts w:hint="eastAsia" w:ascii="宋体" w:hAnsi="宋体"/>
          <w:color w:val="auto"/>
          <w:sz w:val="28"/>
          <w:szCs w:val="28"/>
          <w:highlight w:val="none"/>
          <w:lang w:eastAsia="zh-CN"/>
        </w:rPr>
        <w:t>磋</w:t>
      </w:r>
      <w:r>
        <w:rPr>
          <w:rFonts w:hint="eastAsia" w:ascii="宋体" w:hAnsi="宋体" w:eastAsia="宋体"/>
          <w:color w:val="auto"/>
          <w:sz w:val="28"/>
          <w:szCs w:val="28"/>
          <w:highlight w:val="none"/>
        </w:rPr>
        <w:t>商文件“供应商须知附表”中第7项规定情形之一的，应按照无效施工响应文件处理；</w:t>
      </w:r>
    </w:p>
    <w:p>
      <w:pPr>
        <w:pStyle w:val="65"/>
        <w:numPr>
          <w:ilvl w:val="0"/>
          <w:numId w:val="38"/>
        </w:numPr>
        <w:tabs>
          <w:tab w:val="left" w:pos="1134"/>
        </w:tabs>
        <w:snapToGrid w:val="0"/>
        <w:spacing w:after="0" w:line="360" w:lineRule="auto"/>
        <w:ind w:left="0" w:firstLine="567" w:firstLineChars="0"/>
        <w:rPr>
          <w:rFonts w:ascii="宋体" w:hAnsi="宋体" w:eastAsia="宋体"/>
          <w:color w:val="auto"/>
          <w:sz w:val="28"/>
          <w:szCs w:val="28"/>
          <w:highlight w:val="none"/>
        </w:rPr>
      </w:pPr>
      <w:r>
        <w:rPr>
          <w:rFonts w:hint="eastAsia" w:ascii="宋体" w:hAnsi="宋体"/>
          <w:color w:val="auto"/>
          <w:sz w:val="28"/>
          <w:szCs w:val="28"/>
          <w:highlight w:val="none"/>
          <w:lang w:eastAsia="zh-CN"/>
        </w:rPr>
        <w:t>磋</w:t>
      </w:r>
      <w:r>
        <w:rPr>
          <w:rFonts w:hint="eastAsia" w:ascii="宋体" w:hAnsi="宋体" w:eastAsia="宋体"/>
          <w:color w:val="auto"/>
          <w:sz w:val="28"/>
          <w:szCs w:val="28"/>
          <w:highlight w:val="none"/>
        </w:rPr>
        <w:t>商小组对供应商已标价工程量清单进行算术性复核，如果出现下列不一致的，按以下原则进行修正：</w:t>
      </w:r>
    </w:p>
    <w:p>
      <w:pPr>
        <w:pStyle w:val="26"/>
        <w:snapToGrid w:val="0"/>
        <w:spacing w:line="360" w:lineRule="auto"/>
        <w:ind w:firstLine="565" w:firstLineChars="202"/>
        <w:rPr>
          <w:rFonts w:hAnsi="宋体" w:eastAsia="宋体"/>
          <w:color w:val="auto"/>
          <w:sz w:val="28"/>
          <w:szCs w:val="28"/>
          <w:highlight w:val="none"/>
          <w:lang w:val="zh-CN"/>
        </w:rPr>
      </w:pPr>
      <w:r>
        <w:rPr>
          <w:rFonts w:hint="eastAsia" w:hAnsi="宋体" w:eastAsia="宋体" w:cs="仿宋"/>
          <w:color w:val="auto"/>
          <w:sz w:val="28"/>
          <w:szCs w:val="28"/>
          <w:highlight w:val="none"/>
          <w:lang w:val="zh-CN"/>
        </w:rPr>
        <w:t>总价金额与依据单价（或费率）计算出的结果不一致的，以单价（或费率）为准修正总价，但单价（或费率）小数点有明显错误的除外（包括但不限于工程量清单、单位工程汇总表、单项工程汇总表、投标报价汇总表）。</w:t>
      </w:r>
    </w:p>
    <w:p>
      <w:pPr>
        <w:pStyle w:val="26"/>
        <w:snapToGrid w:val="0"/>
        <w:spacing w:line="360" w:lineRule="auto"/>
        <w:ind w:firstLine="560" w:firstLineChars="200"/>
        <w:rPr>
          <w:rFonts w:hAnsi="宋体" w:eastAsia="宋体"/>
          <w:color w:val="auto"/>
          <w:sz w:val="28"/>
          <w:szCs w:val="28"/>
          <w:highlight w:val="none"/>
          <w:lang w:val="zh-CN"/>
        </w:rPr>
      </w:pPr>
      <w:r>
        <w:rPr>
          <w:rFonts w:hint="eastAsia" w:hAnsi="宋体" w:eastAsia="宋体" w:cs="仿宋"/>
          <w:color w:val="auto"/>
          <w:sz w:val="28"/>
          <w:szCs w:val="28"/>
          <w:highlight w:val="none"/>
          <w:lang w:val="zh-CN"/>
        </w:rPr>
        <w:t>修正后的报价经供应商确认后产生约束力，供应商不确认的，其施工响应文件作为无效处理。供应商需采取</w:t>
      </w:r>
      <w:r>
        <w:rPr>
          <w:rFonts w:hint="eastAsia" w:hAnsi="宋体"/>
          <w:color w:val="auto"/>
          <w:sz w:val="28"/>
          <w:szCs w:val="28"/>
          <w:highlight w:val="none"/>
        </w:rPr>
        <w:t>加盖供应商（法定名称）电子签章</w:t>
      </w:r>
      <w:r>
        <w:rPr>
          <w:rFonts w:hint="eastAsia" w:hAnsi="宋体" w:eastAsia="宋体" w:cs="仿宋"/>
          <w:color w:val="auto"/>
          <w:sz w:val="28"/>
          <w:szCs w:val="28"/>
          <w:highlight w:val="none"/>
          <w:lang w:val="zh-CN"/>
        </w:rPr>
        <w:t>）的方式对修正后的报价进行确认。</w:t>
      </w:r>
    </w:p>
    <w:p>
      <w:pPr>
        <w:pStyle w:val="26"/>
        <w:snapToGrid w:val="0"/>
        <w:spacing w:line="360" w:lineRule="auto"/>
        <w:ind w:firstLine="560" w:firstLineChars="200"/>
        <w:rPr>
          <w:rFonts w:hAnsi="宋体" w:eastAsia="宋体"/>
          <w:color w:val="auto"/>
          <w:sz w:val="28"/>
          <w:szCs w:val="28"/>
          <w:highlight w:val="none"/>
          <w:lang w:val="zh-CN"/>
        </w:rPr>
      </w:pPr>
      <w:r>
        <w:rPr>
          <w:rFonts w:hint="eastAsia" w:hAnsi="宋体" w:eastAsia="宋体" w:cs="仿宋"/>
          <w:color w:val="auto"/>
          <w:sz w:val="28"/>
          <w:szCs w:val="28"/>
          <w:highlight w:val="none"/>
          <w:lang w:val="zh-CN"/>
        </w:rPr>
        <w:t>不得未经澄清、说明或者更正，直接将供应商施工响应文件作为无效处理。</w:t>
      </w:r>
    </w:p>
    <w:p>
      <w:pPr>
        <w:pStyle w:val="65"/>
        <w:numPr>
          <w:ilvl w:val="0"/>
          <w:numId w:val="38"/>
        </w:numPr>
        <w:tabs>
          <w:tab w:val="left" w:pos="1134"/>
        </w:tabs>
        <w:snapToGrid w:val="0"/>
        <w:spacing w:after="0" w:line="360" w:lineRule="auto"/>
        <w:ind w:left="0" w:firstLine="567" w:firstLineChars="0"/>
        <w:rPr>
          <w:rFonts w:ascii="宋体" w:hAnsi="宋体" w:eastAsia="宋体"/>
          <w:color w:val="auto"/>
          <w:sz w:val="28"/>
          <w:szCs w:val="28"/>
          <w:highlight w:val="none"/>
        </w:rPr>
      </w:pPr>
      <w:r>
        <w:rPr>
          <w:rFonts w:hint="eastAsia" w:ascii="宋体" w:hAnsi="宋体"/>
          <w:color w:val="auto"/>
          <w:sz w:val="28"/>
          <w:szCs w:val="28"/>
          <w:highlight w:val="none"/>
          <w:lang w:eastAsia="zh-CN"/>
        </w:rPr>
        <w:t>磋</w:t>
      </w:r>
      <w:r>
        <w:rPr>
          <w:rFonts w:hint="eastAsia" w:ascii="宋体" w:hAnsi="宋体" w:eastAsia="宋体"/>
          <w:color w:val="auto"/>
          <w:sz w:val="28"/>
          <w:szCs w:val="28"/>
          <w:highlight w:val="none"/>
        </w:rPr>
        <w:t>商小组对供应商已标价工程量清单的项目单价进行评审，对明显不合理的单价（如明显偏高或偏低）项目</w:t>
      </w:r>
      <w:r>
        <w:rPr>
          <w:rFonts w:ascii="宋体" w:hAnsi="宋体" w:eastAsia="宋体"/>
          <w:color w:val="auto"/>
          <w:sz w:val="28"/>
          <w:szCs w:val="28"/>
          <w:highlight w:val="none"/>
        </w:rPr>
        <w:t>,</w:t>
      </w:r>
      <w:r>
        <w:rPr>
          <w:rFonts w:hint="eastAsia" w:ascii="宋体" w:hAnsi="宋体" w:eastAsia="宋体"/>
          <w:color w:val="auto"/>
          <w:sz w:val="28"/>
          <w:szCs w:val="28"/>
          <w:highlight w:val="none"/>
        </w:rPr>
        <w:t>应在评审报告中记录，提醒采购人在签订合同时注意，并在合同履行过程中加强风险防范。</w:t>
      </w:r>
    </w:p>
    <w:p>
      <w:pPr>
        <w:pStyle w:val="26"/>
        <w:numPr>
          <w:ilvl w:val="0"/>
          <w:numId w:val="35"/>
        </w:numPr>
        <w:tabs>
          <w:tab w:val="left" w:pos="1134"/>
        </w:tabs>
        <w:snapToGrid w:val="0"/>
        <w:spacing w:line="360" w:lineRule="auto"/>
        <w:ind w:left="0" w:firstLine="560"/>
        <w:rPr>
          <w:rFonts w:hAnsi="宋体" w:eastAsia="宋体" w:cs="Times New Roman"/>
          <w:color w:val="auto"/>
          <w:sz w:val="28"/>
          <w:szCs w:val="28"/>
          <w:highlight w:val="none"/>
        </w:rPr>
      </w:pPr>
      <w:r>
        <w:rPr>
          <w:rFonts w:hint="eastAsia" w:hAnsi="宋体" w:eastAsia="宋体" w:cs="Times New Roman"/>
          <w:color w:val="auto"/>
          <w:sz w:val="28"/>
          <w:szCs w:val="28"/>
          <w:highlight w:val="none"/>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pStyle w:val="26"/>
        <w:numPr>
          <w:ilvl w:val="0"/>
          <w:numId w:val="35"/>
        </w:numPr>
        <w:tabs>
          <w:tab w:val="left" w:pos="1134"/>
        </w:tabs>
        <w:autoSpaceDE/>
        <w:autoSpaceDN/>
        <w:adjustRightInd/>
        <w:snapToGrid w:val="0"/>
        <w:spacing w:line="360" w:lineRule="auto"/>
        <w:ind w:left="0" w:firstLine="560"/>
        <w:rPr>
          <w:rFonts w:hAnsi="宋体" w:eastAsia="宋体" w:cs="Times New Roman"/>
          <w:color w:val="auto"/>
          <w:sz w:val="28"/>
          <w:szCs w:val="28"/>
          <w:highlight w:val="none"/>
        </w:rPr>
      </w:pPr>
      <w:r>
        <w:rPr>
          <w:rFonts w:hint="eastAsia" w:hAnsi="宋体" w:eastAsia="宋体" w:cs="Times New Roman"/>
          <w:color w:val="auto"/>
          <w:sz w:val="28"/>
          <w:szCs w:val="28"/>
          <w:highlight w:val="none"/>
        </w:rPr>
        <w:t>磋商小组要求供应商澄清、说明或者更正施工响应文件应当以书面形式作出。供应商的澄清、说明或者更正</w:t>
      </w:r>
      <w:r>
        <w:rPr>
          <w:rFonts w:hint="eastAsia" w:hAnsi="宋体"/>
          <w:color w:val="auto"/>
          <w:sz w:val="28"/>
          <w:szCs w:val="28"/>
          <w:highlight w:val="none"/>
        </w:rPr>
        <w:t>应加盖供应商（法定名称）电子签章</w:t>
      </w:r>
      <w:r>
        <w:rPr>
          <w:rFonts w:hint="eastAsia" w:hAnsi="宋体" w:eastAsia="宋体" w:cs="Times New Roman"/>
          <w:color w:val="auto"/>
          <w:sz w:val="28"/>
          <w:szCs w:val="28"/>
          <w:highlight w:val="none"/>
        </w:rPr>
        <w:t>。</w:t>
      </w:r>
    </w:p>
    <w:p>
      <w:pPr>
        <w:pStyle w:val="26"/>
        <w:numPr>
          <w:ilvl w:val="0"/>
          <w:numId w:val="35"/>
        </w:numPr>
        <w:tabs>
          <w:tab w:val="left" w:pos="1134"/>
        </w:tabs>
        <w:snapToGrid w:val="0"/>
        <w:spacing w:line="360" w:lineRule="auto"/>
        <w:ind w:left="0" w:firstLine="560"/>
        <w:rPr>
          <w:rFonts w:hAnsi="宋体" w:eastAsia="宋体" w:cs="Times New Roman"/>
          <w:color w:val="auto"/>
          <w:sz w:val="28"/>
          <w:szCs w:val="28"/>
          <w:highlight w:val="none"/>
        </w:rPr>
      </w:pPr>
      <w:r>
        <w:rPr>
          <w:rFonts w:hint="eastAsia" w:hAnsi="宋体" w:eastAsia="宋体" w:cs="Times New Roman"/>
          <w:color w:val="auto"/>
          <w:sz w:val="28"/>
          <w:szCs w:val="28"/>
          <w:highlight w:val="none"/>
        </w:rPr>
        <w:t>磋商小组应当积极履行澄清、说明或者更正的职责，不得滥用权力。</w:t>
      </w:r>
    </w:p>
    <w:p>
      <w:pPr>
        <w:pStyle w:val="26"/>
        <w:numPr>
          <w:ilvl w:val="0"/>
          <w:numId w:val="35"/>
        </w:numPr>
        <w:tabs>
          <w:tab w:val="left" w:pos="1134"/>
        </w:tabs>
        <w:snapToGrid w:val="0"/>
        <w:spacing w:line="360" w:lineRule="auto"/>
        <w:ind w:left="0" w:firstLine="560"/>
        <w:rPr>
          <w:rFonts w:hAnsi="宋体" w:eastAsia="宋体" w:cs="Times New Roman"/>
          <w:color w:val="auto"/>
          <w:sz w:val="28"/>
          <w:szCs w:val="28"/>
          <w:highlight w:val="none"/>
        </w:rPr>
      </w:pPr>
      <w:r>
        <w:rPr>
          <w:rFonts w:hint="eastAsia" w:hAnsi="宋体" w:eastAsia="宋体" w:cs="Times New Roman"/>
          <w:color w:val="auto"/>
          <w:sz w:val="28"/>
          <w:szCs w:val="28"/>
          <w:highlight w:val="none"/>
        </w:rPr>
        <w:t>磋商小组在符合性审查过程中，磋商小组成员对供应商是否符合规定存在争议的，应当以少数服从多数的原则处理，但不违背政府采购法和磋商文件规定。</w:t>
      </w:r>
    </w:p>
    <w:p>
      <w:pPr>
        <w:pStyle w:val="26"/>
        <w:numPr>
          <w:ilvl w:val="0"/>
          <w:numId w:val="35"/>
        </w:numPr>
        <w:tabs>
          <w:tab w:val="left" w:pos="1134"/>
        </w:tabs>
        <w:snapToGrid w:val="0"/>
        <w:spacing w:line="360" w:lineRule="auto"/>
        <w:ind w:left="0" w:firstLine="560"/>
        <w:rPr>
          <w:rFonts w:hAnsi="宋体" w:eastAsia="宋体" w:cs="Times New Roman"/>
          <w:color w:val="auto"/>
          <w:sz w:val="28"/>
          <w:szCs w:val="28"/>
          <w:highlight w:val="none"/>
        </w:rPr>
      </w:pPr>
      <w:r>
        <w:rPr>
          <w:rFonts w:hint="eastAsia" w:hAnsi="宋体" w:eastAsia="宋体" w:cs="Times New Roman"/>
          <w:color w:val="auto"/>
          <w:sz w:val="28"/>
          <w:szCs w:val="28"/>
          <w:highlight w:val="none"/>
        </w:rPr>
        <w:t>供应商符合性审查标准（按以下顺序审查）：</w:t>
      </w:r>
    </w:p>
    <w:tbl>
      <w:tblPr>
        <w:tblStyle w:val="50"/>
        <w:tblpPr w:leftFromText="180" w:rightFromText="180" w:vertAnchor="text" w:horzAnchor="page" w:tblpX="1347" w:tblpY="10"/>
        <w:tblOverlap w:val="never"/>
        <w:tblW w:w="9072"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1"/>
        <w:gridCol w:w="3544"/>
        <w:gridCol w:w="3827"/>
        <w:gridCol w:w="85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heme="minorEastAsia" w:hAnsiTheme="minorEastAsia" w:eastAsiaTheme="minorEastAsia"/>
                <w:b/>
                <w:color w:val="auto"/>
                <w:highlight w:val="none"/>
              </w:rPr>
            </w:pPr>
            <w:r>
              <w:rPr>
                <w:rFonts w:hint="eastAsia" w:asciiTheme="minorEastAsia" w:hAnsiTheme="minorEastAsia" w:eastAsiaTheme="minorEastAsia"/>
                <w:b/>
                <w:color w:val="auto"/>
                <w:highlight w:val="none"/>
              </w:rPr>
              <w:t>序号</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heme="minorEastAsia" w:hAnsiTheme="minorEastAsia" w:eastAsiaTheme="minorEastAsia"/>
                <w:b/>
                <w:color w:val="auto"/>
                <w:highlight w:val="none"/>
              </w:rPr>
            </w:pPr>
            <w:r>
              <w:rPr>
                <w:rFonts w:hint="eastAsia" w:asciiTheme="minorEastAsia" w:hAnsiTheme="minorEastAsia" w:eastAsiaTheme="minorEastAsia"/>
                <w:b/>
                <w:color w:val="auto"/>
                <w:highlight w:val="none"/>
              </w:rPr>
              <w:t>审查内容</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heme="minorEastAsia" w:hAnsiTheme="minorEastAsia" w:eastAsiaTheme="minorEastAsia"/>
                <w:b/>
                <w:color w:val="auto"/>
                <w:highlight w:val="none"/>
              </w:rPr>
            </w:pPr>
            <w:r>
              <w:rPr>
                <w:rFonts w:hint="eastAsia" w:asciiTheme="minorEastAsia" w:hAnsiTheme="minorEastAsia" w:eastAsiaTheme="minorEastAsia"/>
                <w:b/>
                <w:color w:val="auto"/>
                <w:highlight w:val="none"/>
              </w:rPr>
              <w:t>通过条件</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heme="minorEastAsia" w:hAnsiTheme="minorEastAsia" w:eastAsiaTheme="minorEastAsia"/>
                <w:b/>
                <w:color w:val="auto"/>
                <w:highlight w:val="none"/>
              </w:rPr>
            </w:pPr>
            <w:r>
              <w:rPr>
                <w:rFonts w:hint="eastAsia" w:asciiTheme="minorEastAsia" w:hAnsiTheme="minorEastAsia" w:eastAsiaTheme="minorEastAsia"/>
                <w:b/>
                <w:color w:val="auto"/>
                <w:highlight w:val="none"/>
              </w:rPr>
              <w:t>结论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heme="minorEastAsia" w:hAnsiTheme="minorEastAsia" w:eastAsiaTheme="minorEastAsia"/>
                <w:color w:val="auto"/>
                <w:highlight w:val="none"/>
              </w:rPr>
            </w:pPr>
            <w:r>
              <w:rPr>
                <w:rFonts w:asciiTheme="minorEastAsia" w:hAnsiTheme="minorEastAsia" w:eastAsiaTheme="minorEastAsia"/>
                <w:color w:val="auto"/>
                <w:highlight w:val="none"/>
              </w:rPr>
              <w:t>1</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施工响应文件正、副本数量</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正本一份，副本不少于</w:t>
            </w:r>
            <w:r>
              <w:rPr>
                <w:rFonts w:hint="eastAsia" w:asciiTheme="minorEastAsia" w:hAnsiTheme="minorEastAsia" w:eastAsiaTheme="minorEastAsia"/>
                <w:color w:val="auto"/>
                <w:highlight w:val="none"/>
                <w:lang w:val="en-US" w:eastAsia="zh-CN"/>
              </w:rPr>
              <w:t>一</w:t>
            </w:r>
            <w:r>
              <w:rPr>
                <w:rFonts w:hint="eastAsia" w:asciiTheme="minorEastAsia" w:hAnsiTheme="minorEastAsia" w:eastAsiaTheme="minorEastAsia"/>
                <w:color w:val="auto"/>
                <w:highlight w:val="none"/>
              </w:rPr>
              <w:t>份</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heme="minorEastAsia" w:hAnsiTheme="minorEastAsia" w:eastAsiaTheme="minorEastAsia"/>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heme="minorEastAsia" w:hAnsiTheme="minorEastAsia" w:eastAsiaTheme="minorEastAsia"/>
                <w:color w:val="auto"/>
                <w:highlight w:val="none"/>
              </w:rPr>
            </w:pPr>
            <w:r>
              <w:rPr>
                <w:rFonts w:asciiTheme="minorEastAsia" w:hAnsiTheme="minorEastAsia" w:eastAsiaTheme="minorEastAsia"/>
                <w:color w:val="auto"/>
                <w:highlight w:val="none"/>
              </w:rPr>
              <w:t>2</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施工响应文件的组成</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符合</w:t>
            </w:r>
            <w:r>
              <w:rPr>
                <w:rFonts w:hint="eastAsia" w:asciiTheme="minorEastAsia" w:hAnsiTheme="minorEastAsia" w:eastAsiaTheme="minorEastAsia"/>
                <w:color w:val="auto"/>
                <w:highlight w:val="none"/>
                <w:lang w:eastAsia="zh-CN"/>
              </w:rPr>
              <w:t>磋商</w:t>
            </w:r>
            <w:r>
              <w:rPr>
                <w:rFonts w:hint="eastAsia" w:asciiTheme="minorEastAsia" w:hAnsiTheme="minorEastAsia" w:eastAsiaTheme="minorEastAsia"/>
                <w:color w:val="auto"/>
                <w:highlight w:val="none"/>
              </w:rPr>
              <w:t>文件</w:t>
            </w:r>
            <w:r>
              <w:rPr>
                <w:rFonts w:asciiTheme="minorEastAsia" w:hAnsiTheme="minorEastAsia" w:eastAsiaTheme="minorEastAsia"/>
                <w:color w:val="auto"/>
                <w:highlight w:val="none"/>
              </w:rPr>
              <w:t>2.4.6.</w:t>
            </w:r>
            <w:r>
              <w:rPr>
                <w:rFonts w:hint="eastAsia" w:asciiTheme="minorEastAsia" w:hAnsiTheme="minorEastAsia" w:eastAsiaTheme="minorEastAsia"/>
                <w:color w:val="auto"/>
                <w:highlight w:val="none"/>
              </w:rPr>
              <w:t>1</w:t>
            </w:r>
            <w:r>
              <w:rPr>
                <w:rFonts w:asciiTheme="minorEastAsia" w:hAnsiTheme="minorEastAsia" w:eastAsiaTheme="minorEastAsia"/>
                <w:color w:val="auto"/>
                <w:highlight w:val="none"/>
              </w:rPr>
              <w:t>的要求</w:t>
            </w:r>
            <w:r>
              <w:rPr>
                <w:rFonts w:hint="eastAsia" w:asciiTheme="minorEastAsia" w:hAnsiTheme="minorEastAsia" w:eastAsiaTheme="minorEastAsia"/>
                <w:color w:val="auto"/>
                <w:highlight w:val="none"/>
              </w:rPr>
              <w:t>　　　　　　　　　　　　　　　　　　　　　　　　　　　　　　　　　　　　　　　　　　　　　　　　　　　　　　　　　　　　　　　　　　　　　　　　　　　　　　　　　　　　　　　　　　　　　　　　　　　　　　　　　　　　　　　　　</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heme="minorEastAsia" w:hAnsiTheme="minorEastAsia" w:eastAsiaTheme="minorEastAsia"/>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heme="minorEastAsia" w:hAnsiTheme="minorEastAsia" w:eastAsiaTheme="minorEastAsia"/>
                <w:color w:val="auto"/>
                <w:highlight w:val="none"/>
              </w:rPr>
            </w:pPr>
            <w:r>
              <w:rPr>
                <w:rFonts w:asciiTheme="minorEastAsia" w:hAnsiTheme="minorEastAsia" w:eastAsiaTheme="minorEastAsia"/>
                <w:color w:val="auto"/>
                <w:highlight w:val="none"/>
              </w:rPr>
              <w:t>3</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施工响应文件签字、盖章情况</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符合</w:t>
            </w:r>
            <w:r>
              <w:rPr>
                <w:rFonts w:hint="eastAsia" w:asciiTheme="minorEastAsia" w:hAnsiTheme="minorEastAsia" w:eastAsiaTheme="minorEastAsia"/>
                <w:color w:val="auto"/>
                <w:highlight w:val="none"/>
                <w:lang w:eastAsia="zh-CN"/>
              </w:rPr>
              <w:t>磋商</w:t>
            </w:r>
            <w:r>
              <w:rPr>
                <w:rFonts w:hint="eastAsia" w:asciiTheme="minorEastAsia" w:hAnsiTheme="minorEastAsia" w:eastAsiaTheme="minorEastAsia"/>
                <w:color w:val="auto"/>
                <w:highlight w:val="none"/>
              </w:rPr>
              <w:t>文件要求（其中小企业声明函、残疾人福利性单位声明函见</w:t>
            </w:r>
            <w:r>
              <w:rPr>
                <w:rFonts w:asciiTheme="minorEastAsia" w:hAnsiTheme="minorEastAsia" w:eastAsiaTheme="minorEastAsia"/>
                <w:color w:val="auto"/>
                <w:highlight w:val="none"/>
              </w:rPr>
              <w:t>2.4.6.</w:t>
            </w:r>
            <w:r>
              <w:rPr>
                <w:rFonts w:hint="eastAsia" w:asciiTheme="minorEastAsia" w:hAnsiTheme="minorEastAsia" w:eastAsiaTheme="minorEastAsia"/>
                <w:color w:val="auto"/>
                <w:highlight w:val="none"/>
              </w:rPr>
              <w:t>1</w:t>
            </w:r>
            <w:r>
              <w:rPr>
                <w:rFonts w:asciiTheme="minorEastAsia" w:hAnsiTheme="minorEastAsia" w:eastAsiaTheme="minorEastAsia"/>
                <w:color w:val="auto"/>
                <w:highlight w:val="none"/>
              </w:rPr>
              <w:t>的</w:t>
            </w:r>
            <w:r>
              <w:rPr>
                <w:rFonts w:hint="eastAsia" w:asciiTheme="minorEastAsia" w:hAnsiTheme="minorEastAsia" w:eastAsiaTheme="minorEastAsia"/>
                <w:color w:val="auto"/>
                <w:highlight w:val="none"/>
              </w:rPr>
              <w:t>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heme="minorEastAsia" w:hAnsiTheme="minorEastAsia" w:eastAsiaTheme="minorEastAsia"/>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heme="minorEastAsia" w:hAnsiTheme="minorEastAsia" w:eastAsiaTheme="minorEastAsia"/>
                <w:color w:val="auto"/>
                <w:highlight w:val="none"/>
              </w:rPr>
            </w:pPr>
            <w:r>
              <w:rPr>
                <w:rFonts w:asciiTheme="minorEastAsia" w:hAnsiTheme="minorEastAsia" w:eastAsiaTheme="minorEastAsia"/>
                <w:color w:val="auto"/>
                <w:highlight w:val="none"/>
              </w:rPr>
              <w:t>4</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Theme="minorEastAsia" w:hAnsiTheme="minorEastAsia" w:eastAsiaTheme="minorEastAsia"/>
                <w:color w:val="auto"/>
                <w:szCs w:val="21"/>
                <w:highlight w:val="none"/>
              </w:rPr>
            </w:pPr>
            <w:r>
              <w:rPr>
                <w:rFonts w:hint="eastAsia" w:asciiTheme="minorEastAsia" w:hAnsiTheme="minorEastAsia" w:eastAsiaTheme="minorEastAsia"/>
                <w:color w:val="auto"/>
                <w:highlight w:val="none"/>
              </w:rPr>
              <w:t>施工</w:t>
            </w:r>
            <w:r>
              <w:rPr>
                <w:rFonts w:hint="eastAsia" w:asciiTheme="minorEastAsia" w:hAnsiTheme="minorEastAsia" w:eastAsiaTheme="minorEastAsia"/>
                <w:color w:val="auto"/>
                <w:szCs w:val="21"/>
                <w:highlight w:val="none"/>
              </w:rPr>
              <w:t>响应文件有效期、计量单位、语言、报价货币、知识产权</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有效期、计量单位、语言、报价货币、知识产权满足</w:t>
            </w:r>
            <w:r>
              <w:rPr>
                <w:rFonts w:hint="eastAsia" w:asciiTheme="minorEastAsia" w:hAnsiTheme="minorEastAsia" w:eastAsiaTheme="minorEastAsia"/>
                <w:color w:val="auto"/>
                <w:szCs w:val="21"/>
                <w:highlight w:val="none"/>
                <w:lang w:eastAsia="zh-CN"/>
              </w:rPr>
              <w:t>磋商</w:t>
            </w:r>
            <w:r>
              <w:rPr>
                <w:rFonts w:hint="eastAsia" w:asciiTheme="minorEastAsia" w:hAnsiTheme="minorEastAsia" w:eastAsiaTheme="minorEastAsia"/>
                <w:color w:val="auto"/>
                <w:szCs w:val="21"/>
                <w:highlight w:val="none"/>
              </w:rPr>
              <w:t>文件要求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heme="minorEastAsia" w:hAnsiTheme="minorEastAsia" w:eastAsiaTheme="minorEastAsia"/>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heme="minorEastAsia" w:hAnsiTheme="minorEastAsia" w:eastAsiaTheme="minorEastAsia"/>
                <w:color w:val="auto"/>
                <w:highlight w:val="none"/>
              </w:rPr>
            </w:pPr>
            <w:r>
              <w:rPr>
                <w:rFonts w:asciiTheme="minorEastAsia" w:hAnsiTheme="minorEastAsia" w:eastAsiaTheme="minorEastAsia"/>
                <w:color w:val="auto"/>
                <w:highlight w:val="none"/>
              </w:rPr>
              <w:t>5</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已标价工程量清单</w:t>
            </w:r>
          </w:p>
        </w:tc>
        <w:tc>
          <w:tcPr>
            <w:tcW w:w="3827" w:type="dxa"/>
            <w:tcBorders>
              <w:top w:val="single" w:color="auto" w:sz="4" w:space="0"/>
              <w:left w:val="single" w:color="auto" w:sz="4" w:space="0"/>
              <w:bottom w:val="single" w:color="auto" w:sz="4" w:space="0"/>
              <w:right w:val="single" w:color="auto" w:sz="4" w:space="0"/>
            </w:tcBorders>
            <w:vAlign w:val="center"/>
          </w:tcPr>
          <w:p>
            <w:pPr>
              <w:pStyle w:val="65"/>
              <w:numPr>
                <w:ilvl w:val="0"/>
                <w:numId w:val="39"/>
              </w:numPr>
              <w:tabs>
                <w:tab w:val="left" w:pos="742"/>
              </w:tabs>
              <w:snapToGrid w:val="0"/>
              <w:spacing w:line="360" w:lineRule="auto"/>
              <w:ind w:left="33" w:hanging="33" w:firstLineChars="0"/>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供应商提交的首次施工响应文件中已标价工程量清单未出现</w:t>
            </w:r>
            <w:r>
              <w:rPr>
                <w:rFonts w:hint="eastAsia" w:asciiTheme="minorEastAsia" w:hAnsiTheme="minorEastAsia" w:eastAsiaTheme="minorEastAsia"/>
                <w:color w:val="auto"/>
                <w:szCs w:val="21"/>
                <w:highlight w:val="none"/>
                <w:lang w:eastAsia="zh-CN"/>
              </w:rPr>
              <w:t>磋商</w:t>
            </w:r>
            <w:r>
              <w:rPr>
                <w:rFonts w:hint="eastAsia" w:asciiTheme="minorEastAsia" w:hAnsiTheme="minorEastAsia" w:eastAsiaTheme="minorEastAsia"/>
                <w:color w:val="auto"/>
                <w:szCs w:val="21"/>
                <w:highlight w:val="none"/>
              </w:rPr>
              <w:t>文件“供应商须知附表”中第７项规定情形；</w:t>
            </w:r>
          </w:p>
          <w:p>
            <w:pPr>
              <w:pStyle w:val="65"/>
              <w:numPr>
                <w:ilvl w:val="0"/>
                <w:numId w:val="39"/>
              </w:numPr>
              <w:tabs>
                <w:tab w:val="left" w:pos="742"/>
              </w:tabs>
              <w:snapToGrid w:val="0"/>
              <w:spacing w:line="360" w:lineRule="auto"/>
              <w:ind w:left="0" w:firstLine="0" w:firstLineChars="0"/>
              <w:rPr>
                <w:rFonts w:asciiTheme="minorEastAsia" w:hAnsiTheme="minorEastAsia" w:eastAsiaTheme="minorEastAsia"/>
                <w:color w:val="auto"/>
                <w:szCs w:val="21"/>
                <w:highlight w:val="none"/>
              </w:rPr>
            </w:pPr>
            <w:r>
              <w:rPr>
                <w:rFonts w:hint="eastAsia" w:ascii="宋体" w:hAnsi="宋体"/>
                <w:color w:val="auto"/>
                <w:highlight w:val="none"/>
              </w:rPr>
              <w:t>供应商提交的首次施工响应文件中</w:t>
            </w:r>
            <w:r>
              <w:rPr>
                <w:rFonts w:hint="eastAsia" w:asciiTheme="minorEastAsia" w:hAnsiTheme="minorEastAsia" w:eastAsiaTheme="minorEastAsia"/>
                <w:color w:val="auto"/>
                <w:szCs w:val="21"/>
                <w:highlight w:val="none"/>
              </w:rPr>
              <w:t>已标价工程量清单符合</w:t>
            </w:r>
            <w:r>
              <w:rPr>
                <w:rFonts w:hint="eastAsia" w:asciiTheme="minorEastAsia" w:hAnsiTheme="minorEastAsia" w:eastAsiaTheme="minorEastAsia"/>
                <w:color w:val="auto"/>
                <w:szCs w:val="21"/>
                <w:highlight w:val="none"/>
                <w:lang w:eastAsia="zh-CN"/>
              </w:rPr>
              <w:t>磋商</w:t>
            </w:r>
            <w:r>
              <w:rPr>
                <w:rFonts w:hint="eastAsia" w:asciiTheme="minorEastAsia" w:hAnsiTheme="minorEastAsia" w:eastAsiaTheme="minorEastAsia"/>
                <w:color w:val="auto"/>
                <w:szCs w:val="21"/>
                <w:highlight w:val="none"/>
              </w:rPr>
              <w:t>文件2.4.3报价货币及报价要求。</w:t>
            </w:r>
          </w:p>
          <w:p>
            <w:pPr>
              <w:pStyle w:val="65"/>
              <w:numPr>
                <w:ilvl w:val="0"/>
                <w:numId w:val="39"/>
              </w:numPr>
              <w:tabs>
                <w:tab w:val="left" w:pos="742"/>
              </w:tabs>
              <w:snapToGrid w:val="0"/>
              <w:spacing w:line="360" w:lineRule="auto"/>
              <w:ind w:left="0" w:firstLine="0" w:firstLineChars="0"/>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lang w:eastAsia="zh-CN"/>
              </w:rPr>
              <w:t>磋商</w:t>
            </w:r>
            <w:r>
              <w:rPr>
                <w:rFonts w:hint="eastAsia" w:asciiTheme="minorEastAsia" w:hAnsiTheme="minorEastAsia" w:eastAsiaTheme="minorEastAsia"/>
                <w:color w:val="auto"/>
                <w:szCs w:val="21"/>
                <w:highlight w:val="none"/>
              </w:rPr>
              <w:t>小组对供应商已标价工程量清单进行算术性复核时，如需进行修正的，供应商按</w:t>
            </w:r>
            <w:r>
              <w:rPr>
                <w:rFonts w:hint="eastAsia" w:asciiTheme="minorEastAsia" w:hAnsiTheme="minorEastAsia" w:eastAsiaTheme="minorEastAsia"/>
                <w:color w:val="auto"/>
                <w:szCs w:val="21"/>
                <w:highlight w:val="none"/>
                <w:lang w:eastAsia="zh-CN"/>
              </w:rPr>
              <w:t>磋商</w:t>
            </w:r>
            <w:r>
              <w:rPr>
                <w:rFonts w:hint="eastAsia" w:asciiTheme="minorEastAsia" w:hAnsiTheme="minorEastAsia" w:eastAsiaTheme="minorEastAsia"/>
                <w:color w:val="auto"/>
                <w:szCs w:val="21"/>
                <w:highlight w:val="none"/>
              </w:rPr>
              <w:t>文件要求确认修正后的报价。</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heme="minorEastAsia" w:hAnsiTheme="minorEastAsia" w:eastAsiaTheme="minorEastAsia"/>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heme="minorEastAsia" w:hAnsiTheme="minorEastAsia" w:eastAsiaTheme="minorEastAsia"/>
                <w:color w:val="auto"/>
                <w:highlight w:val="none"/>
              </w:rPr>
            </w:pPr>
            <w:r>
              <w:rPr>
                <w:rFonts w:asciiTheme="minorEastAsia" w:hAnsiTheme="minorEastAsia" w:eastAsiaTheme="minorEastAsia"/>
                <w:color w:val="auto"/>
                <w:highlight w:val="none"/>
              </w:rPr>
              <w:t>6</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Theme="minorEastAsia" w:hAnsiTheme="minorEastAsia" w:eastAsiaTheme="minorEastAsia"/>
                <w:color w:val="auto"/>
                <w:szCs w:val="21"/>
                <w:highlight w:val="none"/>
              </w:rPr>
            </w:pPr>
            <w:r>
              <w:rPr>
                <w:rFonts w:hint="eastAsia" w:asciiTheme="minorEastAsia" w:hAnsiTheme="minorEastAsia" w:eastAsiaTheme="minorEastAsia"/>
                <w:color w:val="auto"/>
                <w:highlight w:val="none"/>
              </w:rPr>
              <w:t>施工响应文件对</w:t>
            </w:r>
            <w:r>
              <w:rPr>
                <w:rFonts w:hint="eastAsia" w:asciiTheme="minorEastAsia" w:hAnsiTheme="minorEastAsia" w:eastAsiaTheme="minorEastAsia"/>
                <w:color w:val="auto"/>
                <w:szCs w:val="21"/>
                <w:highlight w:val="none"/>
                <w:lang w:eastAsia="zh-CN"/>
              </w:rPr>
              <w:t>磋商</w:t>
            </w:r>
            <w:r>
              <w:rPr>
                <w:rFonts w:hint="eastAsia" w:asciiTheme="minorEastAsia" w:hAnsiTheme="minorEastAsia" w:eastAsiaTheme="minorEastAsia"/>
                <w:color w:val="auto"/>
                <w:szCs w:val="21"/>
                <w:highlight w:val="none"/>
              </w:rPr>
              <w:t>文件规定的采购项目最低要求的响应情况</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Theme="minorEastAsia" w:hAnsiTheme="minorEastAsia" w:eastAsiaTheme="minorEastAsia"/>
                <w:color w:val="auto"/>
                <w:szCs w:val="21"/>
                <w:highlight w:val="none"/>
              </w:rPr>
            </w:pPr>
            <w:r>
              <w:rPr>
                <w:rFonts w:hint="eastAsia" w:asciiTheme="minorEastAsia" w:hAnsiTheme="minorEastAsia" w:eastAsiaTheme="minorEastAsia"/>
                <w:color w:val="auto"/>
                <w:highlight w:val="none"/>
              </w:rPr>
              <w:t>符合</w:t>
            </w:r>
            <w:r>
              <w:rPr>
                <w:rFonts w:hint="eastAsia" w:asciiTheme="minorEastAsia" w:hAnsiTheme="minorEastAsia" w:eastAsiaTheme="minorEastAsia"/>
                <w:color w:val="auto"/>
                <w:szCs w:val="21"/>
                <w:highlight w:val="none"/>
                <w:lang w:eastAsia="zh-CN"/>
              </w:rPr>
              <w:t>磋商</w:t>
            </w:r>
            <w:r>
              <w:rPr>
                <w:rFonts w:hint="eastAsia" w:asciiTheme="minorEastAsia" w:hAnsiTheme="minorEastAsia" w:eastAsiaTheme="minorEastAsia"/>
                <w:color w:val="auto"/>
                <w:szCs w:val="21"/>
                <w:highlight w:val="none"/>
              </w:rPr>
              <w:t>文件规定的采购项目最低要求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heme="minorEastAsia" w:hAnsiTheme="minorEastAsia" w:eastAsiaTheme="minorEastAsia"/>
                <w:color w:val="auto"/>
                <w:szCs w:val="21"/>
                <w:highlight w:val="none"/>
              </w:rPr>
            </w:pPr>
          </w:p>
        </w:tc>
      </w:tr>
    </w:tbl>
    <w:p>
      <w:pPr>
        <w:pStyle w:val="26"/>
        <w:numPr>
          <w:ilvl w:val="0"/>
          <w:numId w:val="0"/>
        </w:numPr>
        <w:tabs>
          <w:tab w:val="left" w:pos="1134"/>
        </w:tabs>
        <w:snapToGrid w:val="0"/>
        <w:spacing w:line="360" w:lineRule="auto"/>
        <w:rPr>
          <w:rFonts w:hint="eastAsia" w:hAnsi="宋体" w:eastAsia="宋体" w:cs="Times New Roman"/>
          <w:color w:val="auto"/>
          <w:sz w:val="28"/>
          <w:szCs w:val="28"/>
          <w:highlight w:val="none"/>
          <w:lang w:val="en-US" w:eastAsia="zh-CN"/>
        </w:rPr>
      </w:pPr>
    </w:p>
    <w:p>
      <w:pPr>
        <w:pStyle w:val="65"/>
        <w:numPr>
          <w:ilvl w:val="0"/>
          <w:numId w:val="40"/>
        </w:numPr>
        <w:tabs>
          <w:tab w:val="left" w:pos="1134"/>
          <w:tab w:val="left" w:pos="1276"/>
          <w:tab w:val="left" w:pos="1418"/>
        </w:tabs>
        <w:snapToGrid w:val="0"/>
        <w:spacing w:after="0" w:line="360" w:lineRule="auto"/>
        <w:ind w:left="0" w:firstLine="567" w:firstLineChars="0"/>
        <w:rPr>
          <w:rFonts w:ascii="宋体" w:hAnsi="宋体" w:eastAsia="宋体"/>
          <w:color w:val="auto"/>
          <w:sz w:val="28"/>
          <w:szCs w:val="28"/>
          <w:highlight w:val="none"/>
        </w:rPr>
      </w:pPr>
      <w:r>
        <w:rPr>
          <w:rFonts w:hint="eastAsia" w:ascii="宋体" w:hAnsi="宋体" w:eastAsia="宋体"/>
          <w:color w:val="auto"/>
          <w:sz w:val="28"/>
          <w:szCs w:val="28"/>
          <w:highlight w:val="none"/>
        </w:rPr>
        <w:t>以上每一项结论均为“通过”的，则供应商的施工响应文件通过符合性审查，才能允许其参加最后报价；如有任意一项结论为“不通过”的，则供应商的施工响应文件按无效施工响应文件处理，不允许其参加最后报价。如果</w:t>
      </w:r>
      <w:r>
        <w:rPr>
          <w:rFonts w:hint="eastAsia" w:ascii="宋体" w:hAnsi="宋体"/>
          <w:color w:val="auto"/>
          <w:sz w:val="28"/>
          <w:szCs w:val="28"/>
          <w:highlight w:val="none"/>
          <w:lang w:eastAsia="zh-CN"/>
        </w:rPr>
        <w:t>磋</w:t>
      </w:r>
      <w:r>
        <w:rPr>
          <w:rFonts w:hint="eastAsia" w:ascii="宋体" w:hAnsi="宋体" w:eastAsia="宋体"/>
          <w:color w:val="auto"/>
          <w:sz w:val="28"/>
          <w:szCs w:val="28"/>
          <w:highlight w:val="none"/>
        </w:rPr>
        <w:t>商小组认为供应商有任意一项不通过的，应在评审报告中载明不通过的具体原因。</w:t>
      </w:r>
    </w:p>
    <w:p>
      <w:pPr>
        <w:pStyle w:val="65"/>
        <w:widowControl w:val="0"/>
        <w:numPr>
          <w:ilvl w:val="0"/>
          <w:numId w:val="40"/>
        </w:numPr>
        <w:tabs>
          <w:tab w:val="left" w:pos="1134"/>
          <w:tab w:val="left" w:pos="1276"/>
          <w:tab w:val="left" w:pos="1418"/>
        </w:tabs>
        <w:snapToGrid w:val="0"/>
        <w:spacing w:line="360" w:lineRule="auto"/>
        <w:ind w:left="0" w:firstLine="567" w:firstLineChars="0"/>
        <w:jc w:val="both"/>
        <w:rPr>
          <w:rFonts w:ascii="宋体" w:hAnsi="宋体" w:eastAsia="宋体"/>
          <w:color w:val="auto"/>
          <w:sz w:val="28"/>
          <w:szCs w:val="28"/>
          <w:highlight w:val="none"/>
        </w:rPr>
      </w:pPr>
      <w:r>
        <w:rPr>
          <w:rFonts w:hint="eastAsia" w:ascii="宋体" w:hAnsi="宋体" w:eastAsia="宋体"/>
          <w:color w:val="auto"/>
          <w:sz w:val="28"/>
          <w:szCs w:val="28"/>
          <w:highlight w:val="none"/>
        </w:rPr>
        <w:t>磋商小组符合性审查结束后，应当出具符合性审查报告，确定参加最后报价的供应商名单。市</w:t>
      </w:r>
      <w:r>
        <w:rPr>
          <w:rFonts w:hint="eastAsia" w:ascii="宋体" w:hAnsi="宋体"/>
          <w:color w:val="auto"/>
          <w:sz w:val="28"/>
          <w:szCs w:val="28"/>
          <w:highlight w:val="none"/>
          <w:lang w:eastAsia="zh-CN"/>
        </w:rPr>
        <w:t>区采购中心</w:t>
      </w:r>
      <w:r>
        <w:rPr>
          <w:rFonts w:hint="eastAsia" w:ascii="宋体" w:hAnsi="宋体" w:eastAsia="宋体"/>
          <w:color w:val="auto"/>
          <w:sz w:val="28"/>
          <w:szCs w:val="28"/>
          <w:highlight w:val="none"/>
        </w:rPr>
        <w:t>将通过和未通过符合性审查的供应商名单以及未通过符合性审查的原因</w:t>
      </w:r>
      <w:r>
        <w:rPr>
          <w:rFonts w:hint="eastAsia" w:ascii="宋体" w:hAnsi="宋体"/>
          <w:color w:val="auto"/>
          <w:sz w:val="28"/>
          <w:szCs w:val="28"/>
          <w:highlight w:val="none"/>
        </w:rPr>
        <w:t>（以短信、站内信、电话、“政府采购云平台”等任一方式）</w:t>
      </w:r>
      <w:r>
        <w:rPr>
          <w:rFonts w:hint="eastAsia" w:ascii="宋体" w:hAnsi="宋体" w:eastAsia="宋体"/>
          <w:color w:val="auto"/>
          <w:sz w:val="28"/>
          <w:szCs w:val="28"/>
          <w:highlight w:val="none"/>
        </w:rPr>
        <w:t>通知所有递交施工响应文件的供应商，并书面通知未通过符合性审查的供应商。</w:t>
      </w:r>
    </w:p>
    <w:p>
      <w:pPr>
        <w:pStyle w:val="65"/>
        <w:numPr>
          <w:ilvl w:val="0"/>
          <w:numId w:val="40"/>
        </w:numPr>
        <w:tabs>
          <w:tab w:val="left" w:pos="851"/>
          <w:tab w:val="left" w:pos="993"/>
          <w:tab w:val="left" w:pos="1134"/>
          <w:tab w:val="left" w:pos="1276"/>
          <w:tab w:val="left" w:pos="1418"/>
        </w:tabs>
        <w:snapToGrid w:val="0"/>
        <w:spacing w:after="0" w:line="360" w:lineRule="auto"/>
        <w:ind w:left="0" w:firstLine="567" w:firstLineChars="0"/>
        <w:rPr>
          <w:rFonts w:ascii="宋体" w:hAnsi="宋体" w:eastAsia="宋体"/>
          <w:color w:val="auto"/>
          <w:sz w:val="28"/>
          <w:szCs w:val="28"/>
          <w:highlight w:val="none"/>
        </w:rPr>
      </w:pPr>
      <w:r>
        <w:rPr>
          <w:rFonts w:hint="eastAsia" w:ascii="宋体" w:hAnsi="宋体" w:eastAsia="宋体"/>
          <w:color w:val="auto"/>
          <w:sz w:val="28"/>
          <w:szCs w:val="28"/>
          <w:highlight w:val="none"/>
        </w:rPr>
        <w:t>通过符合性审查的供应商不足三家的，本次采购活动终止，并发布终止竞争性</w:t>
      </w:r>
      <w:r>
        <w:rPr>
          <w:rFonts w:hint="eastAsia" w:ascii="宋体" w:hAnsi="宋体"/>
          <w:color w:val="auto"/>
          <w:sz w:val="28"/>
          <w:szCs w:val="28"/>
          <w:highlight w:val="none"/>
          <w:lang w:eastAsia="zh-CN"/>
        </w:rPr>
        <w:t>磋</w:t>
      </w:r>
      <w:r>
        <w:rPr>
          <w:rFonts w:hint="eastAsia" w:ascii="宋体" w:hAnsi="宋体" w:eastAsia="宋体"/>
          <w:color w:val="auto"/>
          <w:sz w:val="28"/>
          <w:szCs w:val="28"/>
          <w:highlight w:val="none"/>
        </w:rPr>
        <w:t>商公告。</w:t>
      </w:r>
    </w:p>
    <w:p>
      <w:pPr>
        <w:widowControl w:val="0"/>
        <w:snapToGrid w:val="0"/>
        <w:spacing w:line="620" w:lineRule="exact"/>
        <w:ind w:firstLine="602" w:firstLineChars="214"/>
        <w:jc w:val="both"/>
        <w:rPr>
          <w:rFonts w:ascii="宋体" w:hAnsi="宋体"/>
          <w:color w:val="auto"/>
          <w:sz w:val="28"/>
          <w:szCs w:val="28"/>
          <w:highlight w:val="none"/>
        </w:rPr>
      </w:pPr>
      <w:bookmarkStart w:id="119" w:name="_Toc61004798"/>
      <w:r>
        <w:rPr>
          <w:rFonts w:hint="eastAsia" w:ascii="宋体" w:hAnsi="宋体"/>
          <w:b/>
          <w:color w:val="auto"/>
          <w:sz w:val="28"/>
          <w:szCs w:val="28"/>
          <w:highlight w:val="none"/>
        </w:rPr>
        <w:t>特别说明：</w:t>
      </w:r>
      <w:r>
        <w:rPr>
          <w:rFonts w:ascii="宋体" w:hAnsi="宋体"/>
          <w:b/>
          <w:color w:val="auto"/>
          <w:sz w:val="28"/>
          <w:szCs w:val="28"/>
          <w:highlight w:val="none"/>
        </w:rPr>
        <w:t>1、</w:t>
      </w:r>
      <w:r>
        <w:rPr>
          <w:rFonts w:hint="eastAsia" w:ascii="宋体" w:hAnsi="宋体"/>
          <w:b/>
          <w:color w:val="auto"/>
          <w:sz w:val="28"/>
          <w:szCs w:val="28"/>
          <w:highlight w:val="none"/>
          <w:lang w:eastAsia="zh-CN"/>
        </w:rPr>
        <w:t>磋商</w:t>
      </w:r>
      <w:r>
        <w:rPr>
          <w:rFonts w:hint="eastAsia" w:ascii="宋体" w:hAnsi="宋体"/>
          <w:b/>
          <w:color w:val="auto"/>
          <w:sz w:val="28"/>
          <w:szCs w:val="28"/>
          <w:highlight w:val="none"/>
        </w:rPr>
        <w:t>文件中要求提供复印件的证明材料的，包含原件的影印件或复印件。</w:t>
      </w:r>
      <w:r>
        <w:rPr>
          <w:rFonts w:ascii="宋体" w:hAnsi="宋体"/>
          <w:b/>
          <w:color w:val="auto"/>
          <w:sz w:val="28"/>
          <w:szCs w:val="28"/>
          <w:highlight w:val="none"/>
        </w:rPr>
        <w:t>2、</w:t>
      </w:r>
      <w:r>
        <w:rPr>
          <w:rFonts w:hint="eastAsia" w:ascii="宋体" w:hAnsi="宋体"/>
          <w:b/>
          <w:color w:val="auto"/>
          <w:sz w:val="28"/>
          <w:szCs w:val="28"/>
          <w:highlight w:val="none"/>
          <w:lang w:eastAsia="zh-CN"/>
        </w:rPr>
        <w:t>磋商</w:t>
      </w:r>
      <w:r>
        <w:rPr>
          <w:rFonts w:hint="eastAsia" w:ascii="宋体" w:hAnsi="宋体"/>
          <w:b/>
          <w:color w:val="auto"/>
          <w:sz w:val="28"/>
          <w:szCs w:val="28"/>
          <w:highlight w:val="none"/>
        </w:rPr>
        <w:t>文件中要求提供复印件加盖公章的证明材料的，复印件所在页按要求加盖公章或复印件为多页但至少有一页按要求加盖公章的，视为满足复印件加盖公章的要求。</w:t>
      </w:r>
    </w:p>
    <w:p>
      <w:pPr>
        <w:pStyle w:val="4"/>
        <w:numPr>
          <w:ilvl w:val="2"/>
          <w:numId w:val="1"/>
        </w:numPr>
        <w:tabs>
          <w:tab w:val="left" w:pos="993"/>
          <w:tab w:val="clear" w:pos="426"/>
          <w:tab w:val="clear" w:pos="567"/>
        </w:tabs>
        <w:spacing w:before="0" w:after="0"/>
        <w:jc w:val="both"/>
        <w:rPr>
          <w:color w:val="auto"/>
          <w:highlight w:val="none"/>
        </w:rPr>
      </w:pPr>
      <w:bookmarkStart w:id="120" w:name="_Toc25171"/>
      <w:r>
        <w:rPr>
          <w:rFonts w:hint="eastAsia"/>
          <w:color w:val="auto"/>
          <w:highlight w:val="none"/>
        </w:rPr>
        <w:t>最后报价审查</w:t>
      </w:r>
      <w:bookmarkEnd w:id="120"/>
    </w:p>
    <w:p>
      <w:pPr>
        <w:numPr>
          <w:ilvl w:val="0"/>
          <w:numId w:val="41"/>
        </w:numPr>
        <w:tabs>
          <w:tab w:val="left" w:pos="1134"/>
        </w:tabs>
        <w:snapToGrid w:val="0"/>
        <w:spacing w:line="620" w:lineRule="exact"/>
        <w:ind w:left="0" w:firstLine="560" w:firstLineChars="200"/>
        <w:rPr>
          <w:rFonts w:ascii="宋体" w:hAnsi="宋体"/>
          <w:color w:val="auto"/>
          <w:sz w:val="28"/>
          <w:szCs w:val="28"/>
          <w:highlight w:val="none"/>
        </w:rPr>
      </w:pP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结束后，</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小组应当要求所有通过符合性审查的供应商在规定时间内提交最后报价，最后报价是供应商施工响应文件的有效组成部分。</w:t>
      </w:r>
    </w:p>
    <w:p>
      <w:pPr>
        <w:numPr>
          <w:ilvl w:val="0"/>
          <w:numId w:val="41"/>
        </w:numPr>
        <w:tabs>
          <w:tab w:val="left" w:pos="1134"/>
        </w:tabs>
        <w:snapToGrid w:val="0"/>
        <w:spacing w:line="620" w:lineRule="exact"/>
        <w:ind w:left="0" w:firstLine="560" w:firstLineChars="200"/>
        <w:rPr>
          <w:rFonts w:ascii="宋体" w:hAnsi="宋体"/>
          <w:color w:val="auto"/>
          <w:sz w:val="28"/>
          <w:szCs w:val="28"/>
          <w:highlight w:val="none"/>
        </w:rPr>
      </w:pPr>
      <w:r>
        <w:rPr>
          <w:rFonts w:hint="eastAsia" w:ascii="宋体" w:hAnsi="宋体"/>
          <w:color w:val="auto"/>
          <w:sz w:val="28"/>
          <w:szCs w:val="28"/>
          <w:highlight w:val="none"/>
        </w:rPr>
        <w:t>报价由供应商填写《最后报价表》（表格由</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小组提供），经供应商法定代表人或代理人签字后密封递交给</w:t>
      </w:r>
      <w:r>
        <w:rPr>
          <w:rFonts w:hint="eastAsia" w:ascii="宋体" w:hAnsi="宋体"/>
          <w:color w:val="auto"/>
          <w:sz w:val="28"/>
          <w:szCs w:val="28"/>
          <w:highlight w:val="none"/>
          <w:lang w:eastAsia="zh-CN"/>
        </w:rPr>
        <w:t>区采购中心</w:t>
      </w:r>
      <w:r>
        <w:rPr>
          <w:rFonts w:hint="eastAsia" w:ascii="宋体" w:hAnsi="宋体"/>
          <w:color w:val="auto"/>
          <w:sz w:val="28"/>
          <w:szCs w:val="28"/>
          <w:highlight w:val="none"/>
        </w:rPr>
        <w:t>工作人员，由其收集齐后集中递交</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小组。</w:t>
      </w:r>
    </w:p>
    <w:p>
      <w:pPr>
        <w:numPr>
          <w:ilvl w:val="0"/>
          <w:numId w:val="41"/>
        </w:numPr>
        <w:tabs>
          <w:tab w:val="left" w:pos="1134"/>
        </w:tabs>
        <w:snapToGrid w:val="0"/>
        <w:spacing w:line="620" w:lineRule="exact"/>
        <w:ind w:left="0" w:firstLine="560" w:firstLineChars="200"/>
        <w:rPr>
          <w:rFonts w:ascii="宋体" w:hAnsi="宋体"/>
          <w:color w:val="auto"/>
          <w:sz w:val="28"/>
          <w:szCs w:val="28"/>
          <w:highlight w:val="none"/>
        </w:rPr>
      </w:pPr>
      <w:r>
        <w:rPr>
          <w:rFonts w:hint="eastAsia" w:ascii="宋体" w:hAnsi="宋体"/>
          <w:color w:val="auto"/>
          <w:sz w:val="28"/>
          <w:szCs w:val="28"/>
          <w:highlight w:val="none"/>
        </w:rPr>
        <w:t>已提交施工响应文件的供应商，在提交最后报价之前，可以根据</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情况退出</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，供应商的</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保证金在成交结果公布后无息原路径退还。</w:t>
      </w:r>
    </w:p>
    <w:p>
      <w:pPr>
        <w:numPr>
          <w:ilvl w:val="0"/>
          <w:numId w:val="41"/>
        </w:numPr>
        <w:tabs>
          <w:tab w:val="left" w:pos="1134"/>
        </w:tabs>
        <w:snapToGrid w:val="0"/>
        <w:spacing w:line="620" w:lineRule="exact"/>
        <w:ind w:left="0" w:firstLine="560" w:firstLineChars="200"/>
        <w:rPr>
          <w:rFonts w:ascii="宋体" w:hAnsi="宋体"/>
          <w:color w:val="auto"/>
          <w:sz w:val="28"/>
          <w:szCs w:val="28"/>
          <w:highlight w:val="none"/>
        </w:rPr>
      </w:pPr>
      <w:r>
        <w:rPr>
          <w:rFonts w:hint="eastAsia" w:ascii="宋体" w:hAnsi="宋体"/>
          <w:color w:val="auto"/>
          <w:sz w:val="28"/>
          <w:szCs w:val="28"/>
          <w:highlight w:val="none"/>
        </w:rPr>
        <w:t>供应商退出</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的，应向</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小组提供退出</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的书面申明。也未在磋商小组规定时间内递交《最后报价表》的，视为其退出磋商。</w:t>
      </w:r>
    </w:p>
    <w:p>
      <w:pPr>
        <w:numPr>
          <w:ilvl w:val="0"/>
          <w:numId w:val="41"/>
        </w:numPr>
        <w:tabs>
          <w:tab w:val="left" w:pos="1134"/>
        </w:tabs>
        <w:snapToGrid w:val="0"/>
        <w:spacing w:line="620" w:lineRule="exact"/>
        <w:ind w:left="0" w:firstLine="560" w:firstLineChars="200"/>
        <w:rPr>
          <w:rFonts w:ascii="宋体" w:hAnsi="宋体"/>
          <w:color w:val="auto"/>
          <w:sz w:val="28"/>
          <w:szCs w:val="28"/>
          <w:highlight w:val="none"/>
        </w:rPr>
      </w:pPr>
      <w:r>
        <w:rPr>
          <w:rFonts w:hint="eastAsia" w:ascii="宋体" w:hAnsi="宋体"/>
          <w:color w:val="auto"/>
          <w:sz w:val="28"/>
          <w:szCs w:val="28"/>
          <w:highlight w:val="none"/>
        </w:rPr>
        <w:t>《最后报价表》一旦递交后，供应商不得以任何理由撤回。</w:t>
      </w:r>
    </w:p>
    <w:p>
      <w:pPr>
        <w:numPr>
          <w:ilvl w:val="0"/>
          <w:numId w:val="41"/>
        </w:numPr>
        <w:tabs>
          <w:tab w:val="left" w:pos="1134"/>
        </w:tabs>
        <w:snapToGrid w:val="0"/>
        <w:spacing w:line="620" w:lineRule="exact"/>
        <w:ind w:left="0" w:firstLine="560" w:firstLineChars="200"/>
        <w:rPr>
          <w:rFonts w:ascii="宋体" w:hAnsi="宋体"/>
          <w:color w:val="auto"/>
          <w:sz w:val="28"/>
          <w:szCs w:val="28"/>
          <w:highlight w:val="none"/>
        </w:rPr>
      </w:pPr>
      <w:r>
        <w:rPr>
          <w:rFonts w:hint="eastAsia" w:ascii="宋体" w:hAnsi="宋体" w:cs="宋体"/>
          <w:color w:val="auto"/>
          <w:sz w:val="28"/>
          <w:szCs w:val="28"/>
          <w:highlight w:val="none"/>
        </w:rPr>
        <w:t>供应商的最后报价由</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小组</w:t>
      </w:r>
      <w:r>
        <w:rPr>
          <w:rFonts w:hint="eastAsia" w:ascii="宋体" w:hAnsi="宋体" w:cs="宋体"/>
          <w:color w:val="auto"/>
          <w:sz w:val="28"/>
          <w:szCs w:val="28"/>
          <w:highlight w:val="none"/>
        </w:rPr>
        <w:t>应当场宣布。</w:t>
      </w:r>
    </w:p>
    <w:p>
      <w:pPr>
        <w:numPr>
          <w:ilvl w:val="0"/>
          <w:numId w:val="41"/>
        </w:numPr>
        <w:tabs>
          <w:tab w:val="left" w:pos="1134"/>
        </w:tabs>
        <w:snapToGrid w:val="0"/>
        <w:spacing w:line="620" w:lineRule="exact"/>
        <w:ind w:left="0" w:firstLine="560" w:firstLineChars="200"/>
        <w:rPr>
          <w:rFonts w:ascii="宋体" w:hAnsi="宋体"/>
          <w:color w:val="auto"/>
          <w:sz w:val="28"/>
          <w:szCs w:val="28"/>
          <w:highlight w:val="none"/>
        </w:rPr>
      </w:pPr>
      <w:r>
        <w:rPr>
          <w:rFonts w:hint="eastAsia" w:ascii="宋体" w:hAnsi="宋体"/>
          <w:color w:val="auto"/>
          <w:sz w:val="28"/>
          <w:szCs w:val="28"/>
          <w:highlight w:val="none"/>
        </w:rPr>
        <w:t>最后报价为有效报价应符合下列条件：</w:t>
      </w:r>
    </w:p>
    <w:p>
      <w:pPr>
        <w:numPr>
          <w:ilvl w:val="0"/>
          <w:numId w:val="42"/>
        </w:numPr>
        <w:tabs>
          <w:tab w:val="left" w:pos="-2127"/>
          <w:tab w:val="left" w:pos="1134"/>
        </w:tabs>
        <w:snapToGrid w:val="0"/>
        <w:spacing w:line="620" w:lineRule="exact"/>
        <w:ind w:left="0" w:firstLine="557"/>
        <w:jc w:val="both"/>
        <w:rPr>
          <w:rFonts w:ascii="宋体" w:hAnsi="宋体" w:cs="宋体"/>
          <w:color w:val="auto"/>
          <w:sz w:val="28"/>
          <w:szCs w:val="28"/>
          <w:highlight w:val="none"/>
        </w:rPr>
      </w:pPr>
      <w:r>
        <w:rPr>
          <w:rFonts w:hint="eastAsia" w:ascii="宋体" w:hAnsi="宋体" w:cs="宋体"/>
          <w:color w:val="auto"/>
          <w:sz w:val="28"/>
          <w:szCs w:val="28"/>
          <w:highlight w:val="none"/>
        </w:rPr>
        <w:t>供应商所提供的最后报价是在规定的时间内提交。</w:t>
      </w:r>
    </w:p>
    <w:p>
      <w:pPr>
        <w:numPr>
          <w:ilvl w:val="0"/>
          <w:numId w:val="42"/>
        </w:numPr>
        <w:tabs>
          <w:tab w:val="left" w:pos="-2127"/>
          <w:tab w:val="left" w:pos="1134"/>
        </w:tabs>
        <w:snapToGrid w:val="0"/>
        <w:spacing w:line="620" w:lineRule="exact"/>
        <w:ind w:left="0" w:firstLine="557"/>
        <w:jc w:val="both"/>
        <w:rPr>
          <w:rFonts w:ascii="宋体" w:hAnsi="宋体" w:cs="宋体"/>
          <w:color w:val="auto"/>
          <w:sz w:val="28"/>
          <w:szCs w:val="28"/>
          <w:highlight w:val="none"/>
        </w:rPr>
      </w:pPr>
      <w:r>
        <w:rPr>
          <w:rFonts w:hint="eastAsia" w:ascii="宋体" w:hAnsi="宋体" w:cs="宋体"/>
          <w:color w:val="auto"/>
          <w:sz w:val="28"/>
          <w:szCs w:val="28"/>
          <w:highlight w:val="none"/>
        </w:rPr>
        <w:t>供应商的最后报价具有法定代表人或代理人签字。</w:t>
      </w:r>
    </w:p>
    <w:p>
      <w:pPr>
        <w:numPr>
          <w:ilvl w:val="0"/>
          <w:numId w:val="42"/>
        </w:numPr>
        <w:tabs>
          <w:tab w:val="left" w:pos="-2127"/>
          <w:tab w:val="left" w:pos="1134"/>
        </w:tabs>
        <w:snapToGrid w:val="0"/>
        <w:spacing w:line="620" w:lineRule="exact"/>
        <w:ind w:left="0" w:firstLine="557"/>
        <w:jc w:val="both"/>
        <w:rPr>
          <w:rFonts w:ascii="宋体" w:hAnsi="宋体" w:cs="宋体"/>
          <w:color w:val="auto"/>
          <w:sz w:val="28"/>
          <w:szCs w:val="28"/>
          <w:highlight w:val="none"/>
        </w:rPr>
      </w:pPr>
      <w:r>
        <w:rPr>
          <w:rFonts w:hint="eastAsia" w:ascii="宋体" w:hAnsi="宋体" w:cs="宋体"/>
          <w:color w:val="auto"/>
          <w:sz w:val="28"/>
          <w:szCs w:val="28"/>
          <w:highlight w:val="none"/>
        </w:rPr>
        <w:t>供应商的最后报价符合</w:t>
      </w:r>
      <w:r>
        <w:rPr>
          <w:rFonts w:hint="eastAsia" w:ascii="宋体" w:hAnsi="宋体" w:cs="宋体"/>
          <w:color w:val="auto"/>
          <w:sz w:val="28"/>
          <w:szCs w:val="28"/>
          <w:highlight w:val="none"/>
          <w:lang w:eastAsia="zh-CN"/>
        </w:rPr>
        <w:t>磋商</w:t>
      </w:r>
      <w:r>
        <w:rPr>
          <w:rFonts w:hint="eastAsia" w:ascii="宋体" w:hAnsi="宋体" w:cs="宋体"/>
          <w:color w:val="auto"/>
          <w:sz w:val="28"/>
          <w:szCs w:val="28"/>
          <w:highlight w:val="none"/>
        </w:rPr>
        <w:t>文件的要求。</w:t>
      </w:r>
    </w:p>
    <w:p>
      <w:pPr>
        <w:numPr>
          <w:ilvl w:val="0"/>
          <w:numId w:val="42"/>
        </w:numPr>
        <w:tabs>
          <w:tab w:val="left" w:pos="-2127"/>
          <w:tab w:val="left" w:pos="1134"/>
        </w:tabs>
        <w:snapToGrid w:val="0"/>
        <w:spacing w:line="620" w:lineRule="exact"/>
        <w:ind w:left="0" w:firstLine="557"/>
        <w:jc w:val="both"/>
        <w:rPr>
          <w:rFonts w:ascii="宋体" w:hAnsi="宋体" w:cs="宋体"/>
          <w:color w:val="auto"/>
          <w:sz w:val="28"/>
          <w:szCs w:val="28"/>
          <w:highlight w:val="none"/>
        </w:rPr>
      </w:pPr>
      <w:r>
        <w:rPr>
          <w:rFonts w:hint="eastAsia" w:ascii="宋体" w:hAnsi="宋体" w:cs="宋体"/>
          <w:color w:val="auto"/>
          <w:sz w:val="28"/>
          <w:szCs w:val="28"/>
          <w:highlight w:val="none"/>
        </w:rPr>
        <w:t>最后报价唯一，且不高于最高限价。</w:t>
      </w:r>
    </w:p>
    <w:p>
      <w:pPr>
        <w:numPr>
          <w:ilvl w:val="0"/>
          <w:numId w:val="41"/>
        </w:numPr>
        <w:tabs>
          <w:tab w:val="left" w:pos="1134"/>
        </w:tabs>
        <w:snapToGrid w:val="0"/>
        <w:spacing w:line="620" w:lineRule="exact"/>
        <w:ind w:left="0" w:firstLine="560" w:firstLineChars="200"/>
        <w:rPr>
          <w:rFonts w:ascii="宋体" w:hAnsi="宋体"/>
          <w:color w:val="auto"/>
          <w:sz w:val="28"/>
          <w:szCs w:val="28"/>
          <w:highlight w:val="none"/>
        </w:rPr>
      </w:pPr>
      <w:r>
        <w:rPr>
          <w:rFonts w:hint="eastAsia" w:ascii="宋体" w:hAnsi="宋体" w:cs="宋体"/>
          <w:color w:val="auto"/>
          <w:sz w:val="28"/>
          <w:szCs w:val="28"/>
          <w:highlight w:val="none"/>
        </w:rPr>
        <w:t>在未提高施工响应文件中承诺的工程实质</w:t>
      </w:r>
      <w:r>
        <w:rPr>
          <w:rFonts w:ascii="宋体" w:hAnsi="宋体" w:cs="宋体"/>
          <w:color w:val="auto"/>
          <w:sz w:val="28"/>
          <w:szCs w:val="28"/>
          <w:highlight w:val="none"/>
        </w:rPr>
        <w:t>性要求</w:t>
      </w:r>
      <w:r>
        <w:rPr>
          <w:rFonts w:hint="eastAsia" w:ascii="宋体" w:hAnsi="宋体" w:cs="宋体"/>
          <w:color w:val="auto"/>
          <w:sz w:val="28"/>
          <w:szCs w:val="28"/>
          <w:highlight w:val="none"/>
        </w:rPr>
        <w:t>的情况下，最后报价不得高于对该项目之前的报价，否则，</w:t>
      </w:r>
      <w:r>
        <w:rPr>
          <w:rFonts w:hint="eastAsia" w:ascii="宋体" w:hAnsi="宋体" w:cs="宋体"/>
          <w:color w:val="auto"/>
          <w:sz w:val="28"/>
          <w:szCs w:val="28"/>
          <w:highlight w:val="none"/>
          <w:lang w:eastAsia="zh-CN"/>
        </w:rPr>
        <w:t>磋商</w:t>
      </w:r>
      <w:r>
        <w:rPr>
          <w:rFonts w:hint="eastAsia" w:ascii="宋体" w:hAnsi="宋体" w:cs="宋体"/>
          <w:color w:val="auto"/>
          <w:sz w:val="28"/>
          <w:szCs w:val="28"/>
          <w:highlight w:val="none"/>
        </w:rPr>
        <w:t>小组应当对其施工响应文件按无效处理。</w:t>
      </w:r>
      <w:r>
        <w:rPr>
          <w:rFonts w:hint="eastAsia" w:ascii="宋体" w:hAnsi="宋体" w:cs="宋体"/>
          <w:color w:val="auto"/>
          <w:sz w:val="28"/>
          <w:szCs w:val="28"/>
          <w:highlight w:val="none"/>
          <w:lang w:eastAsia="zh-CN"/>
        </w:rPr>
        <w:t>磋商</w:t>
      </w:r>
      <w:r>
        <w:rPr>
          <w:rFonts w:hint="eastAsia" w:ascii="宋体" w:hAnsi="宋体" w:cs="宋体"/>
          <w:color w:val="auto"/>
          <w:sz w:val="28"/>
          <w:szCs w:val="28"/>
          <w:highlight w:val="none"/>
        </w:rPr>
        <w:t>小组根据</w:t>
      </w:r>
      <w:r>
        <w:rPr>
          <w:rFonts w:hint="eastAsia" w:ascii="宋体" w:hAnsi="宋体" w:cs="宋体"/>
          <w:color w:val="auto"/>
          <w:sz w:val="28"/>
          <w:szCs w:val="28"/>
          <w:highlight w:val="none"/>
          <w:lang w:eastAsia="zh-CN"/>
        </w:rPr>
        <w:t>磋商</w:t>
      </w:r>
      <w:r>
        <w:rPr>
          <w:rFonts w:hint="eastAsia" w:ascii="宋体" w:hAnsi="宋体" w:cs="宋体"/>
          <w:color w:val="auto"/>
          <w:sz w:val="28"/>
          <w:szCs w:val="28"/>
          <w:highlight w:val="none"/>
        </w:rPr>
        <w:t>文件中规定认</w:t>
      </w:r>
      <w:r>
        <w:rPr>
          <w:rFonts w:ascii="宋体" w:hAnsi="宋体" w:cs="宋体"/>
          <w:color w:val="auto"/>
          <w:sz w:val="28"/>
          <w:szCs w:val="28"/>
          <w:highlight w:val="none"/>
        </w:rPr>
        <w:t>为</w:t>
      </w:r>
      <w:r>
        <w:rPr>
          <w:rFonts w:hint="eastAsia" w:ascii="宋体" w:hAnsi="宋体" w:cs="宋体"/>
          <w:color w:val="auto"/>
          <w:sz w:val="28"/>
          <w:szCs w:val="28"/>
          <w:highlight w:val="none"/>
        </w:rPr>
        <w:t>供应商最后报价低于成本价，在</w:t>
      </w:r>
      <w:r>
        <w:rPr>
          <w:rFonts w:hint="eastAsia" w:ascii="宋体" w:hAnsi="宋体" w:cs="宋体"/>
          <w:color w:val="auto"/>
          <w:sz w:val="28"/>
          <w:szCs w:val="28"/>
          <w:highlight w:val="none"/>
          <w:lang w:eastAsia="zh-CN"/>
        </w:rPr>
        <w:t>磋商</w:t>
      </w:r>
      <w:r>
        <w:rPr>
          <w:rFonts w:hint="eastAsia" w:ascii="宋体" w:hAnsi="宋体" w:cs="宋体"/>
          <w:color w:val="auto"/>
          <w:sz w:val="28"/>
          <w:szCs w:val="28"/>
          <w:highlight w:val="none"/>
        </w:rPr>
        <w:t>小组发出质询函后供应商未能提供合理的成本分析和价格构成的或对质函询的解释未被</w:t>
      </w:r>
      <w:r>
        <w:rPr>
          <w:rFonts w:hint="eastAsia" w:ascii="宋体" w:hAnsi="宋体" w:cs="宋体"/>
          <w:color w:val="auto"/>
          <w:sz w:val="28"/>
          <w:szCs w:val="28"/>
          <w:highlight w:val="none"/>
          <w:lang w:eastAsia="zh-CN"/>
        </w:rPr>
        <w:t>磋商</w:t>
      </w:r>
      <w:r>
        <w:rPr>
          <w:rFonts w:hint="eastAsia" w:ascii="宋体" w:hAnsi="宋体" w:cs="宋体"/>
          <w:color w:val="auto"/>
          <w:sz w:val="28"/>
          <w:szCs w:val="28"/>
          <w:highlight w:val="none"/>
        </w:rPr>
        <w:t>小组采信的，应按照无效施工响应文件处理</w:t>
      </w:r>
      <w:r>
        <w:rPr>
          <w:rFonts w:ascii="宋体" w:hAnsi="宋体" w:cs="宋体"/>
          <w:color w:val="auto"/>
          <w:sz w:val="28"/>
          <w:szCs w:val="28"/>
          <w:highlight w:val="none"/>
        </w:rPr>
        <w:t>。</w:t>
      </w:r>
    </w:p>
    <w:p>
      <w:pPr>
        <w:numPr>
          <w:ilvl w:val="0"/>
          <w:numId w:val="41"/>
        </w:numPr>
        <w:tabs>
          <w:tab w:val="left" w:pos="1134"/>
        </w:tabs>
        <w:snapToGrid w:val="0"/>
        <w:spacing w:line="620" w:lineRule="exact"/>
        <w:ind w:left="0" w:firstLine="560" w:firstLineChars="200"/>
        <w:rPr>
          <w:rFonts w:ascii="宋体" w:hAnsi="宋体"/>
          <w:color w:val="auto"/>
          <w:sz w:val="28"/>
          <w:szCs w:val="28"/>
          <w:highlight w:val="none"/>
        </w:rPr>
      </w:pPr>
      <w:r>
        <w:rPr>
          <w:rFonts w:hint="eastAsia" w:ascii="宋体" w:hAnsi="宋体"/>
          <w:color w:val="auto"/>
          <w:sz w:val="28"/>
          <w:szCs w:val="28"/>
          <w:highlight w:val="none"/>
        </w:rPr>
        <w:t>最后报价出现下列情况的，不需要供应商澄清，按以下原则处理：</w:t>
      </w:r>
    </w:p>
    <w:p>
      <w:pPr>
        <w:pStyle w:val="182"/>
        <w:numPr>
          <w:ilvl w:val="0"/>
          <w:numId w:val="43"/>
        </w:numPr>
        <w:tabs>
          <w:tab w:val="left" w:pos="1134"/>
        </w:tabs>
        <w:snapToGrid w:val="0"/>
        <w:spacing w:line="620" w:lineRule="exact"/>
        <w:ind w:left="0" w:firstLine="525" w:firstLineChars="0"/>
        <w:rPr>
          <w:rFonts w:ascii="宋体" w:hAnsi="宋体"/>
          <w:color w:val="auto"/>
          <w:sz w:val="28"/>
          <w:szCs w:val="28"/>
          <w:highlight w:val="none"/>
        </w:rPr>
      </w:pPr>
      <w:r>
        <w:rPr>
          <w:rFonts w:hint="eastAsia" w:ascii="宋体" w:hAnsi="宋体"/>
          <w:color w:val="auto"/>
          <w:sz w:val="28"/>
          <w:szCs w:val="28"/>
          <w:highlight w:val="none"/>
        </w:rPr>
        <w:t>最后报价中的大写金额和小写金额不一致的，以大写金额为准，但大写金额出现文字错误，导致金额无法判断的除外；</w:t>
      </w:r>
    </w:p>
    <w:p>
      <w:pPr>
        <w:pStyle w:val="182"/>
        <w:numPr>
          <w:ilvl w:val="0"/>
          <w:numId w:val="43"/>
        </w:numPr>
        <w:tabs>
          <w:tab w:val="left" w:pos="1134"/>
        </w:tabs>
        <w:snapToGrid w:val="0"/>
        <w:spacing w:line="620" w:lineRule="exact"/>
        <w:ind w:left="0" w:firstLine="525" w:firstLineChars="0"/>
        <w:rPr>
          <w:rFonts w:ascii="宋体" w:hAnsi="宋体"/>
          <w:color w:val="auto"/>
          <w:sz w:val="28"/>
          <w:szCs w:val="28"/>
          <w:highlight w:val="none"/>
        </w:rPr>
      </w:pPr>
      <w:r>
        <w:rPr>
          <w:rFonts w:hint="eastAsia" w:ascii="宋体" w:hAnsi="宋体"/>
          <w:color w:val="auto"/>
          <w:sz w:val="28"/>
          <w:szCs w:val="28"/>
          <w:highlight w:val="none"/>
        </w:rPr>
        <w:t>单价金额小数点或者百分比有明显错位的，应以总价为准，并修改单价；</w:t>
      </w:r>
    </w:p>
    <w:p>
      <w:pPr>
        <w:pStyle w:val="182"/>
        <w:numPr>
          <w:ilvl w:val="0"/>
          <w:numId w:val="43"/>
        </w:numPr>
        <w:tabs>
          <w:tab w:val="left" w:pos="1134"/>
        </w:tabs>
        <w:snapToGrid w:val="0"/>
        <w:spacing w:line="620" w:lineRule="exact"/>
        <w:ind w:left="0" w:firstLine="525" w:firstLineChars="0"/>
        <w:rPr>
          <w:rFonts w:ascii="宋体" w:hAnsi="宋体"/>
          <w:color w:val="auto"/>
          <w:sz w:val="28"/>
          <w:szCs w:val="28"/>
          <w:highlight w:val="none"/>
        </w:rPr>
      </w:pPr>
      <w:r>
        <w:rPr>
          <w:rFonts w:hint="eastAsia" w:ascii="宋体" w:hAnsi="宋体"/>
          <w:color w:val="auto"/>
          <w:sz w:val="28"/>
          <w:szCs w:val="28"/>
          <w:highlight w:val="none"/>
        </w:rPr>
        <w:t>总价金额与按单价汇总金额不一致的，以单价汇总金额计算结果为准；</w:t>
      </w:r>
    </w:p>
    <w:p>
      <w:pPr>
        <w:snapToGrid w:val="0"/>
        <w:spacing w:line="620" w:lineRule="exact"/>
        <w:ind w:firstLine="560" w:firstLineChars="200"/>
        <w:rPr>
          <w:color w:val="auto"/>
          <w:highlight w:val="none"/>
        </w:rPr>
      </w:pPr>
      <w:r>
        <w:rPr>
          <w:rFonts w:hint="eastAsia" w:ascii="Calibri" w:hAnsi="Calibri" w:cs="Arial"/>
          <w:color w:val="auto"/>
          <w:kern w:val="2"/>
          <w:sz w:val="28"/>
          <w:szCs w:val="28"/>
          <w:highlight w:val="none"/>
        </w:rPr>
        <w:t>同时出现两种以上不一致的，按照前款规定的顺序修正。修正后的</w:t>
      </w:r>
      <w:r>
        <w:rPr>
          <w:rFonts w:hint="eastAsia" w:ascii="宋体" w:hAnsi="宋体"/>
          <w:color w:val="auto"/>
          <w:sz w:val="28"/>
          <w:szCs w:val="28"/>
          <w:highlight w:val="none"/>
        </w:rPr>
        <w:t>最后</w:t>
      </w:r>
      <w:r>
        <w:rPr>
          <w:rFonts w:hint="eastAsia" w:ascii="Calibri" w:hAnsi="Calibri" w:cs="Arial"/>
          <w:color w:val="auto"/>
          <w:kern w:val="2"/>
          <w:sz w:val="28"/>
          <w:szCs w:val="28"/>
          <w:highlight w:val="none"/>
        </w:rPr>
        <w:t>报价经供应商以书面形式进行确认，并加盖公章，或者由法定代表人或其授权的代表签字后产生约束力，供应商不确认的，其</w:t>
      </w:r>
      <w:r>
        <w:rPr>
          <w:rFonts w:hint="eastAsia" w:ascii="宋体" w:hAnsi="宋体"/>
          <w:color w:val="auto"/>
          <w:sz w:val="28"/>
          <w:szCs w:val="28"/>
          <w:highlight w:val="none"/>
        </w:rPr>
        <w:t>最后</w:t>
      </w:r>
      <w:r>
        <w:rPr>
          <w:rFonts w:hint="eastAsia" w:ascii="Calibri" w:hAnsi="Calibri" w:cs="Arial"/>
          <w:color w:val="auto"/>
          <w:kern w:val="2"/>
          <w:sz w:val="28"/>
          <w:szCs w:val="28"/>
          <w:highlight w:val="none"/>
        </w:rPr>
        <w:t>报价无效。</w:t>
      </w:r>
    </w:p>
    <w:p>
      <w:pPr>
        <w:pStyle w:val="182"/>
        <w:tabs>
          <w:tab w:val="left" w:pos="1134"/>
        </w:tabs>
        <w:snapToGrid w:val="0"/>
        <w:spacing w:line="620" w:lineRule="exact"/>
        <w:ind w:firstLine="523" w:firstLineChars="187"/>
        <w:rPr>
          <w:rFonts w:ascii="宋体" w:hAnsi="宋体"/>
          <w:color w:val="auto"/>
          <w:sz w:val="28"/>
          <w:szCs w:val="28"/>
          <w:highlight w:val="none"/>
        </w:rPr>
      </w:pPr>
      <w:r>
        <w:rPr>
          <w:rFonts w:hint="eastAsia" w:ascii="宋体" w:hAnsi="宋体"/>
          <w:color w:val="auto"/>
          <w:sz w:val="28"/>
          <w:szCs w:val="28"/>
          <w:highlight w:val="none"/>
        </w:rPr>
        <w:t>对不同语言文本施工响应文件的解释发生异议的，以中文文本为准。</w:t>
      </w:r>
    </w:p>
    <w:p>
      <w:pPr>
        <w:numPr>
          <w:ilvl w:val="0"/>
          <w:numId w:val="41"/>
        </w:numPr>
        <w:tabs>
          <w:tab w:val="left" w:pos="1134"/>
        </w:tabs>
        <w:snapToGrid w:val="0"/>
        <w:spacing w:line="620" w:lineRule="exact"/>
        <w:ind w:left="0" w:firstLine="560" w:firstLineChars="200"/>
        <w:rPr>
          <w:rFonts w:ascii="宋体" w:hAnsi="宋体"/>
          <w:color w:val="auto"/>
          <w:sz w:val="28"/>
          <w:szCs w:val="28"/>
          <w:highlight w:val="none"/>
        </w:rPr>
      </w:pPr>
      <w:r>
        <w:rPr>
          <w:rFonts w:hint="eastAsia"/>
          <w:color w:val="auto"/>
          <w:highlight w:val="none"/>
          <w:lang w:val="zh-CN"/>
        </w:rPr>
        <w:t>小微企业（监狱企业、残疾人福利性单位视同小微企业）价格扣除和失信企业报价加成或者扣分。</w:t>
      </w:r>
    </w:p>
    <w:p>
      <w:pPr>
        <w:pStyle w:val="65"/>
        <w:numPr>
          <w:ilvl w:val="0"/>
          <w:numId w:val="44"/>
        </w:numPr>
        <w:tabs>
          <w:tab w:val="left" w:pos="1418"/>
        </w:tabs>
        <w:snapToGrid w:val="0"/>
        <w:spacing w:line="620" w:lineRule="exact"/>
        <w:ind w:left="0" w:firstLine="567" w:firstLineChars="0"/>
        <w:rPr>
          <w:rFonts w:ascii="宋体" w:hAnsi="宋体"/>
          <w:color w:val="auto"/>
          <w:sz w:val="28"/>
          <w:szCs w:val="28"/>
          <w:highlight w:val="none"/>
        </w:rPr>
      </w:pPr>
      <w:r>
        <w:rPr>
          <w:rFonts w:hint="eastAsia" w:ascii="宋体" w:hAnsi="宋体"/>
          <w:color w:val="auto"/>
          <w:sz w:val="28"/>
          <w:szCs w:val="28"/>
          <w:highlight w:val="none"/>
        </w:rPr>
        <w:t>本项目</w:t>
      </w:r>
      <w:r>
        <w:rPr>
          <w:rFonts w:hint="eastAsia" w:ascii="宋体" w:hAnsi="宋体"/>
          <w:color w:val="auto"/>
          <w:sz w:val="28"/>
          <w:szCs w:val="28"/>
          <w:highlight w:val="none"/>
          <w:lang w:eastAsia="zh-CN"/>
        </w:rPr>
        <w:t>非</w:t>
      </w:r>
      <w:r>
        <w:rPr>
          <w:rFonts w:hint="eastAsia" w:ascii="宋体" w:hAnsi="宋体"/>
          <w:color w:val="auto"/>
          <w:sz w:val="28"/>
          <w:szCs w:val="28"/>
          <w:highlight w:val="none"/>
        </w:rPr>
        <w:t>专门面向中小企业。</w:t>
      </w:r>
      <w:r>
        <w:rPr>
          <w:rFonts w:hint="eastAsia" w:ascii="宋体" w:hAnsi="宋体"/>
          <w:color w:val="auto"/>
          <w:sz w:val="28"/>
          <w:szCs w:val="28"/>
          <w:highlight w:val="none"/>
          <w:lang w:val="zh-CN" w:eastAsia="zh-CN"/>
        </w:rPr>
        <w:t>小微企业、监狱企业和残疾人福利性单位价格扣除：根据《政府采购促进中小企业发展管理办法》（财库〔2020〕46号）、《关于政府采购支持监狱企业发展有关问题的通知》（财库[2014]68号）、《三部门联合发布关于促进残疾人就业政府采购政策的通知》（财库[2017]141号）的规定，对小型企业或微型企业或监狱企业或残疾人福利性单位承建工程的价格给予</w:t>
      </w:r>
      <w:r>
        <w:rPr>
          <w:rFonts w:hint="eastAsia" w:ascii="宋体" w:hAnsi="宋体"/>
          <w:color w:val="auto"/>
          <w:sz w:val="28"/>
          <w:szCs w:val="28"/>
          <w:highlight w:val="none"/>
          <w:lang w:val="en-US" w:eastAsia="zh-CN"/>
        </w:rPr>
        <w:t>4</w:t>
      </w:r>
      <w:r>
        <w:rPr>
          <w:rFonts w:hint="eastAsia" w:ascii="宋体" w:hAnsi="宋体"/>
          <w:color w:val="auto"/>
          <w:sz w:val="28"/>
          <w:szCs w:val="28"/>
          <w:highlight w:val="none"/>
          <w:lang w:val="zh-CN" w:eastAsia="zh-CN"/>
        </w:rPr>
        <w:t>%的价格扣除，用扣除后的价格参与评审排序。</w:t>
      </w:r>
    </w:p>
    <w:p>
      <w:pPr>
        <w:pStyle w:val="65"/>
        <w:numPr>
          <w:ilvl w:val="0"/>
          <w:numId w:val="44"/>
        </w:numPr>
        <w:tabs>
          <w:tab w:val="left" w:pos="1418"/>
        </w:tabs>
        <w:snapToGrid w:val="0"/>
        <w:spacing w:line="620" w:lineRule="exact"/>
        <w:ind w:left="0" w:firstLine="567" w:firstLineChars="0"/>
        <w:rPr>
          <w:rFonts w:ascii="宋体" w:hAnsi="宋体"/>
          <w:color w:val="auto"/>
          <w:sz w:val="28"/>
          <w:szCs w:val="28"/>
          <w:highlight w:val="none"/>
        </w:rPr>
      </w:pPr>
      <w:r>
        <w:rPr>
          <w:rFonts w:hint="eastAsia" w:ascii="宋体" w:hAnsi="宋体"/>
          <w:color w:val="auto"/>
          <w:sz w:val="28"/>
          <w:szCs w:val="28"/>
          <w:highlight w:val="none"/>
        </w:rPr>
        <w:t>对记入诚信档案且在有效期内的失信供应商，参加政府采购活动按照</w:t>
      </w:r>
      <w:r>
        <w:rPr>
          <w:rFonts w:ascii="宋体" w:hAnsi="宋体"/>
          <w:color w:val="auto"/>
          <w:sz w:val="28"/>
          <w:szCs w:val="28"/>
          <w:highlight w:val="none"/>
        </w:rPr>
        <w:t>10%的报价加成，以加成后报价作为该供应商报价参与评审。供应商失信行为惩戒实行无限制累加制，因其失信行为进行报价加成惩戒后报价超过政府采购预算的，其施工响应文件按照无效处理。</w:t>
      </w:r>
    </w:p>
    <w:p>
      <w:pPr>
        <w:numPr>
          <w:ilvl w:val="0"/>
          <w:numId w:val="41"/>
        </w:numPr>
        <w:tabs>
          <w:tab w:val="left" w:pos="1134"/>
        </w:tabs>
        <w:snapToGrid w:val="0"/>
        <w:spacing w:line="620" w:lineRule="exact"/>
        <w:ind w:left="0" w:firstLine="560" w:firstLineChars="200"/>
        <w:rPr>
          <w:rFonts w:ascii="宋体" w:hAnsi="宋体"/>
          <w:color w:val="auto"/>
          <w:sz w:val="28"/>
          <w:szCs w:val="28"/>
          <w:highlight w:val="none"/>
        </w:rPr>
      </w:pPr>
      <w:r>
        <w:rPr>
          <w:rFonts w:hint="eastAsia" w:ascii="宋体" w:hAnsi="宋体"/>
          <w:color w:val="auto"/>
          <w:sz w:val="28"/>
          <w:szCs w:val="28"/>
          <w:highlight w:val="none"/>
        </w:rPr>
        <w:t>有效最后报价的供应商不足三家的，本次采购活动终止，并发布终止竞争性</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公告。</w:t>
      </w:r>
    </w:p>
    <w:p>
      <w:pPr>
        <w:pStyle w:val="4"/>
        <w:numPr>
          <w:ilvl w:val="2"/>
          <w:numId w:val="1"/>
        </w:numPr>
        <w:tabs>
          <w:tab w:val="left" w:pos="993"/>
          <w:tab w:val="clear" w:pos="426"/>
          <w:tab w:val="clear" w:pos="567"/>
        </w:tabs>
        <w:spacing w:before="0" w:after="0"/>
        <w:jc w:val="both"/>
        <w:rPr>
          <w:color w:val="auto"/>
          <w:highlight w:val="none"/>
        </w:rPr>
      </w:pPr>
      <w:bookmarkStart w:id="121" w:name="_Toc25712"/>
      <w:r>
        <w:rPr>
          <w:rFonts w:hint="eastAsia"/>
          <w:color w:val="auto"/>
          <w:highlight w:val="none"/>
          <w:lang w:eastAsia="zh-CN"/>
        </w:rPr>
        <w:t>解释、澄清、说明的有关问题</w:t>
      </w:r>
      <w:bookmarkEnd w:id="121"/>
    </w:p>
    <w:bookmarkEnd w:id="119"/>
    <w:p>
      <w:pPr>
        <w:numPr>
          <w:ilvl w:val="0"/>
          <w:numId w:val="45"/>
        </w:numPr>
        <w:tabs>
          <w:tab w:val="left" w:pos="1134"/>
        </w:tabs>
        <w:spacing w:line="360" w:lineRule="auto"/>
        <w:ind w:left="0" w:firstLine="567"/>
        <w:rPr>
          <w:rFonts w:ascii="宋体" w:hAnsi="宋体"/>
          <w:color w:val="auto"/>
          <w:sz w:val="28"/>
          <w:szCs w:val="28"/>
          <w:highlight w:val="none"/>
        </w:rPr>
      </w:pPr>
      <w:r>
        <w:rPr>
          <w:rFonts w:hint="eastAsia" w:ascii="宋体" w:hAnsi="宋体"/>
          <w:color w:val="auto"/>
          <w:sz w:val="28"/>
          <w:szCs w:val="28"/>
          <w:highlight w:val="none"/>
        </w:rPr>
        <w:t>评审过程中，磋商小组认为磋商文件有关事项表述不明确或需要说明的，可以提请</w:t>
      </w:r>
      <w:r>
        <w:rPr>
          <w:rFonts w:hint="eastAsia" w:ascii="宋体" w:hAnsi="宋体"/>
          <w:color w:val="auto"/>
          <w:sz w:val="28"/>
          <w:szCs w:val="28"/>
          <w:highlight w:val="none"/>
          <w:lang w:eastAsia="zh-CN"/>
        </w:rPr>
        <w:t>区采购中心</w:t>
      </w:r>
      <w:r>
        <w:rPr>
          <w:rFonts w:hint="eastAsia" w:ascii="宋体" w:hAnsi="宋体"/>
          <w:color w:val="auto"/>
          <w:sz w:val="28"/>
          <w:szCs w:val="28"/>
          <w:highlight w:val="none"/>
        </w:rPr>
        <w:t>书面解释。</w:t>
      </w:r>
      <w:r>
        <w:rPr>
          <w:rFonts w:hint="eastAsia" w:ascii="宋体" w:hAnsi="宋体"/>
          <w:color w:val="auto"/>
          <w:sz w:val="28"/>
          <w:szCs w:val="28"/>
          <w:highlight w:val="none"/>
          <w:lang w:eastAsia="zh-CN"/>
        </w:rPr>
        <w:t>区采购中心</w:t>
      </w:r>
      <w:r>
        <w:rPr>
          <w:rFonts w:hint="eastAsia" w:ascii="宋体" w:hAnsi="宋体"/>
          <w:color w:val="auto"/>
          <w:sz w:val="28"/>
          <w:szCs w:val="28"/>
          <w:highlight w:val="none"/>
        </w:rPr>
        <w:t>的解释不得改变磋商文件的原义或者影响公平、公正，解释事项如果涉及供应商权益的以有利于供应商的原则进行解释。</w:t>
      </w:r>
    </w:p>
    <w:p>
      <w:pPr>
        <w:numPr>
          <w:ilvl w:val="0"/>
          <w:numId w:val="45"/>
        </w:numPr>
        <w:tabs>
          <w:tab w:val="left" w:pos="1134"/>
        </w:tabs>
        <w:spacing w:line="360" w:lineRule="auto"/>
        <w:ind w:left="0" w:firstLine="567"/>
        <w:rPr>
          <w:rFonts w:ascii="宋体" w:hAnsi="宋体"/>
          <w:color w:val="auto"/>
          <w:sz w:val="28"/>
          <w:szCs w:val="28"/>
          <w:highlight w:val="none"/>
        </w:rPr>
      </w:pPr>
      <w:r>
        <w:rPr>
          <w:rFonts w:hint="eastAsia" w:ascii="宋体" w:hAnsi="宋体"/>
          <w:color w:val="auto"/>
          <w:sz w:val="28"/>
          <w:szCs w:val="28"/>
          <w:highlight w:val="none"/>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numPr>
          <w:ilvl w:val="0"/>
          <w:numId w:val="40"/>
        </w:numPr>
        <w:snapToGrid w:val="0"/>
        <w:spacing w:line="620" w:lineRule="exact"/>
        <w:ind w:left="0" w:leftChars="0" w:firstLine="567" w:firstLineChars="0"/>
        <w:rPr>
          <w:rFonts w:hint="eastAsia" w:ascii="宋体" w:hAnsi="宋体"/>
          <w:color w:val="auto"/>
          <w:sz w:val="28"/>
          <w:szCs w:val="28"/>
          <w:highlight w:val="none"/>
        </w:rPr>
      </w:pPr>
      <w:r>
        <w:rPr>
          <w:rFonts w:hint="eastAsia" w:ascii="宋体" w:hAnsi="宋体"/>
          <w:color w:val="auto"/>
          <w:sz w:val="28"/>
          <w:szCs w:val="28"/>
          <w:highlight w:val="none"/>
          <w:lang w:eastAsia="zh-CN"/>
        </w:rPr>
        <w:t>磋商</w:t>
      </w:r>
      <w:r>
        <w:rPr>
          <w:rFonts w:ascii="宋体" w:hAnsi="宋体"/>
          <w:color w:val="auto"/>
          <w:sz w:val="28"/>
          <w:szCs w:val="28"/>
          <w:highlight w:val="none"/>
        </w:rPr>
        <w:t>小组要求供应商澄清、说明或者</w:t>
      </w:r>
      <w:r>
        <w:rPr>
          <w:rFonts w:hint="eastAsia" w:ascii="宋体" w:hAnsi="宋体"/>
          <w:color w:val="auto"/>
          <w:sz w:val="28"/>
          <w:szCs w:val="28"/>
          <w:highlight w:val="none"/>
        </w:rPr>
        <w:t>更</w:t>
      </w:r>
      <w:r>
        <w:rPr>
          <w:rFonts w:ascii="宋体" w:hAnsi="宋体"/>
          <w:color w:val="auto"/>
          <w:sz w:val="28"/>
          <w:szCs w:val="28"/>
          <w:highlight w:val="none"/>
        </w:rPr>
        <w:t>正施工响应文件应当以书面形式作出</w:t>
      </w:r>
      <w:r>
        <w:rPr>
          <w:rFonts w:hint="eastAsia" w:ascii="宋体" w:hAnsi="宋体"/>
          <w:color w:val="auto"/>
          <w:sz w:val="28"/>
          <w:szCs w:val="28"/>
          <w:highlight w:val="none"/>
        </w:rPr>
        <w:t>（须由</w:t>
      </w: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小组全体成员签字），并给予供应商必要的反馈时间</w:t>
      </w:r>
      <w:r>
        <w:rPr>
          <w:rFonts w:ascii="宋体" w:hAnsi="宋体"/>
          <w:color w:val="auto"/>
          <w:sz w:val="28"/>
          <w:szCs w:val="28"/>
          <w:highlight w:val="none"/>
        </w:rPr>
        <w:t>。</w:t>
      </w:r>
      <w:r>
        <w:rPr>
          <w:rFonts w:hint="eastAsia" w:ascii="宋体" w:hAnsi="宋体"/>
          <w:color w:val="auto"/>
          <w:sz w:val="28"/>
          <w:szCs w:val="28"/>
          <w:highlight w:val="none"/>
        </w:rPr>
        <w:t>供应商的澄清、说明或者更</w:t>
      </w:r>
      <w:r>
        <w:rPr>
          <w:rFonts w:ascii="宋体" w:hAnsi="宋体"/>
          <w:color w:val="auto"/>
          <w:sz w:val="28"/>
          <w:szCs w:val="28"/>
          <w:highlight w:val="none"/>
        </w:rPr>
        <w:t>正</w:t>
      </w:r>
      <w:r>
        <w:rPr>
          <w:rFonts w:hint="eastAsia" w:ascii="宋体" w:hAnsi="宋体"/>
          <w:color w:val="auto"/>
          <w:sz w:val="28"/>
          <w:szCs w:val="28"/>
          <w:highlight w:val="none"/>
        </w:rPr>
        <w:t>应当采用书面形式，并加盖公章，或者由法定代表人或其授权的代表签字。澄清不影响施工响应文件的效力，有效的澄清材料，是施工响应文件的组成部分。</w:t>
      </w:r>
    </w:p>
    <w:p>
      <w:pPr>
        <w:tabs>
          <w:tab w:val="left" w:pos="851"/>
        </w:tabs>
        <w:snapToGrid w:val="0"/>
        <w:spacing w:line="620" w:lineRule="exact"/>
        <w:ind w:firstLine="568" w:firstLineChars="202"/>
        <w:rPr>
          <w:color w:val="auto"/>
          <w:highlight w:val="none"/>
        </w:rPr>
      </w:pPr>
      <w:r>
        <w:rPr>
          <w:rFonts w:hint="eastAsia" w:ascii="宋体" w:hAnsi="宋体"/>
          <w:b/>
          <w:color w:val="auto"/>
          <w:sz w:val="28"/>
          <w:szCs w:val="28"/>
          <w:highlight w:val="none"/>
          <w:lang w:eastAsia="zh-CN"/>
        </w:rPr>
        <w:t>磋商</w:t>
      </w:r>
      <w:r>
        <w:rPr>
          <w:rFonts w:hint="eastAsia" w:ascii="宋体" w:hAnsi="宋体"/>
          <w:b/>
          <w:color w:val="auto"/>
          <w:sz w:val="28"/>
          <w:szCs w:val="28"/>
          <w:highlight w:val="none"/>
        </w:rPr>
        <w:t>小组应当积极履行澄清、说明或者更正的职责，不得滥用权力。</w:t>
      </w:r>
    </w:p>
    <w:p>
      <w:pPr>
        <w:pStyle w:val="4"/>
        <w:numPr>
          <w:ilvl w:val="2"/>
          <w:numId w:val="1"/>
        </w:numPr>
        <w:tabs>
          <w:tab w:val="left" w:pos="993"/>
          <w:tab w:val="clear" w:pos="426"/>
          <w:tab w:val="clear" w:pos="567"/>
        </w:tabs>
        <w:spacing w:before="0" w:after="0"/>
        <w:jc w:val="both"/>
        <w:rPr>
          <w:color w:val="auto"/>
          <w:highlight w:val="none"/>
        </w:rPr>
      </w:pPr>
      <w:bookmarkStart w:id="122" w:name="_Toc24472"/>
      <w:bookmarkStart w:id="123" w:name="_Toc61004799"/>
      <w:r>
        <w:rPr>
          <w:rFonts w:hint="eastAsia"/>
          <w:color w:val="auto"/>
          <w:highlight w:val="none"/>
        </w:rPr>
        <w:t>比较与评价</w:t>
      </w:r>
      <w:bookmarkEnd w:id="122"/>
      <w:bookmarkEnd w:id="123"/>
    </w:p>
    <w:p>
      <w:pPr>
        <w:ind w:firstLine="560" w:firstLineChars="200"/>
        <w:rPr>
          <w:rFonts w:ascii="宋体" w:hAnsi="宋体"/>
          <w:color w:val="auto"/>
          <w:sz w:val="28"/>
          <w:szCs w:val="28"/>
          <w:highlight w:val="none"/>
        </w:rPr>
      </w:pPr>
      <w:r>
        <w:rPr>
          <w:rFonts w:hint="eastAsia" w:ascii="宋体" w:hAnsi="宋体"/>
          <w:color w:val="auto"/>
          <w:sz w:val="28"/>
          <w:szCs w:val="28"/>
          <w:highlight w:val="none"/>
        </w:rPr>
        <w:t>由磋商小组采用综合评分法对提交最后报价的供应商的施工响应文件和最后报价进行综合评分，具体要求详见本章综合评分部分。</w:t>
      </w:r>
    </w:p>
    <w:p>
      <w:pPr>
        <w:pStyle w:val="4"/>
        <w:numPr>
          <w:ilvl w:val="2"/>
          <w:numId w:val="1"/>
        </w:numPr>
        <w:tabs>
          <w:tab w:val="left" w:pos="993"/>
          <w:tab w:val="clear" w:pos="426"/>
          <w:tab w:val="clear" w:pos="567"/>
        </w:tabs>
        <w:spacing w:before="0" w:after="0"/>
        <w:jc w:val="both"/>
        <w:rPr>
          <w:color w:val="auto"/>
          <w:highlight w:val="none"/>
        </w:rPr>
      </w:pPr>
      <w:bookmarkStart w:id="124" w:name="_Toc61004800"/>
      <w:bookmarkStart w:id="125" w:name="_Toc4950"/>
      <w:r>
        <w:rPr>
          <w:rFonts w:hint="eastAsia"/>
          <w:color w:val="auto"/>
          <w:highlight w:val="none"/>
        </w:rPr>
        <w:t>磋商小组复核</w:t>
      </w:r>
      <w:bookmarkEnd w:id="124"/>
      <w:bookmarkEnd w:id="125"/>
    </w:p>
    <w:p>
      <w:pPr>
        <w:numPr>
          <w:ilvl w:val="0"/>
          <w:numId w:val="46"/>
        </w:numPr>
        <w:tabs>
          <w:tab w:val="left" w:pos="1134"/>
        </w:tabs>
        <w:spacing w:line="360" w:lineRule="auto"/>
        <w:ind w:left="0" w:firstLine="567"/>
        <w:rPr>
          <w:rFonts w:ascii="宋体" w:hAnsi="宋体"/>
          <w:color w:val="auto"/>
          <w:sz w:val="28"/>
          <w:szCs w:val="28"/>
          <w:highlight w:val="none"/>
        </w:rPr>
      </w:pPr>
      <w:r>
        <w:rPr>
          <w:rFonts w:hint="eastAsia" w:ascii="宋体" w:hAnsi="宋体"/>
          <w:color w:val="auto"/>
          <w:sz w:val="28"/>
          <w:szCs w:val="28"/>
          <w:highlight w:val="none"/>
        </w:rPr>
        <w:t>评审结束后，磋商小组应当进行复核，特别要对拟推荐为成交候选供应商的、报价最低的、施工响应文件被认定为无效的进行重点复核。</w:t>
      </w:r>
    </w:p>
    <w:p>
      <w:pPr>
        <w:numPr>
          <w:ilvl w:val="0"/>
          <w:numId w:val="46"/>
        </w:numPr>
        <w:tabs>
          <w:tab w:val="left" w:pos="1134"/>
        </w:tabs>
        <w:spacing w:line="360" w:lineRule="auto"/>
        <w:ind w:left="0" w:firstLine="567"/>
        <w:rPr>
          <w:rFonts w:ascii="宋体" w:hAnsi="宋体"/>
          <w:color w:val="auto"/>
          <w:sz w:val="28"/>
          <w:szCs w:val="28"/>
          <w:highlight w:val="none"/>
        </w:rPr>
      </w:pPr>
      <w:r>
        <w:rPr>
          <w:rFonts w:hint="eastAsia" w:ascii="宋体" w:hAnsi="宋体"/>
          <w:color w:val="auto"/>
          <w:sz w:val="28"/>
          <w:szCs w:val="28"/>
          <w:highlight w:val="none"/>
        </w:rPr>
        <w:t>评审结果汇总完成后，磋商小组拟出具评审报告前，</w:t>
      </w:r>
      <w:r>
        <w:rPr>
          <w:rFonts w:hint="eastAsia" w:ascii="宋体" w:hAnsi="宋体"/>
          <w:color w:val="auto"/>
          <w:sz w:val="28"/>
          <w:szCs w:val="28"/>
          <w:highlight w:val="none"/>
          <w:lang w:eastAsia="zh-CN"/>
        </w:rPr>
        <w:t>区采购中心</w:t>
      </w:r>
      <w:r>
        <w:rPr>
          <w:rFonts w:hint="eastAsia" w:ascii="宋体" w:hAnsi="宋体"/>
          <w:color w:val="auto"/>
          <w:sz w:val="28"/>
          <w:szCs w:val="28"/>
          <w:highlight w:val="none"/>
        </w:rPr>
        <w:t>应当组织2名以上的工作人员，在采购现场监督人员的监督之下，依据有关的法律制度和采购文件对评审结果进行复核，出具复核报告。</w:t>
      </w:r>
    </w:p>
    <w:p>
      <w:pPr>
        <w:numPr>
          <w:ilvl w:val="0"/>
          <w:numId w:val="46"/>
        </w:numPr>
        <w:tabs>
          <w:tab w:val="left" w:pos="1134"/>
        </w:tabs>
        <w:spacing w:line="360" w:lineRule="auto"/>
        <w:ind w:left="0" w:firstLine="567"/>
        <w:rPr>
          <w:rFonts w:ascii="宋体" w:hAnsi="宋体"/>
          <w:color w:val="auto"/>
          <w:sz w:val="28"/>
          <w:szCs w:val="28"/>
          <w:highlight w:val="none"/>
        </w:rPr>
      </w:pPr>
      <w:r>
        <w:rPr>
          <w:rFonts w:hint="eastAsia" w:ascii="宋体" w:hAnsi="宋体"/>
          <w:color w:val="auto"/>
          <w:sz w:val="28"/>
          <w:szCs w:val="28"/>
          <w:highlight w:val="none"/>
        </w:rPr>
        <w:t>评审结果汇总完成后，除下列情形外，任何人不得修改评审结果：</w:t>
      </w:r>
    </w:p>
    <w:p>
      <w:pPr>
        <w:pStyle w:val="65"/>
        <w:widowControl/>
        <w:numPr>
          <w:ilvl w:val="0"/>
          <w:numId w:val="47"/>
        </w:numPr>
        <w:tabs>
          <w:tab w:val="left" w:pos="1418"/>
        </w:tabs>
        <w:spacing w:line="360" w:lineRule="auto"/>
        <w:ind w:left="0" w:firstLine="480" w:firstLineChars="0"/>
        <w:jc w:val="left"/>
        <w:rPr>
          <w:rFonts w:ascii="宋体" w:hAnsi="宋体" w:eastAsia="宋体"/>
          <w:color w:val="auto"/>
          <w:sz w:val="28"/>
          <w:szCs w:val="28"/>
          <w:highlight w:val="none"/>
        </w:rPr>
      </w:pPr>
      <w:r>
        <w:rPr>
          <w:rFonts w:hint="eastAsia" w:ascii="宋体" w:hAnsi="宋体" w:eastAsia="宋体"/>
          <w:color w:val="auto"/>
          <w:sz w:val="28"/>
          <w:szCs w:val="28"/>
          <w:highlight w:val="none"/>
        </w:rPr>
        <w:t>资格性认定错误；</w:t>
      </w:r>
    </w:p>
    <w:p>
      <w:pPr>
        <w:pStyle w:val="65"/>
        <w:widowControl/>
        <w:numPr>
          <w:ilvl w:val="0"/>
          <w:numId w:val="47"/>
        </w:numPr>
        <w:tabs>
          <w:tab w:val="left" w:pos="1418"/>
        </w:tabs>
        <w:spacing w:line="360" w:lineRule="auto"/>
        <w:ind w:left="0" w:firstLine="480" w:firstLineChars="0"/>
        <w:jc w:val="left"/>
        <w:rPr>
          <w:rFonts w:ascii="宋体" w:hAnsi="宋体" w:eastAsia="宋体"/>
          <w:color w:val="auto"/>
          <w:sz w:val="28"/>
          <w:szCs w:val="28"/>
          <w:highlight w:val="none"/>
        </w:rPr>
      </w:pPr>
      <w:r>
        <w:rPr>
          <w:rFonts w:hint="eastAsia" w:ascii="宋体" w:hAnsi="宋体" w:eastAsia="宋体"/>
          <w:color w:val="auto"/>
          <w:sz w:val="28"/>
          <w:szCs w:val="28"/>
          <w:highlight w:val="none"/>
        </w:rPr>
        <w:t>分值汇总计算错误的；</w:t>
      </w:r>
    </w:p>
    <w:p>
      <w:pPr>
        <w:pStyle w:val="65"/>
        <w:widowControl/>
        <w:numPr>
          <w:ilvl w:val="0"/>
          <w:numId w:val="47"/>
        </w:numPr>
        <w:tabs>
          <w:tab w:val="left" w:pos="1418"/>
        </w:tabs>
        <w:spacing w:line="360" w:lineRule="auto"/>
        <w:ind w:left="0" w:firstLine="480" w:firstLineChars="0"/>
        <w:jc w:val="left"/>
        <w:rPr>
          <w:rFonts w:ascii="宋体" w:hAnsi="宋体" w:eastAsia="宋体"/>
          <w:color w:val="auto"/>
          <w:sz w:val="28"/>
          <w:szCs w:val="28"/>
          <w:highlight w:val="none"/>
        </w:rPr>
      </w:pPr>
      <w:r>
        <w:rPr>
          <w:rFonts w:hint="eastAsia" w:ascii="宋体" w:hAnsi="宋体" w:eastAsia="宋体"/>
          <w:color w:val="auto"/>
          <w:sz w:val="28"/>
          <w:szCs w:val="28"/>
          <w:highlight w:val="none"/>
        </w:rPr>
        <w:t>分项评分超出评分标准范围的；</w:t>
      </w:r>
    </w:p>
    <w:p>
      <w:pPr>
        <w:pStyle w:val="65"/>
        <w:widowControl/>
        <w:numPr>
          <w:ilvl w:val="0"/>
          <w:numId w:val="47"/>
        </w:numPr>
        <w:tabs>
          <w:tab w:val="left" w:pos="1418"/>
        </w:tabs>
        <w:spacing w:line="360" w:lineRule="auto"/>
        <w:ind w:left="0" w:firstLine="480" w:firstLineChars="0"/>
        <w:jc w:val="left"/>
        <w:rPr>
          <w:rFonts w:ascii="宋体" w:hAnsi="宋体" w:eastAsia="宋体"/>
          <w:color w:val="auto"/>
          <w:sz w:val="28"/>
          <w:szCs w:val="28"/>
          <w:highlight w:val="none"/>
        </w:rPr>
      </w:pPr>
      <w:r>
        <w:rPr>
          <w:rFonts w:hint="eastAsia" w:ascii="宋体" w:hAnsi="宋体" w:eastAsia="宋体"/>
          <w:color w:val="auto"/>
          <w:sz w:val="28"/>
          <w:szCs w:val="28"/>
          <w:highlight w:val="none"/>
        </w:rPr>
        <w:t>磋商小组成员对客观评审因素评分不一致的；</w:t>
      </w:r>
    </w:p>
    <w:p>
      <w:pPr>
        <w:pStyle w:val="65"/>
        <w:widowControl/>
        <w:numPr>
          <w:ilvl w:val="0"/>
          <w:numId w:val="47"/>
        </w:numPr>
        <w:tabs>
          <w:tab w:val="left" w:pos="1418"/>
        </w:tabs>
        <w:spacing w:line="360" w:lineRule="auto"/>
        <w:ind w:left="0" w:firstLine="480" w:firstLineChars="0"/>
        <w:jc w:val="left"/>
        <w:rPr>
          <w:rFonts w:ascii="宋体" w:hAnsi="宋体" w:eastAsia="宋体"/>
          <w:color w:val="auto"/>
          <w:sz w:val="28"/>
          <w:szCs w:val="28"/>
          <w:highlight w:val="none"/>
        </w:rPr>
      </w:pPr>
      <w:r>
        <w:rPr>
          <w:rFonts w:hint="eastAsia" w:ascii="宋体" w:hAnsi="宋体" w:eastAsia="宋体"/>
          <w:color w:val="auto"/>
          <w:sz w:val="28"/>
          <w:szCs w:val="28"/>
          <w:highlight w:val="none"/>
        </w:rPr>
        <w:t>经磋商小组认定评分畸高、畸低的。</w:t>
      </w:r>
    </w:p>
    <w:p>
      <w:pPr>
        <w:tabs>
          <w:tab w:val="left" w:pos="851"/>
        </w:tabs>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评审报告签署前，经复核发现存在以上情形之一的，磋商小组应当当场修改评审结果，并在评审报告中记载；评审报告签署后，采购人或者集中机构发现存在以上情形之一的，应当组织磋商小组会进行重新评审，重新评审改变评审结果的，书面报告本级财政部门。</w:t>
      </w:r>
    </w:p>
    <w:p>
      <w:pPr>
        <w:spacing w:line="360" w:lineRule="auto"/>
        <w:ind w:firstLine="565" w:firstLineChars="202"/>
        <w:rPr>
          <w:color w:val="auto"/>
          <w:highlight w:val="none"/>
        </w:rPr>
      </w:pPr>
      <w:r>
        <w:rPr>
          <w:rFonts w:hint="eastAsia" w:ascii="宋体" w:hAnsi="宋体"/>
          <w:color w:val="auto"/>
          <w:sz w:val="28"/>
          <w:szCs w:val="28"/>
          <w:highlight w:val="none"/>
        </w:rPr>
        <w:t>采购人、采购代理机构发现磋商小组未按照磋商文件规定的评审标准进行评审的，应当重新开展采购活动，并同时书面报告本级财政部门。</w:t>
      </w:r>
    </w:p>
    <w:p>
      <w:pPr>
        <w:pStyle w:val="4"/>
        <w:numPr>
          <w:ilvl w:val="2"/>
          <w:numId w:val="1"/>
        </w:numPr>
        <w:tabs>
          <w:tab w:val="left" w:pos="993"/>
          <w:tab w:val="clear" w:pos="426"/>
          <w:tab w:val="clear" w:pos="567"/>
        </w:tabs>
        <w:spacing w:before="0" w:after="0"/>
        <w:jc w:val="both"/>
        <w:rPr>
          <w:color w:val="auto"/>
          <w:highlight w:val="none"/>
        </w:rPr>
      </w:pPr>
      <w:bookmarkStart w:id="126" w:name="_Toc61004801"/>
      <w:bookmarkStart w:id="127" w:name="_Toc19312"/>
      <w:r>
        <w:rPr>
          <w:rFonts w:hint="eastAsia"/>
          <w:color w:val="auto"/>
          <w:highlight w:val="none"/>
        </w:rPr>
        <w:t>推荐成交候选供应商</w:t>
      </w:r>
      <w:bookmarkEnd w:id="126"/>
      <w:bookmarkEnd w:id="127"/>
    </w:p>
    <w:p>
      <w:pPr>
        <w:spacing w:line="360" w:lineRule="auto"/>
        <w:ind w:firstLine="565" w:firstLineChars="202"/>
        <w:rPr>
          <w:rFonts w:hint="eastAsia" w:ascii="宋体" w:hAnsi="宋体"/>
          <w:color w:val="auto"/>
          <w:sz w:val="28"/>
          <w:szCs w:val="28"/>
          <w:highlight w:val="none"/>
          <w:lang w:eastAsia="zh-CN"/>
        </w:rPr>
      </w:pPr>
      <w:r>
        <w:rPr>
          <w:rFonts w:hint="eastAsia" w:ascii="宋体" w:hAnsi="宋体"/>
          <w:color w:val="auto"/>
          <w:sz w:val="28"/>
          <w:szCs w:val="28"/>
          <w:highlight w:val="none"/>
          <w:lang w:eastAsia="zh-CN"/>
        </w:rPr>
        <w:t>磋商</w:t>
      </w:r>
      <w:r>
        <w:rPr>
          <w:rFonts w:hint="eastAsia" w:ascii="宋体" w:hAnsi="宋体"/>
          <w:color w:val="auto"/>
          <w:sz w:val="28"/>
          <w:szCs w:val="28"/>
          <w:highlight w:val="none"/>
        </w:rPr>
        <w:t>小组应当按供应商最后报价（按5.2.7的标准进行了对失信供应商的价格加成后的价格）由低到高排序，评审得分相同的，按照最后报价由低到高的顺序推荐。评审得分且最后报价相同的，按照技术指标优劣（得分高低）顺序推荐。评审得分且最后报价且技术指标得分均相同的，成交候选供应商并列，由采购人随机抽签确定成交供应商</w:t>
      </w:r>
      <w:r>
        <w:rPr>
          <w:rFonts w:hint="eastAsia" w:ascii="宋体" w:hAnsi="宋体"/>
          <w:color w:val="auto"/>
          <w:sz w:val="28"/>
          <w:szCs w:val="28"/>
          <w:highlight w:val="none"/>
          <w:lang w:eastAsia="zh-CN"/>
        </w:rPr>
        <w:t>。</w:t>
      </w:r>
    </w:p>
    <w:p>
      <w:pPr>
        <w:pStyle w:val="4"/>
        <w:numPr>
          <w:ilvl w:val="2"/>
          <w:numId w:val="1"/>
        </w:numPr>
        <w:tabs>
          <w:tab w:val="left" w:pos="993"/>
          <w:tab w:val="clear" w:pos="426"/>
          <w:tab w:val="clear" w:pos="567"/>
        </w:tabs>
        <w:spacing w:before="0" w:after="0"/>
        <w:jc w:val="both"/>
        <w:rPr>
          <w:color w:val="auto"/>
          <w:highlight w:val="none"/>
        </w:rPr>
      </w:pPr>
      <w:bookmarkStart w:id="128" w:name="_Toc61004802"/>
      <w:bookmarkStart w:id="129" w:name="_Toc8276"/>
      <w:r>
        <w:rPr>
          <w:rFonts w:hint="eastAsia"/>
          <w:color w:val="auto"/>
          <w:highlight w:val="none"/>
        </w:rPr>
        <w:t>编写磋商报告</w:t>
      </w:r>
      <w:bookmarkEnd w:id="128"/>
      <w:bookmarkEnd w:id="129"/>
    </w:p>
    <w:p>
      <w:pPr>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磋商小组推荐成交候选供应商后，应向采购代理机构出具磋商报告。磋商报告应当包括以下主要内容：</w:t>
      </w:r>
    </w:p>
    <w:p>
      <w:pPr>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（1）邀请供应商参加采购活动的具体方式和相关情况；</w:t>
      </w:r>
    </w:p>
    <w:p>
      <w:pPr>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（2）施工响应文件开启日期和地点；</w:t>
      </w:r>
    </w:p>
    <w:p>
      <w:pPr>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（3）获取磋商文件的供应商名单和磋商小组成员名单；</w:t>
      </w:r>
    </w:p>
    <w:p>
      <w:pPr>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（4）评审情况记录和说明，包括对供应商的资格审查情况、供应商施工响应文件审查情况、磋商情况、报价情况等；</w:t>
      </w:r>
    </w:p>
    <w:p>
      <w:pPr>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（5）提出的成交候选供应商的排序名单及理由。</w:t>
      </w:r>
    </w:p>
    <w:p>
      <w:pPr>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pPr>
        <w:pStyle w:val="4"/>
        <w:numPr>
          <w:ilvl w:val="2"/>
          <w:numId w:val="1"/>
        </w:numPr>
        <w:tabs>
          <w:tab w:val="left" w:pos="993"/>
          <w:tab w:val="clear" w:pos="426"/>
          <w:tab w:val="clear" w:pos="567"/>
        </w:tabs>
        <w:spacing w:before="0" w:after="0"/>
        <w:jc w:val="both"/>
        <w:rPr>
          <w:color w:val="auto"/>
          <w:highlight w:val="none"/>
        </w:rPr>
      </w:pPr>
      <w:bookmarkStart w:id="130" w:name="_Toc54948232"/>
      <w:bookmarkStart w:id="131" w:name="_Toc61004803"/>
      <w:bookmarkStart w:id="132" w:name="_Toc1149"/>
      <w:r>
        <w:rPr>
          <w:rFonts w:hint="eastAsia"/>
          <w:color w:val="auto"/>
          <w:highlight w:val="none"/>
        </w:rPr>
        <w:t>争议处理规则</w:t>
      </w:r>
      <w:bookmarkEnd w:id="130"/>
      <w:bookmarkEnd w:id="131"/>
      <w:bookmarkEnd w:id="132"/>
    </w:p>
    <w:p>
      <w:pPr>
        <w:spacing w:line="360" w:lineRule="auto"/>
        <w:ind w:firstLine="560" w:firstLineChars="200"/>
        <w:rPr>
          <w:rFonts w:hint="eastAsia" w:ascii="宋体" w:hAnsi="宋体"/>
          <w:color w:val="auto"/>
          <w:sz w:val="28"/>
          <w:szCs w:val="28"/>
          <w:highlight w:val="none"/>
        </w:rPr>
      </w:pPr>
      <w:r>
        <w:rPr>
          <w:rFonts w:hint="eastAsia" w:ascii="宋体" w:hAnsi="宋体"/>
          <w:color w:val="auto"/>
          <w:sz w:val="28"/>
          <w:szCs w:val="28"/>
          <w:highlight w:val="none"/>
        </w:rPr>
        <w:t>磋商小组在评审过程中，对于资格性审查、符合性审查、对供应商文件做无效施工响应文件处理及其他需要共同认定的事项存在争议的，应当以少数服从多数的原则做出结论，但不得违背法律法规和磋商文件规定。持不同意见的磋商小组成员应当在评审报告上签署不同意见及理由，否则视为同意评审报告。持不同意见的磋商小组成员认为认定过程和结果不符合法律法规或者磋商文件规定的，应当及时向</w:t>
      </w:r>
      <w:r>
        <w:rPr>
          <w:rFonts w:hint="eastAsia" w:ascii="宋体" w:hAnsi="宋体"/>
          <w:color w:val="auto"/>
          <w:sz w:val="28"/>
          <w:szCs w:val="28"/>
          <w:highlight w:val="none"/>
          <w:lang w:eastAsia="zh-CN"/>
        </w:rPr>
        <w:t>区采购中心</w:t>
      </w:r>
      <w:r>
        <w:rPr>
          <w:rFonts w:hint="eastAsia" w:ascii="宋体" w:hAnsi="宋体"/>
          <w:color w:val="auto"/>
          <w:sz w:val="28"/>
          <w:szCs w:val="28"/>
          <w:highlight w:val="none"/>
        </w:rPr>
        <w:t>书面反映。</w:t>
      </w:r>
      <w:r>
        <w:rPr>
          <w:rFonts w:hint="eastAsia" w:ascii="宋体" w:hAnsi="宋体"/>
          <w:color w:val="auto"/>
          <w:sz w:val="28"/>
          <w:szCs w:val="28"/>
          <w:highlight w:val="none"/>
          <w:lang w:eastAsia="zh-CN"/>
        </w:rPr>
        <w:t>区采购中心</w:t>
      </w:r>
      <w:r>
        <w:rPr>
          <w:rFonts w:hint="eastAsia" w:ascii="宋体" w:hAnsi="宋体"/>
          <w:color w:val="auto"/>
          <w:sz w:val="28"/>
          <w:szCs w:val="28"/>
          <w:highlight w:val="none"/>
        </w:rPr>
        <w:t>收到书面反映后，应当书面报告采购项目同级财政部门依法处理。</w:t>
      </w:r>
    </w:p>
    <w:p>
      <w:pPr>
        <w:pStyle w:val="4"/>
        <w:numPr>
          <w:ilvl w:val="2"/>
          <w:numId w:val="1"/>
        </w:numPr>
        <w:tabs>
          <w:tab w:val="left" w:pos="993"/>
          <w:tab w:val="clear" w:pos="426"/>
          <w:tab w:val="clear" w:pos="567"/>
        </w:tabs>
        <w:spacing w:before="0" w:after="0"/>
        <w:jc w:val="both"/>
        <w:rPr>
          <w:color w:val="auto"/>
          <w:highlight w:val="none"/>
        </w:rPr>
      </w:pPr>
      <w:bookmarkStart w:id="133" w:name="_Toc24630"/>
      <w:r>
        <w:rPr>
          <w:rFonts w:hint="eastAsia"/>
          <w:color w:val="auto"/>
          <w:highlight w:val="none"/>
          <w:lang w:eastAsia="zh-CN"/>
        </w:rPr>
        <w:t>供应商澄清、说明</w:t>
      </w:r>
      <w:bookmarkEnd w:id="133"/>
    </w:p>
    <w:p>
      <w:pPr>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lang w:eastAsia="zh-CN"/>
        </w:rPr>
        <w:t>一、</w:t>
      </w:r>
      <w:r>
        <w:rPr>
          <w:rFonts w:hint="eastAsia" w:ascii="宋体" w:hAnsi="宋体"/>
          <w:color w:val="auto"/>
          <w:sz w:val="28"/>
          <w:szCs w:val="28"/>
          <w:highlight w:val="none"/>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widowControl w:val="0"/>
        <w:numPr>
          <w:ilvl w:val="0"/>
          <w:numId w:val="0"/>
        </w:numPr>
        <w:tabs>
          <w:tab w:val="left" w:pos="0"/>
          <w:tab w:val="left" w:pos="1134"/>
        </w:tabs>
        <w:spacing w:after="200" w:line="360" w:lineRule="auto"/>
        <w:ind w:left="-1" w:leftChars="0" w:firstLine="0" w:firstLineChars="0"/>
        <w:jc w:val="both"/>
        <w:rPr>
          <w:rFonts w:ascii="宋体" w:hAnsi="宋体"/>
          <w:color w:val="auto"/>
          <w:sz w:val="28"/>
          <w:szCs w:val="28"/>
          <w:highlight w:val="none"/>
        </w:rPr>
      </w:pPr>
      <w:r>
        <w:rPr>
          <w:rFonts w:hint="eastAsia" w:ascii="宋体" w:hAnsi="宋体"/>
          <w:color w:val="auto"/>
          <w:sz w:val="28"/>
          <w:szCs w:val="28"/>
          <w:highlight w:val="none"/>
          <w:lang w:val="en-US" w:eastAsia="zh-CN"/>
        </w:rPr>
        <w:t xml:space="preserve">    </w:t>
      </w:r>
      <w:r>
        <w:rPr>
          <w:rFonts w:hint="eastAsia" w:ascii="宋体" w:hAnsi="宋体"/>
          <w:color w:val="auto"/>
          <w:sz w:val="28"/>
          <w:szCs w:val="28"/>
          <w:highlight w:val="none"/>
          <w:lang w:eastAsia="zh-CN"/>
        </w:rPr>
        <w:t>二、</w:t>
      </w:r>
      <w:r>
        <w:rPr>
          <w:rFonts w:hint="eastAsia" w:ascii="宋体" w:hAnsi="宋体"/>
          <w:color w:val="auto"/>
          <w:sz w:val="28"/>
          <w:szCs w:val="28"/>
          <w:highlight w:val="none"/>
        </w:rPr>
        <w:t>磋商小组要求供应商澄清、说明或者更正施工响应文件应当以书面形式作出。供应商的澄清、说明或者更正应加盖供应商（法定名称）电子签章。</w:t>
      </w:r>
    </w:p>
    <w:p>
      <w:pPr>
        <w:pStyle w:val="4"/>
        <w:numPr>
          <w:ilvl w:val="1"/>
          <w:numId w:val="1"/>
        </w:numPr>
        <w:tabs>
          <w:tab w:val="left" w:pos="993"/>
          <w:tab w:val="clear" w:pos="426"/>
          <w:tab w:val="clear" w:pos="567"/>
        </w:tabs>
        <w:spacing w:before="0" w:after="0"/>
        <w:ind w:left="0" w:firstLine="0"/>
        <w:jc w:val="both"/>
        <w:rPr>
          <w:color w:val="auto"/>
          <w:highlight w:val="none"/>
        </w:rPr>
      </w:pPr>
      <w:bookmarkStart w:id="134" w:name="_Toc25187"/>
      <w:r>
        <w:rPr>
          <w:rFonts w:hint="eastAsia"/>
          <w:color w:val="auto"/>
          <w:highlight w:val="none"/>
          <w:lang w:eastAsia="zh-CN"/>
        </w:rPr>
        <w:t>评分</w:t>
      </w:r>
      <w:r>
        <w:rPr>
          <w:rFonts w:hint="eastAsia"/>
          <w:color w:val="auto"/>
          <w:highlight w:val="none"/>
          <w:lang w:val="en-US" w:eastAsia="zh-CN"/>
        </w:rPr>
        <w:t>审</w:t>
      </w:r>
      <w:r>
        <w:rPr>
          <w:rFonts w:hint="eastAsia"/>
          <w:color w:val="auto"/>
          <w:highlight w:val="none"/>
          <w:lang w:eastAsia="zh-CN"/>
        </w:rPr>
        <w:t>办法和标准</w:t>
      </w:r>
      <w:bookmarkEnd w:id="134"/>
    </w:p>
    <w:p>
      <w:pPr>
        <w:rPr>
          <w:color w:val="auto"/>
          <w:highlight w:val="none"/>
        </w:rPr>
      </w:pPr>
    </w:p>
    <w:p>
      <w:pPr>
        <w:pStyle w:val="26"/>
        <w:snapToGrid w:val="0"/>
        <w:spacing w:line="360" w:lineRule="auto"/>
        <w:ind w:firstLine="560" w:firstLineChars="200"/>
        <w:rPr>
          <w:rFonts w:hAnsi="宋体" w:eastAsia="宋体"/>
          <w:color w:val="auto"/>
          <w:sz w:val="28"/>
          <w:szCs w:val="28"/>
          <w:highlight w:val="none"/>
        </w:rPr>
      </w:pPr>
      <w:r>
        <w:rPr>
          <w:rFonts w:hint="eastAsia" w:hAnsi="宋体" w:eastAsia="宋体"/>
          <w:color w:val="auto"/>
          <w:sz w:val="28"/>
          <w:szCs w:val="28"/>
          <w:highlight w:val="none"/>
        </w:rPr>
        <w:t>一、由磋商小组根据磋商文件的要求采用相同的评审程序、评分办法及标准对提交最后报价的供应商的施工响应文件和最后报价进行综合评分；</w:t>
      </w:r>
    </w:p>
    <w:p>
      <w:pPr>
        <w:tabs>
          <w:tab w:val="left" w:pos="1155"/>
        </w:tabs>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二、本次综合评分的因素是：价格、技术、服务等；</w:t>
      </w:r>
    </w:p>
    <w:p>
      <w:pPr>
        <w:tabs>
          <w:tab w:val="left" w:pos="1155"/>
        </w:tabs>
        <w:spacing w:line="360" w:lineRule="auto"/>
        <w:ind w:firstLine="560" w:firstLineChars="200"/>
        <w:rPr>
          <w:color w:val="auto"/>
          <w:highlight w:val="none"/>
        </w:rPr>
      </w:pPr>
      <w:r>
        <w:rPr>
          <w:rFonts w:hint="eastAsia" w:ascii="宋体" w:hAnsi="宋体"/>
          <w:color w:val="auto"/>
          <w:sz w:val="28"/>
          <w:szCs w:val="28"/>
          <w:highlight w:val="none"/>
        </w:rPr>
        <w:t>三、评审时，磋商小组各成员应当独立对每个有效响应的文件进行评价、打分，各位评委得分的算术平均数为供应商的最终得分，然后汇总每个供应商每项评分因素的得分。</w:t>
      </w:r>
    </w:p>
    <w:p>
      <w:pPr>
        <w:pStyle w:val="5"/>
        <w:numPr>
          <w:ilvl w:val="2"/>
          <w:numId w:val="48"/>
        </w:numPr>
        <w:ind w:left="1135" w:hanging="1135"/>
        <w:rPr>
          <w:color w:val="auto"/>
          <w:highlight w:val="none"/>
        </w:rPr>
      </w:pPr>
      <w:r>
        <w:rPr>
          <w:rFonts w:hint="eastAsia"/>
          <w:color w:val="auto"/>
          <w:highlight w:val="none"/>
        </w:rPr>
        <w:t>评分办法</w:t>
      </w:r>
    </w:p>
    <w:p>
      <w:pPr>
        <w:pStyle w:val="26"/>
        <w:snapToGrid w:val="0"/>
        <w:spacing w:line="360" w:lineRule="auto"/>
        <w:ind w:firstLine="560" w:firstLineChars="200"/>
        <w:rPr>
          <w:rFonts w:hint="eastAsia" w:hAnsi="宋体" w:eastAsia="宋体"/>
          <w:color w:val="auto"/>
          <w:sz w:val="28"/>
          <w:szCs w:val="28"/>
          <w:highlight w:val="none"/>
        </w:rPr>
      </w:pPr>
      <w:r>
        <w:rPr>
          <w:rFonts w:hint="eastAsia" w:hAnsi="宋体" w:eastAsia="宋体"/>
          <w:color w:val="auto"/>
          <w:sz w:val="28"/>
          <w:szCs w:val="28"/>
          <w:highlight w:val="none"/>
        </w:rPr>
        <w:t>本次评审采用综合评分法，由磋商小组采用综合评分法对提交最后报价的供应商的施工响应文件和最后报价进行综合评分。综合评分法，是指施工响应文件满足磋商文件全部实质性要求且按评审因素的量化指标评审得分最高的供应商为成交候选供应商的评审方法。</w:t>
      </w:r>
    </w:p>
    <w:p>
      <w:pPr>
        <w:spacing w:line="360" w:lineRule="auto"/>
        <w:ind w:firstLine="630" w:firstLineChars="225"/>
        <w:rPr>
          <w:rFonts w:ascii="宋体" w:hAnsi="宋体"/>
          <w:color w:val="auto"/>
          <w:sz w:val="28"/>
          <w:szCs w:val="28"/>
          <w:highlight w:val="none"/>
        </w:rPr>
      </w:pPr>
      <w:r>
        <w:rPr>
          <w:rFonts w:hint="eastAsia" w:ascii="宋体" w:hAnsi="宋体"/>
          <w:color w:val="auto"/>
          <w:sz w:val="28"/>
          <w:szCs w:val="28"/>
          <w:highlight w:val="none"/>
        </w:rPr>
        <w:t>评审得分＝（A</w:t>
      </w:r>
      <w:r>
        <w:rPr>
          <w:rFonts w:hint="eastAsia" w:ascii="宋体" w:hAnsi="宋体"/>
          <w:color w:val="auto"/>
          <w:sz w:val="28"/>
          <w:szCs w:val="28"/>
          <w:highlight w:val="none"/>
          <w:vertAlign w:val="subscript"/>
        </w:rPr>
        <w:t>1</w:t>
      </w:r>
      <w:r>
        <w:rPr>
          <w:rFonts w:hint="eastAsia" w:ascii="宋体" w:hAnsi="宋体"/>
          <w:color w:val="auto"/>
          <w:sz w:val="28"/>
          <w:szCs w:val="28"/>
          <w:highlight w:val="none"/>
        </w:rPr>
        <w:t>＋A</w:t>
      </w:r>
      <w:r>
        <w:rPr>
          <w:rFonts w:hint="eastAsia" w:ascii="宋体" w:hAnsi="宋体"/>
          <w:color w:val="auto"/>
          <w:sz w:val="28"/>
          <w:szCs w:val="28"/>
          <w:highlight w:val="none"/>
          <w:vertAlign w:val="subscript"/>
        </w:rPr>
        <w:t>2</w:t>
      </w:r>
      <w:r>
        <w:rPr>
          <w:rFonts w:hint="eastAsia" w:ascii="宋体" w:hAnsi="宋体"/>
          <w:color w:val="auto"/>
          <w:sz w:val="28"/>
          <w:szCs w:val="28"/>
          <w:highlight w:val="none"/>
        </w:rPr>
        <w:t>＋……＋A</w:t>
      </w:r>
      <w:r>
        <w:rPr>
          <w:rFonts w:hint="eastAsia" w:ascii="宋体" w:hAnsi="宋体"/>
          <w:color w:val="auto"/>
          <w:sz w:val="28"/>
          <w:szCs w:val="28"/>
          <w:highlight w:val="none"/>
          <w:vertAlign w:val="subscript"/>
        </w:rPr>
        <w:t>n</w:t>
      </w:r>
      <w:r>
        <w:rPr>
          <w:rFonts w:hint="eastAsia" w:ascii="宋体" w:hAnsi="宋体"/>
          <w:color w:val="auto"/>
          <w:sz w:val="28"/>
          <w:szCs w:val="28"/>
          <w:highlight w:val="none"/>
        </w:rPr>
        <w:t>）/n</w:t>
      </w:r>
      <w:r>
        <w:rPr>
          <w:rFonts w:hint="eastAsia" w:ascii="宋体" w:hAnsi="宋体"/>
          <w:color w:val="auto"/>
          <w:sz w:val="28"/>
          <w:szCs w:val="28"/>
          <w:highlight w:val="none"/>
          <w:vertAlign w:val="subscript"/>
        </w:rPr>
        <w:t>1</w:t>
      </w:r>
      <w:r>
        <w:rPr>
          <w:rFonts w:hint="eastAsia" w:ascii="宋体" w:hAnsi="宋体"/>
          <w:color w:val="auto"/>
          <w:sz w:val="28"/>
          <w:szCs w:val="28"/>
          <w:highlight w:val="none"/>
        </w:rPr>
        <w:t>+（B</w:t>
      </w:r>
      <w:r>
        <w:rPr>
          <w:rFonts w:hint="eastAsia" w:ascii="宋体" w:hAnsi="宋体"/>
          <w:color w:val="auto"/>
          <w:sz w:val="28"/>
          <w:szCs w:val="28"/>
          <w:highlight w:val="none"/>
          <w:vertAlign w:val="subscript"/>
        </w:rPr>
        <w:t>1</w:t>
      </w:r>
      <w:r>
        <w:rPr>
          <w:rFonts w:hint="eastAsia" w:ascii="宋体" w:hAnsi="宋体"/>
          <w:color w:val="auto"/>
          <w:sz w:val="28"/>
          <w:szCs w:val="28"/>
          <w:highlight w:val="none"/>
        </w:rPr>
        <w:t>＋B</w:t>
      </w:r>
      <w:r>
        <w:rPr>
          <w:rFonts w:hint="eastAsia" w:ascii="宋体" w:hAnsi="宋体"/>
          <w:color w:val="auto"/>
          <w:sz w:val="28"/>
          <w:szCs w:val="28"/>
          <w:highlight w:val="none"/>
          <w:vertAlign w:val="subscript"/>
        </w:rPr>
        <w:t>2</w:t>
      </w:r>
      <w:r>
        <w:rPr>
          <w:rFonts w:hint="eastAsia" w:ascii="宋体" w:hAnsi="宋体"/>
          <w:color w:val="auto"/>
          <w:sz w:val="28"/>
          <w:szCs w:val="28"/>
          <w:highlight w:val="none"/>
        </w:rPr>
        <w:t>＋……＋B</w:t>
      </w:r>
      <w:r>
        <w:rPr>
          <w:rFonts w:hint="eastAsia" w:ascii="宋体" w:hAnsi="宋体"/>
          <w:color w:val="auto"/>
          <w:sz w:val="28"/>
          <w:szCs w:val="28"/>
          <w:highlight w:val="none"/>
          <w:vertAlign w:val="subscript"/>
        </w:rPr>
        <w:t>n</w:t>
      </w:r>
      <w:r>
        <w:rPr>
          <w:rFonts w:hint="eastAsia" w:ascii="宋体" w:hAnsi="宋体"/>
          <w:color w:val="auto"/>
          <w:sz w:val="28"/>
          <w:szCs w:val="28"/>
          <w:highlight w:val="none"/>
        </w:rPr>
        <w:t>）/ n</w:t>
      </w:r>
      <w:r>
        <w:rPr>
          <w:rFonts w:hint="eastAsia" w:ascii="宋体" w:hAnsi="宋体"/>
          <w:color w:val="auto"/>
          <w:sz w:val="28"/>
          <w:szCs w:val="28"/>
          <w:highlight w:val="none"/>
          <w:vertAlign w:val="subscript"/>
        </w:rPr>
        <w:t>2</w:t>
      </w:r>
    </w:p>
    <w:p>
      <w:pPr>
        <w:spacing w:line="360" w:lineRule="auto"/>
        <w:ind w:firstLine="560" w:firstLineChars="200"/>
        <w:rPr>
          <w:rFonts w:ascii="宋体" w:hAnsi="宋体" w:cs="宋体"/>
          <w:color w:val="auto"/>
          <w:sz w:val="28"/>
          <w:szCs w:val="28"/>
          <w:highlight w:val="none"/>
        </w:rPr>
      </w:pPr>
      <w:r>
        <w:rPr>
          <w:rFonts w:hint="eastAsia" w:ascii="宋体" w:hAnsi="宋体"/>
          <w:color w:val="auto"/>
          <w:sz w:val="28"/>
          <w:szCs w:val="28"/>
          <w:highlight w:val="none"/>
        </w:rPr>
        <w:t>A</w:t>
      </w:r>
      <w:r>
        <w:rPr>
          <w:rFonts w:hint="eastAsia" w:ascii="宋体" w:hAnsi="宋体"/>
          <w:color w:val="auto"/>
          <w:sz w:val="28"/>
          <w:szCs w:val="28"/>
          <w:highlight w:val="none"/>
          <w:vertAlign w:val="subscript"/>
        </w:rPr>
        <w:t>1</w:t>
      </w:r>
      <w:r>
        <w:rPr>
          <w:rFonts w:hint="eastAsia" w:ascii="宋体" w:hAnsi="宋体"/>
          <w:color w:val="auto"/>
          <w:sz w:val="28"/>
          <w:szCs w:val="28"/>
          <w:highlight w:val="none"/>
        </w:rPr>
        <w:t>、A</w:t>
      </w:r>
      <w:r>
        <w:rPr>
          <w:rFonts w:hint="eastAsia" w:ascii="宋体" w:hAnsi="宋体"/>
          <w:color w:val="auto"/>
          <w:sz w:val="28"/>
          <w:szCs w:val="28"/>
          <w:highlight w:val="none"/>
          <w:vertAlign w:val="subscript"/>
        </w:rPr>
        <w:t>2</w:t>
      </w:r>
      <w:r>
        <w:rPr>
          <w:rFonts w:hint="eastAsia" w:ascii="宋体" w:hAnsi="宋体"/>
          <w:color w:val="auto"/>
          <w:sz w:val="28"/>
          <w:szCs w:val="28"/>
          <w:highlight w:val="none"/>
        </w:rPr>
        <w:t>……A</w:t>
      </w:r>
      <w:r>
        <w:rPr>
          <w:rFonts w:hint="eastAsia" w:ascii="宋体" w:hAnsi="宋体"/>
          <w:color w:val="auto"/>
          <w:sz w:val="28"/>
          <w:szCs w:val="28"/>
          <w:highlight w:val="none"/>
          <w:vertAlign w:val="subscript"/>
        </w:rPr>
        <w:t>n</w:t>
      </w:r>
      <w:r>
        <w:rPr>
          <w:rFonts w:hint="eastAsia" w:ascii="宋体" w:hAnsi="宋体"/>
          <w:color w:val="auto"/>
          <w:sz w:val="28"/>
          <w:szCs w:val="28"/>
          <w:highlight w:val="none"/>
        </w:rPr>
        <w:t>分别为磋商小组每个成员的打分，n</w:t>
      </w:r>
      <w:r>
        <w:rPr>
          <w:rFonts w:hint="eastAsia" w:ascii="宋体" w:hAnsi="宋体"/>
          <w:color w:val="auto"/>
          <w:sz w:val="28"/>
          <w:szCs w:val="28"/>
          <w:highlight w:val="none"/>
          <w:vertAlign w:val="subscript"/>
        </w:rPr>
        <w:t>1</w:t>
      </w:r>
      <w:r>
        <w:rPr>
          <w:rFonts w:hint="eastAsia" w:ascii="宋体" w:hAnsi="宋体"/>
          <w:color w:val="auto"/>
          <w:sz w:val="28"/>
          <w:szCs w:val="28"/>
          <w:highlight w:val="none"/>
        </w:rPr>
        <w:t>为磋商小组人数；B</w:t>
      </w:r>
      <w:r>
        <w:rPr>
          <w:rFonts w:hint="eastAsia" w:ascii="宋体" w:hAnsi="宋体"/>
          <w:color w:val="auto"/>
          <w:sz w:val="28"/>
          <w:szCs w:val="28"/>
          <w:highlight w:val="none"/>
          <w:vertAlign w:val="subscript"/>
        </w:rPr>
        <w:t>1</w:t>
      </w:r>
      <w:r>
        <w:rPr>
          <w:rFonts w:hint="eastAsia" w:ascii="宋体" w:hAnsi="宋体"/>
          <w:color w:val="auto"/>
          <w:sz w:val="28"/>
          <w:szCs w:val="28"/>
          <w:highlight w:val="none"/>
        </w:rPr>
        <w:t>、B</w:t>
      </w:r>
      <w:r>
        <w:rPr>
          <w:rFonts w:hint="eastAsia" w:ascii="宋体" w:hAnsi="宋体"/>
          <w:color w:val="auto"/>
          <w:sz w:val="28"/>
          <w:szCs w:val="28"/>
          <w:highlight w:val="none"/>
          <w:vertAlign w:val="subscript"/>
        </w:rPr>
        <w:t>2</w:t>
      </w:r>
      <w:r>
        <w:rPr>
          <w:rFonts w:hint="eastAsia" w:ascii="宋体" w:hAnsi="宋体"/>
          <w:color w:val="auto"/>
          <w:sz w:val="28"/>
          <w:szCs w:val="28"/>
          <w:highlight w:val="none"/>
        </w:rPr>
        <w:t>＋……B</w:t>
      </w:r>
      <w:r>
        <w:rPr>
          <w:rFonts w:hint="eastAsia" w:ascii="宋体" w:hAnsi="宋体"/>
          <w:color w:val="auto"/>
          <w:sz w:val="28"/>
          <w:szCs w:val="28"/>
          <w:highlight w:val="none"/>
          <w:vertAlign w:val="subscript"/>
        </w:rPr>
        <w:t>n</w:t>
      </w:r>
      <w:r>
        <w:rPr>
          <w:rFonts w:hint="eastAsia" w:ascii="宋体" w:hAnsi="宋体"/>
          <w:color w:val="auto"/>
          <w:sz w:val="28"/>
          <w:szCs w:val="28"/>
          <w:highlight w:val="none"/>
        </w:rPr>
        <w:t xml:space="preserve"> 分别为每个技术类评委（含采购人代表）的打分，n</w:t>
      </w:r>
      <w:r>
        <w:rPr>
          <w:rFonts w:hint="eastAsia" w:ascii="宋体" w:hAnsi="宋体"/>
          <w:color w:val="auto"/>
          <w:sz w:val="28"/>
          <w:szCs w:val="28"/>
          <w:highlight w:val="none"/>
          <w:vertAlign w:val="subscript"/>
        </w:rPr>
        <w:t>2</w:t>
      </w:r>
      <w:r>
        <w:rPr>
          <w:rFonts w:hint="eastAsia" w:ascii="宋体" w:hAnsi="宋体"/>
          <w:color w:val="auto"/>
          <w:sz w:val="28"/>
          <w:szCs w:val="28"/>
          <w:highlight w:val="none"/>
        </w:rPr>
        <w:t>为</w:t>
      </w:r>
      <w:r>
        <w:rPr>
          <w:rFonts w:hint="eastAsia" w:ascii="宋体" w:hAnsi="宋体" w:cs="宋体"/>
          <w:color w:val="auto"/>
          <w:sz w:val="28"/>
          <w:szCs w:val="28"/>
          <w:highlight w:val="none"/>
        </w:rPr>
        <w:t>技术类</w:t>
      </w:r>
      <w:r>
        <w:rPr>
          <w:rFonts w:hint="eastAsia" w:ascii="宋体" w:hAnsi="宋体"/>
          <w:color w:val="auto"/>
          <w:sz w:val="28"/>
          <w:szCs w:val="28"/>
          <w:highlight w:val="none"/>
        </w:rPr>
        <w:t>评委（含采购人代表）人数。</w:t>
      </w:r>
    </w:p>
    <w:p>
      <w:pPr>
        <w:pStyle w:val="5"/>
        <w:numPr>
          <w:ilvl w:val="2"/>
          <w:numId w:val="48"/>
        </w:numPr>
        <w:ind w:left="1135" w:hanging="1135"/>
        <w:rPr>
          <w:color w:val="auto"/>
          <w:highlight w:val="none"/>
        </w:rPr>
      </w:pPr>
      <w:r>
        <w:rPr>
          <w:rFonts w:hint="eastAsia"/>
          <w:color w:val="auto"/>
          <w:highlight w:val="none"/>
        </w:rPr>
        <w:t>评分标准</w:t>
      </w:r>
    </w:p>
    <w:tbl>
      <w:tblPr>
        <w:tblStyle w:val="50"/>
        <w:tblW w:w="8959" w:type="dxa"/>
        <w:jc w:val="center"/>
        <w:tblInd w:w="0" w:type="dxa"/>
        <w:tblLayout w:type="fixed"/>
        <w:tblCellMar>
          <w:top w:w="0" w:type="dxa"/>
          <w:left w:w="108" w:type="dxa"/>
          <w:bottom w:w="0" w:type="dxa"/>
          <w:right w:w="108" w:type="dxa"/>
        </w:tblCellMar>
      </w:tblPr>
      <w:tblGrid>
        <w:gridCol w:w="1245"/>
        <w:gridCol w:w="6779"/>
        <w:gridCol w:w="935"/>
      </w:tblGrid>
      <w:tr>
        <w:tblPrEx>
          <w:tblLayout w:type="fixed"/>
          <w:tblCellMar>
            <w:top w:w="0" w:type="dxa"/>
            <w:left w:w="108" w:type="dxa"/>
            <w:bottom w:w="0" w:type="dxa"/>
            <w:right w:w="108" w:type="dxa"/>
          </w:tblCellMar>
        </w:tblPrEx>
        <w:trPr>
          <w:trHeight w:val="278" w:hRule="atLeast"/>
          <w:jc w:val="center"/>
        </w:trPr>
        <w:tc>
          <w:tcPr>
            <w:tcW w:w="1245" w:type="dxa"/>
            <w:tcBorders>
              <w:top w:val="single" w:color="auto" w:sz="4" w:space="0"/>
              <w:left w:val="single" w:color="auto" w:sz="4" w:space="0"/>
              <w:bottom w:val="single" w:color="auto" w:sz="4" w:space="0"/>
              <w:right w:val="single" w:color="auto" w:sz="4" w:space="0"/>
            </w:tcBorders>
            <w:vAlign w:val="center"/>
          </w:tcPr>
          <w:p>
            <w:pPr>
              <w:autoSpaceDE w:val="0"/>
              <w:spacing w:line="288" w:lineRule="auto"/>
              <w:jc w:val="center"/>
              <w:rPr>
                <w:rFonts w:ascii="新宋体" w:hAnsi="新宋体" w:eastAsia="新宋体" w:cs="Times New Roman"/>
                <w:b/>
                <w:bCs/>
                <w:color w:val="auto"/>
                <w:szCs w:val="21"/>
                <w:highlight w:val="none"/>
              </w:rPr>
            </w:pPr>
            <w:r>
              <w:rPr>
                <w:rFonts w:hint="eastAsia" w:ascii="新宋体" w:hAnsi="新宋体" w:eastAsia="新宋体" w:cs="Times New Roman"/>
                <w:b/>
                <w:bCs/>
                <w:color w:val="auto"/>
                <w:highlight w:val="none"/>
              </w:rPr>
              <w:t>评分因素及分值</w:t>
            </w:r>
          </w:p>
        </w:tc>
        <w:tc>
          <w:tcPr>
            <w:tcW w:w="6779" w:type="dxa"/>
            <w:tcBorders>
              <w:top w:val="single" w:color="auto" w:sz="4" w:space="0"/>
              <w:left w:val="nil"/>
              <w:bottom w:val="single" w:color="auto" w:sz="4" w:space="0"/>
              <w:right w:val="single" w:color="auto" w:sz="4" w:space="0"/>
            </w:tcBorders>
            <w:vAlign w:val="center"/>
          </w:tcPr>
          <w:p>
            <w:pPr>
              <w:autoSpaceDE w:val="0"/>
              <w:spacing w:line="288" w:lineRule="auto"/>
              <w:jc w:val="center"/>
              <w:rPr>
                <w:rFonts w:ascii="新宋体" w:hAnsi="新宋体" w:eastAsia="新宋体" w:cs="Times New Roman"/>
                <w:b/>
                <w:bCs/>
                <w:color w:val="auto"/>
                <w:szCs w:val="21"/>
                <w:highlight w:val="none"/>
              </w:rPr>
            </w:pPr>
            <w:r>
              <w:rPr>
                <w:rFonts w:hint="eastAsia" w:ascii="新宋体" w:hAnsi="新宋体" w:eastAsia="新宋体" w:cs="Times New Roman"/>
                <w:b/>
                <w:bCs/>
                <w:color w:val="auto"/>
                <w:highlight w:val="none"/>
              </w:rPr>
              <w:t>评分标准</w:t>
            </w:r>
          </w:p>
        </w:tc>
        <w:tc>
          <w:tcPr>
            <w:tcW w:w="935" w:type="dxa"/>
            <w:tcBorders>
              <w:top w:val="single" w:color="auto" w:sz="4" w:space="0"/>
              <w:left w:val="nil"/>
              <w:bottom w:val="single" w:color="auto" w:sz="4" w:space="0"/>
              <w:right w:val="single" w:color="auto" w:sz="4" w:space="0"/>
            </w:tcBorders>
            <w:vAlign w:val="center"/>
          </w:tcPr>
          <w:p>
            <w:pPr>
              <w:autoSpaceDE w:val="0"/>
              <w:spacing w:line="288" w:lineRule="auto"/>
              <w:jc w:val="center"/>
              <w:rPr>
                <w:rFonts w:ascii="新宋体" w:hAnsi="新宋体" w:eastAsia="新宋体" w:cs="Times New Roman"/>
                <w:b/>
                <w:bCs/>
                <w:color w:val="auto"/>
                <w:szCs w:val="21"/>
                <w:highlight w:val="none"/>
              </w:rPr>
            </w:pPr>
            <w:r>
              <w:rPr>
                <w:rFonts w:hint="eastAsia" w:ascii="新宋体" w:hAnsi="新宋体" w:eastAsia="新宋体" w:cs="Times New Roman"/>
                <w:b/>
                <w:bCs/>
                <w:color w:val="auto"/>
                <w:highlight w:val="none"/>
              </w:rPr>
              <w:t>说明</w:t>
            </w:r>
          </w:p>
        </w:tc>
      </w:tr>
      <w:tr>
        <w:tblPrEx>
          <w:tblLayout w:type="fixed"/>
          <w:tblCellMar>
            <w:top w:w="0" w:type="dxa"/>
            <w:left w:w="108" w:type="dxa"/>
            <w:bottom w:w="0" w:type="dxa"/>
            <w:right w:w="108" w:type="dxa"/>
          </w:tblCellMar>
        </w:tblPrEx>
        <w:trPr>
          <w:trHeight w:val="90" w:hRule="atLeast"/>
          <w:jc w:val="center"/>
        </w:trPr>
        <w:tc>
          <w:tcPr>
            <w:tcW w:w="1245" w:type="dxa"/>
            <w:tcBorders>
              <w:top w:val="nil"/>
              <w:left w:val="single" w:color="auto" w:sz="4" w:space="0"/>
              <w:bottom w:val="single" w:color="auto" w:sz="4" w:space="0"/>
              <w:right w:val="single" w:color="auto" w:sz="4" w:space="0"/>
            </w:tcBorders>
            <w:vAlign w:val="center"/>
          </w:tcPr>
          <w:p>
            <w:pPr>
              <w:spacing w:line="480" w:lineRule="exact"/>
              <w:jc w:val="center"/>
              <w:rPr>
                <w:rFonts w:ascii="宋体" w:hAnsi="宋体" w:eastAsia="宋体" w:cs="宋体"/>
                <w:sz w:val="24"/>
                <w:szCs w:val="24"/>
              </w:rPr>
            </w:pPr>
            <w:r>
              <w:rPr>
                <w:rFonts w:hint="eastAsia" w:ascii="宋体" w:hAnsi="宋体" w:eastAsia="宋体" w:cs="宋体"/>
                <w:sz w:val="24"/>
                <w:szCs w:val="24"/>
              </w:rPr>
              <w:t>报价</w:t>
            </w:r>
          </w:p>
          <w:p>
            <w:pPr>
              <w:autoSpaceDE w:val="0"/>
              <w:spacing w:line="288" w:lineRule="auto"/>
              <w:rPr>
                <w:rFonts w:ascii="新宋体" w:hAnsi="新宋体" w:eastAsia="新宋体" w:cs="Times New Roman"/>
                <w:color w:val="auto"/>
                <w:szCs w:val="21"/>
                <w:highlight w:val="none"/>
              </w:rPr>
            </w:pPr>
            <w:r>
              <w:rPr>
                <w:rFonts w:hint="eastAsia" w:ascii="宋体" w:hAnsi="宋体" w:eastAsia="宋体" w:cs="宋体"/>
                <w:sz w:val="24"/>
                <w:szCs w:val="24"/>
              </w:rPr>
              <w:t>（50分）</w:t>
            </w:r>
          </w:p>
        </w:tc>
        <w:tc>
          <w:tcPr>
            <w:tcW w:w="6779" w:type="dxa"/>
            <w:tcBorders>
              <w:top w:val="single" w:color="auto" w:sz="4" w:space="0"/>
              <w:left w:val="nil"/>
              <w:bottom w:val="single" w:color="auto" w:sz="4" w:space="0"/>
              <w:right w:val="single" w:color="auto" w:sz="4" w:space="0"/>
            </w:tcBorders>
            <w:vAlign w:val="center"/>
          </w:tcPr>
          <w:p>
            <w:pPr>
              <w:spacing w:line="480" w:lineRule="exact"/>
              <w:rPr>
                <w:rFonts w:ascii="宋体" w:hAnsi="宋体" w:eastAsia="宋体" w:cs="宋体"/>
                <w:sz w:val="24"/>
                <w:szCs w:val="24"/>
              </w:rPr>
            </w:pPr>
            <w:r>
              <w:rPr>
                <w:rFonts w:hint="eastAsia" w:ascii="宋体" w:hAnsi="宋体" w:eastAsia="宋体" w:cs="宋体"/>
                <w:sz w:val="24"/>
                <w:szCs w:val="24"/>
              </w:rPr>
              <w:t>满足磋商文件要求且最后报价最低的供应商的价格为磋商基准价，其价格分为满分。其他供应商的价格分统一按照下列公式计算：</w:t>
            </w:r>
          </w:p>
          <w:p>
            <w:pPr>
              <w:spacing w:line="480" w:lineRule="exact"/>
              <w:rPr>
                <w:rFonts w:ascii="宋体" w:hAnsi="宋体" w:eastAsia="宋体" w:cs="宋体"/>
                <w:sz w:val="24"/>
                <w:szCs w:val="24"/>
              </w:rPr>
            </w:pPr>
            <w:r>
              <w:rPr>
                <w:rFonts w:hint="eastAsia" w:ascii="宋体" w:hAnsi="宋体" w:eastAsia="宋体" w:cs="宋体"/>
                <w:sz w:val="24"/>
                <w:szCs w:val="24"/>
              </w:rPr>
              <w:t>磋商报价得分=（磋商基准价/最后磋商报价）×50</w:t>
            </w:r>
          </w:p>
          <w:p>
            <w:pPr>
              <w:pStyle w:val="2"/>
              <w:rPr>
                <w:rFonts w:ascii="新宋体" w:hAnsi="新宋体" w:eastAsia="新宋体" w:cs="Times New Roman"/>
                <w:color w:val="auto"/>
                <w:szCs w:val="21"/>
                <w:highlight w:val="none"/>
              </w:rPr>
            </w:pPr>
            <w:r>
              <w:rPr>
                <w:rFonts w:hint="eastAsia" w:hAnsi="宋体" w:eastAsia="宋体"/>
                <w:sz w:val="24"/>
                <w:szCs w:val="24"/>
              </w:rPr>
              <w:t>注</w:t>
            </w:r>
            <w:r>
              <w:rPr>
                <w:rFonts w:hAnsi="宋体" w:eastAsia="宋体"/>
                <w:sz w:val="24"/>
                <w:szCs w:val="24"/>
              </w:rPr>
              <w:t>:根据国家和四川省的有关规定，对小、微型、监狱企业或残疾人福利</w:t>
            </w:r>
            <w:r>
              <w:rPr>
                <w:rFonts w:hint="eastAsia" w:hAnsi="宋体" w:eastAsia="宋体"/>
                <w:sz w:val="24"/>
                <w:szCs w:val="24"/>
              </w:rPr>
              <w:t>性单位承担工程的价格给予</w:t>
            </w:r>
            <w:r>
              <w:rPr>
                <w:rFonts w:hAnsi="宋体" w:eastAsia="宋体"/>
                <w:sz w:val="24"/>
                <w:szCs w:val="24"/>
              </w:rPr>
              <w:t>4%的价格扣除， 用扣除后的价格参与评分；</w:t>
            </w:r>
            <w:r>
              <w:rPr>
                <w:rFonts w:hint="eastAsia" w:hAnsi="宋体" w:eastAsia="宋体"/>
                <w:sz w:val="24"/>
                <w:szCs w:val="24"/>
              </w:rPr>
              <w:t>对失信行为供应商给予</w:t>
            </w:r>
            <w:r>
              <w:rPr>
                <w:rFonts w:hint="eastAsia" w:hAnsi="宋体"/>
                <w:sz w:val="24"/>
                <w:szCs w:val="24"/>
                <w:lang w:val="en-US" w:eastAsia="zh-CN"/>
              </w:rPr>
              <w:t>10</w:t>
            </w:r>
            <w:r>
              <w:rPr>
                <w:rFonts w:hAnsi="宋体" w:eastAsia="宋体"/>
                <w:sz w:val="24"/>
                <w:szCs w:val="24"/>
              </w:rPr>
              <w:t>%/次的报价累加加成，用加成后的价格参与评</w:t>
            </w:r>
            <w:r>
              <w:rPr>
                <w:rFonts w:hint="eastAsia" w:hAnsi="宋体" w:eastAsia="宋体"/>
                <w:sz w:val="24"/>
                <w:szCs w:val="24"/>
              </w:rPr>
              <w:t>分，若加成后的报价超过采购预算</w:t>
            </w:r>
            <w:r>
              <w:rPr>
                <w:rFonts w:hAnsi="宋体" w:eastAsia="宋体"/>
                <w:sz w:val="24"/>
                <w:szCs w:val="24"/>
              </w:rPr>
              <w:t>/最高限价的，其响应文件按照无效处</w:t>
            </w:r>
            <w:r>
              <w:rPr>
                <w:rFonts w:hint="eastAsia" w:hAnsi="宋体" w:eastAsia="宋体"/>
                <w:sz w:val="24"/>
                <w:szCs w:val="24"/>
              </w:rPr>
              <w:t>理。</w:t>
            </w:r>
          </w:p>
        </w:tc>
        <w:tc>
          <w:tcPr>
            <w:tcW w:w="935" w:type="dxa"/>
            <w:tcBorders>
              <w:top w:val="single" w:color="auto" w:sz="4" w:space="0"/>
              <w:left w:val="nil"/>
              <w:bottom w:val="single" w:color="auto" w:sz="4" w:space="0"/>
              <w:right w:val="single" w:color="auto" w:sz="4" w:space="0"/>
            </w:tcBorders>
            <w:vAlign w:val="center"/>
          </w:tcPr>
          <w:p>
            <w:pPr>
              <w:autoSpaceDE w:val="0"/>
              <w:spacing w:line="288" w:lineRule="auto"/>
              <w:rPr>
                <w:rFonts w:ascii="新宋体" w:hAnsi="新宋体" w:eastAsia="新宋体" w:cs="Times New Roman"/>
                <w:color w:val="auto"/>
                <w:szCs w:val="21"/>
                <w:highlight w:val="none"/>
              </w:rPr>
            </w:pPr>
            <w:r>
              <w:rPr>
                <w:rFonts w:hint="eastAsia" w:ascii="新宋体" w:hAnsi="新宋体" w:eastAsia="新宋体" w:cs="Times New Roman"/>
                <w:color w:val="auto"/>
                <w:highlight w:val="none"/>
              </w:rPr>
              <w:t>共同评分因素</w:t>
            </w:r>
          </w:p>
        </w:tc>
      </w:tr>
      <w:tr>
        <w:tblPrEx>
          <w:tblLayout w:type="fixed"/>
          <w:tblCellMar>
            <w:top w:w="0" w:type="dxa"/>
            <w:left w:w="108" w:type="dxa"/>
            <w:bottom w:w="0" w:type="dxa"/>
            <w:right w:w="108" w:type="dxa"/>
          </w:tblCellMar>
        </w:tblPrEx>
        <w:trPr>
          <w:trHeight w:val="2879" w:hRule="atLeast"/>
          <w:jc w:val="center"/>
        </w:trPr>
        <w:tc>
          <w:tcPr>
            <w:tcW w:w="1245" w:type="dxa"/>
            <w:tcBorders>
              <w:top w:val="nil"/>
              <w:left w:val="single" w:color="auto" w:sz="4" w:space="0"/>
              <w:bottom w:val="single" w:color="auto" w:sz="4" w:space="0"/>
              <w:right w:val="single" w:color="auto" w:sz="4" w:space="0"/>
            </w:tcBorders>
            <w:vAlign w:val="center"/>
          </w:tcPr>
          <w:p>
            <w:pPr>
              <w:autoSpaceDE w:val="0"/>
              <w:spacing w:line="288" w:lineRule="auto"/>
              <w:jc w:val="center"/>
              <w:rPr>
                <w:rFonts w:ascii="新宋体" w:hAnsi="新宋体" w:eastAsia="新宋体" w:cs="Times New Roman"/>
                <w:color w:val="auto"/>
                <w:szCs w:val="21"/>
                <w:highlight w:val="none"/>
              </w:rPr>
            </w:pPr>
            <w:r>
              <w:rPr>
                <w:rFonts w:hint="eastAsia" w:ascii="宋体" w:hAnsi="宋体" w:eastAsia="宋体" w:cs="宋体"/>
                <w:sz w:val="24"/>
                <w:szCs w:val="24"/>
              </w:rPr>
              <w:t>施工组织设计（31.5分）</w:t>
            </w:r>
          </w:p>
        </w:tc>
        <w:tc>
          <w:tcPr>
            <w:tcW w:w="6779" w:type="dxa"/>
            <w:tcBorders>
              <w:top w:val="single" w:color="auto" w:sz="4" w:space="0"/>
              <w:left w:val="nil"/>
              <w:bottom w:val="single" w:color="auto" w:sz="4" w:space="0"/>
              <w:right w:val="single" w:color="auto" w:sz="4" w:space="0"/>
            </w:tcBorders>
            <w:vAlign w:val="center"/>
          </w:tcPr>
          <w:p>
            <w:pPr>
              <w:autoSpaceDE w:val="0"/>
              <w:spacing w:line="288" w:lineRule="auto"/>
              <w:rPr>
                <w:rFonts w:ascii="新宋体" w:hAnsi="新宋体" w:eastAsia="新宋体" w:cs="Times New Roman"/>
                <w:color w:val="auto"/>
                <w:szCs w:val="21"/>
                <w:highlight w:val="none"/>
              </w:rPr>
            </w:pPr>
            <w:r>
              <w:rPr>
                <w:rFonts w:hint="eastAsia" w:ascii="宋体" w:hAnsi="宋体" w:eastAsia="宋体" w:cs="宋体"/>
                <w:sz w:val="24"/>
                <w:szCs w:val="24"/>
              </w:rPr>
              <w:t>1.供应商提供的施工组织设计方案包含进度计划、质量保证措施、安全保证措施、资源配置计划、环保文明措施、应急预案、施工工艺内容且响应磋商文件的得31.5分，每缺少一项内容或有一项内容错误（内容错误指：项目名称、实施地点、涉及的规范、标准与本项目要求不一致；进度计划超期）的，每缺少一项内容扣4.5分，每有一处错误扣2分，扣完为止。</w:t>
            </w:r>
          </w:p>
        </w:tc>
        <w:tc>
          <w:tcPr>
            <w:tcW w:w="935" w:type="dxa"/>
            <w:tcBorders>
              <w:top w:val="single" w:color="auto" w:sz="4" w:space="0"/>
              <w:left w:val="nil"/>
              <w:bottom w:val="single" w:color="auto" w:sz="4" w:space="0"/>
              <w:right w:val="single" w:color="auto" w:sz="4" w:space="0"/>
            </w:tcBorders>
            <w:vAlign w:val="center"/>
          </w:tcPr>
          <w:p>
            <w:pPr>
              <w:autoSpaceDE w:val="0"/>
              <w:spacing w:line="288" w:lineRule="auto"/>
              <w:rPr>
                <w:rFonts w:ascii="新宋体" w:hAnsi="新宋体" w:eastAsia="新宋体" w:cs="Times New Roman"/>
                <w:color w:val="auto"/>
                <w:szCs w:val="21"/>
                <w:highlight w:val="none"/>
              </w:rPr>
            </w:pPr>
            <w:r>
              <w:rPr>
                <w:rFonts w:hint="eastAsia" w:ascii="新宋体" w:hAnsi="新宋体" w:eastAsia="新宋体" w:cs="Times New Roman"/>
                <w:color w:val="auto"/>
                <w:highlight w:val="none"/>
              </w:rPr>
              <w:t>技术评分因素</w:t>
            </w:r>
          </w:p>
        </w:tc>
      </w:tr>
      <w:tr>
        <w:tblPrEx>
          <w:tblLayout w:type="fixed"/>
          <w:tblCellMar>
            <w:top w:w="0" w:type="dxa"/>
            <w:left w:w="108" w:type="dxa"/>
            <w:bottom w:w="0" w:type="dxa"/>
            <w:right w:w="108" w:type="dxa"/>
          </w:tblCellMar>
        </w:tblPrEx>
        <w:trPr>
          <w:trHeight w:val="1930" w:hRule="atLeast"/>
          <w:jc w:val="center"/>
        </w:trPr>
        <w:tc>
          <w:tcPr>
            <w:tcW w:w="1245" w:type="dxa"/>
            <w:tcBorders>
              <w:top w:val="nil"/>
              <w:left w:val="single" w:color="auto" w:sz="4" w:space="0"/>
              <w:bottom w:val="single" w:color="auto" w:sz="4" w:space="0"/>
              <w:right w:val="single" w:color="auto" w:sz="4" w:space="0"/>
            </w:tcBorders>
            <w:vAlign w:val="center"/>
          </w:tcPr>
          <w:p>
            <w:pPr>
              <w:spacing w:line="480" w:lineRule="exact"/>
              <w:jc w:val="center"/>
              <w:rPr>
                <w:rFonts w:ascii="宋体" w:hAnsi="宋体" w:eastAsia="宋体" w:cs="宋体"/>
                <w:sz w:val="24"/>
                <w:szCs w:val="24"/>
              </w:rPr>
            </w:pPr>
            <w:r>
              <w:rPr>
                <w:rFonts w:hint="eastAsia" w:ascii="宋体" w:hAnsi="宋体" w:eastAsia="宋体" w:cs="宋体"/>
                <w:sz w:val="24"/>
                <w:szCs w:val="24"/>
              </w:rPr>
              <w:t>业绩</w:t>
            </w:r>
          </w:p>
          <w:p>
            <w:pPr>
              <w:autoSpaceDE w:val="0"/>
              <w:spacing w:line="288" w:lineRule="auto"/>
              <w:jc w:val="center"/>
              <w:rPr>
                <w:rFonts w:ascii="新宋体" w:hAnsi="新宋体" w:eastAsia="新宋体" w:cs="Times New Roman"/>
                <w:color w:val="auto"/>
                <w:szCs w:val="21"/>
                <w:highlight w:val="none"/>
              </w:rPr>
            </w:pPr>
            <w:r>
              <w:rPr>
                <w:rFonts w:hint="eastAsia" w:ascii="宋体" w:hAnsi="宋体" w:eastAsia="宋体" w:cs="宋体"/>
                <w:sz w:val="24"/>
                <w:szCs w:val="24"/>
              </w:rPr>
              <w:t>(9分)</w:t>
            </w:r>
          </w:p>
        </w:tc>
        <w:tc>
          <w:tcPr>
            <w:tcW w:w="6779" w:type="dxa"/>
            <w:tcBorders>
              <w:top w:val="single" w:color="auto" w:sz="4" w:space="0"/>
              <w:left w:val="nil"/>
              <w:bottom w:val="single" w:color="auto" w:sz="4" w:space="0"/>
              <w:right w:val="single" w:color="auto" w:sz="4" w:space="0"/>
            </w:tcBorders>
          </w:tcPr>
          <w:p>
            <w:pPr>
              <w:autoSpaceDE w:val="0"/>
              <w:spacing w:line="288" w:lineRule="auto"/>
              <w:rPr>
                <w:rFonts w:ascii="新宋体" w:hAnsi="新宋体" w:eastAsia="新宋体" w:cs="Times New Roman"/>
                <w:color w:val="auto"/>
                <w:highlight w:val="none"/>
              </w:rPr>
            </w:pPr>
          </w:p>
          <w:p>
            <w:pPr>
              <w:autoSpaceDE w:val="0"/>
              <w:spacing w:line="288" w:lineRule="auto"/>
              <w:rPr>
                <w:rFonts w:ascii="新宋体" w:hAnsi="新宋体" w:eastAsia="新宋体" w:cs="Times New Roman"/>
                <w:color w:val="auto"/>
                <w:highlight w:val="none"/>
              </w:rPr>
            </w:pPr>
          </w:p>
          <w:p>
            <w:pPr>
              <w:autoSpaceDE w:val="0"/>
              <w:spacing w:line="288" w:lineRule="auto"/>
              <w:rPr>
                <w:rFonts w:ascii="新宋体" w:hAnsi="新宋体" w:eastAsia="新宋体" w:cs="Times New Roman"/>
                <w:color w:val="auto"/>
                <w:szCs w:val="21"/>
                <w:highlight w:val="none"/>
              </w:rPr>
            </w:pPr>
            <w:r>
              <w:rPr>
                <w:rFonts w:hint="eastAsia" w:ascii="宋体" w:hAnsi="宋体" w:eastAsia="宋体" w:cs="宋体"/>
                <w:sz w:val="24"/>
                <w:szCs w:val="24"/>
              </w:rPr>
              <w:t>供应商2019年1月1日（含1日）以来具有一个已完成类似项目业绩的得3分，最多得9分。（提供施工合同复印件和竣工验收报告复印件。类似项目的界定：房建工程类项目）</w:t>
            </w:r>
          </w:p>
        </w:tc>
        <w:tc>
          <w:tcPr>
            <w:tcW w:w="935" w:type="dxa"/>
            <w:tcBorders>
              <w:top w:val="single" w:color="auto" w:sz="4" w:space="0"/>
              <w:left w:val="nil"/>
              <w:bottom w:val="single" w:color="auto" w:sz="4" w:space="0"/>
              <w:right w:val="single" w:color="auto" w:sz="4" w:space="0"/>
            </w:tcBorders>
            <w:vAlign w:val="center"/>
          </w:tcPr>
          <w:p>
            <w:pPr>
              <w:autoSpaceDE w:val="0"/>
              <w:spacing w:line="288" w:lineRule="auto"/>
              <w:rPr>
                <w:rFonts w:ascii="新宋体" w:hAnsi="新宋体" w:eastAsia="新宋体" w:cs="Times New Roman"/>
                <w:color w:val="auto"/>
                <w:szCs w:val="21"/>
                <w:highlight w:val="none"/>
              </w:rPr>
            </w:pPr>
            <w:r>
              <w:rPr>
                <w:rFonts w:hint="eastAsia" w:ascii="新宋体" w:hAnsi="新宋体" w:eastAsia="新宋体" w:cs="Times New Roman"/>
                <w:color w:val="auto"/>
                <w:highlight w:val="none"/>
              </w:rPr>
              <w:t>共同评分因素</w:t>
            </w:r>
          </w:p>
        </w:tc>
      </w:tr>
      <w:tr>
        <w:tblPrEx>
          <w:tblLayout w:type="fixed"/>
          <w:tblCellMar>
            <w:top w:w="0" w:type="dxa"/>
            <w:left w:w="108" w:type="dxa"/>
            <w:bottom w:w="0" w:type="dxa"/>
            <w:right w:w="108" w:type="dxa"/>
          </w:tblCellMar>
        </w:tblPrEx>
        <w:trPr>
          <w:trHeight w:val="1080" w:hRule="atLeast"/>
          <w:jc w:val="center"/>
        </w:trPr>
        <w:tc>
          <w:tcPr>
            <w:tcW w:w="1245"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宋体" w:hAnsi="宋体" w:eastAsia="宋体" w:cs="宋体"/>
                <w:sz w:val="24"/>
                <w:szCs w:val="24"/>
              </w:rPr>
            </w:pPr>
            <w:r>
              <w:rPr>
                <w:rFonts w:hint="eastAsia" w:ascii="宋体" w:hAnsi="宋体" w:eastAsia="宋体" w:cs="宋体"/>
                <w:sz w:val="24"/>
                <w:szCs w:val="24"/>
              </w:rPr>
              <w:t>优先采购节能、环境标志、无线局域网产品</w:t>
            </w:r>
          </w:p>
          <w:p>
            <w:pPr>
              <w:autoSpaceDE w:val="0"/>
              <w:spacing w:line="288" w:lineRule="auto"/>
              <w:jc w:val="center"/>
              <w:rPr>
                <w:rFonts w:ascii="新宋体" w:hAnsi="新宋体" w:eastAsia="新宋体" w:cs="Times New Roman"/>
                <w:color w:val="auto"/>
                <w:szCs w:val="21"/>
                <w:highlight w:val="none"/>
              </w:rPr>
            </w:pPr>
            <w:r>
              <w:rPr>
                <w:rFonts w:hint="eastAsia" w:ascii="宋体" w:hAnsi="宋体" w:eastAsia="宋体" w:cs="宋体"/>
                <w:sz w:val="24"/>
                <w:szCs w:val="24"/>
              </w:rPr>
              <w:t>（6分）</w:t>
            </w:r>
          </w:p>
        </w:tc>
        <w:tc>
          <w:tcPr>
            <w:tcW w:w="6779" w:type="dxa"/>
            <w:tcBorders>
              <w:top w:val="single" w:color="auto" w:sz="4" w:space="0"/>
              <w:left w:val="nil"/>
              <w:bottom w:val="single" w:color="auto" w:sz="4" w:space="0"/>
              <w:right w:val="single" w:color="auto" w:sz="4" w:space="0"/>
            </w:tcBorders>
            <w:textDirection w:val="lrTb"/>
            <w:vAlign w:val="center"/>
          </w:tcPr>
          <w:p>
            <w:pPr>
              <w:spacing w:line="480" w:lineRule="exact"/>
              <w:rPr>
                <w:rFonts w:ascii="宋体" w:hAnsi="宋体" w:eastAsia="宋体" w:cs="宋体"/>
                <w:sz w:val="24"/>
                <w:szCs w:val="24"/>
              </w:rPr>
            </w:pPr>
            <w:r>
              <w:rPr>
                <w:rFonts w:hint="eastAsia" w:ascii="宋体" w:hAnsi="宋体" w:eastAsia="宋体" w:cs="宋体"/>
                <w:sz w:val="24"/>
                <w:szCs w:val="24"/>
              </w:rPr>
              <w:t>供应商所响应的产品中每有一项属于节能产品政府采购品目清单中优先采购范围的得1分；每有一项属于环境标志产品政府采购品目清单中优先采购范围的得1分；每有一项为无线局域网产品政府采购清单中的产品的得1分。本项共6分。</w:t>
            </w:r>
          </w:p>
          <w:p>
            <w:pPr>
              <w:spacing w:line="480" w:lineRule="exact"/>
              <w:rPr>
                <w:rFonts w:ascii="宋体" w:hAnsi="宋体" w:eastAsia="宋体" w:cs="宋体"/>
                <w:sz w:val="24"/>
                <w:szCs w:val="24"/>
              </w:rPr>
            </w:pPr>
            <w:r>
              <w:rPr>
                <w:rFonts w:hint="eastAsia" w:ascii="宋体" w:hAnsi="宋体" w:eastAsia="宋体" w:cs="宋体"/>
                <w:sz w:val="24"/>
                <w:szCs w:val="24"/>
              </w:rPr>
              <w:t>说明：</w:t>
            </w:r>
          </w:p>
          <w:p>
            <w:pPr>
              <w:spacing w:line="480" w:lineRule="exact"/>
              <w:rPr>
                <w:rFonts w:ascii="宋体" w:hAnsi="宋体" w:eastAsia="宋体" w:cs="宋体"/>
                <w:sz w:val="24"/>
                <w:szCs w:val="24"/>
              </w:rPr>
            </w:pPr>
            <w:r>
              <w:rPr>
                <w:rFonts w:hint="eastAsia" w:ascii="宋体" w:hAnsi="宋体" w:eastAsia="宋体" w:cs="宋体"/>
                <w:sz w:val="24"/>
                <w:szCs w:val="24"/>
              </w:rPr>
              <w:t>1、可重复计分；</w:t>
            </w:r>
          </w:p>
          <w:p>
            <w:pPr>
              <w:spacing w:line="480" w:lineRule="exact"/>
              <w:rPr>
                <w:rFonts w:ascii="宋体" w:hAnsi="宋体" w:eastAsia="宋体" w:cs="宋体"/>
                <w:sz w:val="24"/>
                <w:szCs w:val="24"/>
              </w:rPr>
            </w:pPr>
            <w:r>
              <w:rPr>
                <w:rFonts w:hint="eastAsia" w:ascii="宋体" w:hAnsi="宋体" w:eastAsia="宋体" w:cs="宋体"/>
                <w:sz w:val="24"/>
                <w:szCs w:val="24"/>
              </w:rPr>
              <w:t>2、本项目采购的产品中属于节能产品或环境标志产品政府采购品目清单中强制采购范围的，不属于本项评分范围。</w:t>
            </w:r>
          </w:p>
          <w:p>
            <w:pPr>
              <w:spacing w:line="480" w:lineRule="exact"/>
              <w:rPr>
                <w:rFonts w:ascii="宋体" w:hAnsi="宋体" w:eastAsia="宋体" w:cs="宋体"/>
                <w:sz w:val="24"/>
                <w:szCs w:val="24"/>
              </w:rPr>
            </w:pPr>
            <w:r>
              <w:rPr>
                <w:rFonts w:hint="eastAsia" w:ascii="宋体" w:hAnsi="宋体" w:eastAsia="宋体" w:cs="宋体"/>
                <w:sz w:val="24"/>
                <w:szCs w:val="24"/>
              </w:rPr>
              <w:t>3、供应商所响应的产品属于节能产品或环境标志产品政府采购品目清单中优先采购范围的，应当在施工响应文件中提供国家确定的认证机构的认证结果信息发布平台公布的该产品认证信息截图或者打印资料并加盖供应商公章（鲜章），否则不予给分。</w:t>
            </w:r>
          </w:p>
          <w:p>
            <w:pPr>
              <w:spacing w:line="480" w:lineRule="exact"/>
              <w:rPr>
                <w:rFonts w:ascii="宋体" w:hAnsi="宋体" w:eastAsia="宋体" w:cs="宋体"/>
                <w:sz w:val="24"/>
                <w:szCs w:val="24"/>
              </w:rPr>
            </w:pPr>
            <w:r>
              <w:rPr>
                <w:rFonts w:hint="eastAsia" w:ascii="宋体" w:hAnsi="宋体" w:eastAsia="宋体" w:cs="宋体"/>
                <w:sz w:val="24"/>
                <w:szCs w:val="24"/>
              </w:rPr>
              <w:t>4、供应商所投产品属于优先采购范围内的无线局域网产品的，需提供《中国政府采购网》公布的无线局域网产品政府采购清单封面及对应页且在有效期内并加盖供应商单位公章（鲜章）。</w:t>
            </w:r>
          </w:p>
          <w:p>
            <w:pPr>
              <w:spacing w:line="480" w:lineRule="exact"/>
              <w:rPr>
                <w:rFonts w:ascii="新宋体" w:hAnsi="新宋体" w:eastAsia="新宋体" w:cs="Times New Roman"/>
                <w:color w:val="auto"/>
                <w:szCs w:val="21"/>
                <w:highlight w:val="none"/>
              </w:rPr>
            </w:pPr>
            <w:r>
              <w:rPr>
                <w:rFonts w:hint="eastAsia" w:ascii="宋体" w:hAnsi="宋体" w:eastAsia="宋体" w:cs="宋体"/>
                <w:sz w:val="24"/>
                <w:szCs w:val="24"/>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且在有效期内的为准。</w:t>
            </w:r>
          </w:p>
        </w:tc>
        <w:tc>
          <w:tcPr>
            <w:tcW w:w="935" w:type="dxa"/>
            <w:tcBorders>
              <w:top w:val="single" w:color="auto" w:sz="4" w:space="0"/>
              <w:left w:val="nil"/>
              <w:bottom w:val="single" w:color="auto" w:sz="4" w:space="0"/>
              <w:right w:val="single" w:color="auto" w:sz="4" w:space="0"/>
            </w:tcBorders>
            <w:vAlign w:val="center"/>
          </w:tcPr>
          <w:p>
            <w:pPr>
              <w:autoSpaceDE w:val="0"/>
              <w:spacing w:line="288" w:lineRule="auto"/>
              <w:rPr>
                <w:rFonts w:ascii="新宋体" w:hAnsi="新宋体" w:eastAsia="新宋体" w:cs="Times New Roman"/>
                <w:color w:val="auto"/>
                <w:szCs w:val="21"/>
                <w:highlight w:val="none"/>
              </w:rPr>
            </w:pPr>
            <w:r>
              <w:rPr>
                <w:rFonts w:hint="eastAsia" w:ascii="新宋体" w:hAnsi="新宋体" w:eastAsia="新宋体" w:cs="Times New Roman"/>
                <w:color w:val="auto"/>
                <w:highlight w:val="none"/>
              </w:rPr>
              <w:t>共同评分因素</w:t>
            </w:r>
          </w:p>
        </w:tc>
      </w:tr>
      <w:tr>
        <w:tblPrEx>
          <w:tblLayout w:type="fixed"/>
          <w:tblCellMar>
            <w:top w:w="0" w:type="dxa"/>
            <w:left w:w="108" w:type="dxa"/>
            <w:bottom w:w="0" w:type="dxa"/>
            <w:right w:w="108" w:type="dxa"/>
          </w:tblCellMar>
        </w:tblPrEx>
        <w:trPr>
          <w:trHeight w:val="484" w:hRule="atLeast"/>
          <w:jc w:val="center"/>
        </w:trPr>
        <w:tc>
          <w:tcPr>
            <w:tcW w:w="1245"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宋体" w:hAnsi="宋体" w:eastAsia="宋体" w:cs="宋体"/>
                <w:sz w:val="24"/>
                <w:szCs w:val="24"/>
              </w:rPr>
            </w:pPr>
            <w:r>
              <w:rPr>
                <w:rFonts w:hint="eastAsia" w:ascii="宋体" w:hAnsi="宋体" w:eastAsia="宋体" w:cs="宋体"/>
                <w:sz w:val="24"/>
                <w:szCs w:val="24"/>
              </w:rPr>
              <w:t>扶持少数民族地区</w:t>
            </w:r>
          </w:p>
          <w:p>
            <w:pPr>
              <w:autoSpaceDE w:val="0"/>
              <w:spacing w:line="288" w:lineRule="auto"/>
              <w:jc w:val="center"/>
              <w:rPr>
                <w:rFonts w:ascii="新宋体" w:hAnsi="新宋体" w:eastAsia="新宋体" w:cs="Times New Roman"/>
                <w:color w:val="auto"/>
                <w:szCs w:val="21"/>
                <w:highlight w:val="none"/>
              </w:rPr>
            </w:pPr>
            <w:r>
              <w:rPr>
                <w:rFonts w:hint="eastAsia" w:ascii="宋体" w:hAnsi="宋体" w:eastAsia="宋体" w:cs="宋体"/>
                <w:sz w:val="24"/>
                <w:szCs w:val="24"/>
              </w:rPr>
              <w:t>（1.5分</w:t>
            </w:r>
          </w:p>
        </w:tc>
        <w:tc>
          <w:tcPr>
            <w:tcW w:w="6779" w:type="dxa"/>
            <w:tcBorders>
              <w:top w:val="single" w:color="auto" w:sz="4" w:space="0"/>
              <w:left w:val="nil"/>
              <w:bottom w:val="single" w:color="auto" w:sz="4" w:space="0"/>
              <w:right w:val="single" w:color="auto" w:sz="4" w:space="0"/>
            </w:tcBorders>
            <w:vAlign w:val="center"/>
          </w:tcPr>
          <w:p>
            <w:pPr>
              <w:autoSpaceDE w:val="0"/>
              <w:spacing w:line="288" w:lineRule="auto"/>
              <w:rPr>
                <w:rFonts w:ascii="新宋体" w:hAnsi="新宋体" w:eastAsia="新宋体" w:cs="Times New Roman"/>
                <w:color w:val="auto"/>
                <w:szCs w:val="21"/>
                <w:highlight w:val="none"/>
              </w:rPr>
            </w:pPr>
            <w:r>
              <w:rPr>
                <w:rFonts w:hint="eastAsia" w:ascii="宋体" w:hAnsi="宋体" w:eastAsia="宋体" w:cs="宋体"/>
                <w:sz w:val="24"/>
                <w:szCs w:val="24"/>
              </w:rPr>
              <w:t>供应商属于少数民族地区中小建筑企业的得1.5分。（指供应商注册地在民族自治州、自治县、自治乡的中小建筑企业，提供营业执照复印件。）</w:t>
            </w:r>
          </w:p>
        </w:tc>
        <w:tc>
          <w:tcPr>
            <w:tcW w:w="935" w:type="dxa"/>
            <w:tcBorders>
              <w:top w:val="single" w:color="auto" w:sz="4" w:space="0"/>
              <w:left w:val="nil"/>
              <w:bottom w:val="single" w:color="auto" w:sz="4" w:space="0"/>
              <w:right w:val="single" w:color="auto" w:sz="4" w:space="0"/>
            </w:tcBorders>
            <w:vAlign w:val="center"/>
          </w:tcPr>
          <w:p>
            <w:pPr>
              <w:autoSpaceDE w:val="0"/>
              <w:spacing w:line="288" w:lineRule="auto"/>
              <w:rPr>
                <w:rFonts w:ascii="新宋体" w:hAnsi="新宋体" w:eastAsia="新宋体" w:cs="Times New Roman"/>
                <w:color w:val="auto"/>
                <w:szCs w:val="21"/>
                <w:highlight w:val="none"/>
              </w:rPr>
            </w:pPr>
            <w:r>
              <w:rPr>
                <w:rFonts w:hint="eastAsia" w:ascii="新宋体" w:hAnsi="新宋体" w:eastAsia="新宋体" w:cs="Times New Roman"/>
                <w:color w:val="auto"/>
                <w:highlight w:val="none"/>
              </w:rPr>
              <w:t>共同评分因素</w:t>
            </w:r>
          </w:p>
        </w:tc>
      </w:tr>
      <w:tr>
        <w:tblPrEx>
          <w:tblLayout w:type="fixed"/>
          <w:tblCellMar>
            <w:top w:w="0" w:type="dxa"/>
            <w:left w:w="108" w:type="dxa"/>
            <w:bottom w:w="0" w:type="dxa"/>
            <w:right w:w="108" w:type="dxa"/>
          </w:tblCellMar>
        </w:tblPrEx>
        <w:trPr>
          <w:trHeight w:val="484" w:hRule="atLeast"/>
          <w:jc w:val="center"/>
        </w:trPr>
        <w:tc>
          <w:tcPr>
            <w:tcW w:w="1245" w:type="dxa"/>
            <w:tcBorders>
              <w:top w:val="single" w:color="auto" w:sz="4" w:space="0"/>
              <w:left w:val="single" w:color="auto" w:sz="4" w:space="0"/>
              <w:bottom w:val="single" w:color="auto" w:sz="4" w:space="0"/>
              <w:right w:val="single" w:color="auto" w:sz="4" w:space="0"/>
            </w:tcBorders>
            <w:vAlign w:val="center"/>
          </w:tcPr>
          <w:p>
            <w:pPr>
              <w:autoSpaceDE w:val="0"/>
              <w:spacing w:line="288" w:lineRule="auto"/>
              <w:jc w:val="center"/>
              <w:rPr>
                <w:rFonts w:ascii="新宋体" w:hAnsi="新宋体" w:eastAsia="新宋体" w:cs="Times New Roman"/>
                <w:color w:val="auto"/>
                <w:szCs w:val="21"/>
                <w:highlight w:val="none"/>
              </w:rPr>
            </w:pPr>
            <w:r>
              <w:rPr>
                <w:rFonts w:hint="eastAsia" w:ascii="新宋体" w:hAnsi="新宋体" w:eastAsia="新宋体" w:cs="Times New Roman"/>
                <w:color w:val="auto"/>
                <w:highlight w:val="none"/>
              </w:rPr>
              <w:t>响应文件的规范性</w:t>
            </w:r>
          </w:p>
          <w:p>
            <w:pPr>
              <w:autoSpaceDE w:val="0"/>
              <w:spacing w:line="288" w:lineRule="auto"/>
              <w:jc w:val="center"/>
              <w:rPr>
                <w:rFonts w:ascii="新宋体" w:hAnsi="新宋体" w:eastAsia="新宋体" w:cs="Times New Roman"/>
                <w:color w:val="auto"/>
                <w:szCs w:val="21"/>
                <w:highlight w:val="none"/>
              </w:rPr>
            </w:pPr>
            <w:r>
              <w:rPr>
                <w:rFonts w:hint="eastAsia" w:ascii="新宋体" w:hAnsi="新宋体" w:eastAsia="新宋体" w:cs="Times New Roman"/>
                <w:color w:val="auto"/>
                <w:highlight w:val="none"/>
              </w:rPr>
              <w:t>（2分）</w:t>
            </w:r>
          </w:p>
        </w:tc>
        <w:tc>
          <w:tcPr>
            <w:tcW w:w="6779" w:type="dxa"/>
            <w:tcBorders>
              <w:top w:val="single" w:color="auto" w:sz="4" w:space="0"/>
              <w:left w:val="nil"/>
              <w:bottom w:val="single" w:color="auto" w:sz="4" w:space="0"/>
              <w:right w:val="single" w:color="auto" w:sz="4" w:space="0"/>
            </w:tcBorders>
            <w:vAlign w:val="center"/>
          </w:tcPr>
          <w:p>
            <w:pPr>
              <w:autoSpaceDE w:val="0"/>
              <w:spacing w:line="288" w:lineRule="auto"/>
              <w:rPr>
                <w:rFonts w:ascii="新宋体" w:hAnsi="新宋体" w:eastAsia="新宋体" w:cs="Times New Roman"/>
                <w:color w:val="auto"/>
                <w:szCs w:val="21"/>
                <w:highlight w:val="none"/>
              </w:rPr>
            </w:pPr>
            <w:r>
              <w:rPr>
                <w:rFonts w:hint="eastAsia" w:ascii="新宋体" w:hAnsi="新宋体" w:eastAsia="新宋体" w:cs="Times New Roman"/>
                <w:color w:val="auto"/>
                <w:highlight w:val="none"/>
              </w:rPr>
              <w:t>没有细微偏差情形的得2分；有一项细微偏差扣0.5分，直至该分项值扣完为止。</w:t>
            </w:r>
          </w:p>
          <w:p>
            <w:pPr>
              <w:autoSpaceDE w:val="0"/>
              <w:spacing w:line="288" w:lineRule="auto"/>
              <w:rPr>
                <w:rFonts w:ascii="新宋体" w:hAnsi="新宋体" w:eastAsia="新宋体" w:cs="Times New Roman"/>
                <w:color w:val="auto"/>
                <w:szCs w:val="21"/>
                <w:highlight w:val="none"/>
              </w:rPr>
            </w:pPr>
            <w:r>
              <w:rPr>
                <w:rFonts w:hint="eastAsia" w:ascii="新宋体" w:hAnsi="新宋体" w:eastAsia="新宋体" w:cs="Times New Roman"/>
                <w:color w:val="auto"/>
                <w:highlight w:val="none"/>
              </w:rPr>
              <w:t>注：本项评分因素适用于施工组织设计以外的评分项。细微偏差是指响应文件基本上符合磋商文件要求，但在个别地方存在漏项或者提供了不完整的技术信息和数据等情况，并且补正这些遗漏或者不完整不会对其他供应商造成不公平的结果。细微偏差不影响响应文件的有效性。</w:t>
            </w:r>
          </w:p>
        </w:tc>
        <w:tc>
          <w:tcPr>
            <w:tcW w:w="935" w:type="dxa"/>
            <w:tcBorders>
              <w:top w:val="single" w:color="auto" w:sz="4" w:space="0"/>
              <w:left w:val="nil"/>
              <w:bottom w:val="single" w:color="auto" w:sz="4" w:space="0"/>
              <w:right w:val="single" w:color="auto" w:sz="4" w:space="0"/>
            </w:tcBorders>
            <w:vAlign w:val="center"/>
          </w:tcPr>
          <w:p>
            <w:pPr>
              <w:autoSpaceDE w:val="0"/>
              <w:spacing w:line="288" w:lineRule="auto"/>
              <w:rPr>
                <w:rFonts w:ascii="新宋体" w:hAnsi="新宋体" w:eastAsia="新宋体" w:cs="Times New Roman"/>
                <w:color w:val="auto"/>
                <w:szCs w:val="21"/>
                <w:highlight w:val="none"/>
              </w:rPr>
            </w:pPr>
            <w:r>
              <w:rPr>
                <w:rFonts w:hint="eastAsia" w:ascii="新宋体" w:hAnsi="新宋体" w:eastAsia="新宋体" w:cs="Times New Roman"/>
                <w:color w:val="auto"/>
                <w:highlight w:val="none"/>
              </w:rPr>
              <w:t>共同评分因素</w:t>
            </w:r>
          </w:p>
        </w:tc>
      </w:tr>
      <w:tr>
        <w:tblPrEx>
          <w:tblLayout w:type="fixed"/>
          <w:tblCellMar>
            <w:top w:w="0" w:type="dxa"/>
            <w:left w:w="108" w:type="dxa"/>
            <w:bottom w:w="0" w:type="dxa"/>
            <w:right w:w="108" w:type="dxa"/>
          </w:tblCellMar>
        </w:tblPrEx>
        <w:trPr>
          <w:trHeight w:val="70" w:hRule="atLeast"/>
          <w:jc w:val="center"/>
        </w:trPr>
        <w:tc>
          <w:tcPr>
            <w:tcW w:w="8959" w:type="dxa"/>
            <w:gridSpan w:val="3"/>
            <w:tcBorders>
              <w:top w:val="single" w:color="auto" w:sz="4" w:space="0"/>
              <w:left w:val="single" w:color="auto" w:sz="4" w:space="0"/>
              <w:bottom w:val="single" w:color="auto" w:sz="4" w:space="0"/>
              <w:right w:val="single" w:color="auto" w:sz="4" w:space="0"/>
            </w:tcBorders>
            <w:vAlign w:val="center"/>
          </w:tcPr>
          <w:p>
            <w:pPr>
              <w:autoSpaceDE w:val="0"/>
              <w:spacing w:line="288" w:lineRule="auto"/>
              <w:rPr>
                <w:rFonts w:ascii="新宋体" w:hAnsi="新宋体" w:eastAsia="新宋体" w:cs="Times New Roman"/>
                <w:color w:val="auto"/>
                <w:szCs w:val="21"/>
                <w:highlight w:val="none"/>
              </w:rPr>
            </w:pPr>
            <w:r>
              <w:rPr>
                <w:rFonts w:hint="eastAsia" w:ascii="新宋体" w:hAnsi="新宋体" w:eastAsia="新宋体" w:cs="Times New Roman"/>
                <w:color w:val="auto"/>
                <w:highlight w:val="none"/>
              </w:rPr>
              <w:t>注：本表中要求提供的复印件材料，均需加盖供应商单位公章（空白页可不加盖单位公章，存在正反面的，只加盖单面的，不得作为无效处理，将在响应文件规范性方面进行扣分处理），否则将不认可该项复印件材料的有效性。</w:t>
            </w:r>
          </w:p>
        </w:tc>
      </w:tr>
    </w:tbl>
    <w:p>
      <w:pPr>
        <w:spacing w:line="360" w:lineRule="auto"/>
        <w:ind w:firstLine="565" w:firstLineChars="202"/>
        <w:rPr>
          <w:rFonts w:ascii="宋体" w:hAnsi="宋体"/>
          <w:color w:val="auto"/>
          <w:sz w:val="28"/>
          <w:highlight w:val="none"/>
        </w:rPr>
      </w:pPr>
      <w:r>
        <w:rPr>
          <w:rFonts w:hint="eastAsia" w:ascii="宋体" w:hAnsi="宋体"/>
          <w:color w:val="auto"/>
          <w:sz w:val="28"/>
          <w:highlight w:val="none"/>
        </w:rPr>
        <w:t>说明：</w:t>
      </w:r>
    </w:p>
    <w:p>
      <w:pPr>
        <w:spacing w:line="360" w:lineRule="auto"/>
        <w:ind w:firstLine="565" w:firstLineChars="202"/>
        <w:rPr>
          <w:rFonts w:ascii="宋体" w:hAnsi="宋体"/>
          <w:color w:val="auto"/>
          <w:sz w:val="28"/>
          <w:highlight w:val="none"/>
        </w:rPr>
      </w:pPr>
      <w:r>
        <w:rPr>
          <w:rFonts w:hint="eastAsia" w:ascii="宋体" w:hAnsi="宋体"/>
          <w:color w:val="auto"/>
          <w:sz w:val="28"/>
          <w:highlight w:val="none"/>
        </w:rPr>
        <w:t>1、评分的取值按四舍五入法，保留小数点后两位；</w:t>
      </w:r>
    </w:p>
    <w:p>
      <w:pPr>
        <w:spacing w:line="360" w:lineRule="auto"/>
        <w:ind w:firstLine="565" w:firstLineChars="202"/>
        <w:rPr>
          <w:rFonts w:ascii="宋体" w:hAnsi="宋体"/>
          <w:color w:val="auto"/>
          <w:sz w:val="28"/>
          <w:szCs w:val="28"/>
          <w:highlight w:val="none"/>
        </w:rPr>
      </w:pPr>
      <w:r>
        <w:rPr>
          <w:rFonts w:hint="eastAsia" w:ascii="宋体" w:hAnsi="宋体"/>
          <w:color w:val="auto"/>
          <w:sz w:val="28"/>
          <w:highlight w:val="none"/>
        </w:rPr>
        <w:t>2、评分标准中要求提供复印件的证明材料须清晰可辨。</w:t>
      </w:r>
    </w:p>
    <w:p>
      <w:pPr>
        <w:pStyle w:val="4"/>
        <w:numPr>
          <w:ilvl w:val="1"/>
          <w:numId w:val="48"/>
        </w:numPr>
        <w:tabs>
          <w:tab w:val="left" w:pos="993"/>
          <w:tab w:val="clear" w:pos="426"/>
          <w:tab w:val="clear" w:pos="567"/>
        </w:tabs>
        <w:spacing w:before="0" w:after="0"/>
        <w:ind w:left="0" w:firstLine="0"/>
        <w:jc w:val="both"/>
        <w:rPr>
          <w:color w:val="auto"/>
          <w:highlight w:val="none"/>
        </w:rPr>
      </w:pPr>
      <w:bookmarkStart w:id="135" w:name="_Toc20997"/>
      <w:r>
        <w:rPr>
          <w:rFonts w:hint="eastAsia"/>
          <w:color w:val="auto"/>
          <w:highlight w:val="none"/>
          <w:lang w:eastAsia="zh-CN"/>
        </w:rPr>
        <w:t>采购失败情形</w:t>
      </w:r>
      <w:bookmarkEnd w:id="135"/>
    </w:p>
    <w:p>
      <w:pPr>
        <w:rPr>
          <w:color w:val="auto"/>
          <w:highlight w:val="none"/>
        </w:rPr>
      </w:pPr>
    </w:p>
    <w:p>
      <w:pPr>
        <w:snapToGrid w:val="0"/>
        <w:spacing w:line="360" w:lineRule="auto"/>
        <w:ind w:firstLine="554" w:firstLineChars="198"/>
        <w:rPr>
          <w:rFonts w:ascii="宋体" w:hAnsi="宋体" w:cs="宋体"/>
          <w:color w:val="auto"/>
          <w:sz w:val="28"/>
          <w:szCs w:val="28"/>
          <w:highlight w:val="none"/>
        </w:rPr>
      </w:pPr>
      <w:r>
        <w:rPr>
          <w:rFonts w:hint="eastAsia" w:ascii="宋体" w:hAnsi="宋体" w:cs="宋体"/>
          <w:color w:val="auto"/>
          <w:sz w:val="28"/>
          <w:szCs w:val="28"/>
          <w:highlight w:val="none"/>
        </w:rPr>
        <w:t>有下列情形之一的，本项目采购失败：</w:t>
      </w:r>
    </w:p>
    <w:p>
      <w:pPr>
        <w:tabs>
          <w:tab w:val="left" w:pos="851"/>
        </w:tabs>
        <w:snapToGrid w:val="0"/>
        <w:spacing w:line="360" w:lineRule="auto"/>
        <w:ind w:firstLine="565" w:firstLineChars="202"/>
        <w:rPr>
          <w:rFonts w:ascii="宋体" w:hAnsi="宋体" w:cs="宋体"/>
          <w:color w:val="auto"/>
          <w:sz w:val="28"/>
          <w:szCs w:val="28"/>
          <w:highlight w:val="none"/>
        </w:rPr>
      </w:pPr>
      <w:r>
        <w:rPr>
          <w:rFonts w:hint="eastAsia" w:ascii="宋体" w:hAnsi="宋体" w:cs="宋体"/>
          <w:color w:val="auto"/>
          <w:sz w:val="28"/>
          <w:szCs w:val="28"/>
          <w:highlight w:val="none"/>
        </w:rPr>
        <w:t>一、因情况变化，不再符合规定的竞争性磋商采购方式适用情形的；</w:t>
      </w:r>
    </w:p>
    <w:p>
      <w:pPr>
        <w:tabs>
          <w:tab w:val="left" w:pos="851"/>
        </w:tabs>
        <w:snapToGrid w:val="0"/>
        <w:spacing w:line="360" w:lineRule="auto"/>
        <w:ind w:firstLine="565" w:firstLineChars="202"/>
        <w:rPr>
          <w:rFonts w:ascii="宋体" w:hAnsi="宋体" w:cs="宋体"/>
          <w:color w:val="auto"/>
          <w:sz w:val="28"/>
          <w:szCs w:val="28"/>
          <w:highlight w:val="none"/>
        </w:rPr>
      </w:pPr>
      <w:r>
        <w:rPr>
          <w:rFonts w:hint="eastAsia" w:ascii="宋体" w:hAnsi="宋体" w:cs="宋体"/>
          <w:color w:val="auto"/>
          <w:sz w:val="28"/>
          <w:szCs w:val="28"/>
          <w:highlight w:val="none"/>
        </w:rPr>
        <w:t>二、出现影响采购公正的违法、违规行为的；</w:t>
      </w:r>
    </w:p>
    <w:p>
      <w:pPr>
        <w:tabs>
          <w:tab w:val="left" w:pos="851"/>
        </w:tabs>
        <w:snapToGrid w:val="0"/>
        <w:spacing w:line="360" w:lineRule="auto"/>
        <w:ind w:firstLine="565" w:firstLineChars="202"/>
        <w:rPr>
          <w:rFonts w:ascii="宋体" w:hAnsi="宋体" w:cs="宋体"/>
          <w:color w:val="auto"/>
          <w:sz w:val="28"/>
          <w:szCs w:val="28"/>
          <w:highlight w:val="none"/>
        </w:rPr>
      </w:pPr>
      <w:r>
        <w:rPr>
          <w:rFonts w:hint="eastAsia" w:ascii="宋体" w:hAnsi="宋体" w:cs="宋体"/>
          <w:color w:val="auto"/>
          <w:sz w:val="28"/>
          <w:szCs w:val="28"/>
          <w:highlight w:val="none"/>
        </w:rPr>
        <w:t>三、</w:t>
      </w:r>
      <w:r>
        <w:rPr>
          <w:rFonts w:hint="eastAsia" w:ascii="宋体" w:hAnsi="宋体"/>
          <w:color w:val="auto"/>
          <w:sz w:val="28"/>
          <w:szCs w:val="28"/>
          <w:highlight w:val="none"/>
        </w:rPr>
        <w:t>递交施工响应文件的供应商不足三家的</w:t>
      </w:r>
      <w:r>
        <w:rPr>
          <w:rFonts w:hint="eastAsia" w:ascii="宋体" w:hAnsi="宋体" w:cs="宋体"/>
          <w:color w:val="auto"/>
          <w:sz w:val="28"/>
          <w:szCs w:val="28"/>
          <w:highlight w:val="none"/>
        </w:rPr>
        <w:t>；</w:t>
      </w:r>
    </w:p>
    <w:p>
      <w:pPr>
        <w:tabs>
          <w:tab w:val="left" w:pos="851"/>
        </w:tabs>
        <w:snapToGrid w:val="0"/>
        <w:spacing w:line="360" w:lineRule="auto"/>
        <w:ind w:firstLine="565" w:firstLineChars="202"/>
        <w:rPr>
          <w:rFonts w:ascii="宋体" w:hAnsi="宋体" w:cs="宋体"/>
          <w:color w:val="auto"/>
          <w:sz w:val="28"/>
          <w:szCs w:val="28"/>
          <w:highlight w:val="none"/>
        </w:rPr>
      </w:pPr>
      <w:r>
        <w:rPr>
          <w:rFonts w:hint="eastAsia" w:ascii="宋体" w:hAnsi="宋体" w:cs="宋体"/>
          <w:color w:val="auto"/>
          <w:sz w:val="28"/>
          <w:szCs w:val="28"/>
          <w:highlight w:val="none"/>
        </w:rPr>
        <w:t>四、通过资格性审查</w:t>
      </w:r>
      <w:r>
        <w:rPr>
          <w:rFonts w:hint="eastAsia" w:ascii="宋体" w:hAnsi="宋体"/>
          <w:color w:val="auto"/>
          <w:sz w:val="28"/>
          <w:szCs w:val="28"/>
          <w:highlight w:val="none"/>
        </w:rPr>
        <w:t>的供应商</w:t>
      </w:r>
      <w:r>
        <w:rPr>
          <w:rFonts w:hint="eastAsia" w:ascii="宋体" w:hAnsi="宋体" w:cs="宋体"/>
          <w:color w:val="auto"/>
          <w:sz w:val="28"/>
          <w:szCs w:val="28"/>
          <w:highlight w:val="none"/>
        </w:rPr>
        <w:t>不足三家的；</w:t>
      </w:r>
    </w:p>
    <w:p>
      <w:pPr>
        <w:tabs>
          <w:tab w:val="left" w:pos="851"/>
        </w:tabs>
        <w:snapToGrid w:val="0"/>
        <w:spacing w:line="360" w:lineRule="auto"/>
        <w:ind w:firstLine="565" w:firstLineChars="202"/>
        <w:rPr>
          <w:rFonts w:ascii="宋体" w:hAnsi="宋体" w:cs="宋体"/>
          <w:color w:val="auto"/>
          <w:sz w:val="28"/>
          <w:szCs w:val="28"/>
          <w:highlight w:val="none"/>
        </w:rPr>
      </w:pPr>
      <w:r>
        <w:rPr>
          <w:rFonts w:hint="eastAsia" w:ascii="宋体" w:hAnsi="宋体" w:cs="宋体"/>
          <w:color w:val="auto"/>
          <w:sz w:val="28"/>
          <w:szCs w:val="28"/>
          <w:highlight w:val="none"/>
        </w:rPr>
        <w:t>五、通过符合性审查</w:t>
      </w:r>
      <w:r>
        <w:rPr>
          <w:rFonts w:hint="eastAsia" w:ascii="宋体" w:hAnsi="宋体"/>
          <w:color w:val="auto"/>
          <w:sz w:val="28"/>
          <w:szCs w:val="28"/>
          <w:highlight w:val="none"/>
        </w:rPr>
        <w:t>的供应商</w:t>
      </w:r>
      <w:r>
        <w:rPr>
          <w:rFonts w:hint="eastAsia" w:ascii="宋体" w:hAnsi="宋体" w:cs="宋体"/>
          <w:color w:val="auto"/>
          <w:sz w:val="28"/>
          <w:szCs w:val="28"/>
          <w:highlight w:val="none"/>
        </w:rPr>
        <w:t>不足三家</w:t>
      </w:r>
      <w:r>
        <w:rPr>
          <w:rFonts w:hint="eastAsia" w:ascii="宋体" w:hAnsi="宋体"/>
          <w:color w:val="auto"/>
          <w:sz w:val="28"/>
          <w:szCs w:val="28"/>
          <w:highlight w:val="none"/>
        </w:rPr>
        <w:t>的</w:t>
      </w:r>
      <w:r>
        <w:rPr>
          <w:rFonts w:hint="eastAsia" w:ascii="宋体" w:hAnsi="宋体" w:cs="宋体"/>
          <w:color w:val="auto"/>
          <w:sz w:val="28"/>
          <w:szCs w:val="28"/>
          <w:highlight w:val="none"/>
        </w:rPr>
        <w:t>；</w:t>
      </w:r>
    </w:p>
    <w:p>
      <w:pPr>
        <w:tabs>
          <w:tab w:val="left" w:pos="851"/>
        </w:tabs>
        <w:snapToGrid w:val="0"/>
        <w:spacing w:line="360" w:lineRule="auto"/>
        <w:ind w:firstLine="565" w:firstLineChars="202"/>
        <w:rPr>
          <w:rFonts w:ascii="宋体" w:hAnsi="宋体" w:cs="宋体"/>
          <w:color w:val="auto"/>
          <w:sz w:val="28"/>
          <w:szCs w:val="28"/>
          <w:highlight w:val="none"/>
        </w:rPr>
      </w:pPr>
      <w:r>
        <w:rPr>
          <w:rFonts w:hint="eastAsia" w:ascii="宋体" w:hAnsi="宋体" w:cs="宋体"/>
          <w:color w:val="auto"/>
          <w:sz w:val="28"/>
          <w:szCs w:val="28"/>
          <w:highlight w:val="none"/>
        </w:rPr>
        <w:t>六、提交最后报价的供应商不足三家的；</w:t>
      </w:r>
    </w:p>
    <w:p>
      <w:pPr>
        <w:tabs>
          <w:tab w:val="left" w:pos="851"/>
        </w:tabs>
        <w:snapToGrid w:val="0"/>
        <w:spacing w:line="360" w:lineRule="auto"/>
        <w:ind w:firstLine="565" w:firstLineChars="202"/>
        <w:rPr>
          <w:rFonts w:ascii="宋体" w:hAnsi="宋体" w:cs="宋体"/>
          <w:color w:val="auto"/>
          <w:sz w:val="28"/>
          <w:szCs w:val="28"/>
          <w:highlight w:val="none"/>
        </w:rPr>
      </w:pPr>
      <w:r>
        <w:rPr>
          <w:rFonts w:hint="eastAsia" w:ascii="宋体" w:hAnsi="宋体" w:cs="宋体"/>
          <w:color w:val="auto"/>
          <w:sz w:val="28"/>
          <w:szCs w:val="28"/>
          <w:highlight w:val="none"/>
        </w:rPr>
        <w:t>七、通过最后报价审查的供应商不足三家的。</w:t>
      </w:r>
    </w:p>
    <w:p>
      <w:pPr>
        <w:pStyle w:val="4"/>
        <w:numPr>
          <w:ilvl w:val="1"/>
          <w:numId w:val="48"/>
        </w:numPr>
        <w:tabs>
          <w:tab w:val="left" w:pos="993"/>
          <w:tab w:val="clear" w:pos="426"/>
          <w:tab w:val="clear" w:pos="567"/>
        </w:tabs>
        <w:spacing w:before="0" w:after="0"/>
        <w:ind w:left="0" w:firstLine="0"/>
        <w:jc w:val="both"/>
        <w:rPr>
          <w:color w:val="auto"/>
          <w:highlight w:val="none"/>
        </w:rPr>
      </w:pPr>
      <w:bookmarkStart w:id="136" w:name="_Toc15893"/>
      <w:r>
        <w:rPr>
          <w:rFonts w:hint="eastAsia"/>
          <w:color w:val="auto"/>
          <w:highlight w:val="none"/>
          <w:lang w:eastAsia="zh-CN"/>
        </w:rPr>
        <w:t>其他</w:t>
      </w:r>
      <w:bookmarkEnd w:id="136"/>
    </w:p>
    <w:bookmarkEnd w:id="100"/>
    <w:p>
      <w:pPr>
        <w:ind w:firstLine="560" w:firstLineChars="200"/>
        <w:rPr>
          <w:rFonts w:ascii="宋体" w:hAnsi="宋体"/>
          <w:color w:val="auto"/>
          <w:sz w:val="28"/>
          <w:szCs w:val="28"/>
          <w:highlight w:val="none"/>
        </w:rPr>
      </w:pPr>
      <w:r>
        <w:rPr>
          <w:rFonts w:hint="eastAsia" w:ascii="宋体" w:hAnsi="宋体"/>
          <w:color w:val="auto"/>
          <w:sz w:val="28"/>
          <w:szCs w:val="28"/>
          <w:highlight w:val="none"/>
        </w:rPr>
        <w:t>磋商活动结束后，发现资格预审过程中资格性审查认定错误的，磋商结果无效，重新开展采购活动，由此给供应商造成损失的，由采购人承担赔偿责任。但是，经过所有参加采购活动的供应商书面认可，同意重新实行资格性审查的，可以直接重新实行资格性审查，并重新按照规定要求进行磋商评审。</w:t>
      </w:r>
    </w:p>
    <w:p>
      <w:pPr>
        <w:pStyle w:val="4"/>
        <w:numPr>
          <w:ilvl w:val="1"/>
          <w:numId w:val="49"/>
        </w:numPr>
        <w:spacing w:before="0" w:after="200"/>
        <w:ind w:left="1985" w:hanging="1985"/>
        <w:jc w:val="both"/>
        <w:rPr>
          <w:color w:val="auto"/>
          <w:highlight w:val="none"/>
        </w:rPr>
      </w:pPr>
      <w:bookmarkStart w:id="137" w:name="_Toc54948235"/>
      <w:bookmarkStart w:id="138" w:name="_Toc61004808"/>
      <w:bookmarkStart w:id="139" w:name="_Toc12466"/>
      <w:r>
        <w:rPr>
          <w:rFonts w:hint="eastAsia"/>
          <w:color w:val="auto"/>
          <w:highlight w:val="none"/>
        </w:rPr>
        <w:t>确定成交供应商</w:t>
      </w:r>
      <w:bookmarkEnd w:id="137"/>
      <w:bookmarkEnd w:id="138"/>
      <w:bookmarkEnd w:id="139"/>
    </w:p>
    <w:p>
      <w:pPr>
        <w:widowControl/>
        <w:numPr>
          <w:ilvl w:val="0"/>
          <w:numId w:val="50"/>
        </w:numPr>
        <w:tabs>
          <w:tab w:val="left" w:pos="1134"/>
        </w:tabs>
        <w:snapToGrid w:val="0"/>
        <w:spacing w:line="360" w:lineRule="auto"/>
        <w:ind w:left="0" w:firstLine="560" w:firstLineChars="200"/>
        <w:jc w:val="left"/>
        <w:rPr>
          <w:rFonts w:ascii="宋体" w:hAnsi="宋体" w:cs="宋体"/>
          <w:color w:val="auto"/>
          <w:sz w:val="28"/>
          <w:szCs w:val="28"/>
          <w:highlight w:val="none"/>
        </w:rPr>
      </w:pPr>
      <w:r>
        <w:rPr>
          <w:rFonts w:hint="eastAsia" w:ascii="宋体" w:hAnsi="宋体" w:cs="宋体"/>
          <w:color w:val="auto"/>
          <w:sz w:val="28"/>
          <w:szCs w:val="28"/>
          <w:highlight w:val="none"/>
        </w:rPr>
        <w:t>采购人根据磋商小组推荐的成交候选供应商名单，按顺序确定</w:t>
      </w:r>
      <w:r>
        <w:rPr>
          <w:rFonts w:hint="eastAsia" w:ascii="宋体" w:hAnsi="宋体" w:cs="宋体"/>
          <w:color w:val="auto"/>
          <w:sz w:val="28"/>
          <w:szCs w:val="28"/>
          <w:highlight w:val="none"/>
          <w:lang w:val="en-US" w:eastAsia="zh-CN"/>
        </w:rPr>
        <w:t>1</w:t>
      </w:r>
      <w:r>
        <w:rPr>
          <w:rFonts w:hint="eastAsia" w:ascii="宋体" w:hAnsi="宋体" w:cs="宋体"/>
          <w:color w:val="auto"/>
          <w:sz w:val="28"/>
          <w:szCs w:val="28"/>
          <w:highlight w:val="none"/>
        </w:rPr>
        <w:t>名成交供应商。成交候选供应商并列的，采购人采取随机抽取的方式确定。</w:t>
      </w:r>
    </w:p>
    <w:p>
      <w:pPr>
        <w:widowControl/>
        <w:numPr>
          <w:ilvl w:val="0"/>
          <w:numId w:val="50"/>
        </w:numPr>
        <w:tabs>
          <w:tab w:val="left" w:pos="1134"/>
        </w:tabs>
        <w:snapToGrid w:val="0"/>
        <w:spacing w:after="0" w:line="620" w:lineRule="exact"/>
        <w:ind w:left="15" w:leftChars="0" w:firstLine="552" w:firstLineChars="0"/>
        <w:jc w:val="left"/>
        <w:rPr>
          <w:rFonts w:ascii="宋体" w:hAnsi="宋体" w:cs="宋体"/>
          <w:color w:val="auto"/>
          <w:sz w:val="28"/>
          <w:szCs w:val="28"/>
          <w:highlight w:val="none"/>
        </w:rPr>
      </w:pPr>
      <w:r>
        <w:rPr>
          <w:rFonts w:hint="eastAsia" w:ascii="宋体" w:hAnsi="宋体" w:cs="宋体"/>
          <w:color w:val="auto"/>
          <w:sz w:val="28"/>
          <w:szCs w:val="28"/>
          <w:highlight w:val="none"/>
        </w:rPr>
        <w:t>评审结束后，</w:t>
      </w:r>
      <w:r>
        <w:rPr>
          <w:rFonts w:hint="eastAsia" w:ascii="宋体" w:hAnsi="宋体" w:cs="宋体"/>
          <w:color w:val="auto"/>
          <w:sz w:val="28"/>
          <w:szCs w:val="28"/>
          <w:highlight w:val="none"/>
          <w:lang w:eastAsia="zh-CN"/>
        </w:rPr>
        <w:t>区采购中心</w:t>
      </w:r>
      <w:r>
        <w:rPr>
          <w:rFonts w:hint="eastAsia" w:ascii="宋体" w:hAnsi="宋体" w:cs="宋体"/>
          <w:color w:val="auto"/>
          <w:sz w:val="28"/>
          <w:szCs w:val="28"/>
          <w:highlight w:val="none"/>
        </w:rPr>
        <w:t>在评审结束之日起2个工作日内将评审报告及有关资料送交采购人确定</w:t>
      </w:r>
      <w:r>
        <w:rPr>
          <w:rFonts w:hint="eastAsia" w:ascii="宋体" w:hAnsi="宋体" w:cs="宋体"/>
          <w:color w:val="auto"/>
          <w:sz w:val="28"/>
          <w:szCs w:val="28"/>
          <w:highlight w:val="none"/>
          <w:lang w:val="en-US" w:eastAsia="zh-CN"/>
        </w:rPr>
        <w:t>1</w:t>
      </w:r>
      <w:r>
        <w:rPr>
          <w:rFonts w:hint="eastAsia" w:ascii="宋体" w:hAnsi="宋体" w:cs="宋体"/>
          <w:color w:val="auto"/>
          <w:sz w:val="28"/>
          <w:szCs w:val="28"/>
          <w:highlight w:val="none"/>
        </w:rPr>
        <w:t>名成交供应商。</w:t>
      </w:r>
    </w:p>
    <w:p>
      <w:pPr>
        <w:pStyle w:val="2"/>
        <w:rPr>
          <w:color w:val="auto"/>
          <w:highlight w:val="none"/>
        </w:rPr>
      </w:pPr>
    </w:p>
    <w:p>
      <w:pPr>
        <w:widowControl/>
        <w:numPr>
          <w:ilvl w:val="0"/>
          <w:numId w:val="50"/>
        </w:numPr>
        <w:tabs>
          <w:tab w:val="left" w:pos="1134"/>
        </w:tabs>
        <w:snapToGrid w:val="0"/>
        <w:spacing w:line="360" w:lineRule="auto"/>
        <w:ind w:left="0" w:firstLine="560" w:firstLineChars="200"/>
        <w:jc w:val="left"/>
        <w:rPr>
          <w:rStyle w:val="260"/>
          <w:rFonts w:ascii="宋体" w:hAnsi="宋体" w:cs="宋体"/>
          <w:color w:val="auto"/>
          <w:sz w:val="28"/>
          <w:szCs w:val="28"/>
          <w:highlight w:val="none"/>
        </w:rPr>
      </w:pPr>
      <w:r>
        <w:rPr>
          <w:rStyle w:val="260"/>
          <w:rFonts w:hint="eastAsia"/>
          <w:color w:val="auto"/>
          <w:sz w:val="28"/>
          <w:szCs w:val="28"/>
          <w:highlight w:val="none"/>
          <w:shd w:val="clear" w:color="auto" w:fill="FFFFFF"/>
        </w:rPr>
        <w:t>采购人在收到评审报告后五个工作日内，按照评审报告中推荐的中标（成交）候选人顺序确定中标（成交）人。如果中标（成交）候选人及其现任法定代表人、主要负责人存在行贿犯罪记录，采购人将不确定其为中标（成交）人。</w:t>
      </w:r>
    </w:p>
    <w:p>
      <w:pPr>
        <w:widowControl/>
        <w:tabs>
          <w:tab w:val="left" w:pos="1134"/>
        </w:tabs>
        <w:snapToGrid w:val="0"/>
        <w:spacing w:line="360" w:lineRule="auto"/>
        <w:ind w:firstLine="560" w:firstLineChars="200"/>
        <w:jc w:val="left"/>
        <w:rPr>
          <w:rFonts w:ascii="宋体" w:hAnsi="宋体" w:cs="宋体"/>
          <w:color w:val="auto"/>
          <w:sz w:val="28"/>
          <w:szCs w:val="28"/>
          <w:highlight w:val="none"/>
        </w:rPr>
      </w:pPr>
      <w:r>
        <w:rPr>
          <w:rFonts w:hint="eastAsia" w:ascii="宋体" w:hAnsi="宋体" w:cs="宋体"/>
          <w:color w:val="auto"/>
          <w:sz w:val="28"/>
          <w:szCs w:val="28"/>
          <w:highlight w:val="none"/>
        </w:rPr>
        <w:t>根据四川省人民检察院、四川省财政厅《关于在政府采购活动中全面开展行贿犯罪档案查询的通知》（川检会</w:t>
      </w:r>
      <w:r>
        <w:rPr>
          <w:rFonts w:ascii="宋体" w:hAnsi="宋体" w:cs="宋体"/>
          <w:color w:val="auto"/>
          <w:sz w:val="28"/>
          <w:szCs w:val="28"/>
          <w:highlight w:val="none"/>
        </w:rPr>
        <w:t>[2016]5号）以及成都市人民检察院</w:t>
      </w:r>
      <w:r>
        <w:rPr>
          <w:rFonts w:hint="eastAsia" w:ascii="宋体" w:hAnsi="宋体" w:cs="宋体"/>
          <w:color w:val="auto"/>
          <w:sz w:val="28"/>
          <w:szCs w:val="28"/>
          <w:highlight w:val="none"/>
        </w:rPr>
        <w:t>《</w:t>
      </w:r>
      <w:r>
        <w:rPr>
          <w:rFonts w:ascii="宋体" w:hAnsi="宋体" w:cs="宋体"/>
          <w:color w:val="auto"/>
          <w:sz w:val="28"/>
          <w:szCs w:val="28"/>
          <w:highlight w:val="none"/>
        </w:rPr>
        <w:t>关于停止行贿犯罪档案查询的公告</w:t>
      </w:r>
      <w:r>
        <w:rPr>
          <w:rFonts w:hint="eastAsia" w:ascii="宋体" w:hAnsi="宋体" w:cs="宋体"/>
          <w:color w:val="auto"/>
          <w:sz w:val="28"/>
          <w:szCs w:val="28"/>
          <w:highlight w:val="none"/>
        </w:rPr>
        <w:t>》，</w:t>
      </w:r>
      <w:r>
        <w:rPr>
          <w:rStyle w:val="260"/>
          <w:rFonts w:hint="eastAsia"/>
          <w:color w:val="auto"/>
          <w:sz w:val="28"/>
          <w:szCs w:val="28"/>
          <w:highlight w:val="none"/>
          <w:shd w:val="clear" w:color="auto" w:fill="FFFFFF"/>
        </w:rPr>
        <w:t>采购人在确认成交供应商前，应到中国裁判文书网（</w:t>
      </w:r>
      <w:r>
        <w:rPr>
          <w:rStyle w:val="260"/>
          <w:color w:val="auto"/>
          <w:sz w:val="28"/>
          <w:szCs w:val="28"/>
          <w:highlight w:val="none"/>
          <w:shd w:val="clear" w:color="auto" w:fill="FFFFFF"/>
        </w:rPr>
        <w:t>https://wenshu.court.gov.cn</w:t>
      </w:r>
      <w:r>
        <w:rPr>
          <w:rStyle w:val="260"/>
          <w:rFonts w:hint="eastAsia"/>
          <w:color w:val="auto"/>
          <w:sz w:val="28"/>
          <w:szCs w:val="28"/>
          <w:highlight w:val="none"/>
          <w:shd w:val="clear" w:color="auto" w:fill="FFFFFF"/>
        </w:rPr>
        <w:t>）查询成交候选供应商及其现任法定代表人、主要负责人是否存在行贿犯罪记录。</w:t>
      </w:r>
    </w:p>
    <w:p>
      <w:pPr>
        <w:widowControl/>
        <w:numPr>
          <w:ilvl w:val="0"/>
          <w:numId w:val="50"/>
        </w:numPr>
        <w:tabs>
          <w:tab w:val="left" w:pos="1134"/>
        </w:tabs>
        <w:snapToGrid w:val="0"/>
        <w:spacing w:line="360" w:lineRule="auto"/>
        <w:ind w:left="0" w:firstLine="560" w:firstLineChars="200"/>
        <w:jc w:val="left"/>
        <w:rPr>
          <w:rFonts w:ascii="宋体" w:hAnsi="宋体" w:cs="宋体"/>
          <w:color w:val="auto"/>
          <w:sz w:val="28"/>
          <w:szCs w:val="28"/>
          <w:highlight w:val="none"/>
        </w:rPr>
      </w:pPr>
      <w:r>
        <w:rPr>
          <w:rFonts w:hint="eastAsia" w:ascii="宋体" w:hAnsi="宋体" w:cs="宋体"/>
          <w:color w:val="auto"/>
          <w:sz w:val="28"/>
          <w:szCs w:val="28"/>
          <w:highlight w:val="none"/>
        </w:rPr>
        <w:t>采购人因客观情况不能在规定时间内确定成交供应商的，应当向各方当事人说明情况，并报同级财政部门备案。采购人无正当理由拒绝在规定时间内确定成交供应商的，成交候选供应商可以向同级财政部门申诉。采购人逾期未确定成交供应商且不提出异议的，视为确定评审报告提出的排序第一的供应商为成交供应商。</w:t>
      </w:r>
    </w:p>
    <w:p>
      <w:pPr>
        <w:widowControl/>
        <w:numPr>
          <w:ilvl w:val="0"/>
          <w:numId w:val="50"/>
        </w:numPr>
        <w:tabs>
          <w:tab w:val="left" w:pos="1134"/>
        </w:tabs>
        <w:snapToGrid w:val="0"/>
        <w:spacing w:line="360" w:lineRule="auto"/>
        <w:ind w:left="0" w:firstLine="560" w:firstLineChars="200"/>
        <w:jc w:val="left"/>
        <w:rPr>
          <w:rFonts w:ascii="宋体" w:hAnsi="宋体" w:cs="宋体"/>
          <w:color w:val="auto"/>
          <w:sz w:val="28"/>
          <w:szCs w:val="28"/>
          <w:highlight w:val="none"/>
        </w:rPr>
      </w:pPr>
      <w:r>
        <w:rPr>
          <w:rFonts w:hint="eastAsia" w:ascii="宋体" w:hAnsi="宋体" w:cs="宋体"/>
          <w:color w:val="auto"/>
          <w:sz w:val="28"/>
          <w:szCs w:val="28"/>
          <w:highlight w:val="none"/>
        </w:rPr>
        <w:t>采购人确定成交供应商过程中，发现成交候选供应商有下列情形之一的，应当不予确定其为成交供应商, 由后一位成交候选供应商接替，依次类推，或重新组织采购：</w:t>
      </w:r>
    </w:p>
    <w:p>
      <w:pPr>
        <w:widowControl/>
        <w:numPr>
          <w:ilvl w:val="1"/>
          <w:numId w:val="51"/>
        </w:numPr>
        <w:tabs>
          <w:tab w:val="left" w:pos="851"/>
          <w:tab w:val="left" w:pos="1134"/>
          <w:tab w:val="left" w:pos="1276"/>
        </w:tabs>
        <w:snapToGrid w:val="0"/>
        <w:spacing w:line="360" w:lineRule="auto"/>
        <w:ind w:left="0" w:firstLine="560" w:firstLineChars="200"/>
        <w:jc w:val="left"/>
        <w:rPr>
          <w:rFonts w:ascii="宋体" w:hAnsi="宋体" w:cs="宋体"/>
          <w:color w:val="auto"/>
          <w:sz w:val="28"/>
          <w:szCs w:val="28"/>
          <w:highlight w:val="none"/>
        </w:rPr>
      </w:pPr>
      <w:bookmarkStart w:id="140" w:name="_Toc287623649"/>
      <w:r>
        <w:rPr>
          <w:rFonts w:hint="eastAsia" w:ascii="宋体" w:hAnsi="宋体" w:cs="宋体"/>
          <w:color w:val="auto"/>
          <w:sz w:val="28"/>
          <w:szCs w:val="28"/>
          <w:highlight w:val="none"/>
        </w:rPr>
        <w:t>成交候选供应商存在违法、违纪行为的；</w:t>
      </w:r>
    </w:p>
    <w:p>
      <w:pPr>
        <w:widowControl/>
        <w:numPr>
          <w:ilvl w:val="1"/>
          <w:numId w:val="51"/>
        </w:numPr>
        <w:tabs>
          <w:tab w:val="left" w:pos="851"/>
          <w:tab w:val="left" w:pos="1134"/>
          <w:tab w:val="left" w:pos="1276"/>
        </w:tabs>
        <w:snapToGrid w:val="0"/>
        <w:spacing w:line="360" w:lineRule="auto"/>
        <w:ind w:left="0" w:firstLine="560" w:firstLineChars="200"/>
        <w:jc w:val="left"/>
        <w:rPr>
          <w:rFonts w:ascii="宋体" w:hAnsi="宋体" w:cs="宋体"/>
          <w:color w:val="auto"/>
          <w:sz w:val="28"/>
          <w:szCs w:val="28"/>
          <w:highlight w:val="none"/>
        </w:rPr>
      </w:pPr>
      <w:r>
        <w:rPr>
          <w:rFonts w:hint="eastAsia" w:ascii="宋体" w:hAnsi="宋体" w:cs="宋体"/>
          <w:color w:val="auto"/>
          <w:sz w:val="28"/>
          <w:szCs w:val="28"/>
          <w:highlight w:val="none"/>
        </w:rPr>
        <w:t>成交候选供应商因不可抗力、社会经济形势发生重大变化、破产、重组等原因确定无法履行政府采购合同的；</w:t>
      </w:r>
    </w:p>
    <w:p>
      <w:pPr>
        <w:widowControl/>
        <w:numPr>
          <w:ilvl w:val="1"/>
          <w:numId w:val="51"/>
        </w:numPr>
        <w:tabs>
          <w:tab w:val="left" w:pos="851"/>
          <w:tab w:val="left" w:pos="1134"/>
          <w:tab w:val="left" w:pos="1276"/>
        </w:tabs>
        <w:snapToGrid w:val="0"/>
        <w:spacing w:line="360" w:lineRule="auto"/>
        <w:ind w:left="0" w:firstLine="560" w:firstLineChars="200"/>
        <w:jc w:val="left"/>
        <w:rPr>
          <w:rFonts w:ascii="宋体" w:hAnsi="宋体" w:cs="宋体"/>
          <w:color w:val="auto"/>
          <w:sz w:val="28"/>
          <w:szCs w:val="28"/>
          <w:highlight w:val="none"/>
        </w:rPr>
      </w:pPr>
      <w:r>
        <w:rPr>
          <w:rFonts w:hint="eastAsia" w:ascii="宋体" w:hAnsi="宋体" w:cs="宋体"/>
          <w:color w:val="auto"/>
          <w:sz w:val="28"/>
          <w:szCs w:val="28"/>
          <w:highlight w:val="none"/>
        </w:rPr>
        <w:t>成交候选供应商未按竞争性磋商文件要求，按时足额缴纳履约保证金的。</w:t>
      </w:r>
    </w:p>
    <w:p>
      <w:pPr>
        <w:snapToGrid w:val="0"/>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采购人不按要求确定候选供应商为成交供应商的，应提供相关证明材料并报财政部门备案。</w:t>
      </w:r>
    </w:p>
    <w:p>
      <w:pPr>
        <w:widowControl/>
        <w:numPr>
          <w:ilvl w:val="0"/>
          <w:numId w:val="50"/>
        </w:numPr>
        <w:tabs>
          <w:tab w:val="left" w:pos="1155"/>
        </w:tabs>
        <w:snapToGrid w:val="0"/>
        <w:spacing w:line="360" w:lineRule="auto"/>
        <w:ind w:left="0" w:firstLine="560" w:firstLineChars="200"/>
        <w:jc w:val="left"/>
        <w:rPr>
          <w:rFonts w:ascii="宋体" w:hAnsi="宋体" w:cs="宋体"/>
          <w:color w:val="auto"/>
          <w:sz w:val="28"/>
          <w:szCs w:val="28"/>
          <w:highlight w:val="none"/>
        </w:rPr>
      </w:pPr>
      <w:r>
        <w:rPr>
          <w:rFonts w:hint="eastAsia" w:ascii="宋体" w:hAnsi="宋体" w:cs="宋体"/>
          <w:color w:val="auto"/>
          <w:sz w:val="28"/>
          <w:szCs w:val="28"/>
          <w:highlight w:val="none"/>
        </w:rPr>
        <w:t>采购人、</w:t>
      </w:r>
      <w:r>
        <w:rPr>
          <w:rFonts w:hint="eastAsia" w:ascii="宋体" w:hAnsi="宋体" w:cs="宋体"/>
          <w:color w:val="auto"/>
          <w:sz w:val="28"/>
          <w:szCs w:val="28"/>
          <w:highlight w:val="none"/>
          <w:lang w:eastAsia="zh-CN"/>
        </w:rPr>
        <w:t>区采购中心</w:t>
      </w:r>
      <w:r>
        <w:rPr>
          <w:rFonts w:hint="eastAsia" w:ascii="宋体" w:hAnsi="宋体" w:cs="宋体"/>
          <w:color w:val="auto"/>
          <w:sz w:val="28"/>
          <w:szCs w:val="28"/>
          <w:highlight w:val="none"/>
        </w:rPr>
        <w:t>不解释成交或未成交原因，不退回施工响应文件和其他磋商资料。</w:t>
      </w:r>
      <w:bookmarkEnd w:id="140"/>
    </w:p>
    <w:p>
      <w:pPr>
        <w:pStyle w:val="4"/>
        <w:numPr>
          <w:ilvl w:val="1"/>
          <w:numId w:val="49"/>
        </w:numPr>
        <w:spacing w:before="0" w:after="200"/>
        <w:ind w:left="1985" w:hanging="1985"/>
        <w:rPr>
          <w:color w:val="auto"/>
          <w:highlight w:val="none"/>
        </w:rPr>
      </w:pPr>
      <w:bookmarkStart w:id="141" w:name="_Toc61004809"/>
      <w:bookmarkStart w:id="142" w:name="_Toc54948236"/>
      <w:bookmarkStart w:id="143" w:name="_Toc15713"/>
      <w:r>
        <w:rPr>
          <w:rFonts w:hint="eastAsia"/>
          <w:color w:val="auto"/>
          <w:highlight w:val="none"/>
        </w:rPr>
        <w:t>磋商小组成员义务</w:t>
      </w:r>
      <w:bookmarkEnd w:id="141"/>
      <w:bookmarkEnd w:id="142"/>
      <w:bookmarkEnd w:id="143"/>
    </w:p>
    <w:p>
      <w:pPr>
        <w:snapToGrid w:val="0"/>
        <w:spacing w:line="360" w:lineRule="auto"/>
        <w:ind w:firstLine="560" w:firstLineChars="200"/>
        <w:rPr>
          <w:color w:val="auto"/>
          <w:sz w:val="28"/>
          <w:szCs w:val="28"/>
          <w:highlight w:val="none"/>
        </w:rPr>
      </w:pPr>
      <w:r>
        <w:rPr>
          <w:rFonts w:hint="eastAsia"/>
          <w:color w:val="auto"/>
          <w:sz w:val="28"/>
          <w:szCs w:val="28"/>
          <w:highlight w:val="none"/>
        </w:rPr>
        <w:t>磋商小组成员在政府采购活动中承担以下义务：</w:t>
      </w:r>
    </w:p>
    <w:p>
      <w:pPr>
        <w:numPr>
          <w:ilvl w:val="0"/>
          <w:numId w:val="52"/>
        </w:numPr>
        <w:tabs>
          <w:tab w:val="left" w:pos="1155"/>
        </w:tabs>
        <w:spacing w:line="360" w:lineRule="auto"/>
        <w:ind w:left="0" w:firstLine="525"/>
        <w:rPr>
          <w:rFonts w:ascii="宋体" w:hAnsi="宋体"/>
          <w:color w:val="auto"/>
          <w:sz w:val="28"/>
          <w:szCs w:val="28"/>
          <w:highlight w:val="none"/>
        </w:rPr>
      </w:pPr>
      <w:r>
        <w:rPr>
          <w:rFonts w:hint="eastAsia" w:ascii="宋体" w:hAnsi="宋体"/>
          <w:color w:val="auto"/>
          <w:sz w:val="28"/>
          <w:szCs w:val="28"/>
          <w:highlight w:val="none"/>
        </w:rPr>
        <w:t>遵纪守法，客观、公正、廉洁地履行职责。</w:t>
      </w:r>
    </w:p>
    <w:p>
      <w:pPr>
        <w:numPr>
          <w:ilvl w:val="0"/>
          <w:numId w:val="52"/>
        </w:numPr>
        <w:tabs>
          <w:tab w:val="left" w:pos="1155"/>
        </w:tabs>
        <w:spacing w:line="360" w:lineRule="auto"/>
        <w:ind w:left="0" w:firstLine="525"/>
        <w:rPr>
          <w:rFonts w:ascii="宋体" w:hAnsi="宋体"/>
          <w:color w:val="auto"/>
          <w:sz w:val="28"/>
          <w:szCs w:val="28"/>
          <w:highlight w:val="none"/>
        </w:rPr>
      </w:pPr>
      <w:r>
        <w:rPr>
          <w:rFonts w:hint="eastAsia" w:ascii="宋体" w:hAnsi="宋体"/>
          <w:color w:val="auto"/>
          <w:sz w:val="28"/>
          <w:szCs w:val="28"/>
          <w:highlight w:val="none"/>
        </w:rPr>
        <w:t>按照政府采购法律法规和磋商文件的规定要求对供应商的资格条件和供应商提供的服务价格、技术、服务等方面严格进行独立评审，提供科学合理、公平公正的评审意见，参与起草评审报告，并予签字确认。</w:t>
      </w:r>
    </w:p>
    <w:p>
      <w:pPr>
        <w:numPr>
          <w:ilvl w:val="0"/>
          <w:numId w:val="52"/>
        </w:numPr>
        <w:tabs>
          <w:tab w:val="left" w:pos="1155"/>
        </w:tabs>
        <w:spacing w:line="360" w:lineRule="auto"/>
        <w:ind w:left="0" w:firstLine="525"/>
        <w:rPr>
          <w:rFonts w:ascii="宋体" w:hAnsi="宋体"/>
          <w:color w:val="auto"/>
          <w:sz w:val="28"/>
          <w:szCs w:val="28"/>
          <w:highlight w:val="none"/>
        </w:rPr>
      </w:pPr>
      <w:r>
        <w:rPr>
          <w:rFonts w:hint="eastAsia" w:ascii="宋体" w:hAnsi="宋体"/>
          <w:color w:val="auto"/>
          <w:sz w:val="28"/>
          <w:szCs w:val="28"/>
          <w:highlight w:val="none"/>
        </w:rPr>
        <w:t>保守秘密。不得泄漏供应商的磋商文件及知悉的商业秘密，不得向供应商透露评审情况。</w:t>
      </w:r>
    </w:p>
    <w:p>
      <w:pPr>
        <w:numPr>
          <w:ilvl w:val="0"/>
          <w:numId w:val="52"/>
        </w:numPr>
        <w:tabs>
          <w:tab w:val="left" w:pos="1155"/>
        </w:tabs>
        <w:spacing w:line="360" w:lineRule="auto"/>
        <w:ind w:left="0" w:firstLine="525"/>
        <w:rPr>
          <w:rFonts w:ascii="宋体" w:hAnsi="宋体"/>
          <w:color w:val="auto"/>
          <w:sz w:val="28"/>
          <w:szCs w:val="28"/>
          <w:highlight w:val="none"/>
        </w:rPr>
      </w:pPr>
      <w:r>
        <w:rPr>
          <w:rFonts w:hint="eastAsia" w:ascii="宋体" w:hAnsi="宋体"/>
          <w:color w:val="auto"/>
          <w:sz w:val="28"/>
          <w:szCs w:val="28"/>
          <w:highlight w:val="none"/>
        </w:rPr>
        <w:t>发现供应商在政府采购活动中有不正当竞争或恶意串通等违规行为，及时向政府采购评审工作的组织者或财政部门报告并加以制止。</w:t>
      </w:r>
    </w:p>
    <w:p>
      <w:pPr>
        <w:numPr>
          <w:ilvl w:val="0"/>
          <w:numId w:val="52"/>
        </w:numPr>
        <w:tabs>
          <w:tab w:val="left" w:pos="1155"/>
        </w:tabs>
        <w:spacing w:line="360" w:lineRule="auto"/>
        <w:ind w:left="0" w:firstLine="525"/>
        <w:rPr>
          <w:rFonts w:ascii="宋体" w:hAnsi="宋体"/>
          <w:color w:val="auto"/>
          <w:sz w:val="28"/>
          <w:szCs w:val="28"/>
          <w:highlight w:val="none"/>
        </w:rPr>
      </w:pPr>
      <w:r>
        <w:rPr>
          <w:rFonts w:hint="eastAsia" w:ascii="宋体" w:hAnsi="宋体"/>
          <w:color w:val="auto"/>
          <w:sz w:val="28"/>
          <w:szCs w:val="28"/>
          <w:highlight w:val="none"/>
        </w:rPr>
        <w:t>发现采购人、</w:t>
      </w:r>
      <w:r>
        <w:rPr>
          <w:rFonts w:hint="eastAsia" w:ascii="宋体" w:hAnsi="宋体"/>
          <w:color w:val="auto"/>
          <w:sz w:val="28"/>
          <w:szCs w:val="28"/>
          <w:highlight w:val="none"/>
          <w:lang w:eastAsia="zh-CN"/>
        </w:rPr>
        <w:t>区采购中心</w:t>
      </w:r>
      <w:r>
        <w:rPr>
          <w:rFonts w:hint="eastAsia" w:ascii="宋体" w:hAnsi="宋体"/>
          <w:color w:val="auto"/>
          <w:sz w:val="28"/>
          <w:szCs w:val="28"/>
          <w:highlight w:val="none"/>
        </w:rPr>
        <w:t>及其工作人员在政府采购活动中有干预评审、发表倾向性和歧视性言论、受贿或者接受供应商的其他好处及其他违法违规行为，及时向财政部门报告。</w:t>
      </w:r>
    </w:p>
    <w:p>
      <w:pPr>
        <w:numPr>
          <w:ilvl w:val="0"/>
          <w:numId w:val="52"/>
        </w:numPr>
        <w:tabs>
          <w:tab w:val="left" w:pos="1155"/>
        </w:tabs>
        <w:spacing w:line="360" w:lineRule="auto"/>
        <w:ind w:left="0" w:firstLine="525"/>
        <w:rPr>
          <w:rFonts w:ascii="宋体" w:hAnsi="宋体"/>
          <w:color w:val="auto"/>
          <w:sz w:val="28"/>
          <w:szCs w:val="28"/>
          <w:highlight w:val="none"/>
        </w:rPr>
      </w:pPr>
      <w:r>
        <w:rPr>
          <w:rFonts w:hint="eastAsia" w:ascii="宋体" w:hAnsi="宋体"/>
          <w:color w:val="auto"/>
          <w:sz w:val="28"/>
          <w:szCs w:val="28"/>
          <w:highlight w:val="none"/>
        </w:rPr>
        <w:t>解答有关方面对政府采购评审工作中有关问题的询问，配合采购人或者</w:t>
      </w:r>
      <w:r>
        <w:rPr>
          <w:rFonts w:hint="eastAsia" w:ascii="宋体" w:hAnsi="宋体"/>
          <w:color w:val="auto"/>
          <w:sz w:val="28"/>
          <w:szCs w:val="28"/>
          <w:highlight w:val="none"/>
          <w:lang w:eastAsia="zh-CN"/>
        </w:rPr>
        <w:t>区采购中心</w:t>
      </w:r>
      <w:r>
        <w:rPr>
          <w:rFonts w:hint="eastAsia" w:ascii="宋体" w:hAnsi="宋体"/>
          <w:color w:val="auto"/>
          <w:sz w:val="28"/>
          <w:szCs w:val="28"/>
          <w:highlight w:val="none"/>
        </w:rPr>
        <w:t>答复供应商的询问、质疑，配合财政部门的投诉处理工作等事宜。</w:t>
      </w:r>
    </w:p>
    <w:p>
      <w:pPr>
        <w:numPr>
          <w:ilvl w:val="0"/>
          <w:numId w:val="52"/>
        </w:numPr>
        <w:tabs>
          <w:tab w:val="left" w:pos="1155"/>
        </w:tabs>
        <w:spacing w:line="360" w:lineRule="auto"/>
        <w:ind w:left="0" w:firstLine="525"/>
        <w:rPr>
          <w:rFonts w:ascii="宋体" w:hAnsi="宋体"/>
          <w:color w:val="auto"/>
          <w:sz w:val="28"/>
          <w:szCs w:val="28"/>
          <w:highlight w:val="none"/>
        </w:rPr>
      </w:pPr>
      <w:r>
        <w:rPr>
          <w:rFonts w:hint="eastAsia" w:ascii="宋体" w:hAnsi="宋体"/>
          <w:color w:val="auto"/>
          <w:sz w:val="28"/>
          <w:szCs w:val="28"/>
          <w:highlight w:val="none"/>
        </w:rPr>
        <w:t>法律、法规和规章规定的其他义务。</w:t>
      </w:r>
    </w:p>
    <w:p>
      <w:pPr>
        <w:pStyle w:val="4"/>
        <w:numPr>
          <w:ilvl w:val="1"/>
          <w:numId w:val="49"/>
        </w:numPr>
        <w:spacing w:before="0" w:after="200"/>
        <w:ind w:left="1985" w:hanging="1985"/>
        <w:rPr>
          <w:color w:val="auto"/>
          <w:highlight w:val="none"/>
        </w:rPr>
      </w:pPr>
      <w:bookmarkStart w:id="144" w:name="_Toc54948237"/>
      <w:bookmarkStart w:id="145" w:name="_Toc61004810"/>
      <w:bookmarkStart w:id="146" w:name="_Toc3821"/>
      <w:r>
        <w:rPr>
          <w:rFonts w:hint="eastAsia"/>
          <w:color w:val="auto"/>
          <w:highlight w:val="none"/>
        </w:rPr>
        <w:t>磋商小组及其成员不得有下列行为</w:t>
      </w:r>
      <w:bookmarkEnd w:id="144"/>
      <w:bookmarkEnd w:id="145"/>
      <w:bookmarkEnd w:id="146"/>
    </w:p>
    <w:p>
      <w:pPr>
        <w:numPr>
          <w:ilvl w:val="0"/>
          <w:numId w:val="53"/>
        </w:numPr>
        <w:tabs>
          <w:tab w:val="left" w:pos="1155"/>
        </w:tabs>
        <w:spacing w:line="360" w:lineRule="auto"/>
        <w:ind w:left="0" w:firstLine="568"/>
        <w:rPr>
          <w:rFonts w:ascii="宋体" w:hAnsi="宋体"/>
          <w:color w:val="auto"/>
          <w:sz w:val="28"/>
          <w:szCs w:val="28"/>
          <w:highlight w:val="none"/>
        </w:rPr>
      </w:pPr>
      <w:r>
        <w:rPr>
          <w:rFonts w:hint="eastAsia" w:ascii="宋体" w:hAnsi="宋体"/>
          <w:color w:val="auto"/>
          <w:sz w:val="28"/>
          <w:szCs w:val="28"/>
          <w:highlight w:val="none"/>
        </w:rPr>
        <w:t>确定参与磋商后，至递交施工响应文件截止时间前私自接触供应商；</w:t>
      </w:r>
    </w:p>
    <w:p>
      <w:pPr>
        <w:numPr>
          <w:ilvl w:val="0"/>
          <w:numId w:val="53"/>
        </w:numPr>
        <w:tabs>
          <w:tab w:val="left" w:pos="1155"/>
        </w:tabs>
        <w:spacing w:line="360" w:lineRule="auto"/>
        <w:ind w:left="0" w:firstLine="568"/>
        <w:rPr>
          <w:rFonts w:ascii="宋体" w:hAnsi="宋体"/>
          <w:color w:val="auto"/>
          <w:sz w:val="28"/>
          <w:szCs w:val="28"/>
          <w:highlight w:val="none"/>
        </w:rPr>
      </w:pPr>
      <w:r>
        <w:rPr>
          <w:rFonts w:hint="eastAsia" w:ascii="宋体" w:hAnsi="宋体"/>
          <w:color w:val="auto"/>
          <w:sz w:val="28"/>
          <w:szCs w:val="28"/>
          <w:highlight w:val="none"/>
        </w:rPr>
        <w:t>违反评审纪律发表倾向性意见或者征询采购人的倾向性意见；</w:t>
      </w:r>
    </w:p>
    <w:p>
      <w:pPr>
        <w:numPr>
          <w:ilvl w:val="0"/>
          <w:numId w:val="53"/>
        </w:numPr>
        <w:tabs>
          <w:tab w:val="left" w:pos="1155"/>
        </w:tabs>
        <w:spacing w:line="360" w:lineRule="auto"/>
        <w:ind w:left="0" w:firstLine="568"/>
        <w:rPr>
          <w:rFonts w:ascii="宋体" w:hAnsi="宋体"/>
          <w:color w:val="auto"/>
          <w:sz w:val="28"/>
          <w:szCs w:val="28"/>
          <w:highlight w:val="none"/>
        </w:rPr>
      </w:pPr>
      <w:r>
        <w:rPr>
          <w:rFonts w:hint="eastAsia" w:ascii="宋体" w:hAnsi="宋体"/>
          <w:color w:val="auto"/>
          <w:sz w:val="28"/>
          <w:szCs w:val="28"/>
          <w:highlight w:val="none"/>
        </w:rPr>
        <w:t>对需要专业判断的主观评审因素协商评分；</w:t>
      </w:r>
    </w:p>
    <w:p>
      <w:pPr>
        <w:numPr>
          <w:ilvl w:val="0"/>
          <w:numId w:val="53"/>
        </w:numPr>
        <w:tabs>
          <w:tab w:val="left" w:pos="1155"/>
        </w:tabs>
        <w:spacing w:line="360" w:lineRule="auto"/>
        <w:ind w:left="0" w:firstLine="568"/>
        <w:rPr>
          <w:rFonts w:ascii="宋体" w:hAnsi="宋体"/>
          <w:color w:val="auto"/>
          <w:sz w:val="28"/>
          <w:szCs w:val="28"/>
          <w:highlight w:val="none"/>
        </w:rPr>
      </w:pPr>
      <w:r>
        <w:rPr>
          <w:rFonts w:hint="eastAsia" w:ascii="宋体" w:hAnsi="宋体"/>
          <w:color w:val="auto"/>
          <w:sz w:val="28"/>
          <w:szCs w:val="28"/>
          <w:highlight w:val="none"/>
        </w:rPr>
        <w:t>在评审过程中擅离职守，影响磋商程序正常进行的；</w:t>
      </w:r>
    </w:p>
    <w:p>
      <w:pPr>
        <w:numPr>
          <w:ilvl w:val="0"/>
          <w:numId w:val="53"/>
        </w:numPr>
        <w:tabs>
          <w:tab w:val="left" w:pos="1155"/>
        </w:tabs>
        <w:spacing w:line="360" w:lineRule="auto"/>
        <w:ind w:left="0" w:firstLine="568"/>
        <w:rPr>
          <w:rFonts w:ascii="宋体" w:hAnsi="宋体"/>
          <w:color w:val="auto"/>
          <w:sz w:val="28"/>
          <w:szCs w:val="28"/>
          <w:highlight w:val="none"/>
        </w:rPr>
      </w:pPr>
      <w:r>
        <w:rPr>
          <w:rFonts w:hint="eastAsia" w:ascii="宋体" w:hAnsi="宋体"/>
          <w:color w:val="auto"/>
          <w:sz w:val="28"/>
          <w:szCs w:val="28"/>
          <w:highlight w:val="none"/>
        </w:rPr>
        <w:t>记录、复制或者带走任何评审资料；</w:t>
      </w:r>
    </w:p>
    <w:p>
      <w:pPr>
        <w:numPr>
          <w:ilvl w:val="0"/>
          <w:numId w:val="53"/>
        </w:numPr>
        <w:tabs>
          <w:tab w:val="left" w:pos="1155"/>
        </w:tabs>
        <w:spacing w:line="360" w:lineRule="auto"/>
        <w:ind w:left="0" w:firstLine="568"/>
        <w:rPr>
          <w:rFonts w:ascii="宋体" w:hAnsi="宋体"/>
          <w:color w:val="auto"/>
          <w:sz w:val="28"/>
          <w:szCs w:val="28"/>
          <w:highlight w:val="none"/>
        </w:rPr>
      </w:pPr>
      <w:r>
        <w:rPr>
          <w:rFonts w:hint="eastAsia" w:ascii="宋体" w:hAnsi="宋体"/>
          <w:color w:val="auto"/>
          <w:sz w:val="28"/>
          <w:szCs w:val="28"/>
          <w:highlight w:val="none"/>
        </w:rPr>
        <w:t>其他不遵守评审纪律的行为。</w:t>
      </w:r>
    </w:p>
    <w:p>
      <w:pPr>
        <w:spacing w:line="360" w:lineRule="auto"/>
        <w:ind w:firstLine="560" w:firstLineChars="200"/>
        <w:rPr>
          <w:color w:val="auto"/>
          <w:sz w:val="28"/>
          <w:szCs w:val="28"/>
          <w:highlight w:val="none"/>
        </w:rPr>
      </w:pPr>
      <w:r>
        <w:rPr>
          <w:rFonts w:hint="eastAsia"/>
          <w:color w:val="auto"/>
          <w:sz w:val="28"/>
          <w:szCs w:val="28"/>
          <w:highlight w:val="none"/>
        </w:rPr>
        <w:t>磋商有前款第一至四项行为之一的，其评审意见无效，并不得获取评审劳务报酬和报销异地评审差旅费。</w:t>
      </w:r>
    </w:p>
    <w:p>
      <w:pPr>
        <w:pStyle w:val="4"/>
        <w:numPr>
          <w:ilvl w:val="1"/>
          <w:numId w:val="49"/>
        </w:numPr>
        <w:spacing w:before="0" w:after="200"/>
        <w:ind w:left="1985" w:hanging="1985"/>
        <w:rPr>
          <w:color w:val="auto"/>
          <w:highlight w:val="none"/>
        </w:rPr>
      </w:pPr>
      <w:bookmarkStart w:id="147" w:name="_Toc54948238"/>
      <w:bookmarkStart w:id="148" w:name="_Toc61004811"/>
      <w:bookmarkStart w:id="149" w:name="_Toc1004"/>
      <w:r>
        <w:rPr>
          <w:rFonts w:hint="eastAsia"/>
          <w:color w:val="auto"/>
          <w:highlight w:val="none"/>
        </w:rPr>
        <w:t>磋商纪律</w:t>
      </w:r>
      <w:bookmarkEnd w:id="147"/>
      <w:bookmarkEnd w:id="148"/>
      <w:bookmarkEnd w:id="149"/>
    </w:p>
    <w:p>
      <w:pPr>
        <w:snapToGrid w:val="0"/>
        <w:spacing w:line="360" w:lineRule="auto"/>
        <w:ind w:firstLine="560" w:firstLineChars="200"/>
        <w:rPr>
          <w:color w:val="auto"/>
          <w:sz w:val="28"/>
          <w:szCs w:val="28"/>
          <w:highlight w:val="none"/>
        </w:rPr>
      </w:pPr>
      <w:r>
        <w:rPr>
          <w:rFonts w:hint="eastAsia"/>
          <w:color w:val="auto"/>
          <w:sz w:val="28"/>
          <w:szCs w:val="28"/>
          <w:highlight w:val="none"/>
        </w:rPr>
        <w:t>磋商小组成员在政府采购活动中应当遵守以下工作纪律：</w:t>
      </w:r>
    </w:p>
    <w:p>
      <w:pPr>
        <w:numPr>
          <w:ilvl w:val="0"/>
          <w:numId w:val="54"/>
        </w:numPr>
        <w:tabs>
          <w:tab w:val="left" w:pos="1155"/>
        </w:tabs>
        <w:spacing w:line="360" w:lineRule="auto"/>
        <w:ind w:left="0" w:firstLine="527"/>
        <w:rPr>
          <w:rFonts w:ascii="宋体" w:hAnsi="宋体"/>
          <w:color w:val="auto"/>
          <w:sz w:val="28"/>
          <w:szCs w:val="28"/>
          <w:highlight w:val="none"/>
        </w:rPr>
      </w:pPr>
      <w:r>
        <w:rPr>
          <w:rFonts w:hint="eastAsia" w:ascii="宋体" w:hAnsi="宋体"/>
          <w:color w:val="auto"/>
          <w:sz w:val="28"/>
          <w:szCs w:val="28"/>
          <w:highlight w:val="none"/>
        </w:rPr>
        <w:t>遵行《政府采购法》第十二条和《政府采购法实施条例》第九条及政府采购相关法律法规关于回避的规定。</w:t>
      </w:r>
    </w:p>
    <w:p>
      <w:pPr>
        <w:numPr>
          <w:ilvl w:val="0"/>
          <w:numId w:val="54"/>
        </w:numPr>
        <w:tabs>
          <w:tab w:val="left" w:pos="1155"/>
        </w:tabs>
        <w:spacing w:line="360" w:lineRule="auto"/>
        <w:ind w:left="0" w:firstLine="527"/>
        <w:rPr>
          <w:rFonts w:ascii="宋体" w:hAnsi="宋体"/>
          <w:color w:val="auto"/>
          <w:sz w:val="28"/>
          <w:szCs w:val="28"/>
          <w:highlight w:val="none"/>
        </w:rPr>
      </w:pPr>
      <w:r>
        <w:rPr>
          <w:rFonts w:hint="eastAsia" w:ascii="宋体" w:hAnsi="宋体"/>
          <w:color w:val="auto"/>
          <w:sz w:val="28"/>
          <w:szCs w:val="28"/>
          <w:highlight w:val="none"/>
        </w:rPr>
        <w:t>应邀按时参加评审和咨询活动，遵守评标区管理规定。</w:t>
      </w:r>
    </w:p>
    <w:p>
      <w:pPr>
        <w:numPr>
          <w:ilvl w:val="0"/>
          <w:numId w:val="54"/>
        </w:numPr>
        <w:tabs>
          <w:tab w:val="left" w:pos="1155"/>
        </w:tabs>
        <w:spacing w:line="360" w:lineRule="auto"/>
        <w:ind w:left="0" w:firstLine="527"/>
        <w:rPr>
          <w:rFonts w:ascii="宋体" w:hAnsi="宋体"/>
          <w:color w:val="auto"/>
          <w:sz w:val="28"/>
          <w:szCs w:val="28"/>
          <w:highlight w:val="none"/>
        </w:rPr>
      </w:pPr>
      <w:r>
        <w:rPr>
          <w:rFonts w:hint="eastAsia" w:ascii="宋体" w:hAnsi="宋体"/>
          <w:color w:val="auto"/>
          <w:sz w:val="28"/>
          <w:szCs w:val="28"/>
          <w:highlight w:val="none"/>
        </w:rPr>
        <w:t>进入评标区之前应将所有的通信设备存入</w:t>
      </w:r>
      <w:r>
        <w:rPr>
          <w:rFonts w:hint="eastAsia" w:ascii="宋体" w:hAnsi="宋体"/>
          <w:color w:val="auto"/>
          <w:sz w:val="28"/>
          <w:szCs w:val="28"/>
          <w:highlight w:val="none"/>
          <w:lang w:eastAsia="zh-CN"/>
        </w:rPr>
        <w:t>区采购中心</w:t>
      </w:r>
      <w:r>
        <w:rPr>
          <w:rFonts w:hint="eastAsia" w:ascii="宋体" w:hAnsi="宋体"/>
          <w:color w:val="auto"/>
          <w:sz w:val="28"/>
          <w:szCs w:val="28"/>
          <w:highlight w:val="none"/>
        </w:rPr>
        <w:t>指定的存放处。评审专家不得以任何方式将通信设备带入评标区，否则将被取消其当次项目的评审资格。遇特殊情况不能出席或途中遇阻不能按时参加评审或咨询的，应及时告知财政部门或者采购人或者</w:t>
      </w:r>
      <w:r>
        <w:rPr>
          <w:rFonts w:hint="eastAsia" w:ascii="宋体" w:hAnsi="宋体"/>
          <w:color w:val="auto"/>
          <w:sz w:val="28"/>
          <w:szCs w:val="28"/>
          <w:highlight w:val="none"/>
          <w:lang w:eastAsia="zh-CN"/>
        </w:rPr>
        <w:t>区采购中心</w:t>
      </w:r>
      <w:r>
        <w:rPr>
          <w:rFonts w:hint="eastAsia" w:ascii="宋体" w:hAnsi="宋体"/>
          <w:color w:val="auto"/>
          <w:sz w:val="28"/>
          <w:szCs w:val="28"/>
          <w:highlight w:val="none"/>
        </w:rPr>
        <w:t>，不得私自转托他人。</w:t>
      </w:r>
    </w:p>
    <w:p>
      <w:pPr>
        <w:numPr>
          <w:ilvl w:val="0"/>
          <w:numId w:val="54"/>
        </w:numPr>
        <w:tabs>
          <w:tab w:val="left" w:pos="1155"/>
        </w:tabs>
        <w:spacing w:line="360" w:lineRule="auto"/>
        <w:ind w:left="0" w:firstLine="527"/>
        <w:rPr>
          <w:rFonts w:ascii="宋体" w:hAnsi="宋体"/>
          <w:color w:val="auto"/>
          <w:sz w:val="28"/>
          <w:szCs w:val="28"/>
          <w:highlight w:val="none"/>
        </w:rPr>
      </w:pPr>
      <w:r>
        <w:rPr>
          <w:rFonts w:hint="eastAsia" w:ascii="宋体" w:hAnsi="宋体"/>
          <w:color w:val="auto"/>
          <w:sz w:val="28"/>
          <w:szCs w:val="28"/>
          <w:highlight w:val="none"/>
        </w:rPr>
        <w:t>不得参加与自己有利害关系的政府采购项目的评审活动。对与自己有利害关系的评审项目，如受到邀请，应主动提出回避。财政部门、采购人或</w:t>
      </w:r>
      <w:r>
        <w:rPr>
          <w:rFonts w:hint="eastAsia" w:ascii="宋体" w:hAnsi="宋体"/>
          <w:color w:val="auto"/>
          <w:sz w:val="28"/>
          <w:szCs w:val="28"/>
          <w:highlight w:val="none"/>
          <w:lang w:eastAsia="zh-CN"/>
        </w:rPr>
        <w:t>区采购中心</w:t>
      </w:r>
      <w:r>
        <w:rPr>
          <w:rFonts w:hint="eastAsia" w:ascii="宋体" w:hAnsi="宋体"/>
          <w:color w:val="auto"/>
          <w:sz w:val="28"/>
          <w:szCs w:val="28"/>
          <w:highlight w:val="none"/>
        </w:rPr>
        <w:t>也可要求该评审专家回避。</w:t>
      </w:r>
    </w:p>
    <w:p>
      <w:pPr>
        <w:numPr>
          <w:ilvl w:val="0"/>
          <w:numId w:val="54"/>
        </w:numPr>
        <w:tabs>
          <w:tab w:val="left" w:pos="1155"/>
        </w:tabs>
        <w:spacing w:line="360" w:lineRule="auto"/>
        <w:ind w:left="0" w:firstLine="527"/>
        <w:rPr>
          <w:rFonts w:ascii="宋体" w:hAnsi="宋体"/>
          <w:color w:val="auto"/>
          <w:sz w:val="28"/>
          <w:szCs w:val="28"/>
          <w:highlight w:val="none"/>
        </w:rPr>
      </w:pPr>
      <w:r>
        <w:rPr>
          <w:rFonts w:hint="eastAsia" w:ascii="宋体" w:hAnsi="宋体"/>
          <w:color w:val="auto"/>
          <w:sz w:val="28"/>
          <w:szCs w:val="28"/>
          <w:highlight w:val="none"/>
        </w:rPr>
        <w:t>评审过程中关闭通讯设备，不得与外界联系。因发生不可预见情况，确实需要与外界联系的，应告知评标区值守人员，使用评标区内由</w:t>
      </w:r>
      <w:r>
        <w:rPr>
          <w:rFonts w:hint="eastAsia" w:ascii="宋体" w:hAnsi="宋体"/>
          <w:color w:val="auto"/>
          <w:sz w:val="28"/>
          <w:szCs w:val="28"/>
          <w:highlight w:val="none"/>
          <w:lang w:eastAsia="zh-CN"/>
        </w:rPr>
        <w:t>区采购中心</w:t>
      </w:r>
      <w:r>
        <w:rPr>
          <w:rFonts w:hint="eastAsia" w:ascii="宋体" w:hAnsi="宋体"/>
          <w:color w:val="auto"/>
          <w:sz w:val="28"/>
          <w:szCs w:val="28"/>
          <w:highlight w:val="none"/>
        </w:rPr>
        <w:t>提供的通信设备，在监督人员监督之下办理。</w:t>
      </w:r>
    </w:p>
    <w:p>
      <w:pPr>
        <w:numPr>
          <w:ilvl w:val="0"/>
          <w:numId w:val="54"/>
        </w:numPr>
        <w:tabs>
          <w:tab w:val="left" w:pos="1155"/>
        </w:tabs>
        <w:spacing w:line="360" w:lineRule="auto"/>
        <w:ind w:left="0" w:firstLine="527"/>
        <w:rPr>
          <w:rFonts w:ascii="宋体" w:hAnsi="宋体"/>
          <w:color w:val="auto"/>
          <w:sz w:val="28"/>
          <w:szCs w:val="28"/>
          <w:highlight w:val="none"/>
        </w:rPr>
      </w:pPr>
      <w:r>
        <w:rPr>
          <w:rFonts w:hint="eastAsia" w:ascii="宋体" w:hAnsi="宋体"/>
          <w:color w:val="auto"/>
          <w:sz w:val="28"/>
          <w:szCs w:val="28"/>
          <w:highlight w:val="none"/>
        </w:rPr>
        <w:t>评审过程中，不得发表影响评审公正的倾向性、歧视性言论；不得征询或者接受采购人的倾向性意见；不得协商评分；不得以竞争性磋商文件没有规定的方法和标准作为评审的依据；不得违反规定的评审格式评分和撰写评审意见；不得拒绝对自己的评审意见签字确认。</w:t>
      </w:r>
    </w:p>
    <w:p>
      <w:pPr>
        <w:numPr>
          <w:ilvl w:val="0"/>
          <w:numId w:val="54"/>
        </w:numPr>
        <w:tabs>
          <w:tab w:val="left" w:pos="1155"/>
        </w:tabs>
        <w:spacing w:line="360" w:lineRule="auto"/>
        <w:ind w:left="0" w:firstLine="527"/>
        <w:rPr>
          <w:rFonts w:ascii="宋体" w:hAnsi="宋体"/>
          <w:color w:val="auto"/>
          <w:sz w:val="28"/>
          <w:szCs w:val="28"/>
          <w:highlight w:val="none"/>
        </w:rPr>
      </w:pPr>
      <w:r>
        <w:rPr>
          <w:rFonts w:hint="eastAsia" w:ascii="宋体" w:hAnsi="宋体"/>
          <w:color w:val="auto"/>
          <w:sz w:val="28"/>
          <w:szCs w:val="28"/>
          <w:highlight w:val="none"/>
        </w:rPr>
        <w:t>在磋商过程中和磋商结束后，不得记录、复制或带走任何评审资料，除因规定的义务外，不得向外界透露评审内容。</w:t>
      </w:r>
    </w:p>
    <w:p>
      <w:pPr>
        <w:numPr>
          <w:ilvl w:val="0"/>
          <w:numId w:val="54"/>
        </w:numPr>
        <w:tabs>
          <w:tab w:val="left" w:pos="1155"/>
        </w:tabs>
        <w:spacing w:line="360" w:lineRule="auto"/>
        <w:ind w:left="0" w:firstLine="527"/>
        <w:rPr>
          <w:rFonts w:ascii="宋体" w:hAnsi="宋体"/>
          <w:color w:val="auto"/>
          <w:sz w:val="28"/>
          <w:szCs w:val="28"/>
          <w:highlight w:val="none"/>
        </w:rPr>
      </w:pPr>
      <w:r>
        <w:rPr>
          <w:rFonts w:hint="eastAsia" w:ascii="宋体" w:hAnsi="宋体"/>
          <w:color w:val="auto"/>
          <w:sz w:val="28"/>
          <w:szCs w:val="28"/>
          <w:highlight w:val="none"/>
        </w:rPr>
        <w:t>服从评审现场</w:t>
      </w:r>
      <w:r>
        <w:rPr>
          <w:rFonts w:hint="eastAsia" w:ascii="宋体" w:hAnsi="宋体"/>
          <w:color w:val="auto"/>
          <w:sz w:val="28"/>
          <w:szCs w:val="28"/>
          <w:highlight w:val="none"/>
          <w:lang w:eastAsia="zh-CN"/>
        </w:rPr>
        <w:t>区采购中心</w:t>
      </w:r>
      <w:r>
        <w:rPr>
          <w:rFonts w:hint="eastAsia" w:ascii="宋体" w:hAnsi="宋体"/>
          <w:color w:val="auto"/>
          <w:sz w:val="28"/>
          <w:szCs w:val="28"/>
          <w:highlight w:val="none"/>
        </w:rPr>
        <w:t>的现场秩序管理，接受评审现场监督人员的合法监督。</w:t>
      </w:r>
    </w:p>
    <w:p>
      <w:pPr>
        <w:numPr>
          <w:ilvl w:val="0"/>
          <w:numId w:val="54"/>
        </w:numPr>
        <w:tabs>
          <w:tab w:val="left" w:pos="1155"/>
        </w:tabs>
        <w:spacing w:line="360" w:lineRule="auto"/>
        <w:ind w:left="0" w:firstLine="527"/>
        <w:rPr>
          <w:rFonts w:ascii="宋体" w:hAnsi="宋体"/>
          <w:color w:val="auto"/>
          <w:sz w:val="28"/>
          <w:szCs w:val="28"/>
          <w:highlight w:val="none"/>
        </w:rPr>
      </w:pPr>
      <w:r>
        <w:rPr>
          <w:rFonts w:hint="eastAsia" w:ascii="宋体" w:hAnsi="宋体"/>
          <w:color w:val="auto"/>
          <w:sz w:val="28"/>
          <w:szCs w:val="28"/>
          <w:highlight w:val="none"/>
        </w:rPr>
        <w:t>遵守有关廉洁自律规定，不得私下接触供应商，不得收受供应商及有关业务单位和个人的财物或好处，不得接受采购组织单位的请托。</w:t>
      </w:r>
    </w:p>
    <w:p>
      <w:pPr>
        <w:numPr>
          <w:ilvl w:val="0"/>
          <w:numId w:val="54"/>
        </w:numPr>
        <w:tabs>
          <w:tab w:val="left" w:pos="1155"/>
        </w:tabs>
        <w:spacing w:line="360" w:lineRule="auto"/>
        <w:ind w:left="0" w:firstLine="527"/>
        <w:rPr>
          <w:rFonts w:ascii="宋体" w:hAnsi="宋体"/>
          <w:color w:val="auto"/>
          <w:sz w:val="28"/>
          <w:szCs w:val="28"/>
          <w:highlight w:val="none"/>
        </w:rPr>
      </w:pPr>
      <w:r>
        <w:rPr>
          <w:rFonts w:hint="eastAsia" w:ascii="宋体" w:hAnsi="宋体"/>
          <w:color w:val="auto"/>
          <w:sz w:val="28"/>
          <w:szCs w:val="28"/>
          <w:highlight w:val="none"/>
        </w:rPr>
        <w:t>在咨询工作中，严格执行国家产业政策和产品标准，认真听取咨询方的合理要求，提出科学合理的、无倾向性和歧视性的咨询方案，并对所提出的意见和建议承担个人责任。</w:t>
      </w:r>
    </w:p>
    <w:p>
      <w:pPr>
        <w:tabs>
          <w:tab w:val="left" w:pos="1155"/>
        </w:tabs>
        <w:spacing w:line="360" w:lineRule="auto"/>
        <w:ind w:firstLine="523" w:firstLineChars="187"/>
        <w:rPr>
          <w:rFonts w:ascii="宋体" w:hAnsi="宋体"/>
          <w:color w:val="auto"/>
          <w:sz w:val="28"/>
          <w:szCs w:val="28"/>
          <w:highlight w:val="none"/>
        </w:rPr>
      </w:pPr>
      <w:r>
        <w:rPr>
          <w:rFonts w:hint="eastAsia" w:ascii="宋体" w:hAnsi="宋体"/>
          <w:color w:val="auto"/>
          <w:sz w:val="28"/>
          <w:szCs w:val="28"/>
          <w:highlight w:val="none"/>
        </w:rPr>
        <w:t>十一、有关部门（机构）制定的其他评审工作纪律。</w:t>
      </w:r>
    </w:p>
    <w:p>
      <w:pPr>
        <w:pStyle w:val="2"/>
        <w:rPr>
          <w:color w:val="auto"/>
          <w:highlight w:val="none"/>
        </w:rPr>
      </w:pPr>
      <w:r>
        <w:rPr>
          <w:color w:val="auto"/>
          <w:highlight w:val="none"/>
        </w:rPr>
        <w:br w:type="page"/>
      </w:r>
    </w:p>
    <w:bookmarkEnd w:id="93"/>
    <w:p>
      <w:pPr>
        <w:pStyle w:val="3"/>
        <w:numPr>
          <w:ilvl w:val="0"/>
          <w:numId w:val="1"/>
        </w:numPr>
        <w:spacing w:before="0" w:after="0"/>
        <w:ind w:left="0" w:firstLine="0"/>
      </w:pPr>
      <w:bookmarkStart w:id="150" w:name="_Toc72938471"/>
      <w:bookmarkStart w:id="151" w:name="_Toc14004"/>
      <w:bookmarkStart w:id="152" w:name="_Toc41037911"/>
      <w:bookmarkStart w:id="153" w:name="_Toc44332258"/>
      <w:r>
        <w:rPr>
          <w:rFonts w:hint="eastAsia"/>
        </w:rPr>
        <w:t>政府</w:t>
      </w:r>
      <w:r>
        <w:t>采购</w:t>
      </w:r>
      <w:r>
        <w:rPr>
          <w:rFonts w:hint="eastAsia"/>
        </w:rPr>
        <w:t>合同草案</w:t>
      </w:r>
      <w:bookmarkEnd w:id="150"/>
      <w:bookmarkEnd w:id="151"/>
    </w:p>
    <w:p>
      <w:pPr>
        <w:spacing w:line="360" w:lineRule="auto"/>
        <w:jc w:val="center"/>
        <w:rPr>
          <w:rFonts w:ascii="宋体" w:hAnsi="宋体" w:cs="宋体"/>
          <w:sz w:val="32"/>
          <w:szCs w:val="32"/>
        </w:rPr>
      </w:pPr>
    </w:p>
    <w:p>
      <w:pPr>
        <w:rPr>
          <w:rFonts w:asciiTheme="minorEastAsia" w:hAnsiTheme="minorEastAsia" w:eastAsiaTheme="minorEastAsia"/>
          <w:bCs/>
        </w:rPr>
      </w:pPr>
      <w:r>
        <w:rPr>
          <w:rFonts w:asciiTheme="minorEastAsia" w:hAnsiTheme="minorEastAsia" w:eastAsiaTheme="minorEastAsia"/>
          <w:bCs/>
        </w:rPr>
        <w:t>第一</w:t>
      </w:r>
      <w:r>
        <w:rPr>
          <w:rFonts w:hint="eastAsia" w:asciiTheme="minorEastAsia" w:hAnsiTheme="minorEastAsia" w:eastAsiaTheme="minorEastAsia"/>
          <w:bCs/>
        </w:rPr>
        <w:t>节</w:t>
      </w:r>
      <w:r>
        <w:rPr>
          <w:rFonts w:asciiTheme="minorEastAsia" w:hAnsiTheme="minorEastAsia" w:eastAsiaTheme="minorEastAsia"/>
          <w:bCs/>
        </w:rPr>
        <w:t xml:space="preserve"> 合同协议书</w:t>
      </w:r>
    </w:p>
    <w:p>
      <w:pPr>
        <w:rPr>
          <w:rFonts w:asciiTheme="minorEastAsia" w:hAnsiTheme="minorEastAsia" w:eastAsiaTheme="minorEastAsia"/>
          <w:b/>
          <w:u w:val="single"/>
        </w:rPr>
      </w:pPr>
      <w:r>
        <w:rPr>
          <w:rFonts w:asciiTheme="minorEastAsia" w:hAnsiTheme="minorEastAsia" w:eastAsiaTheme="minorEastAsia"/>
          <w:b/>
        </w:rPr>
        <w:t>发包人（全称）：</w:t>
      </w:r>
      <w:r>
        <w:rPr>
          <w:rFonts w:asciiTheme="minorEastAsia" w:hAnsiTheme="minorEastAsia" w:eastAsiaTheme="minorEastAsia"/>
          <w:b/>
          <w:u w:val="single"/>
        </w:rPr>
        <w:t xml:space="preserve">   </w:t>
      </w:r>
      <w:r>
        <w:rPr>
          <w:rFonts w:hint="eastAsia" w:asciiTheme="minorEastAsia" w:hAnsiTheme="minorEastAsia" w:eastAsiaTheme="minorEastAsia"/>
          <w:b/>
          <w:u w:val="single"/>
        </w:rPr>
        <w:t xml:space="preserve"> </w:t>
      </w:r>
      <w:r>
        <w:rPr>
          <w:rFonts w:asciiTheme="minorEastAsia" w:hAnsiTheme="minorEastAsia" w:eastAsiaTheme="minorEastAsia"/>
          <w:b/>
          <w:u w:val="single"/>
        </w:rPr>
        <w:t xml:space="preserve">    </w:t>
      </w:r>
      <w:r>
        <w:rPr>
          <w:rFonts w:hint="eastAsia" w:asciiTheme="minorEastAsia" w:hAnsiTheme="minorEastAsia" w:eastAsiaTheme="minorEastAsia"/>
          <w:b/>
          <w:u w:val="single"/>
        </w:rPr>
        <w:t xml:space="preserve"> </w:t>
      </w:r>
      <w:r>
        <w:rPr>
          <w:rFonts w:asciiTheme="minorEastAsia" w:hAnsiTheme="minorEastAsia" w:eastAsiaTheme="minorEastAsia"/>
          <w:b/>
          <w:u w:val="single"/>
        </w:rPr>
        <w:t xml:space="preserve">   </w:t>
      </w:r>
      <w:r>
        <w:rPr>
          <w:rFonts w:hint="eastAsia" w:asciiTheme="minorEastAsia" w:hAnsiTheme="minorEastAsia" w:eastAsiaTheme="minorEastAsia"/>
          <w:b/>
          <w:u w:val="single"/>
        </w:rPr>
        <w:t xml:space="preserve">     </w:t>
      </w:r>
      <w:r>
        <w:rPr>
          <w:rFonts w:hint="eastAsia" w:asciiTheme="minorEastAsia" w:hAnsiTheme="minorEastAsia" w:eastAsiaTheme="minorEastAsia"/>
          <w:b/>
        </w:rPr>
        <w:t>（甲方）</w:t>
      </w:r>
    </w:p>
    <w:p>
      <w:pPr>
        <w:rPr>
          <w:rFonts w:asciiTheme="minorEastAsia" w:hAnsiTheme="minorEastAsia" w:eastAsiaTheme="minorEastAsia"/>
          <w:b/>
          <w:u w:val="single"/>
        </w:rPr>
      </w:pPr>
      <w:r>
        <w:rPr>
          <w:rFonts w:asciiTheme="minorEastAsia" w:hAnsiTheme="minorEastAsia" w:eastAsiaTheme="minorEastAsia"/>
          <w:b/>
        </w:rPr>
        <w:t>承包人（全称）：</w:t>
      </w:r>
      <w:r>
        <w:rPr>
          <w:rFonts w:asciiTheme="minorEastAsia" w:hAnsiTheme="minorEastAsia" w:eastAsiaTheme="minorEastAsia"/>
          <w:b/>
          <w:u w:val="single"/>
        </w:rPr>
        <w:t xml:space="preserve">       </w:t>
      </w:r>
      <w:r>
        <w:rPr>
          <w:rFonts w:hint="eastAsia" w:asciiTheme="minorEastAsia" w:hAnsiTheme="minorEastAsia" w:eastAsiaTheme="minorEastAsia"/>
          <w:b/>
          <w:u w:val="single"/>
        </w:rPr>
        <w:t xml:space="preserve"> </w:t>
      </w:r>
      <w:r>
        <w:rPr>
          <w:rFonts w:asciiTheme="minorEastAsia" w:hAnsiTheme="minorEastAsia" w:eastAsiaTheme="minorEastAsia"/>
          <w:b/>
          <w:u w:val="single"/>
        </w:rPr>
        <w:t xml:space="preserve">    </w:t>
      </w:r>
      <w:r>
        <w:rPr>
          <w:rFonts w:hint="eastAsia" w:asciiTheme="minorEastAsia" w:hAnsiTheme="minorEastAsia" w:eastAsiaTheme="minorEastAsia"/>
          <w:b/>
          <w:u w:val="single"/>
        </w:rPr>
        <w:t xml:space="preserve">     </w:t>
      </w:r>
      <w:r>
        <w:rPr>
          <w:rFonts w:hint="eastAsia" w:asciiTheme="minorEastAsia" w:hAnsiTheme="minorEastAsia" w:eastAsiaTheme="minorEastAsia"/>
          <w:b/>
        </w:rPr>
        <w:t>（乙方）</w:t>
      </w:r>
    </w:p>
    <w:p>
      <w:pPr>
        <w:rPr>
          <w:rFonts w:asciiTheme="minorEastAsia" w:hAnsiTheme="minorEastAsia" w:eastAsiaTheme="minorEastAsia"/>
        </w:rPr>
      </w:pPr>
    </w:p>
    <w:p>
      <w:pPr>
        <w:rPr>
          <w:rFonts w:asciiTheme="minorEastAsia" w:hAnsiTheme="minorEastAsia" w:eastAsiaTheme="minorEastAsia"/>
          <w:b/>
        </w:rPr>
      </w:pPr>
      <w:r>
        <w:rPr>
          <w:rFonts w:asciiTheme="minorEastAsia" w:hAnsiTheme="minorEastAsia" w:eastAsiaTheme="minorEastAsia"/>
          <w:b/>
        </w:rPr>
        <w:t xml:space="preserve">    </w:t>
      </w:r>
      <w:bookmarkStart w:id="154" w:name="_Toc351203481"/>
      <w:r>
        <w:rPr>
          <w:rFonts w:asciiTheme="minorEastAsia" w:hAnsiTheme="minorEastAsia" w:eastAsiaTheme="minorEastAsia"/>
          <w:b/>
        </w:rPr>
        <w:t>一、工程概况</w:t>
      </w:r>
      <w:bookmarkEnd w:id="154"/>
    </w:p>
    <w:p>
      <w:pPr>
        <w:rPr>
          <w:rFonts w:asciiTheme="minorEastAsia" w:hAnsiTheme="minorEastAsia" w:eastAsiaTheme="minorEastAsia"/>
          <w:u w:val="single"/>
        </w:rPr>
      </w:pPr>
      <w:r>
        <w:rPr>
          <w:rFonts w:asciiTheme="minorEastAsia" w:hAnsiTheme="minorEastAsia" w:eastAsiaTheme="minorEastAsia"/>
          <w:bCs/>
        </w:rPr>
        <w:t>1.工程名称</w:t>
      </w:r>
      <w:r>
        <w:rPr>
          <w:rFonts w:asciiTheme="minorEastAsia" w:hAnsiTheme="minorEastAsia" w:eastAsiaTheme="minorEastAsia"/>
        </w:rPr>
        <w:t>：</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bCs/>
        </w:rPr>
      </w:pPr>
      <w:r>
        <w:rPr>
          <w:rFonts w:asciiTheme="minorEastAsia" w:hAnsiTheme="minorEastAsia" w:eastAsiaTheme="minorEastAsia"/>
          <w:bCs/>
        </w:rPr>
        <w:t>2.工程地点：</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bCs/>
        </w:rPr>
      </w:pPr>
      <w:r>
        <w:rPr>
          <w:rFonts w:asciiTheme="minorEastAsia" w:hAnsiTheme="minorEastAsia" w:eastAsiaTheme="minorEastAsia"/>
          <w:bCs/>
        </w:rPr>
        <w:t>3.</w:t>
      </w:r>
      <w:r>
        <w:rPr>
          <w:rFonts w:hint="eastAsia" w:asciiTheme="minorEastAsia" w:hAnsiTheme="minorEastAsia" w:eastAsiaTheme="minorEastAsia"/>
          <w:bCs/>
        </w:rPr>
        <w:t>项目编号</w:t>
      </w:r>
      <w:r>
        <w:rPr>
          <w:rFonts w:asciiTheme="minorEastAsia" w:hAnsiTheme="minorEastAsia" w:eastAsiaTheme="minorEastAsia"/>
          <w:bCs/>
        </w:rPr>
        <w:t>：</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bCs/>
        </w:rPr>
        <w:t>。</w:t>
      </w:r>
    </w:p>
    <w:p>
      <w:pPr>
        <w:rPr>
          <w:rFonts w:asciiTheme="minorEastAsia" w:hAnsiTheme="minorEastAsia" w:eastAsiaTheme="minorEastAsia"/>
          <w:bCs/>
        </w:rPr>
      </w:pPr>
      <w:r>
        <w:rPr>
          <w:rFonts w:hint="eastAsia" w:asciiTheme="minorEastAsia" w:hAnsiTheme="minorEastAsia" w:eastAsiaTheme="minorEastAsia"/>
          <w:bCs/>
        </w:rPr>
        <w:t>4.工程内容：</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bCs/>
        </w:rPr>
        <w:t>。</w:t>
      </w:r>
    </w:p>
    <w:p>
      <w:pPr>
        <w:rPr>
          <w:rFonts w:asciiTheme="minorEastAsia" w:hAnsiTheme="minorEastAsia" w:eastAsiaTheme="minorEastAsia"/>
        </w:rPr>
      </w:pPr>
      <w:r>
        <w:rPr>
          <w:rFonts w:hint="eastAsia" w:asciiTheme="minorEastAsia" w:hAnsiTheme="minorEastAsia" w:eastAsiaTheme="minorEastAsia"/>
          <w:bCs/>
        </w:rPr>
        <w:t>5</w:t>
      </w:r>
      <w:r>
        <w:rPr>
          <w:rFonts w:asciiTheme="minorEastAsia" w:hAnsiTheme="minorEastAsia" w:eastAsiaTheme="minorEastAsia"/>
          <w:bCs/>
        </w:rPr>
        <w:t>.工程承包范围：</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b/>
        </w:rPr>
      </w:pPr>
      <w:r>
        <w:rPr>
          <w:rFonts w:asciiTheme="minorEastAsia" w:hAnsiTheme="minorEastAsia" w:eastAsiaTheme="minorEastAsia"/>
          <w:b/>
        </w:rPr>
        <w:t xml:space="preserve">   </w:t>
      </w:r>
      <w:bookmarkStart w:id="155" w:name="_Toc351203482"/>
      <w:r>
        <w:rPr>
          <w:rFonts w:asciiTheme="minorEastAsia" w:hAnsiTheme="minorEastAsia" w:eastAsiaTheme="minorEastAsia"/>
          <w:b/>
        </w:rPr>
        <w:t>二、合同工期</w:t>
      </w:r>
      <w:bookmarkEnd w:id="155"/>
    </w:p>
    <w:p>
      <w:pPr>
        <w:rPr>
          <w:rFonts w:asciiTheme="minorEastAsia" w:hAnsiTheme="minorEastAsia" w:eastAsiaTheme="minorEastAsia"/>
        </w:rPr>
      </w:pPr>
      <w:r>
        <w:rPr>
          <w:rFonts w:hint="eastAsia" w:asciiTheme="minorEastAsia" w:hAnsiTheme="minorEastAsia" w:eastAsiaTheme="minorEastAsia"/>
        </w:rPr>
        <w:t>计划开工日期：</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hint="eastAsia" w:asciiTheme="minorEastAsia" w:hAnsiTheme="minorEastAsia" w:eastAsiaTheme="minorEastAsia"/>
        </w:rPr>
        <w:t>年</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hint="eastAsia" w:asciiTheme="minorEastAsia" w:hAnsiTheme="minorEastAsia" w:eastAsiaTheme="minorEastAsia"/>
        </w:rPr>
        <w:t>月</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hint="eastAsia" w:asciiTheme="minorEastAsia" w:hAnsiTheme="minorEastAsia" w:eastAsiaTheme="minorEastAsia"/>
        </w:rPr>
        <w:t>日。</w:t>
      </w:r>
    </w:p>
    <w:p>
      <w:pPr>
        <w:rPr>
          <w:rFonts w:asciiTheme="minorEastAsia" w:hAnsiTheme="minorEastAsia" w:eastAsiaTheme="minorEastAsia"/>
        </w:rPr>
      </w:pPr>
      <w:r>
        <w:rPr>
          <w:rFonts w:hint="eastAsia" w:asciiTheme="minorEastAsia" w:hAnsiTheme="minorEastAsia" w:eastAsiaTheme="minorEastAsia"/>
        </w:rPr>
        <w:t>计划竣工日期：</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hint="eastAsia" w:asciiTheme="minorEastAsia" w:hAnsiTheme="minorEastAsia" w:eastAsiaTheme="minorEastAsia"/>
        </w:rPr>
        <w:t>年</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hint="eastAsia" w:asciiTheme="minorEastAsia" w:hAnsiTheme="minorEastAsia" w:eastAsiaTheme="minorEastAsia"/>
        </w:rPr>
        <w:t>月</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hint="eastAsia" w:asciiTheme="minorEastAsia" w:hAnsiTheme="minorEastAsia" w:eastAsiaTheme="minorEastAsia"/>
        </w:rPr>
        <w:t>日。</w:t>
      </w:r>
    </w:p>
    <w:p>
      <w:pPr>
        <w:rPr>
          <w:rFonts w:asciiTheme="minorEastAsia" w:hAnsiTheme="minorEastAsia" w:eastAsiaTheme="minorEastAsia"/>
        </w:rPr>
      </w:pPr>
      <w:r>
        <w:rPr>
          <w:rFonts w:asciiTheme="minorEastAsia" w:hAnsiTheme="minorEastAsia" w:eastAsiaTheme="minorEastAsia"/>
        </w:rPr>
        <w:t>工期总日历天数：</w:t>
      </w:r>
      <w:r>
        <w:rPr>
          <w:rFonts w:asciiTheme="minorEastAsia" w:hAnsiTheme="minorEastAsia" w:eastAsiaTheme="minorEastAsia"/>
          <w:u w:val="single"/>
        </w:rPr>
        <w:t xml:space="preserve">    </w:t>
      </w:r>
      <w:r>
        <w:rPr>
          <w:rFonts w:asciiTheme="minorEastAsia" w:hAnsiTheme="minorEastAsia" w:eastAsiaTheme="minorEastAsia"/>
        </w:rPr>
        <w:t>天。工期总日历天数与根据前述计划开竣工日期计算的工期天数不一致的，以工期总日历天数为准。</w:t>
      </w:r>
    </w:p>
    <w:p>
      <w:pPr>
        <w:rPr>
          <w:rFonts w:asciiTheme="minorEastAsia" w:hAnsiTheme="minorEastAsia" w:eastAsiaTheme="minorEastAsia"/>
          <w:b/>
        </w:rPr>
      </w:pPr>
      <w:r>
        <w:rPr>
          <w:rFonts w:asciiTheme="minorEastAsia" w:hAnsiTheme="minorEastAsia" w:eastAsiaTheme="minorEastAsia"/>
          <w:b/>
        </w:rPr>
        <w:t xml:space="preserve">    </w:t>
      </w:r>
      <w:bookmarkStart w:id="156" w:name="_Toc351203483"/>
      <w:r>
        <w:rPr>
          <w:rFonts w:asciiTheme="minorEastAsia" w:hAnsiTheme="minorEastAsia" w:eastAsiaTheme="minorEastAsia"/>
          <w:b/>
        </w:rPr>
        <w:t>三、质量标准</w:t>
      </w:r>
      <w:bookmarkEnd w:id="156"/>
    </w:p>
    <w:p>
      <w:pPr>
        <w:rPr>
          <w:rFonts w:asciiTheme="minorEastAsia" w:hAnsiTheme="minorEastAsia" w:eastAsiaTheme="minorEastAsia"/>
        </w:rPr>
      </w:pPr>
      <w:r>
        <w:rPr>
          <w:rFonts w:asciiTheme="minorEastAsia" w:hAnsiTheme="minorEastAsia" w:eastAsiaTheme="minorEastAsia"/>
        </w:rPr>
        <w:t>工程质量符合</w:t>
      </w:r>
      <w:r>
        <w:rPr>
          <w:rFonts w:asciiTheme="minorEastAsia" w:hAnsiTheme="minorEastAsia" w:eastAsiaTheme="minorEastAsia"/>
          <w:u w:val="single"/>
        </w:rPr>
        <w:t xml:space="preserve">     </w:t>
      </w:r>
      <w:r>
        <w:rPr>
          <w:rFonts w:asciiTheme="minorEastAsia" w:hAnsiTheme="minorEastAsia" w:eastAsiaTheme="minorEastAsia"/>
        </w:rPr>
        <w:t>标准。</w:t>
      </w:r>
    </w:p>
    <w:p>
      <w:pPr>
        <w:rPr>
          <w:rFonts w:asciiTheme="minorEastAsia" w:hAnsiTheme="minorEastAsia" w:eastAsiaTheme="minorEastAsia"/>
          <w:bCs/>
        </w:rPr>
      </w:pPr>
      <w:r>
        <w:rPr>
          <w:rFonts w:asciiTheme="minorEastAsia" w:hAnsiTheme="minorEastAsia" w:eastAsiaTheme="minorEastAsia"/>
          <w:b/>
        </w:rPr>
        <w:t xml:space="preserve">    </w:t>
      </w:r>
      <w:bookmarkStart w:id="157" w:name="_Toc351203484"/>
      <w:r>
        <w:rPr>
          <w:rFonts w:asciiTheme="minorEastAsia" w:hAnsiTheme="minorEastAsia" w:eastAsiaTheme="minorEastAsia"/>
          <w:b/>
        </w:rPr>
        <w:t>四、签约合同价与合同价格形式</w:t>
      </w:r>
      <w:bookmarkEnd w:id="157"/>
      <w:r>
        <w:rPr>
          <w:rFonts w:asciiTheme="minorEastAsia" w:hAnsiTheme="minorEastAsia" w:eastAsiaTheme="minorEastAsia"/>
          <w:bCs/>
        </w:rPr>
        <w:tab/>
      </w:r>
    </w:p>
    <w:p>
      <w:pPr>
        <w:rPr>
          <w:rFonts w:asciiTheme="minorEastAsia" w:hAnsiTheme="minorEastAsia" w:eastAsiaTheme="minorEastAsia"/>
        </w:rPr>
      </w:pPr>
      <w:r>
        <w:rPr>
          <w:rFonts w:asciiTheme="minorEastAsia" w:hAnsiTheme="minorEastAsia" w:eastAsiaTheme="minorEastAsia"/>
        </w:rPr>
        <w:t>1.签约合同价为：</w:t>
      </w:r>
    </w:p>
    <w:p>
      <w:pPr>
        <w:rPr>
          <w:rFonts w:asciiTheme="minorEastAsia" w:hAnsiTheme="minorEastAsia" w:eastAsiaTheme="minorEastAsia"/>
        </w:rPr>
      </w:pPr>
      <w:r>
        <w:rPr>
          <w:rFonts w:asciiTheme="minorEastAsia" w:hAnsiTheme="minorEastAsia" w:eastAsiaTheme="minorEastAsia"/>
        </w:rPr>
        <w:t>人民币（大写）</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r>
        <w:rPr>
          <w:rFonts w:cs="Calibri" w:asciiTheme="minorEastAsia" w:hAnsiTheme="minorEastAsia" w:eastAsiaTheme="minorEastAsia"/>
        </w:rPr>
        <w:t>¥</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元)；</w:t>
      </w:r>
    </w:p>
    <w:p>
      <w:pPr>
        <w:rPr>
          <w:rFonts w:asciiTheme="minorEastAsia" w:hAnsiTheme="minorEastAsia" w:eastAsiaTheme="minorEastAsia"/>
        </w:rPr>
      </w:pPr>
      <w:r>
        <w:rPr>
          <w:rFonts w:asciiTheme="minorEastAsia" w:hAnsiTheme="minorEastAsia" w:eastAsiaTheme="minorEastAsia"/>
        </w:rPr>
        <w:t>其中：</w:t>
      </w:r>
    </w:p>
    <w:p>
      <w:pPr>
        <w:rPr>
          <w:rFonts w:asciiTheme="minorEastAsia" w:hAnsiTheme="minorEastAsia" w:eastAsiaTheme="minorEastAsia"/>
        </w:rPr>
      </w:pPr>
      <w:r>
        <w:rPr>
          <w:rFonts w:asciiTheme="minorEastAsia" w:hAnsiTheme="minorEastAsia" w:eastAsiaTheme="minorEastAsia"/>
        </w:rPr>
        <w:t>（1）安全文明施工费：</w:t>
      </w:r>
    </w:p>
    <w:p>
      <w:pPr>
        <w:rPr>
          <w:rFonts w:asciiTheme="minorEastAsia" w:hAnsiTheme="minorEastAsia" w:eastAsiaTheme="minorEastAsia"/>
        </w:rPr>
      </w:pPr>
      <w:r>
        <w:rPr>
          <w:rFonts w:asciiTheme="minorEastAsia" w:hAnsiTheme="minorEastAsia" w:eastAsiaTheme="minorEastAsia"/>
        </w:rPr>
        <w:t>人民币（大写）</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 xml:space="preserve"> (</w:t>
      </w:r>
      <w:r>
        <w:rPr>
          <w:rFonts w:cs="Calibri" w:asciiTheme="minorEastAsia" w:hAnsiTheme="minorEastAsia" w:eastAsiaTheme="minorEastAsia"/>
        </w:rPr>
        <w:t>¥</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rPr>
        <w:t>元)；</w:t>
      </w:r>
    </w:p>
    <w:p>
      <w:pPr>
        <w:rPr>
          <w:rFonts w:asciiTheme="minorEastAsia" w:hAnsiTheme="minorEastAsia" w:eastAsiaTheme="minorEastAsia"/>
        </w:rPr>
      </w:pPr>
      <w:r>
        <w:rPr>
          <w:rFonts w:asciiTheme="minorEastAsia" w:hAnsiTheme="minorEastAsia" w:eastAsiaTheme="minorEastAsia"/>
        </w:rPr>
        <w:t>（2）材料和工程设备暂估价金额：</w:t>
      </w:r>
    </w:p>
    <w:p>
      <w:pPr>
        <w:rPr>
          <w:rFonts w:asciiTheme="minorEastAsia" w:hAnsiTheme="minorEastAsia" w:eastAsiaTheme="minorEastAsia"/>
        </w:rPr>
      </w:pPr>
      <w:r>
        <w:rPr>
          <w:rFonts w:asciiTheme="minorEastAsia" w:hAnsiTheme="minorEastAsia" w:eastAsiaTheme="minorEastAsia"/>
        </w:rPr>
        <w:t>人民币（大写）</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 xml:space="preserve"> (</w:t>
      </w:r>
      <w:r>
        <w:rPr>
          <w:rFonts w:cs="Calibri" w:asciiTheme="minorEastAsia" w:hAnsiTheme="minorEastAsia" w:eastAsiaTheme="minorEastAsia"/>
        </w:rPr>
        <w:t>¥</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元)；</w:t>
      </w:r>
    </w:p>
    <w:p>
      <w:pPr>
        <w:rPr>
          <w:rFonts w:asciiTheme="minorEastAsia" w:hAnsiTheme="minorEastAsia" w:eastAsiaTheme="minorEastAsia"/>
        </w:rPr>
      </w:pPr>
      <w:r>
        <w:rPr>
          <w:rFonts w:asciiTheme="minorEastAsia" w:hAnsiTheme="minorEastAsia" w:eastAsiaTheme="minorEastAsia"/>
        </w:rPr>
        <w:t>（3）专业工程暂估价金额：</w:t>
      </w:r>
    </w:p>
    <w:p>
      <w:pPr>
        <w:rPr>
          <w:rFonts w:asciiTheme="minorEastAsia" w:hAnsiTheme="minorEastAsia" w:eastAsiaTheme="minorEastAsia"/>
        </w:rPr>
      </w:pPr>
      <w:r>
        <w:rPr>
          <w:rFonts w:asciiTheme="minorEastAsia" w:hAnsiTheme="minorEastAsia" w:eastAsiaTheme="minorEastAsia"/>
        </w:rPr>
        <w:t>人民币（大写）</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 xml:space="preserve"> (</w:t>
      </w:r>
      <w:r>
        <w:rPr>
          <w:rFonts w:cs="Calibri" w:asciiTheme="minorEastAsia" w:hAnsiTheme="minorEastAsia" w:eastAsiaTheme="minorEastAsia"/>
        </w:rPr>
        <w:t>¥</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元)；</w:t>
      </w:r>
    </w:p>
    <w:p>
      <w:pPr>
        <w:rPr>
          <w:rFonts w:asciiTheme="minorEastAsia" w:hAnsiTheme="minorEastAsia" w:eastAsiaTheme="minorEastAsia"/>
        </w:rPr>
      </w:pPr>
      <w:r>
        <w:rPr>
          <w:rFonts w:asciiTheme="minorEastAsia" w:hAnsiTheme="minorEastAsia" w:eastAsiaTheme="minorEastAsia"/>
        </w:rPr>
        <w:t>（4）暂列金额：</w:t>
      </w:r>
    </w:p>
    <w:p>
      <w:pPr>
        <w:rPr>
          <w:rFonts w:asciiTheme="minorEastAsia" w:hAnsiTheme="minorEastAsia" w:eastAsiaTheme="minorEastAsia"/>
        </w:rPr>
      </w:pPr>
      <w:r>
        <w:rPr>
          <w:rFonts w:asciiTheme="minorEastAsia" w:hAnsiTheme="minorEastAsia" w:eastAsiaTheme="minorEastAsia"/>
        </w:rPr>
        <w:t>人民币（大写）</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 xml:space="preserve"> (</w:t>
      </w:r>
      <w:r>
        <w:rPr>
          <w:rFonts w:cs="Calibri" w:asciiTheme="minorEastAsia" w:hAnsiTheme="minorEastAsia" w:eastAsiaTheme="minorEastAsia"/>
        </w:rPr>
        <w:t>¥</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元)。</w:t>
      </w:r>
    </w:p>
    <w:p>
      <w:pPr>
        <w:rPr>
          <w:rFonts w:asciiTheme="minorEastAsia" w:hAnsiTheme="minorEastAsia" w:eastAsiaTheme="minorEastAsia"/>
        </w:rPr>
      </w:pPr>
      <w:r>
        <w:rPr>
          <w:rFonts w:asciiTheme="minorEastAsia" w:hAnsiTheme="minorEastAsia" w:eastAsiaTheme="minorEastAsia"/>
        </w:rPr>
        <w:t>2.合同价格形式：</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b/>
        </w:rPr>
      </w:pPr>
      <w:r>
        <w:rPr>
          <w:rFonts w:asciiTheme="minorEastAsia" w:hAnsiTheme="minorEastAsia" w:eastAsiaTheme="minorEastAsia"/>
          <w:b/>
        </w:rPr>
        <w:t xml:space="preserve"> </w:t>
      </w:r>
      <w:r>
        <w:rPr>
          <w:rFonts w:asciiTheme="minorEastAsia" w:hAnsiTheme="minorEastAsia" w:eastAsiaTheme="minorEastAsia"/>
          <w:bCs/>
        </w:rPr>
        <w:t xml:space="preserve"> </w:t>
      </w:r>
      <w:r>
        <w:rPr>
          <w:rFonts w:asciiTheme="minorEastAsia" w:hAnsiTheme="minorEastAsia" w:eastAsiaTheme="minorEastAsia"/>
          <w:b/>
        </w:rPr>
        <w:t xml:space="preserve">  </w:t>
      </w:r>
      <w:bookmarkStart w:id="158" w:name="_Toc351203485"/>
      <w:r>
        <w:rPr>
          <w:rFonts w:asciiTheme="minorEastAsia" w:hAnsiTheme="minorEastAsia" w:eastAsiaTheme="minorEastAsia"/>
          <w:b/>
        </w:rPr>
        <w:t>五、</w:t>
      </w:r>
      <w:bookmarkEnd w:id="158"/>
      <w:r>
        <w:rPr>
          <w:rFonts w:asciiTheme="minorEastAsia" w:hAnsiTheme="minorEastAsia" w:eastAsiaTheme="minorEastAsia"/>
          <w:b/>
        </w:rPr>
        <w:t>项目经理</w:t>
      </w:r>
    </w:p>
    <w:p>
      <w:pPr>
        <w:rPr>
          <w:rFonts w:asciiTheme="minorEastAsia" w:hAnsiTheme="minorEastAsia" w:eastAsiaTheme="minorEastAsia"/>
        </w:rPr>
      </w:pPr>
      <w:r>
        <w:rPr>
          <w:rFonts w:asciiTheme="minorEastAsia" w:hAnsiTheme="minorEastAsia" w:eastAsiaTheme="minorEastAsia"/>
        </w:rPr>
        <w:t>承包人项目经理：</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b/>
        </w:rPr>
      </w:pPr>
      <w:r>
        <w:rPr>
          <w:rFonts w:asciiTheme="minorEastAsia" w:hAnsiTheme="minorEastAsia" w:eastAsiaTheme="minorEastAsia"/>
          <w:bCs/>
        </w:rPr>
        <w:t xml:space="preserve">  </w:t>
      </w:r>
      <w:r>
        <w:rPr>
          <w:rFonts w:asciiTheme="minorEastAsia" w:hAnsiTheme="minorEastAsia" w:eastAsiaTheme="minorEastAsia"/>
          <w:b/>
        </w:rPr>
        <w:t xml:space="preserve">  </w:t>
      </w:r>
      <w:bookmarkStart w:id="159" w:name="_Toc351203486"/>
      <w:r>
        <w:rPr>
          <w:rFonts w:asciiTheme="minorEastAsia" w:hAnsiTheme="minorEastAsia" w:eastAsiaTheme="minorEastAsia"/>
          <w:b/>
        </w:rPr>
        <w:t>六、合同文件构成</w:t>
      </w:r>
      <w:bookmarkEnd w:id="159"/>
    </w:p>
    <w:p>
      <w:pPr>
        <w:rPr>
          <w:rFonts w:asciiTheme="minorEastAsia" w:hAnsiTheme="minorEastAsia" w:eastAsiaTheme="minorEastAsia"/>
          <w:bCs/>
        </w:rPr>
      </w:pPr>
      <w:r>
        <w:rPr>
          <w:rFonts w:asciiTheme="minorEastAsia" w:hAnsiTheme="minorEastAsia" w:eastAsiaTheme="minorEastAsia"/>
          <w:bCs/>
        </w:rPr>
        <w:t>本协议书与下列文件一起构成合同文件：</w:t>
      </w:r>
    </w:p>
    <w:p>
      <w:pPr>
        <w:rPr>
          <w:rFonts w:asciiTheme="minorEastAsia" w:hAnsiTheme="minorEastAsia" w:eastAsiaTheme="minorEastAsia"/>
        </w:rPr>
      </w:pPr>
      <w:r>
        <w:rPr>
          <w:rFonts w:asciiTheme="minorEastAsia" w:hAnsiTheme="minorEastAsia" w:eastAsiaTheme="minorEastAsia"/>
        </w:rPr>
        <w:t>（1）</w:t>
      </w:r>
      <w:r>
        <w:rPr>
          <w:rFonts w:hint="eastAsia" w:asciiTheme="minorEastAsia" w:hAnsiTheme="minorEastAsia" w:eastAsiaTheme="minorEastAsia"/>
        </w:rPr>
        <w:t>成交</w:t>
      </w:r>
      <w:r>
        <w:rPr>
          <w:rFonts w:asciiTheme="minorEastAsia" w:hAnsiTheme="minorEastAsia" w:eastAsiaTheme="minorEastAsia"/>
        </w:rPr>
        <w:t>通知书；</w:t>
      </w:r>
    </w:p>
    <w:p>
      <w:pPr>
        <w:rPr>
          <w:rFonts w:asciiTheme="minorEastAsia" w:hAnsiTheme="minorEastAsia" w:eastAsiaTheme="minorEastAsia"/>
        </w:rPr>
      </w:pPr>
      <w:r>
        <w:rPr>
          <w:rFonts w:asciiTheme="minorEastAsia" w:hAnsiTheme="minorEastAsia" w:eastAsiaTheme="minorEastAsia"/>
        </w:rPr>
        <w:t>（</w:t>
      </w:r>
      <w:r>
        <w:rPr>
          <w:rFonts w:hint="eastAsia" w:asciiTheme="minorEastAsia" w:hAnsiTheme="minorEastAsia" w:eastAsiaTheme="minorEastAsia"/>
        </w:rPr>
        <w:t>2</w:t>
      </w:r>
      <w:r>
        <w:rPr>
          <w:rFonts w:asciiTheme="minorEastAsia" w:hAnsiTheme="minorEastAsia" w:eastAsiaTheme="minorEastAsia"/>
        </w:rPr>
        <w:t>）专用合同条款及其附件；</w:t>
      </w:r>
    </w:p>
    <w:p>
      <w:pPr>
        <w:rPr>
          <w:rFonts w:asciiTheme="minorEastAsia" w:hAnsiTheme="minorEastAsia" w:eastAsiaTheme="minorEastAsia"/>
        </w:rPr>
      </w:pPr>
      <w:r>
        <w:rPr>
          <w:rFonts w:asciiTheme="minorEastAsia" w:hAnsiTheme="minorEastAsia" w:eastAsiaTheme="minorEastAsia"/>
        </w:rPr>
        <w:t>（</w:t>
      </w:r>
      <w:r>
        <w:rPr>
          <w:rFonts w:hint="eastAsia" w:asciiTheme="minorEastAsia" w:hAnsiTheme="minorEastAsia" w:eastAsiaTheme="minorEastAsia"/>
        </w:rPr>
        <w:t>3</w:t>
      </w:r>
      <w:r>
        <w:rPr>
          <w:rFonts w:asciiTheme="minorEastAsia" w:hAnsiTheme="minorEastAsia" w:eastAsiaTheme="minorEastAsia"/>
        </w:rPr>
        <w:t>）通用合同条款；</w:t>
      </w:r>
    </w:p>
    <w:p>
      <w:pPr>
        <w:rPr>
          <w:rFonts w:asciiTheme="minorEastAsia" w:hAnsiTheme="minorEastAsia" w:eastAsiaTheme="minorEastAsia"/>
        </w:rPr>
      </w:pPr>
      <w:r>
        <w:rPr>
          <w:rFonts w:hint="eastAsia" w:asciiTheme="minorEastAsia" w:hAnsiTheme="minorEastAsia" w:eastAsiaTheme="minorEastAsia"/>
        </w:rPr>
        <w:t>（4）评审报告；</w:t>
      </w:r>
    </w:p>
    <w:p>
      <w:pPr>
        <w:rPr>
          <w:rFonts w:asciiTheme="minorEastAsia" w:hAnsiTheme="minorEastAsia" w:eastAsiaTheme="minorEastAsia"/>
        </w:rPr>
      </w:pPr>
      <w:r>
        <w:rPr>
          <w:rFonts w:asciiTheme="minorEastAsia" w:hAnsiTheme="minorEastAsia" w:eastAsiaTheme="minorEastAsia"/>
        </w:rPr>
        <w:t>（</w:t>
      </w:r>
      <w:r>
        <w:rPr>
          <w:rFonts w:hint="eastAsia" w:asciiTheme="minorEastAsia" w:hAnsiTheme="minorEastAsia" w:eastAsiaTheme="minorEastAsia"/>
        </w:rPr>
        <w:t>5</w:t>
      </w:r>
      <w:r>
        <w:rPr>
          <w:rFonts w:asciiTheme="minorEastAsia" w:hAnsiTheme="minorEastAsia" w:eastAsiaTheme="minorEastAsia"/>
        </w:rPr>
        <w:t>）技术标准和要求；</w:t>
      </w:r>
    </w:p>
    <w:p>
      <w:pPr>
        <w:rPr>
          <w:rFonts w:asciiTheme="minorEastAsia" w:hAnsiTheme="minorEastAsia" w:eastAsiaTheme="minorEastAsia"/>
        </w:rPr>
      </w:pPr>
      <w:r>
        <w:rPr>
          <w:rFonts w:asciiTheme="minorEastAsia" w:hAnsiTheme="minorEastAsia" w:eastAsiaTheme="minorEastAsia"/>
        </w:rPr>
        <w:t>（</w:t>
      </w:r>
      <w:r>
        <w:rPr>
          <w:rFonts w:hint="eastAsia" w:asciiTheme="minorEastAsia" w:hAnsiTheme="minorEastAsia" w:eastAsiaTheme="minorEastAsia"/>
        </w:rPr>
        <w:t>6</w:t>
      </w:r>
      <w:r>
        <w:rPr>
          <w:rFonts w:asciiTheme="minorEastAsia" w:hAnsiTheme="minorEastAsia" w:eastAsiaTheme="minorEastAsia"/>
        </w:rPr>
        <w:t>）图纸；</w:t>
      </w:r>
    </w:p>
    <w:p>
      <w:pPr>
        <w:rPr>
          <w:rFonts w:asciiTheme="minorEastAsia" w:hAnsiTheme="minorEastAsia" w:eastAsiaTheme="minorEastAsia"/>
        </w:rPr>
      </w:pPr>
      <w:r>
        <w:rPr>
          <w:rFonts w:asciiTheme="minorEastAsia" w:hAnsiTheme="minorEastAsia" w:eastAsiaTheme="minorEastAsia"/>
        </w:rPr>
        <w:t>（</w:t>
      </w:r>
      <w:r>
        <w:rPr>
          <w:rFonts w:hint="eastAsia" w:asciiTheme="minorEastAsia" w:hAnsiTheme="minorEastAsia" w:eastAsiaTheme="minorEastAsia"/>
        </w:rPr>
        <w:t>7</w:t>
      </w:r>
      <w:r>
        <w:rPr>
          <w:rFonts w:asciiTheme="minorEastAsia" w:hAnsiTheme="minorEastAsia" w:eastAsiaTheme="minorEastAsia"/>
        </w:rPr>
        <w:t>）已标价工程量清单或预算书；</w:t>
      </w:r>
    </w:p>
    <w:p>
      <w:pPr>
        <w:rPr>
          <w:rFonts w:asciiTheme="minorEastAsia" w:hAnsiTheme="minorEastAsia" w:eastAsiaTheme="minorEastAsia"/>
        </w:rPr>
      </w:pPr>
      <w:r>
        <w:rPr>
          <w:rFonts w:asciiTheme="minorEastAsia" w:hAnsiTheme="minorEastAsia" w:eastAsiaTheme="minorEastAsia"/>
        </w:rPr>
        <w:t>（</w:t>
      </w:r>
      <w:r>
        <w:rPr>
          <w:rFonts w:hint="eastAsia" w:asciiTheme="minorEastAsia" w:hAnsiTheme="minorEastAsia" w:eastAsiaTheme="minorEastAsia"/>
        </w:rPr>
        <w:t>8</w:t>
      </w:r>
      <w:r>
        <w:rPr>
          <w:rFonts w:asciiTheme="minorEastAsia" w:hAnsiTheme="minorEastAsia" w:eastAsiaTheme="minorEastAsia"/>
        </w:rPr>
        <w:t>）其他合同文件。</w:t>
      </w:r>
    </w:p>
    <w:p>
      <w:pPr>
        <w:rPr>
          <w:rFonts w:asciiTheme="minorEastAsia" w:hAnsiTheme="minorEastAsia" w:eastAsiaTheme="minorEastAsia"/>
        </w:rPr>
      </w:pPr>
      <w:r>
        <w:rPr>
          <w:rFonts w:asciiTheme="minorEastAsia" w:hAnsiTheme="minorEastAsia" w:eastAsiaTheme="minorEastAsia"/>
        </w:rPr>
        <w:t>在合同订立及履行过程中形成的与合同有关的文件均构成合同文件组成部分。</w:t>
      </w:r>
    </w:p>
    <w:p>
      <w:pPr>
        <w:rPr>
          <w:rFonts w:asciiTheme="minorEastAsia" w:hAnsiTheme="minorEastAsia" w:eastAsiaTheme="minorEastAsia"/>
        </w:rPr>
      </w:pPr>
      <w:r>
        <w:rPr>
          <w:rFonts w:asciiTheme="minorEastAsia" w:hAnsiTheme="minorEastAsia" w:eastAsiaTheme="minorEastAsia"/>
        </w:rPr>
        <w:t>上述各项合同文件包括合同当事人就该项合同文件所作出的补充和修改，属于同一类内容的文件，应以最新签署的为准。</w:t>
      </w:r>
      <w:r>
        <w:rPr>
          <w:rFonts w:hint="eastAsia" w:asciiTheme="minorEastAsia" w:hAnsiTheme="minorEastAsia" w:eastAsiaTheme="minorEastAsia"/>
        </w:rPr>
        <w:t>专用合同条款及其附件须经合同当事人签字或盖章。</w:t>
      </w:r>
    </w:p>
    <w:p>
      <w:pPr>
        <w:rPr>
          <w:rFonts w:asciiTheme="minorEastAsia" w:hAnsiTheme="minorEastAsia" w:eastAsiaTheme="minorEastAsia"/>
          <w:b/>
          <w:bCs/>
        </w:rPr>
      </w:pPr>
      <w:r>
        <w:rPr>
          <w:rFonts w:asciiTheme="minorEastAsia" w:hAnsiTheme="minorEastAsia" w:eastAsiaTheme="minorEastAsia"/>
        </w:rPr>
        <w:t xml:space="preserve"> </w:t>
      </w:r>
      <w:r>
        <w:rPr>
          <w:rFonts w:asciiTheme="minorEastAsia" w:hAnsiTheme="minorEastAsia" w:eastAsiaTheme="minorEastAsia"/>
          <w:b/>
          <w:bCs/>
        </w:rPr>
        <w:t xml:space="preserve">   </w:t>
      </w:r>
      <w:bookmarkStart w:id="160" w:name="_Toc351203487"/>
      <w:r>
        <w:rPr>
          <w:rFonts w:asciiTheme="minorEastAsia" w:hAnsiTheme="minorEastAsia" w:eastAsiaTheme="minorEastAsia"/>
          <w:b/>
          <w:bCs/>
        </w:rPr>
        <w:t>七、承诺</w:t>
      </w:r>
      <w:bookmarkEnd w:id="160"/>
    </w:p>
    <w:p>
      <w:pPr>
        <w:rPr>
          <w:rFonts w:asciiTheme="minorEastAsia" w:hAnsiTheme="minorEastAsia" w:eastAsiaTheme="minorEastAsia"/>
          <w:bCs/>
        </w:rPr>
      </w:pPr>
      <w:r>
        <w:rPr>
          <w:rFonts w:asciiTheme="minorEastAsia" w:hAnsiTheme="minorEastAsia" w:eastAsiaTheme="minorEastAsia"/>
          <w:bCs/>
        </w:rPr>
        <w:t>1.发包人承诺按照法律规定履行项目审批手续、筹集工程建设资金并按照合同约定的期限和方式支付合同价款。</w:t>
      </w:r>
    </w:p>
    <w:p>
      <w:pPr>
        <w:rPr>
          <w:rFonts w:asciiTheme="minorEastAsia" w:hAnsiTheme="minorEastAsia" w:eastAsiaTheme="minorEastAsia"/>
          <w:bCs/>
        </w:rPr>
      </w:pPr>
      <w:r>
        <w:rPr>
          <w:rFonts w:asciiTheme="minorEastAsia" w:hAnsiTheme="minorEastAsia" w:eastAsiaTheme="minorEastAsia"/>
          <w:bCs/>
        </w:rPr>
        <w:t>2.承包人承诺按照法律规定及合同约定组织完成工程施工，确保工程质量和安全，不进行转包及违法分包，并在缺陷责任期及保修期内承担相应的工程维修责任。</w:t>
      </w:r>
    </w:p>
    <w:p>
      <w:pPr>
        <w:rPr>
          <w:rFonts w:asciiTheme="minorEastAsia" w:hAnsiTheme="minorEastAsia" w:eastAsiaTheme="minorEastAsia"/>
          <w:bCs/>
        </w:rPr>
      </w:pPr>
      <w:r>
        <w:rPr>
          <w:rFonts w:asciiTheme="minorEastAsia" w:hAnsiTheme="minorEastAsia" w:eastAsiaTheme="minorEastAsia"/>
          <w:bCs/>
        </w:rPr>
        <w:t>3.发包人和承包人通过招投标形式签订合同的，双方理解并</w:t>
      </w:r>
      <w:r>
        <w:rPr>
          <w:rFonts w:hint="eastAsia" w:asciiTheme="minorEastAsia" w:hAnsiTheme="minorEastAsia" w:eastAsiaTheme="minorEastAsia"/>
          <w:bCs/>
        </w:rPr>
        <w:t>承诺</w:t>
      </w:r>
      <w:r>
        <w:rPr>
          <w:rFonts w:asciiTheme="minorEastAsia" w:hAnsiTheme="minorEastAsia" w:eastAsiaTheme="minorEastAsia"/>
          <w:bCs/>
        </w:rPr>
        <w:t>不再就同一工程另行签订与合同实质性内容相背离的协议。</w:t>
      </w:r>
    </w:p>
    <w:p>
      <w:pPr>
        <w:rPr>
          <w:rFonts w:asciiTheme="minorEastAsia" w:hAnsiTheme="minorEastAsia" w:eastAsiaTheme="minorEastAsia"/>
          <w:bCs/>
        </w:rPr>
      </w:pPr>
      <w:bookmarkStart w:id="161" w:name="_Toc351203488"/>
      <w:r>
        <w:rPr>
          <w:rFonts w:hint="eastAsia" w:asciiTheme="minorEastAsia" w:hAnsiTheme="minorEastAsia" w:eastAsiaTheme="minorEastAsia"/>
          <w:b/>
        </w:rPr>
        <w:t xml:space="preserve">    </w:t>
      </w:r>
      <w:r>
        <w:rPr>
          <w:rFonts w:asciiTheme="minorEastAsia" w:hAnsiTheme="minorEastAsia" w:eastAsiaTheme="minorEastAsia"/>
          <w:b/>
        </w:rPr>
        <w:t>八、词语含义</w:t>
      </w:r>
      <w:bookmarkEnd w:id="161"/>
    </w:p>
    <w:p>
      <w:pPr>
        <w:rPr>
          <w:rFonts w:asciiTheme="minorEastAsia" w:hAnsiTheme="minorEastAsia" w:eastAsiaTheme="minorEastAsia"/>
          <w:bCs/>
        </w:rPr>
      </w:pPr>
      <w:r>
        <w:rPr>
          <w:rFonts w:asciiTheme="minorEastAsia" w:hAnsiTheme="minorEastAsia" w:eastAsiaTheme="minorEastAsia"/>
          <w:bCs/>
        </w:rPr>
        <w:t>本协议书中词语含义与第二部分通用合同条款中赋予的含义相同。</w:t>
      </w:r>
    </w:p>
    <w:p>
      <w:pPr>
        <w:rPr>
          <w:rFonts w:asciiTheme="minorEastAsia" w:hAnsiTheme="minorEastAsia" w:eastAsiaTheme="minorEastAsia"/>
          <w:b/>
        </w:rPr>
      </w:pPr>
      <w:r>
        <w:rPr>
          <w:rFonts w:asciiTheme="minorEastAsia" w:hAnsiTheme="minorEastAsia" w:eastAsiaTheme="minorEastAsia"/>
          <w:b/>
        </w:rPr>
        <w:t xml:space="preserve">  </w:t>
      </w:r>
      <w:r>
        <w:rPr>
          <w:rFonts w:asciiTheme="minorEastAsia" w:hAnsiTheme="minorEastAsia" w:eastAsiaTheme="minorEastAsia"/>
          <w:bCs/>
        </w:rPr>
        <w:t xml:space="preserve">  </w:t>
      </w:r>
      <w:bookmarkStart w:id="162" w:name="_Toc351203489"/>
      <w:r>
        <w:rPr>
          <w:rFonts w:asciiTheme="minorEastAsia" w:hAnsiTheme="minorEastAsia" w:eastAsiaTheme="minorEastAsia"/>
          <w:bCs/>
        </w:rPr>
        <w:t>九、签订时间</w:t>
      </w:r>
      <w:bookmarkEnd w:id="162"/>
    </w:p>
    <w:p>
      <w:pPr>
        <w:rPr>
          <w:rFonts w:asciiTheme="minorEastAsia" w:hAnsiTheme="minorEastAsia" w:eastAsiaTheme="minorEastAsia"/>
          <w:bCs/>
        </w:rPr>
      </w:pPr>
      <w:r>
        <w:rPr>
          <w:rFonts w:asciiTheme="minorEastAsia" w:hAnsiTheme="minorEastAsia" w:eastAsiaTheme="minorEastAsia"/>
          <w:bCs/>
        </w:rPr>
        <w:t>本合同于</w:t>
      </w:r>
      <w:r>
        <w:rPr>
          <w:rFonts w:asciiTheme="minorEastAsia" w:hAnsiTheme="minorEastAsia" w:eastAsiaTheme="minorEastAsia"/>
          <w:bCs/>
          <w:u w:val="single"/>
        </w:rPr>
        <w:t xml:space="preserve">         </w:t>
      </w:r>
      <w:r>
        <w:rPr>
          <w:rFonts w:asciiTheme="minorEastAsia" w:hAnsiTheme="minorEastAsia" w:eastAsiaTheme="minorEastAsia"/>
          <w:bCs/>
        </w:rPr>
        <w:t>年</w:t>
      </w:r>
      <w:r>
        <w:rPr>
          <w:rFonts w:asciiTheme="minorEastAsia" w:hAnsiTheme="minorEastAsia" w:eastAsiaTheme="minorEastAsia"/>
          <w:bCs/>
          <w:u w:val="single"/>
        </w:rPr>
        <w:t xml:space="preserve">    </w:t>
      </w:r>
      <w:r>
        <w:rPr>
          <w:rFonts w:asciiTheme="minorEastAsia" w:hAnsiTheme="minorEastAsia" w:eastAsiaTheme="minorEastAsia"/>
          <w:bCs/>
        </w:rPr>
        <w:t>月</w:t>
      </w:r>
      <w:r>
        <w:rPr>
          <w:rFonts w:asciiTheme="minorEastAsia" w:hAnsiTheme="minorEastAsia" w:eastAsiaTheme="minorEastAsia"/>
          <w:bCs/>
          <w:u w:val="single"/>
        </w:rPr>
        <w:t xml:space="preserve">    </w:t>
      </w:r>
      <w:r>
        <w:rPr>
          <w:rFonts w:asciiTheme="minorEastAsia" w:hAnsiTheme="minorEastAsia" w:eastAsiaTheme="minorEastAsia"/>
          <w:bCs/>
        </w:rPr>
        <w:t>日签订。</w:t>
      </w:r>
    </w:p>
    <w:p>
      <w:pPr>
        <w:rPr>
          <w:rFonts w:asciiTheme="minorEastAsia" w:hAnsiTheme="minorEastAsia" w:eastAsiaTheme="minorEastAsia"/>
          <w:b/>
        </w:rPr>
      </w:pPr>
      <w:r>
        <w:rPr>
          <w:rFonts w:asciiTheme="minorEastAsia" w:hAnsiTheme="minorEastAsia" w:eastAsiaTheme="minorEastAsia"/>
          <w:b/>
        </w:rPr>
        <w:t xml:space="preserve">    </w:t>
      </w:r>
      <w:bookmarkStart w:id="163" w:name="_Toc351203490"/>
      <w:r>
        <w:rPr>
          <w:rFonts w:asciiTheme="minorEastAsia" w:hAnsiTheme="minorEastAsia" w:eastAsiaTheme="minorEastAsia"/>
          <w:bCs/>
        </w:rPr>
        <w:t>十、签订地点</w:t>
      </w:r>
      <w:bookmarkEnd w:id="163"/>
    </w:p>
    <w:p>
      <w:pPr>
        <w:rPr>
          <w:rFonts w:asciiTheme="minorEastAsia" w:hAnsiTheme="minorEastAsia" w:eastAsiaTheme="minorEastAsia"/>
          <w:bCs/>
        </w:rPr>
      </w:pPr>
      <w:r>
        <w:rPr>
          <w:rFonts w:asciiTheme="minorEastAsia" w:hAnsiTheme="minorEastAsia" w:eastAsiaTheme="minorEastAsia"/>
          <w:bCs/>
        </w:rPr>
        <w:t>本合同在</w:t>
      </w:r>
      <w:r>
        <w:rPr>
          <w:rFonts w:asciiTheme="minorEastAsia" w:hAnsiTheme="minorEastAsia" w:eastAsiaTheme="minorEastAsia"/>
          <w:bCs/>
          <w:u w:val="single"/>
        </w:rPr>
        <w:t xml:space="preserve">                                    </w:t>
      </w:r>
      <w:r>
        <w:rPr>
          <w:rFonts w:asciiTheme="minorEastAsia" w:hAnsiTheme="minorEastAsia" w:eastAsiaTheme="minorEastAsia"/>
          <w:bCs/>
        </w:rPr>
        <w:t>签订。</w:t>
      </w:r>
    </w:p>
    <w:p>
      <w:pPr>
        <w:rPr>
          <w:rFonts w:asciiTheme="minorEastAsia" w:hAnsiTheme="minorEastAsia" w:eastAsiaTheme="minorEastAsia"/>
          <w:b/>
        </w:rPr>
      </w:pPr>
      <w:r>
        <w:rPr>
          <w:rFonts w:asciiTheme="minorEastAsia" w:hAnsiTheme="minorEastAsia" w:eastAsiaTheme="minorEastAsia"/>
          <w:b/>
        </w:rPr>
        <w:t xml:space="preserve">    </w:t>
      </w:r>
      <w:bookmarkStart w:id="164" w:name="_Toc351203491"/>
      <w:r>
        <w:rPr>
          <w:rFonts w:asciiTheme="minorEastAsia" w:hAnsiTheme="minorEastAsia" w:eastAsiaTheme="minorEastAsia"/>
          <w:bCs/>
        </w:rPr>
        <w:t>十一、补充协议</w:t>
      </w:r>
      <w:bookmarkEnd w:id="164"/>
    </w:p>
    <w:p>
      <w:pPr>
        <w:rPr>
          <w:rFonts w:asciiTheme="minorEastAsia" w:hAnsiTheme="minorEastAsia" w:eastAsiaTheme="minorEastAsia"/>
          <w:b/>
          <w:bCs/>
        </w:rPr>
      </w:pPr>
      <w:r>
        <w:rPr>
          <w:rFonts w:asciiTheme="minorEastAsia" w:hAnsiTheme="minorEastAsia" w:eastAsiaTheme="minorEastAsia"/>
          <w:bCs/>
        </w:rPr>
        <w:t>合同未尽事宜，合同当事人另行签订补充协议</w:t>
      </w:r>
      <w:r>
        <w:rPr>
          <w:rFonts w:hint="eastAsia" w:asciiTheme="minorEastAsia" w:hAnsiTheme="minorEastAsia" w:eastAsiaTheme="minorEastAsia"/>
          <w:bCs/>
        </w:rPr>
        <w:t>，</w:t>
      </w:r>
      <w:r>
        <w:rPr>
          <w:rFonts w:asciiTheme="minorEastAsia" w:hAnsiTheme="minorEastAsia" w:eastAsiaTheme="minorEastAsia"/>
          <w:bCs/>
        </w:rPr>
        <w:t>补充协议是合同的组成部分。</w:t>
      </w:r>
    </w:p>
    <w:p>
      <w:pPr>
        <w:rPr>
          <w:rFonts w:asciiTheme="minorEastAsia" w:hAnsiTheme="minorEastAsia" w:eastAsiaTheme="minorEastAsia"/>
          <w:b/>
        </w:rPr>
      </w:pPr>
      <w:r>
        <w:rPr>
          <w:rFonts w:asciiTheme="minorEastAsia" w:hAnsiTheme="minorEastAsia" w:eastAsiaTheme="minorEastAsia"/>
          <w:b/>
        </w:rPr>
        <w:t xml:space="preserve">    </w:t>
      </w:r>
      <w:bookmarkStart w:id="165" w:name="_Toc351203492"/>
      <w:r>
        <w:rPr>
          <w:rFonts w:asciiTheme="minorEastAsia" w:hAnsiTheme="minorEastAsia" w:eastAsiaTheme="minorEastAsia"/>
          <w:bCs/>
        </w:rPr>
        <w:t>十二、合同生效</w:t>
      </w:r>
      <w:bookmarkEnd w:id="165"/>
    </w:p>
    <w:p>
      <w:pPr>
        <w:rPr>
          <w:rFonts w:asciiTheme="minorEastAsia" w:hAnsiTheme="minorEastAsia" w:eastAsiaTheme="minorEastAsia"/>
          <w:bCs/>
        </w:rPr>
      </w:pPr>
      <w:r>
        <w:rPr>
          <w:rFonts w:asciiTheme="minorEastAsia" w:hAnsiTheme="minorEastAsia" w:eastAsiaTheme="minorEastAsia"/>
          <w:bCs/>
        </w:rPr>
        <w:t>本合同自</w:t>
      </w:r>
      <w:r>
        <w:rPr>
          <w:rFonts w:asciiTheme="minorEastAsia" w:hAnsiTheme="minorEastAsia" w:eastAsiaTheme="minorEastAsia"/>
          <w:bCs/>
          <w:u w:val="single"/>
        </w:rPr>
        <w:t xml:space="preserve">                                   </w:t>
      </w:r>
      <w:r>
        <w:rPr>
          <w:rFonts w:asciiTheme="minorEastAsia" w:hAnsiTheme="minorEastAsia" w:eastAsiaTheme="minorEastAsia"/>
          <w:bCs/>
        </w:rPr>
        <w:t>生效。</w:t>
      </w:r>
    </w:p>
    <w:p>
      <w:pPr>
        <w:rPr>
          <w:rFonts w:asciiTheme="minorEastAsia" w:hAnsiTheme="minorEastAsia" w:eastAsiaTheme="minorEastAsia"/>
          <w:b/>
        </w:rPr>
      </w:pPr>
      <w:r>
        <w:rPr>
          <w:rFonts w:asciiTheme="minorEastAsia" w:hAnsiTheme="minorEastAsia" w:eastAsiaTheme="minorEastAsia"/>
          <w:b/>
        </w:rPr>
        <w:t xml:space="preserve">    </w:t>
      </w:r>
      <w:bookmarkStart w:id="166" w:name="_Toc351203493"/>
      <w:r>
        <w:rPr>
          <w:rFonts w:asciiTheme="minorEastAsia" w:hAnsiTheme="minorEastAsia" w:eastAsiaTheme="minorEastAsia"/>
          <w:bCs/>
        </w:rPr>
        <w:t>十三、合同份数</w:t>
      </w:r>
      <w:bookmarkEnd w:id="166"/>
    </w:p>
    <w:p>
      <w:pPr>
        <w:rPr>
          <w:rFonts w:asciiTheme="minorEastAsia" w:hAnsiTheme="minorEastAsia" w:eastAsiaTheme="minorEastAsia"/>
          <w:bCs/>
        </w:rPr>
      </w:pPr>
      <w:r>
        <w:rPr>
          <w:rFonts w:asciiTheme="minorEastAsia" w:hAnsiTheme="minorEastAsia" w:eastAsiaTheme="minorEastAsia"/>
          <w:bCs/>
        </w:rPr>
        <w:t>本合同一式</w:t>
      </w:r>
      <w:r>
        <w:rPr>
          <w:rFonts w:asciiTheme="minorEastAsia" w:hAnsiTheme="minorEastAsia" w:eastAsiaTheme="minorEastAsia"/>
          <w:bCs/>
          <w:u w:val="single"/>
        </w:rPr>
        <w:t xml:space="preserve">  </w:t>
      </w:r>
      <w:r>
        <w:rPr>
          <w:rFonts w:hint="eastAsia" w:asciiTheme="minorEastAsia" w:hAnsiTheme="minorEastAsia" w:eastAsiaTheme="minorEastAsia"/>
          <w:bCs/>
          <w:u w:val="single"/>
        </w:rPr>
        <w:t xml:space="preserve"> </w:t>
      </w:r>
      <w:r>
        <w:rPr>
          <w:rFonts w:asciiTheme="minorEastAsia" w:hAnsiTheme="minorEastAsia" w:eastAsiaTheme="minorEastAsia"/>
          <w:bCs/>
          <w:u w:val="single"/>
        </w:rPr>
        <w:t xml:space="preserve"> </w:t>
      </w:r>
      <w:r>
        <w:rPr>
          <w:rFonts w:asciiTheme="minorEastAsia" w:hAnsiTheme="minorEastAsia" w:eastAsiaTheme="minorEastAsia"/>
          <w:bCs/>
        </w:rPr>
        <w:t>份，均具有同等法律效力，发包人执</w:t>
      </w:r>
      <w:r>
        <w:rPr>
          <w:rFonts w:asciiTheme="minorEastAsia" w:hAnsiTheme="minorEastAsia" w:eastAsiaTheme="minorEastAsia"/>
          <w:bCs/>
          <w:u w:val="single"/>
        </w:rPr>
        <w:t xml:space="preserve">  </w:t>
      </w:r>
      <w:r>
        <w:rPr>
          <w:rFonts w:hint="eastAsia" w:asciiTheme="minorEastAsia" w:hAnsiTheme="minorEastAsia" w:eastAsiaTheme="minorEastAsia"/>
          <w:bCs/>
          <w:u w:val="single"/>
        </w:rPr>
        <w:t xml:space="preserve"> </w:t>
      </w:r>
      <w:r>
        <w:rPr>
          <w:rFonts w:asciiTheme="minorEastAsia" w:hAnsiTheme="minorEastAsia" w:eastAsiaTheme="minorEastAsia"/>
          <w:bCs/>
          <w:u w:val="single"/>
        </w:rPr>
        <w:t xml:space="preserve"> </w:t>
      </w:r>
      <w:r>
        <w:rPr>
          <w:rFonts w:asciiTheme="minorEastAsia" w:hAnsiTheme="minorEastAsia" w:eastAsiaTheme="minorEastAsia"/>
          <w:bCs/>
        </w:rPr>
        <w:t>份，承包人执</w:t>
      </w:r>
      <w:r>
        <w:rPr>
          <w:rFonts w:asciiTheme="minorEastAsia" w:hAnsiTheme="minorEastAsia" w:eastAsiaTheme="minorEastAsia"/>
          <w:bCs/>
          <w:u w:val="single"/>
        </w:rPr>
        <w:t xml:space="preserve">  </w:t>
      </w:r>
      <w:r>
        <w:rPr>
          <w:rFonts w:hint="eastAsia" w:asciiTheme="minorEastAsia" w:hAnsiTheme="minorEastAsia" w:eastAsiaTheme="minorEastAsia"/>
          <w:bCs/>
          <w:u w:val="single"/>
        </w:rPr>
        <w:t xml:space="preserve"> </w:t>
      </w:r>
      <w:r>
        <w:rPr>
          <w:rFonts w:asciiTheme="minorEastAsia" w:hAnsiTheme="minorEastAsia" w:eastAsiaTheme="minorEastAsia"/>
          <w:bCs/>
          <w:u w:val="single"/>
        </w:rPr>
        <w:t xml:space="preserve"> </w:t>
      </w:r>
      <w:r>
        <w:rPr>
          <w:rFonts w:asciiTheme="minorEastAsia" w:hAnsiTheme="minorEastAsia" w:eastAsiaTheme="minorEastAsia"/>
          <w:bCs/>
        </w:rPr>
        <w:t>份。</w:t>
      </w:r>
    </w:p>
    <w:p>
      <w:pPr>
        <w:rPr>
          <w:rFonts w:asciiTheme="minorEastAsia" w:hAnsiTheme="minorEastAsia" w:eastAsiaTheme="minorEastAsia"/>
          <w:bCs/>
        </w:rPr>
      </w:pPr>
    </w:p>
    <w:p>
      <w:pPr>
        <w:rPr>
          <w:rFonts w:asciiTheme="minorEastAsia" w:hAnsiTheme="minorEastAsia" w:eastAsiaTheme="minorEastAsia"/>
        </w:rPr>
      </w:pPr>
    </w:p>
    <w:p>
      <w:pPr>
        <w:rPr>
          <w:rFonts w:asciiTheme="minorEastAsia" w:hAnsiTheme="minorEastAsia" w:eastAsiaTheme="minorEastAsia"/>
        </w:rPr>
      </w:pPr>
      <w:r>
        <w:rPr>
          <w:rFonts w:asciiTheme="minorEastAsia" w:hAnsiTheme="minorEastAsia" w:eastAsiaTheme="minorEastAsia"/>
        </w:rPr>
        <w:t>发包人</w:t>
      </w:r>
      <w:r>
        <w:rPr>
          <w:rFonts w:hint="eastAsia" w:asciiTheme="minorEastAsia" w:hAnsiTheme="minorEastAsia" w:eastAsiaTheme="minorEastAsia"/>
        </w:rPr>
        <w:t xml:space="preserve">：  </w:t>
      </w:r>
      <w:r>
        <w:rPr>
          <w:rFonts w:asciiTheme="minorEastAsia" w:hAnsiTheme="minorEastAsia" w:eastAsiaTheme="minorEastAsia"/>
        </w:rPr>
        <w:t>(公章)</w:t>
      </w:r>
      <w:r>
        <w:rPr>
          <w:rFonts w:hint="eastAsia" w:asciiTheme="minorEastAsia" w:hAnsiTheme="minorEastAsia" w:eastAsiaTheme="minorEastAsia"/>
        </w:rPr>
        <w:t xml:space="preserve">                       </w:t>
      </w:r>
      <w:r>
        <w:rPr>
          <w:rFonts w:asciiTheme="minorEastAsia" w:hAnsiTheme="minorEastAsia" w:eastAsiaTheme="minorEastAsia"/>
        </w:rPr>
        <w:t>承包人</w:t>
      </w:r>
      <w:r>
        <w:rPr>
          <w:rFonts w:hint="eastAsia" w:asciiTheme="minorEastAsia" w:hAnsiTheme="minorEastAsia" w:eastAsiaTheme="minorEastAsia"/>
        </w:rPr>
        <w:t xml:space="preserve">：  </w:t>
      </w:r>
      <w:r>
        <w:rPr>
          <w:rFonts w:asciiTheme="minorEastAsia" w:hAnsiTheme="minorEastAsia" w:eastAsiaTheme="minorEastAsia"/>
        </w:rPr>
        <w:t>(公章)</w:t>
      </w:r>
    </w:p>
    <w:p>
      <w:pPr>
        <w:rPr>
          <w:rFonts w:asciiTheme="minorEastAsia" w:hAnsiTheme="minorEastAsia" w:eastAsiaTheme="minorEastAsia"/>
          <w:u w:val="single"/>
        </w:rPr>
      </w:pPr>
      <w:r>
        <w:rPr>
          <w:rFonts w:hint="eastAsia" w:asciiTheme="minorEastAsia" w:hAnsiTheme="minorEastAsia" w:eastAsiaTheme="minorEastAsia"/>
        </w:rPr>
        <w:t xml:space="preserve">                                 </w:t>
      </w:r>
    </w:p>
    <w:p>
      <w:pPr>
        <w:rPr>
          <w:rFonts w:asciiTheme="minorEastAsia" w:hAnsiTheme="minorEastAsia" w:eastAsiaTheme="minorEastAsia"/>
        </w:rPr>
      </w:pPr>
      <w:r>
        <w:rPr>
          <w:rFonts w:hint="eastAsia" w:asciiTheme="minorEastAsia" w:hAnsiTheme="minorEastAsia" w:eastAsiaTheme="minorEastAsia"/>
        </w:rPr>
        <w:t>法定代表人或其委托代理人：             法定代表人或其委托代理人：</w:t>
      </w:r>
    </w:p>
    <w:p>
      <w:pPr>
        <w:rPr>
          <w:rFonts w:asciiTheme="minorEastAsia" w:hAnsiTheme="minorEastAsia" w:eastAsiaTheme="minorEastAsia"/>
        </w:rPr>
      </w:pPr>
      <w:r>
        <w:rPr>
          <w:rFonts w:hint="eastAsia" w:asciiTheme="minorEastAsia" w:hAnsiTheme="minorEastAsia" w:eastAsiaTheme="minorEastAsia"/>
        </w:rPr>
        <w:t>（签字）                              （签字）</w:t>
      </w:r>
    </w:p>
    <w:p>
      <w:pPr>
        <w:rPr>
          <w:rFonts w:asciiTheme="minorEastAsia" w:hAnsiTheme="minorEastAsia" w:eastAsiaTheme="minorEastAsia"/>
          <w:u w:val="single"/>
        </w:rPr>
      </w:pPr>
    </w:p>
    <w:p>
      <w:pPr>
        <w:rPr>
          <w:rFonts w:asciiTheme="minorEastAsia" w:hAnsiTheme="minorEastAsia" w:eastAsiaTheme="minorEastAsia"/>
        </w:rPr>
      </w:pPr>
      <w:r>
        <w:rPr>
          <w:rFonts w:hint="eastAsia" w:asciiTheme="minorEastAsia" w:hAnsiTheme="minorEastAsia" w:eastAsiaTheme="minorEastAsia"/>
        </w:rPr>
        <w:t>组织机构代码：</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 xml:space="preserve"> </w:t>
      </w:r>
      <w:r>
        <w:rPr>
          <w:rFonts w:hint="eastAsia" w:asciiTheme="minorEastAsia" w:hAnsiTheme="minorEastAsia" w:eastAsiaTheme="minorEastAsia"/>
        </w:rPr>
        <w:t xml:space="preserve">                    组织机构代码：</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 xml:space="preserve"> </w:t>
      </w:r>
    </w:p>
    <w:p>
      <w:pPr>
        <w:rPr>
          <w:rFonts w:asciiTheme="minorEastAsia" w:hAnsiTheme="minorEastAsia" w:eastAsiaTheme="minorEastAsia"/>
        </w:rPr>
      </w:pPr>
      <w:r>
        <w:rPr>
          <w:rFonts w:asciiTheme="minorEastAsia" w:hAnsiTheme="minorEastAsia" w:eastAsiaTheme="minorEastAsia"/>
        </w:rPr>
        <w:t>地  址：</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hint="eastAsia" w:asciiTheme="minorEastAsia" w:hAnsiTheme="minorEastAsia" w:eastAsiaTheme="minorEastAsia"/>
        </w:rPr>
        <w:t xml:space="preserve"> </w:t>
      </w:r>
      <w:r>
        <w:rPr>
          <w:rFonts w:asciiTheme="minorEastAsia" w:hAnsiTheme="minorEastAsia" w:eastAsiaTheme="minorEastAsia"/>
        </w:rPr>
        <w:t>地  址：</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rPr>
        <w:t>邮政编码：</w:t>
      </w:r>
      <w:r>
        <w:rPr>
          <w:rFonts w:asciiTheme="minorEastAsia" w:hAnsiTheme="minorEastAsia" w:eastAsiaTheme="minorEastAsia"/>
          <w:u w:val="single"/>
        </w:rPr>
        <w:t xml:space="preserve"> </w:t>
      </w:r>
      <w:r>
        <w:rPr>
          <w:rFonts w:hint="eastAsia" w:asciiTheme="minorEastAsia" w:hAnsiTheme="minorEastAsia" w:eastAsiaTheme="minorEastAsia"/>
        </w:rPr>
        <w:t xml:space="preserve">                             </w:t>
      </w:r>
      <w:r>
        <w:rPr>
          <w:rFonts w:asciiTheme="minorEastAsia" w:hAnsiTheme="minorEastAsia" w:eastAsiaTheme="minorEastAsia"/>
        </w:rPr>
        <w:t>邮政编码：</w:t>
      </w:r>
    </w:p>
    <w:p>
      <w:pPr>
        <w:rPr>
          <w:rFonts w:asciiTheme="minorEastAsia" w:hAnsiTheme="minorEastAsia" w:eastAsiaTheme="minorEastAsia"/>
        </w:rPr>
      </w:pPr>
      <w:r>
        <w:rPr>
          <w:rFonts w:asciiTheme="minorEastAsia" w:hAnsiTheme="minorEastAsia" w:eastAsiaTheme="minorEastAsia"/>
        </w:rPr>
        <w:t>法定代表人：</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 xml:space="preserve"> </w:t>
      </w:r>
      <w:r>
        <w:rPr>
          <w:rFonts w:hint="eastAsia" w:asciiTheme="minorEastAsia" w:hAnsiTheme="minorEastAsia" w:eastAsiaTheme="minorEastAsia"/>
        </w:rPr>
        <w:t xml:space="preserve">                  </w:t>
      </w:r>
      <w:r>
        <w:rPr>
          <w:rFonts w:asciiTheme="minorEastAsia" w:hAnsiTheme="minorEastAsia" w:eastAsiaTheme="minorEastAsia"/>
        </w:rPr>
        <w:t>法定代表人：</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rPr>
        <w:t>委托代理人：</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 xml:space="preserve"> </w:t>
      </w:r>
      <w:r>
        <w:rPr>
          <w:rFonts w:hint="eastAsia" w:asciiTheme="minorEastAsia" w:hAnsiTheme="minorEastAsia" w:eastAsiaTheme="minorEastAsia"/>
        </w:rPr>
        <w:t xml:space="preserve">                 </w:t>
      </w:r>
      <w:r>
        <w:rPr>
          <w:rFonts w:asciiTheme="minorEastAsia" w:hAnsiTheme="minorEastAsia" w:eastAsiaTheme="minorEastAsia"/>
        </w:rPr>
        <w:t>委托代理人：</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rPr>
        <w:t>电  话：</w:t>
      </w:r>
      <w:r>
        <w:rPr>
          <w:rFonts w:hint="eastAsia" w:asciiTheme="minorEastAsia" w:hAnsiTheme="minorEastAsia" w:eastAsiaTheme="minorEastAsia"/>
        </w:rPr>
        <w:t xml:space="preserve">                                </w:t>
      </w:r>
      <w:r>
        <w:rPr>
          <w:rFonts w:asciiTheme="minorEastAsia" w:hAnsiTheme="minorEastAsia" w:eastAsiaTheme="minorEastAsia"/>
        </w:rPr>
        <w:t>电  话：</w:t>
      </w:r>
    </w:p>
    <w:p>
      <w:pPr>
        <w:rPr>
          <w:rFonts w:asciiTheme="minorEastAsia" w:hAnsiTheme="minorEastAsia" w:eastAsiaTheme="minorEastAsia"/>
        </w:rPr>
      </w:pPr>
      <w:r>
        <w:rPr>
          <w:rFonts w:asciiTheme="minorEastAsia" w:hAnsiTheme="minorEastAsia" w:eastAsiaTheme="minorEastAsia"/>
        </w:rPr>
        <w:t>传  真：</w:t>
      </w:r>
      <w:r>
        <w:rPr>
          <w:rFonts w:hint="eastAsia" w:asciiTheme="minorEastAsia" w:hAnsiTheme="minorEastAsia" w:eastAsiaTheme="minorEastAsia"/>
        </w:rPr>
        <w:t xml:space="preserve">                                </w:t>
      </w:r>
      <w:r>
        <w:rPr>
          <w:rFonts w:asciiTheme="minorEastAsia" w:hAnsiTheme="minorEastAsia" w:eastAsiaTheme="minorEastAsia"/>
        </w:rPr>
        <w:t>传  真：</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rPr>
        <w:t>电子信箱：</w:t>
      </w:r>
      <w:r>
        <w:rPr>
          <w:rFonts w:asciiTheme="minorEastAsia" w:hAnsiTheme="minorEastAsia" w:eastAsiaTheme="minorEastAsia"/>
          <w:u w:val="single"/>
        </w:rPr>
        <w:t xml:space="preserve">                 </w:t>
      </w:r>
      <w:r>
        <w:rPr>
          <w:rFonts w:asciiTheme="minorEastAsia" w:hAnsiTheme="minorEastAsia" w:eastAsiaTheme="minorEastAsia"/>
        </w:rPr>
        <w:t xml:space="preserve"> </w:t>
      </w:r>
      <w:r>
        <w:rPr>
          <w:rFonts w:hint="eastAsia" w:asciiTheme="minorEastAsia" w:hAnsiTheme="minorEastAsia" w:eastAsiaTheme="minorEastAsia"/>
        </w:rPr>
        <w:t xml:space="preserve">            </w:t>
      </w:r>
      <w:r>
        <w:rPr>
          <w:rFonts w:asciiTheme="minorEastAsia" w:hAnsiTheme="minorEastAsia" w:eastAsiaTheme="minorEastAsia"/>
        </w:rPr>
        <w:t>电子信箱：</w:t>
      </w:r>
    </w:p>
    <w:p>
      <w:pPr>
        <w:rPr>
          <w:rFonts w:asciiTheme="minorEastAsia" w:hAnsiTheme="minorEastAsia" w:eastAsiaTheme="minorEastAsia"/>
        </w:rPr>
      </w:pPr>
      <w:r>
        <w:rPr>
          <w:rFonts w:asciiTheme="minorEastAsia" w:hAnsiTheme="minorEastAsia" w:eastAsiaTheme="minorEastAsia"/>
        </w:rPr>
        <w:t>开户银行：</w:t>
      </w:r>
      <w:r>
        <w:rPr>
          <w:rFonts w:hint="eastAsia" w:asciiTheme="minorEastAsia" w:hAnsiTheme="minorEastAsia" w:eastAsiaTheme="minorEastAsia"/>
        </w:rPr>
        <w:t xml:space="preserve">                              </w:t>
      </w:r>
      <w:r>
        <w:rPr>
          <w:rFonts w:asciiTheme="minorEastAsia" w:hAnsiTheme="minorEastAsia" w:eastAsiaTheme="minorEastAsia"/>
        </w:rPr>
        <w:t>开户银行：</w:t>
      </w:r>
    </w:p>
    <w:p>
      <w:pPr>
        <w:rPr>
          <w:rFonts w:asciiTheme="minorEastAsia" w:hAnsiTheme="minorEastAsia" w:eastAsiaTheme="minorEastAsia"/>
        </w:rPr>
      </w:pPr>
      <w:r>
        <w:rPr>
          <w:rFonts w:asciiTheme="minorEastAsia" w:hAnsiTheme="minorEastAsia" w:eastAsiaTheme="minorEastAsia"/>
        </w:rPr>
        <w:t>账  号：</w:t>
      </w:r>
      <w:r>
        <w:rPr>
          <w:rFonts w:asciiTheme="minorEastAsia" w:hAnsiTheme="minorEastAsia" w:eastAsiaTheme="minorEastAsia"/>
          <w:u w:val="single"/>
        </w:rPr>
        <w:t xml:space="preserve"> </w:t>
      </w:r>
      <w:r>
        <w:rPr>
          <w:rFonts w:hint="eastAsia" w:asciiTheme="minorEastAsia" w:hAnsiTheme="minorEastAsia" w:eastAsiaTheme="minorEastAsia"/>
        </w:rPr>
        <w:t xml:space="preserve">                               </w:t>
      </w:r>
      <w:r>
        <w:rPr>
          <w:rFonts w:asciiTheme="minorEastAsia" w:hAnsiTheme="minorEastAsia" w:eastAsiaTheme="minorEastAsia"/>
        </w:rPr>
        <w:t>账</w:t>
      </w:r>
      <w:r>
        <w:rPr>
          <w:rFonts w:hint="eastAsia" w:asciiTheme="minorEastAsia" w:hAnsiTheme="minorEastAsia" w:eastAsiaTheme="minorEastAsia"/>
        </w:rPr>
        <w:t xml:space="preserve"> </w:t>
      </w:r>
      <w:r>
        <w:rPr>
          <w:rFonts w:asciiTheme="minorEastAsia" w:hAnsiTheme="minorEastAsia" w:eastAsiaTheme="minorEastAsia"/>
        </w:rPr>
        <w:t xml:space="preserve"> 号：</w:t>
      </w:r>
    </w:p>
    <w:p>
      <w:pPr>
        <w:rPr>
          <w:rFonts w:asciiTheme="minorEastAsia" w:hAnsiTheme="minorEastAsia" w:eastAsiaTheme="minorEastAsia"/>
          <w:b/>
          <w:bCs/>
        </w:rPr>
      </w:pPr>
      <w:r>
        <w:rPr>
          <w:rFonts w:asciiTheme="minorEastAsia" w:hAnsiTheme="minorEastAsia" w:eastAsiaTheme="minorEastAsia"/>
          <w:b/>
          <w:bCs/>
        </w:rPr>
        <w:br w:type="page"/>
      </w:r>
      <w:bookmarkStart w:id="167" w:name="_Toc351203494"/>
      <w:r>
        <w:rPr>
          <w:rFonts w:asciiTheme="minorEastAsia" w:hAnsiTheme="minorEastAsia" w:eastAsiaTheme="minorEastAsia"/>
          <w:bCs/>
        </w:rPr>
        <w:t>第二</w:t>
      </w:r>
      <w:r>
        <w:rPr>
          <w:rFonts w:hint="eastAsia" w:asciiTheme="minorEastAsia" w:hAnsiTheme="minorEastAsia" w:eastAsiaTheme="minorEastAsia"/>
          <w:bCs/>
        </w:rPr>
        <w:t>节</w:t>
      </w:r>
      <w:r>
        <w:rPr>
          <w:rFonts w:asciiTheme="minorEastAsia" w:hAnsiTheme="minorEastAsia" w:eastAsiaTheme="minorEastAsia"/>
          <w:bCs/>
        </w:rPr>
        <w:t xml:space="preserve"> 通用合同条款</w:t>
      </w:r>
      <w:bookmarkEnd w:id="167"/>
      <w:bookmarkStart w:id="168" w:name="_Toc337558727"/>
    </w:p>
    <w:p>
      <w:pPr>
        <w:rPr>
          <w:rFonts w:asciiTheme="minorEastAsia" w:hAnsiTheme="minorEastAsia" w:eastAsiaTheme="minorEastAsia"/>
          <w:bCs/>
        </w:rPr>
      </w:pPr>
      <w:bookmarkStart w:id="169" w:name="_Toc351203495"/>
      <w:r>
        <w:rPr>
          <w:rFonts w:asciiTheme="minorEastAsia" w:hAnsiTheme="minorEastAsia" w:eastAsiaTheme="minorEastAsia"/>
          <w:bCs/>
        </w:rPr>
        <w:t>1.</w:t>
      </w:r>
      <w:bookmarkStart w:id="170" w:name="_Toc303538975"/>
      <w:bookmarkEnd w:id="170"/>
      <w:bookmarkStart w:id="171" w:name="_Toc303538976"/>
      <w:bookmarkEnd w:id="171"/>
      <w:bookmarkStart w:id="172" w:name="_Toc303538974"/>
      <w:bookmarkEnd w:id="172"/>
      <w:bookmarkStart w:id="173" w:name="_Toc303538973"/>
      <w:bookmarkEnd w:id="173"/>
      <w:bookmarkStart w:id="174" w:name="_Toc303538972"/>
      <w:bookmarkEnd w:id="174"/>
      <w:bookmarkStart w:id="175" w:name="_Toc296346528"/>
      <w:bookmarkStart w:id="176" w:name="_Toc296503027"/>
      <w:r>
        <w:rPr>
          <w:rFonts w:asciiTheme="minorEastAsia" w:hAnsiTheme="minorEastAsia" w:eastAsiaTheme="minorEastAsia"/>
          <w:bCs/>
        </w:rPr>
        <w:t xml:space="preserve"> 一般约定</w:t>
      </w:r>
      <w:bookmarkEnd w:id="168"/>
      <w:bookmarkEnd w:id="169"/>
      <w:bookmarkEnd w:id="175"/>
      <w:bookmarkEnd w:id="176"/>
    </w:p>
    <w:p>
      <w:pPr>
        <w:rPr>
          <w:rFonts w:asciiTheme="minorEastAsia" w:hAnsiTheme="minorEastAsia" w:eastAsiaTheme="minorEastAsia"/>
          <w:bCs/>
        </w:rPr>
      </w:pPr>
      <w:bookmarkStart w:id="177" w:name="_Toc296503028"/>
      <w:bookmarkStart w:id="178" w:name="_Toc337558728"/>
      <w:bookmarkStart w:id="179" w:name="_Toc296346529"/>
      <w:bookmarkStart w:id="180" w:name="_Toc351203496"/>
      <w:r>
        <w:rPr>
          <w:rFonts w:asciiTheme="minorEastAsia" w:hAnsiTheme="minorEastAsia" w:eastAsiaTheme="minorEastAsia"/>
          <w:bCs/>
        </w:rPr>
        <w:t>1.1词语定义</w:t>
      </w:r>
      <w:bookmarkEnd w:id="177"/>
      <w:bookmarkEnd w:id="178"/>
      <w:bookmarkEnd w:id="179"/>
      <w:r>
        <w:rPr>
          <w:rFonts w:asciiTheme="minorEastAsia" w:hAnsiTheme="minorEastAsia" w:eastAsiaTheme="minorEastAsia"/>
          <w:bCs/>
        </w:rPr>
        <w:t>与解释</w:t>
      </w:r>
      <w:bookmarkEnd w:id="180"/>
    </w:p>
    <w:p>
      <w:pPr>
        <w:rPr>
          <w:rFonts w:asciiTheme="minorEastAsia" w:hAnsiTheme="minorEastAsia" w:eastAsiaTheme="minorEastAsia"/>
        </w:rPr>
      </w:pPr>
      <w:r>
        <w:rPr>
          <w:rFonts w:asciiTheme="minorEastAsia" w:hAnsiTheme="minorEastAsia" w:eastAsiaTheme="minorEastAsia"/>
        </w:rPr>
        <w:t>合同协议书、通用合同条款、专用合同条款中的下列词语具有本款所赋予的含义：</w:t>
      </w:r>
    </w:p>
    <w:p>
      <w:pPr>
        <w:rPr>
          <w:rFonts w:asciiTheme="minorEastAsia" w:hAnsiTheme="minorEastAsia" w:eastAsiaTheme="minorEastAsia"/>
        </w:rPr>
      </w:pPr>
      <w:r>
        <w:rPr>
          <w:rFonts w:asciiTheme="minorEastAsia" w:hAnsiTheme="minorEastAsia" w:eastAsiaTheme="minorEastAsia"/>
        </w:rPr>
        <w:t xml:space="preserve">    1.1.1 合同</w:t>
      </w:r>
    </w:p>
    <w:p>
      <w:pPr>
        <w:rPr>
          <w:rFonts w:asciiTheme="minorEastAsia" w:hAnsiTheme="minorEastAsia" w:eastAsiaTheme="minorEastAsia"/>
        </w:rPr>
      </w:pPr>
      <w:r>
        <w:rPr>
          <w:rFonts w:asciiTheme="minorEastAsia" w:hAnsiTheme="minorEastAsia" w:eastAsiaTheme="minorEastAsia"/>
        </w:rPr>
        <w:t>1.1.1.1 合同：是指根据法律规定和合同当事人约定具有约束力的文件，构成合同的文件包括合同协议书、</w:t>
      </w:r>
      <w:r>
        <w:rPr>
          <w:rFonts w:hint="eastAsia" w:asciiTheme="minorEastAsia" w:hAnsiTheme="minorEastAsia" w:eastAsiaTheme="minorEastAsia"/>
        </w:rPr>
        <w:t>成交</w:t>
      </w:r>
      <w:r>
        <w:rPr>
          <w:rFonts w:asciiTheme="minorEastAsia" w:hAnsiTheme="minorEastAsia" w:eastAsiaTheme="minorEastAsia"/>
        </w:rPr>
        <w:t>通知书（如果有）、投标函及其附录（如果有）、专用合同条款及其附件、通用合同条款、技术标准和要求、图纸、已标价工程量清单或预算书以及其他合同文件。</w:t>
      </w:r>
    </w:p>
    <w:p>
      <w:pPr>
        <w:rPr>
          <w:rFonts w:asciiTheme="minorEastAsia" w:hAnsiTheme="minorEastAsia" w:eastAsiaTheme="minorEastAsia"/>
        </w:rPr>
      </w:pPr>
      <w:r>
        <w:rPr>
          <w:rFonts w:asciiTheme="minorEastAsia" w:hAnsiTheme="minorEastAsia" w:eastAsiaTheme="minorEastAsia"/>
        </w:rPr>
        <w:t>1.1.1.2 合同协议书：是指构成合同的由发包人和承包人共同签署的称为“合同协议书”的书面文件</w:t>
      </w:r>
      <w:r>
        <w:rPr>
          <w:rFonts w:hint="eastAsia"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 xml:space="preserve">1.1.1.3 </w:t>
      </w:r>
      <w:r>
        <w:rPr>
          <w:rFonts w:hint="eastAsia" w:asciiTheme="minorEastAsia" w:hAnsiTheme="minorEastAsia" w:eastAsiaTheme="minorEastAsia"/>
        </w:rPr>
        <w:t>成交</w:t>
      </w:r>
      <w:r>
        <w:rPr>
          <w:rFonts w:asciiTheme="minorEastAsia" w:hAnsiTheme="minorEastAsia" w:eastAsiaTheme="minorEastAsia"/>
        </w:rPr>
        <w:t>通知书：是指构成合同的</w:t>
      </w:r>
      <w:r>
        <w:rPr>
          <w:rFonts w:hint="eastAsia" w:asciiTheme="minorEastAsia" w:hAnsiTheme="minorEastAsia" w:eastAsiaTheme="minorEastAsia"/>
        </w:rPr>
        <w:t>由</w:t>
      </w:r>
      <w:r>
        <w:rPr>
          <w:rFonts w:asciiTheme="minorEastAsia" w:hAnsiTheme="minorEastAsia" w:eastAsiaTheme="minorEastAsia"/>
        </w:rPr>
        <w:t>发包人通知承包人</w:t>
      </w:r>
      <w:r>
        <w:rPr>
          <w:rFonts w:hint="eastAsia" w:asciiTheme="minorEastAsia" w:hAnsiTheme="minorEastAsia" w:eastAsiaTheme="minorEastAsia"/>
        </w:rPr>
        <w:t>成交</w:t>
      </w:r>
      <w:r>
        <w:rPr>
          <w:rFonts w:asciiTheme="minorEastAsia" w:hAnsiTheme="minorEastAsia" w:eastAsiaTheme="minorEastAsia"/>
        </w:rPr>
        <w:t>的书面文件。</w:t>
      </w:r>
    </w:p>
    <w:p>
      <w:pPr>
        <w:rPr>
          <w:rFonts w:asciiTheme="minorEastAsia" w:hAnsiTheme="minorEastAsia" w:eastAsiaTheme="minorEastAsia"/>
        </w:rPr>
      </w:pPr>
      <w:r>
        <w:rPr>
          <w:rFonts w:asciiTheme="minorEastAsia" w:hAnsiTheme="minorEastAsia" w:eastAsiaTheme="minorEastAsia"/>
        </w:rPr>
        <w:t>1.1.1.4 投标函：是指构成合同的由承包人填写并签署的用于投标的称为“投标函”的文件。</w:t>
      </w:r>
    </w:p>
    <w:p>
      <w:pPr>
        <w:rPr>
          <w:rFonts w:asciiTheme="minorEastAsia" w:hAnsiTheme="minorEastAsia" w:eastAsiaTheme="minorEastAsia"/>
        </w:rPr>
      </w:pPr>
      <w:r>
        <w:rPr>
          <w:rFonts w:asciiTheme="minorEastAsia" w:hAnsiTheme="minorEastAsia" w:eastAsiaTheme="minorEastAsia"/>
        </w:rPr>
        <w:t>1.1.1.5 投标函附录：是指构成合同的附在投标函后的称为“投标函附录”的文件。</w:t>
      </w:r>
    </w:p>
    <w:p>
      <w:pPr>
        <w:rPr>
          <w:rFonts w:asciiTheme="minorEastAsia" w:hAnsiTheme="minorEastAsia" w:eastAsiaTheme="minorEastAsia"/>
        </w:rPr>
      </w:pPr>
      <w:r>
        <w:rPr>
          <w:rFonts w:asciiTheme="minorEastAsia" w:hAnsiTheme="minorEastAsia" w:eastAsiaTheme="minorEastAsia"/>
        </w:rPr>
        <w:t>1.1.1.6 技术标准和要求：是指构成合同的施工应当遵守的或指导施工的国家、行业或地方的技术标准和要求，以及合同约定的技术标准和要求。</w:t>
      </w:r>
    </w:p>
    <w:p>
      <w:pPr>
        <w:rPr>
          <w:rFonts w:asciiTheme="minorEastAsia" w:hAnsiTheme="minorEastAsia" w:eastAsiaTheme="minorEastAsia"/>
        </w:rPr>
      </w:pPr>
      <w:r>
        <w:rPr>
          <w:rFonts w:asciiTheme="minorEastAsia" w:hAnsiTheme="minorEastAsia" w:eastAsiaTheme="minorEastAsia"/>
        </w:rPr>
        <w:t>1.1.1.7 图纸：是指构成合同的图纸，包括由发包人按照合同约定提供或经发包人批准的设计文件、</w:t>
      </w:r>
      <w:r>
        <w:rPr>
          <w:rFonts w:hint="eastAsia" w:asciiTheme="minorEastAsia" w:hAnsiTheme="minorEastAsia" w:eastAsiaTheme="minorEastAsia"/>
        </w:rPr>
        <w:t>施工图、</w:t>
      </w:r>
      <w:r>
        <w:rPr>
          <w:rFonts w:asciiTheme="minorEastAsia" w:hAnsiTheme="minorEastAsia" w:eastAsiaTheme="minorEastAsia"/>
        </w:rPr>
        <w:t>鸟瞰图及模型等，</w:t>
      </w:r>
      <w:r>
        <w:rPr>
          <w:rFonts w:hint="eastAsia" w:asciiTheme="minorEastAsia" w:hAnsiTheme="minorEastAsia" w:eastAsiaTheme="minorEastAsia"/>
        </w:rPr>
        <w:t>以及在合同履行过程中形成的图纸文件。图纸</w:t>
      </w:r>
      <w:r>
        <w:rPr>
          <w:rFonts w:asciiTheme="minorEastAsia" w:hAnsiTheme="minorEastAsia" w:eastAsiaTheme="minorEastAsia"/>
        </w:rPr>
        <w:t>应当按照法律规定审查合格。</w:t>
      </w:r>
    </w:p>
    <w:p>
      <w:pPr>
        <w:rPr>
          <w:rFonts w:asciiTheme="minorEastAsia" w:hAnsiTheme="minorEastAsia" w:eastAsiaTheme="minorEastAsia"/>
        </w:rPr>
      </w:pPr>
      <w:r>
        <w:rPr>
          <w:rFonts w:asciiTheme="minorEastAsia" w:hAnsiTheme="minorEastAsia" w:eastAsiaTheme="minorEastAsia"/>
        </w:rPr>
        <w:t>1.1.1.8 已标价工程量清单：是指构成合同的由承包人按照规定的格式和要求填写并标明价格的工程量清单，包括说明和表格。</w:t>
      </w:r>
    </w:p>
    <w:p>
      <w:pPr>
        <w:rPr>
          <w:rFonts w:asciiTheme="minorEastAsia" w:hAnsiTheme="minorEastAsia" w:eastAsiaTheme="minorEastAsia"/>
        </w:rPr>
      </w:pPr>
      <w:r>
        <w:rPr>
          <w:rFonts w:asciiTheme="minorEastAsia" w:hAnsiTheme="minorEastAsia" w:eastAsiaTheme="minorEastAsia"/>
        </w:rPr>
        <w:t>1.1.1.9 预算书：是指构成合同的由承包人按照发包人规定的格式和要求编制的工程预算文件。</w:t>
      </w:r>
    </w:p>
    <w:p>
      <w:pPr>
        <w:rPr>
          <w:rFonts w:asciiTheme="minorEastAsia" w:hAnsiTheme="minorEastAsia" w:eastAsiaTheme="minorEastAsia"/>
        </w:rPr>
      </w:pPr>
      <w:r>
        <w:rPr>
          <w:rFonts w:asciiTheme="minorEastAsia" w:hAnsiTheme="minorEastAsia" w:eastAsiaTheme="minorEastAsia"/>
        </w:rPr>
        <w:t>1.1.1.10 其他合同文件：是指经合同当事人约定的与工程施工有关的具有合同约束力的文件或书面协议。合同当事人可以在专用合同条款中进行约定。</w:t>
      </w:r>
    </w:p>
    <w:p>
      <w:pPr>
        <w:rPr>
          <w:rFonts w:asciiTheme="minorEastAsia" w:hAnsiTheme="minorEastAsia" w:eastAsiaTheme="minorEastAsia"/>
        </w:rPr>
      </w:pPr>
      <w:r>
        <w:rPr>
          <w:rFonts w:asciiTheme="minorEastAsia" w:hAnsiTheme="minorEastAsia" w:eastAsiaTheme="minorEastAsia"/>
        </w:rPr>
        <w:t xml:space="preserve">    1.1.2 合同当事人及其他相关方</w:t>
      </w:r>
    </w:p>
    <w:p>
      <w:pPr>
        <w:rPr>
          <w:rFonts w:asciiTheme="minorEastAsia" w:hAnsiTheme="minorEastAsia" w:eastAsiaTheme="minorEastAsia"/>
        </w:rPr>
      </w:pPr>
      <w:r>
        <w:rPr>
          <w:rFonts w:asciiTheme="minorEastAsia" w:hAnsiTheme="minorEastAsia" w:eastAsiaTheme="minorEastAsia"/>
        </w:rPr>
        <w:t>1.1.2.1 合同当事人：是指发包人和（或）承包人。</w:t>
      </w:r>
    </w:p>
    <w:p>
      <w:pPr>
        <w:rPr>
          <w:rFonts w:asciiTheme="minorEastAsia" w:hAnsiTheme="minorEastAsia" w:eastAsiaTheme="minorEastAsia"/>
        </w:rPr>
      </w:pPr>
      <w:r>
        <w:rPr>
          <w:rFonts w:asciiTheme="minorEastAsia" w:hAnsiTheme="minorEastAsia" w:eastAsiaTheme="minorEastAsia"/>
        </w:rPr>
        <w:t>1.1.2.2 发包人：是指与承包人签订合同协议书的当事人及取得该当事人资格的合法继承人。</w:t>
      </w:r>
    </w:p>
    <w:p>
      <w:pPr>
        <w:rPr>
          <w:rFonts w:asciiTheme="minorEastAsia" w:hAnsiTheme="minorEastAsia" w:eastAsiaTheme="minorEastAsia"/>
        </w:rPr>
      </w:pPr>
      <w:r>
        <w:rPr>
          <w:rFonts w:asciiTheme="minorEastAsia" w:hAnsiTheme="minorEastAsia" w:eastAsiaTheme="minorEastAsia"/>
        </w:rPr>
        <w:t>1.1.2.3 承包人：是指与发包人签订合同协议书的，具有相应工程施工承包资质的当事人及取得该当事人资格的合法继承人。</w:t>
      </w:r>
    </w:p>
    <w:p>
      <w:pPr>
        <w:rPr>
          <w:rFonts w:asciiTheme="minorEastAsia" w:hAnsiTheme="minorEastAsia" w:eastAsiaTheme="minorEastAsia"/>
        </w:rPr>
      </w:pPr>
      <w:r>
        <w:rPr>
          <w:rFonts w:asciiTheme="minorEastAsia" w:hAnsiTheme="minorEastAsia" w:eastAsiaTheme="minorEastAsia"/>
        </w:rPr>
        <w:t>1.1.2.4 监理人：是指在专用合同条款中指明的，受发包人委托按照法律规定进行工程监督管理的法人或其他组织。</w:t>
      </w:r>
    </w:p>
    <w:p>
      <w:pPr>
        <w:rPr>
          <w:rFonts w:asciiTheme="minorEastAsia" w:hAnsiTheme="minorEastAsia" w:eastAsiaTheme="minorEastAsia"/>
        </w:rPr>
      </w:pPr>
      <w:r>
        <w:rPr>
          <w:rFonts w:asciiTheme="minorEastAsia" w:hAnsiTheme="minorEastAsia" w:eastAsiaTheme="minorEastAsia"/>
        </w:rPr>
        <w:t>1.1.2.5 设计人：是指在专用合同条款中指明的，受发包人委托负责工程设计并具备相应工程设计资质的法人或其他组织。</w:t>
      </w:r>
    </w:p>
    <w:p>
      <w:pPr>
        <w:rPr>
          <w:rFonts w:asciiTheme="minorEastAsia" w:hAnsiTheme="minorEastAsia" w:eastAsiaTheme="minorEastAsia"/>
        </w:rPr>
      </w:pPr>
      <w:r>
        <w:rPr>
          <w:rFonts w:asciiTheme="minorEastAsia" w:hAnsiTheme="minorEastAsia" w:eastAsiaTheme="minorEastAsia"/>
        </w:rPr>
        <w:t>1.1.2.6 分包人：是指</w:t>
      </w:r>
      <w:r>
        <w:rPr>
          <w:rFonts w:hint="eastAsia" w:asciiTheme="minorEastAsia" w:hAnsiTheme="minorEastAsia" w:eastAsiaTheme="minorEastAsia"/>
        </w:rPr>
        <w:t>按照法律规定和</w:t>
      </w:r>
      <w:r>
        <w:rPr>
          <w:rFonts w:asciiTheme="minorEastAsia" w:hAnsiTheme="minorEastAsia" w:eastAsiaTheme="minorEastAsia"/>
        </w:rPr>
        <w:t>合同约定，分包</w:t>
      </w:r>
      <w:r>
        <w:rPr>
          <w:rFonts w:hint="eastAsia" w:asciiTheme="minorEastAsia" w:hAnsiTheme="minorEastAsia" w:eastAsiaTheme="minorEastAsia"/>
        </w:rPr>
        <w:t>部分</w:t>
      </w:r>
      <w:r>
        <w:rPr>
          <w:rFonts w:asciiTheme="minorEastAsia" w:hAnsiTheme="minorEastAsia" w:eastAsiaTheme="minorEastAsia"/>
        </w:rPr>
        <w:t>工程</w:t>
      </w:r>
      <w:r>
        <w:rPr>
          <w:rFonts w:hint="eastAsia" w:asciiTheme="minorEastAsia" w:hAnsiTheme="minorEastAsia" w:eastAsiaTheme="minorEastAsia"/>
        </w:rPr>
        <w:t>或工作</w:t>
      </w:r>
      <w:r>
        <w:rPr>
          <w:rFonts w:asciiTheme="minorEastAsia" w:hAnsiTheme="minorEastAsia" w:eastAsiaTheme="minorEastAsia"/>
        </w:rPr>
        <w:t>，并与</w:t>
      </w:r>
      <w:r>
        <w:rPr>
          <w:rFonts w:hint="eastAsia" w:asciiTheme="minorEastAsia" w:hAnsiTheme="minorEastAsia" w:eastAsiaTheme="minorEastAsia"/>
        </w:rPr>
        <w:t>承包人</w:t>
      </w:r>
      <w:r>
        <w:rPr>
          <w:rFonts w:asciiTheme="minorEastAsia" w:hAnsiTheme="minorEastAsia" w:eastAsiaTheme="minorEastAsia"/>
        </w:rPr>
        <w:t>签订分包合同的具有相应资质的法人。</w:t>
      </w:r>
    </w:p>
    <w:p>
      <w:pPr>
        <w:rPr>
          <w:rFonts w:asciiTheme="minorEastAsia" w:hAnsiTheme="minorEastAsia" w:eastAsiaTheme="minorEastAsia"/>
        </w:rPr>
      </w:pPr>
      <w:r>
        <w:rPr>
          <w:rFonts w:asciiTheme="minorEastAsia" w:hAnsiTheme="minorEastAsia" w:eastAsiaTheme="minorEastAsia"/>
        </w:rPr>
        <w:t>1.1.2.7 发包人代表：是指由发包人任命并派驻施工现场在发包人授权范围内行使发包人权利的人。</w:t>
      </w:r>
    </w:p>
    <w:p>
      <w:pPr>
        <w:rPr>
          <w:rFonts w:asciiTheme="minorEastAsia" w:hAnsiTheme="minorEastAsia" w:eastAsiaTheme="minorEastAsia"/>
        </w:rPr>
      </w:pPr>
      <w:r>
        <w:rPr>
          <w:rFonts w:asciiTheme="minorEastAsia" w:hAnsiTheme="minorEastAsia" w:eastAsiaTheme="minorEastAsia"/>
        </w:rPr>
        <w:t>1.1.2.8 项目经理：是指由承包人任命并派驻施工现场，在承包人授权范围内负责合同履行，且按照法律规定具有相应资格的</w:t>
      </w:r>
      <w:r>
        <w:rPr>
          <w:rFonts w:hint="eastAsia" w:asciiTheme="minorEastAsia" w:hAnsiTheme="minorEastAsia" w:eastAsiaTheme="minorEastAsia"/>
        </w:rPr>
        <w:t>项目负责</w:t>
      </w:r>
      <w:r>
        <w:rPr>
          <w:rFonts w:asciiTheme="minorEastAsia" w:hAnsiTheme="minorEastAsia" w:eastAsiaTheme="minorEastAsia"/>
        </w:rPr>
        <w:t>人。</w:t>
      </w:r>
    </w:p>
    <w:p>
      <w:pPr>
        <w:rPr>
          <w:rFonts w:asciiTheme="minorEastAsia" w:hAnsiTheme="minorEastAsia" w:eastAsiaTheme="minorEastAsia"/>
        </w:rPr>
      </w:pPr>
      <w:r>
        <w:rPr>
          <w:rFonts w:asciiTheme="minorEastAsia" w:hAnsiTheme="minorEastAsia" w:eastAsiaTheme="minorEastAsia"/>
        </w:rPr>
        <w:t>1.1.2.9 总监理工程师：是指由监理人任命并派驻施工现场进行工程监理的总负责人。</w:t>
      </w:r>
    </w:p>
    <w:p>
      <w:pPr>
        <w:rPr>
          <w:rFonts w:asciiTheme="minorEastAsia" w:hAnsiTheme="minorEastAsia" w:eastAsiaTheme="minorEastAsia"/>
        </w:rPr>
      </w:pPr>
      <w:r>
        <w:rPr>
          <w:rFonts w:asciiTheme="minorEastAsia" w:hAnsiTheme="minorEastAsia" w:eastAsiaTheme="minorEastAsia"/>
        </w:rPr>
        <w:t>1.1.3 工程和设备</w:t>
      </w:r>
    </w:p>
    <w:p>
      <w:pPr>
        <w:rPr>
          <w:rFonts w:asciiTheme="minorEastAsia" w:hAnsiTheme="minorEastAsia" w:eastAsiaTheme="minorEastAsia"/>
        </w:rPr>
      </w:pPr>
      <w:r>
        <w:rPr>
          <w:rFonts w:asciiTheme="minorEastAsia" w:hAnsiTheme="minorEastAsia" w:eastAsiaTheme="minorEastAsia"/>
        </w:rPr>
        <w:t>1.1.3.1 工程：是指与合同协议书中工程承包范围对应的永久工程和（或）临时工程。</w:t>
      </w:r>
    </w:p>
    <w:p>
      <w:pPr>
        <w:rPr>
          <w:rFonts w:asciiTheme="minorEastAsia" w:hAnsiTheme="minorEastAsia" w:eastAsiaTheme="minorEastAsia"/>
        </w:rPr>
      </w:pPr>
      <w:r>
        <w:rPr>
          <w:rFonts w:asciiTheme="minorEastAsia" w:hAnsiTheme="minorEastAsia" w:eastAsiaTheme="minorEastAsia"/>
        </w:rPr>
        <w:t>1.1.3.2 永久工程：是指按合同约定建造并移交给发包人的工程，包括工程设备。</w:t>
      </w:r>
    </w:p>
    <w:p>
      <w:pPr>
        <w:rPr>
          <w:rFonts w:asciiTheme="minorEastAsia" w:hAnsiTheme="minorEastAsia" w:eastAsiaTheme="minorEastAsia"/>
        </w:rPr>
      </w:pPr>
      <w:r>
        <w:rPr>
          <w:rFonts w:asciiTheme="minorEastAsia" w:hAnsiTheme="minorEastAsia" w:eastAsiaTheme="minorEastAsia"/>
        </w:rPr>
        <w:t>1.1.3.3 临时工程：是指为完成合同约定的永久工程所修建的各类临时性工程，不包括施工设备。</w:t>
      </w:r>
    </w:p>
    <w:p>
      <w:pPr>
        <w:rPr>
          <w:rFonts w:asciiTheme="minorEastAsia" w:hAnsiTheme="minorEastAsia" w:eastAsiaTheme="minorEastAsia"/>
        </w:rPr>
      </w:pPr>
      <w:r>
        <w:rPr>
          <w:rFonts w:asciiTheme="minorEastAsia" w:hAnsiTheme="minorEastAsia" w:eastAsiaTheme="minorEastAsia"/>
        </w:rPr>
        <w:t>1.1.3.4 单位工程：是指在</w:t>
      </w:r>
      <w:r>
        <w:rPr>
          <w:rFonts w:hint="eastAsia" w:asciiTheme="minorEastAsia" w:hAnsiTheme="minorEastAsia" w:eastAsiaTheme="minorEastAsia"/>
        </w:rPr>
        <w:t>合同协议书</w:t>
      </w:r>
      <w:r>
        <w:rPr>
          <w:rFonts w:asciiTheme="minorEastAsia" w:hAnsiTheme="minorEastAsia" w:eastAsiaTheme="minorEastAsia"/>
        </w:rPr>
        <w:t>中指明的，具备独立施工条件并能形成独立使用功能的永久工程。</w:t>
      </w:r>
    </w:p>
    <w:p>
      <w:pPr>
        <w:rPr>
          <w:rFonts w:asciiTheme="minorEastAsia" w:hAnsiTheme="minorEastAsia" w:eastAsiaTheme="minorEastAsia"/>
        </w:rPr>
      </w:pPr>
      <w:r>
        <w:rPr>
          <w:rFonts w:asciiTheme="minorEastAsia" w:hAnsiTheme="minorEastAsia" w:eastAsiaTheme="minorEastAsia"/>
        </w:rPr>
        <w:t>1.1.3.5 工程设备：是指构成永久工程的机电设备、金属结构设备、仪器及其他类似的设备和装置。</w:t>
      </w:r>
    </w:p>
    <w:p>
      <w:pPr>
        <w:rPr>
          <w:rFonts w:asciiTheme="minorEastAsia" w:hAnsiTheme="minorEastAsia" w:eastAsiaTheme="minorEastAsia"/>
        </w:rPr>
      </w:pPr>
      <w:r>
        <w:rPr>
          <w:rFonts w:asciiTheme="minorEastAsia" w:hAnsiTheme="minorEastAsia" w:eastAsiaTheme="minorEastAsia"/>
        </w:rPr>
        <w:t>1.1.3.6 施工设备：是指为完成合同约定的各项工作所需的设备、器具和其他物品，但不包括工程设备、临时工程和材料。</w:t>
      </w:r>
    </w:p>
    <w:p>
      <w:pPr>
        <w:rPr>
          <w:rFonts w:asciiTheme="minorEastAsia" w:hAnsiTheme="minorEastAsia" w:eastAsiaTheme="minorEastAsia"/>
        </w:rPr>
      </w:pPr>
      <w:r>
        <w:rPr>
          <w:rFonts w:asciiTheme="minorEastAsia" w:hAnsiTheme="minorEastAsia" w:eastAsiaTheme="minorEastAsia"/>
        </w:rPr>
        <w:t>1.1.3.7 施工现场：是指用于工程施工的场所，以及在专用合同条款中</w:t>
      </w:r>
      <w:r>
        <w:rPr>
          <w:rFonts w:hint="eastAsia" w:asciiTheme="minorEastAsia" w:hAnsiTheme="minorEastAsia" w:eastAsiaTheme="minorEastAsia"/>
        </w:rPr>
        <w:t>指</w:t>
      </w:r>
      <w:r>
        <w:rPr>
          <w:rFonts w:asciiTheme="minorEastAsia" w:hAnsiTheme="minorEastAsia" w:eastAsiaTheme="minorEastAsia"/>
        </w:rPr>
        <w:t>明作为施工场所组成部分的其他场所，包括永久占地和临时占地。</w:t>
      </w:r>
    </w:p>
    <w:p>
      <w:pPr>
        <w:rPr>
          <w:rFonts w:asciiTheme="minorEastAsia" w:hAnsiTheme="minorEastAsia" w:eastAsiaTheme="minorEastAsia"/>
        </w:rPr>
      </w:pPr>
      <w:r>
        <w:rPr>
          <w:rFonts w:asciiTheme="minorEastAsia" w:hAnsiTheme="minorEastAsia" w:eastAsiaTheme="minorEastAsia"/>
        </w:rPr>
        <w:t>1.1.3.8临时设施：是指为完成合同约定的各项工作所服务的临时性生产和生活设施。</w:t>
      </w:r>
    </w:p>
    <w:p>
      <w:pPr>
        <w:rPr>
          <w:rFonts w:asciiTheme="minorEastAsia" w:hAnsiTheme="minorEastAsia" w:eastAsiaTheme="minorEastAsia"/>
        </w:rPr>
      </w:pPr>
      <w:r>
        <w:rPr>
          <w:rFonts w:asciiTheme="minorEastAsia" w:hAnsiTheme="minorEastAsia" w:eastAsiaTheme="minorEastAsia"/>
        </w:rPr>
        <w:t>1.1.3.9 永久占地：是指专用合同条款中指明为实施工程需永久占用的土地。</w:t>
      </w:r>
    </w:p>
    <w:p>
      <w:pPr>
        <w:rPr>
          <w:rFonts w:asciiTheme="minorEastAsia" w:hAnsiTheme="minorEastAsia" w:eastAsiaTheme="minorEastAsia"/>
        </w:rPr>
      </w:pPr>
      <w:r>
        <w:rPr>
          <w:rFonts w:asciiTheme="minorEastAsia" w:hAnsiTheme="minorEastAsia" w:eastAsiaTheme="minorEastAsia"/>
        </w:rPr>
        <w:t>1.1.3.10 临时占地：是指专用合同条款中指明为实施工程需要临时占用的土地。</w:t>
      </w:r>
    </w:p>
    <w:p>
      <w:pPr>
        <w:rPr>
          <w:rFonts w:asciiTheme="minorEastAsia" w:hAnsiTheme="minorEastAsia" w:eastAsiaTheme="minorEastAsia"/>
          <w:u w:val="single"/>
        </w:rPr>
      </w:pPr>
      <w:r>
        <w:rPr>
          <w:rFonts w:asciiTheme="minorEastAsia" w:hAnsiTheme="minorEastAsia" w:eastAsiaTheme="minorEastAsia"/>
        </w:rPr>
        <w:t>1.1.4 日期和期限</w:t>
      </w:r>
    </w:p>
    <w:p>
      <w:pPr>
        <w:rPr>
          <w:rFonts w:asciiTheme="minorEastAsia" w:hAnsiTheme="minorEastAsia" w:eastAsiaTheme="minorEastAsia"/>
        </w:rPr>
      </w:pPr>
      <w:r>
        <w:rPr>
          <w:rFonts w:asciiTheme="minorEastAsia" w:hAnsiTheme="minorEastAsia" w:eastAsiaTheme="minorEastAsia"/>
        </w:rPr>
        <w:t>1.1.4.1 开工日期：包括计划开工日期和实际开工日期。计划开工日期是指合同协议书约定的开工日期；实际开工日期是指监理人按照第7.3.2项</w:t>
      </w:r>
      <w:r>
        <w:rPr>
          <w:rFonts w:hint="eastAsia" w:asciiTheme="minorEastAsia" w:hAnsiTheme="minorEastAsia" w:eastAsiaTheme="minorEastAsia"/>
        </w:rPr>
        <w:t>〔</w:t>
      </w:r>
      <w:r>
        <w:rPr>
          <w:rFonts w:asciiTheme="minorEastAsia" w:hAnsiTheme="minorEastAsia" w:eastAsiaTheme="minorEastAsia"/>
        </w:rPr>
        <w:t>开工通知</w:t>
      </w:r>
      <w:r>
        <w:rPr>
          <w:rFonts w:hint="eastAsia" w:asciiTheme="minorEastAsia" w:hAnsiTheme="minorEastAsia" w:eastAsiaTheme="minorEastAsia"/>
        </w:rPr>
        <w:t>〕</w:t>
      </w:r>
      <w:r>
        <w:rPr>
          <w:rFonts w:asciiTheme="minorEastAsia" w:hAnsiTheme="minorEastAsia" w:eastAsiaTheme="minorEastAsia"/>
        </w:rPr>
        <w:t>约定发出的符合法律规定的开工通知中载明的开工日期。</w:t>
      </w:r>
    </w:p>
    <w:p>
      <w:pPr>
        <w:rPr>
          <w:rFonts w:asciiTheme="minorEastAsia" w:hAnsiTheme="minorEastAsia" w:eastAsiaTheme="minorEastAsia"/>
        </w:rPr>
      </w:pPr>
      <w:r>
        <w:rPr>
          <w:rFonts w:asciiTheme="minorEastAsia" w:hAnsiTheme="minorEastAsia" w:eastAsiaTheme="minorEastAsia"/>
        </w:rPr>
        <w:t>1.1.4.2 竣工日期：包括计划竣工日期和实际竣工日期。计划竣工日期是指合同协议书约定的竣工日期</w:t>
      </w:r>
      <w:r>
        <w:rPr>
          <w:rFonts w:hint="eastAsia" w:asciiTheme="minorEastAsia" w:hAnsiTheme="minorEastAsia" w:eastAsiaTheme="minorEastAsia"/>
        </w:rPr>
        <w:t>；</w:t>
      </w:r>
      <w:r>
        <w:rPr>
          <w:rFonts w:asciiTheme="minorEastAsia" w:hAnsiTheme="minorEastAsia" w:eastAsiaTheme="minorEastAsia"/>
        </w:rPr>
        <w:t>实际竣工日期按照第13.2.3项</w:t>
      </w:r>
      <w:r>
        <w:rPr>
          <w:rFonts w:hint="eastAsia" w:asciiTheme="minorEastAsia" w:hAnsiTheme="minorEastAsia" w:eastAsiaTheme="minorEastAsia"/>
        </w:rPr>
        <w:t>〔</w:t>
      </w:r>
      <w:r>
        <w:rPr>
          <w:rFonts w:asciiTheme="minorEastAsia" w:hAnsiTheme="minorEastAsia" w:eastAsiaTheme="minorEastAsia"/>
        </w:rPr>
        <w:t>竣工日期</w:t>
      </w:r>
      <w:r>
        <w:rPr>
          <w:rFonts w:hint="eastAsia" w:asciiTheme="minorEastAsia" w:hAnsiTheme="minorEastAsia" w:eastAsiaTheme="minorEastAsia"/>
        </w:rPr>
        <w:t>〕</w:t>
      </w:r>
      <w:r>
        <w:rPr>
          <w:rFonts w:asciiTheme="minorEastAsia" w:hAnsiTheme="minorEastAsia" w:eastAsiaTheme="minorEastAsia"/>
        </w:rPr>
        <w:t xml:space="preserve">的约定确定。 </w:t>
      </w:r>
    </w:p>
    <w:p>
      <w:pPr>
        <w:rPr>
          <w:rFonts w:asciiTheme="minorEastAsia" w:hAnsiTheme="minorEastAsia" w:eastAsiaTheme="minorEastAsia"/>
        </w:rPr>
      </w:pPr>
      <w:r>
        <w:rPr>
          <w:rFonts w:asciiTheme="minorEastAsia" w:hAnsiTheme="minorEastAsia" w:eastAsiaTheme="minorEastAsia"/>
        </w:rPr>
        <w:t>1.1.4.3 工期：是指在合同协议书约定的承包人完成工程所需的期限，包括按照合同约定所作的</w:t>
      </w:r>
      <w:r>
        <w:rPr>
          <w:rFonts w:hint="eastAsia" w:asciiTheme="minorEastAsia" w:hAnsiTheme="minorEastAsia" w:eastAsiaTheme="minorEastAsia"/>
        </w:rPr>
        <w:t>期限</w:t>
      </w:r>
      <w:r>
        <w:rPr>
          <w:rFonts w:asciiTheme="minorEastAsia" w:hAnsiTheme="minorEastAsia" w:eastAsiaTheme="minorEastAsia"/>
        </w:rPr>
        <w:t>变更。</w:t>
      </w:r>
    </w:p>
    <w:p>
      <w:pPr>
        <w:rPr>
          <w:rFonts w:asciiTheme="minorEastAsia" w:hAnsiTheme="minorEastAsia" w:eastAsiaTheme="minorEastAsia"/>
        </w:rPr>
      </w:pPr>
      <w:r>
        <w:rPr>
          <w:rFonts w:asciiTheme="minorEastAsia" w:hAnsiTheme="minorEastAsia" w:eastAsiaTheme="minorEastAsia"/>
        </w:rPr>
        <w:t>1.1.4.4 缺陷责任期：是指承包人按照合同约定承担缺陷修复义务，且发包人</w:t>
      </w:r>
      <w:r>
        <w:rPr>
          <w:rFonts w:hint="eastAsia" w:asciiTheme="minorEastAsia" w:hAnsiTheme="minorEastAsia" w:eastAsiaTheme="minorEastAsia"/>
        </w:rPr>
        <w:t>预</w:t>
      </w:r>
      <w:r>
        <w:rPr>
          <w:rFonts w:asciiTheme="minorEastAsia" w:hAnsiTheme="minorEastAsia" w:eastAsiaTheme="minorEastAsia"/>
        </w:rPr>
        <w:t>留质量保证金的期限，</w:t>
      </w:r>
      <w:r>
        <w:rPr>
          <w:rFonts w:hint="eastAsia" w:asciiTheme="minorEastAsia" w:hAnsiTheme="minorEastAsia" w:eastAsiaTheme="minorEastAsia"/>
        </w:rPr>
        <w:t>自</w:t>
      </w:r>
      <w:r>
        <w:rPr>
          <w:rFonts w:asciiTheme="minorEastAsia" w:hAnsiTheme="minorEastAsia" w:eastAsiaTheme="minorEastAsia"/>
        </w:rPr>
        <w:t>工程</w:t>
      </w:r>
      <w:r>
        <w:rPr>
          <w:rFonts w:hint="eastAsia" w:asciiTheme="minorEastAsia" w:hAnsiTheme="minorEastAsia" w:eastAsiaTheme="minorEastAsia"/>
        </w:rPr>
        <w:t>实际竣工日期</w:t>
      </w:r>
      <w:r>
        <w:rPr>
          <w:rFonts w:asciiTheme="minorEastAsia" w:hAnsiTheme="minorEastAsia" w:eastAsiaTheme="minorEastAsia"/>
        </w:rPr>
        <w:t>起计算。</w:t>
      </w:r>
    </w:p>
    <w:p>
      <w:pPr>
        <w:rPr>
          <w:rFonts w:asciiTheme="minorEastAsia" w:hAnsiTheme="minorEastAsia" w:eastAsiaTheme="minorEastAsia"/>
        </w:rPr>
      </w:pPr>
      <w:r>
        <w:rPr>
          <w:rFonts w:asciiTheme="minorEastAsia" w:hAnsiTheme="minorEastAsia" w:eastAsiaTheme="minorEastAsia"/>
        </w:rPr>
        <w:t>1.1.4.5 保修期：是指承包人按照合同约定对工程承担保修责任的期限，从工程竣工验收合格之日起计算。</w:t>
      </w:r>
    </w:p>
    <w:p>
      <w:pPr>
        <w:rPr>
          <w:rFonts w:asciiTheme="minorEastAsia" w:hAnsiTheme="minorEastAsia" w:eastAsiaTheme="minorEastAsia"/>
        </w:rPr>
      </w:pPr>
      <w:r>
        <w:rPr>
          <w:rFonts w:asciiTheme="minorEastAsia" w:hAnsiTheme="minorEastAsia" w:eastAsiaTheme="minorEastAsia"/>
        </w:rPr>
        <w:t>1.1.4.6 基准日期：招标发包的工程以投标截止日前28天的日期为基准日</w:t>
      </w:r>
      <w:r>
        <w:rPr>
          <w:rFonts w:hint="eastAsia" w:asciiTheme="minorEastAsia" w:hAnsiTheme="minorEastAsia" w:eastAsiaTheme="minorEastAsia"/>
        </w:rPr>
        <w:t>期</w:t>
      </w:r>
      <w:r>
        <w:rPr>
          <w:rFonts w:asciiTheme="minorEastAsia" w:hAnsiTheme="minorEastAsia" w:eastAsiaTheme="minorEastAsia"/>
        </w:rPr>
        <w:t>，直接发包的工程以合同签订日前28天的日期为基准日</w:t>
      </w:r>
      <w:r>
        <w:rPr>
          <w:rFonts w:hint="eastAsia" w:asciiTheme="minorEastAsia" w:hAnsiTheme="minorEastAsia" w:eastAsiaTheme="minorEastAsia"/>
        </w:rPr>
        <w:t>期</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1.1.4.7 天：除特别指明外，均指日历天。合同中按天计算时间的，开始当天不计入，从次日开始计算，期限最后一天的截止时间为当天24:00时。</w:t>
      </w:r>
    </w:p>
    <w:p>
      <w:pPr>
        <w:rPr>
          <w:rFonts w:asciiTheme="minorEastAsia" w:hAnsiTheme="minorEastAsia" w:eastAsiaTheme="minorEastAsia"/>
        </w:rPr>
      </w:pPr>
      <w:r>
        <w:rPr>
          <w:rFonts w:asciiTheme="minorEastAsia" w:hAnsiTheme="minorEastAsia" w:eastAsiaTheme="minorEastAsia"/>
        </w:rPr>
        <w:t>1.1.5 合同价格和费用</w:t>
      </w:r>
    </w:p>
    <w:p>
      <w:pPr>
        <w:rPr>
          <w:rFonts w:asciiTheme="minorEastAsia" w:hAnsiTheme="minorEastAsia" w:eastAsiaTheme="minorEastAsia"/>
        </w:rPr>
      </w:pPr>
      <w:r>
        <w:rPr>
          <w:rFonts w:asciiTheme="minorEastAsia" w:hAnsiTheme="minorEastAsia" w:eastAsiaTheme="minorEastAsia"/>
        </w:rPr>
        <w:t>1.1.5.1 签约合同价：是指发包人和承包人在合同协议书中确定的总金额，包括安全文明施工费、暂估价及暂列金额等。</w:t>
      </w:r>
    </w:p>
    <w:p>
      <w:pPr>
        <w:rPr>
          <w:rFonts w:asciiTheme="minorEastAsia" w:hAnsiTheme="minorEastAsia" w:eastAsiaTheme="minorEastAsia"/>
        </w:rPr>
      </w:pPr>
      <w:r>
        <w:rPr>
          <w:rFonts w:asciiTheme="minorEastAsia" w:hAnsiTheme="minorEastAsia" w:eastAsiaTheme="minorEastAsia"/>
        </w:rPr>
        <w:t>1.1.5.2 合同价格：是指发包人用于支付承包人按照合同约定完成承包范围内全部工作的金额，包括合同履行过程中按合同约定</w:t>
      </w:r>
      <w:r>
        <w:rPr>
          <w:rFonts w:hint="eastAsia" w:asciiTheme="minorEastAsia" w:hAnsiTheme="minorEastAsia" w:eastAsiaTheme="minorEastAsia"/>
        </w:rPr>
        <w:t>发生的价格变化。</w:t>
      </w:r>
    </w:p>
    <w:p>
      <w:pPr>
        <w:rPr>
          <w:rFonts w:asciiTheme="minorEastAsia" w:hAnsiTheme="minorEastAsia" w:eastAsiaTheme="minorEastAsia"/>
        </w:rPr>
      </w:pPr>
      <w:r>
        <w:rPr>
          <w:rFonts w:asciiTheme="minorEastAsia" w:hAnsiTheme="minorEastAsia" w:eastAsiaTheme="minorEastAsia"/>
        </w:rPr>
        <w:t>1.1.5.3 费用：是指为履行合同所发生的或将要发生的所有必需的开支，包括管理费和应分摊的其他费用，但不包括利润。</w:t>
      </w:r>
    </w:p>
    <w:p>
      <w:pPr>
        <w:rPr>
          <w:rFonts w:asciiTheme="minorEastAsia" w:hAnsiTheme="minorEastAsia" w:eastAsiaTheme="minorEastAsia"/>
        </w:rPr>
      </w:pPr>
      <w:r>
        <w:rPr>
          <w:rFonts w:asciiTheme="minorEastAsia" w:hAnsiTheme="minorEastAsia" w:eastAsiaTheme="minorEastAsia"/>
        </w:rPr>
        <w:t>1.1.5.4 暂估价：是指发包人在工程量清单或预算书中提供的用于支付必然发生但暂时不能确定价格的材料、工程设备的单价</w:t>
      </w:r>
      <w:r>
        <w:rPr>
          <w:rFonts w:hint="eastAsia" w:asciiTheme="minorEastAsia" w:hAnsiTheme="minorEastAsia" w:eastAsiaTheme="minorEastAsia"/>
        </w:rPr>
        <w:t>、</w:t>
      </w:r>
      <w:r>
        <w:rPr>
          <w:rFonts w:asciiTheme="minorEastAsia" w:hAnsiTheme="minorEastAsia" w:eastAsiaTheme="minorEastAsia"/>
        </w:rPr>
        <w:t>专业工程以及</w:t>
      </w:r>
      <w:r>
        <w:rPr>
          <w:rFonts w:hint="eastAsia" w:asciiTheme="minorEastAsia" w:hAnsiTheme="minorEastAsia" w:eastAsiaTheme="minorEastAsia"/>
        </w:rPr>
        <w:t>服务工作</w:t>
      </w:r>
      <w:r>
        <w:rPr>
          <w:rFonts w:asciiTheme="minorEastAsia" w:hAnsiTheme="minorEastAsia" w:eastAsiaTheme="minorEastAsia"/>
        </w:rPr>
        <w:t>的金额。</w:t>
      </w:r>
    </w:p>
    <w:p>
      <w:pPr>
        <w:rPr>
          <w:rFonts w:asciiTheme="minorEastAsia" w:hAnsiTheme="minorEastAsia" w:eastAsiaTheme="minorEastAsia"/>
        </w:rPr>
      </w:pPr>
      <w:r>
        <w:rPr>
          <w:rFonts w:asciiTheme="minorEastAsia" w:hAnsiTheme="minorEastAsia" w:eastAsiaTheme="minorEastAsia"/>
        </w:rPr>
        <w:t>1.1.5.5 暂列金额：是指发包人在工程量清单或预算书中暂定并包括在合同价格中的一笔款项</w:t>
      </w:r>
      <w:r>
        <w:rPr>
          <w:rFonts w:hint="eastAsia" w:asciiTheme="minorEastAsia" w:hAnsiTheme="minorEastAsia" w:eastAsiaTheme="minorEastAsia"/>
        </w:rPr>
        <w:t>，</w:t>
      </w:r>
      <w:r>
        <w:rPr>
          <w:rFonts w:asciiTheme="minorEastAsia" w:hAnsiTheme="minorEastAsia" w:eastAsiaTheme="minorEastAsia"/>
        </w:rPr>
        <w:t>用于工程合同签订时尚未确定或者不可预见的所需材料、工程设备、服务的采购，施工中可能发生的工程变更、合同约定调整因素出现时的合同价格调整以及发生的索赔、现场签证确认等的费用。</w:t>
      </w:r>
    </w:p>
    <w:p>
      <w:pPr>
        <w:rPr>
          <w:rFonts w:asciiTheme="minorEastAsia" w:hAnsiTheme="minorEastAsia" w:eastAsiaTheme="minorEastAsia"/>
        </w:rPr>
      </w:pPr>
      <w:r>
        <w:rPr>
          <w:rFonts w:asciiTheme="minorEastAsia" w:hAnsiTheme="minorEastAsia" w:eastAsiaTheme="minorEastAsia"/>
        </w:rPr>
        <w:t>1.1.5.6 计日工：是指合同履行过程中，承包人完成发包人提出的零星工作或需要采用计日工计价的变更工作时，按合同中约定的单价计价的一种方式。</w:t>
      </w:r>
    </w:p>
    <w:p>
      <w:pPr>
        <w:rPr>
          <w:rFonts w:asciiTheme="minorEastAsia" w:hAnsiTheme="minorEastAsia" w:eastAsiaTheme="minorEastAsia"/>
        </w:rPr>
      </w:pPr>
      <w:r>
        <w:rPr>
          <w:rFonts w:asciiTheme="minorEastAsia" w:hAnsiTheme="minorEastAsia" w:eastAsiaTheme="minorEastAsia"/>
        </w:rPr>
        <w:t>1.1.5.7 质量保证金：是指按照第15.3款</w:t>
      </w:r>
      <w:r>
        <w:rPr>
          <w:rFonts w:hint="eastAsia" w:asciiTheme="minorEastAsia" w:hAnsiTheme="minorEastAsia" w:eastAsiaTheme="minorEastAsia"/>
        </w:rPr>
        <w:t>〔</w:t>
      </w:r>
      <w:r>
        <w:rPr>
          <w:rFonts w:asciiTheme="minorEastAsia" w:hAnsiTheme="minorEastAsia" w:eastAsiaTheme="minorEastAsia"/>
        </w:rPr>
        <w:t>质量保证金</w:t>
      </w:r>
      <w:r>
        <w:rPr>
          <w:rFonts w:hint="eastAsia" w:asciiTheme="minorEastAsia" w:hAnsiTheme="minorEastAsia" w:eastAsiaTheme="minorEastAsia"/>
        </w:rPr>
        <w:t>〕</w:t>
      </w:r>
      <w:r>
        <w:rPr>
          <w:rFonts w:asciiTheme="minorEastAsia" w:hAnsiTheme="minorEastAsia" w:eastAsiaTheme="minorEastAsia"/>
        </w:rPr>
        <w:t>约定承包人用于保证其在缺陷责任期内履行缺陷修补义务的担保。</w:t>
      </w:r>
    </w:p>
    <w:p>
      <w:pPr>
        <w:rPr>
          <w:rFonts w:asciiTheme="minorEastAsia" w:hAnsiTheme="minorEastAsia" w:eastAsiaTheme="minorEastAsia"/>
        </w:rPr>
      </w:pPr>
      <w:r>
        <w:rPr>
          <w:rFonts w:asciiTheme="minorEastAsia" w:hAnsiTheme="minorEastAsia" w:eastAsiaTheme="minorEastAsia"/>
        </w:rPr>
        <w:t>1.1.5.8 总价项目：是指在现行国家、行业以及地方的计量规则中无工程量计算规则，在已标价工程量清单或预算书中以总价或以费率形式计算的项目。</w:t>
      </w:r>
    </w:p>
    <w:p>
      <w:pPr>
        <w:rPr>
          <w:rFonts w:asciiTheme="minorEastAsia" w:hAnsiTheme="minorEastAsia" w:eastAsiaTheme="minorEastAsia"/>
        </w:rPr>
      </w:pPr>
      <w:r>
        <w:rPr>
          <w:rFonts w:asciiTheme="minorEastAsia" w:hAnsiTheme="minorEastAsia" w:eastAsiaTheme="minorEastAsia"/>
        </w:rPr>
        <w:t>1.1.6 其他</w:t>
      </w:r>
    </w:p>
    <w:p>
      <w:pPr>
        <w:rPr>
          <w:rFonts w:asciiTheme="minorEastAsia" w:hAnsiTheme="minorEastAsia" w:eastAsiaTheme="minorEastAsia"/>
        </w:rPr>
      </w:pPr>
      <w:r>
        <w:rPr>
          <w:rFonts w:asciiTheme="minorEastAsia" w:hAnsiTheme="minorEastAsia" w:eastAsiaTheme="minorEastAsia"/>
        </w:rPr>
        <w:t>1.1.6.1 书面形式：是指合同文件、信函、电报、传真等可以有形地表现所载内容的形式。</w:t>
      </w:r>
    </w:p>
    <w:p>
      <w:pPr>
        <w:rPr>
          <w:rFonts w:asciiTheme="minorEastAsia" w:hAnsiTheme="minorEastAsia" w:eastAsiaTheme="minorEastAsia"/>
          <w:bCs/>
        </w:rPr>
      </w:pPr>
      <w:r>
        <w:rPr>
          <w:rFonts w:asciiTheme="minorEastAsia" w:hAnsiTheme="minorEastAsia" w:eastAsiaTheme="minorEastAsia"/>
          <w:bCs/>
        </w:rPr>
        <w:t xml:space="preserve">    </w:t>
      </w:r>
      <w:bookmarkStart w:id="181" w:name="_Toc296346530"/>
      <w:bookmarkStart w:id="182" w:name="_Toc296503029"/>
      <w:bookmarkStart w:id="183" w:name="_Toc351203497"/>
      <w:bookmarkStart w:id="184" w:name="_Toc337558729"/>
      <w:r>
        <w:rPr>
          <w:rFonts w:asciiTheme="minorEastAsia" w:hAnsiTheme="minorEastAsia" w:eastAsiaTheme="minorEastAsia"/>
          <w:bCs/>
        </w:rPr>
        <w:t>1.2语言文字</w:t>
      </w:r>
      <w:bookmarkEnd w:id="181"/>
      <w:bookmarkEnd w:id="182"/>
      <w:bookmarkEnd w:id="183"/>
      <w:bookmarkEnd w:id="184"/>
    </w:p>
    <w:p>
      <w:pPr>
        <w:rPr>
          <w:rFonts w:asciiTheme="minorEastAsia" w:hAnsiTheme="minorEastAsia" w:eastAsiaTheme="minorEastAsia"/>
        </w:rPr>
      </w:pPr>
      <w:r>
        <w:rPr>
          <w:rFonts w:asciiTheme="minorEastAsia" w:hAnsiTheme="minorEastAsia" w:eastAsiaTheme="minorEastAsia"/>
        </w:rPr>
        <w:t>合同以中国的汉语简体文字编写、解释和说明。合同当事人在专用合同条款中约定使用两种以上语言时，汉语为优先解释和说明合同的语言。</w:t>
      </w:r>
    </w:p>
    <w:p>
      <w:pPr>
        <w:rPr>
          <w:rFonts w:asciiTheme="minorEastAsia" w:hAnsiTheme="minorEastAsia" w:eastAsiaTheme="minorEastAsia"/>
          <w:bCs/>
        </w:rPr>
      </w:pPr>
      <w:bookmarkStart w:id="185" w:name="_Toc351203498"/>
      <w:bookmarkStart w:id="186" w:name="_Toc337558730"/>
      <w:bookmarkStart w:id="187" w:name="_Toc296503030"/>
      <w:bookmarkStart w:id="188" w:name="_Toc296346531"/>
      <w:r>
        <w:rPr>
          <w:rFonts w:asciiTheme="minorEastAsia" w:hAnsiTheme="minorEastAsia" w:eastAsiaTheme="minorEastAsia"/>
          <w:bCs/>
        </w:rPr>
        <w:t>1.3法律</w:t>
      </w:r>
      <w:bookmarkEnd w:id="185"/>
      <w:bookmarkEnd w:id="186"/>
      <w:bookmarkEnd w:id="187"/>
      <w:bookmarkEnd w:id="188"/>
    </w:p>
    <w:p>
      <w:pPr>
        <w:rPr>
          <w:rFonts w:asciiTheme="minorEastAsia" w:hAnsiTheme="minorEastAsia" w:eastAsiaTheme="minorEastAsia"/>
        </w:rPr>
      </w:pPr>
      <w:r>
        <w:rPr>
          <w:rFonts w:asciiTheme="minorEastAsia" w:hAnsiTheme="minorEastAsia" w:eastAsiaTheme="minorEastAsia"/>
        </w:rPr>
        <w:t>合同所称法律是指中华人民共和国法律、行政法规、部门规章，以及工程所在地的地方性法规、自治条例、单行条例和地方政府规章等。</w:t>
      </w:r>
    </w:p>
    <w:p>
      <w:pPr>
        <w:rPr>
          <w:rFonts w:asciiTheme="minorEastAsia" w:hAnsiTheme="minorEastAsia" w:eastAsiaTheme="minorEastAsia"/>
        </w:rPr>
      </w:pPr>
      <w:r>
        <w:rPr>
          <w:rFonts w:asciiTheme="minorEastAsia" w:hAnsiTheme="minorEastAsia" w:eastAsiaTheme="minorEastAsia"/>
        </w:rPr>
        <w:t>合同当事人可以在专用合同条款中约定合同适用的其他规范性文件。</w:t>
      </w:r>
    </w:p>
    <w:p>
      <w:pPr>
        <w:rPr>
          <w:rFonts w:asciiTheme="minorEastAsia" w:hAnsiTheme="minorEastAsia" w:eastAsiaTheme="minorEastAsia"/>
          <w:bCs/>
        </w:rPr>
      </w:pPr>
      <w:bookmarkStart w:id="189" w:name="_Toc351203499"/>
      <w:r>
        <w:rPr>
          <w:rFonts w:asciiTheme="minorEastAsia" w:hAnsiTheme="minorEastAsia" w:eastAsiaTheme="minorEastAsia"/>
          <w:bCs/>
        </w:rPr>
        <w:t>1.4 标准和规范</w:t>
      </w:r>
      <w:bookmarkEnd w:id="189"/>
    </w:p>
    <w:p>
      <w:pPr>
        <w:rPr>
          <w:rFonts w:asciiTheme="minorEastAsia" w:hAnsiTheme="minorEastAsia" w:eastAsiaTheme="minorEastAsia"/>
        </w:rPr>
      </w:pPr>
      <w:r>
        <w:rPr>
          <w:rFonts w:asciiTheme="minorEastAsia" w:hAnsiTheme="minorEastAsia" w:eastAsiaTheme="minorEastAsia"/>
        </w:rPr>
        <w:t>1.4.1 适用于工程的国家标准、行业标准、工程所在地的地方性标准，以及相应的规范、规程等，合同当事人有特别要求的，应在专用合同条款中约定。</w:t>
      </w:r>
    </w:p>
    <w:p>
      <w:pPr>
        <w:rPr>
          <w:rFonts w:asciiTheme="minorEastAsia" w:hAnsiTheme="minorEastAsia" w:eastAsiaTheme="minorEastAsia"/>
        </w:rPr>
      </w:pPr>
      <w:r>
        <w:rPr>
          <w:rFonts w:asciiTheme="minorEastAsia" w:hAnsiTheme="minorEastAsia" w:eastAsiaTheme="minorEastAsia"/>
        </w:rPr>
        <w:t>1.4.2 发包人要求使用国外标准、规范的，发包人负责提供原文版本和中文译本，并在专用合同条款中约定提供标准规范的名称、份数和时间。</w:t>
      </w:r>
    </w:p>
    <w:p>
      <w:pPr>
        <w:rPr>
          <w:rFonts w:asciiTheme="minorEastAsia" w:hAnsiTheme="minorEastAsia" w:eastAsiaTheme="minorEastAsia"/>
        </w:rPr>
      </w:pPr>
      <w:r>
        <w:rPr>
          <w:rFonts w:asciiTheme="minorEastAsia" w:hAnsiTheme="minorEastAsia" w:eastAsiaTheme="minorEastAsia"/>
        </w:rPr>
        <w:t>1.4.3 发包人对工程的技术标准、功能要求高于或严于现行国家、行业或地方标准的，应当在专用合同条款中予以明确。除专用合同条款另有约定外，应视为</w:t>
      </w:r>
      <w:r>
        <w:rPr>
          <w:rFonts w:hint="eastAsia" w:asciiTheme="minorEastAsia" w:hAnsiTheme="minorEastAsia" w:eastAsiaTheme="minorEastAsia"/>
        </w:rPr>
        <w:t>承包人</w:t>
      </w:r>
      <w:r>
        <w:rPr>
          <w:rFonts w:asciiTheme="minorEastAsia" w:hAnsiTheme="minorEastAsia" w:eastAsiaTheme="minorEastAsia"/>
        </w:rPr>
        <w:t>在签订合同前已充分预见前述技术标准和功能要求的复杂程度，签约合同价中已包含由此产生的费用。</w:t>
      </w:r>
    </w:p>
    <w:p>
      <w:pPr>
        <w:rPr>
          <w:rFonts w:asciiTheme="minorEastAsia" w:hAnsiTheme="minorEastAsia" w:eastAsiaTheme="minorEastAsia"/>
          <w:bCs/>
        </w:rPr>
      </w:pPr>
      <w:bookmarkStart w:id="190" w:name="_Toc351203500"/>
      <w:r>
        <w:rPr>
          <w:rFonts w:asciiTheme="minorEastAsia" w:hAnsiTheme="minorEastAsia" w:eastAsiaTheme="minorEastAsia"/>
          <w:bCs/>
        </w:rPr>
        <w:t>1</w:t>
      </w:r>
      <w:bookmarkStart w:id="191" w:name="_Toc337558731"/>
      <w:bookmarkStart w:id="192" w:name="_Toc296503031"/>
      <w:bookmarkStart w:id="193" w:name="_Toc296346532"/>
      <w:r>
        <w:rPr>
          <w:rFonts w:asciiTheme="minorEastAsia" w:hAnsiTheme="minorEastAsia" w:eastAsiaTheme="minorEastAsia"/>
          <w:bCs/>
        </w:rPr>
        <w:t>.5 合同文件的优先顺序</w:t>
      </w:r>
      <w:bookmarkEnd w:id="190"/>
    </w:p>
    <w:bookmarkEnd w:id="191"/>
    <w:bookmarkEnd w:id="192"/>
    <w:bookmarkEnd w:id="193"/>
    <w:p>
      <w:pPr>
        <w:rPr>
          <w:rFonts w:asciiTheme="minorEastAsia" w:hAnsiTheme="minorEastAsia" w:eastAsiaTheme="minorEastAsia"/>
        </w:rPr>
      </w:pPr>
      <w:r>
        <w:rPr>
          <w:rFonts w:asciiTheme="minorEastAsia" w:hAnsiTheme="minorEastAsia" w:eastAsiaTheme="minorEastAsia"/>
        </w:rPr>
        <w:t>组成合同的各项文件应互相解释，互为说明。除专用合同条款另有约定外，解释合同文件的优先顺序如下：</w:t>
      </w:r>
    </w:p>
    <w:p>
      <w:pPr>
        <w:rPr>
          <w:rFonts w:asciiTheme="minorEastAsia" w:hAnsiTheme="minorEastAsia" w:eastAsiaTheme="minorEastAsia"/>
        </w:rPr>
      </w:pPr>
      <w:r>
        <w:rPr>
          <w:rFonts w:asciiTheme="minorEastAsia" w:hAnsiTheme="minorEastAsia" w:eastAsiaTheme="minorEastAsia"/>
        </w:rPr>
        <w:t>（1）合同协议书；</w:t>
      </w:r>
    </w:p>
    <w:p>
      <w:pPr>
        <w:rPr>
          <w:rFonts w:asciiTheme="minorEastAsia" w:hAnsiTheme="minorEastAsia" w:eastAsiaTheme="minorEastAsia"/>
        </w:rPr>
      </w:pPr>
      <w:r>
        <w:rPr>
          <w:rFonts w:asciiTheme="minorEastAsia" w:hAnsiTheme="minorEastAsia" w:eastAsiaTheme="minorEastAsia"/>
        </w:rPr>
        <w:t>（2）</w:t>
      </w:r>
      <w:r>
        <w:rPr>
          <w:rFonts w:hint="eastAsia" w:asciiTheme="minorEastAsia" w:hAnsiTheme="minorEastAsia" w:eastAsiaTheme="minorEastAsia"/>
        </w:rPr>
        <w:t>成交</w:t>
      </w:r>
      <w:r>
        <w:rPr>
          <w:rFonts w:asciiTheme="minorEastAsia" w:hAnsiTheme="minorEastAsia" w:eastAsiaTheme="minorEastAsia"/>
        </w:rPr>
        <w:t>通知书（如果有）；</w:t>
      </w:r>
    </w:p>
    <w:p>
      <w:pPr>
        <w:rPr>
          <w:rFonts w:asciiTheme="minorEastAsia" w:hAnsiTheme="minorEastAsia" w:eastAsiaTheme="minorEastAsia"/>
        </w:rPr>
      </w:pPr>
      <w:r>
        <w:rPr>
          <w:rFonts w:asciiTheme="minorEastAsia" w:hAnsiTheme="minorEastAsia" w:eastAsiaTheme="minorEastAsia"/>
        </w:rPr>
        <w:t>（3）投标函及其附录（如果有）；</w:t>
      </w:r>
    </w:p>
    <w:p>
      <w:pPr>
        <w:rPr>
          <w:rFonts w:asciiTheme="minorEastAsia" w:hAnsiTheme="minorEastAsia" w:eastAsiaTheme="minorEastAsia"/>
        </w:rPr>
      </w:pPr>
      <w:r>
        <w:rPr>
          <w:rFonts w:asciiTheme="minorEastAsia" w:hAnsiTheme="minorEastAsia" w:eastAsiaTheme="minorEastAsia"/>
        </w:rPr>
        <w:t>（4）专用合同条款及其附件；</w:t>
      </w:r>
    </w:p>
    <w:p>
      <w:pPr>
        <w:rPr>
          <w:rFonts w:asciiTheme="minorEastAsia" w:hAnsiTheme="minorEastAsia" w:eastAsiaTheme="minorEastAsia"/>
        </w:rPr>
      </w:pPr>
      <w:r>
        <w:rPr>
          <w:rFonts w:asciiTheme="minorEastAsia" w:hAnsiTheme="minorEastAsia" w:eastAsiaTheme="minorEastAsia"/>
        </w:rPr>
        <w:t>（5）通用合同条款；</w:t>
      </w:r>
    </w:p>
    <w:p>
      <w:pPr>
        <w:rPr>
          <w:rFonts w:asciiTheme="minorEastAsia" w:hAnsiTheme="minorEastAsia" w:eastAsiaTheme="minorEastAsia"/>
        </w:rPr>
      </w:pPr>
      <w:r>
        <w:rPr>
          <w:rFonts w:asciiTheme="minorEastAsia" w:hAnsiTheme="minorEastAsia" w:eastAsiaTheme="minorEastAsia"/>
        </w:rPr>
        <w:t>（6）技术标准和要求；</w:t>
      </w:r>
    </w:p>
    <w:p>
      <w:pPr>
        <w:rPr>
          <w:rFonts w:asciiTheme="minorEastAsia" w:hAnsiTheme="minorEastAsia" w:eastAsiaTheme="minorEastAsia"/>
        </w:rPr>
      </w:pPr>
      <w:r>
        <w:rPr>
          <w:rFonts w:asciiTheme="minorEastAsia" w:hAnsiTheme="minorEastAsia" w:eastAsiaTheme="minorEastAsia"/>
        </w:rPr>
        <w:t>（7）图纸；</w:t>
      </w:r>
    </w:p>
    <w:p>
      <w:pPr>
        <w:rPr>
          <w:rFonts w:asciiTheme="minorEastAsia" w:hAnsiTheme="minorEastAsia" w:eastAsiaTheme="minorEastAsia"/>
        </w:rPr>
      </w:pPr>
      <w:r>
        <w:rPr>
          <w:rFonts w:asciiTheme="minorEastAsia" w:hAnsiTheme="minorEastAsia" w:eastAsiaTheme="minorEastAsia"/>
        </w:rPr>
        <w:t>（8）已标价工程量清单或预算书；</w:t>
      </w:r>
    </w:p>
    <w:p>
      <w:pPr>
        <w:rPr>
          <w:rFonts w:asciiTheme="minorEastAsia" w:hAnsiTheme="minorEastAsia" w:eastAsiaTheme="minorEastAsia"/>
        </w:rPr>
      </w:pPr>
      <w:r>
        <w:rPr>
          <w:rFonts w:asciiTheme="minorEastAsia" w:hAnsiTheme="minorEastAsia" w:eastAsiaTheme="minorEastAsia"/>
        </w:rPr>
        <w:t>（9）其他合同文件。</w:t>
      </w:r>
    </w:p>
    <w:p>
      <w:pPr>
        <w:rPr>
          <w:rFonts w:asciiTheme="minorEastAsia" w:hAnsiTheme="minorEastAsia" w:eastAsiaTheme="minorEastAsia"/>
        </w:rPr>
      </w:pPr>
      <w:r>
        <w:rPr>
          <w:rFonts w:asciiTheme="minorEastAsia" w:hAnsiTheme="minorEastAsia" w:eastAsiaTheme="minorEastAsia"/>
        </w:rPr>
        <w:t>上述各项合同文件包括合同当事人就该项合同文件所作出的补充和修改，属于同一类内容的文件，应以最新签署的为准。</w:t>
      </w:r>
    </w:p>
    <w:p>
      <w:pPr>
        <w:rPr>
          <w:rFonts w:asciiTheme="minorEastAsia" w:hAnsiTheme="minorEastAsia" w:eastAsiaTheme="minorEastAsia"/>
        </w:rPr>
      </w:pPr>
      <w:r>
        <w:rPr>
          <w:rFonts w:asciiTheme="minorEastAsia" w:hAnsiTheme="minorEastAsia" w:eastAsiaTheme="minorEastAsia"/>
        </w:rPr>
        <w:t>在合同订立及履行过程中形成的与合同有关的文件均构成合同文件组成部分，并根据其性质确定优先解释顺序。</w:t>
      </w:r>
    </w:p>
    <w:p>
      <w:pPr>
        <w:rPr>
          <w:rFonts w:asciiTheme="minorEastAsia" w:hAnsiTheme="minorEastAsia" w:eastAsiaTheme="minorEastAsia"/>
          <w:bCs/>
        </w:rPr>
      </w:pPr>
      <w:bookmarkStart w:id="194" w:name="_Toc351203501"/>
      <w:r>
        <w:rPr>
          <w:rFonts w:asciiTheme="minorEastAsia" w:hAnsiTheme="minorEastAsia" w:eastAsiaTheme="minorEastAsia"/>
          <w:bCs/>
        </w:rPr>
        <w:t>1</w:t>
      </w:r>
      <w:bookmarkStart w:id="195" w:name="_Toc296503032"/>
      <w:bookmarkStart w:id="196" w:name="_Toc296346533"/>
      <w:bookmarkStart w:id="197" w:name="_Toc337558732"/>
      <w:r>
        <w:rPr>
          <w:rFonts w:asciiTheme="minorEastAsia" w:hAnsiTheme="minorEastAsia" w:eastAsiaTheme="minorEastAsia"/>
          <w:bCs/>
        </w:rPr>
        <w:t>.6图纸和承包人文件</w:t>
      </w:r>
      <w:bookmarkEnd w:id="194"/>
    </w:p>
    <w:bookmarkEnd w:id="195"/>
    <w:bookmarkEnd w:id="196"/>
    <w:bookmarkEnd w:id="197"/>
    <w:p>
      <w:pPr>
        <w:rPr>
          <w:rFonts w:asciiTheme="minorEastAsia" w:hAnsiTheme="minorEastAsia" w:eastAsiaTheme="minorEastAsia"/>
        </w:rPr>
      </w:pPr>
      <w:r>
        <w:rPr>
          <w:rFonts w:asciiTheme="minorEastAsia" w:hAnsiTheme="minorEastAsia" w:eastAsiaTheme="minorEastAsia"/>
        </w:rPr>
        <w:t>1.6.1 图纸的提供和交底</w:t>
      </w:r>
    </w:p>
    <w:p>
      <w:pPr>
        <w:rPr>
          <w:rFonts w:asciiTheme="minorEastAsia" w:hAnsiTheme="minorEastAsia" w:eastAsiaTheme="minorEastAsia"/>
        </w:rPr>
      </w:pPr>
      <w:r>
        <w:rPr>
          <w:rFonts w:asciiTheme="minorEastAsia" w:hAnsiTheme="minorEastAsia" w:eastAsiaTheme="minorEastAsia"/>
        </w:rPr>
        <w:t>发包人应按照专用合同条款约定的期限、数量和内容向承包人免费提供图纸，并组织承包人、监理人和设计人进行图纸会审和设计交底。发包人至迟不得晚于第7.3.2项</w:t>
      </w:r>
      <w:r>
        <w:rPr>
          <w:rFonts w:hint="eastAsia" w:asciiTheme="minorEastAsia" w:hAnsiTheme="minorEastAsia" w:eastAsiaTheme="minorEastAsia"/>
        </w:rPr>
        <w:t>〔</w:t>
      </w:r>
      <w:r>
        <w:rPr>
          <w:rFonts w:asciiTheme="minorEastAsia" w:hAnsiTheme="minorEastAsia" w:eastAsiaTheme="minorEastAsia"/>
        </w:rPr>
        <w:t>开工通知</w:t>
      </w:r>
      <w:r>
        <w:rPr>
          <w:rFonts w:hint="eastAsia" w:asciiTheme="minorEastAsia" w:hAnsiTheme="minorEastAsia" w:eastAsiaTheme="minorEastAsia"/>
        </w:rPr>
        <w:t>〕</w:t>
      </w:r>
      <w:r>
        <w:rPr>
          <w:rFonts w:asciiTheme="minorEastAsia" w:hAnsiTheme="minorEastAsia" w:eastAsiaTheme="minorEastAsia"/>
        </w:rPr>
        <w:t>载明的开工日期前14天向承包人提供图纸。</w:t>
      </w:r>
    </w:p>
    <w:p>
      <w:pPr>
        <w:rPr>
          <w:rFonts w:asciiTheme="minorEastAsia" w:hAnsiTheme="minorEastAsia" w:eastAsiaTheme="minorEastAsia"/>
        </w:rPr>
      </w:pPr>
      <w:r>
        <w:rPr>
          <w:rFonts w:asciiTheme="minorEastAsia" w:hAnsiTheme="minorEastAsia" w:eastAsiaTheme="minorEastAsia"/>
        </w:rPr>
        <w:t>因发包人未按合同约定提供图纸导致承包人费用增加和（或）工期延误的，按照第7.5.1项</w:t>
      </w:r>
      <w:r>
        <w:rPr>
          <w:rFonts w:hint="eastAsia" w:asciiTheme="minorEastAsia" w:hAnsiTheme="minorEastAsia" w:eastAsiaTheme="minorEastAsia"/>
        </w:rPr>
        <w:t>〔</w:t>
      </w:r>
      <w:r>
        <w:rPr>
          <w:rFonts w:asciiTheme="minorEastAsia" w:hAnsiTheme="minorEastAsia" w:eastAsiaTheme="minorEastAsia"/>
        </w:rPr>
        <w:t>因发包人原因导致工期延误</w:t>
      </w:r>
      <w:r>
        <w:rPr>
          <w:rFonts w:hint="eastAsia" w:asciiTheme="minorEastAsia" w:hAnsiTheme="minorEastAsia" w:eastAsiaTheme="minorEastAsia"/>
        </w:rPr>
        <w:t>〕</w:t>
      </w:r>
      <w:r>
        <w:rPr>
          <w:rFonts w:asciiTheme="minorEastAsia" w:hAnsiTheme="minorEastAsia" w:eastAsiaTheme="minorEastAsia"/>
        </w:rPr>
        <w:t>约定办理。</w:t>
      </w:r>
    </w:p>
    <w:p>
      <w:pPr>
        <w:rPr>
          <w:rFonts w:asciiTheme="minorEastAsia" w:hAnsiTheme="minorEastAsia" w:eastAsiaTheme="minorEastAsia"/>
        </w:rPr>
      </w:pPr>
      <w:r>
        <w:rPr>
          <w:rFonts w:asciiTheme="minorEastAsia" w:hAnsiTheme="minorEastAsia" w:eastAsiaTheme="minorEastAsia"/>
        </w:rPr>
        <w:t>1.6.2 图纸的错误</w:t>
      </w:r>
    </w:p>
    <w:p>
      <w:pPr>
        <w:rPr>
          <w:rFonts w:asciiTheme="minorEastAsia" w:hAnsiTheme="minorEastAsia" w:eastAsiaTheme="minorEastAsia"/>
        </w:rPr>
      </w:pPr>
      <w:r>
        <w:rPr>
          <w:rFonts w:asciiTheme="minorEastAsia" w:hAnsiTheme="minorEastAsia" w:eastAsiaTheme="minorEastAsia"/>
        </w:rPr>
        <w:t>承包人在收到发包人提供的图纸后，发现图纸存在差错、遗漏或缺陷的，应及时通知监理人。监理人接到该通知后，应附具相关意见并立即报送发包人，发包人应在收到监理人报送的通知后的合理时间内作出决定。</w:t>
      </w:r>
      <w:r>
        <w:rPr>
          <w:rFonts w:hint="eastAsia" w:asciiTheme="minorEastAsia" w:hAnsiTheme="minorEastAsia" w:eastAsiaTheme="minorEastAsia"/>
        </w:rPr>
        <w:t>合理时间是指发包人在收到监理人的报送通知后，尽其努力且不懈怠地完成图纸修改补充所需的时间。</w:t>
      </w:r>
    </w:p>
    <w:p>
      <w:pPr>
        <w:rPr>
          <w:rFonts w:asciiTheme="minorEastAsia" w:hAnsiTheme="minorEastAsia" w:eastAsiaTheme="minorEastAsia"/>
        </w:rPr>
      </w:pPr>
      <w:r>
        <w:rPr>
          <w:rFonts w:asciiTheme="minorEastAsia" w:hAnsiTheme="minorEastAsia" w:eastAsiaTheme="minorEastAsia"/>
        </w:rPr>
        <w:t>1.6.3 图纸的修改和补充</w:t>
      </w:r>
    </w:p>
    <w:p>
      <w:pPr>
        <w:rPr>
          <w:rFonts w:asciiTheme="minorEastAsia" w:hAnsiTheme="minorEastAsia" w:eastAsiaTheme="minorEastAsia"/>
        </w:rPr>
      </w:pPr>
      <w:r>
        <w:rPr>
          <w:rFonts w:asciiTheme="minorEastAsia" w:hAnsiTheme="minorEastAsia" w:eastAsiaTheme="minorEastAsia"/>
        </w:rPr>
        <w:t>图纸需要修改和补充的，应经图纸原设计人及审批部门同意，并由监理人在工程或工程相应部位施工前将修改后的图纸或补充图纸提交给承包人，承包人应按修改或补充后的图纸施工。</w:t>
      </w:r>
    </w:p>
    <w:p>
      <w:pPr>
        <w:rPr>
          <w:rFonts w:asciiTheme="minorEastAsia" w:hAnsiTheme="minorEastAsia" w:eastAsiaTheme="minorEastAsia"/>
        </w:rPr>
      </w:pPr>
      <w:r>
        <w:rPr>
          <w:rFonts w:asciiTheme="minorEastAsia" w:hAnsiTheme="minorEastAsia" w:eastAsiaTheme="minorEastAsia"/>
        </w:rPr>
        <w:t>1.6.4 承包人文件</w:t>
      </w:r>
    </w:p>
    <w:p>
      <w:pPr>
        <w:rPr>
          <w:rFonts w:asciiTheme="minorEastAsia" w:hAnsiTheme="minorEastAsia" w:eastAsiaTheme="minorEastAsia"/>
        </w:rPr>
      </w:pPr>
      <w:r>
        <w:rPr>
          <w:rFonts w:asciiTheme="minorEastAsia" w:hAnsiTheme="minorEastAsia" w:eastAsiaTheme="minorEastAsia"/>
        </w:rPr>
        <w:t>承包人应按照专用合同条款的约定提供应当由其编制的与工程施工有关的文件，并按照专用合同条款约定的期限、数量和形式提交监理人，并由监理人报送发包人。</w:t>
      </w:r>
    </w:p>
    <w:p>
      <w:pPr>
        <w:rPr>
          <w:rFonts w:asciiTheme="minorEastAsia" w:hAnsiTheme="minorEastAsia" w:eastAsiaTheme="minorEastAsia"/>
        </w:rPr>
      </w:pPr>
      <w:r>
        <w:rPr>
          <w:rFonts w:asciiTheme="minorEastAsia" w:hAnsiTheme="minorEastAsia" w:eastAsiaTheme="minorEastAsia"/>
        </w:rPr>
        <w:t>除专用合同条款另有约定外，监理人应在收到承包人文件后7天内审查完毕，监理人对承包人文件有异议的，承包人应予以修改，并重新报送监理人。监理人的审查并不减轻或免除承包人根据合同约定应当承担的责任。</w:t>
      </w:r>
    </w:p>
    <w:p>
      <w:pPr>
        <w:rPr>
          <w:rFonts w:asciiTheme="minorEastAsia" w:hAnsiTheme="minorEastAsia" w:eastAsiaTheme="minorEastAsia"/>
        </w:rPr>
      </w:pPr>
      <w:r>
        <w:rPr>
          <w:rFonts w:asciiTheme="minorEastAsia" w:hAnsiTheme="minorEastAsia" w:eastAsiaTheme="minorEastAsia"/>
        </w:rPr>
        <w:t>1.6.5 图纸和承包人文件的保管</w:t>
      </w:r>
    </w:p>
    <w:p>
      <w:pPr>
        <w:rPr>
          <w:rFonts w:asciiTheme="minorEastAsia" w:hAnsiTheme="minorEastAsia" w:eastAsiaTheme="minorEastAsia"/>
        </w:rPr>
      </w:pPr>
      <w:r>
        <w:rPr>
          <w:rFonts w:asciiTheme="minorEastAsia" w:hAnsiTheme="minorEastAsia" w:eastAsiaTheme="minorEastAsia"/>
        </w:rPr>
        <w:t>除专用合同条款另有约定外，承包人应在施工现场另外保存一套完整的图纸和承包人文件，供发包人、监理人及有关人员进行工程检查时使用。</w:t>
      </w:r>
    </w:p>
    <w:p>
      <w:pPr>
        <w:rPr>
          <w:rFonts w:asciiTheme="minorEastAsia" w:hAnsiTheme="minorEastAsia" w:eastAsiaTheme="minorEastAsia"/>
          <w:bCs/>
        </w:rPr>
      </w:pPr>
      <w:bookmarkStart w:id="198" w:name="_Toc351203502"/>
      <w:r>
        <w:rPr>
          <w:rFonts w:asciiTheme="minorEastAsia" w:hAnsiTheme="minorEastAsia" w:eastAsiaTheme="minorEastAsia"/>
          <w:bCs/>
        </w:rPr>
        <w:t>1</w:t>
      </w:r>
      <w:bookmarkStart w:id="199" w:name="_Toc296503033"/>
      <w:bookmarkStart w:id="200" w:name="_Toc296346534"/>
      <w:bookmarkStart w:id="201" w:name="_Toc337558733"/>
      <w:r>
        <w:rPr>
          <w:rFonts w:asciiTheme="minorEastAsia" w:hAnsiTheme="minorEastAsia" w:eastAsiaTheme="minorEastAsia"/>
          <w:bCs/>
        </w:rPr>
        <w:t>.7联络</w:t>
      </w:r>
      <w:bookmarkEnd w:id="198"/>
    </w:p>
    <w:bookmarkEnd w:id="199"/>
    <w:bookmarkEnd w:id="200"/>
    <w:bookmarkEnd w:id="201"/>
    <w:p>
      <w:pPr>
        <w:rPr>
          <w:rFonts w:asciiTheme="minorEastAsia" w:hAnsiTheme="minorEastAsia" w:eastAsiaTheme="minorEastAsia"/>
        </w:rPr>
      </w:pPr>
      <w:r>
        <w:rPr>
          <w:rFonts w:asciiTheme="minorEastAsia" w:hAnsiTheme="minorEastAsia" w:eastAsiaTheme="minorEastAsia"/>
        </w:rPr>
        <w:t>1.7.1 与合同有关的通知、批准、证明、证书、指示、指令、要求、请求、同意、意见、确定和决定等，均应采用书面形式，并应在合同约定的期限内送达接收人和送达地点。</w:t>
      </w:r>
    </w:p>
    <w:p>
      <w:pPr>
        <w:rPr>
          <w:rFonts w:asciiTheme="minorEastAsia" w:hAnsiTheme="minorEastAsia" w:eastAsiaTheme="minorEastAsia"/>
        </w:rPr>
      </w:pPr>
      <w:r>
        <w:rPr>
          <w:rFonts w:asciiTheme="minorEastAsia" w:hAnsiTheme="minorEastAsia" w:eastAsiaTheme="minorEastAsia"/>
        </w:rPr>
        <w:t>1.7.2 发包人和承包人应在专用合同条款中约定各自的送达接收人和送达地点。任何一方合同当事人指定的接收人或送达地点发生变动的，应提前3天以书面形式通知对方。</w:t>
      </w:r>
    </w:p>
    <w:p>
      <w:pPr>
        <w:rPr>
          <w:rFonts w:asciiTheme="minorEastAsia" w:hAnsiTheme="minorEastAsia" w:eastAsiaTheme="minorEastAsia"/>
        </w:rPr>
      </w:pPr>
      <w:r>
        <w:rPr>
          <w:rFonts w:asciiTheme="minorEastAsia" w:hAnsiTheme="minorEastAsia" w:eastAsiaTheme="minorEastAsia"/>
        </w:rPr>
        <w:t>1.7.3 发包人和承包人应当及时签收另一方送达至送达地点和指定接收人的来往信函。拒不签收的，由此增加的费用和（或）延误的工期由拒绝接收一方承担。</w:t>
      </w:r>
    </w:p>
    <w:p>
      <w:pPr>
        <w:rPr>
          <w:rFonts w:asciiTheme="minorEastAsia" w:hAnsiTheme="minorEastAsia" w:eastAsiaTheme="minorEastAsia"/>
          <w:bCs/>
        </w:rPr>
      </w:pPr>
      <w:bookmarkStart w:id="202" w:name="_Toc351203503"/>
      <w:r>
        <w:rPr>
          <w:rFonts w:asciiTheme="minorEastAsia" w:hAnsiTheme="minorEastAsia" w:eastAsiaTheme="minorEastAsia"/>
          <w:bCs/>
        </w:rPr>
        <w:t>1</w:t>
      </w:r>
      <w:bookmarkStart w:id="203" w:name="_Toc337558734"/>
      <w:bookmarkStart w:id="204" w:name="_Toc296503035"/>
      <w:bookmarkStart w:id="205" w:name="_Toc296346536"/>
      <w:r>
        <w:rPr>
          <w:rFonts w:asciiTheme="minorEastAsia" w:hAnsiTheme="minorEastAsia" w:eastAsiaTheme="minorEastAsia"/>
          <w:bCs/>
        </w:rPr>
        <w:t>.8严禁贿赂</w:t>
      </w:r>
      <w:bookmarkEnd w:id="202"/>
    </w:p>
    <w:bookmarkEnd w:id="203"/>
    <w:bookmarkEnd w:id="204"/>
    <w:bookmarkEnd w:id="205"/>
    <w:p>
      <w:pPr>
        <w:rPr>
          <w:rFonts w:asciiTheme="minorEastAsia" w:hAnsiTheme="minorEastAsia" w:eastAsiaTheme="minorEastAsia"/>
        </w:rPr>
      </w:pPr>
      <w:r>
        <w:rPr>
          <w:rFonts w:asciiTheme="minorEastAsia" w:hAnsiTheme="minorEastAsia" w:eastAsiaTheme="minorEastAsia"/>
        </w:rPr>
        <w:t>合同当事人不得以贿赂或变相贿赂的方式，谋取非法利益或损害对方权益。因一方合同当事人的贿赂造成对方损失的，应赔偿损失，并承担相应的法律责任。</w:t>
      </w:r>
    </w:p>
    <w:p>
      <w:pPr>
        <w:rPr>
          <w:rFonts w:asciiTheme="minorEastAsia" w:hAnsiTheme="minorEastAsia" w:eastAsiaTheme="minorEastAsia"/>
        </w:rPr>
      </w:pPr>
      <w:r>
        <w:rPr>
          <w:rFonts w:asciiTheme="minorEastAsia" w:hAnsiTheme="minorEastAsia" w:eastAsiaTheme="minorEastAsia"/>
        </w:rPr>
        <w:t>承包人不得与监理人或发包人聘请的第三方串通损害发包人利益。未经发包人书面同意，承包人不得为监理人提供合同约定以外的通讯设备、交通工具及其他任何形式的利益，不得向监理人支付报酬。</w:t>
      </w:r>
    </w:p>
    <w:p>
      <w:pPr>
        <w:rPr>
          <w:rFonts w:asciiTheme="minorEastAsia" w:hAnsiTheme="minorEastAsia" w:eastAsiaTheme="minorEastAsia"/>
          <w:bCs/>
        </w:rPr>
      </w:pPr>
      <w:bookmarkStart w:id="206" w:name="_Toc351203504"/>
      <w:r>
        <w:rPr>
          <w:rFonts w:asciiTheme="minorEastAsia" w:hAnsiTheme="minorEastAsia" w:eastAsiaTheme="minorEastAsia"/>
          <w:bCs/>
        </w:rPr>
        <w:t>1</w:t>
      </w:r>
      <w:bookmarkStart w:id="207" w:name="_Toc296346537"/>
      <w:bookmarkStart w:id="208" w:name="_Toc296503036"/>
      <w:bookmarkStart w:id="209" w:name="_Toc337558735"/>
      <w:r>
        <w:rPr>
          <w:rFonts w:asciiTheme="minorEastAsia" w:hAnsiTheme="minorEastAsia" w:eastAsiaTheme="minorEastAsia"/>
          <w:bCs/>
        </w:rPr>
        <w:t>.9化石、文物</w:t>
      </w:r>
      <w:bookmarkEnd w:id="206"/>
    </w:p>
    <w:bookmarkEnd w:id="207"/>
    <w:bookmarkEnd w:id="208"/>
    <w:bookmarkEnd w:id="209"/>
    <w:p>
      <w:pPr>
        <w:rPr>
          <w:rFonts w:asciiTheme="minorEastAsia" w:hAnsiTheme="minorEastAsia" w:eastAsiaTheme="minorEastAsia"/>
        </w:rPr>
      </w:pPr>
      <w:r>
        <w:rPr>
          <w:rFonts w:asciiTheme="minorEastAsia" w:hAnsiTheme="minorEastAsia" w:eastAsiaTheme="minorEastAsia"/>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监理人。</w:t>
      </w:r>
    </w:p>
    <w:p>
      <w:pPr>
        <w:rPr>
          <w:rFonts w:asciiTheme="minorEastAsia" w:hAnsiTheme="minorEastAsia" w:eastAsiaTheme="minorEastAsia"/>
        </w:rPr>
      </w:pPr>
      <w:r>
        <w:rPr>
          <w:rFonts w:asciiTheme="minorEastAsia" w:hAnsiTheme="minorEastAsia" w:eastAsiaTheme="minorEastAsia"/>
        </w:rPr>
        <w:t>发包人、监理人和承包人应按有关政府行政管理部门要求采取妥善的保护措施，由此增加的费用和</w:t>
      </w:r>
      <w:r>
        <w:rPr>
          <w:rFonts w:hint="eastAsia" w:asciiTheme="minorEastAsia" w:hAnsiTheme="minorEastAsia" w:eastAsiaTheme="minorEastAsia"/>
        </w:rPr>
        <w:t>（</w:t>
      </w:r>
      <w:r>
        <w:rPr>
          <w:rFonts w:asciiTheme="minorEastAsia" w:hAnsiTheme="minorEastAsia" w:eastAsiaTheme="minorEastAsia"/>
        </w:rPr>
        <w:t>或）延误的工期由发包人承担。</w:t>
      </w:r>
    </w:p>
    <w:p>
      <w:pPr>
        <w:rPr>
          <w:rFonts w:asciiTheme="minorEastAsia" w:hAnsiTheme="minorEastAsia" w:eastAsiaTheme="minorEastAsia"/>
        </w:rPr>
      </w:pPr>
      <w:r>
        <w:rPr>
          <w:rFonts w:asciiTheme="minorEastAsia" w:hAnsiTheme="minorEastAsia" w:eastAsiaTheme="minorEastAsia"/>
        </w:rPr>
        <w:t>承包人发现文物后不及时报告或隐瞒不报，致使文物丢失或损坏的，应赔偿损失，并承担相应的法律责任。</w:t>
      </w:r>
    </w:p>
    <w:p>
      <w:pPr>
        <w:rPr>
          <w:rFonts w:asciiTheme="minorEastAsia" w:hAnsiTheme="minorEastAsia" w:eastAsiaTheme="minorEastAsia"/>
          <w:bCs/>
        </w:rPr>
      </w:pPr>
      <w:bookmarkStart w:id="210" w:name="_Toc351203505"/>
      <w:r>
        <w:rPr>
          <w:rFonts w:asciiTheme="minorEastAsia" w:hAnsiTheme="minorEastAsia" w:eastAsiaTheme="minorEastAsia"/>
          <w:bCs/>
        </w:rPr>
        <w:t>1</w:t>
      </w:r>
      <w:bookmarkStart w:id="211" w:name="_Toc337558736"/>
      <w:r>
        <w:rPr>
          <w:rFonts w:asciiTheme="minorEastAsia" w:hAnsiTheme="minorEastAsia" w:eastAsiaTheme="minorEastAsia"/>
          <w:bCs/>
        </w:rPr>
        <w:t>.10交通运输</w:t>
      </w:r>
      <w:bookmarkEnd w:id="210"/>
    </w:p>
    <w:bookmarkEnd w:id="211"/>
    <w:p>
      <w:pPr>
        <w:rPr>
          <w:rFonts w:asciiTheme="minorEastAsia" w:hAnsiTheme="minorEastAsia" w:eastAsiaTheme="minorEastAsia"/>
        </w:rPr>
      </w:pPr>
      <w:r>
        <w:rPr>
          <w:rFonts w:asciiTheme="minorEastAsia" w:hAnsiTheme="minorEastAsia" w:eastAsiaTheme="minorEastAsia"/>
        </w:rPr>
        <w:t>1.10.1</w:t>
      </w:r>
      <w:r>
        <w:rPr>
          <w:rFonts w:hint="eastAsia" w:asciiTheme="minorEastAsia" w:hAnsiTheme="minorEastAsia" w:eastAsiaTheme="minorEastAsia"/>
        </w:rPr>
        <w:t xml:space="preserve"> </w:t>
      </w:r>
      <w:r>
        <w:rPr>
          <w:rFonts w:asciiTheme="minorEastAsia" w:hAnsiTheme="minorEastAsia" w:eastAsiaTheme="minorEastAsia"/>
        </w:rPr>
        <w:t>出入现场的权利</w:t>
      </w:r>
    </w:p>
    <w:p>
      <w:pPr>
        <w:rPr>
          <w:rFonts w:asciiTheme="minorEastAsia" w:hAnsiTheme="minorEastAsia" w:eastAsiaTheme="minorEastAsia"/>
        </w:rPr>
      </w:pPr>
      <w:r>
        <w:rPr>
          <w:rFonts w:asciiTheme="minorEastAsia" w:hAnsiTheme="minorEastAsia" w:eastAsiaTheme="minorEastAsia"/>
        </w:rPr>
        <w:t>除专用合同条款另有约定外，发包人应根据施工需要，负责取得出入施工现场所需的</w:t>
      </w:r>
      <w:r>
        <w:rPr>
          <w:rFonts w:hint="eastAsia" w:asciiTheme="minorEastAsia" w:hAnsiTheme="minorEastAsia" w:eastAsiaTheme="minorEastAsia"/>
        </w:rPr>
        <w:t>批准手续和</w:t>
      </w:r>
      <w:r>
        <w:rPr>
          <w:rFonts w:asciiTheme="minorEastAsia" w:hAnsiTheme="minorEastAsia" w:eastAsiaTheme="minorEastAsia"/>
        </w:rPr>
        <w:t>全部权利，以及取得因施工所需修建道路、桥梁以及其他基础设施的权利，并承担相关手续费用和建设费用。承包人应协助发包人办理修建场内外道路、桥梁以及其他基础设施的手续。</w:t>
      </w:r>
    </w:p>
    <w:p>
      <w:pPr>
        <w:rPr>
          <w:rFonts w:asciiTheme="minorEastAsia" w:hAnsiTheme="minorEastAsia" w:eastAsiaTheme="minorEastAsia"/>
        </w:rPr>
      </w:pPr>
      <w:r>
        <w:rPr>
          <w:rFonts w:asciiTheme="minorEastAsia" w:hAnsiTheme="minorEastAsia" w:eastAsiaTheme="minorEastAsia"/>
        </w:rPr>
        <w:t>承包人应在订立合同前查勘施工现场，并根据工程规模及技术参数合理预见工程施工所需的进出施工现场的方式、手段、路径等。因承包人未合理预见所增加的费用和（或）延误的工期由承包人承担。</w:t>
      </w:r>
    </w:p>
    <w:p>
      <w:pPr>
        <w:rPr>
          <w:rFonts w:asciiTheme="minorEastAsia" w:hAnsiTheme="minorEastAsia" w:eastAsiaTheme="minorEastAsia"/>
        </w:rPr>
      </w:pPr>
      <w:r>
        <w:rPr>
          <w:rFonts w:asciiTheme="minorEastAsia" w:hAnsiTheme="minorEastAsia" w:eastAsiaTheme="minorEastAsia"/>
        </w:rPr>
        <w:t>1.10.2</w:t>
      </w:r>
      <w:r>
        <w:rPr>
          <w:rFonts w:hint="eastAsia" w:asciiTheme="minorEastAsia" w:hAnsiTheme="minorEastAsia" w:eastAsiaTheme="minorEastAsia"/>
        </w:rPr>
        <w:t xml:space="preserve"> </w:t>
      </w:r>
      <w:r>
        <w:rPr>
          <w:rFonts w:asciiTheme="minorEastAsia" w:hAnsiTheme="minorEastAsia" w:eastAsiaTheme="minorEastAsia"/>
        </w:rPr>
        <w:t>场外交通</w:t>
      </w:r>
    </w:p>
    <w:p>
      <w:pPr>
        <w:rPr>
          <w:rFonts w:asciiTheme="minorEastAsia" w:hAnsiTheme="minorEastAsia" w:eastAsiaTheme="minorEastAsia"/>
        </w:rPr>
      </w:pPr>
      <w:r>
        <w:rPr>
          <w:rFonts w:asciiTheme="minorEastAsia" w:hAnsiTheme="minorEastAsia" w:eastAsiaTheme="minorEastAsia"/>
        </w:rPr>
        <w:t>发包人应提供场外交通设施的技术参数和具体条件，承包人应遵守有关交通法规，严格按照道路和桥梁的限制荷载行驶，执行有关道路限速、限行、禁止超载的规定，并配合交通管理部门的监督和检查。场外交通设施无法满足工程施工需要的，由发包人负责完善并承担相关费用。</w:t>
      </w:r>
    </w:p>
    <w:p>
      <w:pPr>
        <w:rPr>
          <w:rFonts w:asciiTheme="minorEastAsia" w:hAnsiTheme="minorEastAsia" w:eastAsiaTheme="minorEastAsia"/>
        </w:rPr>
      </w:pPr>
      <w:r>
        <w:rPr>
          <w:rFonts w:asciiTheme="minorEastAsia" w:hAnsiTheme="minorEastAsia" w:eastAsiaTheme="minorEastAsia"/>
        </w:rPr>
        <w:t>1.10.3场内交通</w:t>
      </w:r>
    </w:p>
    <w:p>
      <w:pPr>
        <w:rPr>
          <w:rFonts w:asciiTheme="minorEastAsia" w:hAnsiTheme="minorEastAsia" w:eastAsiaTheme="minorEastAsia"/>
        </w:rPr>
      </w:pPr>
      <w:r>
        <w:rPr>
          <w:rFonts w:asciiTheme="minorEastAsia" w:hAnsiTheme="minorEastAsia" w:eastAsiaTheme="minorEastAsia"/>
        </w:rPr>
        <w:t>发包人应提供场内交通设施的技术参数和具体条件，并应按照专用合同条款的约定向承包人免费提供满足工程施工所需的场内道路和交通设施。因承包人原因造成上述道路或交通设施损坏的，承包人负责修复并承担由此增加的费用。</w:t>
      </w:r>
    </w:p>
    <w:p>
      <w:pPr>
        <w:rPr>
          <w:rFonts w:asciiTheme="minorEastAsia" w:hAnsiTheme="minorEastAsia" w:eastAsiaTheme="minorEastAsia"/>
        </w:rPr>
      </w:pPr>
      <w:r>
        <w:rPr>
          <w:rFonts w:asciiTheme="minorEastAsia" w:hAnsiTheme="minorEastAsia" w:eastAsiaTheme="minorEastAsia"/>
        </w:rPr>
        <w:t>除发包人按照合同约定提供的场内道路和交通设施外，承包人负责修建、维修、养护和管理施工所需的其他场内临时道路和交通设施。发包人和监理人可以为实现合同目的使用承包人修建的场内临时道路和交通设施。</w:t>
      </w:r>
    </w:p>
    <w:p>
      <w:pPr>
        <w:rPr>
          <w:rFonts w:asciiTheme="minorEastAsia" w:hAnsiTheme="minorEastAsia" w:eastAsiaTheme="minorEastAsia"/>
        </w:rPr>
      </w:pPr>
      <w:r>
        <w:rPr>
          <w:rFonts w:asciiTheme="minorEastAsia" w:hAnsiTheme="minorEastAsia" w:eastAsiaTheme="minorEastAsia"/>
        </w:rPr>
        <w:t>场外交通和场内交通的边界由合同当事人在专用合同条款中约定。</w:t>
      </w:r>
    </w:p>
    <w:p>
      <w:pPr>
        <w:rPr>
          <w:rFonts w:asciiTheme="minorEastAsia" w:hAnsiTheme="minorEastAsia" w:eastAsiaTheme="minorEastAsia"/>
        </w:rPr>
      </w:pPr>
      <w:r>
        <w:rPr>
          <w:rFonts w:asciiTheme="minorEastAsia" w:hAnsiTheme="minorEastAsia" w:eastAsiaTheme="minorEastAsia"/>
        </w:rPr>
        <w:t>1.10.4</w:t>
      </w:r>
      <w:r>
        <w:rPr>
          <w:rFonts w:hint="eastAsia" w:asciiTheme="minorEastAsia" w:hAnsiTheme="minorEastAsia" w:eastAsiaTheme="minorEastAsia"/>
        </w:rPr>
        <w:t xml:space="preserve"> </w:t>
      </w:r>
      <w:r>
        <w:rPr>
          <w:rFonts w:asciiTheme="minorEastAsia" w:hAnsiTheme="minorEastAsia" w:eastAsiaTheme="minorEastAsia"/>
        </w:rPr>
        <w:t>超大件和超重件的运输</w:t>
      </w:r>
    </w:p>
    <w:p>
      <w:pPr>
        <w:rPr>
          <w:rFonts w:asciiTheme="minorEastAsia" w:hAnsiTheme="minorEastAsia" w:eastAsiaTheme="minorEastAsia"/>
        </w:rPr>
      </w:pPr>
      <w:r>
        <w:rPr>
          <w:rFonts w:asciiTheme="minorEastAsia" w:hAnsiTheme="minorEastAsia" w:eastAsiaTheme="minorEastAsia"/>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pPr>
        <w:rPr>
          <w:rFonts w:asciiTheme="minorEastAsia" w:hAnsiTheme="minorEastAsia" w:eastAsiaTheme="minorEastAsia"/>
        </w:rPr>
      </w:pPr>
      <w:r>
        <w:rPr>
          <w:rFonts w:asciiTheme="minorEastAsia" w:hAnsiTheme="minorEastAsia" w:eastAsiaTheme="minorEastAsia"/>
        </w:rPr>
        <w:t>1.10.5</w:t>
      </w:r>
      <w:r>
        <w:rPr>
          <w:rFonts w:hint="eastAsia" w:asciiTheme="minorEastAsia" w:hAnsiTheme="minorEastAsia" w:eastAsiaTheme="minorEastAsia"/>
        </w:rPr>
        <w:t xml:space="preserve"> </w:t>
      </w:r>
      <w:r>
        <w:rPr>
          <w:rFonts w:asciiTheme="minorEastAsia" w:hAnsiTheme="minorEastAsia" w:eastAsiaTheme="minorEastAsia"/>
        </w:rPr>
        <w:t>道路和桥梁的损坏责任</w:t>
      </w:r>
    </w:p>
    <w:p>
      <w:pPr>
        <w:rPr>
          <w:rFonts w:asciiTheme="minorEastAsia" w:hAnsiTheme="minorEastAsia" w:eastAsiaTheme="minorEastAsia"/>
        </w:rPr>
      </w:pPr>
      <w:r>
        <w:rPr>
          <w:rFonts w:asciiTheme="minorEastAsia" w:hAnsiTheme="minorEastAsia" w:eastAsiaTheme="minorEastAsia"/>
        </w:rPr>
        <w:t>因承包人运输造成施工场地内外公共道路和桥梁损坏的，由承包人承担修复损坏的全部费用和可能引起的赔偿。</w:t>
      </w:r>
    </w:p>
    <w:p>
      <w:pPr>
        <w:rPr>
          <w:rFonts w:asciiTheme="minorEastAsia" w:hAnsiTheme="minorEastAsia" w:eastAsiaTheme="minorEastAsia"/>
        </w:rPr>
      </w:pPr>
      <w:r>
        <w:rPr>
          <w:rFonts w:asciiTheme="minorEastAsia" w:hAnsiTheme="minorEastAsia" w:eastAsiaTheme="minorEastAsia"/>
        </w:rPr>
        <w:t>1.10.6</w:t>
      </w:r>
      <w:r>
        <w:rPr>
          <w:rFonts w:hint="eastAsia" w:asciiTheme="minorEastAsia" w:hAnsiTheme="minorEastAsia" w:eastAsiaTheme="minorEastAsia"/>
        </w:rPr>
        <w:t xml:space="preserve"> </w:t>
      </w:r>
      <w:r>
        <w:rPr>
          <w:rFonts w:asciiTheme="minorEastAsia" w:hAnsiTheme="minorEastAsia" w:eastAsiaTheme="minorEastAsia"/>
        </w:rPr>
        <w:t>水路和航空运输</w:t>
      </w:r>
    </w:p>
    <w:p>
      <w:pPr>
        <w:rPr>
          <w:rFonts w:asciiTheme="minorEastAsia" w:hAnsiTheme="minorEastAsia" w:eastAsiaTheme="minorEastAsia"/>
        </w:rPr>
      </w:pPr>
      <w:r>
        <w:rPr>
          <w:rFonts w:asciiTheme="minorEastAsia" w:hAnsiTheme="minorEastAsia" w:eastAsiaTheme="minorEastAsia"/>
        </w:rPr>
        <w:t>本</w:t>
      </w:r>
      <w:r>
        <w:rPr>
          <w:rFonts w:hint="eastAsia" w:asciiTheme="minorEastAsia" w:hAnsiTheme="minorEastAsia" w:eastAsiaTheme="minorEastAsia"/>
        </w:rPr>
        <w:t>款</w:t>
      </w:r>
      <w:r>
        <w:rPr>
          <w:rFonts w:asciiTheme="minorEastAsia" w:hAnsiTheme="minorEastAsia" w:eastAsiaTheme="minorEastAsia"/>
        </w:rPr>
        <w:t>前述各</w:t>
      </w:r>
      <w:r>
        <w:rPr>
          <w:rFonts w:hint="eastAsia" w:asciiTheme="minorEastAsia" w:hAnsiTheme="minorEastAsia" w:eastAsiaTheme="minorEastAsia"/>
        </w:rPr>
        <w:t>项</w:t>
      </w:r>
      <w:r>
        <w:rPr>
          <w:rFonts w:asciiTheme="minorEastAsia" w:hAnsiTheme="minorEastAsia" w:eastAsiaTheme="minorEastAsia"/>
        </w:rPr>
        <w:t>的内容适用于水路运输和航空运输，其中“道路”一词的涵义包括河道、航线、船闸、机场、码头、堤防以及水路或航空运输中其他相似结构物；“车辆”一词的涵义包括船舶和飞机等。</w:t>
      </w:r>
    </w:p>
    <w:p>
      <w:pPr>
        <w:rPr>
          <w:rFonts w:asciiTheme="minorEastAsia" w:hAnsiTheme="minorEastAsia" w:eastAsiaTheme="minorEastAsia"/>
          <w:bCs/>
        </w:rPr>
      </w:pPr>
      <w:bookmarkStart w:id="212" w:name="_Toc351203506"/>
      <w:r>
        <w:rPr>
          <w:rFonts w:asciiTheme="minorEastAsia" w:hAnsiTheme="minorEastAsia" w:eastAsiaTheme="minorEastAsia"/>
          <w:bCs/>
        </w:rPr>
        <w:t>1</w:t>
      </w:r>
      <w:bookmarkStart w:id="213" w:name="_Toc337558737"/>
      <w:bookmarkStart w:id="214" w:name="_Toc296346538"/>
      <w:bookmarkStart w:id="215" w:name="_Toc296503037"/>
      <w:r>
        <w:rPr>
          <w:rFonts w:asciiTheme="minorEastAsia" w:hAnsiTheme="minorEastAsia" w:eastAsiaTheme="minorEastAsia"/>
          <w:bCs/>
        </w:rPr>
        <w:t>.11知识产权</w:t>
      </w:r>
      <w:bookmarkEnd w:id="212"/>
      <w:r>
        <w:rPr>
          <w:rFonts w:asciiTheme="minorEastAsia" w:hAnsiTheme="minorEastAsia" w:eastAsiaTheme="minorEastAsia"/>
          <w:bCs/>
        </w:rPr>
        <w:t xml:space="preserve"> </w:t>
      </w:r>
      <w:bookmarkEnd w:id="213"/>
    </w:p>
    <w:bookmarkEnd w:id="214"/>
    <w:bookmarkEnd w:id="215"/>
    <w:p>
      <w:pPr>
        <w:rPr>
          <w:rFonts w:asciiTheme="minorEastAsia" w:hAnsiTheme="minorEastAsia" w:eastAsiaTheme="minorEastAsia"/>
        </w:rPr>
      </w:pPr>
      <w:r>
        <w:rPr>
          <w:rFonts w:asciiTheme="minorEastAsia" w:hAnsiTheme="minorEastAsia" w:eastAsiaTheme="minorEastAsia"/>
        </w:rPr>
        <w:t>1.11.1 除专用合同条款另有约定外，发包人提供给承包人的图纸、发包人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pPr>
        <w:rPr>
          <w:rFonts w:asciiTheme="minorEastAsia" w:hAnsiTheme="minorEastAsia" w:eastAsiaTheme="minorEastAsia"/>
        </w:rPr>
      </w:pPr>
      <w:r>
        <w:rPr>
          <w:rFonts w:asciiTheme="minorEastAsia" w:hAnsiTheme="minorEastAsia" w:eastAsiaTheme="minorEastAsia"/>
        </w:rPr>
        <w:t>1.11.2 除专用合同条款另有约定外，承包人为实施工程所编制的文件，除署名权以外的著作权属于发包人，承包人可因实施工程的运行、调试、维修、改造等目的而复制、使用此类文件，但不能用于与合同无关的其他事项。未经发包人书面同意，承包人不得为了合同以外的目的而复制、使用上述文件或将之提供给任何第三方。</w:t>
      </w:r>
    </w:p>
    <w:p>
      <w:pPr>
        <w:rPr>
          <w:rFonts w:asciiTheme="minorEastAsia" w:hAnsiTheme="minorEastAsia" w:eastAsiaTheme="minorEastAsia"/>
        </w:rPr>
      </w:pPr>
      <w:r>
        <w:rPr>
          <w:rFonts w:asciiTheme="minorEastAsia" w:hAnsiTheme="minorEastAsia" w:eastAsiaTheme="minorEastAsia"/>
        </w:rPr>
        <w:t>1.11.3 合同当事人保证在履行合同过程中不侵犯对方及第三方的知识产权。承包人在使用材料、施工设备、工程设备或采用施工工艺时，因侵犯他人的专利权或其他知识产权所引起的责任，由承包人承担；因发包人提供的材料、施工设备、工程设备或施工工艺导致侵权的，由发包人承担责任。</w:t>
      </w:r>
    </w:p>
    <w:p>
      <w:pPr>
        <w:rPr>
          <w:rFonts w:asciiTheme="minorEastAsia" w:hAnsiTheme="minorEastAsia" w:eastAsiaTheme="minorEastAsia"/>
        </w:rPr>
      </w:pPr>
      <w:r>
        <w:rPr>
          <w:rFonts w:asciiTheme="minorEastAsia" w:hAnsiTheme="minorEastAsia" w:eastAsiaTheme="minorEastAsia"/>
        </w:rPr>
        <w:t xml:space="preserve">    1.11.4 除专用合同条款另有约定外，承包人在合同签订前和签订时已确定采用的专利、专有技术、技术秘密的使用费已包含在签约合同价中。</w:t>
      </w:r>
    </w:p>
    <w:p>
      <w:pPr>
        <w:rPr>
          <w:rFonts w:asciiTheme="minorEastAsia" w:hAnsiTheme="minorEastAsia" w:eastAsiaTheme="minorEastAsia"/>
          <w:bCs/>
        </w:rPr>
      </w:pPr>
      <w:bookmarkStart w:id="216" w:name="_Toc351203507"/>
      <w:r>
        <w:rPr>
          <w:rFonts w:asciiTheme="minorEastAsia" w:hAnsiTheme="minorEastAsia" w:eastAsiaTheme="minorEastAsia"/>
          <w:bCs/>
        </w:rPr>
        <w:t>1</w:t>
      </w:r>
      <w:bookmarkStart w:id="217" w:name="_Toc337558738"/>
      <w:r>
        <w:rPr>
          <w:rFonts w:asciiTheme="minorEastAsia" w:hAnsiTheme="minorEastAsia" w:eastAsiaTheme="minorEastAsia"/>
          <w:bCs/>
        </w:rPr>
        <w:t>.12保密</w:t>
      </w:r>
      <w:bookmarkEnd w:id="216"/>
    </w:p>
    <w:bookmarkEnd w:id="217"/>
    <w:p>
      <w:pPr>
        <w:rPr>
          <w:rFonts w:asciiTheme="minorEastAsia" w:hAnsiTheme="minorEastAsia" w:eastAsiaTheme="minorEastAsia"/>
        </w:rPr>
      </w:pPr>
      <w:r>
        <w:rPr>
          <w:rFonts w:asciiTheme="minorEastAsia" w:hAnsiTheme="minorEastAsia" w:eastAsiaTheme="minorEastAsia"/>
        </w:rPr>
        <w:t>除法律规定或合同另有约定外，未经发包人同意，承包人不得将发包人提供的图纸、文件以及声明需要保密的资料信息等商业秘密泄露给第三方。</w:t>
      </w:r>
    </w:p>
    <w:p>
      <w:pPr>
        <w:rPr>
          <w:rFonts w:asciiTheme="minorEastAsia" w:hAnsiTheme="minorEastAsia" w:eastAsiaTheme="minorEastAsia"/>
        </w:rPr>
      </w:pPr>
      <w:r>
        <w:rPr>
          <w:rFonts w:asciiTheme="minorEastAsia" w:hAnsiTheme="minorEastAsia" w:eastAsiaTheme="minorEastAsia"/>
        </w:rPr>
        <w:t>除法律规定或合同另有约定外，未经承包人同意，发包人不得将承包人提供的技术秘密及声明需要保密的资料信息等商业秘密泄露给第三方。</w:t>
      </w:r>
    </w:p>
    <w:p>
      <w:pPr>
        <w:rPr>
          <w:rFonts w:asciiTheme="minorEastAsia" w:hAnsiTheme="minorEastAsia" w:eastAsiaTheme="minorEastAsia"/>
          <w:bCs/>
        </w:rPr>
      </w:pPr>
      <w:bookmarkStart w:id="218" w:name="_Toc351203508"/>
      <w:r>
        <w:rPr>
          <w:rFonts w:asciiTheme="minorEastAsia" w:hAnsiTheme="minorEastAsia" w:eastAsiaTheme="minorEastAsia"/>
          <w:bCs/>
        </w:rPr>
        <w:t>1.13工程量清单错误的修正</w:t>
      </w:r>
      <w:bookmarkEnd w:id="218"/>
    </w:p>
    <w:p>
      <w:pPr>
        <w:rPr>
          <w:rFonts w:asciiTheme="minorEastAsia" w:hAnsiTheme="minorEastAsia" w:eastAsiaTheme="minorEastAsia"/>
        </w:rPr>
      </w:pPr>
      <w:r>
        <w:rPr>
          <w:rFonts w:hint="eastAsia" w:asciiTheme="minorEastAsia" w:hAnsiTheme="minorEastAsia" w:eastAsiaTheme="minorEastAsia"/>
        </w:rPr>
        <w:t>除专用合同条款另有约定外，</w:t>
      </w:r>
      <w:r>
        <w:rPr>
          <w:rFonts w:asciiTheme="minorEastAsia" w:hAnsiTheme="minorEastAsia" w:eastAsiaTheme="minorEastAsia"/>
        </w:rPr>
        <w:t>发包人提供的工程量清单，应被认为是准确的和完整的。出现下列情形之一时，发包人应予以修正，并相应调整合同价格：</w:t>
      </w:r>
    </w:p>
    <w:p>
      <w:pPr>
        <w:rPr>
          <w:rFonts w:asciiTheme="minorEastAsia" w:hAnsiTheme="minorEastAsia" w:eastAsiaTheme="minorEastAsia"/>
        </w:rPr>
      </w:pPr>
      <w:r>
        <w:rPr>
          <w:rFonts w:asciiTheme="minorEastAsia" w:hAnsiTheme="minorEastAsia" w:eastAsiaTheme="minorEastAsia"/>
        </w:rPr>
        <w:t>（1）工程量清单存在缺项、漏项的；</w:t>
      </w:r>
    </w:p>
    <w:p>
      <w:pPr>
        <w:rPr>
          <w:rFonts w:asciiTheme="minorEastAsia" w:hAnsiTheme="minorEastAsia" w:eastAsiaTheme="minorEastAsia"/>
        </w:rPr>
      </w:pPr>
      <w:r>
        <w:rPr>
          <w:rFonts w:asciiTheme="minorEastAsia" w:hAnsiTheme="minorEastAsia" w:eastAsiaTheme="minorEastAsia"/>
        </w:rPr>
        <w:t>（2）工程量清单偏差超出专用合同条款约定的工程量偏差范围的；</w:t>
      </w:r>
    </w:p>
    <w:p>
      <w:pPr>
        <w:rPr>
          <w:rFonts w:asciiTheme="minorEastAsia" w:hAnsiTheme="minorEastAsia" w:eastAsiaTheme="minorEastAsia"/>
        </w:rPr>
      </w:pPr>
      <w:r>
        <w:rPr>
          <w:rFonts w:asciiTheme="minorEastAsia" w:hAnsiTheme="minorEastAsia" w:eastAsiaTheme="minorEastAsia"/>
        </w:rPr>
        <w:t>（3）未按照国家现行计量规范强制性规定计量的。</w:t>
      </w:r>
    </w:p>
    <w:p>
      <w:pPr>
        <w:rPr>
          <w:rFonts w:asciiTheme="minorEastAsia" w:hAnsiTheme="minorEastAsia" w:eastAsiaTheme="minorEastAsia"/>
          <w:bCs/>
        </w:rPr>
      </w:pPr>
      <w:bookmarkStart w:id="219" w:name="_Toc351203509"/>
      <w:r>
        <w:rPr>
          <w:rFonts w:asciiTheme="minorEastAsia" w:hAnsiTheme="minorEastAsia" w:eastAsiaTheme="minorEastAsia"/>
          <w:bCs/>
        </w:rPr>
        <w:t>2</w:t>
      </w:r>
      <w:bookmarkStart w:id="220" w:name="_Toc296346539"/>
      <w:bookmarkStart w:id="221" w:name="_Toc296503038"/>
      <w:bookmarkStart w:id="222" w:name="_Toc337558739"/>
      <w:r>
        <w:rPr>
          <w:rFonts w:asciiTheme="minorEastAsia" w:hAnsiTheme="minorEastAsia" w:eastAsiaTheme="minorEastAsia"/>
          <w:bCs/>
        </w:rPr>
        <w:t>. 发包人</w:t>
      </w:r>
      <w:bookmarkEnd w:id="219"/>
    </w:p>
    <w:bookmarkEnd w:id="220"/>
    <w:bookmarkEnd w:id="221"/>
    <w:bookmarkEnd w:id="222"/>
    <w:p>
      <w:pPr>
        <w:rPr>
          <w:rFonts w:asciiTheme="minorEastAsia" w:hAnsiTheme="minorEastAsia" w:eastAsiaTheme="minorEastAsia"/>
          <w:bCs/>
        </w:rPr>
      </w:pPr>
      <w:bookmarkStart w:id="223" w:name="_Toc351203510"/>
      <w:r>
        <w:rPr>
          <w:rFonts w:asciiTheme="minorEastAsia" w:hAnsiTheme="minorEastAsia" w:eastAsiaTheme="minorEastAsia"/>
          <w:bCs/>
        </w:rPr>
        <w:t>2</w:t>
      </w:r>
      <w:bookmarkStart w:id="224" w:name="_Toc296346540"/>
      <w:bookmarkStart w:id="225" w:name="_Toc337558740"/>
      <w:bookmarkStart w:id="226" w:name="_Toc296503039"/>
      <w:r>
        <w:rPr>
          <w:rFonts w:asciiTheme="minorEastAsia" w:hAnsiTheme="minorEastAsia" w:eastAsiaTheme="minorEastAsia"/>
          <w:bCs/>
        </w:rPr>
        <w:t>.1 许可或批准</w:t>
      </w:r>
      <w:bookmarkEnd w:id="223"/>
    </w:p>
    <w:p>
      <w:pPr>
        <w:rPr>
          <w:rFonts w:asciiTheme="minorEastAsia" w:hAnsiTheme="minorEastAsia" w:eastAsiaTheme="minorEastAsia"/>
        </w:rPr>
      </w:pPr>
      <w:r>
        <w:rPr>
          <w:rFonts w:asciiTheme="minorEastAsia" w:hAnsiTheme="minorEastAsia" w:eastAsiaTheme="minorEastAsia"/>
        </w:rPr>
        <w:t>发包人应遵守法律，并办理法律规定由其办理的许可、批准或备案，包括但不限于建设用地规划许可证、建设工程规划许可证、建设工程施工许可证、施工所需临时用水、临时用电、中断道路交通、临时占用土地等许可和批准。发包人应协助承包人办理法律规定的有关施工证件和批件。</w:t>
      </w:r>
    </w:p>
    <w:p>
      <w:pPr>
        <w:rPr>
          <w:rFonts w:asciiTheme="minorEastAsia" w:hAnsiTheme="minorEastAsia" w:eastAsiaTheme="minorEastAsia"/>
        </w:rPr>
      </w:pPr>
      <w:r>
        <w:rPr>
          <w:rFonts w:asciiTheme="minorEastAsia" w:hAnsiTheme="minorEastAsia" w:eastAsiaTheme="minorEastAsia"/>
        </w:rPr>
        <w:t>因发包人原因未能及时办理完毕前述许可、批准或备案，由发包人承担由此增加的费用和（或）延误的工期，并支付承包人合理的利润。</w:t>
      </w:r>
    </w:p>
    <w:p>
      <w:pPr>
        <w:rPr>
          <w:rFonts w:asciiTheme="minorEastAsia" w:hAnsiTheme="minorEastAsia" w:eastAsiaTheme="minorEastAsia"/>
          <w:bCs/>
        </w:rPr>
      </w:pPr>
      <w:bookmarkStart w:id="227" w:name="_Toc351203511"/>
      <w:r>
        <w:rPr>
          <w:rFonts w:asciiTheme="minorEastAsia" w:hAnsiTheme="minorEastAsia" w:eastAsiaTheme="minorEastAsia"/>
          <w:bCs/>
        </w:rPr>
        <w:t>2.2 发包人代表</w:t>
      </w:r>
      <w:bookmarkEnd w:id="227"/>
    </w:p>
    <w:p>
      <w:pPr>
        <w:rPr>
          <w:rFonts w:asciiTheme="minorEastAsia" w:hAnsiTheme="minorEastAsia" w:eastAsiaTheme="minorEastAsia"/>
        </w:rPr>
      </w:pPr>
      <w:r>
        <w:rPr>
          <w:rFonts w:asciiTheme="minorEastAsia" w:hAnsiTheme="minorEastAsia" w:eastAsiaTheme="minorEastAsia"/>
        </w:rPr>
        <w:t>发包人应在专用合同条款中明确其派驻施工现场的发包人代表的姓名、职务、联系方式及授权范围等事项。发包人代表在发包人的授权范围内，负责处理合同履行过程中与发包人有关的具体事宜。发包人代表在授权范围内的行为由发包人承担法律责任。发包人更换发包人代表的，应提前7天书面通知承包人。</w:t>
      </w:r>
    </w:p>
    <w:p>
      <w:pPr>
        <w:rPr>
          <w:rFonts w:asciiTheme="minorEastAsia" w:hAnsiTheme="minorEastAsia" w:eastAsiaTheme="minorEastAsia"/>
        </w:rPr>
      </w:pPr>
      <w:r>
        <w:rPr>
          <w:rFonts w:asciiTheme="minorEastAsia" w:hAnsiTheme="minorEastAsia" w:eastAsiaTheme="minorEastAsia"/>
        </w:rPr>
        <w:t>发包人代表不能按照合同约定履行其职责及义务，并导致合同无法继续正常履行的，承包人可以要求发包人撤换发包人代表。</w:t>
      </w:r>
    </w:p>
    <w:p>
      <w:pPr>
        <w:rPr>
          <w:rFonts w:asciiTheme="minorEastAsia" w:hAnsiTheme="minorEastAsia" w:eastAsiaTheme="minorEastAsia"/>
        </w:rPr>
      </w:pPr>
      <w:r>
        <w:rPr>
          <w:rFonts w:hint="eastAsia" w:asciiTheme="minorEastAsia" w:hAnsiTheme="minorEastAsia" w:eastAsiaTheme="minorEastAsia"/>
        </w:rPr>
        <w:t>不属于法定必须监理的工程，监理人的职权可以由发包人代表或发包人指定的其他人员行使。</w:t>
      </w:r>
    </w:p>
    <w:p>
      <w:pPr>
        <w:rPr>
          <w:rFonts w:asciiTheme="minorEastAsia" w:hAnsiTheme="minorEastAsia" w:eastAsiaTheme="minorEastAsia"/>
          <w:bCs/>
        </w:rPr>
      </w:pPr>
      <w:bookmarkStart w:id="228" w:name="_Toc351203512"/>
      <w:r>
        <w:rPr>
          <w:rFonts w:asciiTheme="minorEastAsia" w:hAnsiTheme="minorEastAsia" w:eastAsiaTheme="minorEastAsia"/>
          <w:bCs/>
        </w:rPr>
        <w:t>2.3 发包人人员</w:t>
      </w:r>
      <w:bookmarkEnd w:id="228"/>
    </w:p>
    <w:p>
      <w:pPr>
        <w:rPr>
          <w:rFonts w:asciiTheme="minorEastAsia" w:hAnsiTheme="minorEastAsia" w:eastAsiaTheme="minorEastAsia"/>
        </w:rPr>
      </w:pPr>
      <w:r>
        <w:rPr>
          <w:rFonts w:asciiTheme="minorEastAsia" w:hAnsiTheme="minorEastAsia" w:eastAsiaTheme="minorEastAsia"/>
        </w:rPr>
        <w:t>发包人应要求在施工现场的发包人人员遵守法律及有关安全、质量、环境保护、文明施工等规定，并保障承包人免于承受因发包人人员未遵守上述要求给承包人造成的损失和责任。</w:t>
      </w:r>
    </w:p>
    <w:p>
      <w:pPr>
        <w:rPr>
          <w:rFonts w:asciiTheme="minorEastAsia" w:hAnsiTheme="minorEastAsia" w:eastAsiaTheme="minorEastAsia"/>
        </w:rPr>
      </w:pPr>
      <w:r>
        <w:rPr>
          <w:rFonts w:asciiTheme="minorEastAsia" w:hAnsiTheme="minorEastAsia" w:eastAsiaTheme="minorEastAsia"/>
        </w:rPr>
        <w:t>发包人人员包括发包人代表及其他由发包人派驻施工现场的人员。</w:t>
      </w:r>
      <w:bookmarkEnd w:id="224"/>
      <w:bookmarkEnd w:id="225"/>
      <w:bookmarkEnd w:id="226"/>
    </w:p>
    <w:p>
      <w:pPr>
        <w:rPr>
          <w:rFonts w:asciiTheme="minorEastAsia" w:hAnsiTheme="minorEastAsia" w:eastAsiaTheme="minorEastAsia"/>
          <w:bCs/>
        </w:rPr>
      </w:pPr>
      <w:bookmarkStart w:id="229" w:name="_Toc351203513"/>
      <w:r>
        <w:rPr>
          <w:rFonts w:asciiTheme="minorEastAsia" w:hAnsiTheme="minorEastAsia" w:eastAsiaTheme="minorEastAsia"/>
          <w:bCs/>
        </w:rPr>
        <w:t>2</w:t>
      </w:r>
      <w:bookmarkStart w:id="230" w:name="_Toc337558741"/>
      <w:bookmarkStart w:id="231" w:name="_Toc296503040"/>
      <w:bookmarkStart w:id="232" w:name="_Toc296346541"/>
      <w:r>
        <w:rPr>
          <w:rFonts w:asciiTheme="minorEastAsia" w:hAnsiTheme="minorEastAsia" w:eastAsiaTheme="minorEastAsia"/>
          <w:bCs/>
        </w:rPr>
        <w:t>.4 施工现场、施工条件和基础资料的提供</w:t>
      </w:r>
      <w:bookmarkEnd w:id="229"/>
      <w:r>
        <w:rPr>
          <w:rFonts w:asciiTheme="minorEastAsia" w:hAnsiTheme="minorEastAsia" w:eastAsiaTheme="minorEastAsia"/>
          <w:bCs/>
        </w:rPr>
        <w:t xml:space="preserve"> </w:t>
      </w:r>
      <w:bookmarkEnd w:id="230"/>
      <w:bookmarkEnd w:id="231"/>
      <w:bookmarkEnd w:id="232"/>
      <w:r>
        <w:rPr>
          <w:rFonts w:asciiTheme="minorEastAsia" w:hAnsiTheme="minorEastAsia" w:eastAsiaTheme="minorEastAsia"/>
          <w:bCs/>
        </w:rPr>
        <w:t xml:space="preserve"> </w:t>
      </w:r>
    </w:p>
    <w:p>
      <w:pPr>
        <w:rPr>
          <w:rFonts w:asciiTheme="minorEastAsia" w:hAnsiTheme="minorEastAsia" w:eastAsiaTheme="minorEastAsia"/>
        </w:rPr>
      </w:pPr>
      <w:r>
        <w:rPr>
          <w:rFonts w:asciiTheme="minorEastAsia" w:hAnsiTheme="minorEastAsia" w:eastAsiaTheme="minorEastAsia"/>
        </w:rPr>
        <w:t>2.4.1 提供施工现场</w:t>
      </w:r>
    </w:p>
    <w:p>
      <w:pPr>
        <w:rPr>
          <w:rFonts w:asciiTheme="minorEastAsia" w:hAnsiTheme="minorEastAsia" w:eastAsiaTheme="minorEastAsia"/>
        </w:rPr>
      </w:pPr>
      <w:r>
        <w:rPr>
          <w:rFonts w:asciiTheme="minorEastAsia" w:hAnsiTheme="minorEastAsia" w:eastAsiaTheme="minorEastAsia"/>
        </w:rPr>
        <w:t>除专用合同条款另有约定外，发包人应</w:t>
      </w:r>
      <w:r>
        <w:rPr>
          <w:rFonts w:hint="eastAsia" w:asciiTheme="minorEastAsia" w:hAnsiTheme="minorEastAsia" w:eastAsiaTheme="minorEastAsia"/>
        </w:rPr>
        <w:t>最迟于</w:t>
      </w:r>
      <w:r>
        <w:rPr>
          <w:rFonts w:asciiTheme="minorEastAsia" w:hAnsiTheme="minorEastAsia" w:eastAsiaTheme="minorEastAsia"/>
        </w:rPr>
        <w:t>开工日期7天前向承包人移交施工现场。</w:t>
      </w:r>
    </w:p>
    <w:p>
      <w:pPr>
        <w:rPr>
          <w:rFonts w:asciiTheme="minorEastAsia" w:hAnsiTheme="minorEastAsia" w:eastAsiaTheme="minorEastAsia"/>
        </w:rPr>
      </w:pPr>
      <w:r>
        <w:rPr>
          <w:rFonts w:asciiTheme="minorEastAsia" w:hAnsiTheme="minorEastAsia" w:eastAsiaTheme="minorEastAsia"/>
        </w:rPr>
        <w:t>2.4.2 提供施工条件</w:t>
      </w:r>
    </w:p>
    <w:p>
      <w:pPr>
        <w:rPr>
          <w:rFonts w:asciiTheme="minorEastAsia" w:hAnsiTheme="minorEastAsia" w:eastAsiaTheme="minorEastAsia"/>
        </w:rPr>
      </w:pPr>
      <w:r>
        <w:rPr>
          <w:rFonts w:asciiTheme="minorEastAsia" w:hAnsiTheme="minorEastAsia" w:eastAsiaTheme="minorEastAsia"/>
        </w:rPr>
        <w:t>除专用合同条款另有约定外，发包人应负责提供施工所需要的条件，包括：</w:t>
      </w:r>
    </w:p>
    <w:p>
      <w:pPr>
        <w:rPr>
          <w:rFonts w:asciiTheme="minorEastAsia" w:hAnsiTheme="minorEastAsia" w:eastAsiaTheme="minorEastAsia"/>
        </w:rPr>
      </w:pPr>
      <w:r>
        <w:rPr>
          <w:rFonts w:asciiTheme="minorEastAsia" w:hAnsiTheme="minorEastAsia" w:eastAsiaTheme="minorEastAsia"/>
        </w:rPr>
        <w:t>（1）将施工用水、电力、通讯线路等施工所必需的条件接至施工现场内；</w:t>
      </w:r>
    </w:p>
    <w:p>
      <w:pPr>
        <w:rPr>
          <w:rFonts w:asciiTheme="minorEastAsia" w:hAnsiTheme="minorEastAsia" w:eastAsiaTheme="minorEastAsia"/>
        </w:rPr>
      </w:pPr>
      <w:r>
        <w:rPr>
          <w:rFonts w:asciiTheme="minorEastAsia" w:hAnsiTheme="minorEastAsia" w:eastAsiaTheme="minorEastAsia"/>
        </w:rPr>
        <w:t>（2）保证向承包人提供正常施工所需要的进入施工现场的交通条件；</w:t>
      </w:r>
    </w:p>
    <w:p>
      <w:pPr>
        <w:rPr>
          <w:rFonts w:asciiTheme="minorEastAsia" w:hAnsiTheme="minorEastAsia" w:eastAsiaTheme="minorEastAsia"/>
        </w:rPr>
      </w:pPr>
      <w:r>
        <w:rPr>
          <w:rFonts w:asciiTheme="minorEastAsia" w:hAnsiTheme="minorEastAsia" w:eastAsiaTheme="minorEastAsia"/>
        </w:rPr>
        <w:t>（3）协调处理施工现场周围地下管线和邻近建筑物、构筑物、古树名木的保护工作，并承担相关费用；</w:t>
      </w:r>
    </w:p>
    <w:p>
      <w:pPr>
        <w:rPr>
          <w:rFonts w:asciiTheme="minorEastAsia" w:hAnsiTheme="minorEastAsia" w:eastAsiaTheme="minorEastAsia"/>
        </w:rPr>
      </w:pPr>
      <w:r>
        <w:rPr>
          <w:rFonts w:asciiTheme="minorEastAsia" w:hAnsiTheme="minorEastAsia" w:eastAsiaTheme="minorEastAsia"/>
        </w:rPr>
        <w:t>（4）按照专用合同条款约定</w:t>
      </w:r>
      <w:r>
        <w:rPr>
          <w:rFonts w:hint="eastAsia" w:asciiTheme="minorEastAsia" w:hAnsiTheme="minorEastAsia" w:eastAsiaTheme="minorEastAsia"/>
        </w:rPr>
        <w:t>应</w:t>
      </w:r>
      <w:r>
        <w:rPr>
          <w:rFonts w:asciiTheme="minorEastAsia" w:hAnsiTheme="minorEastAsia" w:eastAsiaTheme="minorEastAsia"/>
        </w:rPr>
        <w:t>提供的其他设施和条件。</w:t>
      </w:r>
    </w:p>
    <w:p>
      <w:pPr>
        <w:rPr>
          <w:rFonts w:asciiTheme="minorEastAsia" w:hAnsiTheme="minorEastAsia" w:eastAsiaTheme="minorEastAsia"/>
        </w:rPr>
      </w:pPr>
      <w:r>
        <w:rPr>
          <w:rFonts w:asciiTheme="minorEastAsia" w:hAnsiTheme="minorEastAsia" w:eastAsiaTheme="minorEastAsia"/>
        </w:rPr>
        <w:t>2.4.3 提供基础资料</w:t>
      </w:r>
    </w:p>
    <w:p>
      <w:pPr>
        <w:rPr>
          <w:rFonts w:asciiTheme="minorEastAsia" w:hAnsiTheme="minorEastAsia" w:eastAsiaTheme="minorEastAsia"/>
        </w:rPr>
      </w:pPr>
      <w:r>
        <w:rPr>
          <w:rFonts w:asciiTheme="minorEastAsia" w:hAnsiTheme="minorEastAsia" w:eastAsiaTheme="minorEastAsia"/>
        </w:rPr>
        <w:t>发包人应当在移交施工现场前向承包人提供施工现场及工程施工所必需的毗邻区域内供水、排水、供电、供气、供热、通信、广播电视等地下管线资料，气象和水文观测资料，地质勘察资料，相邻建筑物、构筑物和地下工程等有关基础资料，并对所提供资料的真实性、准确性和完整性负责。</w:t>
      </w:r>
    </w:p>
    <w:p>
      <w:pPr>
        <w:rPr>
          <w:rFonts w:asciiTheme="minorEastAsia" w:hAnsiTheme="minorEastAsia" w:eastAsiaTheme="minorEastAsia"/>
        </w:rPr>
      </w:pPr>
      <w:r>
        <w:rPr>
          <w:rFonts w:hint="eastAsia" w:asciiTheme="minorEastAsia" w:hAnsiTheme="minorEastAsia" w:eastAsiaTheme="minorEastAsia"/>
        </w:rPr>
        <w:t>按照法律规定确需在开工后方能提供的基础资料，发包人应尽其努力及时地在相应工程施工前的合理期限内提供，合理期限应以不影响承包人的正常施工为限。</w:t>
      </w:r>
    </w:p>
    <w:p>
      <w:pPr>
        <w:rPr>
          <w:rFonts w:asciiTheme="minorEastAsia" w:hAnsiTheme="minorEastAsia" w:eastAsiaTheme="minorEastAsia"/>
        </w:rPr>
      </w:pPr>
      <w:r>
        <w:rPr>
          <w:rFonts w:asciiTheme="minorEastAsia" w:hAnsiTheme="minorEastAsia" w:eastAsiaTheme="minorEastAsia"/>
        </w:rPr>
        <w:t>2.4.4 逾期提供的责任</w:t>
      </w:r>
    </w:p>
    <w:p>
      <w:pPr>
        <w:rPr>
          <w:rFonts w:asciiTheme="minorEastAsia" w:hAnsiTheme="minorEastAsia" w:eastAsiaTheme="minorEastAsia"/>
        </w:rPr>
      </w:pPr>
      <w:r>
        <w:rPr>
          <w:rFonts w:asciiTheme="minorEastAsia" w:hAnsiTheme="minorEastAsia" w:eastAsiaTheme="minorEastAsia"/>
        </w:rPr>
        <w:t>因发包人原因未能按合同约定及时向承包人提供施工现场、施工条件、基础资料的，由发包人承担由此增加的费用和（或）延误的工期。</w:t>
      </w:r>
    </w:p>
    <w:p>
      <w:pPr>
        <w:rPr>
          <w:rFonts w:asciiTheme="minorEastAsia" w:hAnsiTheme="minorEastAsia" w:eastAsiaTheme="minorEastAsia"/>
          <w:bCs/>
        </w:rPr>
      </w:pPr>
      <w:bookmarkStart w:id="233" w:name="_Toc351203514"/>
      <w:r>
        <w:rPr>
          <w:rFonts w:asciiTheme="minorEastAsia" w:hAnsiTheme="minorEastAsia" w:eastAsiaTheme="minorEastAsia"/>
          <w:bCs/>
        </w:rPr>
        <w:t>2</w:t>
      </w:r>
      <w:bookmarkStart w:id="234" w:name="_Toc337558745"/>
      <w:bookmarkStart w:id="235" w:name="_Toc296503042"/>
      <w:bookmarkStart w:id="236" w:name="_Toc296346543"/>
      <w:r>
        <w:rPr>
          <w:rFonts w:asciiTheme="minorEastAsia" w:hAnsiTheme="minorEastAsia" w:eastAsiaTheme="minorEastAsia"/>
          <w:bCs/>
        </w:rPr>
        <w:t>.5 资</w:t>
      </w:r>
      <w:bookmarkEnd w:id="234"/>
      <w:bookmarkEnd w:id="235"/>
      <w:bookmarkEnd w:id="236"/>
      <w:r>
        <w:rPr>
          <w:rFonts w:asciiTheme="minorEastAsia" w:hAnsiTheme="minorEastAsia" w:eastAsiaTheme="minorEastAsia"/>
          <w:bCs/>
        </w:rPr>
        <w:t>金来源证明及支付担保</w:t>
      </w:r>
      <w:bookmarkEnd w:id="233"/>
    </w:p>
    <w:p>
      <w:pPr>
        <w:rPr>
          <w:rFonts w:asciiTheme="minorEastAsia" w:hAnsiTheme="minorEastAsia" w:eastAsiaTheme="minorEastAsia"/>
        </w:rPr>
      </w:pPr>
      <w:r>
        <w:rPr>
          <w:rFonts w:asciiTheme="minorEastAsia" w:hAnsiTheme="minorEastAsia" w:eastAsiaTheme="minorEastAsia"/>
        </w:rPr>
        <w:t>除专用合同条款另有约定外，发包人应在收到承包人要求提供资金来源证明的书面通知后28天内，向承包人提供能够按照合同约定支付合同价款的相应资金来源证明。</w:t>
      </w:r>
    </w:p>
    <w:p>
      <w:pPr>
        <w:rPr>
          <w:rFonts w:asciiTheme="minorEastAsia" w:hAnsiTheme="minorEastAsia" w:eastAsiaTheme="minorEastAsia"/>
          <w:bCs/>
        </w:rPr>
      </w:pPr>
      <w:bookmarkStart w:id="237" w:name="_Toc351203515"/>
      <w:r>
        <w:rPr>
          <w:rFonts w:asciiTheme="minorEastAsia" w:hAnsiTheme="minorEastAsia" w:eastAsiaTheme="minorEastAsia"/>
          <w:bCs/>
        </w:rPr>
        <w:t>2.6 支付合同价款</w:t>
      </w:r>
      <w:bookmarkEnd w:id="237"/>
    </w:p>
    <w:p>
      <w:pPr>
        <w:rPr>
          <w:rFonts w:asciiTheme="minorEastAsia" w:hAnsiTheme="minorEastAsia" w:eastAsiaTheme="minorEastAsia"/>
        </w:rPr>
      </w:pPr>
      <w:r>
        <w:rPr>
          <w:rFonts w:asciiTheme="minorEastAsia" w:hAnsiTheme="minorEastAsia" w:eastAsiaTheme="minorEastAsia"/>
        </w:rPr>
        <w:t>发包人应按合同约定向承包人及时支付合同价款。</w:t>
      </w:r>
    </w:p>
    <w:p>
      <w:pPr>
        <w:rPr>
          <w:rFonts w:asciiTheme="minorEastAsia" w:hAnsiTheme="minorEastAsia" w:eastAsiaTheme="minorEastAsia"/>
          <w:bCs/>
        </w:rPr>
      </w:pPr>
      <w:bookmarkStart w:id="238" w:name="_Toc351203516"/>
      <w:r>
        <w:rPr>
          <w:rFonts w:asciiTheme="minorEastAsia" w:hAnsiTheme="minorEastAsia" w:eastAsiaTheme="minorEastAsia"/>
          <w:bCs/>
        </w:rPr>
        <w:t>2.7 组织竣工验收</w:t>
      </w:r>
      <w:bookmarkEnd w:id="238"/>
    </w:p>
    <w:p>
      <w:pPr>
        <w:rPr>
          <w:rFonts w:asciiTheme="minorEastAsia" w:hAnsiTheme="minorEastAsia" w:eastAsiaTheme="minorEastAsia"/>
        </w:rPr>
      </w:pPr>
      <w:r>
        <w:rPr>
          <w:rFonts w:asciiTheme="minorEastAsia" w:hAnsiTheme="minorEastAsia" w:eastAsiaTheme="minorEastAsia"/>
        </w:rPr>
        <w:t>发包人应按合同约定及时组织竣工验收。</w:t>
      </w:r>
    </w:p>
    <w:p>
      <w:pPr>
        <w:rPr>
          <w:rFonts w:asciiTheme="minorEastAsia" w:hAnsiTheme="minorEastAsia" w:eastAsiaTheme="minorEastAsia"/>
          <w:bCs/>
        </w:rPr>
      </w:pPr>
      <w:bookmarkStart w:id="239" w:name="_Toc351203517"/>
      <w:r>
        <w:rPr>
          <w:rFonts w:asciiTheme="minorEastAsia" w:hAnsiTheme="minorEastAsia" w:eastAsiaTheme="minorEastAsia"/>
          <w:bCs/>
        </w:rPr>
        <w:t>2.8 现场统一管理协议</w:t>
      </w:r>
      <w:bookmarkEnd w:id="239"/>
    </w:p>
    <w:p>
      <w:pPr>
        <w:rPr>
          <w:rFonts w:asciiTheme="minorEastAsia" w:hAnsiTheme="minorEastAsia" w:eastAsiaTheme="minorEastAsia"/>
        </w:rPr>
      </w:pPr>
      <w:r>
        <w:rPr>
          <w:rFonts w:asciiTheme="minorEastAsia" w:hAnsiTheme="minorEastAsia" w:eastAsiaTheme="minorEastAsia"/>
        </w:rPr>
        <w:t>发包人应与承包人、由发包人直接发包的专业工程的承包人签订施工现场统一管理协议，明确各方的权利义务。施工现场统一管理协议作为专用合同条款的附件。</w:t>
      </w:r>
    </w:p>
    <w:p>
      <w:pPr>
        <w:rPr>
          <w:rFonts w:asciiTheme="minorEastAsia" w:hAnsiTheme="minorEastAsia" w:eastAsiaTheme="minorEastAsia"/>
          <w:bCs/>
        </w:rPr>
      </w:pPr>
      <w:bookmarkStart w:id="240" w:name="_Toc351203518"/>
      <w:r>
        <w:rPr>
          <w:rFonts w:asciiTheme="minorEastAsia" w:hAnsiTheme="minorEastAsia" w:eastAsiaTheme="minorEastAsia"/>
          <w:bCs/>
        </w:rPr>
        <w:t>3</w:t>
      </w:r>
      <w:bookmarkStart w:id="241" w:name="_Toc337558746"/>
      <w:bookmarkStart w:id="242" w:name="_Toc296346546"/>
      <w:bookmarkStart w:id="243" w:name="_Toc296503045"/>
      <w:r>
        <w:rPr>
          <w:rFonts w:asciiTheme="minorEastAsia" w:hAnsiTheme="minorEastAsia" w:eastAsiaTheme="minorEastAsia"/>
          <w:bCs/>
        </w:rPr>
        <w:t>. 承包人</w:t>
      </w:r>
      <w:bookmarkEnd w:id="240"/>
    </w:p>
    <w:bookmarkEnd w:id="241"/>
    <w:bookmarkEnd w:id="242"/>
    <w:bookmarkEnd w:id="243"/>
    <w:p>
      <w:pPr>
        <w:rPr>
          <w:rFonts w:asciiTheme="minorEastAsia" w:hAnsiTheme="minorEastAsia" w:eastAsiaTheme="minorEastAsia"/>
          <w:bCs/>
        </w:rPr>
      </w:pPr>
      <w:bookmarkStart w:id="244" w:name="_Toc351203519"/>
      <w:r>
        <w:rPr>
          <w:rFonts w:asciiTheme="minorEastAsia" w:hAnsiTheme="minorEastAsia" w:eastAsiaTheme="minorEastAsia"/>
          <w:bCs/>
        </w:rPr>
        <w:t>3</w:t>
      </w:r>
      <w:bookmarkStart w:id="245" w:name="_Toc296346547"/>
      <w:bookmarkStart w:id="246" w:name="_Toc337558747"/>
      <w:bookmarkStart w:id="247" w:name="_Toc296503046"/>
      <w:r>
        <w:rPr>
          <w:rFonts w:asciiTheme="minorEastAsia" w:hAnsiTheme="minorEastAsia" w:eastAsiaTheme="minorEastAsia"/>
          <w:bCs/>
        </w:rPr>
        <w:t>.1 承包人的一般义务</w:t>
      </w:r>
      <w:bookmarkEnd w:id="244"/>
    </w:p>
    <w:bookmarkEnd w:id="245"/>
    <w:bookmarkEnd w:id="246"/>
    <w:bookmarkEnd w:id="247"/>
    <w:p>
      <w:pPr>
        <w:rPr>
          <w:rFonts w:asciiTheme="minorEastAsia" w:hAnsiTheme="minorEastAsia" w:eastAsiaTheme="minorEastAsia"/>
        </w:rPr>
      </w:pPr>
      <w:r>
        <w:rPr>
          <w:rFonts w:asciiTheme="minorEastAsia" w:hAnsiTheme="minorEastAsia" w:eastAsiaTheme="minorEastAsia"/>
        </w:rPr>
        <w:t>承包人在履行合同过程中应遵守法律和工程建设标准规范，并履行以下义务：</w:t>
      </w:r>
    </w:p>
    <w:p>
      <w:pPr>
        <w:rPr>
          <w:rFonts w:asciiTheme="minorEastAsia" w:hAnsiTheme="minorEastAsia" w:eastAsiaTheme="minorEastAsia"/>
        </w:rPr>
      </w:pPr>
      <w:r>
        <w:rPr>
          <w:rFonts w:asciiTheme="minorEastAsia" w:hAnsiTheme="minorEastAsia" w:eastAsiaTheme="minorEastAsia"/>
        </w:rPr>
        <w:t>办理法律规定</w:t>
      </w:r>
      <w:r>
        <w:rPr>
          <w:rFonts w:hint="eastAsia" w:asciiTheme="minorEastAsia" w:hAnsiTheme="minorEastAsia" w:eastAsiaTheme="minorEastAsia"/>
        </w:rPr>
        <w:t>应</w:t>
      </w:r>
      <w:r>
        <w:rPr>
          <w:rFonts w:asciiTheme="minorEastAsia" w:hAnsiTheme="minorEastAsia" w:eastAsiaTheme="minorEastAsia"/>
        </w:rPr>
        <w:t>由承包人办理的许可和批准，并将</w:t>
      </w:r>
      <w:r>
        <w:rPr>
          <w:rFonts w:hint="eastAsia" w:asciiTheme="minorEastAsia" w:hAnsiTheme="minorEastAsia" w:eastAsiaTheme="minorEastAsia"/>
        </w:rPr>
        <w:t>办理</w:t>
      </w:r>
      <w:r>
        <w:rPr>
          <w:rFonts w:asciiTheme="minorEastAsia" w:hAnsiTheme="minorEastAsia" w:eastAsiaTheme="minorEastAsia"/>
        </w:rPr>
        <w:t>结果书面报送发包人留存；</w:t>
      </w:r>
    </w:p>
    <w:p>
      <w:pPr>
        <w:rPr>
          <w:rFonts w:asciiTheme="minorEastAsia" w:hAnsiTheme="minorEastAsia" w:eastAsiaTheme="minorEastAsia"/>
        </w:rPr>
      </w:pPr>
      <w:r>
        <w:rPr>
          <w:rFonts w:asciiTheme="minorEastAsia" w:hAnsiTheme="minorEastAsia" w:eastAsiaTheme="minorEastAsia"/>
        </w:rPr>
        <w:t>（2）按法律规定和合同约定完成工程，并在保修期内承担保修义务；</w:t>
      </w:r>
    </w:p>
    <w:p>
      <w:pPr>
        <w:rPr>
          <w:rFonts w:asciiTheme="minorEastAsia" w:hAnsiTheme="minorEastAsia" w:eastAsiaTheme="minorEastAsia"/>
        </w:rPr>
      </w:pPr>
      <w:r>
        <w:rPr>
          <w:rFonts w:asciiTheme="minorEastAsia" w:hAnsiTheme="minorEastAsia" w:eastAsiaTheme="minorEastAsia"/>
        </w:rPr>
        <w:t>（3）按法律规定和合同约定采取施工安全和环境保护措施，办理工伤保险，确保工程及人员、材料、设备和设施的安全；</w:t>
      </w:r>
    </w:p>
    <w:p>
      <w:pPr>
        <w:rPr>
          <w:rFonts w:asciiTheme="minorEastAsia" w:hAnsiTheme="minorEastAsia" w:eastAsiaTheme="minorEastAsia"/>
        </w:rPr>
      </w:pPr>
      <w:r>
        <w:rPr>
          <w:rFonts w:asciiTheme="minorEastAsia" w:hAnsiTheme="minorEastAsia" w:eastAsiaTheme="minorEastAsia"/>
        </w:rPr>
        <w:t>（4）按合同约定的工作内容和施工进度要求，编制施工组织设计和施工措施计划，并对所有施工作业和施工方法的完备性和安全可靠性负责；</w:t>
      </w:r>
    </w:p>
    <w:p>
      <w:pPr>
        <w:rPr>
          <w:rFonts w:asciiTheme="minorEastAsia" w:hAnsiTheme="minorEastAsia" w:eastAsiaTheme="minorEastAsia"/>
        </w:rPr>
      </w:pPr>
      <w:r>
        <w:rPr>
          <w:rFonts w:asciiTheme="minorEastAsia" w:hAnsiTheme="minorEastAsia" w:eastAsiaTheme="minorEastAsia"/>
        </w:rPr>
        <w:t>（5）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pPr>
        <w:rPr>
          <w:rFonts w:asciiTheme="minorEastAsia" w:hAnsiTheme="minorEastAsia" w:eastAsiaTheme="minorEastAsia"/>
        </w:rPr>
      </w:pPr>
      <w:r>
        <w:rPr>
          <w:rFonts w:asciiTheme="minorEastAsia" w:hAnsiTheme="minorEastAsia" w:eastAsiaTheme="minorEastAsia"/>
        </w:rPr>
        <w:t>（6）按照第6.3款</w:t>
      </w:r>
      <w:r>
        <w:rPr>
          <w:rFonts w:hint="eastAsia" w:asciiTheme="minorEastAsia" w:hAnsiTheme="minorEastAsia" w:eastAsiaTheme="minorEastAsia"/>
        </w:rPr>
        <w:t>〔</w:t>
      </w:r>
      <w:r>
        <w:rPr>
          <w:rFonts w:asciiTheme="minorEastAsia" w:hAnsiTheme="minorEastAsia" w:eastAsiaTheme="minorEastAsia"/>
        </w:rPr>
        <w:t>环境保护</w:t>
      </w:r>
      <w:r>
        <w:rPr>
          <w:rFonts w:hint="eastAsia" w:asciiTheme="minorEastAsia" w:hAnsiTheme="minorEastAsia" w:eastAsiaTheme="minorEastAsia"/>
        </w:rPr>
        <w:t>〕</w:t>
      </w:r>
      <w:r>
        <w:rPr>
          <w:rFonts w:asciiTheme="minorEastAsia" w:hAnsiTheme="minorEastAsia" w:eastAsiaTheme="minorEastAsia"/>
        </w:rPr>
        <w:t>约定负责施工场地及其周边环境与生态的保护工作；</w:t>
      </w:r>
    </w:p>
    <w:p>
      <w:pPr>
        <w:rPr>
          <w:rFonts w:asciiTheme="minorEastAsia" w:hAnsiTheme="minorEastAsia" w:eastAsiaTheme="minorEastAsia"/>
        </w:rPr>
      </w:pPr>
      <w:r>
        <w:rPr>
          <w:rFonts w:asciiTheme="minorEastAsia" w:hAnsiTheme="minorEastAsia" w:eastAsiaTheme="minorEastAsia"/>
        </w:rPr>
        <w:t>（7）按第6.1款</w:t>
      </w:r>
      <w:r>
        <w:rPr>
          <w:rFonts w:hint="eastAsia" w:asciiTheme="minorEastAsia" w:hAnsiTheme="minorEastAsia" w:eastAsiaTheme="minorEastAsia"/>
        </w:rPr>
        <w:t>〔</w:t>
      </w:r>
      <w:r>
        <w:rPr>
          <w:rFonts w:asciiTheme="minorEastAsia" w:hAnsiTheme="minorEastAsia" w:eastAsiaTheme="minorEastAsia"/>
        </w:rPr>
        <w:t>安全文明施工</w:t>
      </w:r>
      <w:r>
        <w:rPr>
          <w:rFonts w:hint="eastAsia" w:asciiTheme="minorEastAsia" w:hAnsiTheme="minorEastAsia" w:eastAsiaTheme="minorEastAsia"/>
        </w:rPr>
        <w:t>〕</w:t>
      </w:r>
      <w:r>
        <w:rPr>
          <w:rFonts w:asciiTheme="minorEastAsia" w:hAnsiTheme="minorEastAsia" w:eastAsiaTheme="minorEastAsia"/>
        </w:rPr>
        <w:t>约定采取施工安全措施，确保工程及其人员、材料、设备和设施的安全，防止因工程施工造成的人身伤害和财产损失；</w:t>
      </w:r>
    </w:p>
    <w:p>
      <w:pPr>
        <w:rPr>
          <w:rFonts w:asciiTheme="minorEastAsia" w:hAnsiTheme="minorEastAsia" w:eastAsiaTheme="minorEastAsia"/>
        </w:rPr>
      </w:pPr>
      <w:r>
        <w:rPr>
          <w:rFonts w:asciiTheme="minorEastAsia" w:hAnsiTheme="minorEastAsia" w:eastAsiaTheme="minorEastAsia"/>
        </w:rPr>
        <w:t>（8）</w:t>
      </w:r>
      <w:r>
        <w:rPr>
          <w:rFonts w:hint="eastAsia" w:asciiTheme="minorEastAsia" w:hAnsiTheme="minorEastAsia" w:eastAsiaTheme="minorEastAsia"/>
        </w:rPr>
        <w:t>将</w:t>
      </w:r>
      <w:r>
        <w:rPr>
          <w:rFonts w:asciiTheme="minorEastAsia" w:hAnsiTheme="minorEastAsia" w:eastAsiaTheme="minorEastAsia"/>
        </w:rPr>
        <w:t>发包人按合同约定支付的各项价款专用于合同工程，且应及时支付其雇用人员工资，并及时向分包人支付合同价款；</w:t>
      </w:r>
    </w:p>
    <w:p>
      <w:pPr>
        <w:rPr>
          <w:rFonts w:asciiTheme="minorEastAsia" w:hAnsiTheme="minorEastAsia" w:eastAsiaTheme="minorEastAsia"/>
        </w:rPr>
      </w:pPr>
      <w:r>
        <w:rPr>
          <w:rFonts w:asciiTheme="minorEastAsia" w:hAnsiTheme="minorEastAsia" w:eastAsiaTheme="minorEastAsia"/>
        </w:rPr>
        <w:t>（9）按照法律规定和合同约定编制竣工资料，完成竣工资料立卷及归档，并按专用合同条款约定的竣工资料的套数、内容、时间等要求移交发包人；</w:t>
      </w:r>
    </w:p>
    <w:p>
      <w:pPr>
        <w:rPr>
          <w:rFonts w:asciiTheme="minorEastAsia" w:hAnsiTheme="minorEastAsia" w:eastAsiaTheme="minorEastAsia"/>
        </w:rPr>
      </w:pPr>
      <w:r>
        <w:rPr>
          <w:rFonts w:asciiTheme="minorEastAsia" w:hAnsiTheme="minorEastAsia" w:eastAsiaTheme="minorEastAsia"/>
        </w:rPr>
        <w:t>（10）应履行的其他义务。</w:t>
      </w:r>
    </w:p>
    <w:p>
      <w:pPr>
        <w:rPr>
          <w:rFonts w:asciiTheme="minorEastAsia" w:hAnsiTheme="minorEastAsia" w:eastAsiaTheme="minorEastAsia"/>
          <w:bCs/>
        </w:rPr>
      </w:pPr>
      <w:bookmarkStart w:id="248" w:name="_Toc351203520"/>
      <w:r>
        <w:rPr>
          <w:rFonts w:asciiTheme="minorEastAsia" w:hAnsiTheme="minorEastAsia" w:eastAsiaTheme="minorEastAsia"/>
          <w:bCs/>
        </w:rPr>
        <w:t>3</w:t>
      </w:r>
      <w:bookmarkStart w:id="249" w:name="_Toc296503047"/>
      <w:bookmarkStart w:id="250" w:name="_Toc337558748"/>
      <w:bookmarkStart w:id="251" w:name="_Toc296346548"/>
      <w:r>
        <w:rPr>
          <w:rFonts w:asciiTheme="minorEastAsia" w:hAnsiTheme="minorEastAsia" w:eastAsiaTheme="minorEastAsia"/>
          <w:bCs/>
        </w:rPr>
        <w:t xml:space="preserve">.2 </w:t>
      </w:r>
      <w:bookmarkEnd w:id="248"/>
      <w:r>
        <w:rPr>
          <w:rFonts w:asciiTheme="minorEastAsia" w:hAnsiTheme="minorEastAsia" w:eastAsiaTheme="minorEastAsia"/>
          <w:bCs/>
        </w:rPr>
        <w:t>项目经理</w:t>
      </w:r>
    </w:p>
    <w:bookmarkEnd w:id="249"/>
    <w:bookmarkEnd w:id="250"/>
    <w:bookmarkEnd w:id="251"/>
    <w:p>
      <w:pPr>
        <w:rPr>
          <w:rFonts w:asciiTheme="minorEastAsia" w:hAnsiTheme="minorEastAsia" w:eastAsiaTheme="minorEastAsia"/>
        </w:rPr>
      </w:pPr>
      <w:r>
        <w:rPr>
          <w:rFonts w:asciiTheme="minorEastAsia" w:hAnsiTheme="minorEastAsia" w:eastAsiaTheme="minorEastAsia"/>
        </w:rPr>
        <w:t>3.2.1 项目经理应为合同当事人所确认的人选，并在专用合同条款中明确项目经理的姓名、职称、注册执业证书编号、联系方式及授权范围等事项，项目经理经承包人授权后代表承包人负责履行合同。项目经理应是承包人正式聘用的员工，承包人应向发包人提交项目经理与承包人之间的劳动合同，以及承包人为项目经理缴纳社会保险的有效证明。承包人不提交上述文件的，项目经理无权履行职责，发包人有权要求更换项目经理，由此增加的费用和（或）延误的工期由承包人承担。</w:t>
      </w:r>
    </w:p>
    <w:p>
      <w:pPr>
        <w:rPr>
          <w:rFonts w:asciiTheme="minorEastAsia" w:hAnsiTheme="minorEastAsia" w:eastAsiaTheme="minorEastAsia"/>
        </w:rPr>
      </w:pPr>
      <w:r>
        <w:rPr>
          <w:rFonts w:asciiTheme="minorEastAsia" w:hAnsiTheme="minorEastAsia" w:eastAsiaTheme="minorEastAsia"/>
        </w:rPr>
        <w:t>项目经理应常驻施工现场，且每月在施工现场时间不得少于专用合同条款约定的天数。项目经理不得同时担任其他项目的项目经理。项目经理确需离开施工现场时，应事先通知监理人，并取得发包人的书面同意。项目经理的通知中应当载明临时代行其职责的人员的注册执业资格、管理经验等资料，该人员应具备履行相应职责的能力。</w:t>
      </w:r>
    </w:p>
    <w:p>
      <w:pPr>
        <w:rPr>
          <w:rFonts w:asciiTheme="minorEastAsia" w:hAnsiTheme="minorEastAsia" w:eastAsiaTheme="minorEastAsia"/>
        </w:rPr>
      </w:pPr>
      <w:r>
        <w:rPr>
          <w:rFonts w:asciiTheme="minorEastAsia" w:hAnsiTheme="minorEastAsia" w:eastAsiaTheme="minorEastAsia"/>
        </w:rPr>
        <w:t>承包人违反上述约定的，应按照专用合同条款的约定，承担违约责任。</w:t>
      </w:r>
    </w:p>
    <w:p>
      <w:pPr>
        <w:rPr>
          <w:rFonts w:asciiTheme="minorEastAsia" w:hAnsiTheme="minorEastAsia" w:eastAsiaTheme="minorEastAsia"/>
        </w:rPr>
      </w:pPr>
      <w:r>
        <w:rPr>
          <w:rFonts w:asciiTheme="minorEastAsia" w:hAnsiTheme="minorEastAsia" w:eastAsiaTheme="minorEastAsia"/>
        </w:rPr>
        <w:t>3.2.2 项目经理按合同约定组织工程实施。在紧急情况下</w:t>
      </w:r>
      <w:r>
        <w:rPr>
          <w:rFonts w:hint="eastAsia" w:asciiTheme="minorEastAsia" w:hAnsiTheme="minorEastAsia" w:eastAsiaTheme="minorEastAsia"/>
        </w:rPr>
        <w:t>为确保施工安全和人员安全</w:t>
      </w:r>
      <w:r>
        <w:rPr>
          <w:rFonts w:asciiTheme="minorEastAsia" w:hAnsiTheme="minorEastAsia" w:eastAsiaTheme="minorEastAsia"/>
        </w:rPr>
        <w:t>，</w:t>
      </w:r>
      <w:r>
        <w:rPr>
          <w:rFonts w:hint="eastAsia" w:asciiTheme="minorEastAsia" w:hAnsiTheme="minorEastAsia" w:eastAsiaTheme="minorEastAsia"/>
        </w:rPr>
        <w:t>在</w:t>
      </w:r>
      <w:r>
        <w:rPr>
          <w:rFonts w:asciiTheme="minorEastAsia" w:hAnsiTheme="minorEastAsia" w:eastAsiaTheme="minorEastAsia"/>
        </w:rPr>
        <w:t>无法与发包人代表和总监理工程师</w:t>
      </w:r>
      <w:r>
        <w:rPr>
          <w:rFonts w:hint="eastAsia" w:asciiTheme="minorEastAsia" w:hAnsiTheme="minorEastAsia" w:eastAsiaTheme="minorEastAsia"/>
        </w:rPr>
        <w:t>及时</w:t>
      </w:r>
      <w:r>
        <w:rPr>
          <w:rFonts w:asciiTheme="minorEastAsia" w:hAnsiTheme="minorEastAsia" w:eastAsiaTheme="minorEastAsia"/>
        </w:rPr>
        <w:t>取得联系时，项目经理有权采取必要的措施保证与工程有关的人身、财产和工程的安全，但应在48小时内向发包人代表和总监理工程师提交书面报告。</w:t>
      </w:r>
    </w:p>
    <w:p>
      <w:pPr>
        <w:rPr>
          <w:rFonts w:asciiTheme="minorEastAsia" w:hAnsiTheme="minorEastAsia" w:eastAsiaTheme="minorEastAsia"/>
        </w:rPr>
      </w:pPr>
      <w:r>
        <w:rPr>
          <w:rFonts w:asciiTheme="minorEastAsia" w:hAnsiTheme="minorEastAsia" w:eastAsiaTheme="minorEastAsia"/>
        </w:rPr>
        <w:t>3.2.3 承包人需要更换项目经理的，应提前14天书面通知发包人和监理人，并征得发包人书面同意。通知中应当载明继任项目经理的注册执业资格、管理经验等资料，继任项目经理继续履行第3.2.1项约定的职责。未经发包人书面同意，承包人不得擅自更换项目经理。承包人擅自更换项目经理的，应按照专用合同条款的约定承担违约责任。</w:t>
      </w:r>
    </w:p>
    <w:p>
      <w:pPr>
        <w:rPr>
          <w:rFonts w:asciiTheme="minorEastAsia" w:hAnsiTheme="minorEastAsia" w:eastAsiaTheme="minorEastAsia"/>
        </w:rPr>
      </w:pPr>
      <w:r>
        <w:rPr>
          <w:rFonts w:asciiTheme="minorEastAsia" w:hAnsiTheme="minorEastAsia" w:eastAsiaTheme="minorEastAsia"/>
        </w:rPr>
        <w:t>3.2.4 发包人有权书面通知承包人更换其认为不称职的项目经理，通知中应当载明要求更换的理由。承包人应在接到更换通知后14天内向发包人提出书面的改进报告。发包人收到改进报告后仍要求更换的，承包人应在接到第二次更换通知的28天内进行更换，并将新任命的项目经理的注册执业资格、管理经验等资料书面通知发包人。</w:t>
      </w:r>
      <w:r>
        <w:rPr>
          <w:rFonts w:hint="eastAsia" w:asciiTheme="minorEastAsia" w:hAnsiTheme="minorEastAsia" w:eastAsiaTheme="minorEastAsia"/>
        </w:rPr>
        <w:t>继</w:t>
      </w:r>
      <w:r>
        <w:rPr>
          <w:rFonts w:asciiTheme="minorEastAsia" w:hAnsiTheme="minorEastAsia" w:eastAsiaTheme="minorEastAsia"/>
        </w:rPr>
        <w:t>任项目经理继续履行第3.2.1项约定的职责。承包人无正当理由拒绝更换项目经理的，应按照专用合同条款的约定承担违约责任。</w:t>
      </w:r>
    </w:p>
    <w:p>
      <w:pPr>
        <w:rPr>
          <w:rFonts w:asciiTheme="minorEastAsia" w:hAnsiTheme="minorEastAsia" w:eastAsiaTheme="minorEastAsia"/>
        </w:rPr>
      </w:pPr>
      <w:r>
        <w:rPr>
          <w:rFonts w:asciiTheme="minorEastAsia" w:hAnsiTheme="minorEastAsia" w:eastAsiaTheme="minorEastAsia"/>
        </w:rPr>
        <w:t>3.2.5 项目经理因特殊情况授权其下属人员履行其某项工作职责的，该下属人员应具备履行相应职责的能力，并应提前7天将上述人员的姓名和授权范围书面通知监理人，并征得发包人书面同意。</w:t>
      </w:r>
    </w:p>
    <w:p>
      <w:pPr>
        <w:rPr>
          <w:rFonts w:asciiTheme="minorEastAsia" w:hAnsiTheme="minorEastAsia" w:eastAsiaTheme="minorEastAsia"/>
          <w:bCs/>
        </w:rPr>
      </w:pPr>
      <w:bookmarkStart w:id="252" w:name="_Toc351203521"/>
      <w:r>
        <w:rPr>
          <w:rFonts w:asciiTheme="minorEastAsia" w:hAnsiTheme="minorEastAsia" w:eastAsiaTheme="minorEastAsia"/>
          <w:bCs/>
        </w:rPr>
        <w:t>3</w:t>
      </w:r>
      <w:bookmarkStart w:id="253" w:name="_Toc296346549"/>
      <w:bookmarkStart w:id="254" w:name="_Toc296503048"/>
      <w:bookmarkStart w:id="255" w:name="_Toc337558749"/>
      <w:r>
        <w:rPr>
          <w:rFonts w:asciiTheme="minorEastAsia" w:hAnsiTheme="minorEastAsia" w:eastAsiaTheme="minorEastAsia"/>
          <w:bCs/>
        </w:rPr>
        <w:t xml:space="preserve">.3 </w:t>
      </w:r>
      <w:bookmarkEnd w:id="253"/>
      <w:bookmarkEnd w:id="254"/>
      <w:r>
        <w:rPr>
          <w:rFonts w:asciiTheme="minorEastAsia" w:hAnsiTheme="minorEastAsia" w:eastAsiaTheme="minorEastAsia"/>
          <w:bCs/>
        </w:rPr>
        <w:t>承包人人员</w:t>
      </w:r>
      <w:bookmarkEnd w:id="252"/>
    </w:p>
    <w:bookmarkEnd w:id="255"/>
    <w:p>
      <w:pPr>
        <w:rPr>
          <w:rFonts w:asciiTheme="minorEastAsia" w:hAnsiTheme="minorEastAsia" w:eastAsiaTheme="minorEastAsia"/>
        </w:rPr>
      </w:pPr>
      <w:r>
        <w:rPr>
          <w:rFonts w:asciiTheme="minorEastAsia" w:hAnsiTheme="minorEastAsia" w:eastAsiaTheme="minorEastAsia"/>
        </w:rPr>
        <w:t>3.3.1 除专用合同条款另有约定外，承包人应在接到开工通知后7天内，向监理人提交承包人项目管理机构及施工现场人员安排的报告，其内容应包括合同管理、施工、技术、材料、质量、安全、财务等主要施工管理人员名单及其岗位、注册执业资格等，以及各工种技术工人的安排情况，并同时提交主要施工管理人员与承包人之间的劳动关系证明</w:t>
      </w:r>
      <w:r>
        <w:rPr>
          <w:rFonts w:hint="eastAsia" w:asciiTheme="minorEastAsia" w:hAnsiTheme="minorEastAsia" w:eastAsiaTheme="minorEastAsia"/>
        </w:rPr>
        <w:t>和</w:t>
      </w:r>
      <w:r>
        <w:rPr>
          <w:rFonts w:asciiTheme="minorEastAsia" w:hAnsiTheme="minorEastAsia" w:eastAsiaTheme="minorEastAsia"/>
        </w:rPr>
        <w:t>缴纳社会保险的有效证明。</w:t>
      </w:r>
    </w:p>
    <w:p>
      <w:pPr>
        <w:rPr>
          <w:rFonts w:asciiTheme="minorEastAsia" w:hAnsiTheme="minorEastAsia" w:eastAsiaTheme="minorEastAsia"/>
        </w:rPr>
      </w:pPr>
      <w:r>
        <w:rPr>
          <w:rFonts w:asciiTheme="minorEastAsia" w:hAnsiTheme="minorEastAsia" w:eastAsiaTheme="minorEastAsia"/>
        </w:rPr>
        <w:t>3.3.2 承包人派驻到施工现场的主要施工管理人员应相对稳定。施工过程中</w:t>
      </w:r>
      <w:r>
        <w:rPr>
          <w:rFonts w:hint="eastAsia" w:asciiTheme="minorEastAsia" w:hAnsiTheme="minorEastAsia" w:eastAsiaTheme="minorEastAsia"/>
        </w:rPr>
        <w:t>如有变动</w:t>
      </w:r>
      <w:r>
        <w:rPr>
          <w:rFonts w:asciiTheme="minorEastAsia" w:hAnsiTheme="minorEastAsia" w:eastAsiaTheme="minorEastAsia"/>
        </w:rPr>
        <w:t>，承包人应及时向监理人提交施工现场人员变动情况的报告。承包人更换主要施工管理人员时，应提前7天书面通知监理人，并征得发包人书面同意。通知中应当载明继任人员的注册执业资格、管理经验等资料。</w:t>
      </w:r>
    </w:p>
    <w:p>
      <w:pPr>
        <w:rPr>
          <w:rFonts w:asciiTheme="minorEastAsia" w:hAnsiTheme="minorEastAsia" w:eastAsiaTheme="minorEastAsia"/>
        </w:rPr>
      </w:pPr>
      <w:r>
        <w:rPr>
          <w:rFonts w:asciiTheme="minorEastAsia" w:hAnsiTheme="minorEastAsia" w:eastAsiaTheme="minorEastAsia"/>
        </w:rPr>
        <w:t>特殊工种作业人员均应持有相应的资格证明，监理人可以随时检查。</w:t>
      </w:r>
    </w:p>
    <w:p>
      <w:pPr>
        <w:rPr>
          <w:rFonts w:asciiTheme="minorEastAsia" w:hAnsiTheme="minorEastAsia" w:eastAsiaTheme="minorEastAsia"/>
        </w:rPr>
      </w:pPr>
      <w:r>
        <w:rPr>
          <w:rFonts w:asciiTheme="minorEastAsia" w:hAnsiTheme="minorEastAsia" w:eastAsiaTheme="minorEastAsia"/>
        </w:rPr>
        <w:t>3.3.3 发包人对于承包人主要施工管理人员</w:t>
      </w:r>
      <w:r>
        <w:rPr>
          <w:rFonts w:hint="eastAsia" w:asciiTheme="minorEastAsia" w:hAnsiTheme="minorEastAsia" w:eastAsiaTheme="minorEastAsia"/>
        </w:rPr>
        <w:t>的资格或能力</w:t>
      </w:r>
      <w:r>
        <w:rPr>
          <w:rFonts w:asciiTheme="minorEastAsia" w:hAnsiTheme="minorEastAsia" w:eastAsiaTheme="minorEastAsia"/>
        </w:rPr>
        <w:t>有异议的，承包人应提供资料证明被质疑人员有能力完成其岗位工作或不存在发包人所质疑的情形。发包人要求撤换不能按照合同约定履行职责及义务的主要施工管理人员的，承包人应当撤换。承包人无正当理由拒绝撤换的，应按照专用合同条款的约定承担违约责任。</w:t>
      </w:r>
    </w:p>
    <w:p>
      <w:pPr>
        <w:rPr>
          <w:rFonts w:asciiTheme="minorEastAsia" w:hAnsiTheme="minorEastAsia" w:eastAsiaTheme="minorEastAsia"/>
        </w:rPr>
      </w:pPr>
      <w:r>
        <w:rPr>
          <w:rFonts w:asciiTheme="minorEastAsia" w:hAnsiTheme="minorEastAsia" w:eastAsiaTheme="minorEastAsia"/>
        </w:rPr>
        <w:t>3.3.4 除专用合同条款另有约定外，承包人的主要施工管理人员离开施工现场每月累计不超过5天的，应报监理人同意；离开施工现场每月累计超过5天的，应通知监理人，并征得发包人书面同意。主要施工管理人员离开施工现场前应指定一名有经验的人员临时代行其职责，该人员应具备履行相应职责的资格和能力，且应征得监理人或发包人的同意。</w:t>
      </w:r>
    </w:p>
    <w:p>
      <w:pPr>
        <w:rPr>
          <w:rFonts w:asciiTheme="minorEastAsia" w:hAnsiTheme="minorEastAsia" w:eastAsiaTheme="minorEastAsia"/>
        </w:rPr>
      </w:pPr>
      <w:r>
        <w:rPr>
          <w:rFonts w:asciiTheme="minorEastAsia" w:hAnsiTheme="minorEastAsia" w:eastAsiaTheme="minorEastAsia"/>
        </w:rPr>
        <w:t>3.3.5 承包人擅自更换主要施工管理人员，或前述人员未经监理人或发包人同意擅自离开施工现场的，应按照专用合同条款约定承担违约责任。</w:t>
      </w:r>
    </w:p>
    <w:p>
      <w:pPr>
        <w:rPr>
          <w:rFonts w:asciiTheme="minorEastAsia" w:hAnsiTheme="minorEastAsia" w:eastAsiaTheme="minorEastAsia"/>
          <w:bCs/>
        </w:rPr>
      </w:pPr>
      <w:bookmarkStart w:id="256" w:name="_Toc351203522"/>
      <w:r>
        <w:rPr>
          <w:rFonts w:asciiTheme="minorEastAsia" w:hAnsiTheme="minorEastAsia" w:eastAsiaTheme="minorEastAsia"/>
          <w:bCs/>
        </w:rPr>
        <w:t>3</w:t>
      </w:r>
      <w:bookmarkStart w:id="257" w:name="_Toc337558750"/>
      <w:bookmarkStart w:id="258" w:name="_Toc296346551"/>
      <w:bookmarkStart w:id="259" w:name="_Toc296503050"/>
      <w:r>
        <w:rPr>
          <w:rFonts w:asciiTheme="minorEastAsia" w:hAnsiTheme="minorEastAsia" w:eastAsiaTheme="minorEastAsia"/>
          <w:bCs/>
        </w:rPr>
        <w:t>.4 承包人现场查勘</w:t>
      </w:r>
      <w:bookmarkEnd w:id="256"/>
    </w:p>
    <w:bookmarkEnd w:id="257"/>
    <w:bookmarkEnd w:id="258"/>
    <w:bookmarkEnd w:id="259"/>
    <w:p>
      <w:pPr>
        <w:rPr>
          <w:rFonts w:asciiTheme="minorEastAsia" w:hAnsiTheme="minorEastAsia" w:eastAsiaTheme="minorEastAsia"/>
        </w:rPr>
      </w:pPr>
      <w:r>
        <w:rPr>
          <w:rFonts w:asciiTheme="minorEastAsia" w:hAnsiTheme="minorEastAsia" w:eastAsiaTheme="minorEastAsia"/>
        </w:rPr>
        <w:t>承包人应对基于发包人按照第2.4.3项</w:t>
      </w:r>
      <w:r>
        <w:rPr>
          <w:rFonts w:hint="eastAsia" w:asciiTheme="minorEastAsia" w:hAnsiTheme="minorEastAsia" w:eastAsiaTheme="minorEastAsia"/>
        </w:rPr>
        <w:t>〔</w:t>
      </w:r>
      <w:r>
        <w:rPr>
          <w:rFonts w:asciiTheme="minorEastAsia" w:hAnsiTheme="minorEastAsia" w:eastAsiaTheme="minorEastAsia"/>
        </w:rPr>
        <w:t>提供基础资料</w:t>
      </w:r>
      <w:r>
        <w:rPr>
          <w:rFonts w:hint="eastAsia" w:asciiTheme="minorEastAsia" w:hAnsiTheme="minorEastAsia" w:eastAsiaTheme="minorEastAsia"/>
        </w:rPr>
        <w:t>〕</w:t>
      </w:r>
      <w:r>
        <w:rPr>
          <w:rFonts w:asciiTheme="minorEastAsia" w:hAnsiTheme="minorEastAsia" w:eastAsiaTheme="minorEastAsia"/>
        </w:rPr>
        <w:t>提交的基础资料所做出的解释和推断负责，但因基础资料存在错误、遗漏导致承包人解释或推断失实的，由发包人承担责任。</w:t>
      </w:r>
    </w:p>
    <w:p>
      <w:pPr>
        <w:rPr>
          <w:rFonts w:asciiTheme="minorEastAsia" w:hAnsiTheme="minorEastAsia" w:eastAsiaTheme="minorEastAsia"/>
        </w:rPr>
      </w:pPr>
      <w:r>
        <w:rPr>
          <w:rFonts w:asciiTheme="minorEastAsia" w:hAnsiTheme="minorEastAsia" w:eastAsiaTheme="minorEastAsia"/>
        </w:rPr>
        <w:t>承包人应对施工现场和施工条件进行查勘，并充分了解工程所在地的气象条件、交通条件、风俗习惯以及其他与完成合同工作有关的其他资料。因承包人未能充分查勘、了解前述情况或未能充分估计前述情况所可能产生后果的，承包人承担由此增加的费用和（或）延误的工期。</w:t>
      </w:r>
    </w:p>
    <w:p>
      <w:pPr>
        <w:rPr>
          <w:rFonts w:asciiTheme="minorEastAsia" w:hAnsiTheme="minorEastAsia" w:eastAsiaTheme="minorEastAsia"/>
          <w:bCs/>
        </w:rPr>
      </w:pPr>
      <w:bookmarkStart w:id="260" w:name="_Toc351203523"/>
      <w:r>
        <w:rPr>
          <w:rFonts w:asciiTheme="minorEastAsia" w:hAnsiTheme="minorEastAsia" w:eastAsiaTheme="minorEastAsia"/>
          <w:bCs/>
        </w:rPr>
        <w:t>3</w:t>
      </w:r>
      <w:bookmarkStart w:id="261" w:name="_Toc296346552"/>
      <w:bookmarkStart w:id="262" w:name="_Toc337558751"/>
      <w:bookmarkStart w:id="263" w:name="_Toc296503051"/>
      <w:r>
        <w:rPr>
          <w:rFonts w:asciiTheme="minorEastAsia" w:hAnsiTheme="minorEastAsia" w:eastAsiaTheme="minorEastAsia"/>
          <w:bCs/>
        </w:rPr>
        <w:t>.5 分包</w:t>
      </w:r>
      <w:bookmarkEnd w:id="260"/>
    </w:p>
    <w:bookmarkEnd w:id="261"/>
    <w:bookmarkEnd w:id="262"/>
    <w:bookmarkEnd w:id="263"/>
    <w:p>
      <w:pPr>
        <w:rPr>
          <w:rFonts w:asciiTheme="minorEastAsia" w:hAnsiTheme="minorEastAsia" w:eastAsiaTheme="minorEastAsia"/>
        </w:rPr>
      </w:pPr>
      <w:r>
        <w:rPr>
          <w:rFonts w:asciiTheme="minorEastAsia" w:hAnsiTheme="minorEastAsia" w:eastAsiaTheme="minorEastAsia"/>
        </w:rPr>
        <w:t>3.5.1 分包的一般约定</w:t>
      </w:r>
    </w:p>
    <w:p>
      <w:pPr>
        <w:rPr>
          <w:rFonts w:asciiTheme="minorEastAsia" w:hAnsiTheme="minorEastAsia" w:eastAsiaTheme="minorEastAsia"/>
        </w:rPr>
      </w:pPr>
      <w:r>
        <w:rPr>
          <w:rFonts w:asciiTheme="minorEastAsia" w:hAnsiTheme="minorEastAsia" w:eastAsiaTheme="minorEastAsia"/>
        </w:rPr>
        <w:t>承包人不得将其承包的全部工程转包给第三人，或将其承包的全部工程肢解后以分包的名义转包给第三人。承包人不得将工程主体结构、关键性工作及专用合同条款中禁止分包的专业工程分包给第三人，主体结构、关键性工作的范围由合同当事人按照法律规定在专用合同条款中予以明确。</w:t>
      </w:r>
    </w:p>
    <w:p>
      <w:pPr>
        <w:rPr>
          <w:rFonts w:asciiTheme="minorEastAsia" w:hAnsiTheme="minorEastAsia" w:eastAsiaTheme="minorEastAsia"/>
        </w:rPr>
      </w:pPr>
      <w:r>
        <w:rPr>
          <w:rFonts w:hint="eastAsia" w:asciiTheme="minorEastAsia" w:hAnsiTheme="minorEastAsia" w:eastAsiaTheme="minorEastAsia"/>
        </w:rPr>
        <w:t>承包人不得以劳务分包的名义转包或违法分包工程。</w:t>
      </w:r>
    </w:p>
    <w:p>
      <w:pPr>
        <w:rPr>
          <w:rFonts w:asciiTheme="minorEastAsia" w:hAnsiTheme="minorEastAsia" w:eastAsiaTheme="minorEastAsia"/>
        </w:rPr>
      </w:pPr>
      <w:r>
        <w:rPr>
          <w:rFonts w:asciiTheme="minorEastAsia" w:hAnsiTheme="minorEastAsia" w:eastAsiaTheme="minorEastAsia"/>
        </w:rPr>
        <w:t>3.5.2 分包的确定</w:t>
      </w:r>
    </w:p>
    <w:p>
      <w:pPr>
        <w:rPr>
          <w:rFonts w:asciiTheme="minorEastAsia" w:hAnsiTheme="minorEastAsia" w:eastAsiaTheme="minorEastAsia"/>
        </w:rPr>
      </w:pPr>
      <w:r>
        <w:rPr>
          <w:rFonts w:asciiTheme="minorEastAsia" w:hAnsiTheme="minorEastAsia" w:eastAsiaTheme="minorEastAsia"/>
        </w:rPr>
        <w:t>承包人应按专用合同条款的约定进行分包，确定分包人。已标价工程量清单或预算书中给定暂估价的专业工程，按照第10.7款</w:t>
      </w:r>
      <w:r>
        <w:rPr>
          <w:rFonts w:hint="eastAsia" w:asciiTheme="minorEastAsia" w:hAnsiTheme="minorEastAsia" w:eastAsiaTheme="minorEastAsia"/>
        </w:rPr>
        <w:t>〔</w:t>
      </w:r>
      <w:r>
        <w:rPr>
          <w:rFonts w:asciiTheme="minorEastAsia" w:hAnsiTheme="minorEastAsia" w:eastAsiaTheme="minorEastAsia"/>
        </w:rPr>
        <w:t>暂估价</w:t>
      </w:r>
      <w:r>
        <w:rPr>
          <w:rFonts w:hint="eastAsia" w:asciiTheme="minorEastAsia" w:hAnsiTheme="minorEastAsia" w:eastAsiaTheme="minorEastAsia"/>
        </w:rPr>
        <w:t>〕</w:t>
      </w:r>
      <w:r>
        <w:rPr>
          <w:rFonts w:asciiTheme="minorEastAsia" w:hAnsiTheme="minorEastAsia" w:eastAsiaTheme="minorEastAsia"/>
        </w:rPr>
        <w:t>确定分包人。按照合同约定进行分包的，承包人应确保分包人具有相应的资质和能力。工程分包不减轻或免除承包人的责任和义务，承包人和分包人就分包工程向发包人承担连带责任。除合同另有约定外，承包人应在分包合同签订后7天内向发包人和监理人提交分包合同副本。</w:t>
      </w:r>
    </w:p>
    <w:p>
      <w:pPr>
        <w:rPr>
          <w:rFonts w:asciiTheme="minorEastAsia" w:hAnsiTheme="minorEastAsia" w:eastAsiaTheme="minorEastAsia"/>
        </w:rPr>
      </w:pPr>
      <w:r>
        <w:rPr>
          <w:rFonts w:asciiTheme="minorEastAsia" w:hAnsiTheme="minorEastAsia" w:eastAsiaTheme="minorEastAsia"/>
        </w:rPr>
        <w:t>3.5.3 分包管理</w:t>
      </w:r>
    </w:p>
    <w:p>
      <w:pPr>
        <w:rPr>
          <w:rFonts w:asciiTheme="minorEastAsia" w:hAnsiTheme="minorEastAsia" w:eastAsiaTheme="minorEastAsia"/>
        </w:rPr>
      </w:pPr>
      <w:r>
        <w:rPr>
          <w:rFonts w:asciiTheme="minorEastAsia" w:hAnsiTheme="minorEastAsia" w:eastAsiaTheme="minorEastAsia"/>
        </w:rPr>
        <w:t>承包人应向监理人提交分包人的主要施工管理人员表，并对分包人的施工人员进行实名制管理，包括但不限于进出场管理、登记造册以及各种证照的办理。</w:t>
      </w:r>
    </w:p>
    <w:p>
      <w:pPr>
        <w:rPr>
          <w:rFonts w:asciiTheme="minorEastAsia" w:hAnsiTheme="minorEastAsia" w:eastAsiaTheme="minorEastAsia"/>
        </w:rPr>
      </w:pPr>
      <w:r>
        <w:rPr>
          <w:rFonts w:asciiTheme="minorEastAsia" w:hAnsiTheme="minorEastAsia" w:eastAsiaTheme="minorEastAsia"/>
        </w:rPr>
        <w:t>3.5.4 分包合同价款</w:t>
      </w:r>
    </w:p>
    <w:p>
      <w:pPr>
        <w:rPr>
          <w:rFonts w:asciiTheme="minorEastAsia" w:hAnsiTheme="minorEastAsia" w:eastAsiaTheme="minorEastAsia"/>
        </w:rPr>
      </w:pPr>
      <w:r>
        <w:rPr>
          <w:rFonts w:asciiTheme="minorEastAsia" w:hAnsiTheme="minorEastAsia" w:eastAsiaTheme="minorEastAsia"/>
        </w:rPr>
        <w:t>（1）除本项第（2）目约定的情况或专用合同条款另有约定外，分包合同价款由承包人与分包人结算，未经承包人同意，发包人不得向分包人支付分包工程价款；</w:t>
      </w:r>
    </w:p>
    <w:p>
      <w:pPr>
        <w:rPr>
          <w:rFonts w:asciiTheme="minorEastAsia" w:hAnsiTheme="minorEastAsia" w:eastAsiaTheme="minorEastAsia"/>
        </w:rPr>
      </w:pPr>
      <w:r>
        <w:rPr>
          <w:rFonts w:asciiTheme="minorEastAsia" w:hAnsiTheme="minorEastAsia" w:eastAsiaTheme="minorEastAsia"/>
        </w:rPr>
        <w:t>（2）生效法律文书要求发包人向分包人支付分包合同价款的，发包人有权从应付承包人工程款中扣除该部分款项。</w:t>
      </w:r>
    </w:p>
    <w:p>
      <w:pPr>
        <w:rPr>
          <w:rFonts w:asciiTheme="minorEastAsia" w:hAnsiTheme="minorEastAsia" w:eastAsiaTheme="minorEastAsia"/>
        </w:rPr>
      </w:pPr>
      <w:r>
        <w:rPr>
          <w:rFonts w:asciiTheme="minorEastAsia" w:hAnsiTheme="minorEastAsia" w:eastAsiaTheme="minorEastAsia"/>
        </w:rPr>
        <w:t>3.5.5 分包合同权益的转让</w:t>
      </w:r>
    </w:p>
    <w:p>
      <w:pPr>
        <w:rPr>
          <w:rFonts w:asciiTheme="minorEastAsia" w:hAnsiTheme="minorEastAsia" w:eastAsiaTheme="minorEastAsia"/>
        </w:rPr>
      </w:pPr>
      <w:r>
        <w:rPr>
          <w:rFonts w:asciiTheme="minorEastAsia" w:hAnsiTheme="minorEastAsia" w:eastAsiaTheme="minorEastAsia"/>
        </w:rPr>
        <w:t>分包人在分包合同项下的义务持续到缺陷责任期届满以后的，发包人有权在缺陷责任期届满前，要求承包人将其在分包合同项下的权益转让给发包人，承包人应当转让。除转让合同另有约定外，转让合同生效后，由分包人向发包人履行义务。</w:t>
      </w:r>
      <w:bookmarkStart w:id="264" w:name="_Toc351203524"/>
    </w:p>
    <w:p>
      <w:pPr>
        <w:rPr>
          <w:rFonts w:asciiTheme="minorEastAsia" w:hAnsiTheme="minorEastAsia" w:eastAsiaTheme="minorEastAsia"/>
          <w:bCs/>
        </w:rPr>
      </w:pPr>
      <w:r>
        <w:rPr>
          <w:rFonts w:asciiTheme="minorEastAsia" w:hAnsiTheme="minorEastAsia" w:eastAsiaTheme="minorEastAsia"/>
          <w:bCs/>
        </w:rPr>
        <w:t>3.6 工程照管与成品、半成品保护</w:t>
      </w:r>
      <w:bookmarkEnd w:id="264"/>
    </w:p>
    <w:p>
      <w:pPr>
        <w:rPr>
          <w:rFonts w:asciiTheme="minorEastAsia" w:hAnsiTheme="minorEastAsia" w:eastAsiaTheme="minorEastAsia"/>
        </w:rPr>
      </w:pPr>
      <w:r>
        <w:rPr>
          <w:rFonts w:asciiTheme="minorEastAsia" w:hAnsiTheme="minorEastAsia" w:eastAsiaTheme="minorEastAsia"/>
        </w:rPr>
        <w:t>（1）除专用合同条款另有约定外，自发包人向承包人移交施工现场之日起，承包人应负责照管工程及工程相关的材料、工程设备，直到颁发工程接收证书之日止。</w:t>
      </w:r>
    </w:p>
    <w:p>
      <w:pPr>
        <w:rPr>
          <w:rFonts w:asciiTheme="minorEastAsia" w:hAnsiTheme="minorEastAsia" w:eastAsiaTheme="minorEastAsia"/>
        </w:rPr>
      </w:pPr>
      <w:r>
        <w:rPr>
          <w:rFonts w:asciiTheme="minorEastAsia" w:hAnsiTheme="minorEastAsia" w:eastAsiaTheme="minorEastAsia"/>
        </w:rPr>
        <w:t>（</w:t>
      </w:r>
      <w:r>
        <w:rPr>
          <w:rFonts w:hint="eastAsia" w:asciiTheme="minorEastAsia" w:hAnsiTheme="minorEastAsia" w:eastAsiaTheme="minorEastAsia"/>
        </w:rPr>
        <w:t>2</w:t>
      </w:r>
      <w:r>
        <w:rPr>
          <w:rFonts w:asciiTheme="minorEastAsia" w:hAnsiTheme="minorEastAsia" w:eastAsiaTheme="minorEastAsia"/>
        </w:rPr>
        <w:t>）在承包人负责照管期间，因承包人原因造成工程、材料、工程设备损坏的，由承包人负责修复或更换，并承担由此增加的费用和（或）延误的工期。</w:t>
      </w:r>
    </w:p>
    <w:p>
      <w:pPr>
        <w:rPr>
          <w:rFonts w:asciiTheme="minorEastAsia" w:hAnsiTheme="minorEastAsia" w:eastAsiaTheme="minorEastAsia"/>
        </w:rPr>
      </w:pPr>
      <w:r>
        <w:rPr>
          <w:rFonts w:asciiTheme="minorEastAsia" w:hAnsiTheme="minorEastAsia" w:eastAsiaTheme="minorEastAsia"/>
        </w:rPr>
        <w:t>（</w:t>
      </w:r>
      <w:r>
        <w:rPr>
          <w:rFonts w:hint="eastAsia" w:asciiTheme="minorEastAsia" w:hAnsiTheme="minorEastAsia" w:eastAsiaTheme="minorEastAsia"/>
        </w:rPr>
        <w:t>3</w:t>
      </w:r>
      <w:r>
        <w:rPr>
          <w:rFonts w:asciiTheme="minorEastAsia" w:hAnsiTheme="minorEastAsia" w:eastAsiaTheme="minorEastAsia"/>
        </w:rPr>
        <w:t>）对合同内分期完成的成品和半成品，在工程接收证书颁发前，由承包人承担保护责任。因承包人原因造成成品或半成品损坏的，由承包人负责修复或更换，并承担由此增加的费用和（或）延误的工期。</w:t>
      </w:r>
    </w:p>
    <w:p>
      <w:pPr>
        <w:rPr>
          <w:rFonts w:asciiTheme="minorEastAsia" w:hAnsiTheme="minorEastAsia" w:eastAsiaTheme="minorEastAsia"/>
          <w:bCs/>
        </w:rPr>
      </w:pPr>
      <w:bookmarkStart w:id="265" w:name="_Toc351203525"/>
      <w:r>
        <w:rPr>
          <w:rFonts w:asciiTheme="minorEastAsia" w:hAnsiTheme="minorEastAsia" w:eastAsiaTheme="minorEastAsia"/>
          <w:bCs/>
        </w:rPr>
        <w:t>3</w:t>
      </w:r>
      <w:bookmarkStart w:id="266" w:name="_Toc296346553"/>
      <w:bookmarkStart w:id="267" w:name="_Toc337558752"/>
      <w:bookmarkStart w:id="268" w:name="_Toc296503052"/>
      <w:r>
        <w:rPr>
          <w:rFonts w:asciiTheme="minorEastAsia" w:hAnsiTheme="minorEastAsia" w:eastAsiaTheme="minorEastAsia"/>
          <w:bCs/>
        </w:rPr>
        <w:t>.7 履约担保</w:t>
      </w:r>
      <w:bookmarkEnd w:id="265"/>
    </w:p>
    <w:bookmarkEnd w:id="266"/>
    <w:bookmarkEnd w:id="267"/>
    <w:bookmarkEnd w:id="268"/>
    <w:p>
      <w:pPr>
        <w:rPr>
          <w:rFonts w:asciiTheme="minorEastAsia" w:hAnsiTheme="minorEastAsia" w:eastAsiaTheme="minorEastAsia"/>
        </w:rPr>
      </w:pPr>
      <w:r>
        <w:rPr>
          <w:rFonts w:hint="eastAsia" w:asciiTheme="minorEastAsia" w:hAnsiTheme="minorEastAsia" w:eastAsiaTheme="minorEastAsia"/>
        </w:rPr>
        <w:t>本项目不提供</w:t>
      </w:r>
      <w:r>
        <w:rPr>
          <w:rFonts w:asciiTheme="minorEastAsia" w:hAnsiTheme="minorEastAsia" w:eastAsiaTheme="minorEastAsia"/>
        </w:rPr>
        <w:t>。</w:t>
      </w:r>
    </w:p>
    <w:p>
      <w:pPr>
        <w:rPr>
          <w:rFonts w:asciiTheme="minorEastAsia" w:hAnsiTheme="minorEastAsia" w:eastAsiaTheme="minorEastAsia"/>
          <w:bCs/>
        </w:rPr>
      </w:pPr>
      <w:bookmarkStart w:id="269" w:name="_Toc351203526"/>
      <w:r>
        <w:rPr>
          <w:rFonts w:asciiTheme="minorEastAsia" w:hAnsiTheme="minorEastAsia" w:eastAsiaTheme="minorEastAsia"/>
          <w:bCs/>
        </w:rPr>
        <w:t>3.8 联合体</w:t>
      </w:r>
      <w:bookmarkEnd w:id="269"/>
    </w:p>
    <w:p>
      <w:pPr>
        <w:rPr>
          <w:rFonts w:asciiTheme="minorEastAsia" w:hAnsiTheme="minorEastAsia" w:eastAsiaTheme="minorEastAsia"/>
        </w:rPr>
      </w:pPr>
      <w:r>
        <w:rPr>
          <w:rFonts w:hint="eastAsia" w:asciiTheme="minorEastAsia" w:hAnsiTheme="minorEastAsia" w:eastAsiaTheme="minorEastAsia"/>
        </w:rPr>
        <w:t>本项目不接受联合体</w:t>
      </w:r>
      <w:r>
        <w:rPr>
          <w:rFonts w:asciiTheme="minorEastAsia" w:hAnsiTheme="minorEastAsia" w:eastAsiaTheme="minorEastAsia"/>
        </w:rPr>
        <w:t>。</w:t>
      </w:r>
    </w:p>
    <w:p>
      <w:pPr>
        <w:rPr>
          <w:rFonts w:asciiTheme="minorEastAsia" w:hAnsiTheme="minorEastAsia" w:eastAsiaTheme="minorEastAsia"/>
          <w:bCs/>
        </w:rPr>
      </w:pPr>
      <w:bookmarkStart w:id="270" w:name="_Toc351203527"/>
      <w:r>
        <w:rPr>
          <w:rFonts w:asciiTheme="minorEastAsia" w:hAnsiTheme="minorEastAsia" w:eastAsiaTheme="minorEastAsia"/>
          <w:bCs/>
        </w:rPr>
        <w:t>4</w:t>
      </w:r>
      <w:bookmarkStart w:id="271" w:name="_Toc296346554"/>
      <w:bookmarkStart w:id="272" w:name="_Toc296503053"/>
      <w:bookmarkStart w:id="273" w:name="_Toc337558753"/>
      <w:r>
        <w:rPr>
          <w:rFonts w:asciiTheme="minorEastAsia" w:hAnsiTheme="minorEastAsia" w:eastAsiaTheme="minorEastAsia"/>
          <w:bCs/>
        </w:rPr>
        <w:t>. 监</w:t>
      </w:r>
      <w:bookmarkEnd w:id="271"/>
      <w:bookmarkEnd w:id="272"/>
      <w:r>
        <w:rPr>
          <w:rFonts w:asciiTheme="minorEastAsia" w:hAnsiTheme="minorEastAsia" w:eastAsiaTheme="minorEastAsia"/>
          <w:bCs/>
        </w:rPr>
        <w:t>理人</w:t>
      </w:r>
      <w:bookmarkEnd w:id="270"/>
    </w:p>
    <w:bookmarkEnd w:id="273"/>
    <w:p>
      <w:pPr>
        <w:rPr>
          <w:rFonts w:asciiTheme="minorEastAsia" w:hAnsiTheme="minorEastAsia" w:eastAsiaTheme="minorEastAsia"/>
          <w:bCs/>
        </w:rPr>
      </w:pPr>
      <w:bookmarkStart w:id="274" w:name="_Toc351203528"/>
      <w:r>
        <w:rPr>
          <w:rFonts w:asciiTheme="minorEastAsia" w:hAnsiTheme="minorEastAsia" w:eastAsiaTheme="minorEastAsia"/>
          <w:bCs/>
        </w:rPr>
        <w:t>4</w:t>
      </w:r>
      <w:bookmarkStart w:id="275" w:name="_Toc337558754"/>
      <w:bookmarkStart w:id="276" w:name="_Toc296346555"/>
      <w:bookmarkStart w:id="277" w:name="_Toc296503054"/>
      <w:r>
        <w:rPr>
          <w:rFonts w:asciiTheme="minorEastAsia" w:hAnsiTheme="minorEastAsia" w:eastAsiaTheme="minorEastAsia"/>
          <w:bCs/>
        </w:rPr>
        <w:t>.1监理人的一般规定</w:t>
      </w:r>
      <w:bookmarkEnd w:id="274"/>
    </w:p>
    <w:bookmarkEnd w:id="275"/>
    <w:bookmarkEnd w:id="276"/>
    <w:bookmarkEnd w:id="277"/>
    <w:p>
      <w:pPr>
        <w:rPr>
          <w:rFonts w:asciiTheme="minorEastAsia" w:hAnsiTheme="minorEastAsia" w:eastAsiaTheme="minorEastAsia"/>
        </w:rPr>
      </w:pPr>
      <w:r>
        <w:rPr>
          <w:rFonts w:asciiTheme="minorEastAsia" w:hAnsiTheme="minorEastAsia" w:eastAsiaTheme="minorEastAsia"/>
        </w:rPr>
        <w:t>工程实行监理的，发包人和承包人应在专用合同条款中明确监理人的监理内容及监理权限等事项。监理人应当根据发包人授权及法律规定，代表发包人对工程施工相关事项进行检查、查验、审核、验收，并签发相关指示，但监理人无权修改合同，且无权减轻或免除合同约定的承包人的任何责任与义务。</w:t>
      </w:r>
    </w:p>
    <w:p>
      <w:pPr>
        <w:rPr>
          <w:rFonts w:asciiTheme="minorEastAsia" w:hAnsiTheme="minorEastAsia" w:eastAsiaTheme="minorEastAsia"/>
        </w:rPr>
      </w:pPr>
      <w:r>
        <w:rPr>
          <w:rFonts w:asciiTheme="minorEastAsia" w:hAnsiTheme="minorEastAsia" w:eastAsiaTheme="minorEastAsia"/>
        </w:rPr>
        <w:t>除专用合同条款另有约定外，监理人在施工现场的办公场所、生活场所由承包人提供，所发生的费用由发包人承担。</w:t>
      </w:r>
    </w:p>
    <w:p>
      <w:pPr>
        <w:rPr>
          <w:rFonts w:asciiTheme="minorEastAsia" w:hAnsiTheme="minorEastAsia" w:eastAsiaTheme="minorEastAsia"/>
          <w:bCs/>
        </w:rPr>
      </w:pPr>
      <w:bookmarkStart w:id="278" w:name="_Toc351203529"/>
      <w:r>
        <w:rPr>
          <w:rFonts w:asciiTheme="minorEastAsia" w:hAnsiTheme="minorEastAsia" w:eastAsiaTheme="minorEastAsia"/>
          <w:bCs/>
        </w:rPr>
        <w:t>4</w:t>
      </w:r>
      <w:bookmarkStart w:id="279" w:name="_Toc337558755"/>
      <w:r>
        <w:rPr>
          <w:rFonts w:asciiTheme="minorEastAsia" w:hAnsiTheme="minorEastAsia" w:eastAsiaTheme="minorEastAsia"/>
          <w:bCs/>
        </w:rPr>
        <w:t>.2监理人员</w:t>
      </w:r>
      <w:bookmarkEnd w:id="278"/>
    </w:p>
    <w:bookmarkEnd w:id="279"/>
    <w:p>
      <w:pPr>
        <w:rPr>
          <w:rFonts w:asciiTheme="minorEastAsia" w:hAnsiTheme="minorEastAsia" w:eastAsiaTheme="minorEastAsia"/>
        </w:rPr>
      </w:pPr>
      <w:r>
        <w:rPr>
          <w:rFonts w:asciiTheme="minorEastAsia" w:hAnsiTheme="minorEastAsia" w:eastAsiaTheme="minorEastAsia"/>
        </w:rPr>
        <w:t>发包人授予监理人对工程实施监理的权利由监理人派驻施工现场的监理人员行使，监理人员包括总监理工程师及监理工程师。监理人应将授权的总监理工程师和监理工程师的姓名及授权范围以书面形式提前通知承包人。更换总监理工程师的，监理人应提前7天书面通知承包人；更换其他监理人员，监理人应提前48小时书面通知承包人。</w:t>
      </w:r>
    </w:p>
    <w:p>
      <w:pPr>
        <w:rPr>
          <w:rFonts w:asciiTheme="minorEastAsia" w:hAnsiTheme="minorEastAsia" w:eastAsiaTheme="minorEastAsia"/>
          <w:bCs/>
        </w:rPr>
      </w:pPr>
      <w:bookmarkStart w:id="280" w:name="_Toc351203530"/>
      <w:r>
        <w:rPr>
          <w:rFonts w:asciiTheme="minorEastAsia" w:hAnsiTheme="minorEastAsia" w:eastAsiaTheme="minorEastAsia"/>
          <w:bCs/>
        </w:rPr>
        <w:t>4</w:t>
      </w:r>
      <w:bookmarkStart w:id="281" w:name="_Toc296346556"/>
      <w:bookmarkStart w:id="282" w:name="_Toc296503055"/>
      <w:bookmarkStart w:id="283" w:name="_Toc337558756"/>
      <w:r>
        <w:rPr>
          <w:rFonts w:asciiTheme="minorEastAsia" w:hAnsiTheme="minorEastAsia" w:eastAsiaTheme="minorEastAsia"/>
          <w:bCs/>
        </w:rPr>
        <w:t>.3</w:t>
      </w:r>
      <w:bookmarkEnd w:id="281"/>
      <w:bookmarkEnd w:id="282"/>
      <w:r>
        <w:rPr>
          <w:rFonts w:asciiTheme="minorEastAsia" w:hAnsiTheme="minorEastAsia" w:eastAsiaTheme="minorEastAsia"/>
          <w:bCs/>
        </w:rPr>
        <w:t>监理人的指</w:t>
      </w:r>
      <w:bookmarkEnd w:id="283"/>
      <w:r>
        <w:rPr>
          <w:rFonts w:asciiTheme="minorEastAsia" w:hAnsiTheme="minorEastAsia" w:eastAsiaTheme="minorEastAsia"/>
          <w:bCs/>
        </w:rPr>
        <w:t>示</w:t>
      </w:r>
      <w:bookmarkEnd w:id="280"/>
    </w:p>
    <w:p>
      <w:pPr>
        <w:rPr>
          <w:rFonts w:asciiTheme="minorEastAsia" w:hAnsiTheme="minorEastAsia" w:eastAsiaTheme="minorEastAsia"/>
        </w:rPr>
      </w:pPr>
      <w:r>
        <w:rPr>
          <w:rFonts w:asciiTheme="minorEastAsia" w:hAnsiTheme="minorEastAsia" w:eastAsiaTheme="minorEastAsia"/>
        </w:rPr>
        <w:t>监理人应按照发包人的授权发出监理指示。监理人的指示应采用书面形式，并经其授权的监理人员签字。紧急情况下，为了保证施工人员的安全或避免工程受损，监理人员可以口头形式发出指示，该指示与书面形式的指示具有同等法律效力，但必须在发出口头指示后24小时内补发书面监理指示，补发的书面监理指示应与口头指示一致。</w:t>
      </w:r>
    </w:p>
    <w:p>
      <w:pPr>
        <w:rPr>
          <w:rFonts w:asciiTheme="minorEastAsia" w:hAnsiTheme="minorEastAsia" w:eastAsiaTheme="minorEastAsia"/>
        </w:rPr>
      </w:pPr>
      <w:r>
        <w:rPr>
          <w:rFonts w:asciiTheme="minorEastAsia" w:hAnsiTheme="minorEastAsia" w:eastAsiaTheme="minorEastAsia"/>
        </w:rPr>
        <w:t>监理人发出的指示应送达承包人项目经理或经项目经理授权接收的人员。因监理人未能按合同约定发出指示、指示延误或发出了错误指示而导致承包人费用增加和（或）工期延误的，由发包人承担</w:t>
      </w:r>
      <w:r>
        <w:rPr>
          <w:rFonts w:hint="eastAsia" w:asciiTheme="minorEastAsia" w:hAnsiTheme="minorEastAsia" w:eastAsiaTheme="minorEastAsia"/>
        </w:rPr>
        <w:t>相应</w:t>
      </w:r>
      <w:r>
        <w:rPr>
          <w:rFonts w:asciiTheme="minorEastAsia" w:hAnsiTheme="minorEastAsia" w:eastAsiaTheme="minorEastAsia"/>
        </w:rPr>
        <w:t>责任。除专用合同条款另有约定外，总监理工程师不应将第4.4款</w:t>
      </w:r>
      <w:r>
        <w:rPr>
          <w:rFonts w:hint="eastAsia" w:asciiTheme="minorEastAsia" w:hAnsiTheme="minorEastAsia" w:eastAsiaTheme="minorEastAsia"/>
        </w:rPr>
        <w:t>〔</w:t>
      </w:r>
      <w:r>
        <w:rPr>
          <w:rFonts w:asciiTheme="minorEastAsia" w:hAnsiTheme="minorEastAsia" w:eastAsiaTheme="minorEastAsia"/>
        </w:rPr>
        <w:t>商定或确定</w:t>
      </w:r>
      <w:r>
        <w:rPr>
          <w:rFonts w:hint="eastAsia" w:asciiTheme="minorEastAsia" w:hAnsiTheme="minorEastAsia" w:eastAsiaTheme="minorEastAsia"/>
        </w:rPr>
        <w:t>〕</w:t>
      </w:r>
      <w:r>
        <w:rPr>
          <w:rFonts w:asciiTheme="minorEastAsia" w:hAnsiTheme="minorEastAsia" w:eastAsiaTheme="minorEastAsia"/>
        </w:rPr>
        <w:t>约定应由总监理工程师作出确定的权力授权或委托给其他监理人员。</w:t>
      </w:r>
    </w:p>
    <w:p>
      <w:pPr>
        <w:rPr>
          <w:rFonts w:asciiTheme="minorEastAsia" w:hAnsiTheme="minorEastAsia" w:eastAsiaTheme="minorEastAsia"/>
        </w:rPr>
      </w:pPr>
      <w:r>
        <w:rPr>
          <w:rFonts w:asciiTheme="minorEastAsia" w:hAnsiTheme="minorEastAsia" w:eastAsiaTheme="minorEastAsia"/>
        </w:rPr>
        <w:t>承包人对监理人发出的指示有疑问的，应向监理人提出书面异议，监理人应在48小时内对该指示予以确认、更改或撤销，监理人逾期未回复的，承包人有权拒绝执行上述指示。</w:t>
      </w:r>
    </w:p>
    <w:p>
      <w:pPr>
        <w:rPr>
          <w:rFonts w:asciiTheme="minorEastAsia" w:hAnsiTheme="minorEastAsia" w:eastAsiaTheme="minorEastAsia"/>
        </w:rPr>
      </w:pPr>
      <w:r>
        <w:rPr>
          <w:rFonts w:asciiTheme="minorEastAsia" w:hAnsiTheme="minorEastAsia" w:eastAsiaTheme="minorEastAsia"/>
        </w:rPr>
        <w:t>监理人对承包人的任何工作、工程或其采用的材料和工程设备未在约定的或合理期限内提出意见的，视为批准，但不免除或减轻承包人对该工作、工程、材料、工程设备等应承担的责任和义务。</w:t>
      </w:r>
    </w:p>
    <w:p>
      <w:pPr>
        <w:rPr>
          <w:rFonts w:asciiTheme="minorEastAsia" w:hAnsiTheme="minorEastAsia" w:eastAsiaTheme="minorEastAsia"/>
          <w:bCs/>
        </w:rPr>
      </w:pPr>
      <w:bookmarkStart w:id="284" w:name="_Toc351203531"/>
      <w:r>
        <w:rPr>
          <w:rFonts w:asciiTheme="minorEastAsia" w:hAnsiTheme="minorEastAsia" w:eastAsiaTheme="minorEastAsia"/>
          <w:bCs/>
        </w:rPr>
        <w:t>4</w:t>
      </w:r>
      <w:bookmarkStart w:id="285" w:name="_Toc337558757"/>
      <w:bookmarkStart w:id="286" w:name="_Toc296346558"/>
      <w:bookmarkStart w:id="287" w:name="_Toc296503057"/>
      <w:r>
        <w:rPr>
          <w:rFonts w:asciiTheme="minorEastAsia" w:hAnsiTheme="minorEastAsia" w:eastAsiaTheme="minorEastAsia"/>
          <w:bCs/>
        </w:rPr>
        <w:t>.4 商定或确定</w:t>
      </w:r>
      <w:bookmarkEnd w:id="284"/>
    </w:p>
    <w:bookmarkEnd w:id="285"/>
    <w:bookmarkEnd w:id="286"/>
    <w:bookmarkEnd w:id="287"/>
    <w:p>
      <w:pPr>
        <w:rPr>
          <w:rFonts w:asciiTheme="minorEastAsia" w:hAnsiTheme="minorEastAsia" w:eastAsiaTheme="minorEastAsia"/>
        </w:rPr>
      </w:pPr>
      <w:r>
        <w:rPr>
          <w:rFonts w:asciiTheme="minorEastAsia" w:hAnsiTheme="minorEastAsia" w:eastAsiaTheme="minorEastAsia"/>
        </w:rPr>
        <w:t>合同</w:t>
      </w:r>
      <w:r>
        <w:rPr>
          <w:rFonts w:hint="eastAsia" w:asciiTheme="minorEastAsia" w:hAnsiTheme="minorEastAsia" w:eastAsiaTheme="minorEastAsia"/>
        </w:rPr>
        <w:t>当事人</w:t>
      </w:r>
      <w:r>
        <w:rPr>
          <w:rFonts w:asciiTheme="minorEastAsia" w:hAnsiTheme="minorEastAsia" w:eastAsiaTheme="minorEastAsia"/>
        </w:rPr>
        <w:t>进行</w:t>
      </w:r>
      <w:r>
        <w:rPr>
          <w:rFonts w:hint="eastAsia" w:asciiTheme="minorEastAsia" w:hAnsiTheme="minorEastAsia" w:eastAsiaTheme="minorEastAsia"/>
        </w:rPr>
        <w:t>商定</w:t>
      </w:r>
      <w:r>
        <w:rPr>
          <w:rFonts w:asciiTheme="minorEastAsia" w:hAnsiTheme="minorEastAsia" w:eastAsiaTheme="minorEastAsia"/>
        </w:rPr>
        <w:t>或确定时，总监理工程师应当会同合同当事人尽量通过协商达成一致，不能达成一致的，由总监理工程师按照合同约定审慎做出公正的确定。</w:t>
      </w:r>
    </w:p>
    <w:p>
      <w:pPr>
        <w:rPr>
          <w:rFonts w:asciiTheme="minorEastAsia" w:hAnsiTheme="minorEastAsia" w:eastAsiaTheme="minorEastAsia"/>
        </w:rPr>
      </w:pPr>
      <w:r>
        <w:rPr>
          <w:rFonts w:asciiTheme="minorEastAsia" w:hAnsiTheme="minorEastAsia" w:eastAsiaTheme="minorEastAsia"/>
        </w:rPr>
        <w:t>总监理工程师应将确定以书面形式通知发包人和承包人，并附详细依据。合同当事人对总监理工程师的确定没有异议的，按照总监理工程师的确定执行。任何一方合同当事人有异议，按照第20条</w:t>
      </w:r>
      <w:r>
        <w:rPr>
          <w:rFonts w:hint="eastAsia" w:asciiTheme="minorEastAsia" w:hAnsiTheme="minorEastAsia" w:eastAsiaTheme="minorEastAsia"/>
        </w:rPr>
        <w:t>〔</w:t>
      </w:r>
      <w:r>
        <w:rPr>
          <w:rFonts w:asciiTheme="minorEastAsia" w:hAnsiTheme="minorEastAsia" w:eastAsiaTheme="minorEastAsia"/>
        </w:rPr>
        <w:t>争议解决</w:t>
      </w:r>
      <w:r>
        <w:rPr>
          <w:rFonts w:hint="eastAsia" w:asciiTheme="minorEastAsia" w:hAnsiTheme="minorEastAsia" w:eastAsiaTheme="minorEastAsia"/>
        </w:rPr>
        <w:t>〕</w:t>
      </w:r>
      <w:r>
        <w:rPr>
          <w:rFonts w:asciiTheme="minorEastAsia" w:hAnsiTheme="minorEastAsia" w:eastAsiaTheme="minorEastAsia"/>
        </w:rPr>
        <w:t>约定处理。争议解决前，合同当事人暂按总监理工程师的确定执行；争议解决后，争议解决的结果与总监理工程师的确定不一致的，按照争议解决的结果执行，由此造成的损失由责任人承担。</w:t>
      </w:r>
    </w:p>
    <w:p>
      <w:pPr>
        <w:rPr>
          <w:rFonts w:asciiTheme="minorEastAsia" w:hAnsiTheme="minorEastAsia" w:eastAsiaTheme="minorEastAsia"/>
          <w:bCs/>
        </w:rPr>
      </w:pPr>
      <w:bookmarkStart w:id="288" w:name="_Toc351203532"/>
      <w:r>
        <w:rPr>
          <w:rFonts w:asciiTheme="minorEastAsia" w:hAnsiTheme="minorEastAsia" w:eastAsiaTheme="minorEastAsia"/>
          <w:bCs/>
        </w:rPr>
        <w:t>5</w:t>
      </w:r>
      <w:bookmarkStart w:id="289" w:name="_Toc337558758"/>
      <w:r>
        <w:rPr>
          <w:rFonts w:asciiTheme="minorEastAsia" w:hAnsiTheme="minorEastAsia" w:eastAsiaTheme="minorEastAsia"/>
          <w:bCs/>
        </w:rPr>
        <w:t>. 工程质量</w:t>
      </w:r>
      <w:bookmarkEnd w:id="288"/>
    </w:p>
    <w:bookmarkEnd w:id="289"/>
    <w:p>
      <w:pPr>
        <w:rPr>
          <w:rFonts w:asciiTheme="minorEastAsia" w:hAnsiTheme="minorEastAsia" w:eastAsiaTheme="minorEastAsia"/>
          <w:bCs/>
        </w:rPr>
      </w:pPr>
      <w:bookmarkStart w:id="290" w:name="_Toc351203533"/>
      <w:r>
        <w:rPr>
          <w:rFonts w:asciiTheme="minorEastAsia" w:hAnsiTheme="minorEastAsia" w:eastAsiaTheme="minorEastAsia"/>
          <w:bCs/>
        </w:rPr>
        <w:t>5</w:t>
      </w:r>
      <w:bookmarkStart w:id="291" w:name="_Toc337558759"/>
      <w:r>
        <w:rPr>
          <w:rFonts w:asciiTheme="minorEastAsia" w:hAnsiTheme="minorEastAsia" w:eastAsiaTheme="minorEastAsia"/>
          <w:bCs/>
        </w:rPr>
        <w:t>.1质量要求</w:t>
      </w:r>
      <w:bookmarkEnd w:id="290"/>
    </w:p>
    <w:bookmarkEnd w:id="291"/>
    <w:p>
      <w:pPr>
        <w:rPr>
          <w:rFonts w:asciiTheme="minorEastAsia" w:hAnsiTheme="minorEastAsia" w:eastAsiaTheme="minorEastAsia"/>
        </w:rPr>
      </w:pPr>
      <w:r>
        <w:rPr>
          <w:rFonts w:asciiTheme="minorEastAsia" w:hAnsiTheme="minorEastAsia" w:eastAsiaTheme="minorEastAsia"/>
        </w:rPr>
        <w:t>5.1.1 工程质量标准必须符合现行国家有关工程施工质量验收规范和标准的要求。有关工程质量的特殊标准或要求由合同当事人在专用合同条款中约定。</w:t>
      </w:r>
    </w:p>
    <w:p>
      <w:pPr>
        <w:rPr>
          <w:rFonts w:asciiTheme="minorEastAsia" w:hAnsiTheme="minorEastAsia" w:eastAsiaTheme="minorEastAsia"/>
        </w:rPr>
      </w:pPr>
      <w:r>
        <w:rPr>
          <w:rFonts w:asciiTheme="minorEastAsia" w:hAnsiTheme="minorEastAsia" w:eastAsiaTheme="minorEastAsia"/>
        </w:rPr>
        <w:t>5.1.2 因发包人原因造成工程质量未达到合同约定标准的，由发包人承担由此增加的费用和（或）延误的工期，并支付承包人合理的利润。</w:t>
      </w:r>
    </w:p>
    <w:p>
      <w:pPr>
        <w:rPr>
          <w:rFonts w:asciiTheme="minorEastAsia" w:hAnsiTheme="minorEastAsia" w:eastAsiaTheme="minorEastAsia"/>
        </w:rPr>
      </w:pPr>
      <w:r>
        <w:rPr>
          <w:rFonts w:asciiTheme="minorEastAsia" w:hAnsiTheme="minorEastAsia" w:eastAsiaTheme="minorEastAsia"/>
        </w:rPr>
        <w:t>5.1.3 因承包人原因造成工程质量未达到合同约定标准的，发包人有权要求承包人返工直至工程质量达到合同约定的标准为止，并由承包人承担由此增加的费用和（或）延误的工期。</w:t>
      </w:r>
    </w:p>
    <w:p>
      <w:pPr>
        <w:rPr>
          <w:rFonts w:asciiTheme="minorEastAsia" w:hAnsiTheme="minorEastAsia" w:eastAsiaTheme="minorEastAsia"/>
          <w:bCs/>
        </w:rPr>
      </w:pPr>
      <w:bookmarkStart w:id="292" w:name="_Toc351203534"/>
      <w:r>
        <w:rPr>
          <w:rFonts w:asciiTheme="minorEastAsia" w:hAnsiTheme="minorEastAsia" w:eastAsiaTheme="minorEastAsia"/>
          <w:bCs/>
        </w:rPr>
        <w:t>5</w:t>
      </w:r>
      <w:bookmarkStart w:id="293" w:name="_Toc337558760"/>
      <w:r>
        <w:rPr>
          <w:rFonts w:asciiTheme="minorEastAsia" w:hAnsiTheme="minorEastAsia" w:eastAsiaTheme="minorEastAsia"/>
          <w:bCs/>
        </w:rPr>
        <w:t>.2质量保证措施</w:t>
      </w:r>
      <w:bookmarkEnd w:id="292"/>
    </w:p>
    <w:bookmarkEnd w:id="293"/>
    <w:p>
      <w:pPr>
        <w:rPr>
          <w:rFonts w:asciiTheme="minorEastAsia" w:hAnsiTheme="minorEastAsia" w:eastAsiaTheme="minorEastAsia"/>
        </w:rPr>
      </w:pPr>
      <w:r>
        <w:rPr>
          <w:rFonts w:asciiTheme="minorEastAsia" w:hAnsiTheme="minorEastAsia" w:eastAsiaTheme="minorEastAsia"/>
        </w:rPr>
        <w:t>5.2.1 发包人的质量管理</w:t>
      </w:r>
    </w:p>
    <w:p>
      <w:pPr>
        <w:rPr>
          <w:rFonts w:asciiTheme="minorEastAsia" w:hAnsiTheme="minorEastAsia" w:eastAsiaTheme="minorEastAsia"/>
        </w:rPr>
      </w:pPr>
      <w:r>
        <w:rPr>
          <w:rFonts w:asciiTheme="minorEastAsia" w:hAnsiTheme="minorEastAsia" w:eastAsiaTheme="minorEastAsia"/>
        </w:rPr>
        <w:t>发包人应按照法律规定及合同约定完成与工程质量有关的各项工作。</w:t>
      </w:r>
    </w:p>
    <w:p>
      <w:pPr>
        <w:rPr>
          <w:rFonts w:asciiTheme="minorEastAsia" w:hAnsiTheme="minorEastAsia" w:eastAsiaTheme="minorEastAsia"/>
        </w:rPr>
      </w:pPr>
      <w:r>
        <w:rPr>
          <w:rFonts w:asciiTheme="minorEastAsia" w:hAnsiTheme="minorEastAsia" w:eastAsiaTheme="minorEastAsia"/>
        </w:rPr>
        <w:t>5.2.2 承包人的质量管理</w:t>
      </w:r>
    </w:p>
    <w:p>
      <w:pPr>
        <w:rPr>
          <w:rFonts w:asciiTheme="minorEastAsia" w:hAnsiTheme="minorEastAsia" w:eastAsiaTheme="minorEastAsia"/>
        </w:rPr>
      </w:pPr>
      <w:r>
        <w:rPr>
          <w:rFonts w:asciiTheme="minorEastAsia" w:hAnsiTheme="minorEastAsia" w:eastAsiaTheme="minorEastAsia"/>
        </w:rPr>
        <w:t>承包人按照第7.1款</w:t>
      </w:r>
      <w:r>
        <w:rPr>
          <w:rFonts w:hint="eastAsia" w:asciiTheme="minorEastAsia" w:hAnsiTheme="minorEastAsia" w:eastAsiaTheme="minorEastAsia"/>
        </w:rPr>
        <w:t>〔</w:t>
      </w:r>
      <w:r>
        <w:rPr>
          <w:rFonts w:asciiTheme="minorEastAsia" w:hAnsiTheme="minorEastAsia" w:eastAsiaTheme="minorEastAsia"/>
        </w:rPr>
        <w:t>施工组织设计</w:t>
      </w:r>
      <w:r>
        <w:rPr>
          <w:rFonts w:hint="eastAsia" w:asciiTheme="minorEastAsia" w:hAnsiTheme="minorEastAsia" w:eastAsiaTheme="minorEastAsia"/>
        </w:rPr>
        <w:t>〕</w:t>
      </w:r>
      <w:r>
        <w:rPr>
          <w:rFonts w:asciiTheme="minorEastAsia" w:hAnsiTheme="minorEastAsia" w:eastAsiaTheme="minorEastAsia"/>
        </w:rPr>
        <w:t>约定向发包人和监理人提交工程质量保证体系及措施文件，建立完善的质量检查制度，并提交相应的工程质量文件。对于发包人和监理人违反法律规定和合同约定的错误指示，承包人有权拒绝实施。</w:t>
      </w:r>
    </w:p>
    <w:p>
      <w:pPr>
        <w:rPr>
          <w:rFonts w:asciiTheme="minorEastAsia" w:hAnsiTheme="minorEastAsia" w:eastAsiaTheme="minorEastAsia"/>
        </w:rPr>
      </w:pPr>
      <w:r>
        <w:rPr>
          <w:rFonts w:asciiTheme="minorEastAsia" w:hAnsiTheme="minorEastAsia" w:eastAsiaTheme="minorEastAsia"/>
        </w:rPr>
        <w:t>承包人应对施工人员进行质量教育和技术培训，定期考核施工人员的劳动技能，严格执行施工规范和操作规程。</w:t>
      </w:r>
    </w:p>
    <w:p>
      <w:pPr>
        <w:rPr>
          <w:rFonts w:asciiTheme="minorEastAsia" w:hAnsiTheme="minorEastAsia" w:eastAsiaTheme="minorEastAsia"/>
        </w:rPr>
      </w:pPr>
      <w:r>
        <w:rPr>
          <w:rFonts w:asciiTheme="minorEastAsia" w:hAnsiTheme="minorEastAsia" w:eastAsiaTheme="minorEastAsia"/>
        </w:rPr>
        <w:t>承包人应按照法律规定和发包人的要求，对材料、工程设备以及工程的所有部位及其施工工艺进行全过程的质量检查和检验，并作详细记录，编制工程质量报表，报送监理人审查。此外，承包人还应按照法律规定和发包人的要求，进行施工现场取样试验、工程复核测量和设备性能检测，提供试验样品、提交试验报告和测量成果以及其他工作。</w:t>
      </w:r>
    </w:p>
    <w:p>
      <w:pPr>
        <w:rPr>
          <w:rFonts w:asciiTheme="minorEastAsia" w:hAnsiTheme="minorEastAsia" w:eastAsiaTheme="minorEastAsia"/>
        </w:rPr>
      </w:pPr>
      <w:r>
        <w:rPr>
          <w:rFonts w:asciiTheme="minorEastAsia" w:hAnsiTheme="minorEastAsia" w:eastAsiaTheme="minorEastAsia"/>
        </w:rPr>
        <w:t>5.2.3 监理人的质量检查和检验</w:t>
      </w:r>
    </w:p>
    <w:p>
      <w:pPr>
        <w:rPr>
          <w:rFonts w:asciiTheme="minorEastAsia" w:hAnsiTheme="minorEastAsia" w:eastAsiaTheme="minorEastAsia"/>
        </w:rPr>
      </w:pPr>
      <w:r>
        <w:rPr>
          <w:rFonts w:asciiTheme="minorEastAsia" w:hAnsiTheme="minorEastAsia" w:eastAsiaTheme="minorEastAsia"/>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pPr>
        <w:rPr>
          <w:rFonts w:asciiTheme="minorEastAsia" w:hAnsiTheme="minorEastAsia" w:eastAsiaTheme="minorEastAsia"/>
        </w:rPr>
      </w:pPr>
      <w:r>
        <w:rPr>
          <w:rFonts w:asciiTheme="minorEastAsia" w:hAnsiTheme="minorEastAsia" w:eastAsiaTheme="minorEastAsia"/>
        </w:rPr>
        <w:t>监理人的检查和检验不应影响施工正常进行。监理人的检查和检验影响施工正常进行的，且经检查检验不合格的，影响正常施工的费用由承包人承担，工期不予顺延；经检查检验合格的，由此增加的费用和（或）延误的工期由发包人承担。</w:t>
      </w:r>
    </w:p>
    <w:p>
      <w:pPr>
        <w:rPr>
          <w:rFonts w:asciiTheme="minorEastAsia" w:hAnsiTheme="minorEastAsia" w:eastAsiaTheme="minorEastAsia"/>
          <w:bCs/>
        </w:rPr>
      </w:pPr>
      <w:bookmarkStart w:id="294" w:name="_Toc351203535"/>
      <w:r>
        <w:rPr>
          <w:rFonts w:asciiTheme="minorEastAsia" w:hAnsiTheme="minorEastAsia" w:eastAsiaTheme="minorEastAsia"/>
          <w:bCs/>
        </w:rPr>
        <w:t>5</w:t>
      </w:r>
      <w:bookmarkStart w:id="295" w:name="_Toc337558761"/>
      <w:r>
        <w:rPr>
          <w:rFonts w:asciiTheme="minorEastAsia" w:hAnsiTheme="minorEastAsia" w:eastAsiaTheme="minorEastAsia"/>
          <w:bCs/>
        </w:rPr>
        <w:t>.3 隐蔽工程检查</w:t>
      </w:r>
      <w:bookmarkEnd w:id="294"/>
    </w:p>
    <w:bookmarkEnd w:id="295"/>
    <w:p>
      <w:pPr>
        <w:rPr>
          <w:rFonts w:asciiTheme="minorEastAsia" w:hAnsiTheme="minorEastAsia" w:eastAsiaTheme="minorEastAsia"/>
        </w:rPr>
      </w:pPr>
      <w:r>
        <w:rPr>
          <w:rFonts w:asciiTheme="minorEastAsia" w:hAnsiTheme="minorEastAsia" w:eastAsiaTheme="minorEastAsia"/>
        </w:rPr>
        <w:t>5.3.1承包人自检</w:t>
      </w:r>
    </w:p>
    <w:p>
      <w:pPr>
        <w:rPr>
          <w:rFonts w:asciiTheme="minorEastAsia" w:hAnsiTheme="minorEastAsia" w:eastAsiaTheme="minorEastAsia"/>
        </w:rPr>
      </w:pPr>
      <w:r>
        <w:rPr>
          <w:rFonts w:asciiTheme="minorEastAsia" w:hAnsiTheme="minorEastAsia" w:eastAsiaTheme="minorEastAsia"/>
        </w:rPr>
        <w:t>承包人应当对工程隐蔽部位进行自检，并经自检确认是否具备覆盖条件。</w:t>
      </w:r>
    </w:p>
    <w:p>
      <w:pPr>
        <w:rPr>
          <w:rFonts w:asciiTheme="minorEastAsia" w:hAnsiTheme="minorEastAsia" w:eastAsiaTheme="minorEastAsia"/>
        </w:rPr>
      </w:pPr>
      <w:r>
        <w:rPr>
          <w:rFonts w:asciiTheme="minorEastAsia" w:hAnsiTheme="minorEastAsia" w:eastAsiaTheme="minorEastAsia"/>
        </w:rPr>
        <w:t>5.3.2检查程序</w:t>
      </w:r>
    </w:p>
    <w:p>
      <w:pPr>
        <w:rPr>
          <w:rFonts w:asciiTheme="minorEastAsia" w:hAnsiTheme="minorEastAsia" w:eastAsiaTheme="minorEastAsia"/>
        </w:rPr>
      </w:pPr>
      <w:r>
        <w:rPr>
          <w:rFonts w:asciiTheme="minorEastAsia" w:hAnsiTheme="minorEastAsia" w:eastAsiaTheme="minorEastAsia"/>
        </w:rPr>
        <w:t>除专用合同条款另有约定外，工程隐蔽部位经承包人自检确认具备覆盖条件的，承包人应在</w:t>
      </w:r>
      <w:r>
        <w:rPr>
          <w:rFonts w:hint="eastAsia" w:asciiTheme="minorEastAsia" w:hAnsiTheme="minorEastAsia" w:eastAsiaTheme="minorEastAsia"/>
        </w:rPr>
        <w:t>共同</w:t>
      </w:r>
      <w:r>
        <w:rPr>
          <w:rFonts w:asciiTheme="minorEastAsia" w:hAnsiTheme="minorEastAsia" w:eastAsiaTheme="minorEastAsia"/>
        </w:rPr>
        <w:t>检查前48小时书面通知监理人检查，通知中应载明隐蔽检查的内容、时间和地点，并应附有自检记录和必要的检查资料。</w:t>
      </w:r>
    </w:p>
    <w:p>
      <w:pPr>
        <w:rPr>
          <w:rFonts w:asciiTheme="minorEastAsia" w:hAnsiTheme="minorEastAsia" w:eastAsiaTheme="minorEastAsia"/>
        </w:rPr>
      </w:pPr>
      <w:r>
        <w:rPr>
          <w:rFonts w:asciiTheme="minorEastAsia" w:hAnsiTheme="minorEastAsia" w:eastAsiaTheme="minorEastAsia"/>
        </w:rPr>
        <w:t>监理人应按时到场并对隐蔽工程及其施工工艺、材料和工程设备进行检查。经监理人检查确认质量符合隐蔽要求，并在验收记录上签字后，承包人才能进行覆盖。经监理人检查质量不合格的，承包人应在监理人指示的时间内完成修复，并由监理人重新检查，由此增加的费用和（或）延误的工期由承包人承担。</w:t>
      </w:r>
    </w:p>
    <w:p>
      <w:pPr>
        <w:rPr>
          <w:rFonts w:asciiTheme="minorEastAsia" w:hAnsiTheme="minorEastAsia" w:eastAsiaTheme="minorEastAsia"/>
        </w:rPr>
      </w:pPr>
      <w:r>
        <w:rPr>
          <w:rFonts w:asciiTheme="minorEastAsia" w:hAnsiTheme="minorEastAsia" w:eastAsiaTheme="minorEastAsia"/>
        </w:rPr>
        <w:t>除专用合同条款另有约定外，监理人不能按时进行检查的，应在检查前24小时向承包人提交书面延期要求，但延期不能超过48小时，由此导致工期延误的，工期应予以顺延。监理人未按时进行检查，也未提出延期要求的，视为隐蔽工程检查合格，承包人可自行完成覆盖工作，并作相应记录报送监理人，监理人应签字确认。监理人事后对检查记录有疑问的，可按第5.3.3项</w:t>
      </w:r>
      <w:r>
        <w:rPr>
          <w:rFonts w:hint="eastAsia" w:asciiTheme="minorEastAsia" w:hAnsiTheme="minorEastAsia" w:eastAsiaTheme="minorEastAsia"/>
        </w:rPr>
        <w:t>〔</w:t>
      </w:r>
      <w:r>
        <w:rPr>
          <w:rFonts w:asciiTheme="minorEastAsia" w:hAnsiTheme="minorEastAsia" w:eastAsiaTheme="minorEastAsia"/>
        </w:rPr>
        <w:t>重新检查</w:t>
      </w:r>
      <w:r>
        <w:rPr>
          <w:rFonts w:hint="eastAsia" w:asciiTheme="minorEastAsia" w:hAnsiTheme="minorEastAsia" w:eastAsiaTheme="minorEastAsia"/>
        </w:rPr>
        <w:t>〕</w:t>
      </w:r>
      <w:r>
        <w:rPr>
          <w:rFonts w:asciiTheme="minorEastAsia" w:hAnsiTheme="minorEastAsia" w:eastAsiaTheme="minorEastAsia"/>
        </w:rPr>
        <w:t>的约定重新检查。</w:t>
      </w:r>
    </w:p>
    <w:p>
      <w:pPr>
        <w:rPr>
          <w:rFonts w:asciiTheme="minorEastAsia" w:hAnsiTheme="minorEastAsia" w:eastAsiaTheme="minorEastAsia"/>
        </w:rPr>
      </w:pPr>
      <w:r>
        <w:rPr>
          <w:rFonts w:asciiTheme="minorEastAsia" w:hAnsiTheme="minorEastAsia" w:eastAsiaTheme="minorEastAsia"/>
        </w:rPr>
        <w:t>5.3.3 重新检查</w:t>
      </w:r>
    </w:p>
    <w:p>
      <w:pPr>
        <w:rPr>
          <w:rFonts w:asciiTheme="minorEastAsia" w:hAnsiTheme="minorEastAsia" w:eastAsiaTheme="minorEastAsia"/>
        </w:rPr>
      </w:pPr>
      <w:r>
        <w:rPr>
          <w:rFonts w:asciiTheme="minorEastAsia" w:hAnsiTheme="minorEastAsia" w:eastAsiaTheme="minorEastAsia"/>
        </w:rPr>
        <w:t>承包人覆盖工程隐蔽部位后，发包人或监理人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pPr>
        <w:rPr>
          <w:rFonts w:asciiTheme="minorEastAsia" w:hAnsiTheme="minorEastAsia" w:eastAsiaTheme="minorEastAsia"/>
        </w:rPr>
      </w:pPr>
      <w:r>
        <w:rPr>
          <w:rFonts w:asciiTheme="minorEastAsia" w:hAnsiTheme="minorEastAsia" w:eastAsiaTheme="minorEastAsia"/>
        </w:rPr>
        <w:t>5.3.4 承包人私自覆盖</w:t>
      </w:r>
    </w:p>
    <w:p>
      <w:pPr>
        <w:rPr>
          <w:rFonts w:asciiTheme="minorEastAsia" w:hAnsiTheme="minorEastAsia" w:eastAsiaTheme="minorEastAsia"/>
        </w:rPr>
      </w:pPr>
      <w:r>
        <w:rPr>
          <w:rFonts w:asciiTheme="minorEastAsia" w:hAnsiTheme="minorEastAsia" w:eastAsiaTheme="minorEastAsia"/>
        </w:rPr>
        <w:t>承包人未通知监理人到场检查，私自将工程隐蔽部位覆盖的，监理人有权指示承包人钻孔探测或揭开检查，无论工程隐蔽部位质量是否合格，由此增加的费用和（或）延误的工期均由承包人承担。</w:t>
      </w:r>
    </w:p>
    <w:p>
      <w:pPr>
        <w:rPr>
          <w:rFonts w:asciiTheme="minorEastAsia" w:hAnsiTheme="minorEastAsia" w:eastAsiaTheme="minorEastAsia"/>
          <w:bCs/>
        </w:rPr>
      </w:pPr>
      <w:bookmarkStart w:id="296" w:name="_Toc351203536"/>
      <w:r>
        <w:rPr>
          <w:rFonts w:asciiTheme="minorEastAsia" w:hAnsiTheme="minorEastAsia" w:eastAsiaTheme="minorEastAsia"/>
          <w:bCs/>
        </w:rPr>
        <w:t>5</w:t>
      </w:r>
      <w:bookmarkStart w:id="297" w:name="_Toc337558762"/>
      <w:r>
        <w:rPr>
          <w:rFonts w:asciiTheme="minorEastAsia" w:hAnsiTheme="minorEastAsia" w:eastAsiaTheme="minorEastAsia"/>
          <w:bCs/>
        </w:rPr>
        <w:t>.4不合格工程的处理</w:t>
      </w:r>
      <w:bookmarkEnd w:id="296"/>
    </w:p>
    <w:bookmarkEnd w:id="297"/>
    <w:p>
      <w:pPr>
        <w:rPr>
          <w:rFonts w:asciiTheme="minorEastAsia" w:hAnsiTheme="minorEastAsia" w:eastAsiaTheme="minorEastAsia"/>
        </w:rPr>
      </w:pPr>
      <w:r>
        <w:rPr>
          <w:rFonts w:asciiTheme="minorEastAsia" w:hAnsiTheme="minorEastAsia" w:eastAsiaTheme="minorEastAsia"/>
        </w:rPr>
        <w:t>5.4.1 因承包人原因造成工程不合格的，发包人有权随时要求承包人采取补救措施，直至达到合同要求的质量标准，由此增加的费用和（或）延误的工期由承包人承担。无法补救的，按照第13.2.4项</w:t>
      </w:r>
      <w:r>
        <w:rPr>
          <w:rFonts w:hint="eastAsia" w:asciiTheme="minorEastAsia" w:hAnsiTheme="minorEastAsia" w:eastAsiaTheme="minorEastAsia"/>
        </w:rPr>
        <w:t>〔</w:t>
      </w:r>
      <w:r>
        <w:rPr>
          <w:rFonts w:asciiTheme="minorEastAsia" w:hAnsiTheme="minorEastAsia" w:eastAsiaTheme="minorEastAsia"/>
        </w:rPr>
        <w:t>拒绝接收全部或部分工程</w:t>
      </w:r>
      <w:r>
        <w:rPr>
          <w:rFonts w:hint="eastAsia" w:asciiTheme="minorEastAsia" w:hAnsiTheme="minorEastAsia" w:eastAsiaTheme="minorEastAsia"/>
        </w:rPr>
        <w:t>〕</w:t>
      </w:r>
      <w:r>
        <w:rPr>
          <w:rFonts w:asciiTheme="minorEastAsia" w:hAnsiTheme="minorEastAsia" w:eastAsiaTheme="minorEastAsia"/>
        </w:rPr>
        <w:t xml:space="preserve">约定执行。 </w:t>
      </w:r>
    </w:p>
    <w:p>
      <w:pPr>
        <w:rPr>
          <w:rFonts w:asciiTheme="minorEastAsia" w:hAnsiTheme="minorEastAsia" w:eastAsiaTheme="minorEastAsia"/>
        </w:rPr>
      </w:pPr>
      <w:r>
        <w:rPr>
          <w:rFonts w:asciiTheme="minorEastAsia" w:hAnsiTheme="minorEastAsia" w:eastAsiaTheme="minorEastAsia"/>
        </w:rPr>
        <w:t>5.4.2 因发包人原因造成工程不合格的，由此增加的费用和（或）延误的工期由发包人承担，并支付承包人合理的利润。</w:t>
      </w:r>
    </w:p>
    <w:p>
      <w:pPr>
        <w:rPr>
          <w:rFonts w:asciiTheme="minorEastAsia" w:hAnsiTheme="minorEastAsia" w:eastAsiaTheme="minorEastAsia"/>
          <w:bCs/>
        </w:rPr>
      </w:pPr>
      <w:bookmarkStart w:id="298" w:name="_Toc351203537"/>
      <w:r>
        <w:rPr>
          <w:rFonts w:asciiTheme="minorEastAsia" w:hAnsiTheme="minorEastAsia" w:eastAsiaTheme="minorEastAsia"/>
          <w:bCs/>
        </w:rPr>
        <w:t>5.5 质量争议检测</w:t>
      </w:r>
      <w:bookmarkEnd w:id="298"/>
    </w:p>
    <w:p>
      <w:pPr>
        <w:rPr>
          <w:rFonts w:asciiTheme="minorEastAsia" w:hAnsiTheme="minorEastAsia" w:eastAsiaTheme="minorEastAsia"/>
        </w:rPr>
      </w:pPr>
      <w:r>
        <w:rPr>
          <w:rFonts w:asciiTheme="minorEastAsia" w:hAnsiTheme="minorEastAsia" w:eastAsiaTheme="minorEastAsia"/>
        </w:rPr>
        <w:t>合同当事人对工程质量有争议的，由双方协商确定的工程质量检测机构鉴定，由此产生的费用及因此造成的损失，由责任方承担。</w:t>
      </w:r>
    </w:p>
    <w:p>
      <w:pPr>
        <w:rPr>
          <w:rFonts w:asciiTheme="minorEastAsia" w:hAnsiTheme="minorEastAsia" w:eastAsiaTheme="minorEastAsia"/>
        </w:rPr>
      </w:pPr>
      <w:r>
        <w:rPr>
          <w:rFonts w:asciiTheme="minorEastAsia" w:hAnsiTheme="minorEastAsia" w:eastAsiaTheme="minorEastAsia"/>
        </w:rPr>
        <w:t>合同当事人均有责任的，由双方根据其责任分别承担。合同当事人无法达成一致的，按照第4.4款</w:t>
      </w:r>
      <w:r>
        <w:rPr>
          <w:rFonts w:hint="eastAsia" w:asciiTheme="minorEastAsia" w:hAnsiTheme="minorEastAsia" w:eastAsiaTheme="minorEastAsia"/>
        </w:rPr>
        <w:t>〔</w:t>
      </w:r>
      <w:r>
        <w:rPr>
          <w:rFonts w:asciiTheme="minorEastAsia" w:hAnsiTheme="minorEastAsia" w:eastAsiaTheme="minorEastAsia"/>
        </w:rPr>
        <w:t>商定或确定</w:t>
      </w:r>
      <w:r>
        <w:rPr>
          <w:rFonts w:hint="eastAsia" w:asciiTheme="minorEastAsia" w:hAnsiTheme="minorEastAsia" w:eastAsiaTheme="minorEastAsia"/>
        </w:rPr>
        <w:t>〕</w:t>
      </w:r>
      <w:r>
        <w:rPr>
          <w:rFonts w:asciiTheme="minorEastAsia" w:hAnsiTheme="minorEastAsia" w:eastAsiaTheme="minorEastAsia"/>
        </w:rPr>
        <w:t>执行。</w:t>
      </w:r>
    </w:p>
    <w:p>
      <w:pPr>
        <w:rPr>
          <w:rFonts w:asciiTheme="minorEastAsia" w:hAnsiTheme="minorEastAsia" w:eastAsiaTheme="minorEastAsia"/>
          <w:bCs/>
        </w:rPr>
      </w:pPr>
      <w:bookmarkStart w:id="299" w:name="_Toc351203538"/>
      <w:r>
        <w:rPr>
          <w:rFonts w:asciiTheme="minorEastAsia" w:hAnsiTheme="minorEastAsia" w:eastAsiaTheme="minorEastAsia"/>
          <w:bCs/>
        </w:rPr>
        <w:t>6</w:t>
      </w:r>
      <w:bookmarkStart w:id="300" w:name="_Toc337558763"/>
      <w:r>
        <w:rPr>
          <w:rFonts w:asciiTheme="minorEastAsia" w:hAnsiTheme="minorEastAsia" w:eastAsiaTheme="minorEastAsia"/>
          <w:bCs/>
        </w:rPr>
        <w:t>. 安全文明施工与环境保护</w:t>
      </w:r>
      <w:bookmarkEnd w:id="299"/>
    </w:p>
    <w:bookmarkEnd w:id="300"/>
    <w:p>
      <w:pPr>
        <w:rPr>
          <w:rFonts w:asciiTheme="minorEastAsia" w:hAnsiTheme="minorEastAsia" w:eastAsiaTheme="minorEastAsia"/>
          <w:bCs/>
        </w:rPr>
      </w:pPr>
      <w:bookmarkStart w:id="301" w:name="_Toc351203539"/>
      <w:r>
        <w:rPr>
          <w:rFonts w:asciiTheme="minorEastAsia" w:hAnsiTheme="minorEastAsia" w:eastAsiaTheme="minorEastAsia"/>
          <w:bCs/>
        </w:rPr>
        <w:t>6</w:t>
      </w:r>
      <w:bookmarkStart w:id="302" w:name="_Toc337558764"/>
      <w:r>
        <w:rPr>
          <w:rFonts w:asciiTheme="minorEastAsia" w:hAnsiTheme="minorEastAsia" w:eastAsiaTheme="minorEastAsia"/>
          <w:bCs/>
        </w:rPr>
        <w:t>.1安全文明施工</w:t>
      </w:r>
      <w:bookmarkEnd w:id="301"/>
    </w:p>
    <w:bookmarkEnd w:id="302"/>
    <w:p>
      <w:pPr>
        <w:rPr>
          <w:rFonts w:asciiTheme="minorEastAsia" w:hAnsiTheme="minorEastAsia" w:eastAsiaTheme="minorEastAsia"/>
        </w:rPr>
      </w:pPr>
      <w:r>
        <w:rPr>
          <w:rFonts w:asciiTheme="minorEastAsia" w:hAnsiTheme="minorEastAsia" w:eastAsiaTheme="minorEastAsia"/>
        </w:rPr>
        <w:t>6.1.1安全生产要求</w:t>
      </w:r>
    </w:p>
    <w:p>
      <w:pPr>
        <w:rPr>
          <w:rFonts w:asciiTheme="minorEastAsia" w:hAnsiTheme="minorEastAsia" w:eastAsiaTheme="minorEastAsia"/>
        </w:rPr>
      </w:pPr>
      <w:r>
        <w:rPr>
          <w:rFonts w:asciiTheme="minorEastAsia" w:hAnsiTheme="minorEastAsia" w:eastAsiaTheme="minorEastAsia"/>
        </w:rPr>
        <w:t>合同履行期间，合同当事人均应当遵守国家和工程所在地有关安全生产的要求，合同当事人有特别要求的，应在专用合同条款中明确施工项目安全生产标准化达标目标及相应事项。承包人有权拒绝发包人及监理人强令承包人违章作业、冒险施工的任何指示。</w:t>
      </w:r>
    </w:p>
    <w:p>
      <w:pPr>
        <w:rPr>
          <w:rFonts w:asciiTheme="minorEastAsia" w:hAnsiTheme="minorEastAsia" w:eastAsiaTheme="minorEastAsia"/>
        </w:rPr>
      </w:pPr>
      <w:r>
        <w:rPr>
          <w:rFonts w:asciiTheme="minorEastAsia" w:hAnsiTheme="minorEastAsia" w:eastAsiaTheme="minorEastAsia"/>
        </w:rPr>
        <w:t>在施工过程中，如遇到突发的地质变动、事先未知的地下施工障碍等影响施工安全的紧急情况，</w:t>
      </w:r>
      <w:r>
        <w:rPr>
          <w:rFonts w:hint="eastAsia" w:asciiTheme="minorEastAsia" w:hAnsiTheme="minorEastAsia" w:eastAsiaTheme="minorEastAsia"/>
        </w:rPr>
        <w:t>承包人应及时报告监理人和发包人，</w:t>
      </w:r>
      <w:r>
        <w:rPr>
          <w:rFonts w:asciiTheme="minorEastAsia" w:hAnsiTheme="minorEastAsia" w:eastAsiaTheme="minorEastAsia"/>
        </w:rPr>
        <w:t>发包人应当及时下令停工并报政府有关行政管理部门采取应急措施。</w:t>
      </w:r>
    </w:p>
    <w:p>
      <w:pPr>
        <w:rPr>
          <w:rFonts w:asciiTheme="minorEastAsia" w:hAnsiTheme="minorEastAsia" w:eastAsiaTheme="minorEastAsia"/>
        </w:rPr>
      </w:pPr>
      <w:r>
        <w:rPr>
          <w:rFonts w:asciiTheme="minorEastAsia" w:hAnsiTheme="minorEastAsia" w:eastAsiaTheme="minorEastAsia"/>
        </w:rPr>
        <w:t>因安全生产需要暂停施工的，按照第7.8款</w:t>
      </w:r>
      <w:r>
        <w:rPr>
          <w:rFonts w:hint="eastAsia" w:asciiTheme="minorEastAsia" w:hAnsiTheme="minorEastAsia" w:eastAsiaTheme="minorEastAsia"/>
        </w:rPr>
        <w:t>〔</w:t>
      </w:r>
      <w:r>
        <w:rPr>
          <w:rFonts w:asciiTheme="minorEastAsia" w:hAnsiTheme="minorEastAsia" w:eastAsiaTheme="minorEastAsia"/>
        </w:rPr>
        <w:t>暂停施工</w:t>
      </w:r>
      <w:r>
        <w:rPr>
          <w:rFonts w:hint="eastAsia" w:asciiTheme="minorEastAsia" w:hAnsiTheme="minorEastAsia" w:eastAsiaTheme="minorEastAsia"/>
        </w:rPr>
        <w:t>〕</w:t>
      </w:r>
      <w:r>
        <w:rPr>
          <w:rFonts w:asciiTheme="minorEastAsia" w:hAnsiTheme="minorEastAsia" w:eastAsiaTheme="minorEastAsia"/>
        </w:rPr>
        <w:t>的约定执行。</w:t>
      </w:r>
    </w:p>
    <w:p>
      <w:pPr>
        <w:rPr>
          <w:rFonts w:asciiTheme="minorEastAsia" w:hAnsiTheme="minorEastAsia" w:eastAsiaTheme="minorEastAsia"/>
        </w:rPr>
      </w:pPr>
      <w:r>
        <w:rPr>
          <w:rFonts w:asciiTheme="minorEastAsia" w:hAnsiTheme="minorEastAsia" w:eastAsiaTheme="minorEastAsia"/>
        </w:rPr>
        <w:t>6.1.2 安全生产保证措施</w:t>
      </w:r>
    </w:p>
    <w:p>
      <w:pPr>
        <w:rPr>
          <w:rFonts w:asciiTheme="minorEastAsia" w:hAnsiTheme="minorEastAsia" w:eastAsiaTheme="minorEastAsia"/>
        </w:rPr>
      </w:pPr>
      <w:r>
        <w:rPr>
          <w:rFonts w:asciiTheme="minorEastAsia" w:hAnsiTheme="minorEastAsia" w:eastAsiaTheme="minorEastAsia"/>
        </w:rPr>
        <w:t>承包人应当按照有关规定编制安全技术措施或者专项施工方案，建立安全生产责任制度、治安保卫制度及安全生产教育培训制度，并按安全生产法律规定及合同约定履行安全职责，</w:t>
      </w:r>
      <w:r>
        <w:rPr>
          <w:rFonts w:hint="eastAsia" w:asciiTheme="minorEastAsia" w:hAnsiTheme="minorEastAsia" w:eastAsiaTheme="minorEastAsia"/>
        </w:rPr>
        <w:t>如实</w:t>
      </w:r>
      <w:r>
        <w:rPr>
          <w:rFonts w:asciiTheme="minorEastAsia" w:hAnsiTheme="minorEastAsia" w:eastAsiaTheme="minorEastAsia"/>
        </w:rPr>
        <w:t>编制工程安全生产的有关记录，接受发包人、监理人及政府安全监督部门的检查与监督。</w:t>
      </w:r>
    </w:p>
    <w:p>
      <w:pPr>
        <w:rPr>
          <w:rFonts w:asciiTheme="minorEastAsia" w:hAnsiTheme="minorEastAsia" w:eastAsiaTheme="minorEastAsia"/>
        </w:rPr>
      </w:pPr>
      <w:r>
        <w:rPr>
          <w:rFonts w:asciiTheme="minorEastAsia" w:hAnsiTheme="minorEastAsia" w:eastAsiaTheme="minorEastAsia"/>
        </w:rPr>
        <w:t>6.1.3特别安全生产事项</w:t>
      </w:r>
    </w:p>
    <w:p>
      <w:pPr>
        <w:rPr>
          <w:rFonts w:asciiTheme="minorEastAsia" w:hAnsiTheme="minorEastAsia" w:eastAsiaTheme="minorEastAsia"/>
        </w:rPr>
      </w:pPr>
      <w:r>
        <w:rPr>
          <w:rFonts w:asciiTheme="minorEastAsia" w:hAnsiTheme="minorEastAsia" w:eastAsiaTheme="minorEastAsia"/>
        </w:rP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pPr>
        <w:rPr>
          <w:rFonts w:asciiTheme="minorEastAsia" w:hAnsiTheme="minorEastAsia" w:eastAsiaTheme="minorEastAsia"/>
        </w:rPr>
      </w:pPr>
      <w:r>
        <w:rPr>
          <w:rFonts w:asciiTheme="minorEastAsia" w:hAnsiTheme="minorEastAsia" w:eastAsiaTheme="minorEastAsia"/>
        </w:rPr>
        <w:t xml:space="preserve">承包人在动力设备、输电线路、地下管道、密封防震车间、易燃易爆地段以及临街交通要道附近施工时，施工开始前应向发包人和监理人提出安全防护措施，经发包人认可后实施。 </w:t>
      </w:r>
    </w:p>
    <w:p>
      <w:pPr>
        <w:rPr>
          <w:rFonts w:asciiTheme="minorEastAsia" w:hAnsiTheme="minorEastAsia" w:eastAsiaTheme="minorEastAsia"/>
        </w:rPr>
      </w:pPr>
      <w:r>
        <w:rPr>
          <w:rFonts w:asciiTheme="minorEastAsia" w:hAnsiTheme="minorEastAsia" w:eastAsiaTheme="minorEastAsia"/>
        </w:rPr>
        <w:t>实施爆破作业，在放射、毒害性环境中施工（含储存、运输、使用）及使用毒害性、腐蚀性物品施工时，承包人应在施工前7天以书面通知发包人和监理人，并报送相应的安全防护措施，经发包人认可后实施。</w:t>
      </w:r>
    </w:p>
    <w:p>
      <w:pPr>
        <w:rPr>
          <w:rFonts w:asciiTheme="minorEastAsia" w:hAnsiTheme="minorEastAsia" w:eastAsiaTheme="minorEastAsia"/>
        </w:rPr>
      </w:pPr>
      <w:r>
        <w:rPr>
          <w:rFonts w:asciiTheme="minorEastAsia" w:hAnsiTheme="minorEastAsia" w:eastAsiaTheme="minorEastAsia"/>
        </w:rPr>
        <w:t>需单独编制危险性较大分部分项专项工程施工方案的，及要求进行专家论证的超过一定规模的危险性较大的分部分项工程，承包人应及时编制和组织论证。</w:t>
      </w:r>
    </w:p>
    <w:p>
      <w:pPr>
        <w:rPr>
          <w:rFonts w:asciiTheme="minorEastAsia" w:hAnsiTheme="minorEastAsia" w:eastAsiaTheme="minorEastAsia"/>
        </w:rPr>
      </w:pPr>
      <w:r>
        <w:rPr>
          <w:rFonts w:asciiTheme="minorEastAsia" w:hAnsiTheme="minorEastAsia" w:eastAsiaTheme="minorEastAsia"/>
        </w:rPr>
        <w:t>6.1.4 治安保卫</w:t>
      </w:r>
    </w:p>
    <w:p>
      <w:pPr>
        <w:rPr>
          <w:rFonts w:asciiTheme="minorEastAsia" w:hAnsiTheme="minorEastAsia" w:eastAsiaTheme="minorEastAsia"/>
        </w:rPr>
      </w:pPr>
      <w:r>
        <w:rPr>
          <w:rFonts w:asciiTheme="minorEastAsia" w:hAnsiTheme="minorEastAsia" w:eastAsiaTheme="minorEastAsia"/>
        </w:rPr>
        <w:t>除专用合同条款另有约定外，发包人应与当地公安部门协商，在现场建立治安管理机构或联防组织，统一管理施工场地的治安保卫事项，履行合同工程的治安保卫职责。</w:t>
      </w:r>
    </w:p>
    <w:p>
      <w:pPr>
        <w:rPr>
          <w:rFonts w:asciiTheme="minorEastAsia" w:hAnsiTheme="minorEastAsia" w:eastAsiaTheme="minorEastAsia"/>
        </w:rPr>
      </w:pPr>
      <w:r>
        <w:rPr>
          <w:rFonts w:asciiTheme="minorEastAsia" w:hAnsiTheme="minorEastAsia" w:eastAsiaTheme="minorEastAsia"/>
        </w:rPr>
        <w:t>发包人和承包人除应协助现场治安管理机构或联防组织维护施工场地的社会治安外，还应做好包括生活区在内的各自管辖区的治安保卫工作。</w:t>
      </w:r>
    </w:p>
    <w:p>
      <w:pPr>
        <w:rPr>
          <w:rFonts w:asciiTheme="minorEastAsia" w:hAnsiTheme="minorEastAsia" w:eastAsiaTheme="minorEastAsia"/>
        </w:rPr>
      </w:pPr>
      <w:r>
        <w:rPr>
          <w:rFonts w:asciiTheme="minorEastAsia" w:hAnsiTheme="minorEastAsia" w:eastAsiaTheme="minorEastAsia"/>
        </w:rPr>
        <w:t>除专用合同条款另有约定外，发包人和承包人应在工程开工后7天内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避免人员伤亡</w:t>
      </w:r>
      <w:r>
        <w:rPr>
          <w:rFonts w:hint="eastAsia" w:asciiTheme="minorEastAsia" w:hAnsiTheme="minorEastAsia" w:eastAsiaTheme="minorEastAsia"/>
        </w:rPr>
        <w:t>和</w:t>
      </w:r>
      <w:r>
        <w:rPr>
          <w:rFonts w:asciiTheme="minorEastAsia" w:hAnsiTheme="minorEastAsia" w:eastAsiaTheme="minorEastAsia"/>
        </w:rPr>
        <w:t>财产损失。</w:t>
      </w:r>
    </w:p>
    <w:p>
      <w:pPr>
        <w:rPr>
          <w:rFonts w:asciiTheme="minorEastAsia" w:hAnsiTheme="minorEastAsia" w:eastAsiaTheme="minorEastAsia"/>
        </w:rPr>
      </w:pPr>
      <w:r>
        <w:rPr>
          <w:rFonts w:asciiTheme="minorEastAsia" w:hAnsiTheme="minorEastAsia" w:eastAsiaTheme="minorEastAsia"/>
        </w:rPr>
        <w:t>6.1.5 文明施工</w:t>
      </w:r>
    </w:p>
    <w:p>
      <w:pPr>
        <w:rPr>
          <w:rFonts w:asciiTheme="minorEastAsia" w:hAnsiTheme="minorEastAsia" w:eastAsiaTheme="minorEastAsia"/>
        </w:rPr>
      </w:pPr>
      <w:r>
        <w:rPr>
          <w:rFonts w:asciiTheme="minorEastAsia" w:hAnsiTheme="minorEastAsia" w:eastAsiaTheme="minorEastAsia"/>
        </w:rPr>
        <w:t>承包人在工程施工期间，应当采取措施保持施工现场平整，物料堆放整齐。工程所在地有关政府行政管理部门有特殊要求的，按照其要求执行。</w:t>
      </w:r>
      <w:r>
        <w:rPr>
          <w:rFonts w:hint="eastAsia" w:asciiTheme="minorEastAsia" w:hAnsiTheme="minorEastAsia" w:eastAsiaTheme="minorEastAsia"/>
        </w:rPr>
        <w:t>合同当事人对文明施工有其他要求的，可以在专用合同条款中明确。</w:t>
      </w:r>
    </w:p>
    <w:p>
      <w:pPr>
        <w:rPr>
          <w:rFonts w:asciiTheme="minorEastAsia" w:hAnsiTheme="minorEastAsia" w:eastAsiaTheme="minorEastAsia"/>
        </w:rPr>
      </w:pPr>
      <w:r>
        <w:rPr>
          <w:rFonts w:asciiTheme="minorEastAsia" w:hAnsiTheme="minorEastAsia" w:eastAsiaTheme="minorEastAsia"/>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pPr>
        <w:rPr>
          <w:rFonts w:asciiTheme="minorEastAsia" w:hAnsiTheme="minorEastAsia" w:eastAsiaTheme="minorEastAsia"/>
        </w:rPr>
      </w:pPr>
      <w:r>
        <w:rPr>
          <w:rFonts w:asciiTheme="minorEastAsia" w:hAnsiTheme="minorEastAsia" w:eastAsiaTheme="minorEastAsia"/>
        </w:rPr>
        <w:t>6.1.6 安全文明施工费</w:t>
      </w:r>
    </w:p>
    <w:p>
      <w:pPr>
        <w:rPr>
          <w:rFonts w:asciiTheme="minorEastAsia" w:hAnsiTheme="minorEastAsia" w:eastAsiaTheme="minorEastAsia"/>
        </w:rPr>
      </w:pPr>
      <w:r>
        <w:rPr>
          <w:rFonts w:asciiTheme="minorEastAsia" w:hAnsiTheme="minorEastAsia" w:eastAsiaTheme="minorEastAsia"/>
        </w:rPr>
        <w:t>安全文明施工费由发包人承担，发包人不得以任何形式扣减该部分费用。因基准日期后合同所适用的法律或政府有关规定发生变化，增加的安全文明施工费由发包人承担。</w:t>
      </w:r>
    </w:p>
    <w:p>
      <w:pPr>
        <w:rPr>
          <w:rFonts w:asciiTheme="minorEastAsia" w:hAnsiTheme="minorEastAsia" w:eastAsiaTheme="minorEastAsia"/>
        </w:rPr>
      </w:pPr>
      <w:r>
        <w:rPr>
          <w:rFonts w:asciiTheme="minorEastAsia" w:hAnsiTheme="minorEastAsia" w:eastAsiaTheme="minorEastAsia"/>
        </w:rPr>
        <w:t>承包人经发包人同意采取合同约定以外的安全措施所产生的费用，由发包人承担。未经发包人同意的，如果该措施避免了发包人的损失，则发包人在避免损失的额度内承担该措施费。如果该措施避免了承包人的损失，由承包人承担该措施费。</w:t>
      </w:r>
    </w:p>
    <w:p>
      <w:pPr>
        <w:rPr>
          <w:rFonts w:asciiTheme="minorEastAsia" w:hAnsiTheme="minorEastAsia" w:eastAsiaTheme="minorEastAsia"/>
        </w:rPr>
      </w:pPr>
      <w:r>
        <w:rPr>
          <w:rFonts w:asciiTheme="minorEastAsia" w:hAnsiTheme="minorEastAsia" w:eastAsiaTheme="minorEastAsia"/>
        </w:rPr>
        <w:t>除专用合同条款另有约定外，发包人应在开工后28天内预付安全文明施工费总额的50%，其余部分与进度款同期支付。发包人逾期支付安全文明施工费超过7天的，承包人有权向发包人发出要求预付的催告通知，发包人收到通知后7天内仍未支付的，承包人有权暂停施工，并按第16.1.1项</w:t>
      </w:r>
      <w:r>
        <w:rPr>
          <w:rFonts w:hint="eastAsia" w:asciiTheme="minorEastAsia" w:hAnsiTheme="minorEastAsia" w:eastAsiaTheme="minorEastAsia"/>
        </w:rPr>
        <w:t>〔</w:t>
      </w:r>
      <w:r>
        <w:rPr>
          <w:rFonts w:asciiTheme="minorEastAsia" w:hAnsiTheme="minorEastAsia" w:eastAsiaTheme="minorEastAsia"/>
        </w:rPr>
        <w:t>发包人违约的情形</w:t>
      </w:r>
      <w:r>
        <w:rPr>
          <w:rFonts w:hint="eastAsia" w:asciiTheme="minorEastAsia" w:hAnsiTheme="minorEastAsia" w:eastAsiaTheme="minorEastAsia"/>
        </w:rPr>
        <w:t>〕</w:t>
      </w:r>
      <w:r>
        <w:rPr>
          <w:rFonts w:asciiTheme="minorEastAsia" w:hAnsiTheme="minorEastAsia" w:eastAsiaTheme="minorEastAsia"/>
        </w:rPr>
        <w:t>执行。</w:t>
      </w:r>
    </w:p>
    <w:p>
      <w:pPr>
        <w:rPr>
          <w:rFonts w:asciiTheme="minorEastAsia" w:hAnsiTheme="minorEastAsia" w:eastAsiaTheme="minorEastAsia"/>
        </w:rPr>
      </w:pPr>
      <w:r>
        <w:rPr>
          <w:rFonts w:asciiTheme="minorEastAsia" w:hAnsiTheme="minorEastAsia" w:eastAsiaTheme="minorEastAsia"/>
        </w:rPr>
        <w:t>承包人对安全文明施工费应专款专用，承包人应在财务账目中单独列项备查，不得挪作他用，否则发包人有权责令其限期改正；逾期未改正的，可以责令其暂停施工，由此增加的费用和（或）延误的工期由承包人承担。</w:t>
      </w:r>
    </w:p>
    <w:p>
      <w:pPr>
        <w:rPr>
          <w:rFonts w:asciiTheme="minorEastAsia" w:hAnsiTheme="minorEastAsia" w:eastAsiaTheme="minorEastAsia"/>
        </w:rPr>
      </w:pPr>
      <w:r>
        <w:rPr>
          <w:rFonts w:asciiTheme="minorEastAsia" w:hAnsiTheme="minorEastAsia" w:eastAsiaTheme="minorEastAsia"/>
        </w:rPr>
        <w:t>6.1.7 紧急情况</w:t>
      </w:r>
      <w:r>
        <w:rPr>
          <w:rFonts w:hint="eastAsia" w:asciiTheme="minorEastAsia" w:hAnsiTheme="minorEastAsia" w:eastAsiaTheme="minorEastAsia"/>
        </w:rPr>
        <w:t>处理</w:t>
      </w:r>
    </w:p>
    <w:p>
      <w:pPr>
        <w:rPr>
          <w:rFonts w:asciiTheme="minorEastAsia" w:hAnsiTheme="minorEastAsia" w:eastAsiaTheme="minorEastAsia"/>
        </w:rPr>
      </w:pPr>
      <w:r>
        <w:rPr>
          <w:rFonts w:asciiTheme="minorEastAsia" w:hAnsiTheme="minorEastAsia" w:eastAsiaTheme="minorEastAsia"/>
        </w:rPr>
        <w:t>在工程实施期间或缺陷责任期内发生危及工程安全的事件，监理人通知承包人进行抢救，承包人声明无能力或不愿立即执行的，发包人有权雇佣其他人员进行抢救。此类抢救按合同约定属于承包人义务的，由此增加的费用和（或）延误的工期由承包人承担。</w:t>
      </w:r>
    </w:p>
    <w:p>
      <w:pPr>
        <w:rPr>
          <w:rFonts w:asciiTheme="minorEastAsia" w:hAnsiTheme="minorEastAsia" w:eastAsiaTheme="minorEastAsia"/>
        </w:rPr>
      </w:pPr>
      <w:r>
        <w:rPr>
          <w:rFonts w:asciiTheme="minorEastAsia" w:hAnsiTheme="minorEastAsia" w:eastAsiaTheme="minorEastAsia"/>
        </w:rPr>
        <w:t>6.1.8 事故处理</w:t>
      </w:r>
    </w:p>
    <w:p>
      <w:pPr>
        <w:rPr>
          <w:rFonts w:asciiTheme="minorEastAsia" w:hAnsiTheme="minorEastAsia" w:eastAsiaTheme="minorEastAsia"/>
        </w:rPr>
      </w:pPr>
      <w:r>
        <w:rPr>
          <w:rFonts w:asciiTheme="minorEastAsia" w:hAnsiTheme="minorEastAsia" w:eastAsiaTheme="minorEastAsia"/>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pPr>
        <w:rPr>
          <w:rFonts w:asciiTheme="minorEastAsia" w:hAnsiTheme="minorEastAsia" w:eastAsiaTheme="minorEastAsia"/>
        </w:rPr>
      </w:pPr>
      <w:r>
        <w:rPr>
          <w:rFonts w:asciiTheme="minorEastAsia" w:hAnsiTheme="minorEastAsia" w:eastAsiaTheme="minorEastAsia"/>
        </w:rPr>
        <w:t>6.1.9 安全生产责任</w:t>
      </w:r>
    </w:p>
    <w:p>
      <w:pPr>
        <w:rPr>
          <w:rFonts w:asciiTheme="minorEastAsia" w:hAnsiTheme="minorEastAsia" w:eastAsiaTheme="minorEastAsia"/>
        </w:rPr>
      </w:pPr>
      <w:r>
        <w:rPr>
          <w:rFonts w:asciiTheme="minorEastAsia" w:hAnsiTheme="minorEastAsia" w:eastAsiaTheme="minorEastAsia"/>
        </w:rPr>
        <w:t>6.1.9.1 发包人的安全责任</w:t>
      </w:r>
    </w:p>
    <w:p>
      <w:pPr>
        <w:rPr>
          <w:rFonts w:asciiTheme="minorEastAsia" w:hAnsiTheme="minorEastAsia" w:eastAsiaTheme="minorEastAsia"/>
        </w:rPr>
      </w:pPr>
      <w:r>
        <w:rPr>
          <w:rFonts w:asciiTheme="minorEastAsia" w:hAnsiTheme="minorEastAsia" w:eastAsiaTheme="minorEastAsia"/>
        </w:rPr>
        <w:t>发包人应负责赔偿以下各种情况造成</w:t>
      </w:r>
      <w:r>
        <w:rPr>
          <w:rFonts w:hint="eastAsia" w:asciiTheme="minorEastAsia" w:hAnsiTheme="minorEastAsia" w:eastAsiaTheme="minorEastAsia"/>
        </w:rPr>
        <w:t>的</w:t>
      </w:r>
      <w:r>
        <w:rPr>
          <w:rFonts w:asciiTheme="minorEastAsia" w:hAnsiTheme="minorEastAsia" w:eastAsiaTheme="minorEastAsia"/>
        </w:rPr>
        <w:t>损失：</w:t>
      </w:r>
    </w:p>
    <w:p>
      <w:pPr>
        <w:rPr>
          <w:rFonts w:asciiTheme="minorEastAsia" w:hAnsiTheme="minorEastAsia" w:eastAsiaTheme="minorEastAsia"/>
        </w:rPr>
      </w:pPr>
      <w:r>
        <w:rPr>
          <w:rFonts w:asciiTheme="minorEastAsia" w:hAnsiTheme="minorEastAsia" w:eastAsiaTheme="minorEastAsia"/>
        </w:rPr>
        <w:t>（1）工程或工程的任何部分对土地的占用所造成的第三者财产损失；</w:t>
      </w:r>
    </w:p>
    <w:p>
      <w:pPr>
        <w:rPr>
          <w:rFonts w:asciiTheme="minorEastAsia" w:hAnsiTheme="minorEastAsia" w:eastAsiaTheme="minorEastAsia"/>
        </w:rPr>
      </w:pPr>
      <w:r>
        <w:rPr>
          <w:rFonts w:asciiTheme="minorEastAsia" w:hAnsiTheme="minorEastAsia" w:eastAsiaTheme="minorEastAsia"/>
        </w:rPr>
        <w:t>（2）由于发包人原因在施工场地及其毗邻地带造成的第三者人身伤亡和财产损失</w:t>
      </w:r>
      <w:r>
        <w:rPr>
          <w:rFonts w:hint="eastAsia" w:asciiTheme="minorEastAsia" w:hAnsiTheme="minorEastAsia" w:eastAsiaTheme="minorEastAsia"/>
        </w:rPr>
        <w:t>；</w:t>
      </w:r>
    </w:p>
    <w:p>
      <w:pPr>
        <w:rPr>
          <w:rFonts w:asciiTheme="minorEastAsia" w:hAnsiTheme="minorEastAsia" w:eastAsiaTheme="minorEastAsia"/>
        </w:rPr>
      </w:pPr>
      <w:r>
        <w:rPr>
          <w:rFonts w:hint="eastAsia" w:asciiTheme="minorEastAsia" w:hAnsiTheme="minorEastAsia" w:eastAsiaTheme="minorEastAsia"/>
        </w:rPr>
        <w:t>（3）由于发包人原因对承包人、监理人造成的人员人身伤亡和财产损失；</w:t>
      </w:r>
    </w:p>
    <w:p>
      <w:pPr>
        <w:rPr>
          <w:rFonts w:asciiTheme="minorEastAsia" w:hAnsiTheme="minorEastAsia" w:eastAsiaTheme="minorEastAsia"/>
        </w:rPr>
      </w:pPr>
      <w:r>
        <w:rPr>
          <w:rFonts w:hint="eastAsia" w:asciiTheme="minorEastAsia" w:hAnsiTheme="minorEastAsia" w:eastAsiaTheme="minorEastAsia"/>
        </w:rPr>
        <w:t>（4）由于发包人原因造成的发包人自身人员的人身伤害以及财产损失。</w:t>
      </w:r>
    </w:p>
    <w:p>
      <w:pPr>
        <w:rPr>
          <w:rFonts w:asciiTheme="minorEastAsia" w:hAnsiTheme="minorEastAsia" w:eastAsiaTheme="minorEastAsia"/>
        </w:rPr>
      </w:pPr>
      <w:r>
        <w:rPr>
          <w:rFonts w:asciiTheme="minorEastAsia" w:hAnsiTheme="minorEastAsia" w:eastAsiaTheme="minorEastAsia"/>
        </w:rPr>
        <w:t>6.1.9.2 承包人的安全责任</w:t>
      </w:r>
    </w:p>
    <w:p>
      <w:pPr>
        <w:rPr>
          <w:rFonts w:asciiTheme="minorEastAsia" w:hAnsiTheme="minorEastAsia" w:eastAsiaTheme="minorEastAsia"/>
        </w:rPr>
      </w:pPr>
      <w:r>
        <w:rPr>
          <w:rFonts w:asciiTheme="minorEastAsia" w:hAnsiTheme="minorEastAsia" w:eastAsiaTheme="minorEastAsia"/>
        </w:rPr>
        <w:t>由于承包人原因在施工场地内及其毗邻地带造成的</w:t>
      </w:r>
      <w:r>
        <w:rPr>
          <w:rFonts w:hint="eastAsia" w:asciiTheme="minorEastAsia" w:hAnsiTheme="minorEastAsia" w:eastAsiaTheme="minorEastAsia"/>
        </w:rPr>
        <w:t>发包人、监理人以及</w:t>
      </w:r>
      <w:r>
        <w:rPr>
          <w:rFonts w:asciiTheme="minorEastAsia" w:hAnsiTheme="minorEastAsia" w:eastAsiaTheme="minorEastAsia"/>
        </w:rPr>
        <w:t>第三者人员伤亡和财产损失，由承包人负责赔偿。</w:t>
      </w:r>
    </w:p>
    <w:p>
      <w:pPr>
        <w:rPr>
          <w:rFonts w:asciiTheme="minorEastAsia" w:hAnsiTheme="minorEastAsia" w:eastAsiaTheme="minorEastAsia"/>
          <w:bCs/>
        </w:rPr>
      </w:pPr>
      <w:bookmarkStart w:id="303" w:name="_Toc351203540"/>
      <w:r>
        <w:rPr>
          <w:rFonts w:asciiTheme="minorEastAsia" w:hAnsiTheme="minorEastAsia" w:eastAsiaTheme="minorEastAsia"/>
          <w:bCs/>
        </w:rPr>
        <w:t>6</w:t>
      </w:r>
      <w:bookmarkStart w:id="304" w:name="_Toc337558765"/>
      <w:r>
        <w:rPr>
          <w:rFonts w:asciiTheme="minorEastAsia" w:hAnsiTheme="minorEastAsia" w:eastAsiaTheme="minorEastAsia"/>
          <w:bCs/>
        </w:rPr>
        <w:t>.2 职业健康</w:t>
      </w:r>
      <w:bookmarkEnd w:id="303"/>
    </w:p>
    <w:bookmarkEnd w:id="304"/>
    <w:p>
      <w:pPr>
        <w:rPr>
          <w:rFonts w:asciiTheme="minorEastAsia" w:hAnsiTheme="minorEastAsia" w:eastAsiaTheme="minorEastAsia"/>
        </w:rPr>
      </w:pPr>
      <w:r>
        <w:rPr>
          <w:rFonts w:asciiTheme="minorEastAsia" w:hAnsiTheme="minorEastAsia" w:eastAsiaTheme="minorEastAsia"/>
        </w:rPr>
        <w:t>6.2.1 劳动保护</w:t>
      </w:r>
    </w:p>
    <w:p>
      <w:pPr>
        <w:rPr>
          <w:rFonts w:asciiTheme="minorEastAsia" w:hAnsiTheme="minorEastAsia" w:eastAsiaTheme="minorEastAsia"/>
        </w:rPr>
      </w:pPr>
      <w:r>
        <w:rPr>
          <w:rFonts w:asciiTheme="minorEastAsia" w:hAnsiTheme="minorEastAsia" w:eastAsiaTheme="minorEastAsia"/>
        </w:rPr>
        <w:t>承包人应按照法律规定安排现场施工人员的劳动和休息时间，保障劳动者的休息时间，并支付合理的报酬和费用。承包人应依法为其履行合同所雇用的人员办理必要的证件、许可、保险和注册等，承包人应督促其分包人为分包人所雇用的人员办理必要的证件、许可、保险和注册等。</w:t>
      </w:r>
    </w:p>
    <w:p>
      <w:pPr>
        <w:rPr>
          <w:rFonts w:asciiTheme="minorEastAsia" w:hAnsiTheme="minorEastAsia" w:eastAsiaTheme="minorEastAsia"/>
        </w:rPr>
      </w:pPr>
      <w:r>
        <w:rPr>
          <w:rFonts w:asciiTheme="minorEastAsia" w:hAnsiTheme="minorEastAsia" w:eastAsiaTheme="minorEastAsia"/>
        </w:rPr>
        <w:t>承包人应按照法律规定保障现场施工人员的劳动安全，并提供劳动保护,并应按国家有关劳动保护的规定，采取有效的防止粉尘、降低噪声、控制有害气体和保障高温、高寒、高空作业安全等劳动保护措施。承包人雇佣人员在施工中受到伤害的，承包人应立即采取有效措施进行抢救和治疗。</w:t>
      </w:r>
    </w:p>
    <w:p>
      <w:pPr>
        <w:rPr>
          <w:rFonts w:asciiTheme="minorEastAsia" w:hAnsiTheme="minorEastAsia" w:eastAsiaTheme="minorEastAsia"/>
        </w:rPr>
      </w:pPr>
      <w:r>
        <w:rPr>
          <w:rFonts w:asciiTheme="minorEastAsia" w:hAnsiTheme="minorEastAsia" w:eastAsiaTheme="minorEastAsia"/>
        </w:rPr>
        <w:t>承包人应按</w:t>
      </w:r>
      <w:r>
        <w:rPr>
          <w:rFonts w:hint="eastAsia" w:asciiTheme="minorEastAsia" w:hAnsiTheme="minorEastAsia" w:eastAsiaTheme="minorEastAsia"/>
        </w:rPr>
        <w:t>法律</w:t>
      </w:r>
      <w:r>
        <w:rPr>
          <w:rFonts w:asciiTheme="minorEastAsia" w:hAnsiTheme="minorEastAsia" w:eastAsiaTheme="minorEastAsia"/>
        </w:rPr>
        <w:t>规定安排工作时间，保证其雇佣人员享有休息和休假的权利。因工程施工的特殊需要占用休假日或延长工作时间的，应不超过法律规定的限度，并按法律规定给予补休或付酬。</w:t>
      </w:r>
    </w:p>
    <w:p>
      <w:pPr>
        <w:rPr>
          <w:rFonts w:asciiTheme="minorEastAsia" w:hAnsiTheme="minorEastAsia" w:eastAsiaTheme="minorEastAsia"/>
        </w:rPr>
      </w:pPr>
      <w:r>
        <w:rPr>
          <w:rFonts w:asciiTheme="minorEastAsia" w:hAnsiTheme="minorEastAsia" w:eastAsiaTheme="minorEastAsia"/>
        </w:rPr>
        <w:t>6.2.2 生活条件</w:t>
      </w:r>
    </w:p>
    <w:p>
      <w:pPr>
        <w:rPr>
          <w:rFonts w:asciiTheme="minorEastAsia" w:hAnsiTheme="minorEastAsia" w:eastAsiaTheme="minorEastAsia"/>
        </w:rPr>
      </w:pPr>
      <w:r>
        <w:rPr>
          <w:rFonts w:asciiTheme="minorEastAsia" w:hAnsiTheme="minorEastAsia" w:eastAsiaTheme="minorEastAsia"/>
        </w:rPr>
        <w:t>承包人应为其履行合同所雇用的人员提供必要的膳宿条件和生活环境；承包人应采取有效措施预防传染病，保证施工人员的健康，并定期对施工现场、施工人员生活基地和工程进行防疫和卫生的专业检查和处理, 在远离城镇的施工场地，还应配备必要的伤病防治和急救的医务人员与医疗设施。</w:t>
      </w:r>
    </w:p>
    <w:p>
      <w:pPr>
        <w:rPr>
          <w:rFonts w:asciiTheme="minorEastAsia" w:hAnsiTheme="minorEastAsia" w:eastAsiaTheme="minorEastAsia"/>
          <w:bCs/>
        </w:rPr>
      </w:pPr>
      <w:bookmarkStart w:id="305" w:name="_Toc351203541"/>
      <w:r>
        <w:rPr>
          <w:rFonts w:asciiTheme="minorEastAsia" w:hAnsiTheme="minorEastAsia" w:eastAsiaTheme="minorEastAsia"/>
          <w:bCs/>
        </w:rPr>
        <w:t>6</w:t>
      </w:r>
      <w:bookmarkStart w:id="306" w:name="_Toc337558766"/>
      <w:r>
        <w:rPr>
          <w:rFonts w:asciiTheme="minorEastAsia" w:hAnsiTheme="minorEastAsia" w:eastAsiaTheme="minorEastAsia"/>
          <w:bCs/>
        </w:rPr>
        <w:t>.3 环境保护</w:t>
      </w:r>
      <w:bookmarkEnd w:id="305"/>
    </w:p>
    <w:bookmarkEnd w:id="306"/>
    <w:p>
      <w:pPr>
        <w:rPr>
          <w:rFonts w:asciiTheme="minorEastAsia" w:hAnsiTheme="minorEastAsia" w:eastAsiaTheme="minorEastAsia"/>
        </w:rPr>
      </w:pPr>
      <w:r>
        <w:rPr>
          <w:rFonts w:asciiTheme="minorEastAsia" w:hAnsiTheme="minorEastAsia" w:eastAsiaTheme="minorEastAsia"/>
        </w:rPr>
        <w:t>承包人应在施工组织设计中列明环境保护的具体措施。在合同履行期间，承包人应采取合理措施保护施工现场环境。对施工作业过程中可能引起的大气、水、噪音以及固体废物污染采取具体可行的防范措施。</w:t>
      </w:r>
    </w:p>
    <w:p>
      <w:pPr>
        <w:rPr>
          <w:rFonts w:asciiTheme="minorEastAsia" w:hAnsiTheme="minorEastAsia" w:eastAsiaTheme="minorEastAsia"/>
        </w:rPr>
      </w:pPr>
      <w:r>
        <w:rPr>
          <w:rFonts w:asciiTheme="minorEastAsia" w:hAnsiTheme="minorEastAsia" w:eastAsiaTheme="minorEastAsia"/>
        </w:rPr>
        <w:t>承包人应当承担因其原因引起的环境污染侵权损害赔偿责任，因上述环境污染引起纠纷而导致暂停施工的，由此增加的费用和（或）延误的工期由承包人承担。</w:t>
      </w:r>
    </w:p>
    <w:p>
      <w:pPr>
        <w:rPr>
          <w:rFonts w:asciiTheme="minorEastAsia" w:hAnsiTheme="minorEastAsia" w:eastAsiaTheme="minorEastAsia"/>
          <w:bCs/>
        </w:rPr>
      </w:pPr>
      <w:bookmarkStart w:id="307" w:name="_Toc351203542"/>
      <w:r>
        <w:rPr>
          <w:rFonts w:asciiTheme="minorEastAsia" w:hAnsiTheme="minorEastAsia" w:eastAsiaTheme="minorEastAsia"/>
          <w:bCs/>
        </w:rPr>
        <w:t>7</w:t>
      </w:r>
      <w:bookmarkStart w:id="308" w:name="_Toc337558767"/>
      <w:r>
        <w:rPr>
          <w:rFonts w:asciiTheme="minorEastAsia" w:hAnsiTheme="minorEastAsia" w:eastAsiaTheme="minorEastAsia"/>
          <w:bCs/>
        </w:rPr>
        <w:t>. 工期和进度</w:t>
      </w:r>
      <w:bookmarkEnd w:id="307"/>
    </w:p>
    <w:bookmarkEnd w:id="308"/>
    <w:p>
      <w:pPr>
        <w:rPr>
          <w:rFonts w:asciiTheme="minorEastAsia" w:hAnsiTheme="minorEastAsia" w:eastAsiaTheme="minorEastAsia"/>
          <w:bCs/>
        </w:rPr>
      </w:pPr>
      <w:bookmarkStart w:id="309" w:name="_Toc351203543"/>
      <w:r>
        <w:rPr>
          <w:rFonts w:asciiTheme="minorEastAsia" w:hAnsiTheme="minorEastAsia" w:eastAsiaTheme="minorEastAsia"/>
          <w:bCs/>
        </w:rPr>
        <w:t>7</w:t>
      </w:r>
      <w:bookmarkStart w:id="310" w:name="_Toc337558768"/>
      <w:bookmarkStart w:id="311" w:name="_Toc296346567"/>
      <w:bookmarkStart w:id="312" w:name="_Toc296503066"/>
      <w:r>
        <w:rPr>
          <w:rFonts w:asciiTheme="minorEastAsia" w:hAnsiTheme="minorEastAsia" w:eastAsiaTheme="minorEastAsia"/>
          <w:bCs/>
        </w:rPr>
        <w:t>.1施工组织设计</w:t>
      </w:r>
      <w:bookmarkEnd w:id="309"/>
    </w:p>
    <w:bookmarkEnd w:id="310"/>
    <w:p>
      <w:pPr>
        <w:rPr>
          <w:rFonts w:asciiTheme="minorEastAsia" w:hAnsiTheme="minorEastAsia" w:eastAsiaTheme="minorEastAsia"/>
        </w:rPr>
      </w:pPr>
      <w:r>
        <w:rPr>
          <w:rFonts w:asciiTheme="minorEastAsia" w:hAnsiTheme="minorEastAsia" w:eastAsiaTheme="minorEastAsia"/>
        </w:rPr>
        <w:t>7.1.1 施工组织设计的内容</w:t>
      </w:r>
    </w:p>
    <w:p>
      <w:pPr>
        <w:rPr>
          <w:rFonts w:asciiTheme="minorEastAsia" w:hAnsiTheme="minorEastAsia" w:eastAsiaTheme="minorEastAsia"/>
        </w:rPr>
      </w:pPr>
      <w:r>
        <w:rPr>
          <w:rFonts w:asciiTheme="minorEastAsia" w:hAnsiTheme="minorEastAsia" w:eastAsiaTheme="minorEastAsia"/>
        </w:rPr>
        <w:t>施工组织设计应包含以下内容：</w:t>
      </w:r>
    </w:p>
    <w:p>
      <w:pPr>
        <w:rPr>
          <w:rFonts w:asciiTheme="minorEastAsia" w:hAnsiTheme="minorEastAsia" w:eastAsiaTheme="minorEastAsia"/>
        </w:rPr>
      </w:pPr>
      <w:r>
        <w:rPr>
          <w:rFonts w:asciiTheme="minorEastAsia" w:hAnsiTheme="minorEastAsia" w:eastAsiaTheme="minorEastAsia"/>
        </w:rPr>
        <w:t xml:space="preserve">（1）施工方案； </w:t>
      </w:r>
    </w:p>
    <w:p>
      <w:pPr>
        <w:rPr>
          <w:rFonts w:asciiTheme="minorEastAsia" w:hAnsiTheme="minorEastAsia" w:eastAsiaTheme="minorEastAsia"/>
        </w:rPr>
      </w:pPr>
      <w:r>
        <w:rPr>
          <w:rFonts w:asciiTheme="minorEastAsia" w:hAnsiTheme="minorEastAsia" w:eastAsiaTheme="minorEastAsia"/>
        </w:rPr>
        <w:t>（2）施工现场平面布置图；</w:t>
      </w:r>
    </w:p>
    <w:p>
      <w:pPr>
        <w:rPr>
          <w:rFonts w:asciiTheme="minorEastAsia" w:hAnsiTheme="minorEastAsia" w:eastAsiaTheme="minorEastAsia"/>
        </w:rPr>
      </w:pPr>
      <w:r>
        <w:rPr>
          <w:rFonts w:asciiTheme="minorEastAsia" w:hAnsiTheme="minorEastAsia" w:eastAsiaTheme="minorEastAsia"/>
        </w:rPr>
        <w:t xml:space="preserve">（3）施工进度计划和保证措施； </w:t>
      </w:r>
    </w:p>
    <w:p>
      <w:pPr>
        <w:rPr>
          <w:rFonts w:asciiTheme="minorEastAsia" w:hAnsiTheme="minorEastAsia" w:eastAsiaTheme="minorEastAsia"/>
        </w:rPr>
      </w:pPr>
      <w:r>
        <w:rPr>
          <w:rFonts w:asciiTheme="minorEastAsia" w:hAnsiTheme="minorEastAsia" w:eastAsiaTheme="minorEastAsia"/>
        </w:rPr>
        <w:t>（4）劳动力及材料供应计划；</w:t>
      </w:r>
    </w:p>
    <w:p>
      <w:pPr>
        <w:rPr>
          <w:rFonts w:asciiTheme="minorEastAsia" w:hAnsiTheme="minorEastAsia" w:eastAsiaTheme="minorEastAsia"/>
        </w:rPr>
      </w:pPr>
      <w:r>
        <w:rPr>
          <w:rFonts w:asciiTheme="minorEastAsia" w:hAnsiTheme="minorEastAsia" w:eastAsiaTheme="minorEastAsia"/>
        </w:rPr>
        <w:t>（5）施工机械设备的选用；</w:t>
      </w:r>
    </w:p>
    <w:p>
      <w:pPr>
        <w:rPr>
          <w:rFonts w:asciiTheme="minorEastAsia" w:hAnsiTheme="minorEastAsia" w:eastAsiaTheme="minorEastAsia"/>
        </w:rPr>
      </w:pPr>
      <w:r>
        <w:rPr>
          <w:rFonts w:asciiTheme="minorEastAsia" w:hAnsiTheme="minorEastAsia" w:eastAsiaTheme="minorEastAsia"/>
        </w:rPr>
        <w:t>（6）质量保证体系及措施；</w:t>
      </w:r>
    </w:p>
    <w:p>
      <w:pPr>
        <w:rPr>
          <w:rFonts w:asciiTheme="minorEastAsia" w:hAnsiTheme="minorEastAsia" w:eastAsiaTheme="minorEastAsia"/>
        </w:rPr>
      </w:pPr>
      <w:r>
        <w:rPr>
          <w:rFonts w:asciiTheme="minorEastAsia" w:hAnsiTheme="minorEastAsia" w:eastAsiaTheme="minorEastAsia"/>
        </w:rPr>
        <w:t>（7）安全生产、文明施工措施；</w:t>
      </w:r>
    </w:p>
    <w:p>
      <w:pPr>
        <w:rPr>
          <w:rFonts w:asciiTheme="minorEastAsia" w:hAnsiTheme="minorEastAsia" w:eastAsiaTheme="minorEastAsia"/>
        </w:rPr>
      </w:pPr>
      <w:r>
        <w:rPr>
          <w:rFonts w:asciiTheme="minorEastAsia" w:hAnsiTheme="minorEastAsia" w:eastAsiaTheme="minorEastAsia"/>
        </w:rPr>
        <w:t>（8）环境保护、成本控制措施</w:t>
      </w:r>
      <w:r>
        <w:rPr>
          <w:rFonts w:hint="eastAsia" w:asciiTheme="minorEastAsia" w:hAnsiTheme="minorEastAsia" w:eastAsiaTheme="minorEastAsia"/>
        </w:rPr>
        <w:t>；</w:t>
      </w:r>
    </w:p>
    <w:p>
      <w:pPr>
        <w:rPr>
          <w:rFonts w:asciiTheme="minorEastAsia" w:hAnsiTheme="minorEastAsia" w:eastAsiaTheme="minorEastAsia"/>
        </w:rPr>
      </w:pPr>
      <w:r>
        <w:rPr>
          <w:rFonts w:hint="eastAsia" w:asciiTheme="minorEastAsia" w:hAnsiTheme="minorEastAsia" w:eastAsiaTheme="minorEastAsia"/>
        </w:rPr>
        <w:t>（9）合同当事人约定的其他内容</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7.1.2 施工组织设计的提交和修改</w:t>
      </w:r>
    </w:p>
    <w:p>
      <w:pPr>
        <w:rPr>
          <w:rFonts w:asciiTheme="minorEastAsia" w:hAnsiTheme="minorEastAsia" w:eastAsiaTheme="minorEastAsia"/>
        </w:rPr>
      </w:pPr>
      <w:r>
        <w:rPr>
          <w:rFonts w:asciiTheme="minorEastAsia" w:hAnsiTheme="minorEastAsia" w:eastAsiaTheme="minorEastAsia"/>
        </w:rPr>
        <w:t>除专用合同条款另有约定外，承包人应在合同签订后14天内，但至迟不得晚于第7.3.2项</w:t>
      </w:r>
      <w:r>
        <w:rPr>
          <w:rFonts w:hint="eastAsia" w:asciiTheme="minorEastAsia" w:hAnsiTheme="minorEastAsia" w:eastAsiaTheme="minorEastAsia"/>
        </w:rPr>
        <w:t>〔</w:t>
      </w:r>
      <w:r>
        <w:rPr>
          <w:rFonts w:asciiTheme="minorEastAsia" w:hAnsiTheme="minorEastAsia" w:eastAsiaTheme="minorEastAsia"/>
        </w:rPr>
        <w:t>开工通知</w:t>
      </w:r>
      <w:r>
        <w:rPr>
          <w:rFonts w:hint="eastAsia" w:asciiTheme="minorEastAsia" w:hAnsiTheme="minorEastAsia" w:eastAsiaTheme="minorEastAsia"/>
        </w:rPr>
        <w:t>〕</w:t>
      </w:r>
      <w:r>
        <w:rPr>
          <w:rFonts w:asciiTheme="minorEastAsia" w:hAnsiTheme="minorEastAsia" w:eastAsiaTheme="minorEastAsia"/>
        </w:rPr>
        <w:t>载明的开工日期前7天，向监理人提交详细的施工组织设计，并由监理人报送发包人。</w:t>
      </w:r>
      <w:r>
        <w:rPr>
          <w:rFonts w:hint="eastAsia" w:asciiTheme="minorEastAsia" w:hAnsiTheme="minorEastAsia" w:eastAsiaTheme="minorEastAsia"/>
        </w:rPr>
        <w:t>除专用合同条款另有约定外，发包人和监理人应在监理人收到施工组织设计后7天内确认或提出修改意见</w:t>
      </w:r>
      <w:r>
        <w:rPr>
          <w:rFonts w:asciiTheme="minorEastAsia" w:hAnsiTheme="minorEastAsia" w:eastAsiaTheme="minorEastAsia"/>
        </w:rPr>
        <w:t>。对发包人和监理人提出的合理意见和要求，承包人应自费修改完善。根据工程实际情况需要修改施工组织设计的，承包人应向发包人和监理人提交修改后的施工组织设计。</w:t>
      </w:r>
    </w:p>
    <w:p>
      <w:pPr>
        <w:rPr>
          <w:rFonts w:asciiTheme="minorEastAsia" w:hAnsiTheme="minorEastAsia" w:eastAsiaTheme="minorEastAsia"/>
        </w:rPr>
      </w:pPr>
      <w:r>
        <w:rPr>
          <w:rFonts w:asciiTheme="minorEastAsia" w:hAnsiTheme="minorEastAsia" w:eastAsiaTheme="minorEastAsia"/>
        </w:rPr>
        <w:t>施工进度计划的编制和修改按照第7.2款</w:t>
      </w:r>
      <w:r>
        <w:rPr>
          <w:rFonts w:hint="eastAsia" w:asciiTheme="minorEastAsia" w:hAnsiTheme="minorEastAsia" w:eastAsiaTheme="minorEastAsia"/>
        </w:rPr>
        <w:t>〔</w:t>
      </w:r>
      <w:r>
        <w:rPr>
          <w:rFonts w:asciiTheme="minorEastAsia" w:hAnsiTheme="minorEastAsia" w:eastAsiaTheme="minorEastAsia"/>
        </w:rPr>
        <w:t>施工进度计划</w:t>
      </w:r>
      <w:r>
        <w:rPr>
          <w:rFonts w:hint="eastAsia" w:asciiTheme="minorEastAsia" w:hAnsiTheme="minorEastAsia" w:eastAsiaTheme="minorEastAsia"/>
        </w:rPr>
        <w:t>〕</w:t>
      </w:r>
      <w:r>
        <w:rPr>
          <w:rFonts w:asciiTheme="minorEastAsia" w:hAnsiTheme="minorEastAsia" w:eastAsiaTheme="minorEastAsia"/>
        </w:rPr>
        <w:t>执行。</w:t>
      </w:r>
    </w:p>
    <w:p>
      <w:pPr>
        <w:rPr>
          <w:rFonts w:asciiTheme="minorEastAsia" w:hAnsiTheme="minorEastAsia" w:eastAsiaTheme="minorEastAsia"/>
          <w:bCs/>
        </w:rPr>
      </w:pPr>
      <w:bookmarkStart w:id="313" w:name="_Toc351203544"/>
      <w:r>
        <w:rPr>
          <w:rFonts w:asciiTheme="minorEastAsia" w:hAnsiTheme="minorEastAsia" w:eastAsiaTheme="minorEastAsia"/>
          <w:bCs/>
        </w:rPr>
        <w:t>7</w:t>
      </w:r>
      <w:bookmarkStart w:id="314" w:name="_Toc337558769"/>
      <w:r>
        <w:rPr>
          <w:rFonts w:asciiTheme="minorEastAsia" w:hAnsiTheme="minorEastAsia" w:eastAsiaTheme="minorEastAsia"/>
          <w:bCs/>
        </w:rPr>
        <w:t>.2 施工进度计划</w:t>
      </w:r>
      <w:bookmarkEnd w:id="313"/>
    </w:p>
    <w:bookmarkEnd w:id="314"/>
    <w:p>
      <w:pPr>
        <w:rPr>
          <w:rFonts w:asciiTheme="minorEastAsia" w:hAnsiTheme="minorEastAsia" w:eastAsiaTheme="minorEastAsia"/>
        </w:rPr>
      </w:pPr>
      <w:r>
        <w:rPr>
          <w:rFonts w:asciiTheme="minorEastAsia" w:hAnsiTheme="minorEastAsia" w:eastAsiaTheme="minorEastAsia"/>
        </w:rPr>
        <w:t>7.2.1 施工进度计划的编制</w:t>
      </w:r>
    </w:p>
    <w:p>
      <w:pPr>
        <w:rPr>
          <w:rFonts w:asciiTheme="minorEastAsia" w:hAnsiTheme="minorEastAsia" w:eastAsiaTheme="minorEastAsia"/>
        </w:rPr>
      </w:pPr>
      <w:r>
        <w:rPr>
          <w:rFonts w:asciiTheme="minorEastAsia" w:hAnsiTheme="minorEastAsia" w:eastAsiaTheme="minorEastAsia"/>
        </w:rPr>
        <w:t>承包人应按照第7.1款</w:t>
      </w:r>
      <w:r>
        <w:rPr>
          <w:rFonts w:hint="eastAsia" w:asciiTheme="minorEastAsia" w:hAnsiTheme="minorEastAsia" w:eastAsiaTheme="minorEastAsia"/>
        </w:rPr>
        <w:t>〔</w:t>
      </w:r>
      <w:r>
        <w:rPr>
          <w:rFonts w:asciiTheme="minorEastAsia" w:hAnsiTheme="minorEastAsia" w:eastAsiaTheme="minorEastAsia"/>
        </w:rPr>
        <w:t>施工组织设计</w:t>
      </w:r>
      <w:r>
        <w:rPr>
          <w:rFonts w:hint="eastAsia" w:asciiTheme="minorEastAsia" w:hAnsiTheme="minorEastAsia" w:eastAsiaTheme="minorEastAsia"/>
        </w:rPr>
        <w:t>〕</w:t>
      </w:r>
      <w:r>
        <w:rPr>
          <w:rFonts w:asciiTheme="minorEastAsia" w:hAnsiTheme="minorEastAsia" w:eastAsiaTheme="minorEastAsia"/>
        </w:rPr>
        <w:t>约定提交详细的施工进度计划，施工进度计划的编制应当符合国家法律规定和一般工程实践惯例，施工进度计划经发包人批准后实施。施工进度计划是控制工程进度的依据，发包人和监理人有权按照施工进度计划检查工程进度情况。</w:t>
      </w:r>
    </w:p>
    <w:p>
      <w:pPr>
        <w:rPr>
          <w:rFonts w:asciiTheme="minorEastAsia" w:hAnsiTheme="minorEastAsia" w:eastAsiaTheme="minorEastAsia"/>
        </w:rPr>
      </w:pPr>
      <w:r>
        <w:rPr>
          <w:rFonts w:asciiTheme="minorEastAsia" w:hAnsiTheme="minorEastAsia" w:eastAsiaTheme="minorEastAsia"/>
        </w:rPr>
        <w:t>7.2.2 施工进度计划的修订</w:t>
      </w:r>
    </w:p>
    <w:p>
      <w:pPr>
        <w:rPr>
          <w:rFonts w:asciiTheme="minorEastAsia" w:hAnsiTheme="minorEastAsia" w:eastAsiaTheme="minorEastAsia"/>
        </w:rPr>
      </w:pPr>
      <w:r>
        <w:rPr>
          <w:rFonts w:asciiTheme="minorEastAsia" w:hAnsiTheme="minorEastAsia" w:eastAsiaTheme="minorEastAsia"/>
        </w:rPr>
        <w:t>施工进度计划不符合合同要求或与工程的实际进度不一致的，承包人应向监理人提交修订的施工进度计划，并附具有关措施和相关资料，由监理人报送发包人。除专用合同条款另有约定外，发包人和监理人应在收到修订的施工进度计划后7天内完成审核和批准或提出修改意见。发包人和监理人对承包人提交的施工进度计划的确认，不能减轻或免除承包人根据法律规定和合同约定应承担的任何责任或义务。</w:t>
      </w:r>
    </w:p>
    <w:p>
      <w:pPr>
        <w:rPr>
          <w:rFonts w:asciiTheme="minorEastAsia" w:hAnsiTheme="minorEastAsia" w:eastAsiaTheme="minorEastAsia"/>
          <w:bCs/>
        </w:rPr>
      </w:pPr>
      <w:bookmarkStart w:id="315" w:name="_Toc351203545"/>
      <w:r>
        <w:rPr>
          <w:rFonts w:asciiTheme="minorEastAsia" w:hAnsiTheme="minorEastAsia" w:eastAsiaTheme="minorEastAsia"/>
          <w:bCs/>
        </w:rPr>
        <w:t>7</w:t>
      </w:r>
      <w:bookmarkStart w:id="316" w:name="_Toc337558770"/>
      <w:r>
        <w:rPr>
          <w:rFonts w:asciiTheme="minorEastAsia" w:hAnsiTheme="minorEastAsia" w:eastAsiaTheme="minorEastAsia"/>
          <w:bCs/>
        </w:rPr>
        <w:t>.3 开工</w:t>
      </w:r>
      <w:bookmarkEnd w:id="315"/>
    </w:p>
    <w:p>
      <w:pPr>
        <w:rPr>
          <w:rFonts w:asciiTheme="minorEastAsia" w:hAnsiTheme="minorEastAsia" w:eastAsiaTheme="minorEastAsia"/>
        </w:rPr>
      </w:pPr>
      <w:r>
        <w:rPr>
          <w:rFonts w:asciiTheme="minorEastAsia" w:hAnsiTheme="minorEastAsia" w:eastAsiaTheme="minorEastAsia"/>
        </w:rPr>
        <w:t>7.3.1 开工准备</w:t>
      </w:r>
    </w:p>
    <w:p>
      <w:pPr>
        <w:rPr>
          <w:rFonts w:asciiTheme="minorEastAsia" w:hAnsiTheme="minorEastAsia" w:eastAsiaTheme="minorEastAsia"/>
        </w:rPr>
      </w:pPr>
      <w:r>
        <w:rPr>
          <w:rFonts w:asciiTheme="minorEastAsia" w:hAnsiTheme="minorEastAsia" w:eastAsiaTheme="minorEastAsia"/>
        </w:rPr>
        <w:t>除专用合同条款另有约定外，承包人应按照第7.1款</w:t>
      </w:r>
      <w:r>
        <w:rPr>
          <w:rFonts w:hint="eastAsia" w:asciiTheme="minorEastAsia" w:hAnsiTheme="minorEastAsia" w:eastAsiaTheme="minorEastAsia"/>
        </w:rPr>
        <w:t>〔</w:t>
      </w:r>
      <w:r>
        <w:rPr>
          <w:rFonts w:asciiTheme="minorEastAsia" w:hAnsiTheme="minorEastAsia" w:eastAsiaTheme="minorEastAsia"/>
        </w:rPr>
        <w:t>施工组织设计</w:t>
      </w:r>
      <w:r>
        <w:rPr>
          <w:rFonts w:hint="eastAsia" w:asciiTheme="minorEastAsia" w:hAnsiTheme="minorEastAsia" w:eastAsiaTheme="minorEastAsia"/>
        </w:rPr>
        <w:t>〕</w:t>
      </w:r>
      <w:r>
        <w:rPr>
          <w:rFonts w:asciiTheme="minorEastAsia" w:hAnsiTheme="minorEastAsia" w:eastAsiaTheme="minorEastAsia"/>
        </w:rPr>
        <w:t>约定的期限，向监理人提交工程开工报审表，经监理人报发包人批准后执行。开工报审表应详细说明按施工进度计划正常施工所需的施工道路、临时设施、材料、工程设备、施工设备、施工人员等落实情况以及工程的进度安排。</w:t>
      </w:r>
    </w:p>
    <w:p>
      <w:pPr>
        <w:rPr>
          <w:rFonts w:asciiTheme="minorEastAsia" w:hAnsiTheme="minorEastAsia" w:eastAsiaTheme="minorEastAsia"/>
        </w:rPr>
      </w:pPr>
      <w:r>
        <w:rPr>
          <w:rFonts w:asciiTheme="minorEastAsia" w:hAnsiTheme="minorEastAsia" w:eastAsiaTheme="minorEastAsia"/>
        </w:rPr>
        <w:t>除专用合同条款另有约定外，合同当事人应按约定完成开工准备工作。</w:t>
      </w:r>
    </w:p>
    <w:p>
      <w:pPr>
        <w:rPr>
          <w:rFonts w:asciiTheme="minorEastAsia" w:hAnsiTheme="minorEastAsia" w:eastAsiaTheme="minorEastAsia"/>
        </w:rPr>
      </w:pPr>
      <w:r>
        <w:rPr>
          <w:rFonts w:asciiTheme="minorEastAsia" w:hAnsiTheme="minorEastAsia" w:eastAsiaTheme="minorEastAsia"/>
        </w:rPr>
        <w:t>7.3.2 开工通知</w:t>
      </w:r>
    </w:p>
    <w:bookmarkEnd w:id="316"/>
    <w:p>
      <w:pPr>
        <w:rPr>
          <w:rFonts w:asciiTheme="minorEastAsia" w:hAnsiTheme="minorEastAsia" w:eastAsiaTheme="minorEastAsia"/>
        </w:rPr>
      </w:pPr>
      <w:r>
        <w:rPr>
          <w:rFonts w:asciiTheme="minorEastAsia" w:hAnsiTheme="minorEastAsia" w:eastAsiaTheme="minorEastAsia"/>
        </w:rPr>
        <w:t>发包人应按照法律规定获得工程施工所需的许可。经发包人同意后，监理人发出的开工通知应符合法律规定。监理人应在计划开工日期7天前向承包人发出开工通知，工期自开工通知中载明的开工日期起算。</w:t>
      </w:r>
    </w:p>
    <w:p>
      <w:pPr>
        <w:rPr>
          <w:rFonts w:asciiTheme="minorEastAsia" w:hAnsiTheme="minorEastAsia" w:eastAsiaTheme="minorEastAsia"/>
        </w:rPr>
      </w:pPr>
      <w:r>
        <w:rPr>
          <w:rFonts w:asciiTheme="minorEastAsia" w:hAnsiTheme="minorEastAsia" w:eastAsiaTheme="minorEastAsia"/>
        </w:rPr>
        <w:t>除专用合同条款另有约定外，因发包人原因造成监理人未能在计划开工日期之日起90天内发出开工通知的，承包人有权提出价格调整要求，或者解除合同。发包人应当承担由此增加的费用和（或）延误的工期，并向承包人支付合理利润。</w:t>
      </w:r>
    </w:p>
    <w:p>
      <w:pPr>
        <w:rPr>
          <w:rFonts w:asciiTheme="minorEastAsia" w:hAnsiTheme="minorEastAsia" w:eastAsiaTheme="minorEastAsia"/>
          <w:bCs/>
        </w:rPr>
      </w:pPr>
      <w:bookmarkStart w:id="317" w:name="_Toc351203546"/>
      <w:r>
        <w:rPr>
          <w:rFonts w:asciiTheme="minorEastAsia" w:hAnsiTheme="minorEastAsia" w:eastAsiaTheme="minorEastAsia"/>
          <w:bCs/>
        </w:rPr>
        <w:t>7.4测量放线</w:t>
      </w:r>
      <w:bookmarkEnd w:id="317"/>
    </w:p>
    <w:p>
      <w:pPr>
        <w:rPr>
          <w:rFonts w:asciiTheme="minorEastAsia" w:hAnsiTheme="minorEastAsia" w:eastAsiaTheme="minorEastAsia"/>
        </w:rPr>
      </w:pPr>
      <w:r>
        <w:rPr>
          <w:rFonts w:asciiTheme="minorEastAsia" w:hAnsiTheme="minorEastAsia" w:eastAsiaTheme="minorEastAsia"/>
        </w:rPr>
        <w:t>7.4.1 除专用合同条款另有约定外，发包人应在至迟不得晚于第7.3.2项</w:t>
      </w:r>
      <w:r>
        <w:rPr>
          <w:rFonts w:hint="eastAsia" w:asciiTheme="minorEastAsia" w:hAnsiTheme="minorEastAsia" w:eastAsiaTheme="minorEastAsia"/>
        </w:rPr>
        <w:t>〔</w:t>
      </w:r>
      <w:r>
        <w:rPr>
          <w:rFonts w:asciiTheme="minorEastAsia" w:hAnsiTheme="minorEastAsia" w:eastAsiaTheme="minorEastAsia"/>
        </w:rPr>
        <w:t>开工通知</w:t>
      </w:r>
      <w:r>
        <w:rPr>
          <w:rFonts w:hint="eastAsia" w:asciiTheme="minorEastAsia" w:hAnsiTheme="minorEastAsia" w:eastAsiaTheme="minorEastAsia"/>
        </w:rPr>
        <w:t>〕</w:t>
      </w:r>
      <w:r>
        <w:rPr>
          <w:rFonts w:asciiTheme="minorEastAsia" w:hAnsiTheme="minorEastAsia" w:eastAsiaTheme="minorEastAsia"/>
        </w:rPr>
        <w:t>载明的开工日期前7天通过监理人向承包人提供测量基准点、基准线和水准点及其书面资料。发包人应对其提供的测量基准点、基准线和水准点及其书面资料的真实性、准确性和完整性负责。</w:t>
      </w:r>
    </w:p>
    <w:p>
      <w:pPr>
        <w:rPr>
          <w:rFonts w:asciiTheme="minorEastAsia" w:hAnsiTheme="minorEastAsia" w:eastAsiaTheme="minorEastAsia"/>
        </w:rPr>
      </w:pPr>
      <w:r>
        <w:rPr>
          <w:rFonts w:asciiTheme="minorEastAsia" w:hAnsiTheme="minorEastAsia" w:eastAsiaTheme="minorEastAsia"/>
        </w:rPr>
        <w:t>承包人发现发包人提供的测量基准点、基准线和水准点及其书面资料存在错误或疏漏的，应及时通知监理人。监理人应及时报告发包人，并会同发包人和承包人予以核实。发包人应就如何处理和是否继续施工作出决定，并通知监理人和承包人。</w:t>
      </w:r>
    </w:p>
    <w:p>
      <w:pPr>
        <w:rPr>
          <w:rFonts w:asciiTheme="minorEastAsia" w:hAnsiTheme="minorEastAsia" w:eastAsiaTheme="minorEastAsia"/>
        </w:rPr>
      </w:pPr>
      <w:r>
        <w:rPr>
          <w:rFonts w:asciiTheme="minorEastAsia" w:hAnsiTheme="minorEastAsia" w:eastAsiaTheme="minorEastAsia"/>
        </w:rPr>
        <w:t>7.4.2 承包人负责施工过程中的全部施工测量放线工作，并配置具有相应资质的人员、合格的仪器、设备和其他物品。承包人应矫正工程的位置、标高、尺寸或准线中出现的任何差错，并对工程各部分的定位负责。</w:t>
      </w:r>
    </w:p>
    <w:p>
      <w:pPr>
        <w:rPr>
          <w:rFonts w:asciiTheme="minorEastAsia" w:hAnsiTheme="minorEastAsia" w:eastAsiaTheme="minorEastAsia"/>
        </w:rPr>
      </w:pPr>
      <w:r>
        <w:rPr>
          <w:rFonts w:asciiTheme="minorEastAsia" w:hAnsiTheme="minorEastAsia" w:eastAsiaTheme="minorEastAsia"/>
        </w:rPr>
        <w:t>施工过程中对施工现场内水准点等测量标志物的保护工作由承包人负责。</w:t>
      </w:r>
      <w:bookmarkStart w:id="318" w:name="_Toc351203547"/>
    </w:p>
    <w:p>
      <w:pPr>
        <w:rPr>
          <w:rFonts w:asciiTheme="minorEastAsia" w:hAnsiTheme="minorEastAsia" w:eastAsiaTheme="minorEastAsia"/>
          <w:bCs/>
        </w:rPr>
      </w:pPr>
      <w:r>
        <w:rPr>
          <w:rFonts w:asciiTheme="minorEastAsia" w:hAnsiTheme="minorEastAsia" w:eastAsiaTheme="minorEastAsia"/>
          <w:bCs/>
        </w:rPr>
        <w:t>7</w:t>
      </w:r>
      <w:bookmarkStart w:id="319" w:name="_Toc337558772"/>
      <w:bookmarkStart w:id="320" w:name="_Toc296346574"/>
      <w:bookmarkStart w:id="321" w:name="_Toc296503073"/>
      <w:bookmarkEnd w:id="311"/>
      <w:bookmarkEnd w:id="312"/>
      <w:r>
        <w:rPr>
          <w:rFonts w:asciiTheme="minorEastAsia" w:hAnsiTheme="minorEastAsia" w:eastAsiaTheme="minorEastAsia"/>
          <w:bCs/>
        </w:rPr>
        <w:t>.5</w:t>
      </w:r>
      <w:r>
        <w:rPr>
          <w:rFonts w:hint="eastAsia" w:asciiTheme="minorEastAsia" w:hAnsiTheme="minorEastAsia" w:eastAsiaTheme="minorEastAsia"/>
          <w:bCs/>
        </w:rPr>
        <w:t xml:space="preserve"> </w:t>
      </w:r>
      <w:r>
        <w:rPr>
          <w:rFonts w:asciiTheme="minorEastAsia" w:hAnsiTheme="minorEastAsia" w:eastAsiaTheme="minorEastAsia"/>
          <w:bCs/>
        </w:rPr>
        <w:t>工期延误</w:t>
      </w:r>
      <w:bookmarkEnd w:id="318"/>
    </w:p>
    <w:bookmarkEnd w:id="319"/>
    <w:bookmarkEnd w:id="320"/>
    <w:bookmarkEnd w:id="321"/>
    <w:p>
      <w:pPr>
        <w:rPr>
          <w:rFonts w:asciiTheme="minorEastAsia" w:hAnsiTheme="minorEastAsia" w:eastAsiaTheme="minorEastAsia"/>
        </w:rPr>
      </w:pPr>
      <w:r>
        <w:rPr>
          <w:rFonts w:asciiTheme="minorEastAsia" w:hAnsiTheme="minorEastAsia" w:eastAsiaTheme="minorEastAsia"/>
        </w:rPr>
        <w:t>7.5.1 因发包人原因导致工期延误</w:t>
      </w:r>
    </w:p>
    <w:p>
      <w:pPr>
        <w:rPr>
          <w:rFonts w:asciiTheme="minorEastAsia" w:hAnsiTheme="minorEastAsia" w:eastAsiaTheme="minorEastAsia"/>
        </w:rPr>
      </w:pPr>
      <w:r>
        <w:rPr>
          <w:rFonts w:asciiTheme="minorEastAsia" w:hAnsiTheme="minorEastAsia" w:eastAsiaTheme="minorEastAsia"/>
        </w:rPr>
        <w:t xml:space="preserve">在合同履行过程中，因下列情况导致工期延误和（或）费用增加的，由发包人承担由此延误的工期和（或）增加的费用，且发包人应支付承包人合理的利润： </w:t>
      </w:r>
    </w:p>
    <w:p>
      <w:pPr>
        <w:rPr>
          <w:rFonts w:asciiTheme="minorEastAsia" w:hAnsiTheme="minorEastAsia" w:eastAsiaTheme="minorEastAsia"/>
        </w:rPr>
      </w:pPr>
      <w:r>
        <w:rPr>
          <w:rFonts w:asciiTheme="minorEastAsia" w:hAnsiTheme="minorEastAsia" w:eastAsiaTheme="minorEastAsia"/>
        </w:rPr>
        <w:t>（1）发包人未能按合同约定提供图纸或所提供图纸不符合合同约定的；</w:t>
      </w:r>
    </w:p>
    <w:p>
      <w:pPr>
        <w:rPr>
          <w:rFonts w:asciiTheme="minorEastAsia" w:hAnsiTheme="minorEastAsia" w:eastAsiaTheme="minorEastAsia"/>
        </w:rPr>
      </w:pPr>
      <w:r>
        <w:rPr>
          <w:rFonts w:asciiTheme="minorEastAsia" w:hAnsiTheme="minorEastAsia" w:eastAsiaTheme="minorEastAsia"/>
        </w:rPr>
        <w:t>（2）发包人未能按合同约定提供施工现场、施工条件、基础资料、许可、批准等开工条件的；</w:t>
      </w:r>
    </w:p>
    <w:p>
      <w:pPr>
        <w:rPr>
          <w:rFonts w:asciiTheme="minorEastAsia" w:hAnsiTheme="minorEastAsia" w:eastAsiaTheme="minorEastAsia"/>
        </w:rPr>
      </w:pPr>
      <w:r>
        <w:rPr>
          <w:rFonts w:asciiTheme="minorEastAsia" w:hAnsiTheme="minorEastAsia" w:eastAsiaTheme="minorEastAsia"/>
        </w:rPr>
        <w:t>（3）发包人提供的测量基准点、基准线和水准点及其书面资料存在错误或疏漏的；</w:t>
      </w:r>
    </w:p>
    <w:p>
      <w:pPr>
        <w:rPr>
          <w:rFonts w:asciiTheme="minorEastAsia" w:hAnsiTheme="minorEastAsia" w:eastAsiaTheme="minorEastAsia"/>
        </w:rPr>
      </w:pPr>
      <w:r>
        <w:rPr>
          <w:rFonts w:asciiTheme="minorEastAsia" w:hAnsiTheme="minorEastAsia" w:eastAsiaTheme="minorEastAsia"/>
        </w:rPr>
        <w:t>（4）发包人未能在计划开工日期之日起7天内同意下达开工通知的；</w:t>
      </w:r>
    </w:p>
    <w:p>
      <w:pPr>
        <w:rPr>
          <w:rFonts w:asciiTheme="minorEastAsia" w:hAnsiTheme="minorEastAsia" w:eastAsiaTheme="minorEastAsia"/>
        </w:rPr>
      </w:pPr>
      <w:r>
        <w:rPr>
          <w:rFonts w:asciiTheme="minorEastAsia" w:hAnsiTheme="minorEastAsia" w:eastAsiaTheme="minorEastAsia"/>
        </w:rPr>
        <w:t>（5）发包人未能按合同约定日期支付工程预付款、进度款或竣工结算款的；</w:t>
      </w:r>
    </w:p>
    <w:p>
      <w:pPr>
        <w:rPr>
          <w:rFonts w:asciiTheme="minorEastAsia" w:hAnsiTheme="minorEastAsia" w:eastAsiaTheme="minorEastAsia"/>
        </w:rPr>
      </w:pPr>
      <w:r>
        <w:rPr>
          <w:rFonts w:asciiTheme="minorEastAsia" w:hAnsiTheme="minorEastAsia" w:eastAsiaTheme="minorEastAsia"/>
        </w:rPr>
        <w:t>（6）监理人未按合同约定发出指示、批准等文件的；</w:t>
      </w:r>
    </w:p>
    <w:p>
      <w:pPr>
        <w:rPr>
          <w:rFonts w:asciiTheme="minorEastAsia" w:hAnsiTheme="minorEastAsia" w:eastAsiaTheme="minorEastAsia"/>
        </w:rPr>
      </w:pPr>
      <w:r>
        <w:rPr>
          <w:rFonts w:asciiTheme="minorEastAsia" w:hAnsiTheme="minorEastAsia" w:eastAsiaTheme="minorEastAsia"/>
        </w:rPr>
        <w:t>（7）专用合同条款中约定的其他情形。</w:t>
      </w:r>
    </w:p>
    <w:p>
      <w:pPr>
        <w:rPr>
          <w:rFonts w:asciiTheme="minorEastAsia" w:hAnsiTheme="minorEastAsia" w:eastAsiaTheme="minorEastAsia"/>
        </w:rPr>
      </w:pPr>
      <w:r>
        <w:rPr>
          <w:rFonts w:asciiTheme="minorEastAsia" w:hAnsiTheme="minorEastAsia" w:eastAsiaTheme="minorEastAsia"/>
        </w:rPr>
        <w:t>因发包人原因未按计划开工日期开工的，发包人应按实际开工日期顺延竣工日期，确保实际工期不低于合同约定的工期总日历天数。因发包人原因导致工期延误需要修订施工进度计划的，按照第7.2.2项</w:t>
      </w:r>
      <w:r>
        <w:rPr>
          <w:rFonts w:hint="eastAsia" w:asciiTheme="minorEastAsia" w:hAnsiTheme="minorEastAsia" w:eastAsiaTheme="minorEastAsia"/>
        </w:rPr>
        <w:t>〔</w:t>
      </w:r>
      <w:r>
        <w:rPr>
          <w:rFonts w:asciiTheme="minorEastAsia" w:hAnsiTheme="minorEastAsia" w:eastAsiaTheme="minorEastAsia"/>
        </w:rPr>
        <w:t>施工进度计划的修订</w:t>
      </w:r>
      <w:r>
        <w:rPr>
          <w:rFonts w:hint="eastAsia" w:asciiTheme="minorEastAsia" w:hAnsiTheme="minorEastAsia" w:eastAsiaTheme="minorEastAsia"/>
        </w:rPr>
        <w:t>〕</w:t>
      </w:r>
      <w:r>
        <w:rPr>
          <w:rFonts w:asciiTheme="minorEastAsia" w:hAnsiTheme="minorEastAsia" w:eastAsiaTheme="minorEastAsia"/>
        </w:rPr>
        <w:t>执行。</w:t>
      </w:r>
    </w:p>
    <w:p>
      <w:pPr>
        <w:rPr>
          <w:rFonts w:asciiTheme="minorEastAsia" w:hAnsiTheme="minorEastAsia" w:eastAsiaTheme="minorEastAsia"/>
        </w:rPr>
      </w:pPr>
      <w:r>
        <w:rPr>
          <w:rFonts w:asciiTheme="minorEastAsia" w:hAnsiTheme="minorEastAsia" w:eastAsiaTheme="minorEastAsia"/>
        </w:rPr>
        <w:t>7.5.2 因承包人原因导致工期延误</w:t>
      </w:r>
    </w:p>
    <w:p>
      <w:pPr>
        <w:rPr>
          <w:rFonts w:asciiTheme="minorEastAsia" w:hAnsiTheme="minorEastAsia" w:eastAsiaTheme="minorEastAsia"/>
        </w:rPr>
      </w:pPr>
      <w:bookmarkStart w:id="322" w:name="_Toc296503076"/>
      <w:bookmarkStart w:id="323" w:name="_Toc296346577"/>
      <w:r>
        <w:rPr>
          <w:rFonts w:asciiTheme="minorEastAsia" w:hAnsiTheme="minorEastAsia" w:eastAsiaTheme="minorEastAsia"/>
        </w:rPr>
        <w:t>因</w:t>
      </w:r>
      <w:bookmarkEnd w:id="322"/>
      <w:bookmarkEnd w:id="323"/>
      <w:r>
        <w:rPr>
          <w:rFonts w:asciiTheme="minorEastAsia" w:hAnsiTheme="minorEastAsia" w:eastAsiaTheme="minorEastAsia"/>
        </w:rPr>
        <w:t>承包人原因造成工期延误的，可以在专用合同条款中约定逾期竣工违约金的计算方法和逾期竣工违约金的上限。承包人支付逾期竣工违约金后，不免除承包人继续完成工程及修补缺陷的义务。</w:t>
      </w:r>
    </w:p>
    <w:p>
      <w:pPr>
        <w:rPr>
          <w:rFonts w:asciiTheme="minorEastAsia" w:hAnsiTheme="minorEastAsia" w:eastAsiaTheme="minorEastAsia"/>
          <w:bCs/>
        </w:rPr>
      </w:pPr>
      <w:bookmarkStart w:id="324" w:name="_Toc351203548"/>
      <w:r>
        <w:rPr>
          <w:rFonts w:asciiTheme="minorEastAsia" w:hAnsiTheme="minorEastAsia" w:eastAsiaTheme="minorEastAsia"/>
          <w:bCs/>
        </w:rPr>
        <w:t>7</w:t>
      </w:r>
      <w:bookmarkStart w:id="325" w:name="_Toc296346575"/>
      <w:bookmarkStart w:id="326" w:name="_Toc337558773"/>
      <w:bookmarkStart w:id="327" w:name="_Toc296503074"/>
      <w:bookmarkStart w:id="328" w:name="_Toc296503077"/>
      <w:bookmarkStart w:id="329" w:name="_Toc296346578"/>
      <w:r>
        <w:rPr>
          <w:rFonts w:asciiTheme="minorEastAsia" w:hAnsiTheme="minorEastAsia" w:eastAsiaTheme="minorEastAsia"/>
          <w:bCs/>
        </w:rPr>
        <w:t>.6 不利物质条件</w:t>
      </w:r>
      <w:bookmarkEnd w:id="324"/>
    </w:p>
    <w:bookmarkEnd w:id="325"/>
    <w:bookmarkEnd w:id="326"/>
    <w:bookmarkEnd w:id="327"/>
    <w:p>
      <w:pPr>
        <w:rPr>
          <w:rFonts w:asciiTheme="minorEastAsia" w:hAnsiTheme="minorEastAsia" w:eastAsiaTheme="minorEastAsia"/>
        </w:rPr>
      </w:pPr>
      <w:r>
        <w:rPr>
          <w:rFonts w:asciiTheme="minorEastAsia" w:hAnsiTheme="minorEastAsia" w:eastAsiaTheme="minorEastAsia"/>
        </w:rPr>
        <w:t>不利物质条件是指有经验的承包人在施工现场遇到的不可预见的自然物质条件、非自然的物质障碍和污染物，包括地表以下物质条件和水文条件以及专用合同条款约定的其他情形，但不包括气候条件。</w:t>
      </w:r>
    </w:p>
    <w:p>
      <w:pPr>
        <w:rPr>
          <w:rFonts w:asciiTheme="minorEastAsia" w:hAnsiTheme="minorEastAsia" w:eastAsiaTheme="minorEastAsia"/>
        </w:rPr>
      </w:pPr>
      <w:r>
        <w:rPr>
          <w:rFonts w:asciiTheme="minorEastAsia" w:hAnsiTheme="minorEastAsia" w:eastAsiaTheme="minorEastAsia"/>
        </w:rPr>
        <w:t>承包人遇到不利物质条件时，应采取克服不利物质条件的合理措施继续施工，并及时通知发包人和监理人。通知应载明不利物质条件的内容以及承包人认为不可预见的理由。监理人经发包人同意后应当及时发出指示，指示构成变更的，按第10条</w:t>
      </w:r>
      <w:r>
        <w:rPr>
          <w:rFonts w:hint="eastAsia" w:asciiTheme="minorEastAsia" w:hAnsiTheme="minorEastAsia" w:eastAsiaTheme="minorEastAsia"/>
        </w:rPr>
        <w:t>〔</w:t>
      </w:r>
      <w:r>
        <w:rPr>
          <w:rFonts w:asciiTheme="minorEastAsia" w:hAnsiTheme="minorEastAsia" w:eastAsiaTheme="minorEastAsia"/>
        </w:rPr>
        <w:t>变更</w:t>
      </w:r>
      <w:r>
        <w:rPr>
          <w:rFonts w:hint="eastAsia" w:asciiTheme="minorEastAsia" w:hAnsiTheme="minorEastAsia" w:eastAsiaTheme="minorEastAsia"/>
        </w:rPr>
        <w:t>〕</w:t>
      </w:r>
      <w:r>
        <w:rPr>
          <w:rFonts w:asciiTheme="minorEastAsia" w:hAnsiTheme="minorEastAsia" w:eastAsiaTheme="minorEastAsia"/>
        </w:rPr>
        <w:t>约定执行。承包人因采取合理措施而增加的费用和（或）延误的工期由发包人承担。</w:t>
      </w:r>
    </w:p>
    <w:p>
      <w:pPr>
        <w:rPr>
          <w:rFonts w:asciiTheme="minorEastAsia" w:hAnsiTheme="minorEastAsia" w:eastAsiaTheme="minorEastAsia"/>
          <w:bCs/>
        </w:rPr>
      </w:pPr>
      <w:bookmarkStart w:id="330" w:name="_Toc351203549"/>
      <w:r>
        <w:rPr>
          <w:rFonts w:asciiTheme="minorEastAsia" w:hAnsiTheme="minorEastAsia" w:eastAsiaTheme="minorEastAsia"/>
          <w:bCs/>
        </w:rPr>
        <w:t>7</w:t>
      </w:r>
      <w:bookmarkStart w:id="331" w:name="_Toc296346576"/>
      <w:bookmarkStart w:id="332" w:name="_Toc337558774"/>
      <w:bookmarkStart w:id="333" w:name="_Toc296503075"/>
      <w:r>
        <w:rPr>
          <w:rFonts w:asciiTheme="minorEastAsia" w:hAnsiTheme="minorEastAsia" w:eastAsiaTheme="minorEastAsia"/>
          <w:bCs/>
        </w:rPr>
        <w:t>.7</w:t>
      </w:r>
      <w:r>
        <w:rPr>
          <w:rFonts w:hint="eastAsia" w:asciiTheme="minorEastAsia" w:hAnsiTheme="minorEastAsia" w:eastAsiaTheme="minorEastAsia"/>
          <w:bCs/>
        </w:rPr>
        <w:t xml:space="preserve"> </w:t>
      </w:r>
      <w:r>
        <w:rPr>
          <w:rFonts w:asciiTheme="minorEastAsia" w:hAnsiTheme="minorEastAsia" w:eastAsiaTheme="minorEastAsia"/>
          <w:bCs/>
        </w:rPr>
        <w:t>异常恶劣的气候条件</w:t>
      </w:r>
      <w:bookmarkEnd w:id="330"/>
    </w:p>
    <w:bookmarkEnd w:id="331"/>
    <w:bookmarkEnd w:id="332"/>
    <w:bookmarkEnd w:id="333"/>
    <w:p>
      <w:pPr>
        <w:rPr>
          <w:rFonts w:asciiTheme="minorEastAsia" w:hAnsiTheme="minorEastAsia" w:eastAsiaTheme="minorEastAsia"/>
        </w:rPr>
      </w:pPr>
      <w:r>
        <w:rPr>
          <w:rFonts w:asciiTheme="minorEastAsia" w:hAnsiTheme="minorEastAsia" w:eastAsiaTheme="minorEastAsia"/>
        </w:rPr>
        <w:t>异常恶劣的气候条件是指在施工过程中遇到的，有经验的承包人在签订合同时不可预见的，对合同履行造成实质性影响的，但尚未构成不可抗力事件的恶劣气候条件。合同当事人可以在专用合同条款中约定异常恶劣的气候条件的具体情形。</w:t>
      </w:r>
    </w:p>
    <w:p>
      <w:pPr>
        <w:rPr>
          <w:rFonts w:asciiTheme="minorEastAsia" w:hAnsiTheme="minorEastAsia" w:eastAsiaTheme="minorEastAsia"/>
        </w:rPr>
      </w:pPr>
      <w:r>
        <w:rPr>
          <w:rFonts w:asciiTheme="minorEastAsia" w:hAnsiTheme="minorEastAsia" w:eastAsiaTheme="minorEastAsia"/>
        </w:rPr>
        <w:t>承包人应采取克服异常恶劣的气候条件的合理措施继续施工，并及时通知发包人和监理人。监理人经发包人同意后应当及时发出指示，指示构成变更的，按第10条</w:t>
      </w:r>
      <w:r>
        <w:rPr>
          <w:rFonts w:hint="eastAsia" w:asciiTheme="minorEastAsia" w:hAnsiTheme="minorEastAsia" w:eastAsiaTheme="minorEastAsia"/>
        </w:rPr>
        <w:t>〔</w:t>
      </w:r>
      <w:r>
        <w:rPr>
          <w:rFonts w:asciiTheme="minorEastAsia" w:hAnsiTheme="minorEastAsia" w:eastAsiaTheme="minorEastAsia"/>
        </w:rPr>
        <w:t>变更</w:t>
      </w:r>
      <w:r>
        <w:rPr>
          <w:rFonts w:hint="eastAsia" w:asciiTheme="minorEastAsia" w:hAnsiTheme="minorEastAsia" w:eastAsiaTheme="minorEastAsia"/>
        </w:rPr>
        <w:t>〕</w:t>
      </w:r>
      <w:r>
        <w:rPr>
          <w:rFonts w:asciiTheme="minorEastAsia" w:hAnsiTheme="minorEastAsia" w:eastAsiaTheme="minorEastAsia"/>
        </w:rPr>
        <w:t>约定办理。承包人因采取合理措施而增加的费用和（或）延误的工期由发包人承担。</w:t>
      </w:r>
      <w:bookmarkStart w:id="334" w:name="_Toc351203550"/>
    </w:p>
    <w:p>
      <w:pPr>
        <w:rPr>
          <w:rFonts w:asciiTheme="minorEastAsia" w:hAnsiTheme="minorEastAsia" w:eastAsiaTheme="minorEastAsia"/>
          <w:bCs/>
        </w:rPr>
      </w:pPr>
      <w:r>
        <w:rPr>
          <w:rFonts w:asciiTheme="minorEastAsia" w:hAnsiTheme="minorEastAsia" w:eastAsiaTheme="minorEastAsia"/>
          <w:bCs/>
        </w:rPr>
        <w:t>7</w:t>
      </w:r>
      <w:bookmarkStart w:id="335" w:name="_Toc337558775"/>
      <w:r>
        <w:rPr>
          <w:rFonts w:asciiTheme="minorEastAsia" w:hAnsiTheme="minorEastAsia" w:eastAsiaTheme="minorEastAsia"/>
          <w:bCs/>
        </w:rPr>
        <w:t>.8</w:t>
      </w:r>
      <w:r>
        <w:rPr>
          <w:rFonts w:hint="eastAsia" w:asciiTheme="minorEastAsia" w:hAnsiTheme="minorEastAsia" w:eastAsiaTheme="minorEastAsia"/>
          <w:bCs/>
        </w:rPr>
        <w:t xml:space="preserve"> </w:t>
      </w:r>
      <w:r>
        <w:rPr>
          <w:rFonts w:asciiTheme="minorEastAsia" w:hAnsiTheme="minorEastAsia" w:eastAsiaTheme="minorEastAsia"/>
          <w:bCs/>
        </w:rPr>
        <w:t>暂停施工</w:t>
      </w:r>
      <w:bookmarkEnd w:id="334"/>
    </w:p>
    <w:bookmarkEnd w:id="328"/>
    <w:bookmarkEnd w:id="329"/>
    <w:bookmarkEnd w:id="335"/>
    <w:p>
      <w:pPr>
        <w:rPr>
          <w:rFonts w:asciiTheme="minorEastAsia" w:hAnsiTheme="minorEastAsia" w:eastAsiaTheme="minorEastAsia"/>
        </w:rPr>
      </w:pPr>
      <w:r>
        <w:rPr>
          <w:rFonts w:asciiTheme="minorEastAsia" w:hAnsiTheme="minorEastAsia" w:eastAsiaTheme="minorEastAsia"/>
        </w:rPr>
        <w:t>7.8.1发包人原因引起的暂停施工</w:t>
      </w:r>
    </w:p>
    <w:p>
      <w:pPr>
        <w:rPr>
          <w:rFonts w:asciiTheme="minorEastAsia" w:hAnsiTheme="minorEastAsia" w:eastAsiaTheme="minorEastAsia"/>
        </w:rPr>
      </w:pPr>
      <w:r>
        <w:rPr>
          <w:rFonts w:asciiTheme="minorEastAsia" w:hAnsiTheme="minorEastAsia" w:eastAsiaTheme="minorEastAsia"/>
        </w:rPr>
        <w:t>因发包人原因引起暂停施工的，监理人经发包人同意后，应及时下达暂停施工指示。情况紧急且监理人未及时下达暂停施工指示的，按照第7.8.4项</w:t>
      </w:r>
      <w:r>
        <w:rPr>
          <w:rFonts w:hint="eastAsia" w:asciiTheme="minorEastAsia" w:hAnsiTheme="minorEastAsia" w:eastAsiaTheme="minorEastAsia"/>
        </w:rPr>
        <w:t>〔</w:t>
      </w:r>
      <w:r>
        <w:rPr>
          <w:rFonts w:asciiTheme="minorEastAsia" w:hAnsiTheme="minorEastAsia" w:eastAsiaTheme="minorEastAsia"/>
        </w:rPr>
        <w:t>紧急情况下的暂停施工</w:t>
      </w:r>
      <w:r>
        <w:rPr>
          <w:rFonts w:hint="eastAsia" w:asciiTheme="minorEastAsia" w:hAnsiTheme="minorEastAsia" w:eastAsiaTheme="minorEastAsia"/>
        </w:rPr>
        <w:t>〕</w:t>
      </w:r>
      <w:r>
        <w:rPr>
          <w:rFonts w:asciiTheme="minorEastAsia" w:hAnsiTheme="minorEastAsia" w:eastAsiaTheme="minorEastAsia"/>
        </w:rPr>
        <w:t>执行。</w:t>
      </w:r>
    </w:p>
    <w:p>
      <w:pPr>
        <w:rPr>
          <w:rFonts w:asciiTheme="minorEastAsia" w:hAnsiTheme="minorEastAsia" w:eastAsiaTheme="minorEastAsia"/>
        </w:rPr>
      </w:pPr>
      <w:r>
        <w:rPr>
          <w:rFonts w:asciiTheme="minorEastAsia" w:hAnsiTheme="minorEastAsia" w:eastAsiaTheme="minorEastAsia"/>
        </w:rPr>
        <w:t>因发包人原因引起的暂停施工，发包人应承担由此增加的费用和（或）延误的工期，并支付承包人合理的利润。</w:t>
      </w:r>
    </w:p>
    <w:p>
      <w:pPr>
        <w:rPr>
          <w:rFonts w:asciiTheme="minorEastAsia" w:hAnsiTheme="minorEastAsia" w:eastAsiaTheme="minorEastAsia"/>
        </w:rPr>
      </w:pPr>
      <w:r>
        <w:rPr>
          <w:rFonts w:asciiTheme="minorEastAsia" w:hAnsiTheme="minorEastAsia" w:eastAsiaTheme="minorEastAsia"/>
        </w:rPr>
        <w:t>7.8.2 承包人原因引起的暂停施工</w:t>
      </w:r>
    </w:p>
    <w:p>
      <w:pPr>
        <w:rPr>
          <w:rFonts w:asciiTheme="minorEastAsia" w:hAnsiTheme="minorEastAsia" w:eastAsiaTheme="minorEastAsia"/>
        </w:rPr>
      </w:pPr>
      <w:r>
        <w:rPr>
          <w:rFonts w:asciiTheme="minorEastAsia" w:hAnsiTheme="minorEastAsia" w:eastAsiaTheme="minorEastAsia"/>
        </w:rPr>
        <w:t>因承包人原因引起的暂停施工，承包人应承担由此增加的费用和（或）延误的工期，且承包人在收到监理人复工指示后</w:t>
      </w:r>
      <w:r>
        <w:rPr>
          <w:rFonts w:hint="eastAsia" w:asciiTheme="minorEastAsia" w:hAnsiTheme="minorEastAsia" w:eastAsiaTheme="minorEastAsia"/>
        </w:rPr>
        <w:t>84</w:t>
      </w:r>
      <w:r>
        <w:rPr>
          <w:rFonts w:asciiTheme="minorEastAsia" w:hAnsiTheme="minorEastAsia" w:eastAsiaTheme="minorEastAsia"/>
        </w:rPr>
        <w:t>天内仍未复工的，视为第16.2.1项</w:t>
      </w:r>
      <w:r>
        <w:rPr>
          <w:rFonts w:hint="eastAsia" w:asciiTheme="minorEastAsia" w:hAnsiTheme="minorEastAsia" w:eastAsiaTheme="minorEastAsia"/>
        </w:rPr>
        <w:t>〔</w:t>
      </w:r>
      <w:r>
        <w:rPr>
          <w:rFonts w:asciiTheme="minorEastAsia" w:hAnsiTheme="minorEastAsia" w:eastAsiaTheme="minorEastAsia"/>
        </w:rPr>
        <w:t>承包人违约的情形</w:t>
      </w:r>
      <w:r>
        <w:rPr>
          <w:rFonts w:hint="eastAsia" w:asciiTheme="minorEastAsia" w:hAnsiTheme="minorEastAsia" w:eastAsiaTheme="minorEastAsia"/>
        </w:rPr>
        <w:t>〕</w:t>
      </w:r>
      <w:r>
        <w:rPr>
          <w:rFonts w:asciiTheme="minorEastAsia" w:hAnsiTheme="minorEastAsia" w:eastAsiaTheme="minorEastAsia"/>
        </w:rPr>
        <w:t>第（7）目约定的承包人无法继续履行合同的情形。</w:t>
      </w:r>
    </w:p>
    <w:p>
      <w:pPr>
        <w:rPr>
          <w:rFonts w:asciiTheme="minorEastAsia" w:hAnsiTheme="minorEastAsia" w:eastAsiaTheme="minorEastAsia"/>
        </w:rPr>
      </w:pPr>
      <w:r>
        <w:rPr>
          <w:rFonts w:asciiTheme="minorEastAsia" w:hAnsiTheme="minorEastAsia" w:eastAsiaTheme="minorEastAsia"/>
        </w:rPr>
        <w:t>7.8.3 指示暂停施工</w:t>
      </w:r>
    </w:p>
    <w:p>
      <w:pPr>
        <w:rPr>
          <w:rFonts w:asciiTheme="minorEastAsia" w:hAnsiTheme="minorEastAsia" w:eastAsiaTheme="minorEastAsia"/>
        </w:rPr>
      </w:pPr>
      <w:r>
        <w:rPr>
          <w:rFonts w:asciiTheme="minorEastAsia" w:hAnsiTheme="minorEastAsia" w:eastAsiaTheme="minorEastAsia"/>
        </w:rPr>
        <w:t>监理人认为有必要时，并经发包人批准后，可向承包人作出暂停施工的指示，承包人应按监理人指示暂停施工。</w:t>
      </w:r>
    </w:p>
    <w:p>
      <w:pPr>
        <w:rPr>
          <w:rFonts w:asciiTheme="minorEastAsia" w:hAnsiTheme="minorEastAsia" w:eastAsiaTheme="minorEastAsia"/>
        </w:rPr>
      </w:pPr>
      <w:r>
        <w:rPr>
          <w:rFonts w:asciiTheme="minorEastAsia" w:hAnsiTheme="minorEastAsia" w:eastAsiaTheme="minorEastAsia"/>
        </w:rPr>
        <w:t>7.8.4 紧急情况下的暂停施工</w:t>
      </w:r>
    </w:p>
    <w:p>
      <w:pPr>
        <w:rPr>
          <w:rFonts w:asciiTheme="minorEastAsia" w:hAnsiTheme="minorEastAsia" w:eastAsiaTheme="minorEastAsia"/>
        </w:rPr>
      </w:pPr>
      <w:r>
        <w:rPr>
          <w:rFonts w:asciiTheme="minorEastAsia" w:hAnsiTheme="minorEastAsia" w:eastAsiaTheme="minorEastAsia"/>
        </w:rPr>
        <w:t>因紧急情况需暂停施工，且监理人未及时下达暂停施工指示的，承包人可先暂停施工，并及时通知监理人。监理人应在接到通知后24小时内发出指示，逾期未发出指示，视为同意承包人暂停施工。监理人不同意承包人暂停施工的，应说明理由，承包人对监理人的答复有异议，按照第20条</w:t>
      </w:r>
      <w:r>
        <w:rPr>
          <w:rFonts w:hint="eastAsia" w:asciiTheme="minorEastAsia" w:hAnsiTheme="minorEastAsia" w:eastAsiaTheme="minorEastAsia"/>
        </w:rPr>
        <w:t>〔</w:t>
      </w:r>
      <w:r>
        <w:rPr>
          <w:rFonts w:asciiTheme="minorEastAsia" w:hAnsiTheme="minorEastAsia" w:eastAsiaTheme="minorEastAsia"/>
        </w:rPr>
        <w:t>争议解决</w:t>
      </w:r>
      <w:r>
        <w:rPr>
          <w:rFonts w:hint="eastAsia" w:asciiTheme="minorEastAsia" w:hAnsiTheme="minorEastAsia" w:eastAsiaTheme="minorEastAsia"/>
        </w:rPr>
        <w:t>〕</w:t>
      </w:r>
      <w:r>
        <w:rPr>
          <w:rFonts w:asciiTheme="minorEastAsia" w:hAnsiTheme="minorEastAsia" w:eastAsiaTheme="minorEastAsia"/>
        </w:rPr>
        <w:t>约定处理。</w:t>
      </w:r>
    </w:p>
    <w:p>
      <w:pPr>
        <w:rPr>
          <w:rFonts w:asciiTheme="minorEastAsia" w:hAnsiTheme="minorEastAsia" w:eastAsiaTheme="minorEastAsia"/>
        </w:rPr>
      </w:pPr>
      <w:r>
        <w:rPr>
          <w:rFonts w:asciiTheme="minorEastAsia" w:hAnsiTheme="minorEastAsia" w:eastAsiaTheme="minorEastAsia"/>
        </w:rPr>
        <w:t>7.8.5 暂停施工后的复工</w:t>
      </w:r>
    </w:p>
    <w:p>
      <w:pPr>
        <w:rPr>
          <w:rFonts w:asciiTheme="minorEastAsia" w:hAnsiTheme="minorEastAsia" w:eastAsiaTheme="minorEastAsia"/>
        </w:rPr>
      </w:pPr>
      <w:r>
        <w:rPr>
          <w:rFonts w:asciiTheme="minorEastAsia" w:hAnsiTheme="minorEastAsia" w:eastAsiaTheme="minorEastAsia"/>
        </w:rPr>
        <w:t>暂停施工后，发包人和承包人应采取有效措施积极消除暂停施工的影响。在工程复工前，监理人会同发包人和承包人确定因暂停施工造成的损失，并确定工程复工条件。当工程具备复工条件时，监理人应经发包人批准后向承包人发出复工通知，承包人应按照复工通知要求复工。</w:t>
      </w:r>
    </w:p>
    <w:p>
      <w:pPr>
        <w:rPr>
          <w:rFonts w:asciiTheme="minorEastAsia" w:hAnsiTheme="minorEastAsia" w:eastAsiaTheme="minorEastAsia"/>
        </w:rPr>
      </w:pPr>
      <w:r>
        <w:rPr>
          <w:rFonts w:asciiTheme="minorEastAsia" w:hAnsiTheme="minorEastAsia" w:eastAsiaTheme="minorEastAsia"/>
        </w:rPr>
        <w:t>承包人无故拖延和拒绝复工的，承包人承担由此增加的费用和（或）延误的工期；因发包人原因无法按时复工的，按照第7.5.1项</w:t>
      </w:r>
      <w:r>
        <w:rPr>
          <w:rFonts w:hint="eastAsia" w:asciiTheme="minorEastAsia" w:hAnsiTheme="minorEastAsia" w:eastAsiaTheme="minorEastAsia"/>
        </w:rPr>
        <w:t>〔</w:t>
      </w:r>
      <w:r>
        <w:rPr>
          <w:rFonts w:asciiTheme="minorEastAsia" w:hAnsiTheme="minorEastAsia" w:eastAsiaTheme="minorEastAsia"/>
        </w:rPr>
        <w:t>因发包人原因导致工期延误</w:t>
      </w:r>
      <w:r>
        <w:rPr>
          <w:rFonts w:hint="eastAsia" w:asciiTheme="minorEastAsia" w:hAnsiTheme="minorEastAsia" w:eastAsiaTheme="minorEastAsia"/>
        </w:rPr>
        <w:t>〕</w:t>
      </w:r>
      <w:r>
        <w:rPr>
          <w:rFonts w:asciiTheme="minorEastAsia" w:hAnsiTheme="minorEastAsia" w:eastAsiaTheme="minorEastAsia"/>
        </w:rPr>
        <w:t>约定办理。</w:t>
      </w:r>
    </w:p>
    <w:p>
      <w:pPr>
        <w:rPr>
          <w:rFonts w:asciiTheme="minorEastAsia" w:hAnsiTheme="minorEastAsia" w:eastAsiaTheme="minorEastAsia"/>
        </w:rPr>
      </w:pPr>
      <w:r>
        <w:rPr>
          <w:rFonts w:asciiTheme="minorEastAsia" w:hAnsiTheme="minorEastAsia" w:eastAsiaTheme="minorEastAsia"/>
        </w:rPr>
        <w:t>7.8.6 暂停施工持续56天以上</w:t>
      </w:r>
    </w:p>
    <w:p>
      <w:pPr>
        <w:rPr>
          <w:rFonts w:asciiTheme="minorEastAsia" w:hAnsiTheme="minorEastAsia" w:eastAsiaTheme="minorEastAsia"/>
        </w:rPr>
      </w:pPr>
      <w:r>
        <w:rPr>
          <w:rFonts w:asciiTheme="minorEastAsia" w:hAnsiTheme="minorEastAsia" w:eastAsiaTheme="minorEastAsia"/>
        </w:rPr>
        <w:t>监理人发出暂停施工指示后56天内未向承包人发出复工通知，除该项停工属于第7.8.2项</w:t>
      </w:r>
      <w:r>
        <w:rPr>
          <w:rFonts w:hint="eastAsia" w:asciiTheme="minorEastAsia" w:hAnsiTheme="minorEastAsia" w:eastAsiaTheme="minorEastAsia"/>
        </w:rPr>
        <w:t>〔</w:t>
      </w:r>
      <w:r>
        <w:rPr>
          <w:rFonts w:asciiTheme="minorEastAsia" w:hAnsiTheme="minorEastAsia" w:eastAsiaTheme="minorEastAsia"/>
        </w:rPr>
        <w:t>承包人原因引起的暂停施工</w:t>
      </w:r>
      <w:r>
        <w:rPr>
          <w:rFonts w:hint="eastAsia" w:asciiTheme="minorEastAsia" w:hAnsiTheme="minorEastAsia" w:eastAsiaTheme="minorEastAsia"/>
        </w:rPr>
        <w:t>〕</w:t>
      </w:r>
      <w:r>
        <w:rPr>
          <w:rFonts w:asciiTheme="minorEastAsia" w:hAnsiTheme="minorEastAsia" w:eastAsiaTheme="minorEastAsia"/>
        </w:rPr>
        <w:t>及第17条</w:t>
      </w:r>
      <w:r>
        <w:rPr>
          <w:rFonts w:hint="eastAsia" w:asciiTheme="minorEastAsia" w:hAnsiTheme="minorEastAsia" w:eastAsiaTheme="minorEastAsia"/>
        </w:rPr>
        <w:t>〔</w:t>
      </w:r>
      <w:r>
        <w:rPr>
          <w:rFonts w:asciiTheme="minorEastAsia" w:hAnsiTheme="minorEastAsia" w:eastAsiaTheme="minorEastAsia"/>
        </w:rPr>
        <w:t>不可抗力</w:t>
      </w:r>
      <w:r>
        <w:rPr>
          <w:rFonts w:hint="eastAsia" w:asciiTheme="minorEastAsia" w:hAnsiTheme="minorEastAsia" w:eastAsiaTheme="minorEastAsia"/>
        </w:rPr>
        <w:t>〕</w:t>
      </w:r>
      <w:r>
        <w:rPr>
          <w:rFonts w:asciiTheme="minorEastAsia" w:hAnsiTheme="minorEastAsia" w:eastAsiaTheme="minorEastAsia"/>
        </w:rPr>
        <w:t>约定的情形外，承包人可向发包人提交书面通知，要求发包人在收到书面通知后28天内准许已暂停施工的部分或全部工程继续施工。发包人逾期不予批准的，则承包人可以通知发包人，将工程受影响的部分视为按第10.1款</w:t>
      </w:r>
      <w:r>
        <w:rPr>
          <w:rFonts w:hint="eastAsia" w:asciiTheme="minorEastAsia" w:hAnsiTheme="minorEastAsia" w:eastAsiaTheme="minorEastAsia"/>
        </w:rPr>
        <w:t>〔</w:t>
      </w:r>
      <w:r>
        <w:rPr>
          <w:rFonts w:asciiTheme="minorEastAsia" w:hAnsiTheme="minorEastAsia" w:eastAsiaTheme="minorEastAsia"/>
        </w:rPr>
        <w:t>变更的范围</w:t>
      </w:r>
      <w:r>
        <w:rPr>
          <w:rFonts w:hint="eastAsia" w:asciiTheme="minorEastAsia" w:hAnsiTheme="minorEastAsia" w:eastAsiaTheme="minorEastAsia"/>
        </w:rPr>
        <w:t>〕</w:t>
      </w:r>
      <w:r>
        <w:rPr>
          <w:rFonts w:asciiTheme="minorEastAsia" w:hAnsiTheme="minorEastAsia" w:eastAsiaTheme="minorEastAsia"/>
        </w:rPr>
        <w:t>第（2）项的可取消工作。</w:t>
      </w:r>
    </w:p>
    <w:p>
      <w:pPr>
        <w:rPr>
          <w:rFonts w:asciiTheme="minorEastAsia" w:hAnsiTheme="minorEastAsia" w:eastAsiaTheme="minorEastAsia"/>
        </w:rPr>
      </w:pPr>
      <w:r>
        <w:rPr>
          <w:rFonts w:asciiTheme="minorEastAsia" w:hAnsiTheme="minorEastAsia" w:eastAsiaTheme="minorEastAsia"/>
        </w:rPr>
        <w:t>暂停施工持续</w:t>
      </w:r>
      <w:r>
        <w:rPr>
          <w:rFonts w:hint="eastAsia" w:asciiTheme="minorEastAsia" w:hAnsiTheme="minorEastAsia" w:eastAsiaTheme="minorEastAsia"/>
        </w:rPr>
        <w:t>84</w:t>
      </w:r>
      <w:r>
        <w:rPr>
          <w:rFonts w:asciiTheme="minorEastAsia" w:hAnsiTheme="minorEastAsia" w:eastAsiaTheme="minorEastAsia"/>
        </w:rPr>
        <w:t>天以上不复工的，且不属于第7.8.2项</w:t>
      </w:r>
      <w:r>
        <w:rPr>
          <w:rFonts w:hint="eastAsia" w:asciiTheme="minorEastAsia" w:hAnsiTheme="minorEastAsia" w:eastAsiaTheme="minorEastAsia"/>
        </w:rPr>
        <w:t>〔</w:t>
      </w:r>
      <w:r>
        <w:rPr>
          <w:rFonts w:asciiTheme="minorEastAsia" w:hAnsiTheme="minorEastAsia" w:eastAsiaTheme="minorEastAsia"/>
        </w:rPr>
        <w:t>承包人原因引起的暂停施工</w:t>
      </w:r>
      <w:r>
        <w:rPr>
          <w:rFonts w:hint="eastAsia" w:asciiTheme="minorEastAsia" w:hAnsiTheme="minorEastAsia" w:eastAsiaTheme="minorEastAsia"/>
        </w:rPr>
        <w:t>〕</w:t>
      </w:r>
      <w:r>
        <w:rPr>
          <w:rFonts w:asciiTheme="minorEastAsia" w:hAnsiTheme="minorEastAsia" w:eastAsiaTheme="minorEastAsia"/>
        </w:rPr>
        <w:t>及第17条</w:t>
      </w:r>
      <w:r>
        <w:rPr>
          <w:rFonts w:hint="eastAsia" w:asciiTheme="minorEastAsia" w:hAnsiTheme="minorEastAsia" w:eastAsiaTheme="minorEastAsia"/>
        </w:rPr>
        <w:t>〔</w:t>
      </w:r>
      <w:r>
        <w:rPr>
          <w:rFonts w:asciiTheme="minorEastAsia" w:hAnsiTheme="minorEastAsia" w:eastAsiaTheme="minorEastAsia"/>
        </w:rPr>
        <w:t>不可抗力</w:t>
      </w:r>
      <w:r>
        <w:rPr>
          <w:rFonts w:hint="eastAsia" w:asciiTheme="minorEastAsia" w:hAnsiTheme="minorEastAsia" w:eastAsiaTheme="minorEastAsia"/>
        </w:rPr>
        <w:t>〕</w:t>
      </w:r>
      <w:r>
        <w:rPr>
          <w:rFonts w:asciiTheme="minorEastAsia" w:hAnsiTheme="minorEastAsia" w:eastAsiaTheme="minorEastAsia"/>
        </w:rPr>
        <w:t>约定的情形，并影响到整个工程以及合同目的实现的，承包人有权提出价格调整要求，或者解除合同。解除合同的，按照第16.1.3项</w:t>
      </w:r>
      <w:r>
        <w:rPr>
          <w:rFonts w:hint="eastAsia" w:asciiTheme="minorEastAsia" w:hAnsiTheme="minorEastAsia" w:eastAsiaTheme="minorEastAsia"/>
        </w:rPr>
        <w:t>〔</w:t>
      </w:r>
      <w:r>
        <w:rPr>
          <w:rFonts w:asciiTheme="minorEastAsia" w:hAnsiTheme="minorEastAsia" w:eastAsiaTheme="minorEastAsia"/>
        </w:rPr>
        <w:t>因发包人违约解除合同</w:t>
      </w:r>
      <w:r>
        <w:rPr>
          <w:rFonts w:hint="eastAsia" w:asciiTheme="minorEastAsia" w:hAnsiTheme="minorEastAsia" w:eastAsiaTheme="minorEastAsia"/>
        </w:rPr>
        <w:t>〕</w:t>
      </w:r>
      <w:r>
        <w:rPr>
          <w:rFonts w:asciiTheme="minorEastAsia" w:hAnsiTheme="minorEastAsia" w:eastAsiaTheme="minorEastAsia"/>
        </w:rPr>
        <w:t>执行。</w:t>
      </w:r>
    </w:p>
    <w:p>
      <w:pPr>
        <w:rPr>
          <w:rFonts w:asciiTheme="minorEastAsia" w:hAnsiTheme="minorEastAsia" w:eastAsiaTheme="minorEastAsia"/>
        </w:rPr>
      </w:pPr>
      <w:r>
        <w:rPr>
          <w:rFonts w:asciiTheme="minorEastAsia" w:hAnsiTheme="minorEastAsia" w:eastAsiaTheme="minorEastAsia"/>
        </w:rPr>
        <w:t>7.8.7 暂停施工期间的工程照管</w:t>
      </w:r>
    </w:p>
    <w:p>
      <w:pPr>
        <w:rPr>
          <w:rFonts w:asciiTheme="minorEastAsia" w:hAnsiTheme="minorEastAsia" w:eastAsiaTheme="minorEastAsia"/>
        </w:rPr>
      </w:pPr>
      <w:r>
        <w:rPr>
          <w:rFonts w:asciiTheme="minorEastAsia" w:hAnsiTheme="minorEastAsia" w:eastAsiaTheme="minorEastAsia"/>
        </w:rPr>
        <w:t>暂停施工期间，承包人应负责妥善照管工程并提供安全保障，由此增加的费用由责任方承担。</w:t>
      </w:r>
    </w:p>
    <w:p>
      <w:pPr>
        <w:rPr>
          <w:rFonts w:asciiTheme="minorEastAsia" w:hAnsiTheme="minorEastAsia" w:eastAsiaTheme="minorEastAsia"/>
        </w:rPr>
      </w:pPr>
      <w:r>
        <w:rPr>
          <w:rFonts w:asciiTheme="minorEastAsia" w:hAnsiTheme="minorEastAsia" w:eastAsiaTheme="minorEastAsia"/>
        </w:rPr>
        <w:t>7.8.8 暂停施工的措施</w:t>
      </w:r>
    </w:p>
    <w:p>
      <w:pPr>
        <w:rPr>
          <w:rFonts w:asciiTheme="minorEastAsia" w:hAnsiTheme="minorEastAsia" w:eastAsiaTheme="minorEastAsia"/>
        </w:rPr>
      </w:pPr>
      <w:r>
        <w:rPr>
          <w:rFonts w:asciiTheme="minorEastAsia" w:hAnsiTheme="minorEastAsia" w:eastAsiaTheme="minorEastAsia"/>
        </w:rPr>
        <w:t>暂停施工期间，发包人和承包人均应采取必要的措施确保工程质量及安全，防止因暂停施工扩大损失。</w:t>
      </w:r>
    </w:p>
    <w:p>
      <w:pPr>
        <w:rPr>
          <w:rFonts w:asciiTheme="minorEastAsia" w:hAnsiTheme="minorEastAsia" w:eastAsiaTheme="minorEastAsia"/>
          <w:bCs/>
        </w:rPr>
      </w:pPr>
      <w:bookmarkStart w:id="336" w:name="_Toc351203551"/>
      <w:r>
        <w:rPr>
          <w:rFonts w:asciiTheme="minorEastAsia" w:hAnsiTheme="minorEastAsia" w:eastAsiaTheme="minorEastAsia"/>
          <w:bCs/>
        </w:rPr>
        <w:t>7.9提前竣工</w:t>
      </w:r>
      <w:bookmarkEnd w:id="336"/>
    </w:p>
    <w:p>
      <w:pPr>
        <w:rPr>
          <w:rFonts w:asciiTheme="minorEastAsia" w:hAnsiTheme="minorEastAsia" w:eastAsiaTheme="minorEastAsia"/>
        </w:rPr>
      </w:pPr>
      <w:r>
        <w:rPr>
          <w:rFonts w:asciiTheme="minorEastAsia" w:hAnsiTheme="minorEastAsia" w:eastAsiaTheme="minorEastAsia"/>
        </w:rPr>
        <w:t>7.9.1 发包人要求承包人提前竣工的，发包人应通过监理人向承包人下达提前竣工指示，承包人应向发包人和监理人提交提前竣工建议书，提前竣工建议书应包括实施的方案、缩短的时间、增加的合同价格等内容。发包人接受该提前竣工建议书的，监理人应与发包人和承包人协商采取加快工程进度的措施，并修订施工进度计划，由此增加的费用由发包人承担。</w:t>
      </w:r>
      <w:r>
        <w:rPr>
          <w:rFonts w:hint="eastAsia" w:asciiTheme="minorEastAsia" w:hAnsiTheme="minorEastAsia" w:eastAsiaTheme="minorEastAsia"/>
        </w:rPr>
        <w:t>承包人认为提前竣工指示无法执行的，应向监理人和发包人提出书面异议，发包人和监理人应在收到异议后7天内予以答复。任何情况下，发包人不得压缩合理工期。</w:t>
      </w:r>
    </w:p>
    <w:p>
      <w:pPr>
        <w:rPr>
          <w:rFonts w:asciiTheme="minorEastAsia" w:hAnsiTheme="minorEastAsia" w:eastAsiaTheme="minorEastAsia"/>
        </w:rPr>
      </w:pPr>
      <w:r>
        <w:rPr>
          <w:rFonts w:asciiTheme="minorEastAsia" w:hAnsiTheme="minorEastAsia" w:eastAsiaTheme="minorEastAsia"/>
        </w:rPr>
        <w:t>7.9.2 发包人要求承包人提前竣工，或承包人提出提前竣工的建议能够给发包人带来效益的，合同当事人可以在专用合同条款中约定提前竣工的奖励。</w:t>
      </w:r>
    </w:p>
    <w:p>
      <w:pPr>
        <w:rPr>
          <w:rFonts w:asciiTheme="minorEastAsia" w:hAnsiTheme="minorEastAsia" w:eastAsiaTheme="minorEastAsia"/>
          <w:bCs/>
        </w:rPr>
      </w:pPr>
      <w:bookmarkStart w:id="337" w:name="_Toc351203552"/>
      <w:r>
        <w:rPr>
          <w:rFonts w:asciiTheme="minorEastAsia" w:hAnsiTheme="minorEastAsia" w:eastAsiaTheme="minorEastAsia"/>
          <w:bCs/>
        </w:rPr>
        <w:t>8</w:t>
      </w:r>
      <w:bookmarkStart w:id="338" w:name="_Toc337558776"/>
      <w:bookmarkStart w:id="339" w:name="_Toc296346559"/>
      <w:bookmarkStart w:id="340" w:name="_Toc296503058"/>
      <w:r>
        <w:rPr>
          <w:rFonts w:asciiTheme="minorEastAsia" w:hAnsiTheme="minorEastAsia" w:eastAsiaTheme="minorEastAsia"/>
          <w:bCs/>
        </w:rPr>
        <w:t>. 材料与设备</w:t>
      </w:r>
      <w:bookmarkEnd w:id="337"/>
    </w:p>
    <w:bookmarkEnd w:id="338"/>
    <w:bookmarkEnd w:id="339"/>
    <w:bookmarkEnd w:id="340"/>
    <w:p>
      <w:pPr>
        <w:rPr>
          <w:rFonts w:asciiTheme="minorEastAsia" w:hAnsiTheme="minorEastAsia" w:eastAsiaTheme="minorEastAsia"/>
          <w:bCs/>
        </w:rPr>
      </w:pPr>
      <w:bookmarkStart w:id="341" w:name="_Toc351203553"/>
      <w:r>
        <w:rPr>
          <w:rFonts w:asciiTheme="minorEastAsia" w:hAnsiTheme="minorEastAsia" w:eastAsiaTheme="minorEastAsia"/>
          <w:bCs/>
        </w:rPr>
        <w:t>8</w:t>
      </w:r>
      <w:bookmarkStart w:id="342" w:name="_Toc296346560"/>
      <w:bookmarkStart w:id="343" w:name="_Toc337558777"/>
      <w:bookmarkStart w:id="344" w:name="_Toc296503059"/>
      <w:bookmarkStart w:id="345" w:name="_Toc468936960"/>
      <w:r>
        <w:rPr>
          <w:rFonts w:asciiTheme="minorEastAsia" w:hAnsiTheme="minorEastAsia" w:eastAsiaTheme="minorEastAsia"/>
          <w:bCs/>
        </w:rPr>
        <w:t>.1发包人供应材料与工程设备</w:t>
      </w:r>
      <w:bookmarkEnd w:id="341"/>
    </w:p>
    <w:bookmarkEnd w:id="342"/>
    <w:bookmarkEnd w:id="343"/>
    <w:bookmarkEnd w:id="344"/>
    <w:p>
      <w:pPr>
        <w:rPr>
          <w:rFonts w:asciiTheme="minorEastAsia" w:hAnsiTheme="minorEastAsia" w:eastAsiaTheme="minorEastAsia"/>
        </w:rPr>
      </w:pPr>
      <w:r>
        <w:rPr>
          <w:rFonts w:asciiTheme="minorEastAsia" w:hAnsiTheme="minorEastAsia" w:eastAsiaTheme="minorEastAsia"/>
        </w:rPr>
        <w:t>发包人自行供应材料、工程设备的，应在签订合同时在专用合同条款的附件《发包人供应材料设备一览表》中明确材料、工程设备的品种、规格、型号、数量、单价、质量等级和送达地点。</w:t>
      </w:r>
    </w:p>
    <w:p>
      <w:pPr>
        <w:rPr>
          <w:rFonts w:asciiTheme="minorEastAsia" w:hAnsiTheme="minorEastAsia" w:eastAsiaTheme="minorEastAsia"/>
        </w:rPr>
      </w:pPr>
      <w:r>
        <w:rPr>
          <w:rFonts w:asciiTheme="minorEastAsia" w:hAnsiTheme="minorEastAsia" w:eastAsiaTheme="minorEastAsia"/>
        </w:rPr>
        <w:t>承包人应提前30天通过监理人以书面形式通知发包人供应材料与工程设备进场。承包人按照第7.2.2项</w:t>
      </w:r>
      <w:r>
        <w:rPr>
          <w:rFonts w:hint="eastAsia" w:asciiTheme="minorEastAsia" w:hAnsiTheme="minorEastAsia" w:eastAsiaTheme="minorEastAsia"/>
        </w:rPr>
        <w:t>〔</w:t>
      </w:r>
      <w:r>
        <w:rPr>
          <w:rFonts w:asciiTheme="minorEastAsia" w:hAnsiTheme="minorEastAsia" w:eastAsiaTheme="minorEastAsia"/>
        </w:rPr>
        <w:t>施工进度计划的修订</w:t>
      </w:r>
      <w:r>
        <w:rPr>
          <w:rFonts w:hint="eastAsia" w:asciiTheme="minorEastAsia" w:hAnsiTheme="minorEastAsia" w:eastAsiaTheme="minorEastAsia"/>
        </w:rPr>
        <w:t>〕</w:t>
      </w:r>
      <w:r>
        <w:rPr>
          <w:rFonts w:asciiTheme="minorEastAsia" w:hAnsiTheme="minorEastAsia" w:eastAsiaTheme="minorEastAsia"/>
        </w:rPr>
        <w:t>约定修订施工进度计划时，需同时提交经修订后的发包人供应材料与工程设备的进场计划。</w:t>
      </w:r>
    </w:p>
    <w:p>
      <w:pPr>
        <w:rPr>
          <w:rFonts w:asciiTheme="minorEastAsia" w:hAnsiTheme="minorEastAsia" w:eastAsiaTheme="minorEastAsia"/>
          <w:b/>
          <w:bCs/>
        </w:rPr>
      </w:pPr>
      <w:bookmarkStart w:id="346" w:name="_Toc351203554"/>
      <w:r>
        <w:rPr>
          <w:rFonts w:asciiTheme="minorEastAsia" w:hAnsiTheme="minorEastAsia" w:eastAsiaTheme="minorEastAsia"/>
          <w:bCs/>
        </w:rPr>
        <w:t>8</w:t>
      </w:r>
      <w:bookmarkStart w:id="347" w:name="_Toc337558778"/>
      <w:bookmarkStart w:id="348" w:name="_Toc296346561"/>
      <w:bookmarkStart w:id="349" w:name="_Toc296503060"/>
      <w:r>
        <w:rPr>
          <w:rFonts w:asciiTheme="minorEastAsia" w:hAnsiTheme="minorEastAsia" w:eastAsiaTheme="minorEastAsia"/>
          <w:bCs/>
        </w:rPr>
        <w:t>.2承包人采购材料与工程设备</w:t>
      </w:r>
      <w:bookmarkEnd w:id="346"/>
    </w:p>
    <w:bookmarkEnd w:id="347"/>
    <w:bookmarkEnd w:id="348"/>
    <w:bookmarkEnd w:id="349"/>
    <w:p>
      <w:pPr>
        <w:rPr>
          <w:rFonts w:asciiTheme="minorEastAsia" w:hAnsiTheme="minorEastAsia" w:eastAsiaTheme="minorEastAsia"/>
        </w:rPr>
      </w:pPr>
      <w:r>
        <w:rPr>
          <w:rFonts w:asciiTheme="minorEastAsia" w:hAnsiTheme="minorEastAsia" w:eastAsiaTheme="minorEastAsia"/>
        </w:rPr>
        <w:t>承包人负责采购材料、工程设备的，应按照设计和有关标准要求采购，并提供产品合格证明及出厂证明，对材料、工程设备质量负责。合同约定由承包人采购的材料、工程设备，发包人不得指定生产厂家或供应商，发包人违反本款约定指定生产厂家或供应商的，承包人有权拒绝，并由发包人承担</w:t>
      </w:r>
      <w:r>
        <w:rPr>
          <w:rFonts w:hint="eastAsia" w:asciiTheme="minorEastAsia" w:hAnsiTheme="minorEastAsia" w:eastAsiaTheme="minorEastAsia"/>
        </w:rPr>
        <w:t>相应责任</w:t>
      </w:r>
      <w:r>
        <w:rPr>
          <w:rFonts w:asciiTheme="minorEastAsia" w:hAnsiTheme="minorEastAsia" w:eastAsiaTheme="minorEastAsia"/>
        </w:rPr>
        <w:t>。</w:t>
      </w:r>
    </w:p>
    <w:p>
      <w:pPr>
        <w:rPr>
          <w:rFonts w:asciiTheme="minorEastAsia" w:hAnsiTheme="minorEastAsia" w:eastAsiaTheme="minorEastAsia"/>
          <w:bCs/>
        </w:rPr>
      </w:pPr>
      <w:bookmarkStart w:id="350" w:name="_Toc351203555"/>
      <w:r>
        <w:rPr>
          <w:rFonts w:asciiTheme="minorEastAsia" w:hAnsiTheme="minorEastAsia" w:eastAsiaTheme="minorEastAsia"/>
          <w:bCs/>
        </w:rPr>
        <w:t>8</w:t>
      </w:r>
      <w:bookmarkStart w:id="351" w:name="_Toc296346562"/>
      <w:bookmarkStart w:id="352" w:name="_Toc337558779"/>
      <w:bookmarkStart w:id="353" w:name="_Toc296503061"/>
      <w:r>
        <w:rPr>
          <w:rFonts w:asciiTheme="minorEastAsia" w:hAnsiTheme="minorEastAsia" w:eastAsiaTheme="minorEastAsia"/>
          <w:bCs/>
        </w:rPr>
        <w:t>.3材料与工程设备的接收与拒收</w:t>
      </w:r>
      <w:bookmarkEnd w:id="350"/>
    </w:p>
    <w:bookmarkEnd w:id="351"/>
    <w:bookmarkEnd w:id="352"/>
    <w:bookmarkEnd w:id="353"/>
    <w:p>
      <w:pPr>
        <w:rPr>
          <w:rFonts w:asciiTheme="minorEastAsia" w:hAnsiTheme="minorEastAsia" w:eastAsiaTheme="minorEastAsia"/>
        </w:rPr>
      </w:pPr>
      <w:r>
        <w:rPr>
          <w:rFonts w:asciiTheme="minorEastAsia" w:hAnsiTheme="minorEastAsia" w:eastAsiaTheme="minorEastAsia"/>
        </w:rPr>
        <w:t>8.3.1 发包人应按《发包人供应材料设备一览表》约定的内容提供材料和工程设备，并向承包人提供产品合格证明及出厂证明，对其质量负责。发包人应提前24小时以书面形式通知承包人、监理人材料和工程设备到货时间，承包人负责材料和工程设备的清点、检验和接收。</w:t>
      </w:r>
    </w:p>
    <w:p>
      <w:pPr>
        <w:rPr>
          <w:rFonts w:asciiTheme="minorEastAsia" w:hAnsiTheme="minorEastAsia" w:eastAsiaTheme="minorEastAsia"/>
        </w:rPr>
      </w:pPr>
      <w:r>
        <w:rPr>
          <w:rFonts w:asciiTheme="minorEastAsia" w:hAnsiTheme="minorEastAsia" w:eastAsiaTheme="minorEastAsia"/>
        </w:rPr>
        <w:t>发包人提供的材料和工程设备的规格、数量或质量不符合合同约定的，或因发包人原因导致交货日期延误或交货地点变更等情况的，按照第16.1款</w:t>
      </w:r>
      <w:r>
        <w:rPr>
          <w:rFonts w:hint="eastAsia" w:asciiTheme="minorEastAsia" w:hAnsiTheme="minorEastAsia" w:eastAsiaTheme="minorEastAsia"/>
        </w:rPr>
        <w:t>〔</w:t>
      </w:r>
      <w:r>
        <w:rPr>
          <w:rFonts w:asciiTheme="minorEastAsia" w:hAnsiTheme="minorEastAsia" w:eastAsiaTheme="minorEastAsia"/>
        </w:rPr>
        <w:t>发包人违约</w:t>
      </w:r>
      <w:r>
        <w:rPr>
          <w:rFonts w:hint="eastAsia" w:asciiTheme="minorEastAsia" w:hAnsiTheme="minorEastAsia" w:eastAsiaTheme="minorEastAsia"/>
        </w:rPr>
        <w:t>〕</w:t>
      </w:r>
      <w:r>
        <w:rPr>
          <w:rFonts w:asciiTheme="minorEastAsia" w:hAnsiTheme="minorEastAsia" w:eastAsiaTheme="minorEastAsia"/>
        </w:rPr>
        <w:t>约定办理。</w:t>
      </w:r>
    </w:p>
    <w:p>
      <w:pPr>
        <w:rPr>
          <w:rFonts w:asciiTheme="minorEastAsia" w:hAnsiTheme="minorEastAsia" w:eastAsiaTheme="minorEastAsia"/>
        </w:rPr>
      </w:pPr>
      <w:r>
        <w:rPr>
          <w:rFonts w:asciiTheme="minorEastAsia" w:hAnsiTheme="minorEastAsia" w:eastAsiaTheme="minorEastAsia"/>
        </w:rPr>
        <w:t>8.3.2 承包人采购的材料和工程设备，应保证产品质量合格，承包人应在材料和工程设备到货前24小时通知监理人检验。承</w:t>
      </w:r>
      <w:bookmarkStart w:id="354" w:name="_Toc250655469"/>
      <w:r>
        <w:rPr>
          <w:rFonts w:asciiTheme="minorEastAsia" w:hAnsiTheme="minorEastAsia" w:eastAsiaTheme="minorEastAsia"/>
        </w:rPr>
        <w:t>包人进行永久设备、材料的制造和生产的，应符合相关质量标准，并向监理人提交材料的样本以及有关资料，并应在使用该材料或工程设备之前获得监理人同意。</w:t>
      </w:r>
    </w:p>
    <w:bookmarkEnd w:id="354"/>
    <w:p>
      <w:pPr>
        <w:rPr>
          <w:rFonts w:asciiTheme="minorEastAsia" w:hAnsiTheme="minorEastAsia" w:eastAsiaTheme="minorEastAsia"/>
        </w:rPr>
      </w:pPr>
      <w:r>
        <w:rPr>
          <w:rFonts w:asciiTheme="minorEastAsia" w:hAnsiTheme="minorEastAsia" w:eastAsiaTheme="minorEastAsia"/>
        </w:rPr>
        <w:t xml:space="preserve"> 承包人采购的材料和工程设备不符合设计或有关标准要求时，承包人应在监理人要求的合理期限内将不符合设计或有关标准要求的材料、工程设备运出施工现场，并重新采购符合要求的材料、工程设备，由此增加的费用和（或）延误的工期，由承包人承担。</w:t>
      </w:r>
    </w:p>
    <w:p>
      <w:pPr>
        <w:rPr>
          <w:rFonts w:asciiTheme="minorEastAsia" w:hAnsiTheme="minorEastAsia" w:eastAsiaTheme="minorEastAsia"/>
          <w:bCs/>
        </w:rPr>
      </w:pPr>
      <w:bookmarkStart w:id="355" w:name="_Toc351203556"/>
      <w:r>
        <w:rPr>
          <w:rFonts w:asciiTheme="minorEastAsia" w:hAnsiTheme="minorEastAsia" w:eastAsiaTheme="minorEastAsia"/>
          <w:bCs/>
        </w:rPr>
        <w:t>8</w:t>
      </w:r>
      <w:bookmarkStart w:id="356" w:name="_Toc296346563"/>
      <w:bookmarkStart w:id="357" w:name="_Toc337558780"/>
      <w:bookmarkStart w:id="358" w:name="_Toc296503062"/>
      <w:r>
        <w:rPr>
          <w:rFonts w:asciiTheme="minorEastAsia" w:hAnsiTheme="minorEastAsia" w:eastAsiaTheme="minorEastAsia"/>
          <w:bCs/>
        </w:rPr>
        <w:t>.4材料与工程设备的保管与使用</w:t>
      </w:r>
      <w:bookmarkEnd w:id="355"/>
    </w:p>
    <w:bookmarkEnd w:id="356"/>
    <w:bookmarkEnd w:id="357"/>
    <w:bookmarkEnd w:id="358"/>
    <w:p>
      <w:pPr>
        <w:rPr>
          <w:rFonts w:asciiTheme="minorEastAsia" w:hAnsiTheme="minorEastAsia" w:eastAsiaTheme="minorEastAsia"/>
        </w:rPr>
      </w:pPr>
      <w:r>
        <w:rPr>
          <w:rFonts w:asciiTheme="minorEastAsia" w:hAnsiTheme="minorEastAsia" w:eastAsiaTheme="minorEastAsia"/>
        </w:rPr>
        <w:t>8.4.1 发包人供应材料与工程设备的保管与使用</w:t>
      </w:r>
    </w:p>
    <w:p>
      <w:pPr>
        <w:rPr>
          <w:rFonts w:asciiTheme="minorEastAsia" w:hAnsiTheme="minorEastAsia" w:eastAsiaTheme="minorEastAsia"/>
        </w:rPr>
      </w:pPr>
      <w:r>
        <w:rPr>
          <w:rFonts w:asciiTheme="minorEastAsia" w:hAnsiTheme="minorEastAsia" w:eastAsiaTheme="minorEastAsia"/>
        </w:rPr>
        <w:t>发包人供应的材料和工程设备，承包人清点后由承包人妥善保管，保管费用由发包人承担，但已标价工程量清单或预算书已经列支或专用合同条款另有约定除外。因承包人原因发生丢失毁损的，由承包人负责赔偿；监理人未通知承包人清点的，承包人不负责材料和工程设备的保管，由此导致丢失毁损的由发包人负责。</w:t>
      </w:r>
    </w:p>
    <w:p>
      <w:pPr>
        <w:rPr>
          <w:rFonts w:asciiTheme="minorEastAsia" w:hAnsiTheme="minorEastAsia" w:eastAsiaTheme="minorEastAsia"/>
        </w:rPr>
      </w:pPr>
      <w:r>
        <w:rPr>
          <w:rFonts w:asciiTheme="minorEastAsia" w:hAnsiTheme="minorEastAsia" w:eastAsiaTheme="minorEastAsia"/>
        </w:rPr>
        <w:t>发包人供应的材料和工程设备使用前，由承包人负责检验，检验费用由发包人承担，不合格的不得使用。</w:t>
      </w:r>
    </w:p>
    <w:p>
      <w:pPr>
        <w:rPr>
          <w:rFonts w:asciiTheme="minorEastAsia" w:hAnsiTheme="minorEastAsia" w:eastAsiaTheme="minorEastAsia"/>
        </w:rPr>
      </w:pPr>
      <w:r>
        <w:rPr>
          <w:rFonts w:asciiTheme="minorEastAsia" w:hAnsiTheme="minorEastAsia" w:eastAsiaTheme="minorEastAsia"/>
        </w:rPr>
        <w:t>8.4.2 承包人采购材料与工程设备的保管与使用</w:t>
      </w:r>
    </w:p>
    <w:p>
      <w:pPr>
        <w:rPr>
          <w:rFonts w:asciiTheme="minorEastAsia" w:hAnsiTheme="minorEastAsia" w:eastAsiaTheme="minorEastAsia"/>
        </w:rPr>
      </w:pPr>
      <w:r>
        <w:rPr>
          <w:rFonts w:asciiTheme="minorEastAsia" w:hAnsiTheme="minorEastAsia" w:eastAsiaTheme="minorEastAsia"/>
        </w:rPr>
        <w:t>承包人采购的材料和工程设备由承包人妥善保管，保管费用由承包人承担。法律规定材料和工程设备使用前必须进行检验或试验的，承包人应按监理人的要求进行检验或试验，检验或试验费用由承包人承担，不合格的不得使用。</w:t>
      </w:r>
    </w:p>
    <w:p>
      <w:pPr>
        <w:rPr>
          <w:rFonts w:asciiTheme="minorEastAsia" w:hAnsiTheme="minorEastAsia" w:eastAsiaTheme="minorEastAsia"/>
        </w:rPr>
      </w:pPr>
      <w:r>
        <w:rPr>
          <w:rFonts w:asciiTheme="minorEastAsia" w:hAnsiTheme="minorEastAsia" w:eastAsiaTheme="minorEastAsia"/>
        </w:rPr>
        <w:t>发包人或监理人发现承包人使用不符合设计或有关标准要求的材料和工程设备时，有权要求承包人进行修复、拆除或重新采购，由此增加的费用和（或）延误的工期，由承包人承担。</w:t>
      </w:r>
    </w:p>
    <w:p>
      <w:pPr>
        <w:rPr>
          <w:rFonts w:asciiTheme="minorEastAsia" w:hAnsiTheme="minorEastAsia" w:eastAsiaTheme="minorEastAsia"/>
          <w:bCs/>
        </w:rPr>
      </w:pPr>
      <w:bookmarkStart w:id="359" w:name="_Toc351203557"/>
      <w:r>
        <w:rPr>
          <w:rFonts w:asciiTheme="minorEastAsia" w:hAnsiTheme="minorEastAsia" w:eastAsiaTheme="minorEastAsia"/>
          <w:bCs/>
        </w:rPr>
        <w:t>8.5禁止使用不合格的材料和工程设备</w:t>
      </w:r>
      <w:bookmarkEnd w:id="359"/>
    </w:p>
    <w:p>
      <w:pPr>
        <w:rPr>
          <w:rFonts w:asciiTheme="minorEastAsia" w:hAnsiTheme="minorEastAsia" w:eastAsiaTheme="minorEastAsia"/>
        </w:rPr>
      </w:pPr>
      <w:r>
        <w:rPr>
          <w:rFonts w:asciiTheme="minorEastAsia" w:hAnsiTheme="minorEastAsia" w:eastAsiaTheme="minorEastAsia"/>
        </w:rPr>
        <w:t>8.5.1 监理人有权拒绝承包人提供的不合格材料或工程设备，并要求承包人立即进行更换。监理人应在更换后再次进行检查和检验，由此增加的费用和（或）延误的工期由承包人承担。</w:t>
      </w:r>
    </w:p>
    <w:p>
      <w:pPr>
        <w:rPr>
          <w:rFonts w:asciiTheme="minorEastAsia" w:hAnsiTheme="minorEastAsia" w:eastAsiaTheme="minorEastAsia"/>
        </w:rPr>
      </w:pPr>
      <w:r>
        <w:rPr>
          <w:rFonts w:asciiTheme="minorEastAsia" w:hAnsiTheme="minorEastAsia" w:eastAsiaTheme="minorEastAsia"/>
        </w:rPr>
        <w:t>8.5.2 监理人发现承包人使用了不合格的材料和工程设备，承包人应按照监理人的指示立即改正，并禁止在工程中继续使用不合格的材料和工程设备。</w:t>
      </w:r>
    </w:p>
    <w:p>
      <w:pPr>
        <w:rPr>
          <w:rFonts w:asciiTheme="minorEastAsia" w:hAnsiTheme="minorEastAsia" w:eastAsiaTheme="minorEastAsia"/>
        </w:rPr>
      </w:pPr>
      <w:r>
        <w:rPr>
          <w:rFonts w:asciiTheme="minorEastAsia" w:hAnsiTheme="minorEastAsia" w:eastAsiaTheme="minorEastAsia"/>
        </w:rPr>
        <w:t>8.5.3 发包人提供的材料或工程设备不符合合同要求的，承包人有权拒绝，并可要求发包人更换，由此增加的费用和（或）延误的工期由发包人承担</w:t>
      </w:r>
      <w:r>
        <w:rPr>
          <w:rFonts w:hint="eastAsia" w:asciiTheme="minorEastAsia" w:hAnsiTheme="minorEastAsia" w:eastAsiaTheme="minorEastAsia"/>
        </w:rPr>
        <w:t>，并支付承包人合理的利润</w:t>
      </w:r>
      <w:r>
        <w:rPr>
          <w:rFonts w:asciiTheme="minorEastAsia" w:hAnsiTheme="minorEastAsia" w:eastAsiaTheme="minorEastAsia"/>
        </w:rPr>
        <w:t>。</w:t>
      </w:r>
    </w:p>
    <w:p>
      <w:pPr>
        <w:rPr>
          <w:rFonts w:asciiTheme="minorEastAsia" w:hAnsiTheme="minorEastAsia" w:eastAsiaTheme="minorEastAsia"/>
          <w:bCs/>
        </w:rPr>
      </w:pPr>
      <w:bookmarkStart w:id="360" w:name="_Toc351203558"/>
      <w:r>
        <w:rPr>
          <w:rFonts w:asciiTheme="minorEastAsia" w:hAnsiTheme="minorEastAsia" w:eastAsiaTheme="minorEastAsia"/>
          <w:bCs/>
        </w:rPr>
        <w:t>8.6 样品</w:t>
      </w:r>
      <w:bookmarkEnd w:id="360"/>
    </w:p>
    <w:p>
      <w:pPr>
        <w:rPr>
          <w:rFonts w:asciiTheme="minorEastAsia" w:hAnsiTheme="minorEastAsia" w:eastAsiaTheme="minorEastAsia"/>
        </w:rPr>
      </w:pPr>
      <w:r>
        <w:rPr>
          <w:rFonts w:asciiTheme="minorEastAsia" w:hAnsiTheme="minorEastAsia" w:eastAsiaTheme="minorEastAsia"/>
        </w:rPr>
        <w:t>8.6.1</w:t>
      </w:r>
      <w:r>
        <w:rPr>
          <w:rFonts w:asciiTheme="minorEastAsia" w:hAnsiTheme="minorEastAsia" w:eastAsiaTheme="minorEastAsia"/>
        </w:rPr>
        <w:tab/>
      </w:r>
      <w:r>
        <w:rPr>
          <w:rFonts w:asciiTheme="minorEastAsia" w:hAnsiTheme="minorEastAsia" w:eastAsiaTheme="minorEastAsia"/>
        </w:rPr>
        <w:t>样品的报送</w:t>
      </w:r>
      <w:r>
        <w:rPr>
          <w:rFonts w:hint="eastAsia" w:asciiTheme="minorEastAsia" w:hAnsiTheme="minorEastAsia" w:eastAsiaTheme="minorEastAsia"/>
        </w:rPr>
        <w:t>与封存</w:t>
      </w:r>
    </w:p>
    <w:p>
      <w:pPr>
        <w:rPr>
          <w:rFonts w:asciiTheme="minorEastAsia" w:hAnsiTheme="minorEastAsia" w:eastAsiaTheme="minorEastAsia"/>
        </w:rPr>
      </w:pPr>
      <w:r>
        <w:rPr>
          <w:rFonts w:asciiTheme="minorEastAsia" w:hAnsiTheme="minorEastAsia" w:eastAsiaTheme="minorEastAsia"/>
        </w:rPr>
        <w:t>需要承包人报送样品的材料或工程设备，样品的种类、名称、规格、数量等要求均应在专用合同条款中约定。样品的报送程序如下：</w:t>
      </w:r>
    </w:p>
    <w:p>
      <w:pPr>
        <w:rPr>
          <w:rFonts w:asciiTheme="minorEastAsia" w:hAnsiTheme="minorEastAsia" w:eastAsiaTheme="minorEastAsia"/>
        </w:rPr>
      </w:pPr>
      <w:r>
        <w:rPr>
          <w:rFonts w:asciiTheme="minorEastAsia" w:hAnsiTheme="minorEastAsia" w:eastAsiaTheme="minorEastAsia"/>
        </w:rPr>
        <w:t>（1）承包人应在计划采购前28天向监理人报送样品。承包人报送的样品均应来自供应材料的实际生产地，且提供的样品的规格、数量足以表明材料或工程设备的质量、型号、颜色、表面处理、质地、误差和其他要求的特征。</w:t>
      </w:r>
    </w:p>
    <w:p>
      <w:pPr>
        <w:rPr>
          <w:rFonts w:asciiTheme="minorEastAsia" w:hAnsiTheme="minorEastAsia" w:eastAsiaTheme="minorEastAsia"/>
        </w:rPr>
      </w:pPr>
      <w:r>
        <w:rPr>
          <w:rFonts w:asciiTheme="minorEastAsia" w:hAnsiTheme="minorEastAsia" w:eastAsiaTheme="minorEastAsia"/>
        </w:rPr>
        <w:t>（2）承包人每次报送样品时应随附申报单，申报单应载明报送样品的相关数据和资料，并标明每件样品对应的图纸号，预留监理人批复意见栏。监理人应在收到承包人报送的样品后7天向承包人回复经发包人签认的样品审批意见。</w:t>
      </w:r>
    </w:p>
    <w:p>
      <w:pPr>
        <w:rPr>
          <w:rFonts w:asciiTheme="minorEastAsia" w:hAnsiTheme="minorEastAsia" w:eastAsiaTheme="minorEastAsia"/>
        </w:rPr>
      </w:pPr>
      <w:r>
        <w:rPr>
          <w:rFonts w:asciiTheme="minorEastAsia" w:hAnsiTheme="minorEastAsia" w:eastAsiaTheme="minorEastAsia"/>
        </w:rPr>
        <w:t>（3）经发包人和监理人审批确认的样品</w:t>
      </w:r>
      <w:r>
        <w:rPr>
          <w:rFonts w:hint="eastAsia" w:asciiTheme="minorEastAsia" w:hAnsiTheme="minorEastAsia" w:eastAsiaTheme="minorEastAsia"/>
        </w:rPr>
        <w:t>应按约定的方法封样，封存的样品</w:t>
      </w:r>
      <w:r>
        <w:rPr>
          <w:rFonts w:asciiTheme="minorEastAsia" w:hAnsiTheme="minorEastAsia" w:eastAsiaTheme="minorEastAsia"/>
        </w:rPr>
        <w:t>作为检验工程相关部分的标准之一。承包人在施工过程中不得使用与样品不符的材料或工程设备。</w:t>
      </w:r>
    </w:p>
    <w:p>
      <w:pPr>
        <w:rPr>
          <w:rFonts w:asciiTheme="minorEastAsia" w:hAnsiTheme="minorEastAsia" w:eastAsiaTheme="minorEastAsia"/>
        </w:rPr>
      </w:pPr>
      <w:r>
        <w:rPr>
          <w:rFonts w:asciiTheme="minorEastAsia" w:hAnsiTheme="minorEastAsia" w:eastAsiaTheme="minorEastAsia"/>
        </w:rPr>
        <w:t>（4）发包人和监理人对样品的审批确认仅为确认相关材料或工程设备的特征或用途，不得被理解为对合同的修改或改变，也并不减轻或免除承包人任何的责任和义务。</w:t>
      </w:r>
      <w:r>
        <w:rPr>
          <w:rFonts w:hint="eastAsia" w:asciiTheme="minorEastAsia" w:hAnsiTheme="minorEastAsia" w:eastAsiaTheme="minorEastAsia"/>
        </w:rPr>
        <w:t>如果封存的样品修改或改变了合同约定，合同当事人应当以书面协议予以确认。</w:t>
      </w:r>
    </w:p>
    <w:p>
      <w:pPr>
        <w:rPr>
          <w:rFonts w:asciiTheme="minorEastAsia" w:hAnsiTheme="minorEastAsia" w:eastAsiaTheme="minorEastAsia"/>
        </w:rPr>
      </w:pPr>
      <w:r>
        <w:rPr>
          <w:rFonts w:asciiTheme="minorEastAsia" w:hAnsiTheme="minorEastAsia" w:eastAsiaTheme="minorEastAsia"/>
        </w:rPr>
        <w:t>8.6.2 样品的保管</w:t>
      </w:r>
    </w:p>
    <w:p>
      <w:pPr>
        <w:rPr>
          <w:rFonts w:asciiTheme="minorEastAsia" w:hAnsiTheme="minorEastAsia" w:eastAsiaTheme="minorEastAsia"/>
        </w:rPr>
      </w:pPr>
      <w:r>
        <w:rPr>
          <w:rFonts w:asciiTheme="minorEastAsia" w:hAnsiTheme="minorEastAsia" w:eastAsiaTheme="minorEastAsia"/>
        </w:rPr>
        <w:t>经批准的样品应由监理人负责封存于现场，承包人应在现场为保存样品提供适当和固定的场所并保持适当和良好的存储环境条件。</w:t>
      </w:r>
    </w:p>
    <w:p>
      <w:pPr>
        <w:rPr>
          <w:rFonts w:asciiTheme="minorEastAsia" w:hAnsiTheme="minorEastAsia" w:eastAsiaTheme="minorEastAsia"/>
          <w:bCs/>
        </w:rPr>
      </w:pPr>
      <w:bookmarkStart w:id="361" w:name="_Toc351203559"/>
      <w:r>
        <w:rPr>
          <w:rFonts w:asciiTheme="minorEastAsia" w:hAnsiTheme="minorEastAsia" w:eastAsiaTheme="minorEastAsia"/>
          <w:bCs/>
        </w:rPr>
        <w:t>8.7材料与工程设备的替代</w:t>
      </w:r>
      <w:bookmarkEnd w:id="361"/>
    </w:p>
    <w:p>
      <w:pPr>
        <w:rPr>
          <w:rFonts w:asciiTheme="minorEastAsia" w:hAnsiTheme="minorEastAsia" w:eastAsiaTheme="minorEastAsia"/>
        </w:rPr>
      </w:pPr>
      <w:r>
        <w:rPr>
          <w:rFonts w:asciiTheme="minorEastAsia" w:hAnsiTheme="minorEastAsia" w:eastAsiaTheme="minorEastAsia"/>
        </w:rPr>
        <w:t>8.7.1 出现下列情况需要使用替代材料和工程设备的，承包人应按照第8.7.2项约定的程序执行：</w:t>
      </w:r>
    </w:p>
    <w:p>
      <w:pPr>
        <w:rPr>
          <w:rFonts w:asciiTheme="minorEastAsia" w:hAnsiTheme="minorEastAsia" w:eastAsiaTheme="minorEastAsia"/>
        </w:rPr>
      </w:pPr>
      <w:r>
        <w:rPr>
          <w:rFonts w:asciiTheme="minorEastAsia" w:hAnsiTheme="minorEastAsia" w:eastAsiaTheme="minorEastAsia"/>
        </w:rPr>
        <w:t>（1）基准日</w:t>
      </w:r>
      <w:r>
        <w:rPr>
          <w:rFonts w:hint="eastAsia" w:asciiTheme="minorEastAsia" w:hAnsiTheme="minorEastAsia" w:eastAsiaTheme="minorEastAsia"/>
        </w:rPr>
        <w:t>期</w:t>
      </w:r>
      <w:r>
        <w:rPr>
          <w:rFonts w:asciiTheme="minorEastAsia" w:hAnsiTheme="minorEastAsia" w:eastAsiaTheme="minorEastAsia"/>
        </w:rPr>
        <w:t>后生效的法律规定禁止使用的；</w:t>
      </w:r>
    </w:p>
    <w:p>
      <w:pPr>
        <w:rPr>
          <w:rFonts w:asciiTheme="minorEastAsia" w:hAnsiTheme="minorEastAsia" w:eastAsiaTheme="minorEastAsia"/>
        </w:rPr>
      </w:pPr>
      <w:r>
        <w:rPr>
          <w:rFonts w:asciiTheme="minorEastAsia" w:hAnsiTheme="minorEastAsia" w:eastAsiaTheme="minorEastAsia"/>
        </w:rPr>
        <w:t>（2）发包人要求使用替代品的；</w:t>
      </w:r>
    </w:p>
    <w:p>
      <w:pPr>
        <w:rPr>
          <w:rFonts w:asciiTheme="minorEastAsia" w:hAnsiTheme="minorEastAsia" w:eastAsiaTheme="minorEastAsia"/>
        </w:rPr>
      </w:pPr>
      <w:r>
        <w:rPr>
          <w:rFonts w:asciiTheme="minorEastAsia" w:hAnsiTheme="minorEastAsia" w:eastAsiaTheme="minorEastAsia"/>
        </w:rPr>
        <w:t>（3）因其他原因必须使用替代品的。</w:t>
      </w:r>
    </w:p>
    <w:p>
      <w:pPr>
        <w:rPr>
          <w:rFonts w:asciiTheme="minorEastAsia" w:hAnsiTheme="minorEastAsia" w:eastAsiaTheme="minorEastAsia"/>
        </w:rPr>
      </w:pPr>
      <w:r>
        <w:rPr>
          <w:rFonts w:asciiTheme="minorEastAsia" w:hAnsiTheme="minorEastAsia" w:eastAsiaTheme="minorEastAsia"/>
        </w:rPr>
        <w:t>8.7.2 承包人应在使用替代材料和工程设备28天前书面通知监理人，并附下列文件：</w:t>
      </w:r>
    </w:p>
    <w:p>
      <w:pPr>
        <w:rPr>
          <w:rFonts w:asciiTheme="minorEastAsia" w:hAnsiTheme="minorEastAsia" w:eastAsiaTheme="minorEastAsia"/>
        </w:rPr>
      </w:pPr>
      <w:r>
        <w:rPr>
          <w:rFonts w:asciiTheme="minorEastAsia" w:hAnsiTheme="minorEastAsia" w:eastAsiaTheme="minorEastAsia"/>
        </w:rPr>
        <w:t>（1）被替代的材料和工程设备的名称、数量、规格、型号、品牌、性能、价格及其他相关资料；</w:t>
      </w:r>
    </w:p>
    <w:p>
      <w:pPr>
        <w:rPr>
          <w:rFonts w:asciiTheme="minorEastAsia" w:hAnsiTheme="minorEastAsia" w:eastAsiaTheme="minorEastAsia"/>
        </w:rPr>
      </w:pPr>
      <w:r>
        <w:rPr>
          <w:rFonts w:asciiTheme="minorEastAsia" w:hAnsiTheme="minorEastAsia" w:eastAsiaTheme="minorEastAsia"/>
        </w:rPr>
        <w:t>（2）替代品的名称、数量、规格、型号、品牌、性能、价格及其他相关资料；</w:t>
      </w:r>
    </w:p>
    <w:p>
      <w:pPr>
        <w:rPr>
          <w:rFonts w:asciiTheme="minorEastAsia" w:hAnsiTheme="minorEastAsia" w:eastAsiaTheme="minorEastAsia"/>
        </w:rPr>
      </w:pPr>
      <w:r>
        <w:rPr>
          <w:rFonts w:asciiTheme="minorEastAsia" w:hAnsiTheme="minorEastAsia" w:eastAsiaTheme="minorEastAsia"/>
        </w:rPr>
        <w:t>（3）替代品与被替代产品之间的差异以及使用替代品可能对工程产生的影响；</w:t>
      </w:r>
    </w:p>
    <w:p>
      <w:pPr>
        <w:rPr>
          <w:rFonts w:asciiTheme="minorEastAsia" w:hAnsiTheme="minorEastAsia" w:eastAsiaTheme="minorEastAsia"/>
        </w:rPr>
      </w:pPr>
      <w:r>
        <w:rPr>
          <w:rFonts w:asciiTheme="minorEastAsia" w:hAnsiTheme="minorEastAsia" w:eastAsiaTheme="minorEastAsia"/>
        </w:rPr>
        <w:t>（4）替代品与被替代产品的价格差异；</w:t>
      </w:r>
    </w:p>
    <w:p>
      <w:pPr>
        <w:rPr>
          <w:rFonts w:asciiTheme="minorEastAsia" w:hAnsiTheme="minorEastAsia" w:eastAsiaTheme="minorEastAsia"/>
        </w:rPr>
      </w:pPr>
      <w:r>
        <w:rPr>
          <w:rFonts w:asciiTheme="minorEastAsia" w:hAnsiTheme="minorEastAsia" w:eastAsiaTheme="minorEastAsia"/>
        </w:rPr>
        <w:t>（5）使用替代品的理由和原因说明；</w:t>
      </w:r>
    </w:p>
    <w:p>
      <w:pPr>
        <w:rPr>
          <w:rFonts w:asciiTheme="minorEastAsia" w:hAnsiTheme="minorEastAsia" w:eastAsiaTheme="minorEastAsia"/>
        </w:rPr>
      </w:pPr>
      <w:r>
        <w:rPr>
          <w:rFonts w:asciiTheme="minorEastAsia" w:hAnsiTheme="minorEastAsia" w:eastAsiaTheme="minorEastAsia"/>
        </w:rPr>
        <w:t>（6）监理人要求的其他文件。</w:t>
      </w:r>
    </w:p>
    <w:p>
      <w:pPr>
        <w:rPr>
          <w:rFonts w:asciiTheme="minorEastAsia" w:hAnsiTheme="minorEastAsia" w:eastAsiaTheme="minorEastAsia"/>
        </w:rPr>
      </w:pPr>
      <w:r>
        <w:rPr>
          <w:rFonts w:asciiTheme="minorEastAsia" w:hAnsiTheme="minorEastAsia" w:eastAsiaTheme="minorEastAsia"/>
        </w:rPr>
        <w:t>监理人应在收到通知后14天内向承包人发出经发包人签认的书面指示；监理人逾期发出书面指示的，视为发包人和监理人同意使用替代品。</w:t>
      </w:r>
    </w:p>
    <w:p>
      <w:pPr>
        <w:rPr>
          <w:rFonts w:asciiTheme="minorEastAsia" w:hAnsiTheme="minorEastAsia" w:eastAsiaTheme="minorEastAsia"/>
        </w:rPr>
      </w:pPr>
      <w:r>
        <w:rPr>
          <w:rFonts w:asciiTheme="minorEastAsia" w:hAnsiTheme="minorEastAsia" w:eastAsiaTheme="minorEastAsia"/>
        </w:rPr>
        <w:t>8.7.3 发包人认可使用替代材料和工程设备的，替代材料和工程设备的价格，按照已标价工程量清单或预算书相同项目的价格认定；无相同项目的，参考相似项目价格认定；</w:t>
      </w:r>
      <w:r>
        <w:rPr>
          <w:rFonts w:hint="eastAsia" w:asciiTheme="minorEastAsia" w:hAnsiTheme="minorEastAsia" w:eastAsiaTheme="minorEastAsia"/>
        </w:rPr>
        <w:t>既无</w:t>
      </w:r>
      <w:r>
        <w:rPr>
          <w:rFonts w:asciiTheme="minorEastAsia" w:hAnsiTheme="minorEastAsia" w:eastAsiaTheme="minorEastAsia"/>
        </w:rPr>
        <w:t>相同项目</w:t>
      </w:r>
      <w:r>
        <w:rPr>
          <w:rFonts w:hint="eastAsia" w:asciiTheme="minorEastAsia" w:hAnsiTheme="minorEastAsia" w:eastAsiaTheme="minorEastAsia"/>
        </w:rPr>
        <w:t>也</w:t>
      </w:r>
      <w:r>
        <w:rPr>
          <w:rFonts w:asciiTheme="minorEastAsia" w:hAnsiTheme="minorEastAsia" w:eastAsiaTheme="minorEastAsia"/>
        </w:rPr>
        <w:t>无相似项目的，</w:t>
      </w:r>
      <w:r>
        <w:rPr>
          <w:rFonts w:hint="eastAsia" w:asciiTheme="minorEastAsia" w:hAnsiTheme="minorEastAsia" w:eastAsiaTheme="minorEastAsia"/>
        </w:rPr>
        <w:t>按照合理的成本与利润构成的原则，</w:t>
      </w:r>
      <w:r>
        <w:rPr>
          <w:rFonts w:asciiTheme="minorEastAsia" w:hAnsiTheme="minorEastAsia" w:eastAsiaTheme="minorEastAsia"/>
        </w:rPr>
        <w:t>由合同当事人按照第4.4款</w:t>
      </w:r>
      <w:r>
        <w:rPr>
          <w:rFonts w:hint="eastAsia" w:asciiTheme="minorEastAsia" w:hAnsiTheme="minorEastAsia" w:eastAsiaTheme="minorEastAsia"/>
        </w:rPr>
        <w:t>〔</w:t>
      </w:r>
      <w:r>
        <w:rPr>
          <w:rFonts w:asciiTheme="minorEastAsia" w:hAnsiTheme="minorEastAsia" w:eastAsiaTheme="minorEastAsia"/>
        </w:rPr>
        <w:t>商定或确定</w:t>
      </w:r>
      <w:r>
        <w:rPr>
          <w:rFonts w:hint="eastAsia" w:asciiTheme="minorEastAsia" w:hAnsiTheme="minorEastAsia" w:eastAsiaTheme="minorEastAsia"/>
        </w:rPr>
        <w:t>〕</w:t>
      </w:r>
      <w:r>
        <w:rPr>
          <w:rFonts w:asciiTheme="minorEastAsia" w:hAnsiTheme="minorEastAsia" w:eastAsiaTheme="minorEastAsia"/>
        </w:rPr>
        <w:t>确定价格。</w:t>
      </w:r>
    </w:p>
    <w:p>
      <w:pPr>
        <w:rPr>
          <w:rFonts w:asciiTheme="minorEastAsia" w:hAnsiTheme="minorEastAsia" w:eastAsiaTheme="minorEastAsia"/>
          <w:bCs/>
        </w:rPr>
      </w:pPr>
      <w:bookmarkStart w:id="362" w:name="_Toc351203560"/>
      <w:r>
        <w:rPr>
          <w:rFonts w:asciiTheme="minorEastAsia" w:hAnsiTheme="minorEastAsia" w:eastAsiaTheme="minorEastAsia"/>
          <w:bCs/>
        </w:rPr>
        <w:t>8.8施工设备和临时设施</w:t>
      </w:r>
      <w:bookmarkEnd w:id="362"/>
    </w:p>
    <w:p>
      <w:pPr>
        <w:rPr>
          <w:rFonts w:asciiTheme="minorEastAsia" w:hAnsiTheme="minorEastAsia" w:eastAsiaTheme="minorEastAsia"/>
        </w:rPr>
      </w:pPr>
      <w:r>
        <w:rPr>
          <w:rFonts w:asciiTheme="minorEastAsia" w:hAnsiTheme="minorEastAsia" w:eastAsiaTheme="minorEastAsia"/>
        </w:rPr>
        <w:t>8.8.1 承包人提供的施工设备和临时设施</w:t>
      </w:r>
    </w:p>
    <w:p>
      <w:pPr>
        <w:rPr>
          <w:rFonts w:asciiTheme="minorEastAsia" w:hAnsiTheme="minorEastAsia" w:eastAsiaTheme="minorEastAsia"/>
        </w:rPr>
      </w:pPr>
      <w:r>
        <w:rPr>
          <w:rFonts w:asciiTheme="minorEastAsia" w:hAnsiTheme="minorEastAsia" w:eastAsiaTheme="minorEastAsia"/>
        </w:rPr>
        <w:t>承包人应按合同进度计划的要求，及时配置施工设备和修建临时设施。进入施工场地的承包人设备需经监理人核查后才能投入使用。承包人更换合同约定的承包人设备的，应报监理人批准。</w:t>
      </w:r>
    </w:p>
    <w:p>
      <w:pPr>
        <w:rPr>
          <w:rFonts w:asciiTheme="minorEastAsia" w:hAnsiTheme="minorEastAsia" w:eastAsiaTheme="minorEastAsia"/>
        </w:rPr>
      </w:pPr>
      <w:r>
        <w:rPr>
          <w:rFonts w:asciiTheme="minorEastAsia" w:hAnsiTheme="minorEastAsia" w:eastAsiaTheme="minorEastAsia"/>
        </w:rPr>
        <w:t>除专用合同条款另有约定外，承包人应自行承担修建临时设施的费用，需要临时占地的，应由发包人办理申请手续并承担相应费用。</w:t>
      </w:r>
    </w:p>
    <w:p>
      <w:pPr>
        <w:rPr>
          <w:rFonts w:asciiTheme="minorEastAsia" w:hAnsiTheme="minorEastAsia" w:eastAsiaTheme="minorEastAsia"/>
        </w:rPr>
      </w:pPr>
      <w:r>
        <w:rPr>
          <w:rFonts w:asciiTheme="minorEastAsia" w:hAnsiTheme="minorEastAsia" w:eastAsiaTheme="minorEastAsia"/>
        </w:rPr>
        <w:t>8.8.2发包人提供的施工设备和临时设施</w:t>
      </w:r>
    </w:p>
    <w:p>
      <w:pPr>
        <w:rPr>
          <w:rFonts w:asciiTheme="minorEastAsia" w:hAnsiTheme="minorEastAsia" w:eastAsiaTheme="minorEastAsia"/>
        </w:rPr>
      </w:pPr>
      <w:r>
        <w:rPr>
          <w:rFonts w:asciiTheme="minorEastAsia" w:hAnsiTheme="minorEastAsia" w:eastAsiaTheme="minorEastAsia"/>
        </w:rPr>
        <w:t>发包人提供的施工设备或临时设施在专用合同条款中约定。</w:t>
      </w:r>
    </w:p>
    <w:p>
      <w:pPr>
        <w:rPr>
          <w:rFonts w:asciiTheme="minorEastAsia" w:hAnsiTheme="minorEastAsia" w:eastAsiaTheme="minorEastAsia"/>
        </w:rPr>
      </w:pPr>
      <w:r>
        <w:rPr>
          <w:rFonts w:asciiTheme="minorEastAsia" w:hAnsiTheme="minorEastAsia" w:eastAsiaTheme="minorEastAsia"/>
        </w:rPr>
        <w:t>8.8.3要求承包人增加或更换施工设备</w:t>
      </w:r>
    </w:p>
    <w:p>
      <w:pPr>
        <w:rPr>
          <w:rFonts w:asciiTheme="minorEastAsia" w:hAnsiTheme="minorEastAsia" w:eastAsiaTheme="minorEastAsia"/>
        </w:rPr>
      </w:pPr>
      <w:r>
        <w:rPr>
          <w:rFonts w:asciiTheme="minorEastAsia" w:hAnsiTheme="minorEastAsia" w:eastAsiaTheme="minorEastAsia"/>
        </w:rPr>
        <w:t>承包人使用的施工设备不能满足合同进度计划和（或）质量要求时，监理人有权要求承包人增加或更换施工设备，承包人应及时增加或更换，由此增加的费用和（或）延误的工期由承包人承担。</w:t>
      </w:r>
    </w:p>
    <w:p>
      <w:pPr>
        <w:rPr>
          <w:rFonts w:asciiTheme="minorEastAsia" w:hAnsiTheme="minorEastAsia" w:eastAsiaTheme="minorEastAsia"/>
          <w:bCs/>
        </w:rPr>
      </w:pPr>
      <w:bookmarkStart w:id="363" w:name="_Toc351203561"/>
      <w:r>
        <w:rPr>
          <w:rFonts w:asciiTheme="minorEastAsia" w:hAnsiTheme="minorEastAsia" w:eastAsiaTheme="minorEastAsia"/>
          <w:bCs/>
        </w:rPr>
        <w:t>8</w:t>
      </w:r>
      <w:bookmarkStart w:id="364" w:name="_Toc296503063"/>
      <w:bookmarkStart w:id="365" w:name="_Toc296346564"/>
      <w:bookmarkStart w:id="366" w:name="_Toc337558781"/>
      <w:r>
        <w:rPr>
          <w:rFonts w:asciiTheme="minorEastAsia" w:hAnsiTheme="minorEastAsia" w:eastAsiaTheme="minorEastAsia"/>
          <w:bCs/>
        </w:rPr>
        <w:t>.9材料与设备专用</w:t>
      </w:r>
      <w:bookmarkEnd w:id="363"/>
      <w:r>
        <w:rPr>
          <w:rFonts w:hint="eastAsia" w:asciiTheme="minorEastAsia" w:hAnsiTheme="minorEastAsia" w:eastAsiaTheme="minorEastAsia"/>
          <w:bCs/>
        </w:rPr>
        <w:t>要求</w:t>
      </w:r>
    </w:p>
    <w:bookmarkEnd w:id="364"/>
    <w:bookmarkEnd w:id="365"/>
    <w:bookmarkEnd w:id="366"/>
    <w:p>
      <w:pPr>
        <w:rPr>
          <w:rFonts w:asciiTheme="minorEastAsia" w:hAnsiTheme="minorEastAsia" w:eastAsiaTheme="minorEastAsia"/>
        </w:rPr>
      </w:pPr>
      <w:r>
        <w:rPr>
          <w:rFonts w:asciiTheme="minorEastAsia" w:hAnsiTheme="minorEastAsia" w:eastAsiaTheme="minorEastAsia"/>
        </w:rPr>
        <w:t>承包人运入施工现场的材料、工程设备、施工设备以及在施工场地建设的临时设施，包括备品备件、安装工具与资料，必须专用于工程。未经发包人批准，承包人不得运出施工现场或挪作他用；</w:t>
      </w:r>
      <w:bookmarkEnd w:id="345"/>
      <w:r>
        <w:rPr>
          <w:rFonts w:asciiTheme="minorEastAsia" w:hAnsiTheme="minorEastAsia" w:eastAsiaTheme="minorEastAsia"/>
        </w:rPr>
        <w:t>经发包人批准，承包人可以根据施工进度计划撤走闲置的施工设备和其他物品。</w:t>
      </w:r>
    </w:p>
    <w:p>
      <w:pPr>
        <w:rPr>
          <w:rFonts w:asciiTheme="minorEastAsia" w:hAnsiTheme="minorEastAsia" w:eastAsiaTheme="minorEastAsia"/>
          <w:bCs/>
        </w:rPr>
      </w:pPr>
      <w:bookmarkStart w:id="367" w:name="_Toc351203562"/>
      <w:r>
        <w:rPr>
          <w:rFonts w:asciiTheme="minorEastAsia" w:hAnsiTheme="minorEastAsia" w:eastAsiaTheme="minorEastAsia"/>
          <w:bCs/>
        </w:rPr>
        <w:t>9</w:t>
      </w:r>
      <w:bookmarkStart w:id="368" w:name="_Toc337558782"/>
      <w:bookmarkStart w:id="369" w:name="_Toc296346584"/>
      <w:bookmarkStart w:id="370" w:name="_Toc296503083"/>
      <w:r>
        <w:rPr>
          <w:rFonts w:asciiTheme="minorEastAsia" w:hAnsiTheme="minorEastAsia" w:eastAsiaTheme="minorEastAsia"/>
          <w:bCs/>
        </w:rPr>
        <w:t>. 试验与检验</w:t>
      </w:r>
      <w:bookmarkEnd w:id="367"/>
    </w:p>
    <w:bookmarkEnd w:id="368"/>
    <w:p>
      <w:pPr>
        <w:rPr>
          <w:rFonts w:asciiTheme="minorEastAsia" w:hAnsiTheme="minorEastAsia" w:eastAsiaTheme="minorEastAsia"/>
          <w:bCs/>
        </w:rPr>
      </w:pPr>
      <w:bookmarkStart w:id="371" w:name="_Toc351203563"/>
      <w:r>
        <w:rPr>
          <w:rFonts w:asciiTheme="minorEastAsia" w:hAnsiTheme="minorEastAsia" w:eastAsiaTheme="minorEastAsia"/>
          <w:bCs/>
        </w:rPr>
        <w:t>9</w:t>
      </w:r>
      <w:bookmarkStart w:id="372" w:name="_Toc337558783"/>
      <w:r>
        <w:rPr>
          <w:rFonts w:asciiTheme="minorEastAsia" w:hAnsiTheme="minorEastAsia" w:eastAsiaTheme="minorEastAsia"/>
          <w:bCs/>
        </w:rPr>
        <w:t>.1试验设备与试验人员</w:t>
      </w:r>
      <w:bookmarkEnd w:id="371"/>
    </w:p>
    <w:bookmarkEnd w:id="372"/>
    <w:p>
      <w:pPr>
        <w:rPr>
          <w:rFonts w:asciiTheme="minorEastAsia" w:hAnsiTheme="minorEastAsia" w:eastAsiaTheme="minorEastAsia"/>
        </w:rPr>
      </w:pPr>
      <w:r>
        <w:rPr>
          <w:rFonts w:asciiTheme="minorEastAsia" w:hAnsiTheme="minorEastAsia" w:eastAsiaTheme="minorEastAsia"/>
        </w:rPr>
        <w:t>9.1.1 承包人根据合同约定或监理人指示进行的现场材料试验，应由承包人提供试验场所、试验人员、试验设备以及其他必要的试验条件。监理人在必要时可以使用承包人提供的试验场所、试验设备以及其他试验条件，进行以工程质量检查为目的的材料复核试验，承包人应予以协助。</w:t>
      </w:r>
    </w:p>
    <w:p>
      <w:pPr>
        <w:rPr>
          <w:rFonts w:asciiTheme="minorEastAsia" w:hAnsiTheme="minorEastAsia" w:eastAsiaTheme="minorEastAsia"/>
        </w:rPr>
      </w:pPr>
      <w:r>
        <w:rPr>
          <w:rFonts w:asciiTheme="minorEastAsia" w:hAnsiTheme="minorEastAsia" w:eastAsiaTheme="minorEastAsia"/>
        </w:rPr>
        <w:t>9.1.2 承包人应按专用合同条款的约定提供试验设备、取样装置、试验场所和试验条件，并向监理人提交相应进场计划表。</w:t>
      </w:r>
    </w:p>
    <w:p>
      <w:pPr>
        <w:rPr>
          <w:rFonts w:asciiTheme="minorEastAsia" w:hAnsiTheme="minorEastAsia" w:eastAsiaTheme="minorEastAsia"/>
        </w:rPr>
      </w:pPr>
      <w:r>
        <w:rPr>
          <w:rFonts w:asciiTheme="minorEastAsia" w:hAnsiTheme="minorEastAsia" w:eastAsiaTheme="minorEastAsia"/>
        </w:rPr>
        <w:t>承包人配置的试验设备要符合相应试验规程的要求并经过具有资质的检测单位检测，且在正式使用该试验设备前，需要经过监理人与承包人共同校定。</w:t>
      </w:r>
    </w:p>
    <w:p>
      <w:pPr>
        <w:rPr>
          <w:rFonts w:asciiTheme="minorEastAsia" w:hAnsiTheme="minorEastAsia" w:eastAsiaTheme="minorEastAsia"/>
        </w:rPr>
      </w:pPr>
      <w:r>
        <w:rPr>
          <w:rFonts w:asciiTheme="minorEastAsia" w:hAnsiTheme="minorEastAsia" w:eastAsiaTheme="minorEastAsia"/>
        </w:rPr>
        <w:t>9.1.3 承包人应向监理人提交试验人员的名单及其岗位、资格等证明资料，试验人员必须能够熟练进行相应的检测试验，承包人对试验人员的试验程序和试验结果的正确性负责。</w:t>
      </w:r>
    </w:p>
    <w:p>
      <w:pPr>
        <w:rPr>
          <w:rFonts w:asciiTheme="minorEastAsia" w:hAnsiTheme="minorEastAsia" w:eastAsiaTheme="minorEastAsia"/>
          <w:bCs/>
        </w:rPr>
      </w:pPr>
      <w:bookmarkStart w:id="373" w:name="_Toc351203564"/>
      <w:r>
        <w:rPr>
          <w:rFonts w:asciiTheme="minorEastAsia" w:hAnsiTheme="minorEastAsia" w:eastAsiaTheme="minorEastAsia"/>
          <w:bCs/>
        </w:rPr>
        <w:t>9</w:t>
      </w:r>
      <w:bookmarkStart w:id="374" w:name="_Toc337558784"/>
      <w:r>
        <w:rPr>
          <w:rFonts w:asciiTheme="minorEastAsia" w:hAnsiTheme="minorEastAsia" w:eastAsiaTheme="minorEastAsia"/>
          <w:bCs/>
        </w:rPr>
        <w:t>.2取样</w:t>
      </w:r>
      <w:bookmarkEnd w:id="373"/>
    </w:p>
    <w:bookmarkEnd w:id="374"/>
    <w:p>
      <w:pPr>
        <w:rPr>
          <w:rFonts w:asciiTheme="minorEastAsia" w:hAnsiTheme="minorEastAsia" w:eastAsiaTheme="minorEastAsia"/>
        </w:rPr>
      </w:pPr>
      <w:r>
        <w:rPr>
          <w:rFonts w:asciiTheme="minorEastAsia" w:hAnsiTheme="minorEastAsia" w:eastAsiaTheme="minorEastAsia"/>
        </w:rPr>
        <w:t>试验属于自检性质的，承包人可以单独取样。试验属于监理人抽检性质的，可由监理人取样，也可由承包人的试验人员在监理人的监督下取样。</w:t>
      </w:r>
    </w:p>
    <w:p>
      <w:pPr>
        <w:rPr>
          <w:rFonts w:asciiTheme="minorEastAsia" w:hAnsiTheme="minorEastAsia" w:eastAsiaTheme="minorEastAsia"/>
          <w:bCs/>
        </w:rPr>
      </w:pPr>
      <w:bookmarkStart w:id="375" w:name="_Toc351203565"/>
      <w:r>
        <w:rPr>
          <w:rFonts w:asciiTheme="minorEastAsia" w:hAnsiTheme="minorEastAsia" w:eastAsiaTheme="minorEastAsia"/>
          <w:bCs/>
        </w:rPr>
        <w:t>9</w:t>
      </w:r>
      <w:bookmarkStart w:id="376" w:name="_Toc337558785"/>
      <w:r>
        <w:rPr>
          <w:rFonts w:asciiTheme="minorEastAsia" w:hAnsiTheme="minorEastAsia" w:eastAsiaTheme="minorEastAsia"/>
          <w:bCs/>
        </w:rPr>
        <w:t>.3材料、工程设备和工程的试验和检验</w:t>
      </w:r>
      <w:bookmarkEnd w:id="375"/>
    </w:p>
    <w:bookmarkEnd w:id="376"/>
    <w:p>
      <w:pPr>
        <w:rPr>
          <w:rFonts w:asciiTheme="minorEastAsia" w:hAnsiTheme="minorEastAsia" w:eastAsiaTheme="minorEastAsia"/>
        </w:rPr>
      </w:pPr>
      <w:r>
        <w:rPr>
          <w:rFonts w:asciiTheme="minorEastAsia" w:hAnsiTheme="minorEastAsia" w:eastAsiaTheme="minorEastAsia"/>
        </w:rPr>
        <w:t>9.3.1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pPr>
        <w:rPr>
          <w:rFonts w:asciiTheme="minorEastAsia" w:hAnsiTheme="minorEastAsia" w:eastAsiaTheme="minorEastAsia"/>
        </w:rPr>
      </w:pPr>
      <w:r>
        <w:rPr>
          <w:rFonts w:asciiTheme="minorEastAsia" w:hAnsiTheme="minorEastAsia" w:eastAsiaTheme="minorEastAsia"/>
        </w:rPr>
        <w:t>9.3.2试验属于自检性质的，承包人可以单独进行试验。试验属于监理人抽检性质的，监理人可以单独进行试验，也可由承包人与监理人共同进行。承包人对由监理人单独进行的试验结果有异议的，可以申请重新共同进行试验。约定共同进行试验的，监理人未按照约定参加试验的，承包人可自行试验，并将试验结果报送监理人，监理人应承认该试验结果。</w:t>
      </w:r>
    </w:p>
    <w:p>
      <w:pPr>
        <w:rPr>
          <w:rFonts w:asciiTheme="minorEastAsia" w:hAnsiTheme="minorEastAsia" w:eastAsiaTheme="minorEastAsia"/>
        </w:rPr>
      </w:pPr>
      <w:r>
        <w:rPr>
          <w:rFonts w:asciiTheme="minorEastAsia" w:hAnsiTheme="minorEastAsia" w:eastAsiaTheme="minorEastAsia"/>
        </w:rPr>
        <w:t>9.3.3监理人对承包人的试验和检验结果有异议的，或为查清承包人试验和检验成果的可靠性要求承包人重新试验和检验的，可由监理人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p>
    <w:p>
      <w:pPr>
        <w:rPr>
          <w:rFonts w:asciiTheme="minorEastAsia" w:hAnsiTheme="minorEastAsia" w:eastAsiaTheme="minorEastAsia"/>
          <w:bCs/>
        </w:rPr>
      </w:pPr>
      <w:bookmarkStart w:id="377" w:name="_Toc351203566"/>
      <w:r>
        <w:rPr>
          <w:rFonts w:asciiTheme="minorEastAsia" w:hAnsiTheme="minorEastAsia" w:eastAsiaTheme="minorEastAsia"/>
          <w:bCs/>
        </w:rPr>
        <w:t>9</w:t>
      </w:r>
      <w:bookmarkStart w:id="378" w:name="_Toc337558786"/>
      <w:r>
        <w:rPr>
          <w:rFonts w:asciiTheme="minorEastAsia" w:hAnsiTheme="minorEastAsia" w:eastAsiaTheme="minorEastAsia"/>
          <w:bCs/>
        </w:rPr>
        <w:t>.4现场工艺试验</w:t>
      </w:r>
      <w:bookmarkEnd w:id="377"/>
    </w:p>
    <w:bookmarkEnd w:id="378"/>
    <w:p>
      <w:pPr>
        <w:rPr>
          <w:rFonts w:asciiTheme="minorEastAsia" w:hAnsiTheme="minorEastAsia" w:eastAsiaTheme="minorEastAsia"/>
        </w:rPr>
      </w:pPr>
      <w:r>
        <w:rPr>
          <w:rFonts w:asciiTheme="minorEastAsia" w:hAnsiTheme="minorEastAsia" w:eastAsiaTheme="minorEastAsia"/>
        </w:rPr>
        <w:t>承包人应按合同约定或监理人指示进行现场工艺试验。对大型的现场工艺试验，监理人认为必要时，承包人应根据监理人提出的工艺试验要求，编制工艺试验措施计划，报送监理人审查。</w:t>
      </w:r>
    </w:p>
    <w:p>
      <w:pPr>
        <w:rPr>
          <w:rFonts w:asciiTheme="minorEastAsia" w:hAnsiTheme="minorEastAsia" w:eastAsiaTheme="minorEastAsia"/>
          <w:bCs/>
        </w:rPr>
      </w:pPr>
      <w:bookmarkStart w:id="379" w:name="_Toc351203567"/>
      <w:r>
        <w:rPr>
          <w:rFonts w:asciiTheme="minorEastAsia" w:hAnsiTheme="minorEastAsia" w:eastAsiaTheme="minorEastAsia"/>
          <w:bCs/>
        </w:rPr>
        <w:t>1</w:t>
      </w:r>
      <w:bookmarkStart w:id="380" w:name="_Toc337558787"/>
      <w:r>
        <w:rPr>
          <w:rFonts w:asciiTheme="minorEastAsia" w:hAnsiTheme="minorEastAsia" w:eastAsiaTheme="minorEastAsia"/>
          <w:bCs/>
        </w:rPr>
        <w:t>0. 变更</w:t>
      </w:r>
      <w:bookmarkEnd w:id="369"/>
      <w:bookmarkEnd w:id="370"/>
      <w:bookmarkEnd w:id="379"/>
    </w:p>
    <w:bookmarkEnd w:id="380"/>
    <w:p>
      <w:pPr>
        <w:rPr>
          <w:rFonts w:asciiTheme="minorEastAsia" w:hAnsiTheme="minorEastAsia" w:eastAsiaTheme="minorEastAsia"/>
          <w:bCs/>
        </w:rPr>
      </w:pPr>
      <w:bookmarkStart w:id="381" w:name="_Toc351203568"/>
      <w:r>
        <w:rPr>
          <w:rFonts w:asciiTheme="minorEastAsia" w:hAnsiTheme="minorEastAsia" w:eastAsiaTheme="minorEastAsia"/>
          <w:bCs/>
        </w:rPr>
        <w:t>1</w:t>
      </w:r>
      <w:bookmarkStart w:id="382" w:name="_Toc296346585"/>
      <w:bookmarkStart w:id="383" w:name="_Toc337558788"/>
      <w:bookmarkStart w:id="384" w:name="_Toc296503084"/>
      <w:r>
        <w:rPr>
          <w:rFonts w:asciiTheme="minorEastAsia" w:hAnsiTheme="minorEastAsia" w:eastAsiaTheme="minorEastAsia"/>
          <w:bCs/>
        </w:rPr>
        <w:t>0.1变更的范围</w:t>
      </w:r>
      <w:bookmarkEnd w:id="381"/>
    </w:p>
    <w:bookmarkEnd w:id="382"/>
    <w:bookmarkEnd w:id="383"/>
    <w:bookmarkEnd w:id="384"/>
    <w:p>
      <w:pPr>
        <w:rPr>
          <w:rFonts w:asciiTheme="minorEastAsia" w:hAnsiTheme="minorEastAsia" w:eastAsiaTheme="minorEastAsia"/>
        </w:rPr>
      </w:pPr>
      <w:r>
        <w:rPr>
          <w:rFonts w:asciiTheme="minorEastAsia" w:hAnsiTheme="minorEastAsia" w:eastAsiaTheme="minorEastAsia"/>
        </w:rPr>
        <w:t>除专用合同条款另有约定外，合同履行过程中发生以下情形的，应按照本条约定进行变更：</w:t>
      </w:r>
    </w:p>
    <w:p>
      <w:pPr>
        <w:rPr>
          <w:rFonts w:asciiTheme="minorEastAsia" w:hAnsiTheme="minorEastAsia" w:eastAsiaTheme="minorEastAsia"/>
        </w:rPr>
      </w:pPr>
      <w:r>
        <w:rPr>
          <w:rFonts w:asciiTheme="minorEastAsia" w:hAnsiTheme="minorEastAsia" w:eastAsiaTheme="minorEastAsia"/>
        </w:rPr>
        <w:t>（1）增加或减少合同中任何工作，或追加额外的工作；</w:t>
      </w:r>
    </w:p>
    <w:p>
      <w:pPr>
        <w:rPr>
          <w:rFonts w:asciiTheme="minorEastAsia" w:hAnsiTheme="minorEastAsia" w:eastAsiaTheme="minorEastAsia"/>
        </w:rPr>
      </w:pPr>
      <w:r>
        <w:rPr>
          <w:rFonts w:asciiTheme="minorEastAsia" w:hAnsiTheme="minorEastAsia" w:eastAsiaTheme="minorEastAsia"/>
        </w:rPr>
        <w:t>（2）取消合同中任何工作，但转由他人实施的工作除外；</w:t>
      </w:r>
    </w:p>
    <w:p>
      <w:pPr>
        <w:rPr>
          <w:rFonts w:asciiTheme="minorEastAsia" w:hAnsiTheme="minorEastAsia" w:eastAsiaTheme="minorEastAsia"/>
        </w:rPr>
      </w:pPr>
      <w:r>
        <w:rPr>
          <w:rFonts w:asciiTheme="minorEastAsia" w:hAnsiTheme="minorEastAsia" w:eastAsiaTheme="minorEastAsia"/>
        </w:rPr>
        <w:t>（3）改变合同中任何工作的质量标准或其他特性；</w:t>
      </w:r>
    </w:p>
    <w:p>
      <w:pPr>
        <w:rPr>
          <w:rFonts w:asciiTheme="minorEastAsia" w:hAnsiTheme="minorEastAsia" w:eastAsiaTheme="minorEastAsia"/>
        </w:rPr>
      </w:pPr>
      <w:r>
        <w:rPr>
          <w:rFonts w:asciiTheme="minorEastAsia" w:hAnsiTheme="minorEastAsia" w:eastAsiaTheme="minorEastAsia"/>
        </w:rPr>
        <w:t>（4）改变工程的基线、标高、位置和尺寸；</w:t>
      </w:r>
    </w:p>
    <w:p>
      <w:pPr>
        <w:rPr>
          <w:rFonts w:asciiTheme="minorEastAsia" w:hAnsiTheme="minorEastAsia" w:eastAsiaTheme="minorEastAsia"/>
        </w:rPr>
      </w:pPr>
      <w:r>
        <w:rPr>
          <w:rFonts w:asciiTheme="minorEastAsia" w:hAnsiTheme="minorEastAsia" w:eastAsiaTheme="minorEastAsia"/>
        </w:rPr>
        <w:t>（5）改变工程的时间安排或实施顺序。</w:t>
      </w:r>
    </w:p>
    <w:p>
      <w:pPr>
        <w:rPr>
          <w:rFonts w:asciiTheme="minorEastAsia" w:hAnsiTheme="minorEastAsia" w:eastAsiaTheme="minorEastAsia"/>
          <w:bCs/>
        </w:rPr>
      </w:pPr>
      <w:bookmarkStart w:id="385" w:name="_Toc351203569"/>
      <w:r>
        <w:rPr>
          <w:rFonts w:asciiTheme="minorEastAsia" w:hAnsiTheme="minorEastAsia" w:eastAsiaTheme="minorEastAsia"/>
          <w:bCs/>
        </w:rPr>
        <w:t>1</w:t>
      </w:r>
      <w:bookmarkStart w:id="386" w:name="_Toc296503085"/>
      <w:bookmarkStart w:id="387" w:name="_Toc296346586"/>
      <w:bookmarkStart w:id="388" w:name="_Toc337558789"/>
      <w:r>
        <w:rPr>
          <w:rFonts w:asciiTheme="minorEastAsia" w:hAnsiTheme="minorEastAsia" w:eastAsiaTheme="minorEastAsia"/>
          <w:bCs/>
        </w:rPr>
        <w:t>0.2变更权</w:t>
      </w:r>
      <w:bookmarkEnd w:id="385"/>
    </w:p>
    <w:bookmarkEnd w:id="386"/>
    <w:bookmarkEnd w:id="387"/>
    <w:bookmarkEnd w:id="388"/>
    <w:p>
      <w:pPr>
        <w:rPr>
          <w:rFonts w:asciiTheme="minorEastAsia" w:hAnsiTheme="minorEastAsia" w:eastAsiaTheme="minorEastAsia"/>
        </w:rPr>
      </w:pPr>
      <w:r>
        <w:rPr>
          <w:rFonts w:asciiTheme="minorEastAsia" w:hAnsiTheme="minorEastAsia" w:eastAsiaTheme="minorEastAsia"/>
        </w:rPr>
        <w:t>发包人和监理人均可以提出变更。变更指示均通过监理人发出，监理人发出变更指示前应征得发包人同意。承包人收到经发包人签认的变更指示后，方可实施变更。未经许可，承包人不得擅自对工程的任何部分进行变更。</w:t>
      </w:r>
    </w:p>
    <w:p>
      <w:pPr>
        <w:rPr>
          <w:rFonts w:asciiTheme="minorEastAsia" w:hAnsiTheme="minorEastAsia" w:eastAsiaTheme="minorEastAsia"/>
        </w:rPr>
      </w:pPr>
      <w:r>
        <w:rPr>
          <w:rFonts w:asciiTheme="minorEastAsia" w:hAnsiTheme="minorEastAsia" w:eastAsiaTheme="minorEastAsia"/>
        </w:rPr>
        <w:t>涉及设计变更的，应由设计人提供变更后的图纸和说明。如变更超过原设计标准或批准的建设规模时，发包人应及时办理规划、设计变更</w:t>
      </w:r>
      <w:r>
        <w:rPr>
          <w:rFonts w:hint="eastAsia" w:asciiTheme="minorEastAsia" w:hAnsiTheme="minorEastAsia" w:eastAsiaTheme="minorEastAsia"/>
        </w:rPr>
        <w:t>等</w:t>
      </w:r>
      <w:r>
        <w:rPr>
          <w:rFonts w:asciiTheme="minorEastAsia" w:hAnsiTheme="minorEastAsia" w:eastAsiaTheme="minorEastAsia"/>
        </w:rPr>
        <w:t>审批手续。</w:t>
      </w:r>
    </w:p>
    <w:p>
      <w:pPr>
        <w:rPr>
          <w:rFonts w:asciiTheme="minorEastAsia" w:hAnsiTheme="minorEastAsia" w:eastAsiaTheme="minorEastAsia"/>
          <w:bCs/>
        </w:rPr>
      </w:pPr>
      <w:bookmarkStart w:id="389" w:name="_Toc351203570"/>
      <w:r>
        <w:rPr>
          <w:rFonts w:asciiTheme="minorEastAsia" w:hAnsiTheme="minorEastAsia" w:eastAsiaTheme="minorEastAsia"/>
          <w:bCs/>
        </w:rPr>
        <w:t>1</w:t>
      </w:r>
      <w:bookmarkStart w:id="390" w:name="_Toc337558790"/>
      <w:bookmarkStart w:id="391" w:name="_Toc296346587"/>
      <w:bookmarkStart w:id="392" w:name="_Toc296503086"/>
      <w:r>
        <w:rPr>
          <w:rFonts w:asciiTheme="minorEastAsia" w:hAnsiTheme="minorEastAsia" w:eastAsiaTheme="minorEastAsia"/>
          <w:bCs/>
        </w:rPr>
        <w:t>0.3变更程序</w:t>
      </w:r>
      <w:bookmarkEnd w:id="389"/>
    </w:p>
    <w:bookmarkEnd w:id="390"/>
    <w:bookmarkEnd w:id="391"/>
    <w:bookmarkEnd w:id="392"/>
    <w:p>
      <w:pPr>
        <w:rPr>
          <w:rFonts w:asciiTheme="minorEastAsia" w:hAnsiTheme="minorEastAsia" w:eastAsiaTheme="minorEastAsia"/>
        </w:rPr>
      </w:pPr>
      <w:r>
        <w:rPr>
          <w:rFonts w:asciiTheme="minorEastAsia" w:hAnsiTheme="minorEastAsia" w:eastAsiaTheme="minorEastAsia"/>
        </w:rPr>
        <w:t>10.3.1 发包人提出变更</w:t>
      </w:r>
    </w:p>
    <w:p>
      <w:pPr>
        <w:rPr>
          <w:rFonts w:asciiTheme="minorEastAsia" w:hAnsiTheme="minorEastAsia" w:eastAsiaTheme="minorEastAsia"/>
        </w:rPr>
      </w:pPr>
      <w:r>
        <w:rPr>
          <w:rFonts w:asciiTheme="minorEastAsia" w:hAnsiTheme="minorEastAsia" w:eastAsiaTheme="minorEastAsia"/>
        </w:rPr>
        <w:t>发包人提出变更的，应通过监理人向承包人发出变更指示，变更指示应说明计划变更的工程范围和变更的内容。</w:t>
      </w:r>
    </w:p>
    <w:p>
      <w:pPr>
        <w:rPr>
          <w:rFonts w:asciiTheme="minorEastAsia" w:hAnsiTheme="minorEastAsia" w:eastAsiaTheme="minorEastAsia"/>
        </w:rPr>
      </w:pPr>
      <w:r>
        <w:rPr>
          <w:rFonts w:asciiTheme="minorEastAsia" w:hAnsiTheme="minorEastAsia" w:eastAsiaTheme="minorEastAsia"/>
        </w:rPr>
        <w:t>10.3.2 监理人提出变更建议</w:t>
      </w:r>
    </w:p>
    <w:p>
      <w:pPr>
        <w:rPr>
          <w:rFonts w:asciiTheme="minorEastAsia" w:hAnsiTheme="minorEastAsia" w:eastAsiaTheme="minorEastAsia"/>
        </w:rPr>
      </w:pPr>
      <w:r>
        <w:rPr>
          <w:rFonts w:asciiTheme="minorEastAsia" w:hAnsiTheme="minorEastAsia" w:eastAsiaTheme="minorEastAsia"/>
        </w:rPr>
        <w:t>监理人提出变更建议的，需要向发包人以书面形式提出变更计划，说明计划变更工程范围和变更的内容、理由，以及实施该变更对合同价格和工期的影响。发包人同意变更的，由监理人向承包人发出变更指示。发包人不同意变更的，监理人无权擅自发出变更指示。</w:t>
      </w:r>
    </w:p>
    <w:p>
      <w:pPr>
        <w:rPr>
          <w:rFonts w:asciiTheme="minorEastAsia" w:hAnsiTheme="minorEastAsia" w:eastAsiaTheme="minorEastAsia"/>
        </w:rPr>
      </w:pPr>
      <w:r>
        <w:rPr>
          <w:rFonts w:hint="eastAsia" w:asciiTheme="minorEastAsia" w:hAnsiTheme="minorEastAsia" w:eastAsiaTheme="minorEastAsia"/>
        </w:rPr>
        <w:t>10.3.3 变更执行</w:t>
      </w:r>
    </w:p>
    <w:p>
      <w:pPr>
        <w:rPr>
          <w:rFonts w:asciiTheme="minorEastAsia" w:hAnsiTheme="minorEastAsia" w:eastAsiaTheme="minorEastAsia"/>
        </w:rPr>
      </w:pPr>
      <w:r>
        <w:rPr>
          <w:rFonts w:asciiTheme="minorEastAsia" w:hAnsiTheme="minorEastAsia" w:eastAsiaTheme="minorEastAsia"/>
        </w:rPr>
        <w:t>承包人收到监理人下达的变更指示后，</w:t>
      </w:r>
      <w:r>
        <w:rPr>
          <w:rFonts w:hint="eastAsia" w:asciiTheme="minorEastAsia" w:hAnsiTheme="minorEastAsia" w:eastAsiaTheme="minorEastAsia"/>
        </w:rPr>
        <w:t>认为不能执行，应立即</w:t>
      </w:r>
      <w:r>
        <w:rPr>
          <w:rFonts w:asciiTheme="minorEastAsia" w:hAnsiTheme="minorEastAsia" w:eastAsiaTheme="minorEastAsia"/>
        </w:rPr>
        <w:t>提出不能执行该变更指示的理由。承包人</w:t>
      </w:r>
      <w:r>
        <w:rPr>
          <w:rFonts w:hint="eastAsia" w:asciiTheme="minorEastAsia" w:hAnsiTheme="minorEastAsia" w:eastAsiaTheme="minorEastAsia"/>
        </w:rPr>
        <w:t>认为可以</w:t>
      </w:r>
      <w:r>
        <w:rPr>
          <w:rFonts w:asciiTheme="minorEastAsia" w:hAnsiTheme="minorEastAsia" w:eastAsiaTheme="minorEastAsia"/>
        </w:rPr>
        <w:t>执行变更的，</w:t>
      </w:r>
      <w:r>
        <w:rPr>
          <w:rFonts w:hint="eastAsia" w:asciiTheme="minorEastAsia" w:hAnsiTheme="minorEastAsia" w:eastAsiaTheme="minorEastAsia"/>
        </w:rPr>
        <w:t>应当书面说明实施该变更指示对合同价格和工期的影响，且合同当事人应当按照第10.4款〔变更估价〕约定确定变更估价</w:t>
      </w:r>
      <w:r>
        <w:rPr>
          <w:rFonts w:asciiTheme="minorEastAsia" w:hAnsiTheme="minorEastAsia" w:eastAsiaTheme="minorEastAsia"/>
        </w:rPr>
        <w:t>。</w:t>
      </w:r>
    </w:p>
    <w:p>
      <w:pPr>
        <w:rPr>
          <w:rFonts w:asciiTheme="minorEastAsia" w:hAnsiTheme="minorEastAsia" w:eastAsiaTheme="minorEastAsia"/>
          <w:bCs/>
        </w:rPr>
      </w:pPr>
      <w:bookmarkStart w:id="393" w:name="_Toc351203571"/>
      <w:r>
        <w:rPr>
          <w:rFonts w:asciiTheme="minorEastAsia" w:hAnsiTheme="minorEastAsia" w:eastAsiaTheme="minorEastAsia"/>
          <w:bCs/>
        </w:rPr>
        <w:t>1</w:t>
      </w:r>
      <w:bookmarkStart w:id="394" w:name="_Toc296503087"/>
      <w:bookmarkStart w:id="395" w:name="_Toc337558791"/>
      <w:bookmarkStart w:id="396" w:name="_Toc296346588"/>
      <w:r>
        <w:rPr>
          <w:rFonts w:asciiTheme="minorEastAsia" w:hAnsiTheme="minorEastAsia" w:eastAsiaTheme="minorEastAsia"/>
          <w:bCs/>
        </w:rPr>
        <w:t>0.4变更估价</w:t>
      </w:r>
      <w:bookmarkEnd w:id="393"/>
    </w:p>
    <w:bookmarkEnd w:id="394"/>
    <w:bookmarkEnd w:id="395"/>
    <w:bookmarkEnd w:id="396"/>
    <w:p>
      <w:pPr>
        <w:rPr>
          <w:rFonts w:asciiTheme="minorEastAsia" w:hAnsiTheme="minorEastAsia" w:eastAsiaTheme="minorEastAsia"/>
        </w:rPr>
      </w:pPr>
      <w:r>
        <w:rPr>
          <w:rFonts w:hint="eastAsia" w:asciiTheme="minorEastAsia" w:hAnsiTheme="minorEastAsia" w:eastAsiaTheme="minorEastAsia"/>
        </w:rPr>
        <w:t>10.4.1 变更估价原则</w:t>
      </w:r>
    </w:p>
    <w:p>
      <w:pPr>
        <w:rPr>
          <w:rFonts w:asciiTheme="minorEastAsia" w:hAnsiTheme="minorEastAsia" w:eastAsiaTheme="minorEastAsia"/>
        </w:rPr>
      </w:pPr>
      <w:r>
        <w:rPr>
          <w:rFonts w:asciiTheme="minorEastAsia" w:hAnsiTheme="minorEastAsia" w:eastAsiaTheme="minorEastAsia"/>
        </w:rPr>
        <w:t>除专用合同条款另有约定外，变更估价按照本款约定处理：</w:t>
      </w:r>
    </w:p>
    <w:p>
      <w:pPr>
        <w:rPr>
          <w:rFonts w:asciiTheme="minorEastAsia" w:hAnsiTheme="minorEastAsia" w:eastAsiaTheme="minorEastAsia"/>
        </w:rPr>
      </w:pPr>
      <w:r>
        <w:rPr>
          <w:rFonts w:asciiTheme="minorEastAsia" w:hAnsiTheme="minorEastAsia" w:eastAsiaTheme="minorEastAsia"/>
        </w:rPr>
        <w:t>（1）已标价工程量清单或预算书有相同项目的，按照相同项目单价认定；</w:t>
      </w:r>
    </w:p>
    <w:p>
      <w:pPr>
        <w:rPr>
          <w:rFonts w:asciiTheme="minorEastAsia" w:hAnsiTheme="minorEastAsia" w:eastAsiaTheme="minorEastAsia"/>
        </w:rPr>
      </w:pPr>
      <w:r>
        <w:rPr>
          <w:rFonts w:asciiTheme="minorEastAsia" w:hAnsiTheme="minorEastAsia" w:eastAsiaTheme="minorEastAsia"/>
        </w:rPr>
        <w:t>（2）已标价工程量清单或预算书中无相同项目，但有类似项目的，参照类似项目的单价认定；</w:t>
      </w:r>
    </w:p>
    <w:p>
      <w:pPr>
        <w:rPr>
          <w:rFonts w:asciiTheme="minorEastAsia" w:hAnsiTheme="minorEastAsia" w:eastAsiaTheme="minorEastAsia"/>
        </w:rPr>
      </w:pPr>
      <w:r>
        <w:rPr>
          <w:rFonts w:asciiTheme="minorEastAsia" w:hAnsiTheme="minorEastAsia" w:eastAsiaTheme="minorEastAsia"/>
        </w:rPr>
        <w:t>（3）变更导致实际完成的变更工程量与已标价工程量清单或预算书中列明的该项目工程量的变化幅度超过15%的，或已标价工程量清单或预算书中无相同项目及类似项目单价的，按照合理的成本与利润构成的原则，由合同当事人按照第4.4款</w:t>
      </w:r>
      <w:r>
        <w:rPr>
          <w:rFonts w:hint="eastAsia" w:asciiTheme="minorEastAsia" w:hAnsiTheme="minorEastAsia" w:eastAsiaTheme="minorEastAsia"/>
        </w:rPr>
        <w:t>〔</w:t>
      </w:r>
      <w:r>
        <w:rPr>
          <w:rFonts w:asciiTheme="minorEastAsia" w:hAnsiTheme="minorEastAsia" w:eastAsiaTheme="minorEastAsia"/>
        </w:rPr>
        <w:t>商定或确定</w:t>
      </w:r>
      <w:r>
        <w:rPr>
          <w:rFonts w:hint="eastAsia" w:asciiTheme="minorEastAsia" w:hAnsiTheme="minorEastAsia" w:eastAsiaTheme="minorEastAsia"/>
        </w:rPr>
        <w:t>〕</w:t>
      </w:r>
      <w:r>
        <w:rPr>
          <w:rFonts w:asciiTheme="minorEastAsia" w:hAnsiTheme="minorEastAsia" w:eastAsiaTheme="minorEastAsia"/>
        </w:rPr>
        <w:t>确定变更工作的单价。</w:t>
      </w:r>
    </w:p>
    <w:p>
      <w:pPr>
        <w:rPr>
          <w:rFonts w:asciiTheme="minorEastAsia" w:hAnsiTheme="minorEastAsia" w:eastAsiaTheme="minorEastAsia"/>
        </w:rPr>
      </w:pPr>
      <w:r>
        <w:rPr>
          <w:rFonts w:hint="eastAsia" w:asciiTheme="minorEastAsia" w:hAnsiTheme="minorEastAsia" w:eastAsiaTheme="minorEastAsia"/>
        </w:rPr>
        <w:t>10.4.2 变更估价程序</w:t>
      </w:r>
    </w:p>
    <w:p>
      <w:pPr>
        <w:rPr>
          <w:rFonts w:asciiTheme="minorEastAsia" w:hAnsiTheme="minorEastAsia" w:eastAsiaTheme="minorEastAsia"/>
        </w:rPr>
      </w:pPr>
      <w:r>
        <w:rPr>
          <w:rFonts w:hint="eastAsia" w:asciiTheme="minorEastAsia" w:hAnsiTheme="minorEastAsia" w:eastAsiaTheme="minorEastAsia"/>
        </w:rPr>
        <w:t>承包人应在收到变更指示后14天内，向监理人提交变更估价申请。监理人应在收到承包人提交的变更估价申请后7天内审查完毕并报送发包人，监理人对变更估价申请有异议</w:t>
      </w:r>
      <w:r>
        <w:rPr>
          <w:rFonts w:asciiTheme="minorEastAsia" w:hAnsiTheme="minorEastAsia" w:eastAsiaTheme="minorEastAsia"/>
        </w:rPr>
        <w:t>，通知承包人</w:t>
      </w:r>
      <w:r>
        <w:rPr>
          <w:rFonts w:hint="eastAsia" w:asciiTheme="minorEastAsia" w:hAnsiTheme="minorEastAsia" w:eastAsiaTheme="minorEastAsia"/>
        </w:rPr>
        <w:t>修</w:t>
      </w:r>
      <w:r>
        <w:rPr>
          <w:rFonts w:asciiTheme="minorEastAsia" w:hAnsiTheme="minorEastAsia" w:eastAsiaTheme="minorEastAsia"/>
        </w:rPr>
        <w:t>改</w:t>
      </w:r>
      <w:r>
        <w:rPr>
          <w:rFonts w:hint="eastAsia" w:asciiTheme="minorEastAsia" w:hAnsiTheme="minorEastAsia" w:eastAsiaTheme="minorEastAsia"/>
        </w:rPr>
        <w:t>后重新提交</w:t>
      </w:r>
      <w:r>
        <w:rPr>
          <w:rFonts w:asciiTheme="minorEastAsia" w:hAnsiTheme="minorEastAsia" w:eastAsiaTheme="minorEastAsia"/>
        </w:rPr>
        <w:t>。发包人应在</w:t>
      </w:r>
      <w:r>
        <w:rPr>
          <w:rFonts w:hint="eastAsia" w:asciiTheme="minorEastAsia" w:hAnsiTheme="minorEastAsia" w:eastAsiaTheme="minorEastAsia"/>
        </w:rPr>
        <w:t>承包人提交变更估价申请</w:t>
      </w:r>
      <w:r>
        <w:rPr>
          <w:rFonts w:asciiTheme="minorEastAsia" w:hAnsiTheme="minorEastAsia" w:eastAsiaTheme="minorEastAsia"/>
        </w:rPr>
        <w:t>后</w:t>
      </w:r>
      <w:r>
        <w:rPr>
          <w:rFonts w:hint="eastAsia" w:asciiTheme="minorEastAsia" w:hAnsiTheme="minorEastAsia" w:eastAsiaTheme="minorEastAsia"/>
        </w:rPr>
        <w:t>14</w:t>
      </w:r>
      <w:r>
        <w:rPr>
          <w:rFonts w:asciiTheme="minorEastAsia" w:hAnsiTheme="minorEastAsia" w:eastAsiaTheme="minorEastAsia"/>
        </w:rPr>
        <w:t>天内审批完毕。</w:t>
      </w:r>
      <w:r>
        <w:rPr>
          <w:rFonts w:hint="eastAsia" w:asciiTheme="minorEastAsia" w:hAnsiTheme="minorEastAsia" w:eastAsiaTheme="minorEastAsia"/>
        </w:rPr>
        <w:t>发包人逾期未完成审批或未提出异议的，视为认可承包人提交的变更估价申请。</w:t>
      </w:r>
    </w:p>
    <w:p>
      <w:pPr>
        <w:rPr>
          <w:rFonts w:asciiTheme="minorEastAsia" w:hAnsiTheme="minorEastAsia" w:eastAsiaTheme="minorEastAsia"/>
        </w:rPr>
      </w:pPr>
      <w:r>
        <w:rPr>
          <w:rFonts w:asciiTheme="minorEastAsia" w:hAnsiTheme="minorEastAsia" w:eastAsiaTheme="minorEastAsia"/>
        </w:rPr>
        <w:t>因变更引起的价格调整应计入最近一期的进度款中支付。</w:t>
      </w:r>
    </w:p>
    <w:p>
      <w:pPr>
        <w:rPr>
          <w:rFonts w:asciiTheme="minorEastAsia" w:hAnsiTheme="minorEastAsia" w:eastAsiaTheme="minorEastAsia"/>
          <w:bCs/>
        </w:rPr>
      </w:pPr>
      <w:bookmarkStart w:id="397" w:name="_Toc351203572"/>
      <w:r>
        <w:rPr>
          <w:rFonts w:asciiTheme="minorEastAsia" w:hAnsiTheme="minorEastAsia" w:eastAsiaTheme="minorEastAsia"/>
          <w:bCs/>
        </w:rPr>
        <w:t>1</w:t>
      </w:r>
      <w:bookmarkStart w:id="398" w:name="_Toc296503094"/>
      <w:bookmarkStart w:id="399" w:name="_Toc296346595"/>
      <w:bookmarkStart w:id="400" w:name="_Toc337558792"/>
      <w:r>
        <w:rPr>
          <w:rFonts w:asciiTheme="minorEastAsia" w:hAnsiTheme="minorEastAsia" w:eastAsiaTheme="minorEastAsia"/>
          <w:bCs/>
        </w:rPr>
        <w:t>0.5承包人的合理化建议</w:t>
      </w:r>
      <w:bookmarkEnd w:id="397"/>
    </w:p>
    <w:bookmarkEnd w:id="398"/>
    <w:bookmarkEnd w:id="399"/>
    <w:bookmarkEnd w:id="400"/>
    <w:p>
      <w:pPr>
        <w:rPr>
          <w:rFonts w:asciiTheme="minorEastAsia" w:hAnsiTheme="minorEastAsia" w:eastAsiaTheme="minorEastAsia"/>
        </w:rPr>
      </w:pPr>
      <w:r>
        <w:rPr>
          <w:rFonts w:asciiTheme="minorEastAsia" w:hAnsiTheme="minorEastAsia" w:eastAsiaTheme="minorEastAsia"/>
        </w:rPr>
        <w:t>承包人提出合理化建议的，应向监理人提交合理化建议说明，说明建议的内容和理由，以及实施该建议对合同价格和工期的影响。</w:t>
      </w:r>
    </w:p>
    <w:p>
      <w:pPr>
        <w:rPr>
          <w:rFonts w:asciiTheme="minorEastAsia" w:hAnsiTheme="minorEastAsia" w:eastAsiaTheme="minorEastAsia"/>
        </w:rPr>
      </w:pPr>
      <w:r>
        <w:rPr>
          <w:rFonts w:asciiTheme="minorEastAsia" w:hAnsiTheme="minorEastAsia" w:eastAsiaTheme="minorEastAsia"/>
        </w:rPr>
        <w:t>除专用合同条款另有约定外，监理人应在收到承包人提交的合理化建议后7天内审查完毕并报送发包人，发现其中存在技术上的缺陷，应通知承包人修改。发包人应在收到监理人报送的合理化建议后7天内审批完毕。合理化建议经发包人批准的，监理人应及时发出变更指示，由此引起的合同价格调整按照第10.4款</w:t>
      </w:r>
      <w:r>
        <w:rPr>
          <w:rFonts w:hint="eastAsia" w:asciiTheme="minorEastAsia" w:hAnsiTheme="minorEastAsia" w:eastAsiaTheme="minorEastAsia"/>
        </w:rPr>
        <w:t>〔</w:t>
      </w:r>
      <w:r>
        <w:rPr>
          <w:rFonts w:asciiTheme="minorEastAsia" w:hAnsiTheme="minorEastAsia" w:eastAsiaTheme="minorEastAsia"/>
        </w:rPr>
        <w:t>变更估价</w:t>
      </w:r>
      <w:r>
        <w:rPr>
          <w:rFonts w:hint="eastAsia" w:asciiTheme="minorEastAsia" w:hAnsiTheme="minorEastAsia" w:eastAsiaTheme="minorEastAsia"/>
        </w:rPr>
        <w:t>〕</w:t>
      </w:r>
      <w:r>
        <w:rPr>
          <w:rFonts w:asciiTheme="minorEastAsia" w:hAnsiTheme="minorEastAsia" w:eastAsiaTheme="minorEastAsia"/>
        </w:rPr>
        <w:t>约定执行。发包人不同意变更的，监理人应书面通知承包人。</w:t>
      </w:r>
    </w:p>
    <w:p>
      <w:pPr>
        <w:rPr>
          <w:rFonts w:asciiTheme="minorEastAsia" w:hAnsiTheme="minorEastAsia" w:eastAsiaTheme="minorEastAsia"/>
        </w:rPr>
      </w:pPr>
      <w:r>
        <w:rPr>
          <w:rFonts w:asciiTheme="minorEastAsia" w:hAnsiTheme="minorEastAsia" w:eastAsiaTheme="minorEastAsia"/>
        </w:rPr>
        <w:t>合理化建议降低了合同价格或者提高了工程经济效益的，发包人可对承包人给予奖励，奖励的方法和金额在专用合同条款中约定。</w:t>
      </w:r>
    </w:p>
    <w:p>
      <w:pPr>
        <w:rPr>
          <w:rFonts w:asciiTheme="minorEastAsia" w:hAnsiTheme="minorEastAsia" w:eastAsiaTheme="minorEastAsia"/>
          <w:b/>
          <w:bCs/>
        </w:rPr>
      </w:pPr>
      <w:bookmarkStart w:id="401" w:name="_Toc351203573"/>
      <w:r>
        <w:rPr>
          <w:rFonts w:asciiTheme="minorEastAsia" w:hAnsiTheme="minorEastAsia" w:eastAsiaTheme="minorEastAsia"/>
          <w:bCs/>
        </w:rPr>
        <w:t>1</w:t>
      </w:r>
      <w:bookmarkStart w:id="402" w:name="_Toc337558793"/>
      <w:r>
        <w:rPr>
          <w:rFonts w:asciiTheme="minorEastAsia" w:hAnsiTheme="minorEastAsia" w:eastAsiaTheme="minorEastAsia"/>
          <w:bCs/>
        </w:rPr>
        <w:t>0.6变更引起的工期调整</w:t>
      </w:r>
      <w:bookmarkEnd w:id="401"/>
      <w:r>
        <w:rPr>
          <w:rFonts w:asciiTheme="minorEastAsia" w:hAnsiTheme="minorEastAsia" w:eastAsiaTheme="minorEastAsia"/>
          <w:bCs/>
        </w:rPr>
        <w:t xml:space="preserve"> </w:t>
      </w:r>
      <w:bookmarkEnd w:id="402"/>
      <w:r>
        <w:rPr>
          <w:rFonts w:asciiTheme="minorEastAsia" w:hAnsiTheme="minorEastAsia" w:eastAsiaTheme="minorEastAsia"/>
          <w:bCs/>
        </w:rPr>
        <w:t xml:space="preserve"> </w:t>
      </w:r>
      <w:r>
        <w:rPr>
          <w:rFonts w:asciiTheme="minorEastAsia" w:hAnsiTheme="minorEastAsia" w:eastAsiaTheme="minorEastAsia"/>
          <w:b/>
          <w:bCs/>
        </w:rPr>
        <w:t xml:space="preserve"> </w:t>
      </w:r>
    </w:p>
    <w:p>
      <w:pPr>
        <w:rPr>
          <w:rFonts w:asciiTheme="minorEastAsia" w:hAnsiTheme="minorEastAsia" w:eastAsiaTheme="minorEastAsia"/>
        </w:rPr>
      </w:pPr>
      <w:r>
        <w:rPr>
          <w:rFonts w:asciiTheme="minorEastAsia" w:hAnsiTheme="minorEastAsia" w:eastAsiaTheme="minorEastAsia"/>
        </w:rPr>
        <w:t>因变更引起工期变化的，合同当事人均可要求调整合同工期，由合同当事人按照第4.4款</w:t>
      </w:r>
      <w:r>
        <w:rPr>
          <w:rFonts w:hint="eastAsia" w:asciiTheme="minorEastAsia" w:hAnsiTheme="minorEastAsia" w:eastAsiaTheme="minorEastAsia"/>
        </w:rPr>
        <w:t>〔</w:t>
      </w:r>
      <w:r>
        <w:rPr>
          <w:rFonts w:asciiTheme="minorEastAsia" w:hAnsiTheme="minorEastAsia" w:eastAsiaTheme="minorEastAsia"/>
        </w:rPr>
        <w:t>商定或确定</w:t>
      </w:r>
      <w:r>
        <w:rPr>
          <w:rFonts w:hint="eastAsia" w:asciiTheme="minorEastAsia" w:hAnsiTheme="minorEastAsia" w:eastAsiaTheme="minorEastAsia"/>
        </w:rPr>
        <w:t>〕</w:t>
      </w:r>
      <w:r>
        <w:rPr>
          <w:rFonts w:asciiTheme="minorEastAsia" w:hAnsiTheme="minorEastAsia" w:eastAsiaTheme="minorEastAsia"/>
        </w:rPr>
        <w:t>并参考工程所在地的工期定额标准确定增减工期天数。</w:t>
      </w:r>
    </w:p>
    <w:p>
      <w:pPr>
        <w:rPr>
          <w:rFonts w:asciiTheme="minorEastAsia" w:hAnsiTheme="minorEastAsia" w:eastAsiaTheme="minorEastAsia"/>
          <w:bCs/>
        </w:rPr>
      </w:pPr>
      <w:bookmarkStart w:id="403" w:name="_Toc351203574"/>
      <w:r>
        <w:rPr>
          <w:rFonts w:asciiTheme="minorEastAsia" w:hAnsiTheme="minorEastAsia" w:eastAsiaTheme="minorEastAsia"/>
          <w:bCs/>
        </w:rPr>
        <w:t>10.7暂估价</w:t>
      </w:r>
      <w:bookmarkEnd w:id="403"/>
    </w:p>
    <w:p>
      <w:pPr>
        <w:rPr>
          <w:rFonts w:asciiTheme="minorEastAsia" w:hAnsiTheme="minorEastAsia" w:eastAsiaTheme="minorEastAsia"/>
        </w:rPr>
      </w:pPr>
      <w:r>
        <w:rPr>
          <w:rFonts w:asciiTheme="minorEastAsia" w:hAnsiTheme="minorEastAsia" w:eastAsiaTheme="minorEastAsia"/>
        </w:rPr>
        <w:t>暂估价专业分包工程、</w:t>
      </w:r>
      <w:r>
        <w:rPr>
          <w:rFonts w:hint="eastAsia" w:asciiTheme="minorEastAsia" w:hAnsiTheme="minorEastAsia" w:eastAsiaTheme="minorEastAsia"/>
        </w:rPr>
        <w:t>服务、</w:t>
      </w:r>
      <w:r>
        <w:rPr>
          <w:rFonts w:asciiTheme="minorEastAsia" w:hAnsiTheme="minorEastAsia" w:eastAsiaTheme="minorEastAsia"/>
        </w:rPr>
        <w:t>材料和工程设备的明细由合同当事人在专用合同条款中约定。</w:t>
      </w:r>
    </w:p>
    <w:p>
      <w:pPr>
        <w:rPr>
          <w:rFonts w:asciiTheme="minorEastAsia" w:hAnsiTheme="minorEastAsia" w:eastAsiaTheme="minorEastAsia"/>
        </w:rPr>
      </w:pPr>
      <w:r>
        <w:rPr>
          <w:rFonts w:asciiTheme="minorEastAsia" w:hAnsiTheme="minorEastAsia" w:eastAsiaTheme="minorEastAsia"/>
        </w:rPr>
        <w:t>10.7.1 依法必须招标的暂估价项目</w:t>
      </w:r>
    </w:p>
    <w:p>
      <w:pPr>
        <w:rPr>
          <w:rFonts w:asciiTheme="minorEastAsia" w:hAnsiTheme="minorEastAsia" w:eastAsiaTheme="minorEastAsia"/>
        </w:rPr>
      </w:pPr>
      <w:r>
        <w:rPr>
          <w:rFonts w:asciiTheme="minorEastAsia" w:hAnsiTheme="minorEastAsia" w:eastAsiaTheme="minorEastAsia"/>
        </w:rPr>
        <w:t>对于依法必须招标的暂估价项目，采取以下第1种方式确定</w:t>
      </w:r>
      <w:r>
        <w:rPr>
          <w:rFonts w:hint="eastAsia" w:asciiTheme="minorEastAsia" w:hAnsiTheme="minorEastAsia" w:eastAsiaTheme="minorEastAsia"/>
        </w:rPr>
        <w:t>。合同当事人也可以在</w:t>
      </w:r>
      <w:r>
        <w:rPr>
          <w:rFonts w:asciiTheme="minorEastAsia" w:hAnsiTheme="minorEastAsia" w:eastAsiaTheme="minorEastAsia"/>
        </w:rPr>
        <w:t>专用合同条款</w:t>
      </w:r>
      <w:r>
        <w:rPr>
          <w:rFonts w:hint="eastAsia" w:asciiTheme="minorEastAsia" w:hAnsiTheme="minorEastAsia" w:eastAsiaTheme="minorEastAsia"/>
        </w:rPr>
        <w:t>中选择其他招标方式。</w:t>
      </w:r>
    </w:p>
    <w:p>
      <w:pPr>
        <w:rPr>
          <w:rFonts w:asciiTheme="minorEastAsia" w:hAnsiTheme="minorEastAsia" w:eastAsiaTheme="minorEastAsia"/>
        </w:rPr>
      </w:pPr>
      <w:r>
        <w:rPr>
          <w:rFonts w:asciiTheme="minorEastAsia" w:hAnsiTheme="minorEastAsia" w:eastAsiaTheme="minorEastAsia"/>
        </w:rPr>
        <w:t>第1种方式：对于依法必须招标的暂估价项目，由承包人招标，对该暂估价项目的确认和批准按照以下约定执行：</w:t>
      </w:r>
    </w:p>
    <w:p>
      <w:pPr>
        <w:rPr>
          <w:rFonts w:asciiTheme="minorEastAsia" w:hAnsiTheme="minorEastAsia" w:eastAsiaTheme="minorEastAsia"/>
        </w:rPr>
      </w:pPr>
      <w:r>
        <w:rPr>
          <w:rFonts w:asciiTheme="minorEastAsia" w:hAnsiTheme="minorEastAsia" w:eastAsiaTheme="minorEastAsia"/>
        </w:rPr>
        <w:t>（1）承包人应当根据施工进度计划，在招标工作启动前14天将招标方案通过监理人报送发包人审查，发包人应当在收到承包人报送的招标方案后7天内批准或提出修改意见。承包人应当按照经过发包人批准的招标方案开展招标工作；</w:t>
      </w:r>
    </w:p>
    <w:p>
      <w:pPr>
        <w:rPr>
          <w:rFonts w:asciiTheme="minorEastAsia" w:hAnsiTheme="minorEastAsia" w:eastAsiaTheme="minorEastAsia"/>
        </w:rPr>
      </w:pPr>
      <w:r>
        <w:rPr>
          <w:rFonts w:asciiTheme="minorEastAsia" w:hAnsiTheme="minorEastAsia" w:eastAsiaTheme="minorEastAsia"/>
        </w:rPr>
        <w:t>（2）承包人应当根据施工进度计划，提前14天将招标文件通过监理人报送发包人审批，发包人应当在收到承包人报送的相关文件后7天内完成审批或提出修改意见；发包人有权确定招标控制价</w:t>
      </w:r>
      <w:r>
        <w:rPr>
          <w:rFonts w:hint="eastAsia" w:asciiTheme="minorEastAsia" w:hAnsiTheme="minorEastAsia" w:eastAsiaTheme="minorEastAsia"/>
        </w:rPr>
        <w:t>并按照法律规定参加评标</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 xml:space="preserve">    （3）承包人与供应商、分包人在签订暂估价合同前，应当提前7天将确定的中标候选供应商或中标候选分包人的资料报送发包人，发包人应在收到资料后3天内与承包人共同确定中标人；承包人应当在签订合同后7天内，将暂估价合同副本报送发包人留存。</w:t>
      </w:r>
    </w:p>
    <w:p>
      <w:pPr>
        <w:rPr>
          <w:rFonts w:asciiTheme="minorEastAsia" w:hAnsiTheme="minorEastAsia" w:eastAsiaTheme="minorEastAsia"/>
        </w:rPr>
      </w:pPr>
      <w:r>
        <w:rPr>
          <w:rFonts w:asciiTheme="minorEastAsia" w:hAnsiTheme="minorEastAsia" w:eastAsiaTheme="minorEastAsia"/>
        </w:rPr>
        <w:t>第2种方式：对于依法必须招标的暂估价项目，由发包人和承包人共同招标确定暂估价供应商或分包人的，承包人应按照施工进度计划，在招标工作启动前14天通知发包人，并提交暂估价招标方案和工作分工。发包人应在收到后7天内确认。确定中标人后，由发包人、承包人与中标人共同签订暂估价合同。</w:t>
      </w:r>
    </w:p>
    <w:p>
      <w:pPr>
        <w:rPr>
          <w:rFonts w:asciiTheme="minorEastAsia" w:hAnsiTheme="minorEastAsia" w:eastAsiaTheme="minorEastAsia"/>
        </w:rPr>
      </w:pPr>
      <w:r>
        <w:rPr>
          <w:rFonts w:asciiTheme="minorEastAsia" w:hAnsiTheme="minorEastAsia" w:eastAsiaTheme="minorEastAsia"/>
        </w:rPr>
        <w:t>10.7.2不属于依法必须招标的暂估价项目</w:t>
      </w:r>
    </w:p>
    <w:p>
      <w:pPr>
        <w:rPr>
          <w:rFonts w:asciiTheme="minorEastAsia" w:hAnsiTheme="minorEastAsia" w:eastAsiaTheme="minorEastAsia"/>
        </w:rPr>
      </w:pPr>
      <w:r>
        <w:rPr>
          <w:rFonts w:asciiTheme="minorEastAsia" w:hAnsiTheme="minorEastAsia" w:eastAsiaTheme="minorEastAsia"/>
        </w:rPr>
        <w:t>除专用合同条款另有约定外，对于不属于依法必须招标的暂估价项目，采取以下第1种方式确定：</w:t>
      </w:r>
      <w:r>
        <w:rPr>
          <w:rFonts w:hint="eastAsia" w:asciiTheme="minorEastAsia" w:hAnsiTheme="minorEastAsia" w:eastAsiaTheme="minorEastAsia"/>
        </w:rPr>
        <w:t xml:space="preserve"> </w:t>
      </w:r>
    </w:p>
    <w:p>
      <w:pPr>
        <w:rPr>
          <w:rFonts w:asciiTheme="minorEastAsia" w:hAnsiTheme="minorEastAsia" w:eastAsiaTheme="minorEastAsia"/>
        </w:rPr>
      </w:pPr>
      <w:r>
        <w:rPr>
          <w:rFonts w:asciiTheme="minorEastAsia" w:hAnsiTheme="minorEastAsia" w:eastAsiaTheme="minorEastAsia"/>
        </w:rPr>
        <w:t>第1种方式：对于不属于依法必须招标的暂估价项目，按本项约定确认和批准：</w:t>
      </w:r>
    </w:p>
    <w:p>
      <w:pPr>
        <w:rPr>
          <w:rFonts w:asciiTheme="minorEastAsia" w:hAnsiTheme="minorEastAsia" w:eastAsiaTheme="minorEastAsia"/>
        </w:rPr>
      </w:pPr>
      <w:r>
        <w:rPr>
          <w:rFonts w:asciiTheme="minorEastAsia" w:hAnsiTheme="minorEastAsia" w:eastAsiaTheme="minorEastAsia"/>
        </w:rPr>
        <w:t>（1）承包人应根据施工进度计划，在签订暂估价项目的采购合同、分包合同前28天向监理人提出书面申请。监理人应当在收到申请后3天内报送发包人，发包人应当在收到申请后14天内给予批准或提出修改意见，发包人逾期未予批准或提出修改意见的，视为该书面申请已获得同意；</w:t>
      </w:r>
    </w:p>
    <w:p>
      <w:pPr>
        <w:rPr>
          <w:rFonts w:asciiTheme="minorEastAsia" w:hAnsiTheme="minorEastAsia" w:eastAsiaTheme="minorEastAsia"/>
        </w:rPr>
      </w:pPr>
      <w:r>
        <w:rPr>
          <w:rFonts w:asciiTheme="minorEastAsia" w:hAnsiTheme="minorEastAsia" w:eastAsiaTheme="minorEastAsia"/>
        </w:rPr>
        <w:t>（2）发包人认为承包人确定的供应商、分包人无法满足工程质量或合同要求的，发包人可以要求承包人重新确定暂估价项目的供应商、分包人;</w:t>
      </w:r>
    </w:p>
    <w:p>
      <w:pPr>
        <w:rPr>
          <w:rFonts w:asciiTheme="minorEastAsia" w:hAnsiTheme="minorEastAsia" w:eastAsiaTheme="minorEastAsia"/>
        </w:rPr>
      </w:pPr>
      <w:r>
        <w:rPr>
          <w:rFonts w:asciiTheme="minorEastAsia" w:hAnsiTheme="minorEastAsia" w:eastAsiaTheme="minorEastAsia"/>
        </w:rPr>
        <w:t>（3）承包人应当在签订暂估价合同后7天内，将暂估价合同副本报送发包人留存。</w:t>
      </w:r>
    </w:p>
    <w:p>
      <w:pPr>
        <w:rPr>
          <w:rFonts w:asciiTheme="minorEastAsia" w:hAnsiTheme="minorEastAsia" w:eastAsiaTheme="minorEastAsia"/>
        </w:rPr>
      </w:pPr>
      <w:r>
        <w:rPr>
          <w:rFonts w:asciiTheme="minorEastAsia" w:hAnsiTheme="minorEastAsia" w:eastAsiaTheme="minorEastAsia"/>
        </w:rPr>
        <w:t>第2种方式：承包人按照第10.7.1项</w:t>
      </w:r>
      <w:r>
        <w:rPr>
          <w:rFonts w:hint="eastAsia" w:asciiTheme="minorEastAsia" w:hAnsiTheme="minorEastAsia" w:eastAsiaTheme="minorEastAsia"/>
        </w:rPr>
        <w:t>〔</w:t>
      </w:r>
      <w:r>
        <w:rPr>
          <w:rFonts w:asciiTheme="minorEastAsia" w:hAnsiTheme="minorEastAsia" w:eastAsiaTheme="minorEastAsia"/>
        </w:rPr>
        <w:t>依法必须招标的暂估价项目</w:t>
      </w:r>
      <w:r>
        <w:rPr>
          <w:rFonts w:hint="eastAsia" w:asciiTheme="minorEastAsia" w:hAnsiTheme="minorEastAsia" w:eastAsiaTheme="minorEastAsia"/>
        </w:rPr>
        <w:t>〕</w:t>
      </w:r>
      <w:r>
        <w:rPr>
          <w:rFonts w:asciiTheme="minorEastAsia" w:hAnsiTheme="minorEastAsia" w:eastAsiaTheme="minorEastAsia"/>
        </w:rPr>
        <w:t>约定的第1种方式确定暂估价项目。</w:t>
      </w:r>
    </w:p>
    <w:p>
      <w:pPr>
        <w:rPr>
          <w:rFonts w:asciiTheme="minorEastAsia" w:hAnsiTheme="minorEastAsia" w:eastAsiaTheme="minorEastAsia"/>
        </w:rPr>
      </w:pPr>
      <w:r>
        <w:rPr>
          <w:rFonts w:asciiTheme="minorEastAsia" w:hAnsiTheme="minorEastAsia" w:eastAsiaTheme="minorEastAsia"/>
        </w:rPr>
        <w:t>第3种方式：承包人直接实施的暂估价项目</w:t>
      </w:r>
    </w:p>
    <w:p>
      <w:pPr>
        <w:rPr>
          <w:rFonts w:asciiTheme="minorEastAsia" w:hAnsiTheme="minorEastAsia" w:eastAsiaTheme="minorEastAsia"/>
        </w:rPr>
      </w:pPr>
      <w:r>
        <w:rPr>
          <w:rFonts w:asciiTheme="minorEastAsia" w:hAnsiTheme="minorEastAsia" w:eastAsiaTheme="minorEastAsia"/>
        </w:rPr>
        <w:t>承包人具备实施暂估价项目的资格和条件的，经发包人和承包人协商一致后，可由承包人自行实施暂估价项目，合同当事人可以在专用合同条款约定具体事项。</w:t>
      </w:r>
    </w:p>
    <w:p>
      <w:pPr>
        <w:rPr>
          <w:rFonts w:asciiTheme="minorEastAsia" w:hAnsiTheme="minorEastAsia" w:eastAsiaTheme="minorEastAsia"/>
        </w:rPr>
      </w:pPr>
      <w:r>
        <w:rPr>
          <w:rFonts w:asciiTheme="minorEastAsia" w:hAnsiTheme="minorEastAsia" w:eastAsiaTheme="minorEastAsia"/>
        </w:rPr>
        <w:t>10.7.3 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p>
    <w:p>
      <w:pPr>
        <w:rPr>
          <w:rFonts w:asciiTheme="minorEastAsia" w:hAnsiTheme="minorEastAsia" w:eastAsiaTheme="minorEastAsia"/>
          <w:bCs/>
        </w:rPr>
      </w:pPr>
      <w:bookmarkStart w:id="404" w:name="_Toc351203575"/>
      <w:r>
        <w:rPr>
          <w:rFonts w:asciiTheme="minorEastAsia" w:hAnsiTheme="minorEastAsia" w:eastAsiaTheme="minorEastAsia"/>
          <w:bCs/>
        </w:rPr>
        <w:t>1</w:t>
      </w:r>
      <w:bookmarkStart w:id="405" w:name="_Toc337558794"/>
      <w:bookmarkStart w:id="406" w:name="_Toc296346591"/>
      <w:bookmarkStart w:id="407" w:name="_Toc296503090"/>
      <w:bookmarkStart w:id="408" w:name="_Toc322522561"/>
      <w:r>
        <w:rPr>
          <w:rFonts w:asciiTheme="minorEastAsia" w:hAnsiTheme="minorEastAsia" w:eastAsiaTheme="minorEastAsia"/>
          <w:bCs/>
        </w:rPr>
        <w:t>0.8暂列金额</w:t>
      </w:r>
      <w:bookmarkEnd w:id="404"/>
    </w:p>
    <w:bookmarkEnd w:id="405"/>
    <w:p>
      <w:pPr>
        <w:rPr>
          <w:rFonts w:asciiTheme="minorEastAsia" w:hAnsiTheme="minorEastAsia" w:eastAsiaTheme="minorEastAsia"/>
        </w:rPr>
      </w:pPr>
      <w:r>
        <w:rPr>
          <w:rFonts w:asciiTheme="minorEastAsia" w:hAnsiTheme="minorEastAsia" w:eastAsiaTheme="minorEastAsia"/>
        </w:rPr>
        <w:t>暂列金额应按照发包人的要求使用，发包人的要求应通过监理人发出。</w:t>
      </w:r>
      <w:r>
        <w:rPr>
          <w:rFonts w:hint="eastAsia" w:asciiTheme="minorEastAsia" w:hAnsiTheme="minorEastAsia" w:eastAsiaTheme="minorEastAsia"/>
        </w:rPr>
        <w:t>合同当事人可以在专用合同条款中协商确定有关事项。</w:t>
      </w:r>
    </w:p>
    <w:bookmarkEnd w:id="406"/>
    <w:bookmarkEnd w:id="407"/>
    <w:bookmarkEnd w:id="408"/>
    <w:p>
      <w:pPr>
        <w:rPr>
          <w:rFonts w:asciiTheme="minorEastAsia" w:hAnsiTheme="minorEastAsia" w:eastAsiaTheme="minorEastAsia"/>
          <w:bCs/>
        </w:rPr>
      </w:pPr>
      <w:bookmarkStart w:id="409" w:name="_Toc351203576"/>
      <w:r>
        <w:rPr>
          <w:rFonts w:asciiTheme="minorEastAsia" w:hAnsiTheme="minorEastAsia" w:eastAsiaTheme="minorEastAsia"/>
          <w:bCs/>
        </w:rPr>
        <w:t>1</w:t>
      </w:r>
      <w:bookmarkStart w:id="410" w:name="_Toc296503091"/>
      <w:bookmarkStart w:id="411" w:name="_Toc337558796"/>
      <w:bookmarkStart w:id="412" w:name="_Toc296346592"/>
      <w:r>
        <w:rPr>
          <w:rFonts w:asciiTheme="minorEastAsia" w:hAnsiTheme="minorEastAsia" w:eastAsiaTheme="minorEastAsia"/>
          <w:bCs/>
        </w:rPr>
        <w:t>0.9计日工</w:t>
      </w:r>
      <w:bookmarkEnd w:id="409"/>
      <w:r>
        <w:rPr>
          <w:rFonts w:asciiTheme="minorEastAsia" w:hAnsiTheme="minorEastAsia" w:eastAsiaTheme="minorEastAsia"/>
          <w:bCs/>
        </w:rPr>
        <w:t xml:space="preserve"> </w:t>
      </w:r>
      <w:bookmarkEnd w:id="410"/>
      <w:bookmarkEnd w:id="411"/>
      <w:bookmarkEnd w:id="412"/>
    </w:p>
    <w:p>
      <w:pPr>
        <w:rPr>
          <w:rFonts w:asciiTheme="minorEastAsia" w:hAnsiTheme="minorEastAsia" w:eastAsiaTheme="minorEastAsia"/>
        </w:rPr>
      </w:pPr>
      <w:r>
        <w:rPr>
          <w:rFonts w:hint="eastAsia" w:asciiTheme="minorEastAsia" w:hAnsiTheme="minorEastAsia" w:eastAsiaTheme="minorEastAsia"/>
        </w:rPr>
        <w:t>需要采用计日工方式的，经发包人同意后</w:t>
      </w:r>
      <w:r>
        <w:rPr>
          <w:rFonts w:asciiTheme="minorEastAsia" w:hAnsiTheme="minorEastAsia" w:eastAsiaTheme="minorEastAsia"/>
        </w:rPr>
        <w:t>，由监理人通知承包人以计日工计价方式实施</w:t>
      </w:r>
      <w:r>
        <w:rPr>
          <w:rFonts w:hint="eastAsia" w:asciiTheme="minorEastAsia" w:hAnsiTheme="minorEastAsia" w:eastAsiaTheme="minorEastAsia"/>
        </w:rPr>
        <w:t>相应</w:t>
      </w:r>
      <w:r>
        <w:rPr>
          <w:rFonts w:asciiTheme="minorEastAsia" w:hAnsiTheme="minorEastAsia" w:eastAsiaTheme="minorEastAsia"/>
        </w:rPr>
        <w:t>的工作，其价款按列入已标价工程量清单或预算书中的计日工计价项目及其单价进行计算；已标价工程量清单或预算书中无相应的计日工单价的，按照合理的成本与利润构成的原则，由合同当事人按照第4.4款</w:t>
      </w:r>
      <w:r>
        <w:rPr>
          <w:rFonts w:hint="eastAsia" w:asciiTheme="minorEastAsia" w:hAnsiTheme="minorEastAsia" w:eastAsiaTheme="minorEastAsia"/>
        </w:rPr>
        <w:t>〔</w:t>
      </w:r>
      <w:r>
        <w:rPr>
          <w:rFonts w:asciiTheme="minorEastAsia" w:hAnsiTheme="minorEastAsia" w:eastAsiaTheme="minorEastAsia"/>
        </w:rPr>
        <w:t>商定或确定</w:t>
      </w:r>
      <w:r>
        <w:rPr>
          <w:rFonts w:hint="eastAsia" w:asciiTheme="minorEastAsia" w:hAnsiTheme="minorEastAsia" w:eastAsiaTheme="minorEastAsia"/>
        </w:rPr>
        <w:t>〕</w:t>
      </w:r>
      <w:r>
        <w:rPr>
          <w:rFonts w:asciiTheme="minorEastAsia" w:hAnsiTheme="minorEastAsia" w:eastAsiaTheme="minorEastAsia"/>
        </w:rPr>
        <w:t>确定</w:t>
      </w:r>
      <w:r>
        <w:rPr>
          <w:rFonts w:hint="eastAsia" w:asciiTheme="minorEastAsia" w:hAnsiTheme="minorEastAsia" w:eastAsiaTheme="minorEastAsia"/>
        </w:rPr>
        <w:t>计日工</w:t>
      </w:r>
      <w:r>
        <w:rPr>
          <w:rFonts w:asciiTheme="minorEastAsia" w:hAnsiTheme="minorEastAsia" w:eastAsiaTheme="minorEastAsia"/>
        </w:rPr>
        <w:t>的单价。</w:t>
      </w:r>
    </w:p>
    <w:p>
      <w:pPr>
        <w:rPr>
          <w:rFonts w:asciiTheme="minorEastAsia" w:hAnsiTheme="minorEastAsia" w:eastAsiaTheme="minorEastAsia"/>
        </w:rPr>
      </w:pPr>
      <w:r>
        <w:rPr>
          <w:rFonts w:asciiTheme="minorEastAsia" w:hAnsiTheme="minorEastAsia" w:eastAsiaTheme="minorEastAsia"/>
        </w:rPr>
        <w:t>采用计日工计价的任何一项工作，承包人应在该项工作实施过程中，每天提交以下报表和有关凭证报送监理人审查：</w:t>
      </w:r>
    </w:p>
    <w:p>
      <w:pPr>
        <w:rPr>
          <w:rFonts w:asciiTheme="minorEastAsia" w:hAnsiTheme="minorEastAsia" w:eastAsiaTheme="minorEastAsia"/>
        </w:rPr>
      </w:pPr>
      <w:r>
        <w:rPr>
          <w:rFonts w:asciiTheme="minorEastAsia" w:hAnsiTheme="minorEastAsia" w:eastAsiaTheme="minorEastAsia"/>
        </w:rPr>
        <w:t>（1）工作名称、内容和数量；</w:t>
      </w:r>
    </w:p>
    <w:p>
      <w:pPr>
        <w:rPr>
          <w:rFonts w:asciiTheme="minorEastAsia" w:hAnsiTheme="minorEastAsia" w:eastAsiaTheme="minorEastAsia"/>
        </w:rPr>
      </w:pPr>
      <w:r>
        <w:rPr>
          <w:rFonts w:asciiTheme="minorEastAsia" w:hAnsiTheme="minorEastAsia" w:eastAsiaTheme="minorEastAsia"/>
        </w:rPr>
        <w:t>（2）投入该工作的所有人员的姓名、专业、工种、级别和耗用工时；</w:t>
      </w:r>
    </w:p>
    <w:p>
      <w:pPr>
        <w:rPr>
          <w:rFonts w:asciiTheme="minorEastAsia" w:hAnsiTheme="minorEastAsia" w:eastAsiaTheme="minorEastAsia"/>
        </w:rPr>
      </w:pPr>
      <w:r>
        <w:rPr>
          <w:rFonts w:asciiTheme="minorEastAsia" w:hAnsiTheme="minorEastAsia" w:eastAsiaTheme="minorEastAsia"/>
        </w:rPr>
        <w:t>（3）投入该工作的材料类别和数量；</w:t>
      </w:r>
    </w:p>
    <w:p>
      <w:pPr>
        <w:rPr>
          <w:rFonts w:asciiTheme="minorEastAsia" w:hAnsiTheme="minorEastAsia" w:eastAsiaTheme="minorEastAsia"/>
        </w:rPr>
      </w:pPr>
      <w:r>
        <w:rPr>
          <w:rFonts w:asciiTheme="minorEastAsia" w:hAnsiTheme="minorEastAsia" w:eastAsiaTheme="minorEastAsia"/>
        </w:rPr>
        <w:t>（4）投入该工作的施工设备型号、台数和耗用台时；</w:t>
      </w:r>
    </w:p>
    <w:p>
      <w:pPr>
        <w:rPr>
          <w:rFonts w:asciiTheme="minorEastAsia" w:hAnsiTheme="minorEastAsia" w:eastAsiaTheme="minorEastAsia"/>
        </w:rPr>
      </w:pPr>
      <w:r>
        <w:rPr>
          <w:rFonts w:asciiTheme="minorEastAsia" w:hAnsiTheme="minorEastAsia" w:eastAsiaTheme="minorEastAsia"/>
        </w:rPr>
        <w:t>（5）其他有关资料和凭证。</w:t>
      </w:r>
    </w:p>
    <w:p>
      <w:pPr>
        <w:rPr>
          <w:rFonts w:asciiTheme="minorEastAsia" w:hAnsiTheme="minorEastAsia" w:eastAsiaTheme="minorEastAsia"/>
        </w:rPr>
      </w:pPr>
      <w:r>
        <w:rPr>
          <w:rFonts w:asciiTheme="minorEastAsia" w:hAnsiTheme="minorEastAsia" w:eastAsiaTheme="minorEastAsia"/>
        </w:rPr>
        <w:t xml:space="preserve"> 计日工由承包人汇总后，列入最近一期进度付款申请单，由监理人审查并经发包人批准后列入进度付款。</w:t>
      </w:r>
    </w:p>
    <w:p>
      <w:pPr>
        <w:rPr>
          <w:rFonts w:asciiTheme="minorEastAsia" w:hAnsiTheme="minorEastAsia" w:eastAsiaTheme="minorEastAsia"/>
          <w:bCs/>
        </w:rPr>
      </w:pPr>
      <w:bookmarkStart w:id="413" w:name="_Toc351203577"/>
      <w:r>
        <w:rPr>
          <w:rFonts w:asciiTheme="minorEastAsia" w:hAnsiTheme="minorEastAsia" w:eastAsiaTheme="minorEastAsia"/>
          <w:bCs/>
        </w:rPr>
        <w:t>11. 价格调整</w:t>
      </w:r>
      <w:bookmarkEnd w:id="413"/>
    </w:p>
    <w:p>
      <w:pPr>
        <w:rPr>
          <w:rFonts w:asciiTheme="minorEastAsia" w:hAnsiTheme="minorEastAsia" w:eastAsiaTheme="minorEastAsia"/>
          <w:bCs/>
        </w:rPr>
      </w:pPr>
      <w:bookmarkStart w:id="414" w:name="_Toc351203578"/>
      <w:bookmarkStart w:id="415" w:name="_Toc337558797"/>
      <w:bookmarkStart w:id="416" w:name="_Toc296346593"/>
      <w:bookmarkStart w:id="417" w:name="_Toc296503092"/>
      <w:r>
        <w:rPr>
          <w:rFonts w:asciiTheme="minorEastAsia" w:hAnsiTheme="minorEastAsia" w:eastAsiaTheme="minorEastAsia"/>
          <w:bCs/>
        </w:rPr>
        <w:t>11.1市场价格波动引起的调整</w:t>
      </w:r>
      <w:bookmarkEnd w:id="414"/>
    </w:p>
    <w:bookmarkEnd w:id="415"/>
    <w:bookmarkEnd w:id="416"/>
    <w:bookmarkEnd w:id="417"/>
    <w:p>
      <w:pPr>
        <w:rPr>
          <w:rFonts w:asciiTheme="minorEastAsia" w:hAnsiTheme="minorEastAsia" w:eastAsiaTheme="minorEastAsia"/>
        </w:rPr>
      </w:pPr>
      <w:r>
        <w:rPr>
          <w:rFonts w:asciiTheme="minorEastAsia" w:hAnsiTheme="minorEastAsia" w:eastAsiaTheme="minorEastAsia"/>
        </w:rPr>
        <w:t>除专用合同条款另有约定外，市场价格波动超过合同当事人约定的范围，合同价格应当调整。合同当事人可以在专用合同条款中约定选择以下一种方式对合同价格进行调整：</w:t>
      </w:r>
    </w:p>
    <w:p>
      <w:pPr>
        <w:rPr>
          <w:rFonts w:asciiTheme="minorEastAsia" w:hAnsiTheme="minorEastAsia" w:eastAsiaTheme="minorEastAsia"/>
        </w:rPr>
      </w:pPr>
      <w:r>
        <w:rPr>
          <w:rFonts w:asciiTheme="minorEastAsia" w:hAnsiTheme="minorEastAsia" w:eastAsiaTheme="minorEastAsia"/>
        </w:rPr>
        <w:t>第1种方式：采用价格指数</w:t>
      </w:r>
      <w:r>
        <w:rPr>
          <w:rFonts w:hint="eastAsia" w:asciiTheme="minorEastAsia" w:hAnsiTheme="minorEastAsia" w:eastAsiaTheme="minorEastAsia"/>
        </w:rPr>
        <w:t>进行价格</w:t>
      </w:r>
      <w:r>
        <w:rPr>
          <w:rFonts w:asciiTheme="minorEastAsia" w:hAnsiTheme="minorEastAsia" w:eastAsiaTheme="minorEastAsia"/>
        </w:rPr>
        <w:t>调整。</w:t>
      </w:r>
    </w:p>
    <w:p>
      <w:pPr>
        <w:rPr>
          <w:rFonts w:asciiTheme="minorEastAsia" w:hAnsiTheme="minorEastAsia" w:eastAsiaTheme="minorEastAsia"/>
        </w:rPr>
      </w:pPr>
      <w:r>
        <w:rPr>
          <w:rFonts w:asciiTheme="minorEastAsia" w:hAnsiTheme="minorEastAsia" w:eastAsiaTheme="minorEastAsia"/>
        </w:rPr>
        <w:t>（1）价格调整公式</w:t>
      </w:r>
    </w:p>
    <w:p>
      <w:pPr>
        <w:rPr>
          <w:rFonts w:asciiTheme="minorEastAsia" w:hAnsiTheme="minorEastAsia" w:eastAsiaTheme="minorEastAsia"/>
        </w:rPr>
      </w:pPr>
      <w:r>
        <w:rPr>
          <w:rFonts w:asciiTheme="minorEastAsia" w:hAnsiTheme="minorEastAsia" w:eastAsiaTheme="minorEastAsia"/>
        </w:rPr>
        <w:t>因人工、材料和设备等价格波动影响合同价格时，根据专用合同条款中约定的数据，按以下公式计算差额并调整合同价格：</w:t>
      </w:r>
    </w:p>
    <w:p>
      <w:pPr>
        <w:rPr>
          <w:rFonts w:asciiTheme="minorEastAsia" w:hAnsiTheme="minorEastAsia" w:eastAsiaTheme="minorEastAsia"/>
        </w:rPr>
      </w:pPr>
      <w:r>
        <w:rPr>
          <w:rFonts w:asciiTheme="minorEastAsia" w:hAnsiTheme="minorEastAsia" w:eastAsiaTheme="minorEastAsia"/>
          <w:position w:val="-30"/>
        </w:rPr>
        <w:drawing>
          <wp:inline distT="0" distB="0" distL="0" distR="0">
            <wp:extent cx="4572000" cy="556260"/>
            <wp:effectExtent l="0" t="0" r="0" b="15240"/>
            <wp:docPr id="34" name="对象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对象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572000" cy="556260"/>
                    </a:xfrm>
                    <a:prstGeom prst="rect">
                      <a:avLst/>
                    </a:prstGeom>
                    <a:noFill/>
                    <a:ln>
                      <a:noFill/>
                    </a:ln>
                  </pic:spPr>
                </pic:pic>
              </a:graphicData>
            </a:graphic>
          </wp:inline>
        </w:drawing>
      </w:r>
    </w:p>
    <w:p>
      <w:pPr>
        <w:rPr>
          <w:rFonts w:asciiTheme="minorEastAsia" w:hAnsiTheme="minorEastAsia" w:eastAsiaTheme="minorEastAsia"/>
        </w:rPr>
      </w:pPr>
      <w:r>
        <w:rPr>
          <w:rFonts w:asciiTheme="minorEastAsia" w:hAnsiTheme="minorEastAsia" w:eastAsiaTheme="minorEastAsia"/>
        </w:rPr>
        <w:t>公式中：ΔP——需调整的价格差额；</w:t>
      </w:r>
    </w:p>
    <w:p>
      <w:pPr>
        <w:rPr>
          <w:rFonts w:asciiTheme="minorEastAsia" w:hAnsiTheme="minorEastAsia" w:eastAsiaTheme="minorEastAsia"/>
        </w:rPr>
      </w:pPr>
      <w:r>
        <w:rPr>
          <w:rFonts w:asciiTheme="minorEastAsia" w:hAnsiTheme="minorEastAsia" w:eastAsiaTheme="minorEastAsia"/>
          <w:position w:val="-6"/>
        </w:rPr>
        <w:drawing>
          <wp:inline distT="0" distB="0" distL="0" distR="0">
            <wp:extent cx="228600" cy="228600"/>
            <wp:effectExtent l="0" t="0" r="0" b="0"/>
            <wp:docPr id="35" name="对象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对象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28600" cy="228600"/>
                    </a:xfrm>
                    <a:prstGeom prst="rect">
                      <a:avLst/>
                    </a:prstGeom>
                    <a:noFill/>
                    <a:ln>
                      <a:noFill/>
                    </a:ln>
                  </pic:spPr>
                </pic:pic>
              </a:graphicData>
            </a:graphic>
          </wp:inline>
        </w:drawing>
      </w:r>
      <w:r>
        <w:rPr>
          <w:rFonts w:asciiTheme="minorEastAsia" w:hAnsiTheme="minorEastAsia" w:eastAsiaTheme="minorEastAsia"/>
        </w:rPr>
        <w:t>——约定的付款证书中承包人应得到的已完成工程量的金额。此项金额应不包括价格调整、不计质量保证金的扣留和支付、预付款的支付和扣回。约定的变更及其他金额已按现行价格计价的，也不计在内；</w:t>
      </w:r>
    </w:p>
    <w:p>
      <w:pPr>
        <w:rPr>
          <w:rFonts w:asciiTheme="minorEastAsia" w:hAnsiTheme="minorEastAsia" w:eastAsiaTheme="minorEastAsia"/>
        </w:rPr>
      </w:pPr>
      <w:r>
        <w:rPr>
          <w:rFonts w:asciiTheme="minorEastAsia" w:hAnsiTheme="minorEastAsia" w:eastAsiaTheme="minorEastAsia"/>
        </w:rPr>
        <w:t>A——定值权重（即不调部分的权重）；</w:t>
      </w:r>
    </w:p>
    <w:p>
      <w:pPr>
        <w:rPr>
          <w:rFonts w:asciiTheme="minorEastAsia" w:hAnsiTheme="minorEastAsia" w:eastAsiaTheme="minorEastAsia"/>
        </w:rPr>
      </w:pPr>
      <w:r>
        <w:rPr>
          <w:rFonts w:asciiTheme="minorEastAsia" w:hAnsiTheme="minorEastAsia" w:eastAsiaTheme="minorEastAsia"/>
          <w:position w:val="-10"/>
        </w:rPr>
        <w:drawing>
          <wp:inline distT="0" distB="0" distL="0" distR="0">
            <wp:extent cx="1280160" cy="266700"/>
            <wp:effectExtent l="0" t="0" r="15240" b="0"/>
            <wp:docPr id="36" name="对象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对象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280160" cy="266700"/>
                    </a:xfrm>
                    <a:prstGeom prst="rect">
                      <a:avLst/>
                    </a:prstGeom>
                    <a:noFill/>
                    <a:ln>
                      <a:noFill/>
                    </a:ln>
                  </pic:spPr>
                </pic:pic>
              </a:graphicData>
            </a:graphic>
          </wp:inline>
        </w:drawing>
      </w:r>
      <w:r>
        <w:rPr>
          <w:rFonts w:asciiTheme="minorEastAsia" w:hAnsiTheme="minorEastAsia" w:eastAsiaTheme="minorEastAsia"/>
        </w:rPr>
        <w:t>——各可调因子的变值权重（即可调部分的权重），为各可调因子在签约合同价中所占的比例；</w:t>
      </w:r>
    </w:p>
    <w:p>
      <w:pPr>
        <w:rPr>
          <w:rFonts w:asciiTheme="minorEastAsia" w:hAnsiTheme="minorEastAsia" w:eastAsiaTheme="minorEastAsia"/>
        </w:rPr>
      </w:pPr>
      <w:r>
        <w:rPr>
          <w:rFonts w:asciiTheme="minorEastAsia" w:hAnsiTheme="minorEastAsia" w:eastAsiaTheme="minorEastAsia"/>
          <w:position w:val="-10"/>
        </w:rPr>
        <w:drawing>
          <wp:inline distT="0" distB="0" distL="0" distR="0">
            <wp:extent cx="1295400" cy="259080"/>
            <wp:effectExtent l="0" t="0" r="0" b="6350"/>
            <wp:docPr id="37" name="对象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对象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295400" cy="259080"/>
                    </a:xfrm>
                    <a:prstGeom prst="rect">
                      <a:avLst/>
                    </a:prstGeom>
                    <a:noFill/>
                    <a:ln>
                      <a:noFill/>
                    </a:ln>
                  </pic:spPr>
                </pic:pic>
              </a:graphicData>
            </a:graphic>
          </wp:inline>
        </w:drawing>
      </w:r>
      <w:r>
        <w:rPr>
          <w:rFonts w:asciiTheme="minorEastAsia" w:hAnsiTheme="minorEastAsia" w:eastAsiaTheme="minorEastAsia"/>
        </w:rPr>
        <w:t>——各可调因子的现行价格指数，指约定的付款证书相关周期最后一天的前42天的各可调因子的价格指数；</w:t>
      </w:r>
    </w:p>
    <w:p>
      <w:pPr>
        <w:rPr>
          <w:rFonts w:asciiTheme="minorEastAsia" w:hAnsiTheme="minorEastAsia" w:eastAsiaTheme="minorEastAsia"/>
        </w:rPr>
      </w:pPr>
      <w:r>
        <w:rPr>
          <w:rFonts w:asciiTheme="minorEastAsia" w:hAnsiTheme="minorEastAsia" w:eastAsiaTheme="minorEastAsia"/>
          <w:position w:val="-10"/>
        </w:rPr>
        <w:drawing>
          <wp:inline distT="0" distB="0" distL="0" distR="0">
            <wp:extent cx="1371600" cy="259080"/>
            <wp:effectExtent l="0" t="0" r="0" b="6350"/>
            <wp:docPr id="38" name="对象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对象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371600" cy="259080"/>
                    </a:xfrm>
                    <a:prstGeom prst="rect">
                      <a:avLst/>
                    </a:prstGeom>
                    <a:noFill/>
                    <a:ln>
                      <a:noFill/>
                    </a:ln>
                  </pic:spPr>
                </pic:pic>
              </a:graphicData>
            </a:graphic>
          </wp:inline>
        </w:drawing>
      </w:r>
      <w:r>
        <w:rPr>
          <w:rFonts w:asciiTheme="minorEastAsia" w:hAnsiTheme="minorEastAsia" w:eastAsiaTheme="minorEastAsia"/>
        </w:rPr>
        <w:t>——各可调因子的基本价格指数，指基准日期的各可调因子的价格指数。</w:t>
      </w:r>
    </w:p>
    <w:p>
      <w:pPr>
        <w:rPr>
          <w:rFonts w:asciiTheme="minorEastAsia" w:hAnsiTheme="minorEastAsia" w:eastAsiaTheme="minorEastAsia"/>
        </w:rPr>
      </w:pPr>
      <w:r>
        <w:rPr>
          <w:rFonts w:asciiTheme="minorEastAsia" w:hAnsiTheme="minorEastAsia" w:eastAsiaTheme="minorEastAsia"/>
        </w:rPr>
        <w:t>以上价格调整公式中的各可调因子、定值和变值权重，以及基本价格指数及其来源在投标函附录价格指数和权重表中约定，非招标订立的合同，由合同当事人在专用合同条款中约定。价格指数应首先采用工程造价管理机构发布的价格指数，无前述价格指数时，可采用工程造价管理机构发布的价格代替。</w:t>
      </w:r>
    </w:p>
    <w:p>
      <w:pPr>
        <w:rPr>
          <w:rFonts w:asciiTheme="minorEastAsia" w:hAnsiTheme="minorEastAsia" w:eastAsiaTheme="minorEastAsia"/>
        </w:rPr>
      </w:pPr>
      <w:r>
        <w:rPr>
          <w:rFonts w:asciiTheme="minorEastAsia" w:hAnsiTheme="minorEastAsia" w:eastAsiaTheme="minorEastAsia"/>
        </w:rPr>
        <w:t>（2）暂时确定调整差额</w:t>
      </w:r>
    </w:p>
    <w:p>
      <w:pPr>
        <w:rPr>
          <w:rFonts w:asciiTheme="minorEastAsia" w:hAnsiTheme="minorEastAsia" w:eastAsiaTheme="minorEastAsia"/>
        </w:rPr>
      </w:pPr>
      <w:r>
        <w:rPr>
          <w:rFonts w:asciiTheme="minorEastAsia" w:hAnsiTheme="minorEastAsia" w:eastAsiaTheme="minorEastAsia"/>
        </w:rPr>
        <w:t>在计算调整差额时无现行价格指数的，合同当事人同意暂用前次价格指数计算。实际价格指数有调整的，合同当事人进行相应调整。</w:t>
      </w:r>
    </w:p>
    <w:p>
      <w:pPr>
        <w:rPr>
          <w:rFonts w:asciiTheme="minorEastAsia" w:hAnsiTheme="minorEastAsia" w:eastAsiaTheme="minorEastAsia"/>
        </w:rPr>
      </w:pPr>
      <w:r>
        <w:rPr>
          <w:rFonts w:asciiTheme="minorEastAsia" w:hAnsiTheme="minorEastAsia" w:eastAsiaTheme="minorEastAsia"/>
        </w:rPr>
        <w:t>（3）权重的调整</w:t>
      </w:r>
    </w:p>
    <w:p>
      <w:pPr>
        <w:rPr>
          <w:rFonts w:asciiTheme="minorEastAsia" w:hAnsiTheme="minorEastAsia" w:eastAsiaTheme="minorEastAsia"/>
        </w:rPr>
      </w:pPr>
      <w:r>
        <w:rPr>
          <w:rFonts w:asciiTheme="minorEastAsia" w:hAnsiTheme="minorEastAsia" w:eastAsiaTheme="minorEastAsia"/>
        </w:rPr>
        <w:t>因变更导致合同约定的权重不合理时，按照第4.4款</w:t>
      </w:r>
      <w:r>
        <w:rPr>
          <w:rFonts w:hint="eastAsia" w:asciiTheme="minorEastAsia" w:hAnsiTheme="minorEastAsia" w:eastAsiaTheme="minorEastAsia"/>
        </w:rPr>
        <w:t>〔</w:t>
      </w:r>
      <w:r>
        <w:rPr>
          <w:rFonts w:asciiTheme="minorEastAsia" w:hAnsiTheme="minorEastAsia" w:eastAsiaTheme="minorEastAsia"/>
        </w:rPr>
        <w:t>商定或确定</w:t>
      </w:r>
      <w:r>
        <w:rPr>
          <w:rFonts w:hint="eastAsia" w:asciiTheme="minorEastAsia" w:hAnsiTheme="minorEastAsia" w:eastAsiaTheme="minorEastAsia"/>
        </w:rPr>
        <w:t>〕</w:t>
      </w:r>
      <w:r>
        <w:rPr>
          <w:rFonts w:asciiTheme="minorEastAsia" w:hAnsiTheme="minorEastAsia" w:eastAsiaTheme="minorEastAsia"/>
        </w:rPr>
        <w:t>执行。</w:t>
      </w:r>
    </w:p>
    <w:p>
      <w:pPr>
        <w:rPr>
          <w:rFonts w:asciiTheme="minorEastAsia" w:hAnsiTheme="minorEastAsia" w:eastAsiaTheme="minorEastAsia"/>
        </w:rPr>
      </w:pPr>
      <w:r>
        <w:rPr>
          <w:rFonts w:asciiTheme="minorEastAsia" w:hAnsiTheme="minorEastAsia" w:eastAsiaTheme="minorEastAsia"/>
        </w:rPr>
        <w:t>（4）因承包人原因工期延误后的价格调整</w:t>
      </w:r>
    </w:p>
    <w:p>
      <w:pPr>
        <w:rPr>
          <w:rFonts w:asciiTheme="minorEastAsia" w:hAnsiTheme="minorEastAsia" w:eastAsiaTheme="minorEastAsia"/>
        </w:rPr>
      </w:pPr>
      <w:r>
        <w:rPr>
          <w:rFonts w:asciiTheme="minorEastAsia" w:hAnsiTheme="minorEastAsia" w:eastAsiaTheme="minorEastAsia"/>
        </w:rPr>
        <w:t>因承包人原因未按期竣工的，对合同约定的竣工日期后继续施工的工程，在使用价格调整公式时，应采用计划竣工日期与实际竣工日期的两个价格指数中较低的一个作为现行价格指数。</w:t>
      </w:r>
    </w:p>
    <w:p>
      <w:pPr>
        <w:rPr>
          <w:rFonts w:asciiTheme="minorEastAsia" w:hAnsiTheme="minorEastAsia" w:eastAsiaTheme="minorEastAsia"/>
        </w:rPr>
      </w:pPr>
      <w:r>
        <w:rPr>
          <w:rFonts w:asciiTheme="minorEastAsia" w:hAnsiTheme="minorEastAsia" w:eastAsiaTheme="minorEastAsia"/>
        </w:rPr>
        <w:t>第2种方式：采用造价信息</w:t>
      </w:r>
      <w:r>
        <w:rPr>
          <w:rFonts w:hint="eastAsia" w:asciiTheme="minorEastAsia" w:hAnsiTheme="minorEastAsia" w:eastAsiaTheme="minorEastAsia"/>
        </w:rPr>
        <w:t>进行价格</w:t>
      </w:r>
      <w:r>
        <w:rPr>
          <w:rFonts w:asciiTheme="minorEastAsia" w:hAnsiTheme="minorEastAsia" w:eastAsiaTheme="minorEastAsia"/>
        </w:rPr>
        <w:t>调整。</w:t>
      </w:r>
    </w:p>
    <w:p>
      <w:pPr>
        <w:rPr>
          <w:rFonts w:asciiTheme="minorEastAsia" w:hAnsiTheme="minorEastAsia" w:eastAsiaTheme="minorEastAsia"/>
        </w:rPr>
      </w:pPr>
      <w:r>
        <w:rPr>
          <w:rFonts w:asciiTheme="minorEastAsia" w:hAnsiTheme="minorEastAsia" w:eastAsiaTheme="minorEastAsia"/>
        </w:rPr>
        <w:t>合同履行期间，因人工、材料、工程设备和机械台班价格波动影响合同价格时，人工、机械使用费按照国家或省、自治区、直辖市建设行政管理部门、行业建设管理部门或其授权的工程造价管理机构发布的人工、机械使用费系数进行调整；需要进行价格调整的材料，其单价和采购数</w:t>
      </w:r>
      <w:r>
        <w:rPr>
          <w:rFonts w:hint="eastAsia" w:asciiTheme="minorEastAsia" w:hAnsiTheme="minorEastAsia" w:eastAsiaTheme="minorEastAsia"/>
        </w:rPr>
        <w:t>量</w:t>
      </w:r>
      <w:r>
        <w:rPr>
          <w:rFonts w:asciiTheme="minorEastAsia" w:hAnsiTheme="minorEastAsia" w:eastAsiaTheme="minorEastAsia"/>
        </w:rPr>
        <w:t>应由发包人审批，发包人确认需调整的材料单价及数量，作为调整合同价格的依据。</w:t>
      </w:r>
    </w:p>
    <w:p>
      <w:pPr>
        <w:rPr>
          <w:rFonts w:asciiTheme="minorEastAsia" w:hAnsiTheme="minorEastAsia" w:eastAsiaTheme="minorEastAsia"/>
        </w:rPr>
      </w:pPr>
      <w:r>
        <w:rPr>
          <w:rFonts w:asciiTheme="minorEastAsia" w:hAnsiTheme="minorEastAsia" w:eastAsiaTheme="minorEastAsia"/>
        </w:rPr>
        <w:t>（1）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w:t>
      </w:r>
    </w:p>
    <w:p>
      <w:pPr>
        <w:rPr>
          <w:rFonts w:asciiTheme="minorEastAsia" w:hAnsiTheme="minorEastAsia" w:eastAsiaTheme="minorEastAsia"/>
        </w:rPr>
      </w:pPr>
      <w:r>
        <w:rPr>
          <w:rFonts w:asciiTheme="minorEastAsia" w:hAnsiTheme="minorEastAsia" w:eastAsiaTheme="minorEastAsia"/>
        </w:rPr>
        <w:t>（2）材料、工程设备价格变化的价款调整按照发包人提供的基准价格，按以下风险范围规定执行:</w:t>
      </w:r>
    </w:p>
    <w:p>
      <w:pPr>
        <w:rPr>
          <w:rFonts w:asciiTheme="minorEastAsia" w:hAnsiTheme="minorEastAsia" w:eastAsiaTheme="minorEastAsia"/>
        </w:rPr>
      </w:pPr>
      <w:r>
        <w:rPr>
          <w:rFonts w:hint="eastAsia" w:asciiTheme="minorEastAsia" w:hAnsiTheme="minorEastAsia" w:eastAsiaTheme="minorEastAsia"/>
        </w:rPr>
        <w:t>①</w:t>
      </w:r>
      <w:r>
        <w:rPr>
          <w:rFonts w:asciiTheme="minorEastAsia" w:hAnsiTheme="minorEastAsia" w:eastAsiaTheme="minorEastAsia"/>
        </w:rPr>
        <w:t>承包人在已标价工程量清单或预算书中载明材料单价低于基准价格的：除专用合同条款另有约定外，合同履行期间材料单价涨幅以基准价格为基础超过5%时，或材料单价跌幅以在已标价工程量清单或预算书中载明材料单价为基础超过5%时，其超过部分据实调整。</w:t>
      </w:r>
    </w:p>
    <w:p>
      <w:pPr>
        <w:rPr>
          <w:rFonts w:asciiTheme="minorEastAsia" w:hAnsiTheme="minorEastAsia" w:eastAsiaTheme="minorEastAsia"/>
        </w:rPr>
      </w:pPr>
      <w:r>
        <w:rPr>
          <w:rFonts w:hint="eastAsia" w:asciiTheme="minorEastAsia" w:hAnsiTheme="minorEastAsia" w:eastAsiaTheme="minorEastAsia"/>
        </w:rPr>
        <w:t>②</w:t>
      </w:r>
      <w:r>
        <w:rPr>
          <w:rFonts w:asciiTheme="minorEastAsia" w:hAnsiTheme="minorEastAsia" w:eastAsiaTheme="minorEastAsia"/>
        </w:rPr>
        <w:t>承包人在已标价工程量清单或预算书中载明材料单价高于基准价格的：除专用合同条款另有约定外，合同履行期间材料单价跌幅以基准价格为基础超过5%时，材料单价涨幅以在已标价工程量清单或预算书中载明材料单价为基础超过5%时，其超过部分据实调整。</w:t>
      </w:r>
    </w:p>
    <w:p>
      <w:pPr>
        <w:rPr>
          <w:rFonts w:asciiTheme="minorEastAsia" w:hAnsiTheme="minorEastAsia" w:eastAsiaTheme="minorEastAsia"/>
        </w:rPr>
      </w:pPr>
      <w:r>
        <w:rPr>
          <w:rFonts w:hint="eastAsia" w:asciiTheme="minorEastAsia" w:hAnsiTheme="minorEastAsia" w:eastAsiaTheme="minorEastAsia"/>
        </w:rPr>
        <w:t>③</w:t>
      </w:r>
      <w:r>
        <w:rPr>
          <w:rFonts w:asciiTheme="minorEastAsia" w:hAnsiTheme="minorEastAsia" w:eastAsiaTheme="minorEastAsia"/>
        </w:rPr>
        <w:t>承包人在已标价工程量清单或预算书中载明材料单价等于基准价格的：除专用合同条款另有约定外，合同履行期间材料单价涨跌幅以基准价格为基础超过±5%时，其超过部分据实调整。</w:t>
      </w:r>
    </w:p>
    <w:p>
      <w:pPr>
        <w:rPr>
          <w:rFonts w:asciiTheme="minorEastAsia" w:hAnsiTheme="minorEastAsia" w:eastAsiaTheme="minorEastAsia"/>
        </w:rPr>
      </w:pPr>
      <w:r>
        <w:rPr>
          <w:rFonts w:hint="eastAsia" w:asciiTheme="minorEastAsia" w:hAnsiTheme="minorEastAsia" w:eastAsiaTheme="minorEastAsia"/>
        </w:rPr>
        <w:t>④</w:t>
      </w:r>
      <w:r>
        <w:rPr>
          <w:rFonts w:asciiTheme="minorEastAsia" w:hAnsiTheme="minorEastAsia" w:eastAsiaTheme="minorEastAsia"/>
        </w:rPr>
        <w:t>承包人应在采购材料前将采购数量和新的材料单价报发包人核对，发包人确认用于工程时，发包人应确认采购材料的数量和单价。发包人在收到承包人报送的确认资料后5天内不予答复的视为认可，作为调整合同价格的依据。未经发包人事先核对，承包人自行采购材料的，发包人有权不予调整合同价格。发包人同意的，可以调整合同价格。</w:t>
      </w:r>
    </w:p>
    <w:p>
      <w:pPr>
        <w:rPr>
          <w:rFonts w:asciiTheme="minorEastAsia" w:hAnsiTheme="minorEastAsia" w:eastAsiaTheme="minorEastAsia"/>
        </w:rPr>
      </w:pPr>
      <w:r>
        <w:rPr>
          <w:rFonts w:asciiTheme="minorEastAsia" w:hAnsiTheme="minorEastAsia" w:eastAsiaTheme="minorEastAsia"/>
        </w:rPr>
        <w:t>前述基准价格是指由发包人在招标文件或专用合同条款中给定的材料、工程设备的价格，该价格原则上应当按照省级或行业建设主管部门或其授权的工程造价管理机构发布的信息价编制。</w:t>
      </w:r>
    </w:p>
    <w:p>
      <w:pPr>
        <w:rPr>
          <w:rFonts w:asciiTheme="minorEastAsia" w:hAnsiTheme="minorEastAsia" w:eastAsiaTheme="minorEastAsia"/>
        </w:rPr>
      </w:pPr>
      <w:r>
        <w:rPr>
          <w:rFonts w:asciiTheme="minorEastAsia" w:hAnsiTheme="minorEastAsia" w:eastAsiaTheme="minorEastAsia"/>
        </w:rPr>
        <w:t>（3）施工机械台班单价或施工机械使用费发生变化超过省级或行业建设主管部门或其授权的工程造价管理机构规定的范围时，按规定调整合同价格。</w:t>
      </w:r>
    </w:p>
    <w:p>
      <w:pPr>
        <w:rPr>
          <w:rFonts w:asciiTheme="minorEastAsia" w:hAnsiTheme="minorEastAsia" w:eastAsiaTheme="minorEastAsia"/>
        </w:rPr>
      </w:pPr>
      <w:r>
        <w:rPr>
          <w:rFonts w:asciiTheme="minorEastAsia" w:hAnsiTheme="minorEastAsia" w:eastAsiaTheme="minorEastAsia"/>
        </w:rPr>
        <w:t>第3种方式：专用合同条款约定的其他方式。</w:t>
      </w:r>
    </w:p>
    <w:p>
      <w:pPr>
        <w:rPr>
          <w:rFonts w:asciiTheme="minorEastAsia" w:hAnsiTheme="minorEastAsia" w:eastAsiaTheme="minorEastAsia"/>
          <w:bCs/>
        </w:rPr>
      </w:pPr>
      <w:bookmarkStart w:id="418" w:name="_Toc351203579"/>
      <w:bookmarkStart w:id="419" w:name="_Toc296503093"/>
      <w:bookmarkStart w:id="420" w:name="_Toc337558798"/>
      <w:bookmarkStart w:id="421" w:name="_Toc296346594"/>
      <w:r>
        <w:rPr>
          <w:rFonts w:asciiTheme="minorEastAsia" w:hAnsiTheme="minorEastAsia" w:eastAsiaTheme="minorEastAsia"/>
          <w:bCs/>
        </w:rPr>
        <w:t>11.2法律变化引起的调整</w:t>
      </w:r>
      <w:bookmarkEnd w:id="418"/>
    </w:p>
    <w:bookmarkEnd w:id="419"/>
    <w:bookmarkEnd w:id="420"/>
    <w:bookmarkEnd w:id="421"/>
    <w:p>
      <w:pPr>
        <w:rPr>
          <w:rFonts w:asciiTheme="minorEastAsia" w:hAnsiTheme="minorEastAsia" w:eastAsiaTheme="minorEastAsia"/>
        </w:rPr>
      </w:pPr>
      <w:r>
        <w:rPr>
          <w:rFonts w:asciiTheme="minorEastAsia" w:hAnsiTheme="minorEastAsia" w:eastAsiaTheme="minorEastAsia"/>
        </w:rPr>
        <w:t>基准日</w:t>
      </w:r>
      <w:r>
        <w:rPr>
          <w:rFonts w:hint="eastAsia" w:asciiTheme="minorEastAsia" w:hAnsiTheme="minorEastAsia" w:eastAsiaTheme="minorEastAsia"/>
        </w:rPr>
        <w:t>期</w:t>
      </w:r>
      <w:r>
        <w:rPr>
          <w:rFonts w:asciiTheme="minorEastAsia" w:hAnsiTheme="minorEastAsia" w:eastAsiaTheme="minorEastAsia"/>
        </w:rPr>
        <w:t>后，法律变化</w:t>
      </w:r>
      <w:r>
        <w:rPr>
          <w:rFonts w:hint="eastAsia" w:asciiTheme="minorEastAsia" w:hAnsiTheme="minorEastAsia" w:eastAsiaTheme="minorEastAsia"/>
        </w:rPr>
        <w:t>导致承包人在合同履行过程中所需要的费用发生除第11.1款〔市场价格波动引起的调整〕约定以外的增加时，由发包人承担由此增加的费用；减少时，应从合同价格中予以扣减。</w:t>
      </w:r>
      <w:r>
        <w:rPr>
          <w:rFonts w:asciiTheme="minorEastAsia" w:hAnsiTheme="minorEastAsia" w:eastAsiaTheme="minorEastAsia"/>
        </w:rPr>
        <w:t>基准日</w:t>
      </w:r>
      <w:r>
        <w:rPr>
          <w:rFonts w:hint="eastAsia" w:asciiTheme="minorEastAsia" w:hAnsiTheme="minorEastAsia" w:eastAsiaTheme="minorEastAsia"/>
        </w:rPr>
        <w:t>期</w:t>
      </w:r>
      <w:r>
        <w:rPr>
          <w:rFonts w:asciiTheme="minorEastAsia" w:hAnsiTheme="minorEastAsia" w:eastAsiaTheme="minorEastAsia"/>
        </w:rPr>
        <w:t>后，</w:t>
      </w:r>
      <w:r>
        <w:rPr>
          <w:rFonts w:hint="eastAsia" w:asciiTheme="minorEastAsia" w:hAnsiTheme="minorEastAsia" w:eastAsiaTheme="minorEastAsia"/>
        </w:rPr>
        <w:t>因</w:t>
      </w:r>
      <w:r>
        <w:rPr>
          <w:rFonts w:asciiTheme="minorEastAsia" w:hAnsiTheme="minorEastAsia" w:eastAsiaTheme="minorEastAsia"/>
        </w:rPr>
        <w:t>法律变化</w:t>
      </w:r>
      <w:r>
        <w:rPr>
          <w:rFonts w:hint="eastAsia" w:asciiTheme="minorEastAsia" w:hAnsiTheme="minorEastAsia" w:eastAsiaTheme="minorEastAsia"/>
        </w:rPr>
        <w:t>造成工期延误时，工期应予以顺延。</w:t>
      </w:r>
    </w:p>
    <w:p>
      <w:pPr>
        <w:rPr>
          <w:rFonts w:asciiTheme="minorEastAsia" w:hAnsiTheme="minorEastAsia" w:eastAsiaTheme="minorEastAsia"/>
        </w:rPr>
      </w:pPr>
      <w:r>
        <w:rPr>
          <w:rFonts w:hint="eastAsia" w:asciiTheme="minorEastAsia" w:hAnsiTheme="minorEastAsia" w:eastAsiaTheme="minorEastAsia"/>
        </w:rPr>
        <w:t>因法律变化引起的合同价格和工期调整，合同当事人无法达成一致的，由总监理工程师按第4.4款〔商定或确定〕的约定处理。</w:t>
      </w:r>
    </w:p>
    <w:p>
      <w:pPr>
        <w:rPr>
          <w:rFonts w:asciiTheme="minorEastAsia" w:hAnsiTheme="minorEastAsia" w:eastAsiaTheme="minorEastAsia"/>
        </w:rPr>
      </w:pPr>
      <w:r>
        <w:rPr>
          <w:rFonts w:asciiTheme="minorEastAsia" w:hAnsiTheme="minorEastAsia" w:eastAsiaTheme="minorEastAsia"/>
        </w:rPr>
        <w:t>因承包人原因造成工期延误，在工期延误期间出现法律变化的，由此增加的费用和（或）延误的工期由承包人承担。</w:t>
      </w:r>
    </w:p>
    <w:p>
      <w:pPr>
        <w:rPr>
          <w:rFonts w:asciiTheme="minorEastAsia" w:hAnsiTheme="minorEastAsia" w:eastAsiaTheme="minorEastAsia"/>
          <w:bCs/>
        </w:rPr>
      </w:pPr>
      <w:bookmarkStart w:id="422" w:name="_Toc351203580"/>
      <w:bookmarkStart w:id="423" w:name="_Toc337558799"/>
      <w:bookmarkStart w:id="424" w:name="_Toc296346597"/>
      <w:bookmarkStart w:id="425" w:name="_Toc296503096"/>
      <w:r>
        <w:rPr>
          <w:rFonts w:asciiTheme="minorEastAsia" w:hAnsiTheme="minorEastAsia" w:eastAsiaTheme="minorEastAsia"/>
          <w:bCs/>
        </w:rPr>
        <w:t>12. 合同价格、计量与支付</w:t>
      </w:r>
      <w:bookmarkEnd w:id="422"/>
    </w:p>
    <w:bookmarkEnd w:id="423"/>
    <w:p>
      <w:pPr>
        <w:rPr>
          <w:rFonts w:asciiTheme="minorEastAsia" w:hAnsiTheme="minorEastAsia" w:eastAsiaTheme="minorEastAsia"/>
          <w:bCs/>
        </w:rPr>
      </w:pPr>
      <w:bookmarkStart w:id="426" w:name="_Toc351203581"/>
      <w:bookmarkStart w:id="427" w:name="_Toc337558800"/>
      <w:r>
        <w:rPr>
          <w:rFonts w:asciiTheme="minorEastAsia" w:hAnsiTheme="minorEastAsia" w:eastAsiaTheme="minorEastAsia"/>
          <w:bCs/>
        </w:rPr>
        <w:t>12.1 合同价</w:t>
      </w:r>
      <w:bookmarkEnd w:id="424"/>
      <w:bookmarkEnd w:id="425"/>
      <w:r>
        <w:rPr>
          <w:rFonts w:asciiTheme="minorEastAsia" w:hAnsiTheme="minorEastAsia" w:eastAsiaTheme="minorEastAsia"/>
          <w:bCs/>
        </w:rPr>
        <w:t>格形式</w:t>
      </w:r>
      <w:bookmarkEnd w:id="426"/>
    </w:p>
    <w:bookmarkEnd w:id="427"/>
    <w:p>
      <w:pPr>
        <w:rPr>
          <w:rFonts w:asciiTheme="minorEastAsia" w:hAnsiTheme="minorEastAsia" w:eastAsiaTheme="minorEastAsia"/>
        </w:rPr>
      </w:pPr>
      <w:r>
        <w:rPr>
          <w:rFonts w:asciiTheme="minorEastAsia" w:hAnsiTheme="minorEastAsia" w:eastAsiaTheme="minorEastAsia"/>
        </w:rPr>
        <w:t>发包人和承包人应在合同协议书中</w:t>
      </w:r>
      <w:r>
        <w:rPr>
          <w:rFonts w:hint="eastAsia" w:asciiTheme="minorEastAsia" w:hAnsiTheme="minorEastAsia" w:eastAsiaTheme="minorEastAsia"/>
        </w:rPr>
        <w:t>选择</w:t>
      </w:r>
      <w:r>
        <w:rPr>
          <w:rFonts w:asciiTheme="minorEastAsia" w:hAnsiTheme="minorEastAsia" w:eastAsiaTheme="minorEastAsia"/>
        </w:rPr>
        <w:t xml:space="preserve">下列一种合同价格形式： </w:t>
      </w:r>
    </w:p>
    <w:p>
      <w:pPr>
        <w:rPr>
          <w:rFonts w:asciiTheme="minorEastAsia" w:hAnsiTheme="minorEastAsia" w:eastAsiaTheme="minorEastAsia"/>
        </w:rPr>
      </w:pPr>
      <w:r>
        <w:rPr>
          <w:rFonts w:asciiTheme="minorEastAsia" w:hAnsiTheme="minorEastAsia" w:eastAsiaTheme="minorEastAsia"/>
        </w:rPr>
        <w:t>1</w:t>
      </w:r>
      <w:r>
        <w:rPr>
          <w:rFonts w:hint="eastAsia" w:asciiTheme="minorEastAsia" w:hAnsiTheme="minorEastAsia" w:eastAsiaTheme="minorEastAsia"/>
        </w:rPr>
        <w:t>.</w:t>
      </w:r>
      <w:r>
        <w:rPr>
          <w:rFonts w:asciiTheme="minorEastAsia" w:hAnsiTheme="minorEastAsia" w:eastAsiaTheme="minorEastAsia"/>
        </w:rPr>
        <w:t>单价合同</w:t>
      </w:r>
    </w:p>
    <w:p>
      <w:pPr>
        <w:rPr>
          <w:rFonts w:asciiTheme="minorEastAsia" w:hAnsiTheme="minorEastAsia" w:eastAsiaTheme="minorEastAsia"/>
        </w:rPr>
      </w:pPr>
      <w:r>
        <w:rPr>
          <w:rFonts w:asciiTheme="minorEastAsia" w:hAnsiTheme="minorEastAsia" w:eastAsiaTheme="minorEastAsia"/>
        </w:rPr>
        <w:t>单价合同是指合同当事人约定以工程量清单及其综合单价进行合同价格计算、调整和确认的建设工程施工合同，在约定的范围内合同单价不作调整。合同当事人应在专用合同条款中约定综合单价包含的风险范围和风险费用的计算方法，并约定风险范围以外的合同价格的调整方法，其中因市场价格波动引起的调整按第11.1款</w:t>
      </w:r>
      <w:r>
        <w:rPr>
          <w:rFonts w:hint="eastAsia" w:asciiTheme="minorEastAsia" w:hAnsiTheme="minorEastAsia" w:eastAsiaTheme="minorEastAsia"/>
        </w:rPr>
        <w:t>〔</w:t>
      </w:r>
      <w:r>
        <w:rPr>
          <w:rFonts w:asciiTheme="minorEastAsia" w:hAnsiTheme="minorEastAsia" w:eastAsiaTheme="minorEastAsia"/>
        </w:rPr>
        <w:t>市场价格波动引起的调整</w:t>
      </w:r>
      <w:r>
        <w:rPr>
          <w:rFonts w:hint="eastAsia" w:asciiTheme="minorEastAsia" w:hAnsiTheme="minorEastAsia" w:eastAsiaTheme="minorEastAsia"/>
        </w:rPr>
        <w:t>〕</w:t>
      </w:r>
      <w:r>
        <w:rPr>
          <w:rFonts w:asciiTheme="minorEastAsia" w:hAnsiTheme="minorEastAsia" w:eastAsiaTheme="minorEastAsia"/>
        </w:rPr>
        <w:t>约定执行。</w:t>
      </w:r>
    </w:p>
    <w:p>
      <w:pPr>
        <w:rPr>
          <w:rFonts w:asciiTheme="minorEastAsia" w:hAnsiTheme="minorEastAsia" w:eastAsiaTheme="minorEastAsia"/>
        </w:rPr>
      </w:pPr>
      <w:r>
        <w:rPr>
          <w:rFonts w:asciiTheme="minorEastAsia" w:hAnsiTheme="minorEastAsia" w:eastAsiaTheme="minorEastAsia"/>
        </w:rPr>
        <w:t>2</w:t>
      </w:r>
      <w:r>
        <w:rPr>
          <w:rFonts w:hint="eastAsia" w:asciiTheme="minorEastAsia" w:hAnsiTheme="minorEastAsia" w:eastAsiaTheme="minorEastAsia"/>
        </w:rPr>
        <w:t>.</w:t>
      </w:r>
      <w:r>
        <w:rPr>
          <w:rFonts w:asciiTheme="minorEastAsia" w:hAnsiTheme="minorEastAsia" w:eastAsiaTheme="minorEastAsia"/>
        </w:rPr>
        <w:t>总价合同</w:t>
      </w:r>
    </w:p>
    <w:p>
      <w:pPr>
        <w:rPr>
          <w:rFonts w:asciiTheme="minorEastAsia" w:hAnsiTheme="minorEastAsia" w:eastAsiaTheme="minorEastAsia"/>
        </w:rPr>
      </w:pPr>
      <w:r>
        <w:rPr>
          <w:rFonts w:asciiTheme="minorEastAsia" w:hAnsiTheme="minorEastAsia" w:eastAsiaTheme="minorEastAsia"/>
        </w:rPr>
        <w:t>总价合同是指合同当事人约定以施工图、已标价工程量清单或预算书及有关条件进行合同价格计算、调整和确认的建设工程施工合同，在约定的范围内合同总价不作调整。合同当事人应在专用合同条款中约定总价包含的风险范围和风险费用的计算方法，并约定风险范围以外的合同价格的调整方法，其中因市场价格波动引起的调整按第11.1款</w:t>
      </w:r>
      <w:r>
        <w:rPr>
          <w:rFonts w:hint="eastAsia" w:asciiTheme="minorEastAsia" w:hAnsiTheme="minorEastAsia" w:eastAsiaTheme="minorEastAsia"/>
        </w:rPr>
        <w:t>〔</w:t>
      </w:r>
      <w:r>
        <w:rPr>
          <w:rFonts w:asciiTheme="minorEastAsia" w:hAnsiTheme="minorEastAsia" w:eastAsiaTheme="minorEastAsia"/>
        </w:rPr>
        <w:t>市场价格波动引起的调整</w:t>
      </w:r>
      <w:r>
        <w:rPr>
          <w:rFonts w:hint="eastAsia" w:asciiTheme="minorEastAsia" w:hAnsiTheme="minorEastAsia" w:eastAsiaTheme="minorEastAsia"/>
        </w:rPr>
        <w:t>〕</w:t>
      </w:r>
      <w:r>
        <w:rPr>
          <w:rFonts w:asciiTheme="minorEastAsia" w:hAnsiTheme="minorEastAsia" w:eastAsiaTheme="minorEastAsia"/>
        </w:rPr>
        <w:t>、因法律变化引起的调整按第11.2款</w:t>
      </w:r>
      <w:r>
        <w:rPr>
          <w:rFonts w:hint="eastAsia" w:asciiTheme="minorEastAsia" w:hAnsiTheme="minorEastAsia" w:eastAsiaTheme="minorEastAsia"/>
        </w:rPr>
        <w:t>〔</w:t>
      </w:r>
      <w:r>
        <w:rPr>
          <w:rFonts w:asciiTheme="minorEastAsia" w:hAnsiTheme="minorEastAsia" w:eastAsiaTheme="minorEastAsia"/>
        </w:rPr>
        <w:t>法律变化引起的调整</w:t>
      </w:r>
      <w:r>
        <w:rPr>
          <w:rFonts w:hint="eastAsia" w:asciiTheme="minorEastAsia" w:hAnsiTheme="minorEastAsia" w:eastAsiaTheme="minorEastAsia"/>
        </w:rPr>
        <w:t>〕</w:t>
      </w:r>
      <w:r>
        <w:rPr>
          <w:rFonts w:asciiTheme="minorEastAsia" w:hAnsiTheme="minorEastAsia" w:eastAsiaTheme="minorEastAsia"/>
        </w:rPr>
        <w:t>约定执行。</w:t>
      </w:r>
    </w:p>
    <w:p>
      <w:pPr>
        <w:rPr>
          <w:rFonts w:asciiTheme="minorEastAsia" w:hAnsiTheme="minorEastAsia" w:eastAsiaTheme="minorEastAsia"/>
        </w:rPr>
      </w:pPr>
      <w:r>
        <w:rPr>
          <w:rFonts w:asciiTheme="minorEastAsia" w:hAnsiTheme="minorEastAsia" w:eastAsiaTheme="minorEastAsia"/>
        </w:rPr>
        <w:t>3</w:t>
      </w:r>
      <w:r>
        <w:rPr>
          <w:rFonts w:hint="eastAsia" w:asciiTheme="minorEastAsia" w:hAnsiTheme="minorEastAsia" w:eastAsiaTheme="minorEastAsia"/>
        </w:rPr>
        <w:t>.</w:t>
      </w:r>
      <w:r>
        <w:rPr>
          <w:rFonts w:asciiTheme="minorEastAsia" w:hAnsiTheme="minorEastAsia" w:eastAsiaTheme="minorEastAsia"/>
        </w:rPr>
        <w:t>其它价格形式</w:t>
      </w:r>
    </w:p>
    <w:p>
      <w:pPr>
        <w:rPr>
          <w:rFonts w:asciiTheme="minorEastAsia" w:hAnsiTheme="minorEastAsia" w:eastAsiaTheme="minorEastAsia"/>
        </w:rPr>
      </w:pPr>
      <w:r>
        <w:rPr>
          <w:rFonts w:asciiTheme="minorEastAsia" w:hAnsiTheme="minorEastAsia" w:eastAsiaTheme="minorEastAsia"/>
        </w:rPr>
        <w:t>合同当事人可在专用合同条款中约定其他合同价格形式。</w:t>
      </w:r>
    </w:p>
    <w:p>
      <w:pPr>
        <w:rPr>
          <w:rFonts w:asciiTheme="minorEastAsia" w:hAnsiTheme="minorEastAsia" w:eastAsiaTheme="minorEastAsia"/>
          <w:bCs/>
        </w:rPr>
      </w:pPr>
      <w:bookmarkStart w:id="428" w:name="_Toc296346598"/>
      <w:bookmarkStart w:id="429" w:name="_Toc296503097"/>
      <w:bookmarkStart w:id="430" w:name="_Toc351203582"/>
      <w:bookmarkStart w:id="431" w:name="_Toc337558801"/>
      <w:r>
        <w:rPr>
          <w:rFonts w:asciiTheme="minorEastAsia" w:hAnsiTheme="minorEastAsia" w:eastAsiaTheme="minorEastAsia"/>
          <w:bCs/>
        </w:rPr>
        <w:t>12.2预</w:t>
      </w:r>
      <w:bookmarkStart w:id="432" w:name="_Toc296503100"/>
      <w:bookmarkStart w:id="433" w:name="_Toc296346601"/>
      <w:bookmarkEnd w:id="428"/>
      <w:bookmarkEnd w:id="429"/>
      <w:r>
        <w:rPr>
          <w:rFonts w:asciiTheme="minorEastAsia" w:hAnsiTheme="minorEastAsia" w:eastAsiaTheme="minorEastAsia"/>
          <w:bCs/>
        </w:rPr>
        <w:t>付款</w:t>
      </w:r>
      <w:bookmarkEnd w:id="430"/>
    </w:p>
    <w:bookmarkEnd w:id="431"/>
    <w:bookmarkEnd w:id="432"/>
    <w:bookmarkEnd w:id="433"/>
    <w:p>
      <w:pPr>
        <w:rPr>
          <w:rFonts w:asciiTheme="minorEastAsia" w:hAnsiTheme="minorEastAsia" w:eastAsiaTheme="minorEastAsia"/>
        </w:rPr>
      </w:pPr>
      <w:r>
        <w:rPr>
          <w:rFonts w:asciiTheme="minorEastAsia" w:hAnsiTheme="minorEastAsia" w:eastAsiaTheme="minorEastAsia"/>
        </w:rPr>
        <w:t>12.2.1预付款的支付</w:t>
      </w:r>
    </w:p>
    <w:p>
      <w:pPr>
        <w:rPr>
          <w:rFonts w:asciiTheme="minorEastAsia" w:hAnsiTheme="minorEastAsia" w:eastAsiaTheme="minorEastAsia"/>
        </w:rPr>
      </w:pPr>
      <w:r>
        <w:rPr>
          <w:rFonts w:asciiTheme="minorEastAsia" w:hAnsiTheme="minorEastAsia" w:eastAsiaTheme="minorEastAsia"/>
        </w:rPr>
        <w:t>预付款的支付按照专用合同条款约定执行，但至迟应在开工通知载明的开工日期7天前支付。预付款应当用于材料、工程设备、施工设备的采购及修建临时工程、组织施工队伍进场等。</w:t>
      </w:r>
    </w:p>
    <w:p>
      <w:pPr>
        <w:rPr>
          <w:rFonts w:asciiTheme="minorEastAsia" w:hAnsiTheme="minorEastAsia" w:eastAsiaTheme="minorEastAsia"/>
        </w:rPr>
      </w:pPr>
      <w:r>
        <w:rPr>
          <w:rFonts w:asciiTheme="minorEastAsia" w:hAnsiTheme="minorEastAsia" w:eastAsiaTheme="minorEastAsia"/>
        </w:rPr>
        <w:t>除专用合同条款另有约定外，预付款在进度付款中同比例扣回。在颁发工程接收证书前，提前解除合同的，尚未扣完的预付款应与合同价款一并结算。</w:t>
      </w:r>
    </w:p>
    <w:p>
      <w:pPr>
        <w:rPr>
          <w:rFonts w:asciiTheme="minorEastAsia" w:hAnsiTheme="minorEastAsia" w:eastAsiaTheme="minorEastAsia"/>
        </w:rPr>
      </w:pPr>
      <w:r>
        <w:rPr>
          <w:rFonts w:asciiTheme="minorEastAsia" w:hAnsiTheme="minorEastAsia" w:eastAsiaTheme="minorEastAsia"/>
        </w:rPr>
        <w:t>发包人逾期支付预付款超过7天的，承包人有权向发包人发出要求预付的催告通知，发包人收到通知后7天内仍未支付的，承包人有权暂停施工，并按第16.1.1项</w:t>
      </w:r>
      <w:r>
        <w:rPr>
          <w:rFonts w:hint="eastAsia" w:asciiTheme="minorEastAsia" w:hAnsiTheme="minorEastAsia" w:eastAsiaTheme="minorEastAsia"/>
        </w:rPr>
        <w:t>〔</w:t>
      </w:r>
      <w:r>
        <w:rPr>
          <w:rFonts w:asciiTheme="minorEastAsia" w:hAnsiTheme="minorEastAsia" w:eastAsiaTheme="minorEastAsia"/>
        </w:rPr>
        <w:t>发包人违约的情形</w:t>
      </w:r>
      <w:r>
        <w:rPr>
          <w:rFonts w:hint="eastAsia" w:asciiTheme="minorEastAsia" w:hAnsiTheme="minorEastAsia" w:eastAsiaTheme="minorEastAsia"/>
        </w:rPr>
        <w:t>〕</w:t>
      </w:r>
      <w:r>
        <w:rPr>
          <w:rFonts w:asciiTheme="minorEastAsia" w:hAnsiTheme="minorEastAsia" w:eastAsiaTheme="minorEastAsia"/>
        </w:rPr>
        <w:t>执行。</w:t>
      </w:r>
    </w:p>
    <w:p>
      <w:pPr>
        <w:rPr>
          <w:rFonts w:asciiTheme="minorEastAsia" w:hAnsiTheme="minorEastAsia" w:eastAsiaTheme="minorEastAsia"/>
        </w:rPr>
      </w:pPr>
      <w:r>
        <w:rPr>
          <w:rFonts w:asciiTheme="minorEastAsia" w:hAnsiTheme="minorEastAsia" w:eastAsiaTheme="minorEastAsia"/>
        </w:rPr>
        <w:t>12.2.2 预付款担保</w:t>
      </w:r>
    </w:p>
    <w:p>
      <w:pPr>
        <w:rPr>
          <w:rFonts w:asciiTheme="minorEastAsia" w:hAnsiTheme="minorEastAsia" w:eastAsiaTheme="minorEastAsia"/>
        </w:rPr>
      </w:pPr>
      <w:r>
        <w:rPr>
          <w:rFonts w:hint="eastAsia" w:asciiTheme="minorEastAsia" w:hAnsiTheme="minorEastAsia" w:eastAsiaTheme="minorEastAsia"/>
        </w:rPr>
        <w:t>发包人要求承包人提供预付款担保的</w:t>
      </w:r>
      <w:r>
        <w:rPr>
          <w:rFonts w:asciiTheme="minorEastAsia" w:hAnsiTheme="minorEastAsia" w:eastAsiaTheme="minorEastAsia"/>
        </w:rPr>
        <w:t>，承包人应在发包人支付预付款7天前提供预付款担保</w:t>
      </w:r>
      <w:r>
        <w:rPr>
          <w:rFonts w:hint="eastAsia" w:asciiTheme="minorEastAsia" w:hAnsiTheme="minorEastAsia" w:eastAsiaTheme="minorEastAsia"/>
        </w:rPr>
        <w:t>，</w:t>
      </w:r>
      <w:r>
        <w:rPr>
          <w:rFonts w:asciiTheme="minorEastAsia" w:hAnsiTheme="minorEastAsia" w:eastAsiaTheme="minorEastAsia"/>
        </w:rPr>
        <w:t>专用合同条款另有约定</w:t>
      </w:r>
      <w:r>
        <w:rPr>
          <w:rFonts w:hint="eastAsia" w:asciiTheme="minorEastAsia" w:hAnsiTheme="minorEastAsia" w:eastAsiaTheme="minorEastAsia"/>
        </w:rPr>
        <w:t>除</w:t>
      </w:r>
      <w:r>
        <w:rPr>
          <w:rFonts w:asciiTheme="minorEastAsia" w:hAnsiTheme="minorEastAsia" w:eastAsiaTheme="minorEastAsia"/>
        </w:rPr>
        <w:t>外。预付款担保可采用银行保函、担保公司担保等形式，具体由合同当事人在专用合同条款中约定。在预付款完全扣回之前，承包人应保证预付款担保持续有效。</w:t>
      </w:r>
    </w:p>
    <w:p>
      <w:pPr>
        <w:rPr>
          <w:rFonts w:asciiTheme="minorEastAsia" w:hAnsiTheme="minorEastAsia" w:eastAsiaTheme="minorEastAsia"/>
        </w:rPr>
      </w:pPr>
      <w:r>
        <w:rPr>
          <w:rFonts w:asciiTheme="minorEastAsia" w:hAnsiTheme="minorEastAsia" w:eastAsiaTheme="minorEastAsia"/>
        </w:rPr>
        <w:t>发包人在工程款中逐期扣回预付款后，预付款担保额度应相应减少，但剩余的预付款担保金额不得低于未被扣回的预付款金额。</w:t>
      </w:r>
    </w:p>
    <w:p>
      <w:pPr>
        <w:rPr>
          <w:rFonts w:asciiTheme="minorEastAsia" w:hAnsiTheme="minorEastAsia" w:eastAsiaTheme="minorEastAsia"/>
          <w:bCs/>
        </w:rPr>
      </w:pPr>
      <w:bookmarkStart w:id="434" w:name="_Toc351203583"/>
      <w:bookmarkStart w:id="435" w:name="_Toc337558802"/>
      <w:r>
        <w:rPr>
          <w:rFonts w:asciiTheme="minorEastAsia" w:hAnsiTheme="minorEastAsia" w:eastAsiaTheme="minorEastAsia"/>
          <w:bCs/>
        </w:rPr>
        <w:t>12.3计量</w:t>
      </w:r>
      <w:bookmarkEnd w:id="434"/>
    </w:p>
    <w:bookmarkEnd w:id="435"/>
    <w:p>
      <w:pPr>
        <w:rPr>
          <w:rFonts w:asciiTheme="minorEastAsia" w:hAnsiTheme="minorEastAsia" w:eastAsiaTheme="minorEastAsia"/>
        </w:rPr>
      </w:pPr>
      <w:r>
        <w:rPr>
          <w:rFonts w:asciiTheme="minorEastAsia" w:hAnsiTheme="minorEastAsia" w:eastAsiaTheme="minorEastAsia"/>
        </w:rPr>
        <w:t>12.3.1 计量原则</w:t>
      </w:r>
    </w:p>
    <w:p>
      <w:pPr>
        <w:rPr>
          <w:rFonts w:asciiTheme="minorEastAsia" w:hAnsiTheme="minorEastAsia" w:eastAsiaTheme="minorEastAsia"/>
        </w:rPr>
      </w:pPr>
      <w:r>
        <w:rPr>
          <w:rFonts w:asciiTheme="minorEastAsia" w:hAnsiTheme="minorEastAsia" w:eastAsiaTheme="minorEastAsia"/>
        </w:rPr>
        <w:t>工程量计量按照合同约定的工程量计算规则、图纸及变更指示</w:t>
      </w:r>
      <w:r>
        <w:rPr>
          <w:rFonts w:hint="eastAsia" w:asciiTheme="minorEastAsia" w:hAnsiTheme="minorEastAsia" w:eastAsiaTheme="minorEastAsia"/>
        </w:rPr>
        <w:t>等</w:t>
      </w:r>
      <w:r>
        <w:rPr>
          <w:rFonts w:asciiTheme="minorEastAsia" w:hAnsiTheme="minorEastAsia" w:eastAsiaTheme="minorEastAsia"/>
        </w:rPr>
        <w:t>进行计量。工程量计算规则应以相关的国家标准、行业标准</w:t>
      </w:r>
      <w:r>
        <w:rPr>
          <w:rFonts w:hint="eastAsia" w:asciiTheme="minorEastAsia" w:hAnsiTheme="minorEastAsia" w:eastAsiaTheme="minorEastAsia"/>
        </w:rPr>
        <w:t>等</w:t>
      </w:r>
      <w:r>
        <w:rPr>
          <w:rFonts w:asciiTheme="minorEastAsia" w:hAnsiTheme="minorEastAsia" w:eastAsiaTheme="minorEastAsia"/>
        </w:rPr>
        <w:t>为依据，由合同当事人在专用合同条款中约定。</w:t>
      </w:r>
    </w:p>
    <w:p>
      <w:pPr>
        <w:rPr>
          <w:rFonts w:asciiTheme="minorEastAsia" w:hAnsiTheme="minorEastAsia" w:eastAsiaTheme="minorEastAsia"/>
        </w:rPr>
      </w:pPr>
      <w:r>
        <w:rPr>
          <w:rFonts w:asciiTheme="minorEastAsia" w:hAnsiTheme="minorEastAsia" w:eastAsiaTheme="minorEastAsia"/>
        </w:rPr>
        <w:t>12.3.2 计量周期</w:t>
      </w:r>
    </w:p>
    <w:p>
      <w:pPr>
        <w:rPr>
          <w:rFonts w:asciiTheme="minorEastAsia" w:hAnsiTheme="minorEastAsia" w:eastAsiaTheme="minorEastAsia"/>
        </w:rPr>
      </w:pPr>
      <w:r>
        <w:rPr>
          <w:rFonts w:asciiTheme="minorEastAsia" w:hAnsiTheme="minorEastAsia" w:eastAsiaTheme="minorEastAsia"/>
        </w:rPr>
        <w:t>除专用合同条款另有约定外，工程量的计量按月进行。</w:t>
      </w:r>
    </w:p>
    <w:p>
      <w:pPr>
        <w:rPr>
          <w:rFonts w:asciiTheme="minorEastAsia" w:hAnsiTheme="minorEastAsia" w:eastAsiaTheme="minorEastAsia"/>
        </w:rPr>
      </w:pPr>
      <w:r>
        <w:rPr>
          <w:rFonts w:asciiTheme="minorEastAsia" w:hAnsiTheme="minorEastAsia" w:eastAsiaTheme="minorEastAsia"/>
        </w:rPr>
        <w:t>12.3.3 单价合同的计量</w:t>
      </w:r>
    </w:p>
    <w:p>
      <w:pPr>
        <w:rPr>
          <w:rFonts w:asciiTheme="minorEastAsia" w:hAnsiTheme="minorEastAsia" w:eastAsiaTheme="minorEastAsia"/>
        </w:rPr>
      </w:pPr>
      <w:r>
        <w:rPr>
          <w:rFonts w:asciiTheme="minorEastAsia" w:hAnsiTheme="minorEastAsia" w:eastAsiaTheme="minorEastAsia"/>
        </w:rPr>
        <w:t>除专用合同条款另有约定外，单价合同的计量按照本项约定执行：</w:t>
      </w:r>
    </w:p>
    <w:p>
      <w:pPr>
        <w:rPr>
          <w:rFonts w:asciiTheme="minorEastAsia" w:hAnsiTheme="minorEastAsia" w:eastAsiaTheme="minorEastAsia"/>
        </w:rPr>
      </w:pPr>
      <w:r>
        <w:rPr>
          <w:rFonts w:asciiTheme="minorEastAsia" w:hAnsiTheme="minorEastAsia" w:eastAsiaTheme="minorEastAsia"/>
        </w:rPr>
        <w:t>（1）承包人应于每月25日向监理人报送上月20日至当月19日已完成的工程量报告，并附具进度付款申请单、已完成工程量报表和有关资料。</w:t>
      </w:r>
    </w:p>
    <w:p>
      <w:pPr>
        <w:rPr>
          <w:rFonts w:asciiTheme="minorEastAsia" w:hAnsiTheme="minorEastAsia" w:eastAsiaTheme="minorEastAsia"/>
        </w:rPr>
      </w:pPr>
      <w:r>
        <w:rPr>
          <w:rFonts w:asciiTheme="minorEastAsia" w:hAnsiTheme="minorEastAsia" w:eastAsiaTheme="minorEastAsia"/>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复核或修正的工程量视为承包人实际完成的工程量。</w:t>
      </w:r>
    </w:p>
    <w:p>
      <w:pPr>
        <w:rPr>
          <w:rFonts w:asciiTheme="minorEastAsia" w:hAnsiTheme="minorEastAsia" w:eastAsiaTheme="minorEastAsia"/>
        </w:rPr>
      </w:pPr>
      <w:r>
        <w:rPr>
          <w:rFonts w:asciiTheme="minorEastAsia" w:hAnsiTheme="minorEastAsia" w:eastAsiaTheme="minorEastAsia"/>
        </w:rPr>
        <w:t>（3）监理人未在收到承包人提交的工程量报表后的7天内完成审核的，承包人报送的工程量报告中的工程量视为承包人实际完成的工程量，据此计算工程价款。</w:t>
      </w:r>
    </w:p>
    <w:p>
      <w:pPr>
        <w:rPr>
          <w:rFonts w:asciiTheme="minorEastAsia" w:hAnsiTheme="minorEastAsia" w:eastAsiaTheme="minorEastAsia"/>
        </w:rPr>
      </w:pPr>
      <w:r>
        <w:rPr>
          <w:rFonts w:asciiTheme="minorEastAsia" w:hAnsiTheme="minorEastAsia" w:eastAsiaTheme="minorEastAsia"/>
        </w:rPr>
        <w:t>12.3.4 总价合同的计量</w:t>
      </w:r>
    </w:p>
    <w:p>
      <w:pPr>
        <w:rPr>
          <w:rFonts w:asciiTheme="minorEastAsia" w:hAnsiTheme="minorEastAsia" w:eastAsiaTheme="minorEastAsia"/>
        </w:rPr>
      </w:pPr>
      <w:r>
        <w:rPr>
          <w:rFonts w:asciiTheme="minorEastAsia" w:hAnsiTheme="minorEastAsia" w:eastAsiaTheme="minorEastAsia"/>
        </w:rPr>
        <w:t>除专用合同条款另有约定外，按</w:t>
      </w:r>
      <w:r>
        <w:rPr>
          <w:rFonts w:hint="eastAsia" w:asciiTheme="minorEastAsia" w:hAnsiTheme="minorEastAsia" w:eastAsiaTheme="minorEastAsia"/>
        </w:rPr>
        <w:t>月计量支付</w:t>
      </w:r>
      <w:r>
        <w:rPr>
          <w:rFonts w:asciiTheme="minorEastAsia" w:hAnsiTheme="minorEastAsia" w:eastAsiaTheme="minorEastAsia"/>
        </w:rPr>
        <w:t>的总价合同，按照本项约定执行：</w:t>
      </w:r>
    </w:p>
    <w:p>
      <w:pPr>
        <w:rPr>
          <w:rFonts w:asciiTheme="minorEastAsia" w:hAnsiTheme="minorEastAsia" w:eastAsiaTheme="minorEastAsia"/>
        </w:rPr>
      </w:pPr>
      <w:r>
        <w:rPr>
          <w:rFonts w:asciiTheme="minorEastAsia" w:hAnsiTheme="minorEastAsia" w:eastAsiaTheme="minorEastAsia"/>
        </w:rPr>
        <w:t>（1）承包人应于每月25日向监理人报送上月20日至当月19日已完成的工程量报告，并附具进度付款申请单、已完成工程量报表和有关资料。</w:t>
      </w:r>
    </w:p>
    <w:p>
      <w:pPr>
        <w:rPr>
          <w:rFonts w:asciiTheme="minorEastAsia" w:hAnsiTheme="minorEastAsia" w:eastAsiaTheme="minorEastAsia"/>
        </w:rPr>
      </w:pPr>
      <w:r>
        <w:rPr>
          <w:rFonts w:asciiTheme="minorEastAsia" w:hAnsiTheme="minorEastAsia" w:eastAsiaTheme="minorEastAsia"/>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审核或修正的工程量视为承包人实际完成的工程量。</w:t>
      </w:r>
    </w:p>
    <w:p>
      <w:pPr>
        <w:rPr>
          <w:rFonts w:asciiTheme="minorEastAsia" w:hAnsiTheme="minorEastAsia" w:eastAsiaTheme="minorEastAsia"/>
        </w:rPr>
      </w:pPr>
      <w:r>
        <w:rPr>
          <w:rFonts w:asciiTheme="minorEastAsia" w:hAnsiTheme="minorEastAsia" w:eastAsiaTheme="minorEastAsia"/>
        </w:rPr>
        <w:t>（3）监理人未在收到承包人提交的工程量报表后的7天内完成复核的，承包人提交的工程量报告中的工程量视为承包人实际完成的工程量。</w:t>
      </w:r>
    </w:p>
    <w:p>
      <w:pPr>
        <w:rPr>
          <w:rFonts w:asciiTheme="minorEastAsia" w:hAnsiTheme="minorEastAsia" w:eastAsiaTheme="minorEastAsia"/>
        </w:rPr>
      </w:pPr>
      <w:r>
        <w:rPr>
          <w:rFonts w:asciiTheme="minorEastAsia" w:hAnsiTheme="minorEastAsia" w:eastAsiaTheme="minorEastAsia"/>
        </w:rPr>
        <w:t>12.3.5 总价合同采用支付分解表计量支付的，可以按照第12.3.4项</w:t>
      </w:r>
      <w:r>
        <w:rPr>
          <w:rFonts w:hint="eastAsia" w:asciiTheme="minorEastAsia" w:hAnsiTheme="minorEastAsia" w:eastAsiaTheme="minorEastAsia"/>
        </w:rPr>
        <w:t>〔</w:t>
      </w:r>
      <w:r>
        <w:rPr>
          <w:rFonts w:asciiTheme="minorEastAsia" w:hAnsiTheme="minorEastAsia" w:eastAsiaTheme="minorEastAsia"/>
        </w:rPr>
        <w:t>总价合同的计量</w:t>
      </w:r>
      <w:r>
        <w:rPr>
          <w:rFonts w:hint="eastAsia" w:asciiTheme="minorEastAsia" w:hAnsiTheme="minorEastAsia" w:eastAsiaTheme="minorEastAsia"/>
        </w:rPr>
        <w:t>〕</w:t>
      </w:r>
      <w:r>
        <w:rPr>
          <w:rFonts w:asciiTheme="minorEastAsia" w:hAnsiTheme="minorEastAsia" w:eastAsiaTheme="minorEastAsia"/>
        </w:rPr>
        <w:t>约定进行计量，但合同价款按照支付分解表进行支付。</w:t>
      </w:r>
    </w:p>
    <w:p>
      <w:pPr>
        <w:rPr>
          <w:rFonts w:asciiTheme="minorEastAsia" w:hAnsiTheme="minorEastAsia" w:eastAsiaTheme="minorEastAsia"/>
        </w:rPr>
      </w:pPr>
      <w:r>
        <w:rPr>
          <w:rFonts w:asciiTheme="minorEastAsia" w:hAnsiTheme="minorEastAsia" w:eastAsiaTheme="minorEastAsia"/>
        </w:rPr>
        <w:t>12.3.6 其他价格形式合同的计量</w:t>
      </w:r>
    </w:p>
    <w:p>
      <w:pPr>
        <w:rPr>
          <w:rFonts w:asciiTheme="minorEastAsia" w:hAnsiTheme="minorEastAsia" w:eastAsiaTheme="minorEastAsia"/>
        </w:rPr>
      </w:pPr>
      <w:r>
        <w:rPr>
          <w:rFonts w:asciiTheme="minorEastAsia" w:hAnsiTheme="minorEastAsia" w:eastAsiaTheme="minorEastAsia"/>
        </w:rPr>
        <w:t>合同当事人可在专用合同条款中约定其他价格形式合同的计量方式和程序。</w:t>
      </w:r>
    </w:p>
    <w:p>
      <w:pPr>
        <w:rPr>
          <w:rFonts w:asciiTheme="minorEastAsia" w:hAnsiTheme="minorEastAsia" w:eastAsiaTheme="minorEastAsia"/>
          <w:bCs/>
        </w:rPr>
      </w:pPr>
      <w:bookmarkStart w:id="436" w:name="_Toc296346602"/>
      <w:bookmarkStart w:id="437" w:name="_Toc296503101"/>
      <w:bookmarkStart w:id="438" w:name="_Toc351203584"/>
      <w:bookmarkStart w:id="439" w:name="_Toc337558803"/>
      <w:r>
        <w:rPr>
          <w:rFonts w:asciiTheme="minorEastAsia" w:hAnsiTheme="minorEastAsia" w:eastAsiaTheme="minorEastAsia"/>
          <w:bCs/>
        </w:rPr>
        <w:t>12.4工程进度款支</w:t>
      </w:r>
      <w:bookmarkEnd w:id="436"/>
      <w:bookmarkEnd w:id="437"/>
      <w:r>
        <w:rPr>
          <w:rFonts w:asciiTheme="minorEastAsia" w:hAnsiTheme="minorEastAsia" w:eastAsiaTheme="minorEastAsia"/>
          <w:bCs/>
        </w:rPr>
        <w:t>付</w:t>
      </w:r>
      <w:bookmarkEnd w:id="438"/>
    </w:p>
    <w:bookmarkEnd w:id="439"/>
    <w:p>
      <w:pPr>
        <w:rPr>
          <w:rFonts w:asciiTheme="minorEastAsia" w:hAnsiTheme="minorEastAsia" w:eastAsiaTheme="minorEastAsia"/>
        </w:rPr>
      </w:pPr>
      <w:r>
        <w:rPr>
          <w:rFonts w:asciiTheme="minorEastAsia" w:hAnsiTheme="minorEastAsia" w:eastAsiaTheme="minorEastAsia"/>
        </w:rPr>
        <w:t>12.4.1 付款周期</w:t>
      </w:r>
    </w:p>
    <w:p>
      <w:pPr>
        <w:rPr>
          <w:rFonts w:asciiTheme="minorEastAsia" w:hAnsiTheme="minorEastAsia" w:eastAsiaTheme="minorEastAsia"/>
        </w:rPr>
      </w:pPr>
      <w:r>
        <w:rPr>
          <w:rFonts w:asciiTheme="minorEastAsia" w:hAnsiTheme="minorEastAsia" w:eastAsiaTheme="minorEastAsia"/>
        </w:rPr>
        <w:t>除专用合同条款另有约定外，付款周期应按照第12.3.2</w:t>
      </w:r>
      <w:r>
        <w:rPr>
          <w:rFonts w:hint="eastAsia" w:asciiTheme="minorEastAsia" w:hAnsiTheme="minorEastAsia" w:eastAsiaTheme="minorEastAsia"/>
        </w:rPr>
        <w:t>项〔</w:t>
      </w:r>
      <w:r>
        <w:rPr>
          <w:rFonts w:asciiTheme="minorEastAsia" w:hAnsiTheme="minorEastAsia" w:eastAsiaTheme="minorEastAsia"/>
        </w:rPr>
        <w:t>计量周期</w:t>
      </w:r>
      <w:r>
        <w:rPr>
          <w:rFonts w:hint="eastAsia" w:asciiTheme="minorEastAsia" w:hAnsiTheme="minorEastAsia" w:eastAsiaTheme="minorEastAsia"/>
        </w:rPr>
        <w:t>〕</w:t>
      </w:r>
      <w:r>
        <w:rPr>
          <w:rFonts w:asciiTheme="minorEastAsia" w:hAnsiTheme="minorEastAsia" w:eastAsiaTheme="minorEastAsia"/>
        </w:rPr>
        <w:t>的约定与计量周期保持一致。</w:t>
      </w:r>
    </w:p>
    <w:p>
      <w:pPr>
        <w:rPr>
          <w:rFonts w:asciiTheme="minorEastAsia" w:hAnsiTheme="minorEastAsia" w:eastAsiaTheme="minorEastAsia"/>
        </w:rPr>
      </w:pPr>
      <w:r>
        <w:rPr>
          <w:rFonts w:asciiTheme="minorEastAsia" w:hAnsiTheme="minorEastAsia" w:eastAsiaTheme="minorEastAsia"/>
        </w:rPr>
        <w:t>12.4.2 进度付款申请单的编制</w:t>
      </w:r>
    </w:p>
    <w:p>
      <w:pPr>
        <w:rPr>
          <w:rFonts w:asciiTheme="minorEastAsia" w:hAnsiTheme="minorEastAsia" w:eastAsiaTheme="minorEastAsia"/>
        </w:rPr>
      </w:pPr>
      <w:r>
        <w:rPr>
          <w:rFonts w:asciiTheme="minorEastAsia" w:hAnsiTheme="minorEastAsia" w:eastAsiaTheme="minorEastAsia"/>
        </w:rPr>
        <w:t>除专用合同条款另有约定外，进度付款申请单应包括下列内容：</w:t>
      </w:r>
    </w:p>
    <w:p>
      <w:pPr>
        <w:rPr>
          <w:rFonts w:asciiTheme="minorEastAsia" w:hAnsiTheme="minorEastAsia" w:eastAsiaTheme="minorEastAsia"/>
        </w:rPr>
      </w:pPr>
      <w:r>
        <w:rPr>
          <w:rFonts w:asciiTheme="minorEastAsia" w:hAnsiTheme="minorEastAsia" w:eastAsiaTheme="minorEastAsia"/>
        </w:rPr>
        <w:t>（1）截至本次付款周期已完成工作对应的金额；</w:t>
      </w:r>
    </w:p>
    <w:p>
      <w:pPr>
        <w:rPr>
          <w:rFonts w:asciiTheme="minorEastAsia" w:hAnsiTheme="minorEastAsia" w:eastAsiaTheme="minorEastAsia"/>
        </w:rPr>
      </w:pPr>
      <w:r>
        <w:rPr>
          <w:rFonts w:asciiTheme="minorEastAsia" w:hAnsiTheme="minorEastAsia" w:eastAsiaTheme="minorEastAsia"/>
        </w:rPr>
        <w:t>（2）根据第10条</w:t>
      </w:r>
      <w:r>
        <w:rPr>
          <w:rFonts w:hint="eastAsia" w:asciiTheme="minorEastAsia" w:hAnsiTheme="minorEastAsia" w:eastAsiaTheme="minorEastAsia"/>
        </w:rPr>
        <w:t>〔</w:t>
      </w:r>
      <w:r>
        <w:rPr>
          <w:rFonts w:asciiTheme="minorEastAsia" w:hAnsiTheme="minorEastAsia" w:eastAsiaTheme="minorEastAsia"/>
        </w:rPr>
        <w:t>变更</w:t>
      </w:r>
      <w:r>
        <w:rPr>
          <w:rFonts w:hint="eastAsia" w:asciiTheme="minorEastAsia" w:hAnsiTheme="minorEastAsia" w:eastAsiaTheme="minorEastAsia"/>
        </w:rPr>
        <w:t>〕</w:t>
      </w:r>
      <w:r>
        <w:rPr>
          <w:rFonts w:asciiTheme="minorEastAsia" w:hAnsiTheme="minorEastAsia" w:eastAsiaTheme="minorEastAsia"/>
        </w:rPr>
        <w:t>应增加和扣减的变更金额；</w:t>
      </w:r>
    </w:p>
    <w:p>
      <w:pPr>
        <w:rPr>
          <w:rFonts w:asciiTheme="minorEastAsia" w:hAnsiTheme="minorEastAsia" w:eastAsiaTheme="minorEastAsia"/>
        </w:rPr>
      </w:pPr>
      <w:r>
        <w:rPr>
          <w:rFonts w:asciiTheme="minorEastAsia" w:hAnsiTheme="minorEastAsia" w:eastAsiaTheme="minorEastAsia"/>
        </w:rPr>
        <w:t>（3）根据第12.2款</w:t>
      </w:r>
      <w:r>
        <w:rPr>
          <w:rFonts w:hint="eastAsia" w:asciiTheme="minorEastAsia" w:hAnsiTheme="minorEastAsia" w:eastAsiaTheme="minorEastAsia"/>
        </w:rPr>
        <w:t>〔</w:t>
      </w:r>
      <w:r>
        <w:rPr>
          <w:rFonts w:asciiTheme="minorEastAsia" w:hAnsiTheme="minorEastAsia" w:eastAsiaTheme="minorEastAsia"/>
        </w:rPr>
        <w:t>预付款</w:t>
      </w:r>
      <w:r>
        <w:rPr>
          <w:rFonts w:hint="eastAsia" w:asciiTheme="minorEastAsia" w:hAnsiTheme="minorEastAsia" w:eastAsiaTheme="minorEastAsia"/>
        </w:rPr>
        <w:t>〕</w:t>
      </w:r>
      <w:r>
        <w:rPr>
          <w:rFonts w:asciiTheme="minorEastAsia" w:hAnsiTheme="minorEastAsia" w:eastAsiaTheme="minorEastAsia"/>
        </w:rPr>
        <w:t>约定应支付的预付款和扣减的返还预付款；</w:t>
      </w:r>
    </w:p>
    <w:p>
      <w:pPr>
        <w:rPr>
          <w:rFonts w:asciiTheme="minorEastAsia" w:hAnsiTheme="minorEastAsia" w:eastAsiaTheme="minorEastAsia"/>
        </w:rPr>
      </w:pPr>
      <w:r>
        <w:rPr>
          <w:rFonts w:asciiTheme="minorEastAsia" w:hAnsiTheme="minorEastAsia" w:eastAsiaTheme="minorEastAsia"/>
        </w:rPr>
        <w:t>（4）根据第15.3款</w:t>
      </w:r>
      <w:r>
        <w:rPr>
          <w:rFonts w:hint="eastAsia" w:asciiTheme="minorEastAsia" w:hAnsiTheme="minorEastAsia" w:eastAsiaTheme="minorEastAsia"/>
        </w:rPr>
        <w:t>〔</w:t>
      </w:r>
      <w:r>
        <w:rPr>
          <w:rFonts w:asciiTheme="minorEastAsia" w:hAnsiTheme="minorEastAsia" w:eastAsiaTheme="minorEastAsia"/>
        </w:rPr>
        <w:t>质量保证金</w:t>
      </w:r>
      <w:r>
        <w:rPr>
          <w:rFonts w:hint="eastAsia" w:asciiTheme="minorEastAsia" w:hAnsiTheme="minorEastAsia" w:eastAsiaTheme="minorEastAsia"/>
        </w:rPr>
        <w:t>〕</w:t>
      </w:r>
      <w:r>
        <w:rPr>
          <w:rFonts w:asciiTheme="minorEastAsia" w:hAnsiTheme="minorEastAsia" w:eastAsiaTheme="minorEastAsia"/>
        </w:rPr>
        <w:t>约定应扣减的质量保证金；</w:t>
      </w:r>
    </w:p>
    <w:p>
      <w:pPr>
        <w:rPr>
          <w:rFonts w:asciiTheme="minorEastAsia" w:hAnsiTheme="minorEastAsia" w:eastAsiaTheme="minorEastAsia"/>
        </w:rPr>
      </w:pPr>
      <w:r>
        <w:rPr>
          <w:rFonts w:asciiTheme="minorEastAsia" w:hAnsiTheme="minorEastAsia" w:eastAsiaTheme="minorEastAsia"/>
        </w:rPr>
        <w:t>（5）根据第19条</w:t>
      </w:r>
      <w:r>
        <w:rPr>
          <w:rFonts w:hint="eastAsia" w:asciiTheme="minorEastAsia" w:hAnsiTheme="minorEastAsia" w:eastAsiaTheme="minorEastAsia"/>
        </w:rPr>
        <w:t>〔</w:t>
      </w:r>
      <w:r>
        <w:rPr>
          <w:rFonts w:asciiTheme="minorEastAsia" w:hAnsiTheme="minorEastAsia" w:eastAsiaTheme="minorEastAsia"/>
        </w:rPr>
        <w:t>索赔</w:t>
      </w:r>
      <w:r>
        <w:rPr>
          <w:rFonts w:hint="eastAsia" w:asciiTheme="minorEastAsia" w:hAnsiTheme="minorEastAsia" w:eastAsiaTheme="minorEastAsia"/>
        </w:rPr>
        <w:t>〕</w:t>
      </w:r>
      <w:r>
        <w:rPr>
          <w:rFonts w:asciiTheme="minorEastAsia" w:hAnsiTheme="minorEastAsia" w:eastAsiaTheme="minorEastAsia"/>
        </w:rPr>
        <w:t>应增加和扣减的索赔金额；</w:t>
      </w:r>
    </w:p>
    <w:p>
      <w:pPr>
        <w:rPr>
          <w:rFonts w:asciiTheme="minorEastAsia" w:hAnsiTheme="minorEastAsia" w:eastAsiaTheme="minorEastAsia"/>
        </w:rPr>
      </w:pPr>
      <w:r>
        <w:rPr>
          <w:rFonts w:asciiTheme="minorEastAsia" w:hAnsiTheme="minorEastAsia" w:eastAsiaTheme="minorEastAsia"/>
        </w:rPr>
        <w:t>（6）对已签发的进度款支付证书中出现错误的修正，应在本次进度付款中支付或扣除的金额；</w:t>
      </w:r>
    </w:p>
    <w:p>
      <w:pPr>
        <w:rPr>
          <w:rFonts w:asciiTheme="minorEastAsia" w:hAnsiTheme="minorEastAsia" w:eastAsiaTheme="minorEastAsia"/>
        </w:rPr>
      </w:pPr>
      <w:r>
        <w:rPr>
          <w:rFonts w:asciiTheme="minorEastAsia" w:hAnsiTheme="minorEastAsia" w:eastAsiaTheme="minorEastAsia"/>
        </w:rPr>
        <w:t>（7）根据合同约定应增加和扣减的其他金额。</w:t>
      </w:r>
    </w:p>
    <w:p>
      <w:pPr>
        <w:rPr>
          <w:rFonts w:asciiTheme="minorEastAsia" w:hAnsiTheme="minorEastAsia" w:eastAsiaTheme="minorEastAsia"/>
        </w:rPr>
      </w:pPr>
      <w:r>
        <w:rPr>
          <w:rFonts w:asciiTheme="minorEastAsia" w:hAnsiTheme="minorEastAsia" w:eastAsiaTheme="minorEastAsia"/>
        </w:rPr>
        <w:t>12.4.3 进度付款申请单的提交</w:t>
      </w:r>
    </w:p>
    <w:p>
      <w:pPr>
        <w:rPr>
          <w:rFonts w:asciiTheme="minorEastAsia" w:hAnsiTheme="minorEastAsia" w:eastAsiaTheme="minorEastAsia"/>
        </w:rPr>
      </w:pPr>
      <w:r>
        <w:rPr>
          <w:rFonts w:asciiTheme="minorEastAsia" w:hAnsiTheme="minorEastAsia" w:eastAsiaTheme="minorEastAsia"/>
        </w:rPr>
        <w:t>（1）单价合同进度付款申请单的提交</w:t>
      </w:r>
    </w:p>
    <w:p>
      <w:pPr>
        <w:rPr>
          <w:rFonts w:asciiTheme="minorEastAsia" w:hAnsiTheme="minorEastAsia" w:eastAsiaTheme="minorEastAsia"/>
        </w:rPr>
      </w:pPr>
      <w:r>
        <w:rPr>
          <w:rFonts w:asciiTheme="minorEastAsia" w:hAnsiTheme="minorEastAsia" w:eastAsiaTheme="minorEastAsia"/>
        </w:rPr>
        <w:t>单价合同的进度付款申请单，按照第12.3.3项</w:t>
      </w:r>
      <w:r>
        <w:rPr>
          <w:rFonts w:hint="eastAsia" w:asciiTheme="minorEastAsia" w:hAnsiTheme="minorEastAsia" w:eastAsiaTheme="minorEastAsia"/>
        </w:rPr>
        <w:t>〔</w:t>
      </w:r>
      <w:r>
        <w:rPr>
          <w:rFonts w:asciiTheme="minorEastAsia" w:hAnsiTheme="minorEastAsia" w:eastAsiaTheme="minorEastAsia"/>
        </w:rPr>
        <w:t>单价合同的计量</w:t>
      </w:r>
      <w:r>
        <w:rPr>
          <w:rFonts w:hint="eastAsia" w:asciiTheme="minorEastAsia" w:hAnsiTheme="minorEastAsia" w:eastAsiaTheme="minorEastAsia"/>
        </w:rPr>
        <w:t>〕</w:t>
      </w:r>
      <w:r>
        <w:rPr>
          <w:rFonts w:asciiTheme="minorEastAsia" w:hAnsiTheme="minorEastAsia" w:eastAsiaTheme="minorEastAsia"/>
        </w:rPr>
        <w:t>约定的时间按月向监理人提交，并附上已完成工程量报表和有关资料。单价合同中的总价项目按月进行支付分解，并汇总列入当期进度付款申请单。</w:t>
      </w:r>
    </w:p>
    <w:p>
      <w:pPr>
        <w:rPr>
          <w:rFonts w:asciiTheme="minorEastAsia" w:hAnsiTheme="minorEastAsia" w:eastAsiaTheme="minorEastAsia"/>
        </w:rPr>
      </w:pPr>
      <w:r>
        <w:rPr>
          <w:rFonts w:asciiTheme="minorEastAsia" w:hAnsiTheme="minorEastAsia" w:eastAsiaTheme="minorEastAsia"/>
        </w:rPr>
        <w:t>（2）总价合同进度付款申请单的提交</w:t>
      </w:r>
    </w:p>
    <w:p>
      <w:pPr>
        <w:rPr>
          <w:rFonts w:asciiTheme="minorEastAsia" w:hAnsiTheme="minorEastAsia" w:eastAsiaTheme="minorEastAsia"/>
        </w:rPr>
      </w:pPr>
      <w:r>
        <w:rPr>
          <w:rFonts w:asciiTheme="minorEastAsia" w:hAnsiTheme="minorEastAsia" w:eastAsiaTheme="minorEastAsia"/>
        </w:rPr>
        <w:t>总价合同按</w:t>
      </w:r>
      <w:r>
        <w:rPr>
          <w:rFonts w:hint="eastAsia" w:asciiTheme="minorEastAsia" w:hAnsiTheme="minorEastAsia" w:eastAsiaTheme="minorEastAsia"/>
        </w:rPr>
        <w:t>月计量支付的</w:t>
      </w:r>
      <w:r>
        <w:rPr>
          <w:rFonts w:asciiTheme="minorEastAsia" w:hAnsiTheme="minorEastAsia" w:eastAsiaTheme="minorEastAsia"/>
        </w:rPr>
        <w:t>，承包人按照第12.3.4项</w:t>
      </w:r>
      <w:r>
        <w:rPr>
          <w:rFonts w:hint="eastAsia" w:asciiTheme="minorEastAsia" w:hAnsiTheme="minorEastAsia" w:eastAsiaTheme="minorEastAsia"/>
        </w:rPr>
        <w:t>〔</w:t>
      </w:r>
      <w:r>
        <w:rPr>
          <w:rFonts w:asciiTheme="minorEastAsia" w:hAnsiTheme="minorEastAsia" w:eastAsiaTheme="minorEastAsia"/>
        </w:rPr>
        <w:t>总价合同的计量</w:t>
      </w:r>
      <w:r>
        <w:rPr>
          <w:rFonts w:hint="eastAsia" w:asciiTheme="minorEastAsia" w:hAnsiTheme="minorEastAsia" w:eastAsiaTheme="minorEastAsia"/>
        </w:rPr>
        <w:t>〕</w:t>
      </w:r>
      <w:r>
        <w:rPr>
          <w:rFonts w:asciiTheme="minorEastAsia" w:hAnsiTheme="minorEastAsia" w:eastAsiaTheme="minorEastAsia"/>
        </w:rPr>
        <w:t>约定的时间按月向监理人提交进度付款申请单，并附上已完成工程量报表和有关资料。</w:t>
      </w:r>
    </w:p>
    <w:p>
      <w:pPr>
        <w:rPr>
          <w:rFonts w:asciiTheme="minorEastAsia" w:hAnsiTheme="minorEastAsia" w:eastAsiaTheme="minorEastAsia"/>
        </w:rPr>
      </w:pPr>
      <w:r>
        <w:rPr>
          <w:rFonts w:asciiTheme="minorEastAsia" w:hAnsiTheme="minorEastAsia" w:eastAsiaTheme="minorEastAsia"/>
        </w:rPr>
        <w:t>总价合同按支付分解表支付的，承包人应按照第12.4.6项</w:t>
      </w:r>
      <w:r>
        <w:rPr>
          <w:rFonts w:hint="eastAsia" w:asciiTheme="minorEastAsia" w:hAnsiTheme="minorEastAsia" w:eastAsiaTheme="minorEastAsia"/>
        </w:rPr>
        <w:t>〔</w:t>
      </w:r>
      <w:r>
        <w:rPr>
          <w:rFonts w:asciiTheme="minorEastAsia" w:hAnsiTheme="minorEastAsia" w:eastAsiaTheme="minorEastAsia"/>
        </w:rPr>
        <w:t>支付分解表</w:t>
      </w:r>
      <w:r>
        <w:rPr>
          <w:rFonts w:hint="eastAsia" w:asciiTheme="minorEastAsia" w:hAnsiTheme="minorEastAsia" w:eastAsiaTheme="minorEastAsia"/>
        </w:rPr>
        <w:t>〕</w:t>
      </w:r>
      <w:r>
        <w:rPr>
          <w:rFonts w:asciiTheme="minorEastAsia" w:hAnsiTheme="minorEastAsia" w:eastAsiaTheme="minorEastAsia"/>
        </w:rPr>
        <w:t>及第12.4.2项</w:t>
      </w:r>
      <w:r>
        <w:rPr>
          <w:rFonts w:hint="eastAsia" w:asciiTheme="minorEastAsia" w:hAnsiTheme="minorEastAsia" w:eastAsiaTheme="minorEastAsia"/>
        </w:rPr>
        <w:t>〔</w:t>
      </w:r>
      <w:r>
        <w:rPr>
          <w:rFonts w:asciiTheme="minorEastAsia" w:hAnsiTheme="minorEastAsia" w:eastAsiaTheme="minorEastAsia"/>
        </w:rPr>
        <w:t>进度付款申请单的编制</w:t>
      </w:r>
      <w:r>
        <w:rPr>
          <w:rFonts w:hint="eastAsia" w:asciiTheme="minorEastAsia" w:hAnsiTheme="minorEastAsia" w:eastAsiaTheme="minorEastAsia"/>
        </w:rPr>
        <w:t>〕</w:t>
      </w:r>
      <w:r>
        <w:rPr>
          <w:rFonts w:asciiTheme="minorEastAsia" w:hAnsiTheme="minorEastAsia" w:eastAsiaTheme="minorEastAsia"/>
        </w:rPr>
        <w:t>的约定向监理人提交进度付款申请单。</w:t>
      </w:r>
    </w:p>
    <w:p>
      <w:pPr>
        <w:rPr>
          <w:rFonts w:asciiTheme="minorEastAsia" w:hAnsiTheme="minorEastAsia" w:eastAsiaTheme="minorEastAsia"/>
        </w:rPr>
      </w:pPr>
      <w:r>
        <w:rPr>
          <w:rFonts w:asciiTheme="minorEastAsia" w:hAnsiTheme="minorEastAsia" w:eastAsiaTheme="minorEastAsia"/>
        </w:rPr>
        <w:t>（3）其他价格形式合同的进度付款申请单的提交</w:t>
      </w:r>
    </w:p>
    <w:p>
      <w:pPr>
        <w:rPr>
          <w:rFonts w:asciiTheme="minorEastAsia" w:hAnsiTheme="minorEastAsia" w:eastAsiaTheme="minorEastAsia"/>
        </w:rPr>
      </w:pPr>
      <w:r>
        <w:rPr>
          <w:rFonts w:asciiTheme="minorEastAsia" w:hAnsiTheme="minorEastAsia" w:eastAsiaTheme="minorEastAsia"/>
        </w:rPr>
        <w:t>合同当事人可在专用合同条款中约定其他价格形式合同的进度付款申请单的编制和提交程序。</w:t>
      </w:r>
    </w:p>
    <w:p>
      <w:pPr>
        <w:rPr>
          <w:rFonts w:asciiTheme="minorEastAsia" w:hAnsiTheme="minorEastAsia" w:eastAsiaTheme="minorEastAsia"/>
        </w:rPr>
      </w:pPr>
      <w:r>
        <w:rPr>
          <w:rFonts w:asciiTheme="minorEastAsia" w:hAnsiTheme="minorEastAsia" w:eastAsiaTheme="minorEastAsia"/>
        </w:rPr>
        <w:t>12.4.4 进度款审核和支付</w:t>
      </w:r>
    </w:p>
    <w:p>
      <w:pPr>
        <w:rPr>
          <w:rFonts w:asciiTheme="minorEastAsia" w:hAnsiTheme="minorEastAsia" w:eastAsiaTheme="minorEastAsia"/>
        </w:rPr>
      </w:pPr>
      <w:r>
        <w:rPr>
          <w:rFonts w:asciiTheme="minorEastAsia" w:hAnsiTheme="minorEastAsia" w:eastAsiaTheme="minorEastAsia"/>
        </w:rPr>
        <w:t>（1）除专用合同条款另有约定外，监理人应在收到承包人进度付款申请单以及相关资料后7天内完成审查并报送发包人，发包人应在收到后7天内完成审批并签发进度款支付证书。发包人逾期未完成</w:t>
      </w:r>
      <w:r>
        <w:rPr>
          <w:rFonts w:hint="eastAsia" w:asciiTheme="minorEastAsia" w:hAnsiTheme="minorEastAsia" w:eastAsiaTheme="minorEastAsia"/>
        </w:rPr>
        <w:t>审批</w:t>
      </w:r>
      <w:r>
        <w:rPr>
          <w:rFonts w:asciiTheme="minorEastAsia" w:hAnsiTheme="minorEastAsia" w:eastAsiaTheme="minorEastAsia"/>
        </w:rPr>
        <w:t>且未提出异议的，视为已签发进度款支付证书。</w:t>
      </w:r>
    </w:p>
    <w:p>
      <w:pPr>
        <w:rPr>
          <w:rFonts w:asciiTheme="minorEastAsia" w:hAnsiTheme="minorEastAsia" w:eastAsiaTheme="minorEastAsia"/>
        </w:rPr>
      </w:pPr>
      <w:r>
        <w:rPr>
          <w:rFonts w:asciiTheme="minorEastAsia" w:hAnsiTheme="minorEastAsia" w:eastAsiaTheme="minorEastAsia"/>
        </w:rPr>
        <w:t>发包人和监理人对承包人的进度付款申请单有异议的，有权要求承包人修正和提供补充资料，承包人应提交修正后的进度付款申请单。监理人应在收到承包人修正后的进度付款申请单及相关资料后7天内完成审查并报送发包人，发包人应在收到监理人报送的进度付款申请单及相关资料后7天内，向承包人签发无异议部分的临时进度款支付证书。存在争议的部分，按照第20条</w:t>
      </w:r>
      <w:r>
        <w:rPr>
          <w:rFonts w:hint="eastAsia" w:asciiTheme="minorEastAsia" w:hAnsiTheme="minorEastAsia" w:eastAsiaTheme="minorEastAsia"/>
        </w:rPr>
        <w:t>〔</w:t>
      </w:r>
      <w:r>
        <w:rPr>
          <w:rFonts w:asciiTheme="minorEastAsia" w:hAnsiTheme="minorEastAsia" w:eastAsiaTheme="minorEastAsia"/>
        </w:rPr>
        <w:t>争议解决</w:t>
      </w:r>
      <w:r>
        <w:rPr>
          <w:rFonts w:hint="eastAsia" w:asciiTheme="minorEastAsia" w:hAnsiTheme="minorEastAsia" w:eastAsiaTheme="minorEastAsia"/>
        </w:rPr>
        <w:t>〕</w:t>
      </w:r>
      <w:r>
        <w:rPr>
          <w:rFonts w:asciiTheme="minorEastAsia" w:hAnsiTheme="minorEastAsia" w:eastAsiaTheme="minorEastAsia"/>
        </w:rPr>
        <w:t>的约定处理。</w:t>
      </w:r>
    </w:p>
    <w:p>
      <w:pPr>
        <w:rPr>
          <w:rFonts w:asciiTheme="minorEastAsia" w:hAnsiTheme="minorEastAsia" w:eastAsiaTheme="minorEastAsia"/>
        </w:rPr>
      </w:pPr>
      <w:r>
        <w:rPr>
          <w:rFonts w:asciiTheme="minorEastAsia" w:hAnsiTheme="minorEastAsia" w:eastAsiaTheme="minorEastAsia"/>
        </w:rPr>
        <w:t>（2）除专用合同条款另有约定外，发包人应在进度款支付证书或临时进度款支付证书签发后14天内完成支付，发包人逾期支付进度款的，应按照中国人民银行发布的同期同类贷款基准利率支付违约金。</w:t>
      </w:r>
    </w:p>
    <w:p>
      <w:pPr>
        <w:rPr>
          <w:rFonts w:asciiTheme="minorEastAsia" w:hAnsiTheme="minorEastAsia" w:eastAsiaTheme="minorEastAsia"/>
        </w:rPr>
      </w:pPr>
      <w:r>
        <w:rPr>
          <w:rFonts w:asciiTheme="minorEastAsia" w:hAnsiTheme="minorEastAsia" w:eastAsiaTheme="minorEastAsia"/>
        </w:rPr>
        <w:t>（3）发包人签发进度款支付证书或临时进度款支付证书，不表明发包人已同意、批准或接受了承包人完成的相应部分的工作。</w:t>
      </w:r>
    </w:p>
    <w:p>
      <w:pPr>
        <w:rPr>
          <w:rFonts w:asciiTheme="minorEastAsia" w:hAnsiTheme="minorEastAsia" w:eastAsiaTheme="minorEastAsia"/>
        </w:rPr>
      </w:pPr>
      <w:r>
        <w:rPr>
          <w:rFonts w:asciiTheme="minorEastAsia" w:hAnsiTheme="minorEastAsia" w:eastAsiaTheme="minorEastAsia"/>
        </w:rPr>
        <w:t>12.4.5 进度付款的修正</w:t>
      </w:r>
    </w:p>
    <w:p>
      <w:pPr>
        <w:rPr>
          <w:rFonts w:asciiTheme="minorEastAsia" w:hAnsiTheme="minorEastAsia" w:eastAsiaTheme="minorEastAsia"/>
        </w:rPr>
      </w:pPr>
      <w:r>
        <w:rPr>
          <w:rFonts w:asciiTheme="minorEastAsia" w:hAnsiTheme="minorEastAsia" w:eastAsiaTheme="minorEastAsia"/>
        </w:rPr>
        <w:t>在对已签发的进度款支付证书进行阶段汇总和复核中发现错误、遗漏或重复的，发包人和承包人均有权提出修正申请。经发包人和承包人同意的修正，应在下期进度付款中支付或扣除。</w:t>
      </w:r>
    </w:p>
    <w:p>
      <w:pPr>
        <w:rPr>
          <w:rFonts w:asciiTheme="minorEastAsia" w:hAnsiTheme="minorEastAsia" w:eastAsiaTheme="minorEastAsia"/>
        </w:rPr>
      </w:pPr>
      <w:r>
        <w:rPr>
          <w:rFonts w:asciiTheme="minorEastAsia" w:hAnsiTheme="minorEastAsia" w:eastAsiaTheme="minorEastAsia"/>
        </w:rPr>
        <w:t>12.4.6 支付分解表</w:t>
      </w:r>
    </w:p>
    <w:p>
      <w:pPr>
        <w:rPr>
          <w:rFonts w:asciiTheme="minorEastAsia" w:hAnsiTheme="minorEastAsia" w:eastAsiaTheme="minorEastAsia"/>
        </w:rPr>
      </w:pPr>
      <w:r>
        <w:rPr>
          <w:rFonts w:asciiTheme="minorEastAsia" w:hAnsiTheme="minorEastAsia" w:eastAsiaTheme="minorEastAsia"/>
        </w:rPr>
        <w:t>1</w:t>
      </w:r>
      <w:r>
        <w:rPr>
          <w:rFonts w:hint="eastAsia" w:asciiTheme="minorEastAsia" w:hAnsiTheme="minorEastAsia" w:eastAsiaTheme="minorEastAsia"/>
        </w:rPr>
        <w:t>.</w:t>
      </w:r>
      <w:r>
        <w:rPr>
          <w:rFonts w:asciiTheme="minorEastAsia" w:hAnsiTheme="minorEastAsia" w:eastAsiaTheme="minorEastAsia"/>
        </w:rPr>
        <w:t>支付分解表的编制要求</w:t>
      </w:r>
    </w:p>
    <w:p>
      <w:pPr>
        <w:rPr>
          <w:rFonts w:asciiTheme="minorEastAsia" w:hAnsiTheme="minorEastAsia" w:eastAsiaTheme="minorEastAsia"/>
        </w:rPr>
      </w:pPr>
      <w:r>
        <w:rPr>
          <w:rFonts w:asciiTheme="minorEastAsia" w:hAnsiTheme="minorEastAsia" w:eastAsiaTheme="minorEastAsia"/>
        </w:rPr>
        <w:t>（1）支付分解表中所列的每期付款金额，应为第12.4.2项</w:t>
      </w:r>
      <w:r>
        <w:rPr>
          <w:rFonts w:hint="eastAsia" w:asciiTheme="minorEastAsia" w:hAnsiTheme="minorEastAsia" w:eastAsiaTheme="minorEastAsia"/>
        </w:rPr>
        <w:t>〔</w:t>
      </w:r>
      <w:r>
        <w:rPr>
          <w:rFonts w:asciiTheme="minorEastAsia" w:hAnsiTheme="minorEastAsia" w:eastAsiaTheme="minorEastAsia"/>
        </w:rPr>
        <w:t>进度付款申请单的编制</w:t>
      </w:r>
      <w:r>
        <w:rPr>
          <w:rFonts w:hint="eastAsia" w:asciiTheme="minorEastAsia" w:hAnsiTheme="minorEastAsia" w:eastAsiaTheme="minorEastAsia"/>
        </w:rPr>
        <w:t>〕</w:t>
      </w:r>
      <w:r>
        <w:rPr>
          <w:rFonts w:asciiTheme="minorEastAsia" w:hAnsiTheme="minorEastAsia" w:eastAsiaTheme="minorEastAsia"/>
        </w:rPr>
        <w:t>第（1）</w:t>
      </w:r>
      <w:r>
        <w:rPr>
          <w:rFonts w:hint="eastAsia" w:asciiTheme="minorEastAsia" w:hAnsiTheme="minorEastAsia" w:eastAsiaTheme="minorEastAsia"/>
        </w:rPr>
        <w:t>目</w:t>
      </w:r>
      <w:r>
        <w:rPr>
          <w:rFonts w:asciiTheme="minorEastAsia" w:hAnsiTheme="minorEastAsia" w:eastAsiaTheme="minorEastAsia"/>
        </w:rPr>
        <w:t>的估算金额；</w:t>
      </w:r>
    </w:p>
    <w:p>
      <w:pPr>
        <w:rPr>
          <w:rFonts w:asciiTheme="minorEastAsia" w:hAnsiTheme="minorEastAsia" w:eastAsiaTheme="minorEastAsia"/>
        </w:rPr>
      </w:pPr>
      <w:r>
        <w:rPr>
          <w:rFonts w:asciiTheme="minorEastAsia" w:hAnsiTheme="minorEastAsia" w:eastAsiaTheme="minorEastAsia"/>
        </w:rPr>
        <w:t>（2）实际进度与施工进度计划不一致的，合同当事人可按照第4.4款</w:t>
      </w:r>
      <w:r>
        <w:rPr>
          <w:rFonts w:hint="eastAsia" w:asciiTheme="minorEastAsia" w:hAnsiTheme="minorEastAsia" w:eastAsiaTheme="minorEastAsia"/>
        </w:rPr>
        <w:t>〔</w:t>
      </w:r>
      <w:r>
        <w:rPr>
          <w:rFonts w:asciiTheme="minorEastAsia" w:hAnsiTheme="minorEastAsia" w:eastAsiaTheme="minorEastAsia"/>
        </w:rPr>
        <w:t>商定或确定</w:t>
      </w:r>
      <w:r>
        <w:rPr>
          <w:rFonts w:hint="eastAsia" w:asciiTheme="minorEastAsia" w:hAnsiTheme="minorEastAsia" w:eastAsiaTheme="minorEastAsia"/>
        </w:rPr>
        <w:t>〕</w:t>
      </w:r>
      <w:r>
        <w:rPr>
          <w:rFonts w:asciiTheme="minorEastAsia" w:hAnsiTheme="minorEastAsia" w:eastAsiaTheme="minorEastAsia"/>
        </w:rPr>
        <w:t>修改支付分解表；</w:t>
      </w:r>
    </w:p>
    <w:p>
      <w:pPr>
        <w:rPr>
          <w:rFonts w:asciiTheme="minorEastAsia" w:hAnsiTheme="minorEastAsia" w:eastAsiaTheme="minorEastAsia"/>
        </w:rPr>
      </w:pPr>
      <w:r>
        <w:rPr>
          <w:rFonts w:asciiTheme="minorEastAsia" w:hAnsiTheme="minorEastAsia" w:eastAsiaTheme="minorEastAsia"/>
        </w:rPr>
        <w:t>（3）不采用支付分解表的，承包人应向发包人和监理人提交按季度编制的支付估算分解表，用于支付参考。</w:t>
      </w:r>
    </w:p>
    <w:p>
      <w:pPr>
        <w:rPr>
          <w:rFonts w:asciiTheme="minorEastAsia" w:hAnsiTheme="minorEastAsia" w:eastAsiaTheme="minorEastAsia"/>
        </w:rPr>
      </w:pPr>
      <w:r>
        <w:rPr>
          <w:rFonts w:asciiTheme="minorEastAsia" w:hAnsiTheme="minorEastAsia" w:eastAsiaTheme="minorEastAsia"/>
        </w:rPr>
        <w:t>2</w:t>
      </w:r>
      <w:r>
        <w:rPr>
          <w:rFonts w:hint="eastAsia" w:asciiTheme="minorEastAsia" w:hAnsiTheme="minorEastAsia" w:eastAsiaTheme="minorEastAsia"/>
        </w:rPr>
        <w:t>.</w:t>
      </w:r>
      <w:r>
        <w:rPr>
          <w:rFonts w:asciiTheme="minorEastAsia" w:hAnsiTheme="minorEastAsia" w:eastAsiaTheme="minorEastAsia"/>
        </w:rPr>
        <w:t>总价合同支付分解表的编制与审批</w:t>
      </w:r>
    </w:p>
    <w:p>
      <w:pPr>
        <w:rPr>
          <w:rFonts w:asciiTheme="minorEastAsia" w:hAnsiTheme="minorEastAsia" w:eastAsiaTheme="minorEastAsia"/>
        </w:rPr>
      </w:pPr>
      <w:r>
        <w:rPr>
          <w:rFonts w:asciiTheme="minorEastAsia" w:hAnsiTheme="minorEastAsia" w:eastAsiaTheme="minorEastAsia"/>
        </w:rPr>
        <w:t>（1）除专用合同条款另有约定外，承包人应根据第7.2款</w:t>
      </w:r>
      <w:r>
        <w:rPr>
          <w:rFonts w:hint="eastAsia" w:asciiTheme="minorEastAsia" w:hAnsiTheme="minorEastAsia" w:eastAsiaTheme="minorEastAsia"/>
        </w:rPr>
        <w:t>〔</w:t>
      </w:r>
      <w:r>
        <w:rPr>
          <w:rFonts w:asciiTheme="minorEastAsia" w:hAnsiTheme="minorEastAsia" w:eastAsiaTheme="minorEastAsia"/>
        </w:rPr>
        <w:t>施工进度计划</w:t>
      </w:r>
      <w:r>
        <w:rPr>
          <w:rFonts w:hint="eastAsia" w:asciiTheme="minorEastAsia" w:hAnsiTheme="minorEastAsia" w:eastAsiaTheme="minorEastAsia"/>
        </w:rPr>
        <w:t>〕</w:t>
      </w:r>
      <w:r>
        <w:rPr>
          <w:rFonts w:asciiTheme="minorEastAsia" w:hAnsiTheme="minorEastAsia" w:eastAsiaTheme="minorEastAsia"/>
        </w:rPr>
        <w:t>约定的施工进度计划、签约合同价和工程量等因素对总价合同按月进行分解，编制支付分解表。承包人应当在收到监理人和发包人批准的施工进度计划后7天内，将支付分解表及编制支付分解表的支持性资料报送监理人。</w:t>
      </w:r>
    </w:p>
    <w:p>
      <w:pPr>
        <w:rPr>
          <w:rFonts w:asciiTheme="minorEastAsia" w:hAnsiTheme="minorEastAsia" w:eastAsiaTheme="minorEastAsia"/>
        </w:rPr>
      </w:pPr>
      <w:r>
        <w:rPr>
          <w:rFonts w:asciiTheme="minorEastAsia" w:hAnsiTheme="minorEastAsia" w:eastAsiaTheme="minorEastAsia"/>
        </w:rPr>
        <w:t>（2）监理人应在收到支付分解表后7天内完成审核并报送发包人。发包人应在收到经监理人审核的支付分解表后7天内完成审批，经发包人批准的支付分解表为有约束力的支付分解表。</w:t>
      </w:r>
    </w:p>
    <w:p>
      <w:pPr>
        <w:rPr>
          <w:rFonts w:asciiTheme="minorEastAsia" w:hAnsiTheme="minorEastAsia" w:eastAsiaTheme="minorEastAsia"/>
        </w:rPr>
      </w:pPr>
      <w:r>
        <w:rPr>
          <w:rFonts w:asciiTheme="minorEastAsia" w:hAnsiTheme="minorEastAsia" w:eastAsiaTheme="minorEastAsia"/>
        </w:rPr>
        <w:t xml:space="preserve">    （3）发包人逾期未完成支付分解表</w:t>
      </w:r>
      <w:r>
        <w:rPr>
          <w:rFonts w:hint="eastAsia" w:asciiTheme="minorEastAsia" w:hAnsiTheme="minorEastAsia" w:eastAsiaTheme="minorEastAsia"/>
        </w:rPr>
        <w:t>审批</w:t>
      </w:r>
      <w:r>
        <w:rPr>
          <w:rFonts w:asciiTheme="minorEastAsia" w:hAnsiTheme="minorEastAsia" w:eastAsiaTheme="minorEastAsia"/>
        </w:rPr>
        <w:t>的，也未及时要求承包人进行修正和提供补充资料的，则承包人提交的支付分解表视为已经获得发包人批准。</w:t>
      </w:r>
    </w:p>
    <w:p>
      <w:pPr>
        <w:rPr>
          <w:rFonts w:asciiTheme="minorEastAsia" w:hAnsiTheme="minorEastAsia" w:eastAsiaTheme="minorEastAsia"/>
        </w:rPr>
      </w:pPr>
      <w:r>
        <w:rPr>
          <w:rFonts w:asciiTheme="minorEastAsia" w:hAnsiTheme="minorEastAsia" w:eastAsiaTheme="minorEastAsia"/>
        </w:rPr>
        <w:t>3</w:t>
      </w:r>
      <w:r>
        <w:rPr>
          <w:rFonts w:hint="eastAsia" w:asciiTheme="minorEastAsia" w:hAnsiTheme="minorEastAsia" w:eastAsiaTheme="minorEastAsia"/>
        </w:rPr>
        <w:t>.</w:t>
      </w:r>
      <w:r>
        <w:rPr>
          <w:rFonts w:asciiTheme="minorEastAsia" w:hAnsiTheme="minorEastAsia" w:eastAsiaTheme="minorEastAsia"/>
        </w:rPr>
        <w:t>单价合同的总价项目支付分解表的编制与审批</w:t>
      </w:r>
    </w:p>
    <w:p>
      <w:pPr>
        <w:rPr>
          <w:rFonts w:asciiTheme="minorEastAsia" w:hAnsiTheme="minorEastAsia" w:eastAsiaTheme="minorEastAsia"/>
        </w:rPr>
      </w:pPr>
      <w:r>
        <w:rPr>
          <w:rFonts w:asciiTheme="minorEastAsia" w:hAnsiTheme="minorEastAsia" w:eastAsiaTheme="minorEastAsia"/>
        </w:rPr>
        <w:t>除专用合同条款另有约定外，单价合同的总价项目，由承包人根据施工进度计划和总价项目的总价构成、费用性质、计划发生时间和相应工程量等因素按月进行分解，形成支付分解表，其编制与审批参照总价合同支付分解表的编制与审批执行。</w:t>
      </w:r>
    </w:p>
    <w:p>
      <w:pPr>
        <w:rPr>
          <w:rFonts w:asciiTheme="minorEastAsia" w:hAnsiTheme="minorEastAsia" w:eastAsiaTheme="minorEastAsia"/>
          <w:bCs/>
        </w:rPr>
      </w:pPr>
      <w:bookmarkStart w:id="440" w:name="_Toc351203585"/>
      <w:r>
        <w:rPr>
          <w:rFonts w:asciiTheme="minorEastAsia" w:hAnsiTheme="minorEastAsia" w:eastAsiaTheme="minorEastAsia"/>
          <w:bCs/>
        </w:rPr>
        <w:t>12.5支付账户</w:t>
      </w:r>
      <w:bookmarkEnd w:id="440"/>
    </w:p>
    <w:p>
      <w:pPr>
        <w:rPr>
          <w:rFonts w:asciiTheme="minorEastAsia" w:hAnsiTheme="minorEastAsia" w:eastAsiaTheme="minorEastAsia"/>
        </w:rPr>
      </w:pPr>
      <w:r>
        <w:rPr>
          <w:rFonts w:asciiTheme="minorEastAsia" w:hAnsiTheme="minorEastAsia" w:eastAsiaTheme="minorEastAsia"/>
        </w:rPr>
        <w:t>发包人应将合同价款支付至合同协议书中约定的承包人账户。</w:t>
      </w:r>
    </w:p>
    <w:p>
      <w:pPr>
        <w:rPr>
          <w:rFonts w:asciiTheme="minorEastAsia" w:hAnsiTheme="minorEastAsia" w:eastAsiaTheme="minorEastAsia"/>
          <w:bCs/>
        </w:rPr>
      </w:pPr>
      <w:bookmarkStart w:id="441" w:name="_Toc351203586"/>
      <w:bookmarkStart w:id="442" w:name="_Toc296503106"/>
      <w:bookmarkStart w:id="443" w:name="_Toc322522574"/>
      <w:bookmarkStart w:id="444" w:name="_Toc337558804"/>
      <w:bookmarkStart w:id="445" w:name="_Toc296346607"/>
      <w:r>
        <w:rPr>
          <w:rFonts w:asciiTheme="minorEastAsia" w:hAnsiTheme="minorEastAsia" w:eastAsiaTheme="minorEastAsia"/>
          <w:bCs/>
        </w:rPr>
        <w:t>13. 验收和工程试车</w:t>
      </w:r>
      <w:bookmarkEnd w:id="441"/>
    </w:p>
    <w:bookmarkEnd w:id="442"/>
    <w:bookmarkEnd w:id="443"/>
    <w:bookmarkEnd w:id="444"/>
    <w:bookmarkEnd w:id="445"/>
    <w:p>
      <w:pPr>
        <w:rPr>
          <w:rFonts w:asciiTheme="minorEastAsia" w:hAnsiTheme="minorEastAsia" w:eastAsiaTheme="minorEastAsia"/>
          <w:bCs/>
        </w:rPr>
      </w:pPr>
      <w:bookmarkStart w:id="446" w:name="_Toc351203587"/>
      <w:bookmarkStart w:id="447" w:name="_Toc337558805"/>
      <w:bookmarkStart w:id="448" w:name="_Toc296346611"/>
      <w:bookmarkStart w:id="449" w:name="_Toc296503110"/>
      <w:r>
        <w:rPr>
          <w:rFonts w:asciiTheme="minorEastAsia" w:hAnsiTheme="minorEastAsia" w:eastAsiaTheme="minorEastAsia"/>
          <w:bCs/>
        </w:rPr>
        <w:t>13.1分部分项工程验收</w:t>
      </w:r>
      <w:bookmarkEnd w:id="446"/>
    </w:p>
    <w:bookmarkEnd w:id="447"/>
    <w:p>
      <w:pPr>
        <w:rPr>
          <w:rFonts w:asciiTheme="minorEastAsia" w:hAnsiTheme="minorEastAsia" w:eastAsiaTheme="minorEastAsia"/>
        </w:rPr>
      </w:pPr>
      <w:r>
        <w:rPr>
          <w:rFonts w:asciiTheme="minorEastAsia" w:hAnsiTheme="minorEastAsia" w:eastAsiaTheme="minorEastAsia"/>
        </w:rPr>
        <w:t>13.1.1 分部分项工程质量应符合国家有关工程施工验收规范、标准及合同约定，承包人应按照施工组织设计的要求完成分部分项工程施工。</w:t>
      </w:r>
    </w:p>
    <w:p>
      <w:pPr>
        <w:rPr>
          <w:rFonts w:asciiTheme="minorEastAsia" w:hAnsiTheme="minorEastAsia" w:eastAsiaTheme="minorEastAsia"/>
        </w:rPr>
      </w:pPr>
      <w:r>
        <w:rPr>
          <w:rFonts w:asciiTheme="minorEastAsia" w:hAnsiTheme="minorEastAsia" w:eastAsiaTheme="minorEastAsia"/>
        </w:rPr>
        <w:t>13.1.2 除专用合同条款另有约定外，分部分项工程经承包人自检合格并具备验收条件的，承包人应提前48小时通知监理人进行验收。监理人不能按时进行验收的，应在验收前24小时向承包人提交书面延期要求，但延期不能超过48小时。监理人未按时进行验收，也未提出延期要求的，承包人有权自行验收，监理人应认可验收结果。分部分项工程未经验收的，不得进入下一道工序施工。</w:t>
      </w:r>
    </w:p>
    <w:p>
      <w:pPr>
        <w:rPr>
          <w:rFonts w:asciiTheme="minorEastAsia" w:hAnsiTheme="minorEastAsia" w:eastAsiaTheme="minorEastAsia"/>
        </w:rPr>
      </w:pPr>
      <w:r>
        <w:rPr>
          <w:rFonts w:asciiTheme="minorEastAsia" w:hAnsiTheme="minorEastAsia" w:eastAsiaTheme="minorEastAsia"/>
        </w:rPr>
        <w:t>分部分项工程的验收资料应当作为竣工资料的组成部分。</w:t>
      </w:r>
    </w:p>
    <w:p>
      <w:pPr>
        <w:rPr>
          <w:rFonts w:asciiTheme="minorEastAsia" w:hAnsiTheme="minorEastAsia" w:eastAsiaTheme="minorEastAsia"/>
          <w:bCs/>
        </w:rPr>
      </w:pPr>
      <w:bookmarkStart w:id="450" w:name="_Toc351203588"/>
      <w:bookmarkStart w:id="451" w:name="_Toc337558806"/>
      <w:r>
        <w:rPr>
          <w:rFonts w:asciiTheme="minorEastAsia" w:hAnsiTheme="minorEastAsia" w:eastAsiaTheme="minorEastAsia"/>
          <w:bCs/>
        </w:rPr>
        <w:t>13.2竣工验收</w:t>
      </w:r>
      <w:bookmarkEnd w:id="450"/>
    </w:p>
    <w:bookmarkEnd w:id="448"/>
    <w:bookmarkEnd w:id="449"/>
    <w:bookmarkEnd w:id="451"/>
    <w:p>
      <w:pPr>
        <w:rPr>
          <w:rFonts w:asciiTheme="minorEastAsia" w:hAnsiTheme="minorEastAsia" w:eastAsiaTheme="minorEastAsia"/>
        </w:rPr>
      </w:pPr>
      <w:r>
        <w:rPr>
          <w:rFonts w:asciiTheme="minorEastAsia" w:hAnsiTheme="minorEastAsia" w:eastAsiaTheme="minorEastAsia"/>
        </w:rPr>
        <w:t>13.2.1竣工验收条件</w:t>
      </w:r>
    </w:p>
    <w:p>
      <w:pPr>
        <w:rPr>
          <w:rFonts w:asciiTheme="minorEastAsia" w:hAnsiTheme="minorEastAsia" w:eastAsiaTheme="minorEastAsia"/>
        </w:rPr>
      </w:pPr>
      <w:r>
        <w:rPr>
          <w:rFonts w:asciiTheme="minorEastAsia" w:hAnsiTheme="minorEastAsia" w:eastAsiaTheme="minorEastAsia"/>
        </w:rPr>
        <w:t>工程具备以下条件的，承包人可以申请竣工验收：</w:t>
      </w:r>
    </w:p>
    <w:p>
      <w:pPr>
        <w:rPr>
          <w:rFonts w:asciiTheme="minorEastAsia" w:hAnsiTheme="minorEastAsia" w:eastAsiaTheme="minorEastAsia"/>
        </w:rPr>
      </w:pPr>
      <w:r>
        <w:rPr>
          <w:rFonts w:asciiTheme="minorEastAsia" w:hAnsiTheme="minorEastAsia" w:eastAsiaTheme="minorEastAsia"/>
        </w:rPr>
        <w:t>（1）除发包人同意的甩项</w:t>
      </w:r>
      <w:r>
        <w:rPr>
          <w:rFonts w:hint="eastAsia" w:asciiTheme="minorEastAsia" w:hAnsiTheme="minorEastAsia" w:eastAsiaTheme="minorEastAsia"/>
        </w:rPr>
        <w:t>工作</w:t>
      </w:r>
      <w:r>
        <w:rPr>
          <w:rFonts w:asciiTheme="minorEastAsia" w:hAnsiTheme="minorEastAsia" w:eastAsiaTheme="minorEastAsia"/>
        </w:rPr>
        <w:t>和缺陷修补工作外，合同范围内的全部工程以及有关工作，包括合同要求的试验、试运行以及检验均已完成，并符合合同要求；</w:t>
      </w:r>
    </w:p>
    <w:p>
      <w:pPr>
        <w:rPr>
          <w:rFonts w:asciiTheme="minorEastAsia" w:hAnsiTheme="minorEastAsia" w:eastAsiaTheme="minorEastAsia"/>
        </w:rPr>
      </w:pPr>
      <w:r>
        <w:rPr>
          <w:rFonts w:asciiTheme="minorEastAsia" w:hAnsiTheme="minorEastAsia" w:eastAsiaTheme="minorEastAsia"/>
        </w:rPr>
        <w:t>（2）已按合同约定编制了甩项</w:t>
      </w:r>
      <w:r>
        <w:rPr>
          <w:rFonts w:hint="eastAsia" w:asciiTheme="minorEastAsia" w:hAnsiTheme="minorEastAsia" w:eastAsiaTheme="minorEastAsia"/>
        </w:rPr>
        <w:t>工作</w:t>
      </w:r>
      <w:r>
        <w:rPr>
          <w:rFonts w:asciiTheme="minorEastAsia" w:hAnsiTheme="minorEastAsia" w:eastAsiaTheme="minorEastAsia"/>
        </w:rPr>
        <w:t>和缺陷修补工作清单以及相应的施工计划；</w:t>
      </w:r>
    </w:p>
    <w:p>
      <w:pPr>
        <w:rPr>
          <w:rFonts w:asciiTheme="minorEastAsia" w:hAnsiTheme="minorEastAsia" w:eastAsiaTheme="minorEastAsia"/>
        </w:rPr>
      </w:pPr>
      <w:r>
        <w:rPr>
          <w:rFonts w:asciiTheme="minorEastAsia" w:hAnsiTheme="minorEastAsia" w:eastAsiaTheme="minorEastAsia"/>
        </w:rPr>
        <w:t>（3）已按合同约定的内容和份数备齐竣工资料。</w:t>
      </w:r>
    </w:p>
    <w:p>
      <w:pPr>
        <w:rPr>
          <w:rFonts w:asciiTheme="minorEastAsia" w:hAnsiTheme="minorEastAsia" w:eastAsiaTheme="minorEastAsia"/>
        </w:rPr>
      </w:pPr>
      <w:r>
        <w:rPr>
          <w:rFonts w:asciiTheme="minorEastAsia" w:hAnsiTheme="minorEastAsia" w:eastAsiaTheme="minorEastAsia"/>
        </w:rPr>
        <w:t>13.2.2竣工验收程序</w:t>
      </w:r>
    </w:p>
    <w:p>
      <w:pPr>
        <w:rPr>
          <w:rFonts w:asciiTheme="minorEastAsia" w:hAnsiTheme="minorEastAsia" w:eastAsiaTheme="minorEastAsia"/>
        </w:rPr>
      </w:pPr>
      <w:r>
        <w:rPr>
          <w:rFonts w:asciiTheme="minorEastAsia" w:hAnsiTheme="minorEastAsia" w:eastAsiaTheme="minorEastAsia"/>
        </w:rPr>
        <w:t>除专用合同条款另有约定外，承包人申请竣工验收的，应当按照以下程序进行：</w:t>
      </w:r>
    </w:p>
    <w:p>
      <w:pPr>
        <w:rPr>
          <w:rFonts w:asciiTheme="minorEastAsia" w:hAnsiTheme="minorEastAsia" w:eastAsiaTheme="minorEastAsia"/>
        </w:rPr>
      </w:pPr>
      <w:r>
        <w:rPr>
          <w:rFonts w:asciiTheme="minorEastAsia" w:hAnsiTheme="minorEastAsia" w:eastAsiaTheme="minorEastAsia"/>
        </w:rPr>
        <w:t>（1）承包人向监理人报送竣工验收申请报告，监理人应在收到竣工验收申请报告后14天内完成审查并报送发包人。监理人审查后认为尚不具备验收条件的，应通知承包人在竣工验收前承包人还需完成的工作内容，承包人应在完成监理人通知的全部工作内容后，再次提交竣工验收申请报告。</w:t>
      </w:r>
    </w:p>
    <w:p>
      <w:pPr>
        <w:rPr>
          <w:rFonts w:asciiTheme="minorEastAsia" w:hAnsiTheme="minorEastAsia" w:eastAsiaTheme="minorEastAsia"/>
        </w:rPr>
      </w:pPr>
      <w:r>
        <w:rPr>
          <w:rFonts w:asciiTheme="minorEastAsia" w:hAnsiTheme="minorEastAsia" w:eastAsiaTheme="minorEastAsia"/>
        </w:rPr>
        <w:t>（2）监理人审查后认为已具备竣工验收条件的，应将竣工验收申请报告提交发包人，发包人应在收到</w:t>
      </w:r>
      <w:r>
        <w:rPr>
          <w:rFonts w:hint="eastAsia" w:asciiTheme="minorEastAsia" w:hAnsiTheme="minorEastAsia" w:eastAsiaTheme="minorEastAsia"/>
        </w:rPr>
        <w:t>经</w:t>
      </w:r>
      <w:r>
        <w:rPr>
          <w:rFonts w:asciiTheme="minorEastAsia" w:hAnsiTheme="minorEastAsia" w:eastAsiaTheme="minorEastAsia"/>
        </w:rPr>
        <w:t>监理人审核的竣工验收申请报告后28天内</w:t>
      </w:r>
      <w:r>
        <w:rPr>
          <w:rFonts w:hint="eastAsia" w:asciiTheme="minorEastAsia" w:hAnsiTheme="minorEastAsia" w:eastAsiaTheme="minorEastAsia"/>
        </w:rPr>
        <w:t>审批</w:t>
      </w:r>
      <w:r>
        <w:rPr>
          <w:rFonts w:asciiTheme="minorEastAsia" w:hAnsiTheme="minorEastAsia" w:eastAsiaTheme="minorEastAsia"/>
        </w:rPr>
        <w:t>完毕并组织监理人、承包人、设计人等相关单位完成竣工验收。</w:t>
      </w:r>
    </w:p>
    <w:p>
      <w:pPr>
        <w:rPr>
          <w:rFonts w:asciiTheme="minorEastAsia" w:hAnsiTheme="minorEastAsia" w:eastAsiaTheme="minorEastAsia"/>
        </w:rPr>
      </w:pPr>
      <w:r>
        <w:rPr>
          <w:rFonts w:asciiTheme="minorEastAsia" w:hAnsiTheme="minorEastAsia" w:eastAsiaTheme="minorEastAsia"/>
        </w:rPr>
        <w:t>（3）竣工验收合格的，发包人应在验收合格后14天内向承包人签发工程接收证书。发包人无正当理由逾期不颁发工程接收证书的，自验收合格后第15天起视为已颁发工程接收证书。</w:t>
      </w:r>
    </w:p>
    <w:p>
      <w:pPr>
        <w:rPr>
          <w:rFonts w:asciiTheme="minorEastAsia" w:hAnsiTheme="minorEastAsia" w:eastAsiaTheme="minorEastAsia"/>
        </w:rPr>
      </w:pPr>
      <w:r>
        <w:rPr>
          <w:rFonts w:asciiTheme="minorEastAsia" w:hAnsiTheme="minorEastAsia" w:eastAsiaTheme="minorEastAsia"/>
        </w:rPr>
        <w:t>（4）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pPr>
        <w:rPr>
          <w:rFonts w:asciiTheme="minorEastAsia" w:hAnsiTheme="minorEastAsia" w:eastAsiaTheme="minorEastAsia"/>
        </w:rPr>
      </w:pPr>
      <w:r>
        <w:rPr>
          <w:rFonts w:asciiTheme="minorEastAsia" w:hAnsiTheme="minorEastAsia" w:eastAsiaTheme="minorEastAsia"/>
        </w:rPr>
        <w:t>（5）工程未经验收或验收不合格，发包人擅自使用的，应在转移占有工程后7天内向承包人颁发工程接收证书；发包人无正当理由逾期不颁发工程接收证书的，自转移占有后第15天起视为已颁发工程接收证书。</w:t>
      </w:r>
    </w:p>
    <w:p>
      <w:pPr>
        <w:rPr>
          <w:rFonts w:asciiTheme="minorEastAsia" w:hAnsiTheme="minorEastAsia" w:eastAsiaTheme="minorEastAsia"/>
        </w:rPr>
      </w:pPr>
      <w:r>
        <w:rPr>
          <w:rFonts w:asciiTheme="minorEastAsia" w:hAnsiTheme="minorEastAsia" w:eastAsiaTheme="minorEastAsia"/>
        </w:rPr>
        <w:t>除专用合同条款另有约定外，发包人不按照本项约定组织竣工验收、颁发工程接收证书的，每逾期一天，应以签约合同价为基数，按照中国人民银行发布的同期同类贷款基准利率支付违约金。</w:t>
      </w:r>
    </w:p>
    <w:p>
      <w:pPr>
        <w:rPr>
          <w:rFonts w:asciiTheme="minorEastAsia" w:hAnsiTheme="minorEastAsia" w:eastAsiaTheme="minorEastAsia"/>
        </w:rPr>
      </w:pPr>
      <w:r>
        <w:rPr>
          <w:rFonts w:asciiTheme="minorEastAsia" w:hAnsiTheme="minorEastAsia" w:eastAsiaTheme="minorEastAsia"/>
        </w:rPr>
        <w:t>13.2.3竣工日期</w:t>
      </w:r>
    </w:p>
    <w:p>
      <w:pPr>
        <w:rPr>
          <w:rFonts w:asciiTheme="minorEastAsia" w:hAnsiTheme="minorEastAsia" w:eastAsiaTheme="minorEastAsia"/>
        </w:rPr>
      </w:pPr>
      <w:r>
        <w:rPr>
          <w:rFonts w:asciiTheme="minorEastAsia" w:hAnsiTheme="minorEastAsia" w:eastAsiaTheme="minorEastAsia"/>
        </w:rPr>
        <w:t>工程经竣工验收合格的，以承包人提交竣工验收申请报告之日为实际竣工日期，并在工程接收证书中载明；因发包人原因，未在监理人收到承包人提交的竣工验收申请报告42天内完成</w:t>
      </w:r>
      <w:r>
        <w:rPr>
          <w:rFonts w:hint="eastAsia" w:asciiTheme="minorEastAsia" w:hAnsiTheme="minorEastAsia" w:eastAsiaTheme="minorEastAsia"/>
        </w:rPr>
        <w:t>竣工</w:t>
      </w:r>
      <w:r>
        <w:rPr>
          <w:rFonts w:asciiTheme="minorEastAsia" w:hAnsiTheme="minorEastAsia" w:eastAsiaTheme="minorEastAsia"/>
        </w:rPr>
        <w:t>验收</w:t>
      </w:r>
      <w:r>
        <w:rPr>
          <w:rFonts w:hint="eastAsia" w:asciiTheme="minorEastAsia" w:hAnsiTheme="minorEastAsia" w:eastAsiaTheme="minorEastAsia"/>
        </w:rPr>
        <w:t>，或完成竣工验收不予签发工程接收证书</w:t>
      </w:r>
      <w:r>
        <w:rPr>
          <w:rFonts w:asciiTheme="minorEastAsia" w:hAnsiTheme="minorEastAsia" w:eastAsiaTheme="minorEastAsia"/>
        </w:rPr>
        <w:t>的，以提交竣工验收申请报告的日期为实际竣工日期；工程未经竣工验收，发包人擅自使用的，以转移占有工程之日为实际竣工日期。</w:t>
      </w:r>
    </w:p>
    <w:p>
      <w:pPr>
        <w:rPr>
          <w:rFonts w:asciiTheme="minorEastAsia" w:hAnsiTheme="minorEastAsia" w:eastAsiaTheme="minorEastAsia"/>
        </w:rPr>
      </w:pPr>
      <w:r>
        <w:rPr>
          <w:rFonts w:asciiTheme="minorEastAsia" w:hAnsiTheme="minorEastAsia" w:eastAsiaTheme="minorEastAsia"/>
        </w:rPr>
        <w:t>13.2.4 拒绝接收全部或部分工程</w:t>
      </w:r>
    </w:p>
    <w:p>
      <w:pPr>
        <w:rPr>
          <w:rFonts w:asciiTheme="minorEastAsia" w:hAnsiTheme="minorEastAsia" w:eastAsiaTheme="minorEastAsia"/>
        </w:rPr>
      </w:pPr>
      <w:r>
        <w:rPr>
          <w:rFonts w:asciiTheme="minorEastAsia" w:hAnsiTheme="minorEastAsia" w:eastAsiaTheme="minorEastAsia"/>
        </w:rPr>
        <w:t>对于竣工验收不合格的工程，承包人完成整改后，</w:t>
      </w:r>
      <w:r>
        <w:rPr>
          <w:rFonts w:hint="eastAsia" w:asciiTheme="minorEastAsia" w:hAnsiTheme="minorEastAsia" w:eastAsiaTheme="minorEastAsia"/>
        </w:rPr>
        <w:t>应当</w:t>
      </w:r>
      <w:r>
        <w:rPr>
          <w:rFonts w:asciiTheme="minorEastAsia" w:hAnsiTheme="minorEastAsia" w:eastAsiaTheme="minorEastAsia"/>
        </w:rPr>
        <w:t>重新进行竣工验收，经重新组织验收仍不合格的且无法采取措施补救的，则发包人可以拒绝接收不合格工程，因不合格工程导致其他工程不能正常使用的，承包人应采取措施确保相关工程的正常使用，由此增加的费用和（或）延误的工期由承包人承担。</w:t>
      </w:r>
    </w:p>
    <w:p>
      <w:pPr>
        <w:rPr>
          <w:rFonts w:asciiTheme="minorEastAsia" w:hAnsiTheme="minorEastAsia" w:eastAsiaTheme="minorEastAsia"/>
        </w:rPr>
      </w:pPr>
      <w:r>
        <w:rPr>
          <w:rFonts w:asciiTheme="minorEastAsia" w:hAnsiTheme="minorEastAsia" w:eastAsiaTheme="minorEastAsia"/>
        </w:rPr>
        <w:t>13.2.5 移交、接收全部与部分工程</w:t>
      </w:r>
    </w:p>
    <w:p>
      <w:pPr>
        <w:rPr>
          <w:rFonts w:asciiTheme="minorEastAsia" w:hAnsiTheme="minorEastAsia" w:eastAsiaTheme="minorEastAsia"/>
        </w:rPr>
      </w:pPr>
      <w:r>
        <w:rPr>
          <w:rFonts w:hint="eastAsia" w:asciiTheme="minorEastAsia" w:hAnsiTheme="minorEastAsia" w:eastAsiaTheme="minorEastAsia"/>
        </w:rPr>
        <w:t>除专用合同条款另有约定外，</w:t>
      </w:r>
      <w:r>
        <w:rPr>
          <w:rFonts w:asciiTheme="minorEastAsia" w:hAnsiTheme="minorEastAsia" w:eastAsiaTheme="minorEastAsia"/>
        </w:rPr>
        <w:t>合同当事人应当在颁发工程接收证书</w:t>
      </w:r>
      <w:r>
        <w:rPr>
          <w:rFonts w:hint="eastAsia" w:asciiTheme="minorEastAsia" w:hAnsiTheme="minorEastAsia" w:eastAsiaTheme="minorEastAsia"/>
        </w:rPr>
        <w:t>后7天内</w:t>
      </w:r>
      <w:r>
        <w:rPr>
          <w:rFonts w:asciiTheme="minorEastAsia" w:hAnsiTheme="minorEastAsia" w:eastAsiaTheme="minorEastAsia"/>
        </w:rPr>
        <w:t>完成工程的移交。</w:t>
      </w:r>
    </w:p>
    <w:p>
      <w:pPr>
        <w:rPr>
          <w:rFonts w:asciiTheme="minorEastAsia" w:hAnsiTheme="minorEastAsia" w:eastAsiaTheme="minorEastAsia"/>
        </w:rPr>
      </w:pPr>
      <w:r>
        <w:rPr>
          <w:rFonts w:asciiTheme="minorEastAsia" w:hAnsiTheme="minorEastAsia" w:eastAsiaTheme="minorEastAsia"/>
        </w:rPr>
        <w:t>发包人无正当理由不接收工程的，发包人自</w:t>
      </w:r>
      <w:r>
        <w:rPr>
          <w:rFonts w:hint="eastAsia" w:asciiTheme="minorEastAsia" w:hAnsiTheme="minorEastAsia" w:eastAsiaTheme="minorEastAsia"/>
        </w:rPr>
        <w:t>应当接收工程</w:t>
      </w:r>
      <w:r>
        <w:rPr>
          <w:rFonts w:asciiTheme="minorEastAsia" w:hAnsiTheme="minorEastAsia" w:eastAsiaTheme="minorEastAsia"/>
        </w:rPr>
        <w:t>之日起，承担工程照管、成品保护、保管等与工程有关的各项费用</w:t>
      </w:r>
      <w:r>
        <w:rPr>
          <w:rFonts w:hint="eastAsia" w:asciiTheme="minorEastAsia" w:hAnsiTheme="minorEastAsia" w:eastAsiaTheme="minorEastAsia"/>
        </w:rPr>
        <w:t>，合同当事人可以在专用合同条款中另行约定发包人逾期接收工程的违约责任</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承包人无正当理由不移交工程的，</w:t>
      </w:r>
      <w:r>
        <w:rPr>
          <w:rFonts w:hint="eastAsia" w:asciiTheme="minorEastAsia" w:hAnsiTheme="minorEastAsia" w:eastAsiaTheme="minorEastAsia"/>
        </w:rPr>
        <w:t>承包人应承担</w:t>
      </w:r>
      <w:r>
        <w:rPr>
          <w:rFonts w:asciiTheme="minorEastAsia" w:hAnsiTheme="minorEastAsia" w:eastAsiaTheme="minorEastAsia"/>
        </w:rPr>
        <w:t>工程照管、成品保护、保管等与工程有关的各项费用</w:t>
      </w:r>
      <w:r>
        <w:rPr>
          <w:rFonts w:hint="eastAsia" w:asciiTheme="minorEastAsia" w:hAnsiTheme="minorEastAsia" w:eastAsiaTheme="minorEastAsia"/>
        </w:rPr>
        <w:t>，合同当事人可以在专用合同条款中另行约定承包人无正当理由不移交工程的违约责任</w:t>
      </w:r>
      <w:r>
        <w:rPr>
          <w:rFonts w:asciiTheme="minorEastAsia" w:hAnsiTheme="minorEastAsia" w:eastAsiaTheme="minorEastAsia"/>
        </w:rPr>
        <w:t>。</w:t>
      </w:r>
    </w:p>
    <w:p>
      <w:pPr>
        <w:rPr>
          <w:rFonts w:asciiTheme="minorEastAsia" w:hAnsiTheme="minorEastAsia" w:eastAsiaTheme="minorEastAsia"/>
          <w:bCs/>
        </w:rPr>
      </w:pPr>
      <w:bookmarkStart w:id="452" w:name="_Toc351203589"/>
      <w:bookmarkStart w:id="453" w:name="_Toc337558807"/>
      <w:bookmarkStart w:id="454" w:name="_Toc296503111"/>
      <w:bookmarkStart w:id="455" w:name="_Toc296346612"/>
      <w:r>
        <w:rPr>
          <w:rFonts w:asciiTheme="minorEastAsia" w:hAnsiTheme="minorEastAsia" w:eastAsiaTheme="minorEastAsia"/>
          <w:bCs/>
        </w:rPr>
        <w:t>13.3工程试车</w:t>
      </w:r>
      <w:bookmarkEnd w:id="452"/>
    </w:p>
    <w:bookmarkEnd w:id="453"/>
    <w:bookmarkEnd w:id="454"/>
    <w:bookmarkEnd w:id="455"/>
    <w:p>
      <w:pPr>
        <w:rPr>
          <w:rFonts w:asciiTheme="minorEastAsia" w:hAnsiTheme="minorEastAsia" w:eastAsiaTheme="minorEastAsia"/>
        </w:rPr>
      </w:pPr>
      <w:r>
        <w:rPr>
          <w:rFonts w:asciiTheme="minorEastAsia" w:hAnsiTheme="minorEastAsia" w:eastAsiaTheme="minorEastAsia"/>
        </w:rPr>
        <w:t>13.3.1试车程序</w:t>
      </w:r>
    </w:p>
    <w:p>
      <w:pPr>
        <w:rPr>
          <w:rFonts w:asciiTheme="minorEastAsia" w:hAnsiTheme="minorEastAsia" w:eastAsiaTheme="minorEastAsia"/>
        </w:rPr>
      </w:pPr>
      <w:r>
        <w:rPr>
          <w:rFonts w:asciiTheme="minorEastAsia" w:hAnsiTheme="minorEastAsia" w:eastAsiaTheme="minorEastAsia"/>
        </w:rPr>
        <w:t>工程需要试车的，除专用合同条款另有约定外，试车内容应与承包人承包范围相一致，试车费用由承包人承担。工程试车应按如下程序进行：</w:t>
      </w:r>
    </w:p>
    <w:p>
      <w:pPr>
        <w:rPr>
          <w:rFonts w:asciiTheme="minorEastAsia" w:hAnsiTheme="minorEastAsia" w:eastAsiaTheme="minorEastAsia"/>
        </w:rPr>
      </w:pPr>
      <w:r>
        <w:rPr>
          <w:rFonts w:asciiTheme="minorEastAsia" w:hAnsiTheme="minorEastAsia" w:eastAsiaTheme="minorEastAsia"/>
        </w:rPr>
        <w:t>（1）具备单机无负荷试车条件，承包人组织试车，并在试车前48小时书面通知监理人，通知中应载明试车内容、时间、地点。承包人准备试车记录，发包人根据承包人要求为试车提供必要条件。试车合格的，监理人在试车记录上签字。监理人在试车合格后不在试车记录上签字，自试车结束满24小时后视为监理人已经认可试车记录，承包人可继续施工或办理竣工验收手续。</w:t>
      </w:r>
    </w:p>
    <w:p>
      <w:pPr>
        <w:rPr>
          <w:rFonts w:asciiTheme="minorEastAsia" w:hAnsiTheme="minorEastAsia" w:eastAsiaTheme="minorEastAsia"/>
        </w:rPr>
      </w:pPr>
      <w:r>
        <w:rPr>
          <w:rFonts w:asciiTheme="minorEastAsia" w:hAnsiTheme="minorEastAsia" w:eastAsiaTheme="minorEastAsia"/>
        </w:rPr>
        <w:t>监理人不能按时参加试车，应在试车前24小时以书面形式向承包人提出延期要求，但延期不能超过48小时，由此导致工期延误的，工期应予以顺延。监理人未能在前述期限内提出延期要求，又不参加试车的，视为认可试车记录。</w:t>
      </w:r>
    </w:p>
    <w:p>
      <w:pPr>
        <w:rPr>
          <w:rFonts w:asciiTheme="minorEastAsia" w:hAnsiTheme="minorEastAsia" w:eastAsiaTheme="minorEastAsia"/>
        </w:rPr>
      </w:pPr>
      <w:r>
        <w:rPr>
          <w:rFonts w:asciiTheme="minorEastAsia" w:hAnsiTheme="minorEastAsia" w:eastAsiaTheme="minorEastAsia"/>
        </w:rPr>
        <w:t>（2）具备无负荷联动试车条件，发包人组织试车，并在试车前48小时以书面形式通知承包人。通知中应载明试车内容、时间、地点和对承包人的要求，承包人按要求做好准备工作。试车合格，合同当事人在试车记录上签字。承包人无正当理由不参加试车的，视为认可试车记录。</w:t>
      </w:r>
    </w:p>
    <w:p>
      <w:pPr>
        <w:rPr>
          <w:rFonts w:asciiTheme="minorEastAsia" w:hAnsiTheme="minorEastAsia" w:eastAsiaTheme="minorEastAsia"/>
        </w:rPr>
      </w:pPr>
      <w:r>
        <w:rPr>
          <w:rFonts w:asciiTheme="minorEastAsia" w:hAnsiTheme="minorEastAsia" w:eastAsiaTheme="minorEastAsia"/>
        </w:rPr>
        <w:t>13.3.2 试车中的责任</w:t>
      </w:r>
    </w:p>
    <w:p>
      <w:pPr>
        <w:rPr>
          <w:rFonts w:asciiTheme="minorEastAsia" w:hAnsiTheme="minorEastAsia" w:eastAsiaTheme="minorEastAsia"/>
        </w:rPr>
      </w:pPr>
      <w:r>
        <w:rPr>
          <w:rFonts w:asciiTheme="minorEastAsia" w:hAnsiTheme="minorEastAsia" w:eastAsiaTheme="minorEastAsia"/>
        </w:rPr>
        <w:t>因设计原因导致试车达不到验收要求，发包人应要求设计人修改设计，承包人按修改后的设计重新安装。发包人承担修改设计、拆除及重新安装的全部费用，工期相应顺延。因承包人原因导致试车达不到验收要求，承包人按监理人要求重新安装和试车，并承担重新安装和试车的费用，工期不予顺延。</w:t>
      </w:r>
    </w:p>
    <w:p>
      <w:pPr>
        <w:rPr>
          <w:rFonts w:asciiTheme="minorEastAsia" w:hAnsiTheme="minorEastAsia" w:eastAsiaTheme="minorEastAsia"/>
        </w:rPr>
      </w:pPr>
      <w:r>
        <w:rPr>
          <w:rFonts w:asciiTheme="minorEastAsia" w:hAnsiTheme="minorEastAsia" w:eastAsiaTheme="minorEastAsia"/>
        </w:rPr>
        <w:t>因工程设备制造原因导致试车达不到验收要求的，由采购该工程设备的合同当事人负责重新购置或修理，承包人负责拆除和重新安装，由此增加的修理、重新购置、拆除及重新安装的费用及延误的工期由采购该工程设备的合同当事人承担。</w:t>
      </w:r>
    </w:p>
    <w:p>
      <w:pPr>
        <w:rPr>
          <w:rFonts w:asciiTheme="minorEastAsia" w:hAnsiTheme="minorEastAsia" w:eastAsiaTheme="minorEastAsia"/>
        </w:rPr>
      </w:pPr>
      <w:r>
        <w:rPr>
          <w:rFonts w:asciiTheme="minorEastAsia" w:hAnsiTheme="minorEastAsia" w:eastAsiaTheme="minorEastAsia"/>
        </w:rPr>
        <w:t>13.3.3 投料试车</w:t>
      </w:r>
    </w:p>
    <w:p>
      <w:pPr>
        <w:rPr>
          <w:rFonts w:asciiTheme="minorEastAsia" w:hAnsiTheme="minorEastAsia" w:eastAsiaTheme="minorEastAsia"/>
        </w:rPr>
      </w:pPr>
      <w:r>
        <w:rPr>
          <w:rFonts w:hint="eastAsia" w:asciiTheme="minorEastAsia" w:hAnsiTheme="minorEastAsia" w:eastAsiaTheme="minorEastAsia"/>
        </w:rPr>
        <w:t>如需进行投料试车的，</w:t>
      </w:r>
      <w:r>
        <w:rPr>
          <w:rFonts w:asciiTheme="minorEastAsia" w:hAnsiTheme="minorEastAsia" w:eastAsiaTheme="minorEastAsia"/>
        </w:rPr>
        <w:t>发包人</w:t>
      </w:r>
      <w:r>
        <w:rPr>
          <w:rFonts w:hint="eastAsia" w:asciiTheme="minorEastAsia" w:hAnsiTheme="minorEastAsia" w:eastAsiaTheme="minorEastAsia"/>
        </w:rPr>
        <w:t>应在</w:t>
      </w:r>
      <w:r>
        <w:rPr>
          <w:rFonts w:asciiTheme="minorEastAsia" w:hAnsiTheme="minorEastAsia" w:eastAsiaTheme="minorEastAsia"/>
        </w:rPr>
        <w:t>工程竣工验收后</w:t>
      </w:r>
      <w:r>
        <w:rPr>
          <w:rFonts w:hint="eastAsia" w:asciiTheme="minorEastAsia" w:hAnsiTheme="minorEastAsia" w:eastAsiaTheme="minorEastAsia"/>
        </w:rPr>
        <w:t>组织</w:t>
      </w:r>
      <w:r>
        <w:rPr>
          <w:rFonts w:asciiTheme="minorEastAsia" w:hAnsiTheme="minorEastAsia" w:eastAsiaTheme="minorEastAsia"/>
        </w:rPr>
        <w:t>投料试车</w:t>
      </w:r>
      <w:r>
        <w:rPr>
          <w:rFonts w:hint="eastAsia" w:asciiTheme="minorEastAsia" w:hAnsiTheme="minorEastAsia" w:eastAsiaTheme="minorEastAsia"/>
        </w:rPr>
        <w:t>。</w:t>
      </w:r>
      <w:r>
        <w:rPr>
          <w:rFonts w:asciiTheme="minorEastAsia" w:hAnsiTheme="minorEastAsia" w:eastAsiaTheme="minorEastAsia"/>
        </w:rPr>
        <w:t>发包人要求在工程竣工验收前进行或需要承包人配合时，应征得承包人同意</w:t>
      </w:r>
      <w:r>
        <w:rPr>
          <w:rFonts w:hint="eastAsia" w:asciiTheme="minorEastAsia" w:hAnsiTheme="minorEastAsia" w:eastAsiaTheme="minorEastAsia"/>
        </w:rPr>
        <w:t>，并在专用合同条款中约定有关事项</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投料试车合格的，费用由发包人承担；因承包人原因造成投料试车不合格的，承包人应按照发包人要求进行整改，由此产生的整改费用由承包人承担；非因承包人原因导致投料试车不合格的，</w:t>
      </w:r>
      <w:r>
        <w:rPr>
          <w:rFonts w:hint="eastAsia" w:asciiTheme="minorEastAsia" w:hAnsiTheme="minorEastAsia" w:eastAsiaTheme="minorEastAsia"/>
        </w:rPr>
        <w:t>如</w:t>
      </w:r>
      <w:r>
        <w:rPr>
          <w:rFonts w:asciiTheme="minorEastAsia" w:hAnsiTheme="minorEastAsia" w:eastAsiaTheme="minorEastAsia"/>
        </w:rPr>
        <w:t>发包人要求承包人进行整改</w:t>
      </w:r>
      <w:r>
        <w:rPr>
          <w:rFonts w:hint="eastAsia" w:asciiTheme="minorEastAsia" w:hAnsiTheme="minorEastAsia" w:eastAsiaTheme="minorEastAsia"/>
        </w:rPr>
        <w:t>的</w:t>
      </w:r>
      <w:r>
        <w:rPr>
          <w:rFonts w:asciiTheme="minorEastAsia" w:hAnsiTheme="minorEastAsia" w:eastAsiaTheme="minorEastAsia"/>
        </w:rPr>
        <w:t>，由此产生的费用由发包人承担。</w:t>
      </w:r>
    </w:p>
    <w:p>
      <w:pPr>
        <w:rPr>
          <w:rFonts w:asciiTheme="minorEastAsia" w:hAnsiTheme="minorEastAsia" w:eastAsiaTheme="minorEastAsia"/>
          <w:bCs/>
        </w:rPr>
      </w:pPr>
      <w:bookmarkStart w:id="456" w:name="_Toc337558808"/>
      <w:r>
        <w:rPr>
          <w:rFonts w:asciiTheme="minorEastAsia" w:hAnsiTheme="minorEastAsia" w:eastAsiaTheme="minorEastAsia"/>
          <w:bCs/>
        </w:rPr>
        <w:t xml:space="preserve">    </w:t>
      </w:r>
      <w:bookmarkStart w:id="457" w:name="_Toc351203590"/>
      <w:r>
        <w:rPr>
          <w:rFonts w:asciiTheme="minorEastAsia" w:hAnsiTheme="minorEastAsia" w:eastAsiaTheme="minorEastAsia"/>
          <w:bCs/>
        </w:rPr>
        <w:t>13.4提前交付单位工程的验收</w:t>
      </w:r>
      <w:bookmarkEnd w:id="457"/>
    </w:p>
    <w:bookmarkEnd w:id="456"/>
    <w:p>
      <w:pPr>
        <w:rPr>
          <w:rFonts w:asciiTheme="minorEastAsia" w:hAnsiTheme="minorEastAsia" w:eastAsiaTheme="minorEastAsia"/>
        </w:rPr>
      </w:pPr>
      <w:r>
        <w:rPr>
          <w:rFonts w:asciiTheme="minorEastAsia" w:hAnsiTheme="minorEastAsia" w:eastAsiaTheme="minorEastAsia"/>
        </w:rPr>
        <w:t>13.4.1 发包人需要在工程竣工前使用单位工程的，或承包人提出提前交付已经竣工的单位工程且经发包人同意的，可进行单位工程验收，验收的程序按照第13.2款</w:t>
      </w:r>
      <w:r>
        <w:rPr>
          <w:rFonts w:hint="eastAsia" w:asciiTheme="minorEastAsia" w:hAnsiTheme="minorEastAsia" w:eastAsiaTheme="minorEastAsia"/>
        </w:rPr>
        <w:t>〔</w:t>
      </w:r>
      <w:r>
        <w:rPr>
          <w:rFonts w:asciiTheme="minorEastAsia" w:hAnsiTheme="minorEastAsia" w:eastAsiaTheme="minorEastAsia"/>
        </w:rPr>
        <w:t>竣工验收</w:t>
      </w:r>
      <w:r>
        <w:rPr>
          <w:rFonts w:hint="eastAsia" w:asciiTheme="minorEastAsia" w:hAnsiTheme="minorEastAsia" w:eastAsiaTheme="minorEastAsia"/>
        </w:rPr>
        <w:t>〕</w:t>
      </w:r>
      <w:r>
        <w:rPr>
          <w:rFonts w:asciiTheme="minorEastAsia" w:hAnsiTheme="minorEastAsia" w:eastAsiaTheme="minorEastAsia"/>
        </w:rPr>
        <w:t>的约定进行。</w:t>
      </w:r>
    </w:p>
    <w:p>
      <w:pPr>
        <w:rPr>
          <w:rFonts w:asciiTheme="minorEastAsia" w:hAnsiTheme="minorEastAsia" w:eastAsiaTheme="minorEastAsia"/>
        </w:rPr>
      </w:pPr>
      <w:r>
        <w:rPr>
          <w:rFonts w:asciiTheme="minorEastAsia" w:hAnsiTheme="minorEastAsia" w:eastAsiaTheme="minorEastAsia"/>
        </w:rPr>
        <w:t>验收合格后，由监理人向承包人出具经发包人签认的单位工程接收证书。已签发单位工程接收证书的单位工程由发包人负责照管。单位工程的验收成果和结论作为整体工程竣工验收申请报告的附件。</w:t>
      </w:r>
    </w:p>
    <w:p>
      <w:pPr>
        <w:rPr>
          <w:rFonts w:asciiTheme="minorEastAsia" w:hAnsiTheme="minorEastAsia" w:eastAsiaTheme="minorEastAsia"/>
        </w:rPr>
      </w:pPr>
      <w:r>
        <w:rPr>
          <w:rFonts w:asciiTheme="minorEastAsia" w:hAnsiTheme="minorEastAsia" w:eastAsiaTheme="minorEastAsia"/>
        </w:rPr>
        <w:t>13.4.2 发包人要求在工程竣工前交付单位工程，由此导致承包人费用增加和（或）工期延误的，由发包人承担由此增加的费用和（或）延误的工期，并支付承包人合理的利润。</w:t>
      </w:r>
    </w:p>
    <w:p>
      <w:pPr>
        <w:rPr>
          <w:rFonts w:asciiTheme="minorEastAsia" w:hAnsiTheme="minorEastAsia" w:eastAsiaTheme="minorEastAsia"/>
          <w:bCs/>
        </w:rPr>
      </w:pPr>
      <w:bookmarkStart w:id="458" w:name="_Toc351203591"/>
      <w:r>
        <w:rPr>
          <w:rFonts w:asciiTheme="minorEastAsia" w:hAnsiTheme="minorEastAsia" w:eastAsiaTheme="minorEastAsia"/>
          <w:bCs/>
        </w:rPr>
        <w:t>13.5 施工期运行</w:t>
      </w:r>
      <w:bookmarkEnd w:id="458"/>
    </w:p>
    <w:p>
      <w:pPr>
        <w:rPr>
          <w:rFonts w:asciiTheme="minorEastAsia" w:hAnsiTheme="minorEastAsia" w:eastAsiaTheme="minorEastAsia"/>
        </w:rPr>
      </w:pPr>
      <w:r>
        <w:rPr>
          <w:rFonts w:asciiTheme="minorEastAsia" w:hAnsiTheme="minorEastAsia" w:eastAsiaTheme="minorEastAsia"/>
        </w:rPr>
        <w:t>13.5.1 施工期运行是指合同工程尚未全部竣工，其中某项或某几项单位工程或工程设备安装已竣工，根据专用合同条款约定，需要投入施工期运行的，经发包人按第13.4款</w:t>
      </w:r>
      <w:r>
        <w:rPr>
          <w:rFonts w:hint="eastAsia" w:asciiTheme="minorEastAsia" w:hAnsiTheme="minorEastAsia" w:eastAsiaTheme="minorEastAsia"/>
        </w:rPr>
        <w:t>〔</w:t>
      </w:r>
      <w:r>
        <w:rPr>
          <w:rFonts w:asciiTheme="minorEastAsia" w:hAnsiTheme="minorEastAsia" w:eastAsiaTheme="minorEastAsia"/>
        </w:rPr>
        <w:t>提前交付单位工程的验收</w:t>
      </w:r>
      <w:r>
        <w:rPr>
          <w:rFonts w:hint="eastAsia" w:asciiTheme="minorEastAsia" w:hAnsiTheme="minorEastAsia" w:eastAsiaTheme="minorEastAsia"/>
        </w:rPr>
        <w:t>〕</w:t>
      </w:r>
      <w:r>
        <w:rPr>
          <w:rFonts w:asciiTheme="minorEastAsia" w:hAnsiTheme="minorEastAsia" w:eastAsiaTheme="minorEastAsia"/>
        </w:rPr>
        <w:t>的约定验收合格，证明能确保安全后，才能在施工期投入运行。</w:t>
      </w:r>
    </w:p>
    <w:p>
      <w:pPr>
        <w:rPr>
          <w:rFonts w:asciiTheme="minorEastAsia" w:hAnsiTheme="minorEastAsia" w:eastAsiaTheme="minorEastAsia"/>
        </w:rPr>
      </w:pPr>
      <w:r>
        <w:rPr>
          <w:rFonts w:asciiTheme="minorEastAsia" w:hAnsiTheme="minorEastAsia" w:eastAsiaTheme="minorEastAsia"/>
        </w:rPr>
        <w:t>13.5.2 在施工期运行中发现工程或工程设备损坏或存在缺陷的，由承包人按第15.2款</w:t>
      </w:r>
      <w:r>
        <w:rPr>
          <w:rFonts w:hint="eastAsia" w:asciiTheme="minorEastAsia" w:hAnsiTheme="minorEastAsia" w:eastAsiaTheme="minorEastAsia"/>
        </w:rPr>
        <w:t>〔</w:t>
      </w:r>
      <w:r>
        <w:rPr>
          <w:rFonts w:asciiTheme="minorEastAsia" w:hAnsiTheme="minorEastAsia" w:eastAsiaTheme="minorEastAsia"/>
        </w:rPr>
        <w:t>缺陷责任期</w:t>
      </w:r>
      <w:r>
        <w:rPr>
          <w:rFonts w:hint="eastAsia" w:asciiTheme="minorEastAsia" w:hAnsiTheme="minorEastAsia" w:eastAsiaTheme="minorEastAsia"/>
        </w:rPr>
        <w:t>〕</w:t>
      </w:r>
      <w:r>
        <w:rPr>
          <w:rFonts w:asciiTheme="minorEastAsia" w:hAnsiTheme="minorEastAsia" w:eastAsiaTheme="minorEastAsia"/>
        </w:rPr>
        <w:t>约定进行修复。</w:t>
      </w:r>
    </w:p>
    <w:p>
      <w:pPr>
        <w:rPr>
          <w:rFonts w:asciiTheme="minorEastAsia" w:hAnsiTheme="minorEastAsia" w:eastAsiaTheme="minorEastAsia"/>
          <w:bCs/>
        </w:rPr>
      </w:pPr>
      <w:bookmarkStart w:id="459" w:name="_Toc296346613"/>
      <w:bookmarkStart w:id="460" w:name="_Toc296503112"/>
      <w:bookmarkStart w:id="461" w:name="_Toc351203592"/>
      <w:bookmarkStart w:id="462" w:name="_Toc337558809"/>
      <w:r>
        <w:rPr>
          <w:rFonts w:asciiTheme="minorEastAsia" w:hAnsiTheme="minorEastAsia" w:eastAsiaTheme="minorEastAsia"/>
          <w:bCs/>
        </w:rPr>
        <w:t>13.6 竣工退</w:t>
      </w:r>
      <w:bookmarkEnd w:id="459"/>
      <w:bookmarkEnd w:id="460"/>
      <w:r>
        <w:rPr>
          <w:rFonts w:asciiTheme="minorEastAsia" w:hAnsiTheme="minorEastAsia" w:eastAsiaTheme="minorEastAsia"/>
          <w:bCs/>
        </w:rPr>
        <w:t>场</w:t>
      </w:r>
      <w:bookmarkEnd w:id="461"/>
    </w:p>
    <w:bookmarkEnd w:id="462"/>
    <w:p>
      <w:pPr>
        <w:rPr>
          <w:rFonts w:asciiTheme="minorEastAsia" w:hAnsiTheme="minorEastAsia" w:eastAsiaTheme="minorEastAsia"/>
        </w:rPr>
      </w:pPr>
      <w:r>
        <w:rPr>
          <w:rFonts w:asciiTheme="minorEastAsia" w:hAnsiTheme="minorEastAsia" w:eastAsiaTheme="minorEastAsia"/>
        </w:rPr>
        <w:t>13.6.1 竣工退场</w:t>
      </w:r>
    </w:p>
    <w:p>
      <w:pPr>
        <w:rPr>
          <w:rFonts w:asciiTheme="minorEastAsia" w:hAnsiTheme="minorEastAsia" w:eastAsiaTheme="minorEastAsia"/>
        </w:rPr>
      </w:pPr>
      <w:r>
        <w:rPr>
          <w:rFonts w:asciiTheme="minorEastAsia" w:hAnsiTheme="minorEastAsia" w:eastAsiaTheme="minorEastAsia"/>
        </w:rPr>
        <w:t>颁发工程接收证书后，承包人应按以下要求对施工现场进行清理：</w:t>
      </w:r>
    </w:p>
    <w:p>
      <w:pPr>
        <w:rPr>
          <w:rFonts w:asciiTheme="minorEastAsia" w:hAnsiTheme="minorEastAsia" w:eastAsiaTheme="minorEastAsia"/>
        </w:rPr>
      </w:pPr>
      <w:r>
        <w:rPr>
          <w:rFonts w:asciiTheme="minorEastAsia" w:hAnsiTheme="minorEastAsia" w:eastAsiaTheme="minorEastAsia"/>
        </w:rPr>
        <w:t>（1）施工现场内残留的垃圾已全部清除出场；</w:t>
      </w:r>
    </w:p>
    <w:p>
      <w:pPr>
        <w:rPr>
          <w:rFonts w:asciiTheme="minorEastAsia" w:hAnsiTheme="minorEastAsia" w:eastAsiaTheme="minorEastAsia"/>
        </w:rPr>
      </w:pPr>
      <w:r>
        <w:rPr>
          <w:rFonts w:asciiTheme="minorEastAsia" w:hAnsiTheme="minorEastAsia" w:eastAsiaTheme="minorEastAsia"/>
        </w:rPr>
        <w:t>（2）临时工程已拆除，场地已进行清理、平整或复原；</w:t>
      </w:r>
    </w:p>
    <w:p>
      <w:pPr>
        <w:rPr>
          <w:rFonts w:asciiTheme="minorEastAsia" w:hAnsiTheme="minorEastAsia" w:eastAsiaTheme="minorEastAsia"/>
        </w:rPr>
      </w:pPr>
      <w:r>
        <w:rPr>
          <w:rFonts w:asciiTheme="minorEastAsia" w:hAnsiTheme="minorEastAsia" w:eastAsiaTheme="minorEastAsia"/>
        </w:rPr>
        <w:t>（3）按合同约定应撤离的人员、承包人施工设备和剩余的材料，包括废弃的施工设备和材料，已按计划撤离施工现场；</w:t>
      </w:r>
    </w:p>
    <w:p>
      <w:pPr>
        <w:rPr>
          <w:rFonts w:asciiTheme="minorEastAsia" w:hAnsiTheme="minorEastAsia" w:eastAsiaTheme="minorEastAsia"/>
        </w:rPr>
      </w:pPr>
      <w:r>
        <w:rPr>
          <w:rFonts w:asciiTheme="minorEastAsia" w:hAnsiTheme="minorEastAsia" w:eastAsiaTheme="minorEastAsia"/>
        </w:rPr>
        <w:t>（4）施工现场周边及其附近道路、河道的施工堆积物，已全部清理；</w:t>
      </w:r>
    </w:p>
    <w:p>
      <w:pPr>
        <w:rPr>
          <w:rFonts w:asciiTheme="minorEastAsia" w:hAnsiTheme="minorEastAsia" w:eastAsiaTheme="minorEastAsia"/>
        </w:rPr>
      </w:pPr>
      <w:r>
        <w:rPr>
          <w:rFonts w:asciiTheme="minorEastAsia" w:hAnsiTheme="minorEastAsia" w:eastAsiaTheme="minorEastAsia"/>
        </w:rPr>
        <w:t>（5）施工现场其他场地清理工作已全部完成。</w:t>
      </w:r>
    </w:p>
    <w:p>
      <w:pPr>
        <w:rPr>
          <w:rFonts w:asciiTheme="minorEastAsia" w:hAnsiTheme="minorEastAsia" w:eastAsiaTheme="minorEastAsia"/>
        </w:rPr>
      </w:pPr>
      <w:r>
        <w:rPr>
          <w:rFonts w:asciiTheme="minorEastAsia" w:hAnsiTheme="minorEastAsia" w:eastAsiaTheme="minorEastAsia"/>
        </w:rPr>
        <w:t>施工现场的竣工退场费用由承包人承担。承包人应在专用合同条款约定的期限内完成竣工退场，逾期未完成的，发包人有权出售或另行处理承包人遗留的物品，由此支出的费用由承包人承担，发包人出售承包人遗留物品所得款项在扣除必要费用后应返还承包人。</w:t>
      </w:r>
    </w:p>
    <w:p>
      <w:pPr>
        <w:rPr>
          <w:rFonts w:asciiTheme="minorEastAsia" w:hAnsiTheme="minorEastAsia" w:eastAsiaTheme="minorEastAsia"/>
        </w:rPr>
      </w:pPr>
      <w:r>
        <w:rPr>
          <w:rFonts w:asciiTheme="minorEastAsia" w:hAnsiTheme="minorEastAsia" w:eastAsiaTheme="minorEastAsia"/>
        </w:rPr>
        <w:t>13.6.2 地表还原</w:t>
      </w:r>
    </w:p>
    <w:p>
      <w:pPr>
        <w:rPr>
          <w:rFonts w:asciiTheme="minorEastAsia" w:hAnsiTheme="minorEastAsia" w:eastAsiaTheme="minorEastAsia"/>
        </w:rPr>
      </w:pPr>
      <w:r>
        <w:rPr>
          <w:rFonts w:asciiTheme="minorEastAsia" w:hAnsiTheme="minorEastAsia" w:eastAsiaTheme="minorEastAsia"/>
        </w:rPr>
        <w:t>承包人应按发包人要求恢复临时占地及清理场地，承包人未按发包人的要求恢复临时占地，或者场地清理未达到合同约定要求的，发包人有权委托其他人恢复或清理，所发生的费用由承包人承担。</w:t>
      </w:r>
    </w:p>
    <w:p>
      <w:pPr>
        <w:rPr>
          <w:rFonts w:asciiTheme="minorEastAsia" w:hAnsiTheme="minorEastAsia" w:eastAsiaTheme="minorEastAsia"/>
          <w:bCs/>
        </w:rPr>
      </w:pPr>
      <w:bookmarkStart w:id="463" w:name="_Toc351203593"/>
      <w:bookmarkStart w:id="464" w:name="_Toc337558810"/>
      <w:r>
        <w:rPr>
          <w:rFonts w:asciiTheme="minorEastAsia" w:hAnsiTheme="minorEastAsia" w:eastAsiaTheme="minorEastAsia"/>
          <w:bCs/>
        </w:rPr>
        <w:t>14. 竣工结算</w:t>
      </w:r>
      <w:bookmarkEnd w:id="463"/>
    </w:p>
    <w:bookmarkEnd w:id="464"/>
    <w:p>
      <w:pPr>
        <w:rPr>
          <w:rFonts w:asciiTheme="minorEastAsia" w:hAnsiTheme="minorEastAsia" w:eastAsiaTheme="minorEastAsia"/>
          <w:bCs/>
        </w:rPr>
      </w:pPr>
      <w:bookmarkStart w:id="465" w:name="_Toc351203594"/>
      <w:r>
        <w:rPr>
          <w:rFonts w:asciiTheme="minorEastAsia" w:hAnsiTheme="minorEastAsia" w:eastAsiaTheme="minorEastAsia"/>
          <w:bCs/>
        </w:rPr>
        <w:t>14.1 竣工结算申请</w:t>
      </w:r>
      <w:bookmarkEnd w:id="465"/>
    </w:p>
    <w:p>
      <w:pPr>
        <w:rPr>
          <w:rFonts w:asciiTheme="minorEastAsia" w:hAnsiTheme="minorEastAsia" w:eastAsiaTheme="minorEastAsia"/>
        </w:rPr>
      </w:pPr>
      <w:r>
        <w:rPr>
          <w:rFonts w:asciiTheme="minorEastAsia" w:hAnsiTheme="minorEastAsia" w:eastAsiaTheme="minorEastAsia"/>
        </w:rPr>
        <w:t>除专用合同条款另有约定外，承包人应在工程竣工验收合格后28天内向发包人和监理人提交竣工结算申请单，并提交完整的结算资料，</w:t>
      </w:r>
      <w:r>
        <w:rPr>
          <w:rFonts w:hint="eastAsia" w:asciiTheme="minorEastAsia" w:hAnsiTheme="minorEastAsia" w:eastAsiaTheme="minorEastAsia"/>
        </w:rPr>
        <w:t>有关</w:t>
      </w:r>
      <w:r>
        <w:rPr>
          <w:rFonts w:asciiTheme="minorEastAsia" w:hAnsiTheme="minorEastAsia" w:eastAsiaTheme="minorEastAsia"/>
        </w:rPr>
        <w:t>竣工结算申请单</w:t>
      </w:r>
      <w:r>
        <w:rPr>
          <w:rFonts w:hint="eastAsia" w:asciiTheme="minorEastAsia" w:hAnsiTheme="minorEastAsia" w:eastAsiaTheme="minorEastAsia"/>
        </w:rPr>
        <w:t>的资料清单和</w:t>
      </w:r>
      <w:r>
        <w:rPr>
          <w:rFonts w:asciiTheme="minorEastAsia" w:hAnsiTheme="minorEastAsia" w:eastAsiaTheme="minorEastAsia"/>
        </w:rPr>
        <w:t>份数</w:t>
      </w:r>
      <w:r>
        <w:rPr>
          <w:rFonts w:hint="eastAsia" w:asciiTheme="minorEastAsia" w:hAnsiTheme="minorEastAsia" w:eastAsiaTheme="minorEastAsia"/>
        </w:rPr>
        <w:t>等要求</w:t>
      </w:r>
      <w:r>
        <w:rPr>
          <w:rFonts w:asciiTheme="minorEastAsia" w:hAnsiTheme="minorEastAsia" w:eastAsiaTheme="minorEastAsia"/>
        </w:rPr>
        <w:t>由合同当事人在专用合同条款中约定。</w:t>
      </w:r>
    </w:p>
    <w:p>
      <w:pPr>
        <w:rPr>
          <w:rFonts w:asciiTheme="minorEastAsia" w:hAnsiTheme="minorEastAsia" w:eastAsiaTheme="minorEastAsia"/>
        </w:rPr>
      </w:pPr>
      <w:r>
        <w:rPr>
          <w:rFonts w:asciiTheme="minorEastAsia" w:hAnsiTheme="minorEastAsia" w:eastAsiaTheme="minorEastAsia"/>
        </w:rPr>
        <w:t>除专用合同条款另有约定外，竣工结算申请单应包括以下内容：</w:t>
      </w:r>
    </w:p>
    <w:p>
      <w:pPr>
        <w:rPr>
          <w:rFonts w:asciiTheme="minorEastAsia" w:hAnsiTheme="minorEastAsia" w:eastAsiaTheme="minorEastAsia"/>
        </w:rPr>
      </w:pPr>
      <w:r>
        <w:rPr>
          <w:rFonts w:asciiTheme="minorEastAsia" w:hAnsiTheme="minorEastAsia" w:eastAsiaTheme="minorEastAsia"/>
        </w:rPr>
        <w:t>（1）竣工结算合同价格；</w:t>
      </w:r>
    </w:p>
    <w:p>
      <w:pPr>
        <w:rPr>
          <w:rFonts w:asciiTheme="minorEastAsia" w:hAnsiTheme="minorEastAsia" w:eastAsiaTheme="minorEastAsia"/>
        </w:rPr>
      </w:pPr>
      <w:r>
        <w:rPr>
          <w:rFonts w:asciiTheme="minorEastAsia" w:hAnsiTheme="minorEastAsia" w:eastAsiaTheme="minorEastAsia"/>
        </w:rPr>
        <w:t>（2）发包人已支付承包人的款项；</w:t>
      </w:r>
    </w:p>
    <w:p>
      <w:pPr>
        <w:rPr>
          <w:rFonts w:asciiTheme="minorEastAsia" w:hAnsiTheme="minorEastAsia" w:eastAsiaTheme="minorEastAsia"/>
        </w:rPr>
      </w:pPr>
      <w:r>
        <w:rPr>
          <w:rFonts w:asciiTheme="minorEastAsia" w:hAnsiTheme="minorEastAsia" w:eastAsiaTheme="minorEastAsia"/>
        </w:rPr>
        <w:t>（3）应扣留的质量保证金</w:t>
      </w:r>
      <w:r>
        <w:rPr>
          <w:rFonts w:hint="eastAsia" w:asciiTheme="minorEastAsia" w:hAnsiTheme="minorEastAsia" w:eastAsiaTheme="minorEastAsia"/>
        </w:rPr>
        <w:t>。提供其他工程质量担保方式的除外</w:t>
      </w:r>
      <w:r>
        <w:rPr>
          <w:rFonts w:asciiTheme="minorEastAsia" w:hAnsiTheme="minorEastAsia" w:eastAsiaTheme="minorEastAsia"/>
        </w:rPr>
        <w:t xml:space="preserve">； </w:t>
      </w:r>
    </w:p>
    <w:p>
      <w:pPr>
        <w:rPr>
          <w:rFonts w:asciiTheme="minorEastAsia" w:hAnsiTheme="minorEastAsia" w:eastAsiaTheme="minorEastAsia"/>
        </w:rPr>
      </w:pPr>
      <w:r>
        <w:rPr>
          <w:rFonts w:asciiTheme="minorEastAsia" w:hAnsiTheme="minorEastAsia" w:eastAsiaTheme="minorEastAsia"/>
        </w:rPr>
        <w:t>（4）发包人应支付承包人的合同价款。</w:t>
      </w:r>
    </w:p>
    <w:p>
      <w:pPr>
        <w:rPr>
          <w:rFonts w:asciiTheme="minorEastAsia" w:hAnsiTheme="minorEastAsia" w:eastAsiaTheme="minorEastAsia"/>
          <w:bCs/>
        </w:rPr>
      </w:pPr>
      <w:bookmarkStart w:id="466" w:name="_Toc351203595"/>
      <w:bookmarkStart w:id="467" w:name="_Toc337558812"/>
      <w:r>
        <w:rPr>
          <w:rFonts w:asciiTheme="minorEastAsia" w:hAnsiTheme="minorEastAsia" w:eastAsiaTheme="minorEastAsia"/>
          <w:bCs/>
        </w:rPr>
        <w:t>14.2 竣工结算审核</w:t>
      </w:r>
      <w:bookmarkEnd w:id="466"/>
    </w:p>
    <w:bookmarkEnd w:id="467"/>
    <w:p>
      <w:pPr>
        <w:rPr>
          <w:rFonts w:asciiTheme="minorEastAsia" w:hAnsiTheme="minorEastAsia" w:eastAsiaTheme="minorEastAsia"/>
        </w:rPr>
      </w:pPr>
      <w:r>
        <w:rPr>
          <w:rFonts w:asciiTheme="minorEastAsia" w:hAnsiTheme="minorEastAsia" w:eastAsiaTheme="minorEastAsia"/>
        </w:rPr>
        <w:t>（1）除专用合同条款另有约定外，监理人应在收到竣工结算申请单后14天内完成核查并报送发包人。发包人应在收到监理人提交的经审核的竣工结算申请单后14天内完成</w:t>
      </w:r>
      <w:r>
        <w:rPr>
          <w:rFonts w:hint="eastAsia" w:asciiTheme="minorEastAsia" w:hAnsiTheme="minorEastAsia" w:eastAsiaTheme="minorEastAsia"/>
        </w:rPr>
        <w:t>审批</w:t>
      </w:r>
      <w:r>
        <w:rPr>
          <w:rFonts w:asciiTheme="minorEastAsia" w:hAnsiTheme="minorEastAsia" w:eastAsiaTheme="minorEastAsia"/>
        </w:rPr>
        <w:t>，并由监理人向承包人签发经发包人签认的竣工付款证书。监理人或发包人对竣工结算申请单有异议的，有权要求承包人进行修正和提供补充资料，承包人应提交修正后的竣工结算申请单。</w:t>
      </w:r>
    </w:p>
    <w:p>
      <w:pPr>
        <w:rPr>
          <w:rFonts w:asciiTheme="minorEastAsia" w:hAnsiTheme="minorEastAsia" w:eastAsiaTheme="minorEastAsia"/>
        </w:rPr>
      </w:pPr>
      <w:r>
        <w:rPr>
          <w:rFonts w:asciiTheme="minorEastAsia" w:hAnsiTheme="minorEastAsia" w:eastAsiaTheme="minorEastAsia"/>
        </w:rPr>
        <w:t>发包人在收到承包人提交竣工结算申请书后28天</w:t>
      </w:r>
      <w:r>
        <w:rPr>
          <w:rFonts w:hint="eastAsia" w:asciiTheme="minorEastAsia" w:hAnsiTheme="minorEastAsia" w:eastAsiaTheme="minorEastAsia"/>
        </w:rPr>
        <w:t>内</w:t>
      </w:r>
      <w:r>
        <w:rPr>
          <w:rFonts w:asciiTheme="minorEastAsia" w:hAnsiTheme="minorEastAsia" w:eastAsiaTheme="minorEastAsia"/>
        </w:rPr>
        <w:t>未完成</w:t>
      </w:r>
      <w:r>
        <w:rPr>
          <w:rFonts w:hint="eastAsia" w:asciiTheme="minorEastAsia" w:hAnsiTheme="minorEastAsia" w:eastAsiaTheme="minorEastAsia"/>
        </w:rPr>
        <w:t>审批</w:t>
      </w:r>
      <w:r>
        <w:rPr>
          <w:rFonts w:asciiTheme="minorEastAsia" w:hAnsiTheme="minorEastAsia" w:eastAsiaTheme="minorEastAsia"/>
        </w:rPr>
        <w:t>且未提出异议的，视为发包人认可承包人提交的竣工结算申请单，并自发包人收到承包人提交的竣工结算申请单后第29天起视为已签发竣工付款证书。</w:t>
      </w:r>
    </w:p>
    <w:p>
      <w:pPr>
        <w:rPr>
          <w:rFonts w:asciiTheme="minorEastAsia" w:hAnsiTheme="minorEastAsia" w:eastAsiaTheme="minorEastAsia"/>
        </w:rPr>
      </w:pPr>
      <w:r>
        <w:rPr>
          <w:rFonts w:asciiTheme="minorEastAsia" w:hAnsiTheme="minorEastAsia" w:eastAsiaTheme="minorEastAsia"/>
        </w:rPr>
        <w:t>（2）除专用合同条款另有约定外，发包人应在签发竣工付款证书后的14 天内，完成对承包人的竣工付款。发包人逾期支付的，按照中国人民银行发布的同期同类贷款基准利率支付违约金；逾期支付超过56天的，按照中国人民银行发布的同期同类贷款基准利率的两倍支付违约金。</w:t>
      </w:r>
    </w:p>
    <w:p>
      <w:pPr>
        <w:rPr>
          <w:rFonts w:asciiTheme="minorEastAsia" w:hAnsiTheme="minorEastAsia" w:eastAsiaTheme="minorEastAsia"/>
        </w:rPr>
      </w:pPr>
      <w:r>
        <w:rPr>
          <w:rFonts w:asciiTheme="minorEastAsia" w:hAnsiTheme="minorEastAsia" w:eastAsiaTheme="minorEastAsia"/>
        </w:rPr>
        <w:t>（3）承包人对发包人签认的竣工付款证书有异议的，对于有异议部分应在收到发包人签认的竣工付款证书后7天内提出异议，并由合同当事人按照专用合同条款约定</w:t>
      </w:r>
      <w:r>
        <w:rPr>
          <w:rFonts w:hint="eastAsia" w:asciiTheme="minorEastAsia" w:hAnsiTheme="minorEastAsia" w:eastAsiaTheme="minorEastAsia"/>
        </w:rPr>
        <w:t>的方式和程序</w:t>
      </w:r>
      <w:r>
        <w:rPr>
          <w:rFonts w:asciiTheme="minorEastAsia" w:hAnsiTheme="minorEastAsia" w:eastAsiaTheme="minorEastAsia"/>
        </w:rPr>
        <w:t>进行复核，或按照第20条</w:t>
      </w:r>
      <w:r>
        <w:rPr>
          <w:rFonts w:hint="eastAsia" w:asciiTheme="minorEastAsia" w:hAnsiTheme="minorEastAsia" w:eastAsiaTheme="minorEastAsia"/>
        </w:rPr>
        <w:t>〔</w:t>
      </w:r>
      <w:r>
        <w:rPr>
          <w:rFonts w:asciiTheme="minorEastAsia" w:hAnsiTheme="minorEastAsia" w:eastAsiaTheme="minorEastAsia"/>
        </w:rPr>
        <w:t>争议解决</w:t>
      </w:r>
      <w:r>
        <w:rPr>
          <w:rFonts w:hint="eastAsia" w:asciiTheme="minorEastAsia" w:hAnsiTheme="minorEastAsia" w:eastAsiaTheme="minorEastAsia"/>
        </w:rPr>
        <w:t>〕</w:t>
      </w:r>
      <w:r>
        <w:rPr>
          <w:rFonts w:asciiTheme="minorEastAsia" w:hAnsiTheme="minorEastAsia" w:eastAsiaTheme="minorEastAsia"/>
        </w:rPr>
        <w:t>约定处理。对于无异议部分，发包人应签发临时竣工付款证书，并按本款第（2）项完成付款</w:t>
      </w:r>
      <w:r>
        <w:rPr>
          <w:rFonts w:hint="eastAsia" w:asciiTheme="minorEastAsia" w:hAnsiTheme="minorEastAsia" w:eastAsiaTheme="minorEastAsia"/>
        </w:rPr>
        <w:t>。</w:t>
      </w:r>
      <w:r>
        <w:rPr>
          <w:rFonts w:asciiTheme="minorEastAsia" w:hAnsiTheme="minorEastAsia" w:eastAsiaTheme="minorEastAsia"/>
        </w:rPr>
        <w:t>承包人逾期未提出异议的，视为认可发包人的</w:t>
      </w:r>
      <w:r>
        <w:rPr>
          <w:rFonts w:hint="eastAsia" w:asciiTheme="minorEastAsia" w:hAnsiTheme="minorEastAsia" w:eastAsiaTheme="minorEastAsia"/>
        </w:rPr>
        <w:t>审批</w:t>
      </w:r>
      <w:r>
        <w:rPr>
          <w:rFonts w:asciiTheme="minorEastAsia" w:hAnsiTheme="minorEastAsia" w:eastAsiaTheme="minorEastAsia"/>
        </w:rPr>
        <w:t>结果。</w:t>
      </w:r>
    </w:p>
    <w:p>
      <w:pPr>
        <w:rPr>
          <w:rFonts w:asciiTheme="minorEastAsia" w:hAnsiTheme="minorEastAsia" w:eastAsiaTheme="minorEastAsia"/>
          <w:bCs/>
        </w:rPr>
      </w:pPr>
      <w:bookmarkStart w:id="468" w:name="_Toc351203596"/>
      <w:bookmarkStart w:id="469" w:name="_Toc337558813"/>
      <w:r>
        <w:rPr>
          <w:rFonts w:asciiTheme="minorEastAsia" w:hAnsiTheme="minorEastAsia" w:eastAsiaTheme="minorEastAsia"/>
          <w:bCs/>
        </w:rPr>
        <w:t>14.3 甩项竣工协议</w:t>
      </w:r>
      <w:bookmarkEnd w:id="468"/>
    </w:p>
    <w:bookmarkEnd w:id="469"/>
    <w:p>
      <w:pPr>
        <w:rPr>
          <w:rFonts w:asciiTheme="minorEastAsia" w:hAnsiTheme="minorEastAsia" w:eastAsiaTheme="minorEastAsia"/>
        </w:rPr>
      </w:pPr>
      <w:r>
        <w:rPr>
          <w:rFonts w:asciiTheme="minorEastAsia" w:hAnsiTheme="minorEastAsia" w:eastAsiaTheme="minorEastAsia"/>
        </w:rPr>
        <w:t>发包人要求甩项竣工的，合同当事人应签订甩项竣工协议。在甩项竣工协议中应明确，合同当事人按照第14.1款</w:t>
      </w:r>
      <w:r>
        <w:rPr>
          <w:rFonts w:hint="eastAsia" w:asciiTheme="minorEastAsia" w:hAnsiTheme="minorEastAsia" w:eastAsiaTheme="minorEastAsia"/>
        </w:rPr>
        <w:t>〔</w:t>
      </w:r>
      <w:r>
        <w:rPr>
          <w:rFonts w:asciiTheme="minorEastAsia" w:hAnsiTheme="minorEastAsia" w:eastAsiaTheme="minorEastAsia"/>
        </w:rPr>
        <w:t>竣工</w:t>
      </w:r>
      <w:r>
        <w:rPr>
          <w:rFonts w:hint="eastAsia" w:asciiTheme="minorEastAsia" w:hAnsiTheme="minorEastAsia" w:eastAsiaTheme="minorEastAsia"/>
        </w:rPr>
        <w:t>结算</w:t>
      </w:r>
      <w:r>
        <w:rPr>
          <w:rFonts w:asciiTheme="minorEastAsia" w:hAnsiTheme="minorEastAsia" w:eastAsiaTheme="minorEastAsia"/>
        </w:rPr>
        <w:t>申请</w:t>
      </w:r>
      <w:r>
        <w:rPr>
          <w:rFonts w:hint="eastAsia" w:asciiTheme="minorEastAsia" w:hAnsiTheme="minorEastAsia" w:eastAsiaTheme="minorEastAsia"/>
        </w:rPr>
        <w:t>〕</w:t>
      </w:r>
      <w:r>
        <w:rPr>
          <w:rFonts w:asciiTheme="minorEastAsia" w:hAnsiTheme="minorEastAsia" w:eastAsiaTheme="minorEastAsia"/>
        </w:rPr>
        <w:t>及14.2款</w:t>
      </w:r>
      <w:r>
        <w:rPr>
          <w:rFonts w:hint="eastAsia" w:asciiTheme="minorEastAsia" w:hAnsiTheme="minorEastAsia" w:eastAsiaTheme="minorEastAsia"/>
        </w:rPr>
        <w:t>〔</w:t>
      </w:r>
      <w:r>
        <w:rPr>
          <w:rFonts w:asciiTheme="minorEastAsia" w:hAnsiTheme="minorEastAsia" w:eastAsiaTheme="minorEastAsia"/>
        </w:rPr>
        <w:t>竣工结算审核</w:t>
      </w:r>
      <w:r>
        <w:rPr>
          <w:rFonts w:hint="eastAsia" w:asciiTheme="minorEastAsia" w:hAnsiTheme="minorEastAsia" w:eastAsiaTheme="minorEastAsia"/>
        </w:rPr>
        <w:t>〕</w:t>
      </w:r>
      <w:r>
        <w:rPr>
          <w:rFonts w:asciiTheme="minorEastAsia" w:hAnsiTheme="minorEastAsia" w:eastAsiaTheme="minorEastAsia"/>
        </w:rPr>
        <w:t>的约定，</w:t>
      </w:r>
      <w:r>
        <w:rPr>
          <w:rFonts w:hint="eastAsia" w:asciiTheme="minorEastAsia" w:hAnsiTheme="minorEastAsia" w:eastAsiaTheme="minorEastAsia"/>
        </w:rPr>
        <w:t>对已</w:t>
      </w:r>
      <w:r>
        <w:rPr>
          <w:rFonts w:asciiTheme="minorEastAsia" w:hAnsiTheme="minorEastAsia" w:eastAsiaTheme="minorEastAsia"/>
        </w:rPr>
        <w:t>完合格工程</w:t>
      </w:r>
      <w:r>
        <w:rPr>
          <w:rFonts w:hint="eastAsia" w:asciiTheme="minorEastAsia" w:hAnsiTheme="minorEastAsia" w:eastAsiaTheme="minorEastAsia"/>
        </w:rPr>
        <w:t>进行</w:t>
      </w:r>
      <w:r>
        <w:rPr>
          <w:rFonts w:asciiTheme="minorEastAsia" w:hAnsiTheme="minorEastAsia" w:eastAsiaTheme="minorEastAsia"/>
        </w:rPr>
        <w:t>结算，并支付相应</w:t>
      </w:r>
      <w:r>
        <w:rPr>
          <w:rFonts w:hint="eastAsia" w:asciiTheme="minorEastAsia" w:hAnsiTheme="minorEastAsia" w:eastAsiaTheme="minorEastAsia"/>
        </w:rPr>
        <w:t>合同</w:t>
      </w:r>
      <w:r>
        <w:rPr>
          <w:rFonts w:asciiTheme="minorEastAsia" w:hAnsiTheme="minorEastAsia" w:eastAsiaTheme="minorEastAsia"/>
        </w:rPr>
        <w:t>价款。</w:t>
      </w:r>
    </w:p>
    <w:p>
      <w:pPr>
        <w:rPr>
          <w:rFonts w:asciiTheme="minorEastAsia" w:hAnsiTheme="minorEastAsia" w:eastAsiaTheme="minorEastAsia"/>
          <w:bCs/>
        </w:rPr>
      </w:pPr>
      <w:bookmarkStart w:id="470" w:name="_Toc351203597"/>
      <w:bookmarkStart w:id="471" w:name="_Toc337558814"/>
      <w:r>
        <w:rPr>
          <w:rFonts w:asciiTheme="minorEastAsia" w:hAnsiTheme="minorEastAsia" w:eastAsiaTheme="minorEastAsia"/>
          <w:bCs/>
        </w:rPr>
        <w:t>14.4 最终结清</w:t>
      </w:r>
      <w:bookmarkEnd w:id="470"/>
    </w:p>
    <w:bookmarkEnd w:id="471"/>
    <w:p>
      <w:pPr>
        <w:rPr>
          <w:rFonts w:asciiTheme="minorEastAsia" w:hAnsiTheme="minorEastAsia" w:eastAsiaTheme="minorEastAsia"/>
        </w:rPr>
      </w:pPr>
      <w:r>
        <w:rPr>
          <w:rFonts w:asciiTheme="minorEastAsia" w:hAnsiTheme="minorEastAsia" w:eastAsiaTheme="minorEastAsia"/>
        </w:rPr>
        <w:t>14.4.1 最终结清申请单</w:t>
      </w:r>
    </w:p>
    <w:p>
      <w:pPr>
        <w:rPr>
          <w:rFonts w:asciiTheme="minorEastAsia" w:hAnsiTheme="minorEastAsia" w:eastAsiaTheme="minorEastAsia"/>
        </w:rPr>
      </w:pPr>
      <w:r>
        <w:rPr>
          <w:rFonts w:asciiTheme="minorEastAsia" w:hAnsiTheme="minorEastAsia" w:eastAsiaTheme="minorEastAsia"/>
        </w:rPr>
        <w:t>（1）除专用合同条款另有约定外，承包人应在缺陷责任期终止证书颁发后7天内，按专用合同条款约定的份数向发包人提交最终结清申请单，并提供相关证明材料。</w:t>
      </w:r>
    </w:p>
    <w:p>
      <w:pPr>
        <w:rPr>
          <w:rFonts w:asciiTheme="minorEastAsia" w:hAnsiTheme="minorEastAsia" w:eastAsiaTheme="minorEastAsia"/>
        </w:rPr>
      </w:pPr>
      <w:r>
        <w:rPr>
          <w:rFonts w:asciiTheme="minorEastAsia" w:hAnsiTheme="minorEastAsia" w:eastAsiaTheme="minorEastAsia"/>
        </w:rPr>
        <w:t>除专用合同条款另有约定外，最终结清申请单应列明质量保证金、应扣除的质量保证金、缺陷责任期内发生的增减费用。</w:t>
      </w:r>
    </w:p>
    <w:p>
      <w:pPr>
        <w:rPr>
          <w:rFonts w:asciiTheme="minorEastAsia" w:hAnsiTheme="minorEastAsia" w:eastAsiaTheme="minorEastAsia"/>
        </w:rPr>
      </w:pPr>
      <w:r>
        <w:rPr>
          <w:rFonts w:asciiTheme="minorEastAsia" w:hAnsiTheme="minorEastAsia" w:eastAsiaTheme="minorEastAsia"/>
        </w:rPr>
        <w:t>（2）发包人对最终结清申请单内容有异议的，有权要求承包人进行修正和提供补充资料，承包人应向发包人提交修正后的最终结清申请单。</w:t>
      </w:r>
    </w:p>
    <w:p>
      <w:pPr>
        <w:rPr>
          <w:rFonts w:asciiTheme="minorEastAsia" w:hAnsiTheme="minorEastAsia" w:eastAsiaTheme="minorEastAsia"/>
        </w:rPr>
      </w:pPr>
      <w:r>
        <w:rPr>
          <w:rFonts w:asciiTheme="minorEastAsia" w:hAnsiTheme="minorEastAsia" w:eastAsiaTheme="minorEastAsia"/>
        </w:rPr>
        <w:t>14.4.2 最终结清证书和支付</w:t>
      </w:r>
    </w:p>
    <w:p>
      <w:pPr>
        <w:rPr>
          <w:rFonts w:asciiTheme="minorEastAsia" w:hAnsiTheme="minorEastAsia" w:eastAsiaTheme="minorEastAsia"/>
        </w:rPr>
      </w:pPr>
      <w:r>
        <w:rPr>
          <w:rFonts w:asciiTheme="minorEastAsia" w:hAnsiTheme="minorEastAsia" w:eastAsiaTheme="minorEastAsia"/>
        </w:rPr>
        <w:t>（1）除专用合同条款另有约定外，发包人应在收到承包人提交的最终结清申请单后14天内完成审批并向承包人颁发最终结清证书。发包人逾期未完成</w:t>
      </w:r>
      <w:r>
        <w:rPr>
          <w:rFonts w:hint="eastAsia" w:asciiTheme="minorEastAsia" w:hAnsiTheme="minorEastAsia" w:eastAsiaTheme="minorEastAsia"/>
        </w:rPr>
        <w:t>审批</w:t>
      </w:r>
      <w:r>
        <w:rPr>
          <w:rFonts w:asciiTheme="minorEastAsia" w:hAnsiTheme="minorEastAsia" w:eastAsiaTheme="minorEastAsia"/>
        </w:rPr>
        <w:t>，又未提出修改意见的，视为发包人同意承包人提交的最终结清申请单，且自发包人收到承包人提交的最终结清申请单后15天起视为已颁发最终结清证书。</w:t>
      </w:r>
    </w:p>
    <w:p>
      <w:pPr>
        <w:rPr>
          <w:rFonts w:asciiTheme="minorEastAsia" w:hAnsiTheme="minorEastAsia" w:eastAsiaTheme="minorEastAsia"/>
        </w:rPr>
      </w:pPr>
      <w:r>
        <w:rPr>
          <w:rFonts w:asciiTheme="minorEastAsia" w:hAnsiTheme="minorEastAsia" w:eastAsiaTheme="minorEastAsia"/>
        </w:rPr>
        <w:t>（2）除专用合同条款另有约定外，发包人应在颁发最终结清证书后7天内完成支付。发包人逾期支付的，按照中国人民银行发布的同期同类贷款基准利率支付违约金；逾期支付超过56天的，按照中国人民银行发布的同期同类贷款基准利率的两倍支付违约金。</w:t>
      </w:r>
    </w:p>
    <w:p>
      <w:pPr>
        <w:rPr>
          <w:rFonts w:asciiTheme="minorEastAsia" w:hAnsiTheme="minorEastAsia" w:eastAsiaTheme="minorEastAsia"/>
        </w:rPr>
      </w:pPr>
      <w:r>
        <w:rPr>
          <w:rFonts w:asciiTheme="minorEastAsia" w:hAnsiTheme="minorEastAsia" w:eastAsiaTheme="minorEastAsia"/>
        </w:rPr>
        <w:t>（3）承包人对发包人颁发的最终结清证书有异议的，按第20条</w:t>
      </w:r>
      <w:r>
        <w:rPr>
          <w:rFonts w:hint="eastAsia" w:asciiTheme="minorEastAsia" w:hAnsiTheme="minorEastAsia" w:eastAsiaTheme="minorEastAsia"/>
        </w:rPr>
        <w:t>〔</w:t>
      </w:r>
      <w:r>
        <w:rPr>
          <w:rFonts w:asciiTheme="minorEastAsia" w:hAnsiTheme="minorEastAsia" w:eastAsiaTheme="minorEastAsia"/>
        </w:rPr>
        <w:t>争议解决</w:t>
      </w:r>
      <w:r>
        <w:rPr>
          <w:rFonts w:hint="eastAsia" w:asciiTheme="minorEastAsia" w:hAnsiTheme="minorEastAsia" w:eastAsiaTheme="minorEastAsia"/>
        </w:rPr>
        <w:t>〕</w:t>
      </w:r>
      <w:r>
        <w:rPr>
          <w:rFonts w:asciiTheme="minorEastAsia" w:hAnsiTheme="minorEastAsia" w:eastAsiaTheme="minorEastAsia"/>
        </w:rPr>
        <w:t>的约定办理。</w:t>
      </w:r>
    </w:p>
    <w:p>
      <w:pPr>
        <w:rPr>
          <w:rFonts w:asciiTheme="minorEastAsia" w:hAnsiTheme="minorEastAsia" w:eastAsiaTheme="minorEastAsia"/>
          <w:bCs/>
        </w:rPr>
      </w:pPr>
      <w:bookmarkStart w:id="472" w:name="_Toc351203598"/>
      <w:bookmarkStart w:id="473" w:name="_Toc337558815"/>
      <w:r>
        <w:rPr>
          <w:rFonts w:asciiTheme="minorEastAsia" w:hAnsiTheme="minorEastAsia" w:eastAsiaTheme="minorEastAsia"/>
          <w:bCs/>
        </w:rPr>
        <w:t>15. 缺陷责任与保修</w:t>
      </w:r>
      <w:bookmarkEnd w:id="472"/>
    </w:p>
    <w:bookmarkEnd w:id="473"/>
    <w:p>
      <w:pPr>
        <w:rPr>
          <w:rFonts w:asciiTheme="minorEastAsia" w:hAnsiTheme="minorEastAsia" w:eastAsiaTheme="minorEastAsia"/>
          <w:bCs/>
        </w:rPr>
      </w:pPr>
      <w:bookmarkStart w:id="474" w:name="_Toc351203599"/>
      <w:bookmarkStart w:id="475" w:name="_Toc337558816"/>
      <w:bookmarkStart w:id="476" w:name="_Toc296503114"/>
      <w:bookmarkStart w:id="477" w:name="_Toc296346615"/>
      <w:r>
        <w:rPr>
          <w:rFonts w:asciiTheme="minorEastAsia" w:hAnsiTheme="minorEastAsia" w:eastAsiaTheme="minorEastAsia"/>
          <w:bCs/>
        </w:rPr>
        <w:t>15.1 工程保修的原则</w:t>
      </w:r>
      <w:bookmarkEnd w:id="474"/>
    </w:p>
    <w:bookmarkEnd w:id="475"/>
    <w:p>
      <w:pPr>
        <w:rPr>
          <w:rFonts w:asciiTheme="minorEastAsia" w:hAnsiTheme="minorEastAsia" w:eastAsiaTheme="minorEastAsia"/>
        </w:rPr>
      </w:pPr>
      <w:r>
        <w:rPr>
          <w:rFonts w:asciiTheme="minorEastAsia" w:hAnsiTheme="minorEastAsia" w:eastAsiaTheme="minorEastAsia"/>
        </w:rPr>
        <w:t>在工程移交发包人后，因承包人原因产生的质量缺陷，承包人应承担质量缺陷责任和保修义务。缺陷责任期届满，承包人仍应按合同约定的工程各部位保修年限承担保修义务。</w:t>
      </w:r>
    </w:p>
    <w:p>
      <w:pPr>
        <w:rPr>
          <w:rFonts w:asciiTheme="minorEastAsia" w:hAnsiTheme="minorEastAsia" w:eastAsiaTheme="minorEastAsia"/>
          <w:bCs/>
        </w:rPr>
      </w:pPr>
      <w:bookmarkStart w:id="478" w:name="_Toc351203600"/>
      <w:bookmarkStart w:id="479" w:name="_Toc337558817"/>
      <w:r>
        <w:rPr>
          <w:rFonts w:asciiTheme="minorEastAsia" w:hAnsiTheme="minorEastAsia" w:eastAsiaTheme="minorEastAsia"/>
          <w:bCs/>
        </w:rPr>
        <w:t>15.2 缺陷责任期</w:t>
      </w:r>
      <w:bookmarkEnd w:id="476"/>
      <w:bookmarkEnd w:id="477"/>
      <w:bookmarkEnd w:id="478"/>
    </w:p>
    <w:bookmarkEnd w:id="479"/>
    <w:p>
      <w:pPr>
        <w:rPr>
          <w:rFonts w:asciiTheme="minorEastAsia" w:hAnsiTheme="minorEastAsia" w:eastAsiaTheme="minorEastAsia"/>
        </w:rPr>
      </w:pPr>
      <w:r>
        <w:rPr>
          <w:rFonts w:asciiTheme="minorEastAsia" w:hAnsiTheme="minorEastAsia" w:eastAsiaTheme="minorEastAsia"/>
        </w:rPr>
        <w:t>15.2.1 缺陷责任期</w:t>
      </w:r>
      <w:r>
        <w:rPr>
          <w:rFonts w:hint="eastAsia" w:asciiTheme="minorEastAsia" w:hAnsiTheme="minorEastAsia" w:eastAsiaTheme="minorEastAsia"/>
        </w:rPr>
        <w:t>从工程通过竣工验收之日</w:t>
      </w:r>
      <w:r>
        <w:rPr>
          <w:rFonts w:asciiTheme="minorEastAsia" w:hAnsiTheme="minorEastAsia" w:eastAsiaTheme="minorEastAsia"/>
        </w:rPr>
        <w:t>起计算，合同当事人应在专用合同条款约定缺陷责任期的具体期限，但该期限最长不超过24个月。</w:t>
      </w:r>
    </w:p>
    <w:p>
      <w:pPr>
        <w:rPr>
          <w:rFonts w:asciiTheme="minorEastAsia" w:hAnsiTheme="minorEastAsia" w:eastAsiaTheme="minorEastAsia"/>
        </w:rPr>
      </w:pPr>
      <w:r>
        <w:rPr>
          <w:rFonts w:asciiTheme="minorEastAsia" w:hAnsiTheme="minorEastAsia" w:eastAsiaTheme="minorEastAsia"/>
        </w:rPr>
        <w:t>单位工程先于全部工程进行验收，经验收合格并交付使用的，该单位工程缺陷责任期自单位工程验收合格之日起算。</w:t>
      </w:r>
      <w:r>
        <w:rPr>
          <w:rFonts w:hint="eastAsia" w:asciiTheme="minorEastAsia" w:hAnsiTheme="minorEastAsia" w:eastAsiaTheme="minorEastAsia"/>
        </w:rPr>
        <w:t>因承包人原因导致工程无法按合同约定期限进行竣工验收的，缺陷责任期从实际通过竣工验收之日起计算。</w:t>
      </w:r>
      <w:r>
        <w:rPr>
          <w:rFonts w:asciiTheme="minorEastAsia" w:hAnsiTheme="minorEastAsia" w:eastAsiaTheme="minorEastAsia"/>
        </w:rPr>
        <w:t>因发包人原因导致工程无法按合同约定期限进行竣工验收的，</w:t>
      </w:r>
      <w:r>
        <w:rPr>
          <w:rFonts w:hint="eastAsia" w:asciiTheme="minorEastAsia" w:hAnsiTheme="minorEastAsia" w:eastAsiaTheme="minorEastAsia"/>
        </w:rPr>
        <w:t>在承包人提交竣工验收报告90天后，工程自动进入缺陷责任期</w:t>
      </w:r>
      <w:r>
        <w:rPr>
          <w:rFonts w:asciiTheme="minorEastAsia" w:hAnsiTheme="minorEastAsia" w:eastAsiaTheme="minorEastAsia"/>
        </w:rPr>
        <w:t>；发包人未经竣工验收擅自使用工程的，缺陷责任期自工程转移占有之日起开始计算。</w:t>
      </w:r>
    </w:p>
    <w:p>
      <w:pPr>
        <w:rPr>
          <w:rFonts w:asciiTheme="minorEastAsia" w:hAnsiTheme="minorEastAsia" w:eastAsiaTheme="minorEastAsia"/>
        </w:rPr>
      </w:pPr>
      <w:r>
        <w:rPr>
          <w:rFonts w:asciiTheme="minorEastAsia" w:hAnsiTheme="minorEastAsia" w:eastAsiaTheme="minorEastAsia"/>
        </w:rPr>
        <w:t>15.2.2</w:t>
      </w:r>
      <w:r>
        <w:rPr>
          <w:rFonts w:hint="eastAsia" w:asciiTheme="minorEastAsia" w:hAnsiTheme="minorEastAsia" w:eastAsiaTheme="minorEastAsia"/>
        </w:rPr>
        <w:t>缺陷责任期内，由承包人原因造成的缺陷，承包人应负责维修，并承担鉴定及维修费用。如承包人不维修也不承担费用，发包人可按合同约定从保证金或银行保函中扣除，费用超出保证金额的，发包人可按合同约定向承包人进行索赔。承包人维修并承担相应费用后，不免除对工程的损失赔偿责任。</w:t>
      </w:r>
      <w:r>
        <w:rPr>
          <w:rFonts w:asciiTheme="minorEastAsia" w:hAnsiTheme="minorEastAsia" w:eastAsiaTheme="minorEastAsia"/>
        </w:rPr>
        <w:t>发包人有权要求承</w:t>
      </w:r>
      <w:r>
        <w:rPr>
          <w:rFonts w:asciiTheme="minorEastAsia" w:hAnsiTheme="minorEastAsia" w:eastAsiaTheme="minorEastAsia"/>
          <w:bCs/>
        </w:rPr>
        <w:t>包人延长缺陷责任期，</w:t>
      </w:r>
      <w:r>
        <w:rPr>
          <w:rFonts w:asciiTheme="minorEastAsia" w:hAnsiTheme="minorEastAsia" w:eastAsiaTheme="minorEastAsia"/>
        </w:rPr>
        <w:t>并应在原缺陷责任期届满前发出延长通知</w:t>
      </w:r>
      <w:r>
        <w:rPr>
          <w:rFonts w:hint="eastAsia" w:asciiTheme="minorEastAsia" w:hAnsiTheme="minorEastAsia" w:eastAsiaTheme="minorEastAsia"/>
        </w:rPr>
        <w:t>。</w:t>
      </w:r>
      <w:r>
        <w:rPr>
          <w:rFonts w:asciiTheme="minorEastAsia" w:hAnsiTheme="minorEastAsia" w:eastAsiaTheme="minorEastAsia"/>
          <w:bCs/>
        </w:rPr>
        <w:t>但缺陷责任期</w:t>
      </w:r>
      <w:r>
        <w:rPr>
          <w:rFonts w:hint="eastAsia" w:asciiTheme="minorEastAsia" w:hAnsiTheme="minorEastAsia" w:eastAsiaTheme="minorEastAsia"/>
          <w:bCs/>
        </w:rPr>
        <w:t>（含延长部分）</w:t>
      </w:r>
      <w:r>
        <w:rPr>
          <w:rFonts w:asciiTheme="minorEastAsia" w:hAnsiTheme="minorEastAsia" w:eastAsiaTheme="minorEastAsia"/>
          <w:bCs/>
        </w:rPr>
        <w:t>最长</w:t>
      </w:r>
      <w:r>
        <w:rPr>
          <w:rFonts w:asciiTheme="minorEastAsia" w:hAnsiTheme="minorEastAsia" w:eastAsiaTheme="minorEastAsia"/>
        </w:rPr>
        <w:t>不能超过24个月。</w:t>
      </w:r>
    </w:p>
    <w:p>
      <w:pPr>
        <w:rPr>
          <w:rFonts w:asciiTheme="minorEastAsia" w:hAnsiTheme="minorEastAsia" w:eastAsiaTheme="minorEastAsia"/>
        </w:rPr>
      </w:pPr>
      <w:r>
        <w:rPr>
          <w:rFonts w:hint="eastAsia" w:asciiTheme="minorEastAsia" w:hAnsiTheme="minorEastAsia" w:eastAsiaTheme="minorEastAsia"/>
        </w:rPr>
        <w:t>由他人原因造成的缺陷，发包人负责组织维修，承包人不承担费用，且发包人不得从保证金中扣除费用。</w:t>
      </w:r>
    </w:p>
    <w:p>
      <w:pPr>
        <w:rPr>
          <w:rFonts w:asciiTheme="minorEastAsia" w:hAnsiTheme="minorEastAsia" w:eastAsiaTheme="minorEastAsia"/>
        </w:rPr>
      </w:pPr>
      <w:r>
        <w:rPr>
          <w:rFonts w:asciiTheme="minorEastAsia" w:hAnsiTheme="minorEastAsia" w:eastAsiaTheme="minorEastAsia"/>
        </w:rPr>
        <w:t>15.2.3 任何一项缺陷或损坏修复后，经检查证明其影响了工程或工程设备的使用性能，承包人应重新进行合同约定的试验和试运行，试验和试运行的全部费用应由责任方承担。</w:t>
      </w:r>
    </w:p>
    <w:p>
      <w:pPr>
        <w:rPr>
          <w:rFonts w:asciiTheme="minorEastAsia" w:hAnsiTheme="minorEastAsia" w:eastAsiaTheme="minorEastAsia"/>
        </w:rPr>
      </w:pPr>
      <w:r>
        <w:rPr>
          <w:rFonts w:asciiTheme="minorEastAsia" w:hAnsiTheme="minorEastAsia" w:eastAsiaTheme="minorEastAsia"/>
        </w:rPr>
        <w:t>15.2.4</w:t>
      </w:r>
      <w:r>
        <w:rPr>
          <w:rFonts w:hint="eastAsia" w:asciiTheme="minorEastAsia" w:hAnsiTheme="minorEastAsia" w:eastAsiaTheme="minorEastAsia"/>
        </w:rPr>
        <w:t xml:space="preserve"> </w:t>
      </w:r>
      <w:r>
        <w:rPr>
          <w:rFonts w:asciiTheme="minorEastAsia" w:hAnsiTheme="minorEastAsia" w:eastAsiaTheme="minorEastAsia"/>
        </w:rPr>
        <w:t>除专用合同条款另有约定外，承包人应于缺陷责任期届满后7天内向发包人发出缺陷责任期</w:t>
      </w:r>
      <w:r>
        <w:rPr>
          <w:rFonts w:hint="eastAsia" w:asciiTheme="minorEastAsia" w:hAnsiTheme="minorEastAsia" w:eastAsiaTheme="minorEastAsia"/>
        </w:rPr>
        <w:t>届</w:t>
      </w:r>
      <w:r>
        <w:rPr>
          <w:rFonts w:asciiTheme="minorEastAsia" w:hAnsiTheme="minorEastAsia" w:eastAsiaTheme="minorEastAsia"/>
        </w:rPr>
        <w:t>满通知，发包人应在</w:t>
      </w:r>
      <w:r>
        <w:rPr>
          <w:rFonts w:hint="eastAsia" w:asciiTheme="minorEastAsia" w:hAnsiTheme="minorEastAsia" w:eastAsiaTheme="minorEastAsia"/>
        </w:rPr>
        <w:t>收</w:t>
      </w:r>
      <w:r>
        <w:rPr>
          <w:rFonts w:asciiTheme="minorEastAsia" w:hAnsiTheme="minorEastAsia" w:eastAsiaTheme="minorEastAsia"/>
        </w:rPr>
        <w:t>到缺陷责任期满通知后14天内核实承包人是否履行缺陷</w:t>
      </w:r>
      <w:r>
        <w:rPr>
          <w:rFonts w:hint="eastAsia" w:asciiTheme="minorEastAsia" w:hAnsiTheme="minorEastAsia" w:eastAsiaTheme="minorEastAsia"/>
        </w:rPr>
        <w:t>修复</w:t>
      </w:r>
      <w:r>
        <w:rPr>
          <w:rFonts w:asciiTheme="minorEastAsia" w:hAnsiTheme="minorEastAsia" w:eastAsiaTheme="minorEastAsia"/>
        </w:rPr>
        <w:t>义务，承包人未能履行缺陷</w:t>
      </w:r>
      <w:r>
        <w:rPr>
          <w:rFonts w:hint="eastAsia" w:asciiTheme="minorEastAsia" w:hAnsiTheme="minorEastAsia" w:eastAsiaTheme="minorEastAsia"/>
        </w:rPr>
        <w:t>修复</w:t>
      </w:r>
      <w:r>
        <w:rPr>
          <w:rFonts w:asciiTheme="minorEastAsia" w:hAnsiTheme="minorEastAsia" w:eastAsiaTheme="minorEastAsia"/>
        </w:rPr>
        <w:t>义务的，发包人有权扣除相应金额的维修费用。发包人应在</w:t>
      </w:r>
      <w:r>
        <w:rPr>
          <w:rFonts w:hint="eastAsia" w:asciiTheme="minorEastAsia" w:hAnsiTheme="minorEastAsia" w:eastAsiaTheme="minorEastAsia"/>
        </w:rPr>
        <w:t>收到</w:t>
      </w:r>
      <w:r>
        <w:rPr>
          <w:rFonts w:asciiTheme="minorEastAsia" w:hAnsiTheme="minorEastAsia" w:eastAsiaTheme="minorEastAsia"/>
        </w:rPr>
        <w:t>缺陷责任期</w:t>
      </w:r>
      <w:r>
        <w:rPr>
          <w:rFonts w:hint="eastAsia" w:asciiTheme="minorEastAsia" w:hAnsiTheme="minorEastAsia" w:eastAsiaTheme="minorEastAsia"/>
        </w:rPr>
        <w:t>届</w:t>
      </w:r>
      <w:r>
        <w:rPr>
          <w:rFonts w:asciiTheme="minorEastAsia" w:hAnsiTheme="minorEastAsia" w:eastAsiaTheme="minorEastAsia"/>
        </w:rPr>
        <w:t>满</w:t>
      </w:r>
      <w:r>
        <w:rPr>
          <w:rFonts w:hint="eastAsia" w:asciiTheme="minorEastAsia" w:hAnsiTheme="minorEastAsia" w:eastAsiaTheme="minorEastAsia"/>
        </w:rPr>
        <w:t>通知后</w:t>
      </w:r>
      <w:r>
        <w:rPr>
          <w:rFonts w:asciiTheme="minorEastAsia" w:hAnsiTheme="minorEastAsia" w:eastAsiaTheme="minorEastAsia"/>
        </w:rPr>
        <w:t>14天内，向承包人颁发缺陷责任期终止证</w:t>
      </w:r>
      <w:r>
        <w:rPr>
          <w:rFonts w:hint="eastAsia" w:asciiTheme="minorEastAsia" w:hAnsiTheme="minorEastAsia" w:eastAsiaTheme="minorEastAsia"/>
        </w:rPr>
        <w:t>书</w:t>
      </w:r>
      <w:r>
        <w:rPr>
          <w:rFonts w:asciiTheme="minorEastAsia" w:hAnsiTheme="minorEastAsia" w:eastAsiaTheme="minorEastAsia"/>
        </w:rPr>
        <w:t>。</w:t>
      </w:r>
    </w:p>
    <w:p>
      <w:pPr>
        <w:rPr>
          <w:rFonts w:asciiTheme="minorEastAsia" w:hAnsiTheme="minorEastAsia" w:eastAsiaTheme="minorEastAsia"/>
          <w:bCs/>
        </w:rPr>
      </w:pPr>
      <w:bookmarkStart w:id="480" w:name="_Toc351203601"/>
      <w:bookmarkStart w:id="481" w:name="_Toc337558818"/>
      <w:bookmarkStart w:id="482" w:name="_Toc296346616"/>
      <w:bookmarkStart w:id="483" w:name="_Toc296503115"/>
      <w:r>
        <w:rPr>
          <w:rFonts w:asciiTheme="minorEastAsia" w:hAnsiTheme="minorEastAsia" w:eastAsiaTheme="minorEastAsia"/>
          <w:bCs/>
        </w:rPr>
        <w:t>15.3 质量保证金</w:t>
      </w:r>
      <w:bookmarkEnd w:id="480"/>
    </w:p>
    <w:bookmarkEnd w:id="481"/>
    <w:p>
      <w:pPr>
        <w:rPr>
          <w:rFonts w:asciiTheme="minorEastAsia" w:hAnsiTheme="minorEastAsia" w:eastAsiaTheme="minorEastAsia"/>
        </w:rPr>
      </w:pPr>
      <w:r>
        <w:rPr>
          <w:rFonts w:hint="eastAsia" w:asciiTheme="minorEastAsia" w:hAnsiTheme="minorEastAsia" w:eastAsiaTheme="minorEastAsia"/>
        </w:rPr>
        <w:t>经合同当事人协商一致扣留质量保证金的，应在专用合同条款中予以明确。</w:t>
      </w:r>
    </w:p>
    <w:p>
      <w:pPr>
        <w:rPr>
          <w:rFonts w:asciiTheme="minorEastAsia" w:hAnsiTheme="minorEastAsia" w:eastAsiaTheme="minorEastAsia"/>
        </w:rPr>
      </w:pPr>
    </w:p>
    <w:p>
      <w:pPr>
        <w:rPr>
          <w:rFonts w:asciiTheme="minorEastAsia" w:hAnsiTheme="minorEastAsia" w:eastAsiaTheme="minorEastAsia"/>
        </w:rPr>
      </w:pPr>
      <w:r>
        <w:rPr>
          <w:rFonts w:asciiTheme="minorEastAsia" w:hAnsiTheme="minorEastAsia" w:eastAsiaTheme="minorEastAsia"/>
        </w:rPr>
        <w:t xml:space="preserve">15.3.1 </w:t>
      </w:r>
      <w:r>
        <w:rPr>
          <w:rFonts w:hint="eastAsia" w:asciiTheme="minorEastAsia" w:hAnsiTheme="minorEastAsia" w:eastAsiaTheme="minorEastAsia"/>
        </w:rPr>
        <w:t>承包人提供</w:t>
      </w:r>
      <w:r>
        <w:rPr>
          <w:rFonts w:asciiTheme="minorEastAsia" w:hAnsiTheme="minorEastAsia" w:eastAsiaTheme="minorEastAsia"/>
        </w:rPr>
        <w:t>质量保证金的</w:t>
      </w:r>
      <w:r>
        <w:rPr>
          <w:rFonts w:hint="eastAsia" w:asciiTheme="minorEastAsia" w:hAnsiTheme="minorEastAsia" w:eastAsiaTheme="minorEastAsia"/>
        </w:rPr>
        <w:t>方</w:t>
      </w:r>
      <w:r>
        <w:rPr>
          <w:rFonts w:asciiTheme="minorEastAsia" w:hAnsiTheme="minorEastAsia" w:eastAsiaTheme="minorEastAsia"/>
        </w:rPr>
        <w:t>式</w:t>
      </w:r>
    </w:p>
    <w:p>
      <w:pPr>
        <w:rPr>
          <w:rFonts w:asciiTheme="minorEastAsia" w:hAnsiTheme="minorEastAsia" w:eastAsiaTheme="minorEastAsia"/>
        </w:rPr>
      </w:pPr>
      <w:r>
        <w:rPr>
          <w:rFonts w:hint="eastAsia" w:asciiTheme="minorEastAsia" w:hAnsiTheme="minorEastAsia" w:eastAsiaTheme="minorEastAsia"/>
        </w:rPr>
        <w:t>承包人提供</w:t>
      </w:r>
      <w:r>
        <w:rPr>
          <w:rFonts w:asciiTheme="minorEastAsia" w:hAnsiTheme="minorEastAsia" w:eastAsiaTheme="minorEastAsia"/>
        </w:rPr>
        <w:t>质量保证金</w:t>
      </w:r>
      <w:r>
        <w:rPr>
          <w:rFonts w:hint="eastAsia" w:asciiTheme="minorEastAsia" w:hAnsiTheme="minorEastAsia" w:eastAsiaTheme="minorEastAsia"/>
        </w:rPr>
        <w:t>有</w:t>
      </w:r>
      <w:r>
        <w:rPr>
          <w:rFonts w:asciiTheme="minorEastAsia" w:hAnsiTheme="minorEastAsia" w:eastAsiaTheme="minorEastAsia"/>
        </w:rPr>
        <w:t>以下</w:t>
      </w:r>
      <w:r>
        <w:rPr>
          <w:rFonts w:hint="eastAsia" w:asciiTheme="minorEastAsia" w:hAnsiTheme="minorEastAsia" w:eastAsiaTheme="minorEastAsia"/>
        </w:rPr>
        <w:t>三种方</w:t>
      </w:r>
      <w:r>
        <w:rPr>
          <w:rFonts w:asciiTheme="minorEastAsia" w:hAnsiTheme="minorEastAsia" w:eastAsiaTheme="minorEastAsia"/>
        </w:rPr>
        <w:t>式：</w:t>
      </w:r>
    </w:p>
    <w:p>
      <w:pPr>
        <w:rPr>
          <w:rFonts w:asciiTheme="minorEastAsia" w:hAnsiTheme="minorEastAsia" w:eastAsiaTheme="minorEastAsia"/>
        </w:rPr>
      </w:pPr>
      <w:r>
        <w:rPr>
          <w:rFonts w:asciiTheme="minorEastAsia" w:hAnsiTheme="minorEastAsia" w:eastAsiaTheme="minorEastAsia"/>
        </w:rPr>
        <w:t xml:space="preserve">（1）质量保证金保函； </w:t>
      </w:r>
    </w:p>
    <w:p>
      <w:pPr>
        <w:rPr>
          <w:rFonts w:asciiTheme="minorEastAsia" w:hAnsiTheme="minorEastAsia" w:eastAsiaTheme="minorEastAsia"/>
        </w:rPr>
      </w:pPr>
      <w:r>
        <w:rPr>
          <w:rFonts w:hint="eastAsia" w:asciiTheme="minorEastAsia" w:hAnsiTheme="minorEastAsia" w:eastAsiaTheme="minorEastAsia"/>
        </w:rPr>
        <w:t>（</w:t>
      </w:r>
      <w:r>
        <w:rPr>
          <w:rFonts w:asciiTheme="minorEastAsia" w:hAnsiTheme="minorEastAsia" w:eastAsiaTheme="minorEastAsia"/>
        </w:rPr>
        <w:t>2）相应比例的工程款；</w:t>
      </w:r>
    </w:p>
    <w:p>
      <w:pPr>
        <w:rPr>
          <w:rFonts w:asciiTheme="minorEastAsia" w:hAnsiTheme="minorEastAsia" w:eastAsiaTheme="minorEastAsia"/>
        </w:rPr>
      </w:pPr>
      <w:r>
        <w:rPr>
          <w:rFonts w:asciiTheme="minorEastAsia" w:hAnsiTheme="minorEastAsia" w:eastAsiaTheme="minorEastAsia"/>
        </w:rPr>
        <w:t>（3）双方约定的其他</w:t>
      </w:r>
      <w:r>
        <w:rPr>
          <w:rFonts w:hint="eastAsia" w:asciiTheme="minorEastAsia" w:hAnsiTheme="minorEastAsia" w:eastAsiaTheme="minorEastAsia"/>
        </w:rPr>
        <w:t>方</w:t>
      </w:r>
      <w:r>
        <w:rPr>
          <w:rFonts w:asciiTheme="minorEastAsia" w:hAnsiTheme="minorEastAsia" w:eastAsiaTheme="minorEastAsia"/>
        </w:rPr>
        <w:t>式。</w:t>
      </w:r>
    </w:p>
    <w:p>
      <w:pPr>
        <w:rPr>
          <w:rFonts w:asciiTheme="minorEastAsia" w:hAnsiTheme="minorEastAsia" w:eastAsiaTheme="minorEastAsia"/>
        </w:rPr>
      </w:pPr>
      <w:r>
        <w:rPr>
          <w:rFonts w:asciiTheme="minorEastAsia" w:hAnsiTheme="minorEastAsia" w:eastAsiaTheme="minorEastAsia"/>
        </w:rPr>
        <w:t>除专用合同条款另有约定外，质量保证金</w:t>
      </w:r>
      <w:r>
        <w:rPr>
          <w:rFonts w:hint="eastAsia" w:asciiTheme="minorEastAsia" w:hAnsiTheme="minorEastAsia" w:eastAsiaTheme="minorEastAsia"/>
        </w:rPr>
        <w:t>原则上</w:t>
      </w:r>
      <w:r>
        <w:rPr>
          <w:rFonts w:asciiTheme="minorEastAsia" w:hAnsiTheme="minorEastAsia" w:eastAsiaTheme="minorEastAsia"/>
        </w:rPr>
        <w:t>采</w:t>
      </w:r>
      <w:r>
        <w:rPr>
          <w:rFonts w:hint="eastAsia" w:asciiTheme="minorEastAsia" w:hAnsiTheme="minorEastAsia" w:eastAsiaTheme="minorEastAsia"/>
        </w:rPr>
        <w:t>用上述</w:t>
      </w:r>
      <w:r>
        <w:rPr>
          <w:rFonts w:asciiTheme="minorEastAsia" w:hAnsiTheme="minorEastAsia" w:eastAsiaTheme="minorEastAsia"/>
        </w:rPr>
        <w:t>第（1）种</w:t>
      </w:r>
      <w:r>
        <w:rPr>
          <w:rFonts w:hint="eastAsia" w:asciiTheme="minorEastAsia" w:hAnsiTheme="minorEastAsia" w:eastAsiaTheme="minorEastAsia"/>
        </w:rPr>
        <w:t>方式。</w:t>
      </w:r>
    </w:p>
    <w:p>
      <w:pPr>
        <w:rPr>
          <w:rFonts w:asciiTheme="minorEastAsia" w:hAnsiTheme="minorEastAsia" w:eastAsiaTheme="minorEastAsia"/>
        </w:rPr>
      </w:pPr>
      <w:r>
        <w:rPr>
          <w:rFonts w:asciiTheme="minorEastAsia" w:hAnsiTheme="minorEastAsia" w:eastAsiaTheme="minorEastAsia"/>
        </w:rPr>
        <w:t>15.3.2 质量保证金的扣留</w:t>
      </w:r>
    </w:p>
    <w:p>
      <w:pPr>
        <w:rPr>
          <w:rFonts w:asciiTheme="minorEastAsia" w:hAnsiTheme="minorEastAsia" w:eastAsiaTheme="minorEastAsia"/>
        </w:rPr>
      </w:pPr>
      <w:r>
        <w:rPr>
          <w:rFonts w:asciiTheme="minorEastAsia" w:hAnsiTheme="minorEastAsia" w:eastAsiaTheme="minorEastAsia"/>
        </w:rPr>
        <w:t>质量保证金</w:t>
      </w:r>
      <w:r>
        <w:rPr>
          <w:rFonts w:hint="eastAsia" w:asciiTheme="minorEastAsia" w:hAnsiTheme="minorEastAsia" w:eastAsiaTheme="minorEastAsia"/>
        </w:rPr>
        <w:t>的</w:t>
      </w:r>
      <w:r>
        <w:rPr>
          <w:rFonts w:asciiTheme="minorEastAsia" w:hAnsiTheme="minorEastAsia" w:eastAsiaTheme="minorEastAsia"/>
        </w:rPr>
        <w:t>扣留</w:t>
      </w:r>
      <w:r>
        <w:rPr>
          <w:rFonts w:hint="eastAsia" w:asciiTheme="minorEastAsia" w:hAnsiTheme="minorEastAsia" w:eastAsiaTheme="minorEastAsia"/>
        </w:rPr>
        <w:t>有</w:t>
      </w:r>
      <w:r>
        <w:rPr>
          <w:rFonts w:asciiTheme="minorEastAsia" w:hAnsiTheme="minorEastAsia" w:eastAsiaTheme="minorEastAsia"/>
        </w:rPr>
        <w:t>以下</w:t>
      </w:r>
      <w:r>
        <w:rPr>
          <w:rFonts w:hint="eastAsia" w:asciiTheme="minorEastAsia" w:hAnsiTheme="minorEastAsia" w:eastAsiaTheme="minorEastAsia"/>
        </w:rPr>
        <w:t>三</w:t>
      </w:r>
      <w:r>
        <w:rPr>
          <w:rFonts w:asciiTheme="minorEastAsia" w:hAnsiTheme="minorEastAsia" w:eastAsiaTheme="minorEastAsia"/>
        </w:rPr>
        <w:t>种</w:t>
      </w:r>
      <w:r>
        <w:rPr>
          <w:rFonts w:hint="eastAsia" w:asciiTheme="minorEastAsia" w:hAnsiTheme="minorEastAsia" w:eastAsiaTheme="minorEastAsia"/>
        </w:rPr>
        <w:t>方式</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（1）在支付工程进度款时逐次扣留，在此情形下，质量保证金的计算基数不包括预付款的支付、扣回以及价格调整的金额；</w:t>
      </w:r>
    </w:p>
    <w:p>
      <w:pPr>
        <w:rPr>
          <w:rFonts w:asciiTheme="minorEastAsia" w:hAnsiTheme="minorEastAsia" w:eastAsiaTheme="minorEastAsia"/>
        </w:rPr>
      </w:pPr>
      <w:r>
        <w:rPr>
          <w:rFonts w:asciiTheme="minorEastAsia" w:hAnsiTheme="minorEastAsia" w:eastAsiaTheme="minorEastAsia"/>
        </w:rPr>
        <w:t>（2）工程竣工结算时一次性扣留质量保证金；</w:t>
      </w:r>
    </w:p>
    <w:p>
      <w:pPr>
        <w:rPr>
          <w:rFonts w:asciiTheme="minorEastAsia" w:hAnsiTheme="minorEastAsia" w:eastAsiaTheme="minorEastAsia"/>
        </w:rPr>
      </w:pPr>
      <w:r>
        <w:rPr>
          <w:rFonts w:asciiTheme="minorEastAsia" w:hAnsiTheme="minorEastAsia" w:eastAsiaTheme="minorEastAsia"/>
        </w:rPr>
        <w:t>（3）双方约定的其他扣留方式。</w:t>
      </w:r>
    </w:p>
    <w:p>
      <w:pPr>
        <w:rPr>
          <w:rFonts w:asciiTheme="minorEastAsia" w:hAnsiTheme="minorEastAsia" w:eastAsiaTheme="minorEastAsia"/>
        </w:rPr>
      </w:pPr>
      <w:r>
        <w:rPr>
          <w:rFonts w:asciiTheme="minorEastAsia" w:hAnsiTheme="minorEastAsia" w:eastAsiaTheme="minorEastAsia"/>
        </w:rPr>
        <w:t>除专用合同条款另有约定外，质量保证金</w:t>
      </w:r>
      <w:r>
        <w:rPr>
          <w:rFonts w:hint="eastAsia" w:asciiTheme="minorEastAsia" w:hAnsiTheme="minorEastAsia" w:eastAsiaTheme="minorEastAsia"/>
        </w:rPr>
        <w:t>的</w:t>
      </w:r>
      <w:r>
        <w:rPr>
          <w:rFonts w:asciiTheme="minorEastAsia" w:hAnsiTheme="minorEastAsia" w:eastAsiaTheme="minorEastAsia"/>
        </w:rPr>
        <w:t>扣留</w:t>
      </w:r>
      <w:r>
        <w:rPr>
          <w:rFonts w:hint="eastAsia" w:asciiTheme="minorEastAsia" w:hAnsiTheme="minorEastAsia" w:eastAsiaTheme="minorEastAsia"/>
        </w:rPr>
        <w:t>原则上</w:t>
      </w:r>
      <w:r>
        <w:rPr>
          <w:rFonts w:asciiTheme="minorEastAsia" w:hAnsiTheme="minorEastAsia" w:eastAsiaTheme="minorEastAsia"/>
        </w:rPr>
        <w:t>采</w:t>
      </w:r>
      <w:r>
        <w:rPr>
          <w:rFonts w:hint="eastAsia" w:asciiTheme="minorEastAsia" w:hAnsiTheme="minorEastAsia" w:eastAsiaTheme="minorEastAsia"/>
        </w:rPr>
        <w:t>用上述</w:t>
      </w:r>
      <w:r>
        <w:rPr>
          <w:rFonts w:asciiTheme="minorEastAsia" w:hAnsiTheme="minorEastAsia" w:eastAsiaTheme="minorEastAsia"/>
        </w:rPr>
        <w:t>第（1）种方式</w:t>
      </w:r>
      <w:r>
        <w:rPr>
          <w:rFonts w:hint="eastAsia"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发包人累计扣留的质量保证金不得超过</w:t>
      </w:r>
      <w:r>
        <w:rPr>
          <w:rFonts w:hint="eastAsia" w:asciiTheme="minorEastAsia" w:hAnsiTheme="minorEastAsia" w:eastAsiaTheme="minorEastAsia"/>
        </w:rPr>
        <w:t>工程价款结算总额</w:t>
      </w:r>
      <w:r>
        <w:rPr>
          <w:rFonts w:asciiTheme="minorEastAsia" w:hAnsiTheme="minorEastAsia" w:eastAsiaTheme="minorEastAsia"/>
        </w:rPr>
        <w:t>的3%</w:t>
      </w:r>
      <w:r>
        <w:rPr>
          <w:rFonts w:hint="eastAsia" w:asciiTheme="minorEastAsia" w:hAnsiTheme="minorEastAsia" w:eastAsiaTheme="minorEastAsia"/>
        </w:rPr>
        <w:t>。如</w:t>
      </w:r>
      <w:r>
        <w:rPr>
          <w:rFonts w:asciiTheme="minorEastAsia" w:hAnsiTheme="minorEastAsia" w:eastAsiaTheme="minorEastAsia"/>
        </w:rPr>
        <w:t>承包人在发包人签发竣工付款证书后28天内提交质量保证金保函，发包人应同时退还扣留的作为质量保证金的工程价款</w:t>
      </w:r>
      <w:r>
        <w:rPr>
          <w:rFonts w:hint="eastAsia" w:asciiTheme="minorEastAsia" w:hAnsiTheme="minorEastAsia" w:eastAsiaTheme="minorEastAsia"/>
        </w:rPr>
        <w:t>；保函金额不得超过工程价款结算总额的3%</w:t>
      </w:r>
      <w:r>
        <w:rPr>
          <w:rFonts w:asciiTheme="minorEastAsia" w:hAnsiTheme="minorEastAsia" w:eastAsiaTheme="minorEastAsia"/>
        </w:rPr>
        <w:t>。</w:t>
      </w:r>
    </w:p>
    <w:p>
      <w:pPr>
        <w:rPr>
          <w:rFonts w:asciiTheme="minorEastAsia" w:hAnsiTheme="minorEastAsia" w:eastAsiaTheme="minorEastAsia"/>
        </w:rPr>
      </w:pPr>
      <w:r>
        <w:rPr>
          <w:rFonts w:hint="eastAsia" w:asciiTheme="minorEastAsia" w:hAnsiTheme="minorEastAsia" w:eastAsiaTheme="minorEastAsia"/>
        </w:rPr>
        <w:t>发包人在退还质量保证金的同时</w:t>
      </w:r>
      <w:r>
        <w:rPr>
          <w:rFonts w:asciiTheme="minorEastAsia" w:hAnsiTheme="minorEastAsia" w:eastAsiaTheme="minorEastAsia"/>
        </w:rPr>
        <w:t>按照中国人民银行发布的同期同类贷款基准利率支付</w:t>
      </w:r>
      <w:r>
        <w:rPr>
          <w:rFonts w:hint="eastAsia" w:asciiTheme="minorEastAsia" w:hAnsiTheme="minorEastAsia" w:eastAsiaTheme="minorEastAsia"/>
        </w:rPr>
        <w:t>利息。</w:t>
      </w:r>
    </w:p>
    <w:p>
      <w:pPr>
        <w:rPr>
          <w:rFonts w:asciiTheme="minorEastAsia" w:hAnsiTheme="minorEastAsia" w:eastAsiaTheme="minorEastAsia"/>
        </w:rPr>
      </w:pPr>
      <w:r>
        <w:rPr>
          <w:rFonts w:asciiTheme="minorEastAsia" w:hAnsiTheme="minorEastAsia" w:eastAsiaTheme="minorEastAsia"/>
        </w:rPr>
        <w:t>15.3.3 质量保证金的退还</w:t>
      </w:r>
    </w:p>
    <w:p>
      <w:pPr>
        <w:rPr>
          <w:rFonts w:asciiTheme="minorEastAsia" w:hAnsiTheme="minorEastAsia" w:eastAsiaTheme="minorEastAsia"/>
        </w:rPr>
      </w:pPr>
      <w:r>
        <w:rPr>
          <w:rFonts w:hint="eastAsia" w:asciiTheme="minorEastAsia" w:hAnsiTheme="minorEastAsia" w:eastAsiaTheme="minorEastAsia"/>
        </w:rPr>
        <w:t>缺陷责任期内，承包人认真履行合同约定的责任，到期后，承包人可向发包人申请返还保证金。</w:t>
      </w:r>
    </w:p>
    <w:p>
      <w:pPr>
        <w:rPr>
          <w:rFonts w:asciiTheme="minorEastAsia" w:hAnsiTheme="minorEastAsia" w:eastAsiaTheme="minorEastAsia"/>
        </w:rPr>
      </w:pPr>
      <w:r>
        <w:rPr>
          <w:rFonts w:hint="eastAsia" w:asciiTheme="minorEastAsia" w:hAnsiTheme="minorEastAsia" w:eastAsiaTheme="minorEastAsia"/>
        </w:rPr>
        <w:t>发包人在接到承包人返还保证金申请后，应于14天内会同承包人按照合同约定的内容进行核实。如无异议，发包人应当按照约定将保证金返还给承包人。对返还期限没有约定或者约定不明确的，发包人应当在核实后14天内将保证金返还承包人，逾期未返还的，依法承担违约责任。发包人在接到承包人返还保证金申请后14天内不予答复，经催告后14天内仍不予答复，视同认可承包人的返还保证金申请。</w:t>
      </w:r>
    </w:p>
    <w:p>
      <w:pPr>
        <w:rPr>
          <w:rFonts w:asciiTheme="minorEastAsia" w:hAnsiTheme="minorEastAsia" w:eastAsiaTheme="minorEastAsia"/>
        </w:rPr>
      </w:pPr>
      <w:r>
        <w:rPr>
          <w:rFonts w:hint="eastAsia" w:asciiTheme="minorEastAsia" w:hAnsiTheme="minorEastAsia" w:eastAsiaTheme="minorEastAsia"/>
        </w:rPr>
        <w:t>发包人和承包人对保证金预留、返还以及工程维修质量、费用有争议的，按本合同第20条约定的争议和纠纷解决程序处理</w:t>
      </w:r>
      <w:r>
        <w:rPr>
          <w:rFonts w:asciiTheme="minorEastAsia" w:hAnsiTheme="minorEastAsia" w:eastAsiaTheme="minorEastAsia"/>
        </w:rPr>
        <w:t>。</w:t>
      </w:r>
    </w:p>
    <w:p>
      <w:pPr>
        <w:rPr>
          <w:rFonts w:asciiTheme="minorEastAsia" w:hAnsiTheme="minorEastAsia" w:eastAsiaTheme="minorEastAsia"/>
          <w:bCs/>
        </w:rPr>
      </w:pPr>
      <w:bookmarkStart w:id="484" w:name="_Toc351203602"/>
      <w:bookmarkStart w:id="485" w:name="_Toc337558819"/>
      <w:r>
        <w:rPr>
          <w:rFonts w:asciiTheme="minorEastAsia" w:hAnsiTheme="minorEastAsia" w:eastAsiaTheme="minorEastAsia"/>
          <w:bCs/>
        </w:rPr>
        <w:t>15.4 保修</w:t>
      </w:r>
      <w:bookmarkEnd w:id="484"/>
    </w:p>
    <w:bookmarkEnd w:id="482"/>
    <w:bookmarkEnd w:id="483"/>
    <w:bookmarkEnd w:id="485"/>
    <w:p>
      <w:pPr>
        <w:rPr>
          <w:rFonts w:asciiTheme="minorEastAsia" w:hAnsiTheme="minorEastAsia" w:eastAsiaTheme="minorEastAsia"/>
        </w:rPr>
      </w:pPr>
      <w:r>
        <w:rPr>
          <w:rFonts w:asciiTheme="minorEastAsia" w:hAnsiTheme="minorEastAsia" w:eastAsiaTheme="minorEastAsia"/>
        </w:rPr>
        <w:t>15.4.1保修责任</w:t>
      </w:r>
    </w:p>
    <w:p>
      <w:pPr>
        <w:rPr>
          <w:rFonts w:asciiTheme="minorEastAsia" w:hAnsiTheme="minorEastAsia" w:eastAsiaTheme="minorEastAsia"/>
        </w:rPr>
      </w:pPr>
      <w:r>
        <w:rPr>
          <w:rFonts w:asciiTheme="minorEastAsia" w:hAnsiTheme="minorEastAsia" w:eastAsiaTheme="minorEastAsia"/>
        </w:rPr>
        <w:t>工程保修期从工程竣工验收合格之日起算，具体分部分项工程的保修期由合同当事人在专用合同条款中约定，但不得低于法定最低保修年限。在工程保修期内，承包人应当根据有关法律规定以及合同约定承担保修责任。</w:t>
      </w:r>
    </w:p>
    <w:p>
      <w:pPr>
        <w:rPr>
          <w:rFonts w:asciiTheme="minorEastAsia" w:hAnsiTheme="minorEastAsia" w:eastAsiaTheme="minorEastAsia"/>
        </w:rPr>
      </w:pPr>
      <w:r>
        <w:rPr>
          <w:rFonts w:asciiTheme="minorEastAsia" w:hAnsiTheme="minorEastAsia" w:eastAsiaTheme="minorEastAsia"/>
        </w:rPr>
        <w:t>发包人未经竣工验收擅自使用工程的，保修期自转移占有之日起算。</w:t>
      </w:r>
    </w:p>
    <w:p>
      <w:pPr>
        <w:rPr>
          <w:rFonts w:asciiTheme="minorEastAsia" w:hAnsiTheme="minorEastAsia" w:eastAsiaTheme="minorEastAsia"/>
        </w:rPr>
      </w:pPr>
      <w:r>
        <w:rPr>
          <w:rFonts w:asciiTheme="minorEastAsia" w:hAnsiTheme="minorEastAsia" w:eastAsiaTheme="minorEastAsia"/>
        </w:rPr>
        <w:t>15.4.2 修复费用</w:t>
      </w:r>
    </w:p>
    <w:p>
      <w:pPr>
        <w:rPr>
          <w:rFonts w:asciiTheme="minorEastAsia" w:hAnsiTheme="minorEastAsia" w:eastAsiaTheme="minorEastAsia"/>
        </w:rPr>
      </w:pPr>
      <w:r>
        <w:rPr>
          <w:rFonts w:asciiTheme="minorEastAsia" w:hAnsiTheme="minorEastAsia" w:eastAsiaTheme="minorEastAsia"/>
        </w:rPr>
        <w:t>保修期内，修复的费用按照以下约定处理：</w:t>
      </w:r>
    </w:p>
    <w:p>
      <w:pPr>
        <w:rPr>
          <w:rFonts w:asciiTheme="minorEastAsia" w:hAnsiTheme="minorEastAsia" w:eastAsiaTheme="minorEastAsia"/>
        </w:rPr>
      </w:pPr>
      <w:r>
        <w:rPr>
          <w:rFonts w:asciiTheme="minorEastAsia" w:hAnsiTheme="minorEastAsia" w:eastAsiaTheme="minorEastAsia"/>
        </w:rPr>
        <w:t>（1）保修期内，因承包人原因造成工程的缺陷、损坏，承包人应负责修复，并承担修复的费用以及因工程的缺陷、损坏造成的人身伤害和财产损失；</w:t>
      </w:r>
    </w:p>
    <w:p>
      <w:pPr>
        <w:rPr>
          <w:rFonts w:asciiTheme="minorEastAsia" w:hAnsiTheme="minorEastAsia" w:eastAsiaTheme="minorEastAsia"/>
        </w:rPr>
      </w:pPr>
      <w:r>
        <w:rPr>
          <w:rFonts w:asciiTheme="minorEastAsia" w:hAnsiTheme="minorEastAsia" w:eastAsiaTheme="minorEastAsia"/>
        </w:rPr>
        <w:t>（2）保修期内，因发包人使用不当造成工程的缺陷、损坏，可以委托承包人修复，但发包人应承担修复的费用，并支付承包人合理利润；</w:t>
      </w:r>
    </w:p>
    <w:p>
      <w:pPr>
        <w:rPr>
          <w:rFonts w:asciiTheme="minorEastAsia" w:hAnsiTheme="minorEastAsia" w:eastAsiaTheme="minorEastAsia"/>
        </w:rPr>
      </w:pPr>
      <w:r>
        <w:rPr>
          <w:rFonts w:asciiTheme="minorEastAsia" w:hAnsiTheme="minorEastAsia" w:eastAsiaTheme="minorEastAsia"/>
        </w:rPr>
        <w:t>（3）因其他原因造成工程的缺陷、损坏，可以委托承包人修复，发包人应承担修复的费用，并支付承包人合理的利润，因工程的缺陷、损坏造成的人身伤害和财产损失由责任方承担。</w:t>
      </w:r>
    </w:p>
    <w:p>
      <w:pPr>
        <w:rPr>
          <w:rFonts w:asciiTheme="minorEastAsia" w:hAnsiTheme="minorEastAsia" w:eastAsiaTheme="minorEastAsia"/>
        </w:rPr>
      </w:pPr>
      <w:r>
        <w:rPr>
          <w:rFonts w:asciiTheme="minorEastAsia" w:hAnsiTheme="minorEastAsia" w:eastAsiaTheme="minorEastAsia"/>
        </w:rPr>
        <w:t>15.4.3 修复通知</w:t>
      </w:r>
    </w:p>
    <w:p>
      <w:pPr>
        <w:rPr>
          <w:rFonts w:asciiTheme="minorEastAsia" w:hAnsiTheme="minorEastAsia" w:eastAsiaTheme="minorEastAsia"/>
        </w:rPr>
      </w:pPr>
      <w:r>
        <w:rPr>
          <w:rFonts w:asciiTheme="minorEastAsia" w:hAnsiTheme="minorEastAsia" w:eastAsiaTheme="minorEastAsia"/>
        </w:rPr>
        <w:t>在保修期内，发包人在使用过程中，发现已接收的工程存在缺陷或损坏的，应书面通知承包人予以修复，但情况紧急必须立即修复缺陷或损坏的，发包人可以口头通知承包人并在口头通知后48小时内书面确认，承包人应在专用合同条款约定的合理期限内到达工程现场并修复缺陷或损坏。</w:t>
      </w:r>
    </w:p>
    <w:p>
      <w:pPr>
        <w:rPr>
          <w:rFonts w:asciiTheme="minorEastAsia" w:hAnsiTheme="minorEastAsia" w:eastAsiaTheme="minorEastAsia"/>
        </w:rPr>
      </w:pPr>
      <w:r>
        <w:rPr>
          <w:rFonts w:asciiTheme="minorEastAsia" w:hAnsiTheme="minorEastAsia" w:eastAsiaTheme="minorEastAsia"/>
        </w:rPr>
        <w:t>15.4.4 未能修复</w:t>
      </w:r>
    </w:p>
    <w:p>
      <w:pPr>
        <w:rPr>
          <w:rFonts w:asciiTheme="minorEastAsia" w:hAnsiTheme="minorEastAsia" w:eastAsiaTheme="minorEastAsia"/>
        </w:rPr>
      </w:pPr>
      <w:r>
        <w:rPr>
          <w:rFonts w:asciiTheme="minorEastAsia" w:hAnsiTheme="minorEastAsia" w:eastAsiaTheme="minorEastAsia"/>
        </w:rPr>
        <w:t>因承包人原因造成工程的缺陷或损坏，承包人拒绝维修或未能在合理期限内修复缺陷或损坏，且经发包人书面催告后仍未修复的，发包人有权自行修复或委托第三方修复，所需费用由承包人承担。</w:t>
      </w:r>
      <w:r>
        <w:rPr>
          <w:rFonts w:hint="eastAsia" w:asciiTheme="minorEastAsia" w:hAnsiTheme="minorEastAsia" w:eastAsiaTheme="minorEastAsia"/>
        </w:rPr>
        <w:t>但修复范围超出缺陷或损坏范围的，超出范围部分的修复费用由发包人承担。</w:t>
      </w:r>
    </w:p>
    <w:p>
      <w:pPr>
        <w:rPr>
          <w:rFonts w:asciiTheme="minorEastAsia" w:hAnsiTheme="minorEastAsia" w:eastAsiaTheme="minorEastAsia"/>
        </w:rPr>
      </w:pPr>
      <w:r>
        <w:rPr>
          <w:rFonts w:asciiTheme="minorEastAsia" w:hAnsiTheme="minorEastAsia" w:eastAsiaTheme="minorEastAsia"/>
        </w:rPr>
        <w:t>15.4.5 承包人出入权</w:t>
      </w:r>
    </w:p>
    <w:p>
      <w:pPr>
        <w:rPr>
          <w:rFonts w:asciiTheme="minorEastAsia" w:hAnsiTheme="minorEastAsia" w:eastAsiaTheme="minorEastAsia"/>
        </w:rPr>
      </w:pPr>
      <w:r>
        <w:rPr>
          <w:rFonts w:asciiTheme="minorEastAsia" w:hAnsiTheme="minorEastAsia" w:eastAsiaTheme="minorEastAsia"/>
        </w:rPr>
        <w:t>在保修期内，为了修复缺陷或损坏，承包人有权出入工程现场，除情况紧急必须立即修复缺陷或损坏外，承包人应提前24小时通知发包人进场修复的时间。承包人进入工程现场前应获得发包人同意，且不应影响发包人正常的生产经营，并应遵守发包人有关保安和保密等规定。</w:t>
      </w:r>
    </w:p>
    <w:p>
      <w:pPr>
        <w:rPr>
          <w:rFonts w:asciiTheme="minorEastAsia" w:hAnsiTheme="minorEastAsia" w:eastAsiaTheme="minorEastAsia"/>
          <w:bCs/>
        </w:rPr>
      </w:pPr>
      <w:bookmarkStart w:id="486" w:name="_Toc351203603"/>
      <w:bookmarkStart w:id="487" w:name="_Toc337558820"/>
      <w:r>
        <w:rPr>
          <w:rFonts w:asciiTheme="minorEastAsia" w:hAnsiTheme="minorEastAsia" w:eastAsiaTheme="minorEastAsia"/>
          <w:bCs/>
        </w:rPr>
        <w:t>16. 违约</w:t>
      </w:r>
      <w:bookmarkEnd w:id="486"/>
    </w:p>
    <w:bookmarkEnd w:id="487"/>
    <w:p>
      <w:pPr>
        <w:rPr>
          <w:rFonts w:asciiTheme="minorEastAsia" w:hAnsiTheme="minorEastAsia" w:eastAsiaTheme="minorEastAsia"/>
          <w:bCs/>
        </w:rPr>
      </w:pPr>
      <w:bookmarkStart w:id="488" w:name="_Toc296346630"/>
      <w:bookmarkStart w:id="489" w:name="_Toc296503129"/>
      <w:bookmarkStart w:id="490" w:name="_Toc351203604"/>
      <w:bookmarkStart w:id="491" w:name="_Toc337558821"/>
      <w:r>
        <w:rPr>
          <w:rFonts w:asciiTheme="minorEastAsia" w:hAnsiTheme="minorEastAsia" w:eastAsiaTheme="minorEastAsia"/>
          <w:bCs/>
        </w:rPr>
        <w:t>16.1 发</w:t>
      </w:r>
      <w:bookmarkEnd w:id="488"/>
      <w:bookmarkEnd w:id="489"/>
      <w:r>
        <w:rPr>
          <w:rFonts w:asciiTheme="minorEastAsia" w:hAnsiTheme="minorEastAsia" w:eastAsiaTheme="minorEastAsia"/>
          <w:bCs/>
        </w:rPr>
        <w:t>包人违约</w:t>
      </w:r>
      <w:bookmarkEnd w:id="490"/>
    </w:p>
    <w:bookmarkEnd w:id="491"/>
    <w:p>
      <w:pPr>
        <w:rPr>
          <w:rFonts w:asciiTheme="minorEastAsia" w:hAnsiTheme="minorEastAsia" w:eastAsiaTheme="minorEastAsia"/>
        </w:rPr>
      </w:pPr>
      <w:r>
        <w:rPr>
          <w:rFonts w:asciiTheme="minorEastAsia" w:hAnsiTheme="minorEastAsia" w:eastAsiaTheme="minorEastAsia"/>
        </w:rPr>
        <w:t>16.1.1 发包人违约的情形</w:t>
      </w:r>
    </w:p>
    <w:p>
      <w:pPr>
        <w:rPr>
          <w:rFonts w:asciiTheme="minorEastAsia" w:hAnsiTheme="minorEastAsia" w:eastAsiaTheme="minorEastAsia"/>
        </w:rPr>
      </w:pPr>
      <w:r>
        <w:rPr>
          <w:rFonts w:asciiTheme="minorEastAsia" w:hAnsiTheme="minorEastAsia" w:eastAsiaTheme="minorEastAsia"/>
        </w:rPr>
        <w:t>在合同履行过程中发生的下列情形，属于发包人违约：</w:t>
      </w:r>
    </w:p>
    <w:p>
      <w:pPr>
        <w:rPr>
          <w:rFonts w:asciiTheme="minorEastAsia" w:hAnsiTheme="minorEastAsia" w:eastAsiaTheme="minorEastAsia"/>
        </w:rPr>
      </w:pPr>
      <w:r>
        <w:rPr>
          <w:rFonts w:asciiTheme="minorEastAsia" w:hAnsiTheme="minorEastAsia" w:eastAsiaTheme="minorEastAsia"/>
        </w:rPr>
        <w:t>（1）因发包人原因未能在计划开工日期前7天内下达开工通知的；</w:t>
      </w:r>
    </w:p>
    <w:p>
      <w:pPr>
        <w:rPr>
          <w:rFonts w:asciiTheme="minorEastAsia" w:hAnsiTheme="minorEastAsia" w:eastAsiaTheme="minorEastAsia"/>
        </w:rPr>
      </w:pPr>
      <w:r>
        <w:rPr>
          <w:rFonts w:asciiTheme="minorEastAsia" w:hAnsiTheme="minorEastAsia" w:eastAsiaTheme="minorEastAsia"/>
        </w:rPr>
        <w:t>（2）因发包人原因未能按合同约定支付合同价款的；</w:t>
      </w:r>
    </w:p>
    <w:p>
      <w:pPr>
        <w:rPr>
          <w:rFonts w:asciiTheme="minorEastAsia" w:hAnsiTheme="minorEastAsia" w:eastAsiaTheme="minorEastAsia"/>
        </w:rPr>
      </w:pPr>
      <w:r>
        <w:rPr>
          <w:rFonts w:asciiTheme="minorEastAsia" w:hAnsiTheme="minorEastAsia" w:eastAsiaTheme="minorEastAsia"/>
        </w:rPr>
        <w:t>（3）发包人违反第10.1款</w:t>
      </w:r>
      <w:r>
        <w:rPr>
          <w:rFonts w:hint="eastAsia" w:asciiTheme="minorEastAsia" w:hAnsiTheme="minorEastAsia" w:eastAsiaTheme="minorEastAsia"/>
        </w:rPr>
        <w:t>〔</w:t>
      </w:r>
      <w:r>
        <w:rPr>
          <w:rFonts w:asciiTheme="minorEastAsia" w:hAnsiTheme="minorEastAsia" w:eastAsiaTheme="minorEastAsia"/>
        </w:rPr>
        <w:t>变更的范围</w:t>
      </w:r>
      <w:r>
        <w:rPr>
          <w:rFonts w:hint="eastAsia" w:asciiTheme="minorEastAsia" w:hAnsiTheme="minorEastAsia" w:eastAsiaTheme="minorEastAsia"/>
        </w:rPr>
        <w:t>〕</w:t>
      </w:r>
      <w:r>
        <w:rPr>
          <w:rFonts w:asciiTheme="minorEastAsia" w:hAnsiTheme="minorEastAsia" w:eastAsiaTheme="minorEastAsia"/>
        </w:rPr>
        <w:t>第（2）项约定，自行实施被取消的工作或转由他人实施的；</w:t>
      </w:r>
    </w:p>
    <w:p>
      <w:pPr>
        <w:rPr>
          <w:rFonts w:asciiTheme="minorEastAsia" w:hAnsiTheme="minorEastAsia" w:eastAsiaTheme="minorEastAsia"/>
        </w:rPr>
      </w:pPr>
      <w:r>
        <w:rPr>
          <w:rFonts w:asciiTheme="minorEastAsia" w:hAnsiTheme="minorEastAsia" w:eastAsiaTheme="minorEastAsia"/>
        </w:rPr>
        <w:t>（4）发包人提供的材料、工程设备的规格、数量或质量不符合合同约定，或因发包人原因导致交货日期延误或交货地点变更等情况的；</w:t>
      </w:r>
    </w:p>
    <w:p>
      <w:pPr>
        <w:rPr>
          <w:rFonts w:asciiTheme="minorEastAsia" w:hAnsiTheme="minorEastAsia" w:eastAsiaTheme="minorEastAsia"/>
        </w:rPr>
      </w:pPr>
      <w:r>
        <w:rPr>
          <w:rFonts w:asciiTheme="minorEastAsia" w:hAnsiTheme="minorEastAsia" w:eastAsiaTheme="minorEastAsia"/>
        </w:rPr>
        <w:t>（5）因发包人违反合同约定造成暂停施工的；</w:t>
      </w:r>
    </w:p>
    <w:p>
      <w:pPr>
        <w:rPr>
          <w:rFonts w:asciiTheme="minorEastAsia" w:hAnsiTheme="minorEastAsia" w:eastAsiaTheme="minorEastAsia"/>
        </w:rPr>
      </w:pPr>
      <w:r>
        <w:rPr>
          <w:rFonts w:asciiTheme="minorEastAsia" w:hAnsiTheme="minorEastAsia" w:eastAsiaTheme="minorEastAsia"/>
        </w:rPr>
        <w:t>（6）发包人无正当理由没有在约定期限内发出复工指示，导致承包人无法复工的；</w:t>
      </w:r>
    </w:p>
    <w:p>
      <w:pPr>
        <w:rPr>
          <w:rFonts w:asciiTheme="minorEastAsia" w:hAnsiTheme="minorEastAsia" w:eastAsiaTheme="minorEastAsia"/>
        </w:rPr>
      </w:pPr>
      <w:r>
        <w:rPr>
          <w:rFonts w:asciiTheme="minorEastAsia" w:hAnsiTheme="minorEastAsia" w:eastAsiaTheme="minorEastAsia"/>
        </w:rPr>
        <w:t>（7）发包人明确表示或者以其行为表明不履行合同主要义务的；</w:t>
      </w:r>
    </w:p>
    <w:p>
      <w:pPr>
        <w:rPr>
          <w:rFonts w:asciiTheme="minorEastAsia" w:hAnsiTheme="minorEastAsia" w:eastAsiaTheme="minorEastAsia"/>
        </w:rPr>
      </w:pPr>
      <w:r>
        <w:rPr>
          <w:rFonts w:asciiTheme="minorEastAsia" w:hAnsiTheme="minorEastAsia" w:eastAsiaTheme="minorEastAsia"/>
        </w:rPr>
        <w:t>（8）发包人未能按照合同约定履行其他义务的。</w:t>
      </w:r>
    </w:p>
    <w:p>
      <w:pPr>
        <w:rPr>
          <w:rFonts w:asciiTheme="minorEastAsia" w:hAnsiTheme="minorEastAsia" w:eastAsiaTheme="minorEastAsia"/>
        </w:rPr>
      </w:pPr>
      <w:r>
        <w:rPr>
          <w:rFonts w:asciiTheme="minorEastAsia" w:hAnsiTheme="minorEastAsia" w:eastAsiaTheme="minorEastAsia"/>
        </w:rPr>
        <w:t>发包人发生除本项第（7）目以外的违约情况时，承包人可向发包人发出通知，要求发包人采取有效措施纠正违约行为。发包人收到承包人通知后28天内仍不纠正违约行为的，承包人有权暂停相应部位工程施工，并通知监理人。</w:t>
      </w:r>
    </w:p>
    <w:p>
      <w:pPr>
        <w:rPr>
          <w:rFonts w:asciiTheme="minorEastAsia" w:hAnsiTheme="minorEastAsia" w:eastAsiaTheme="minorEastAsia"/>
        </w:rPr>
      </w:pPr>
      <w:r>
        <w:rPr>
          <w:rFonts w:asciiTheme="minorEastAsia" w:hAnsiTheme="minorEastAsia" w:eastAsiaTheme="minorEastAsia"/>
        </w:rPr>
        <w:t>16.1.2 发包人违约的责任</w:t>
      </w:r>
    </w:p>
    <w:p>
      <w:pPr>
        <w:rPr>
          <w:rFonts w:asciiTheme="minorEastAsia" w:hAnsiTheme="minorEastAsia" w:eastAsiaTheme="minorEastAsia"/>
        </w:rPr>
      </w:pPr>
      <w:r>
        <w:rPr>
          <w:rFonts w:asciiTheme="minorEastAsia" w:hAnsiTheme="minorEastAsia" w:eastAsiaTheme="minorEastAsia"/>
        </w:rPr>
        <w:t>发包人应承担因其违约给承包人增加的费用和（或）延误的工期，并支付承包人合理的利润。此外，合同当事人可在专用合同条款中另行约定发包人违约责任的承担方式和计算方法。</w:t>
      </w:r>
    </w:p>
    <w:p>
      <w:pPr>
        <w:rPr>
          <w:rFonts w:asciiTheme="minorEastAsia" w:hAnsiTheme="minorEastAsia" w:eastAsiaTheme="minorEastAsia"/>
        </w:rPr>
      </w:pPr>
      <w:r>
        <w:rPr>
          <w:rFonts w:asciiTheme="minorEastAsia" w:hAnsiTheme="minorEastAsia" w:eastAsiaTheme="minorEastAsia"/>
        </w:rPr>
        <w:t>16.1.3 因发包人违约解除合同</w:t>
      </w:r>
    </w:p>
    <w:p>
      <w:pPr>
        <w:rPr>
          <w:rFonts w:asciiTheme="minorEastAsia" w:hAnsiTheme="minorEastAsia" w:eastAsiaTheme="minorEastAsia"/>
        </w:rPr>
      </w:pPr>
      <w:r>
        <w:rPr>
          <w:rFonts w:asciiTheme="minorEastAsia" w:hAnsiTheme="minorEastAsia" w:eastAsiaTheme="minorEastAsia"/>
        </w:rPr>
        <w:t>除专用合同条款另有约定外，承包人按第16.1.1项</w:t>
      </w:r>
      <w:r>
        <w:rPr>
          <w:rFonts w:hint="eastAsia" w:asciiTheme="minorEastAsia" w:hAnsiTheme="minorEastAsia" w:eastAsiaTheme="minorEastAsia"/>
        </w:rPr>
        <w:t>〔</w:t>
      </w:r>
      <w:r>
        <w:rPr>
          <w:rFonts w:asciiTheme="minorEastAsia" w:hAnsiTheme="minorEastAsia" w:eastAsiaTheme="minorEastAsia"/>
        </w:rPr>
        <w:t>发包人违约的情形</w:t>
      </w:r>
      <w:r>
        <w:rPr>
          <w:rFonts w:hint="eastAsia" w:asciiTheme="minorEastAsia" w:hAnsiTheme="minorEastAsia" w:eastAsiaTheme="minorEastAsia"/>
        </w:rPr>
        <w:t>〕</w:t>
      </w:r>
      <w:r>
        <w:rPr>
          <w:rFonts w:asciiTheme="minorEastAsia" w:hAnsiTheme="minorEastAsia" w:eastAsiaTheme="minorEastAsia"/>
        </w:rPr>
        <w:t>约定暂停施工满28天后</w:t>
      </w:r>
      <w:r>
        <w:rPr>
          <w:rFonts w:hint="eastAsia" w:asciiTheme="minorEastAsia" w:hAnsiTheme="minorEastAsia" w:eastAsiaTheme="minorEastAsia"/>
        </w:rPr>
        <w:t>，</w:t>
      </w:r>
      <w:r>
        <w:rPr>
          <w:rFonts w:asciiTheme="minorEastAsia" w:hAnsiTheme="minorEastAsia" w:eastAsiaTheme="minorEastAsia"/>
        </w:rPr>
        <w:t>发包人仍不纠正其违约行为并致使合同目的不能实现的，</w:t>
      </w:r>
      <w:r>
        <w:rPr>
          <w:rFonts w:hint="eastAsia" w:asciiTheme="minorEastAsia" w:hAnsiTheme="minorEastAsia" w:eastAsiaTheme="minorEastAsia"/>
        </w:rPr>
        <w:t>或</w:t>
      </w:r>
      <w:r>
        <w:rPr>
          <w:rFonts w:asciiTheme="minorEastAsia" w:hAnsiTheme="minorEastAsia" w:eastAsiaTheme="minorEastAsia"/>
        </w:rPr>
        <w:t>出现第16.1.1项</w:t>
      </w:r>
      <w:r>
        <w:rPr>
          <w:rFonts w:hint="eastAsia" w:asciiTheme="minorEastAsia" w:hAnsiTheme="minorEastAsia" w:eastAsiaTheme="minorEastAsia"/>
        </w:rPr>
        <w:t>〔</w:t>
      </w:r>
      <w:r>
        <w:rPr>
          <w:rFonts w:asciiTheme="minorEastAsia" w:hAnsiTheme="minorEastAsia" w:eastAsiaTheme="minorEastAsia"/>
        </w:rPr>
        <w:t>发包人违约的情形</w:t>
      </w:r>
      <w:r>
        <w:rPr>
          <w:rFonts w:hint="eastAsia" w:asciiTheme="minorEastAsia" w:hAnsiTheme="minorEastAsia" w:eastAsiaTheme="minorEastAsia"/>
        </w:rPr>
        <w:t>〕</w:t>
      </w:r>
      <w:r>
        <w:rPr>
          <w:rFonts w:asciiTheme="minorEastAsia" w:hAnsiTheme="minorEastAsia" w:eastAsiaTheme="minorEastAsia"/>
        </w:rPr>
        <w:t>第（7）目约定的违约情况，承包人有权解除合同，发包人应承担由此增加的费用，并支付承包人合理的利润。</w:t>
      </w:r>
    </w:p>
    <w:p>
      <w:pPr>
        <w:rPr>
          <w:rFonts w:asciiTheme="minorEastAsia" w:hAnsiTheme="minorEastAsia" w:eastAsiaTheme="minorEastAsia"/>
        </w:rPr>
      </w:pPr>
      <w:r>
        <w:rPr>
          <w:rFonts w:asciiTheme="minorEastAsia" w:hAnsiTheme="minorEastAsia" w:eastAsiaTheme="minorEastAsia"/>
        </w:rPr>
        <w:t>16.1.4 因发包人违约解除合同后的付款</w:t>
      </w:r>
    </w:p>
    <w:p>
      <w:pPr>
        <w:rPr>
          <w:rFonts w:asciiTheme="minorEastAsia" w:hAnsiTheme="minorEastAsia" w:eastAsiaTheme="minorEastAsia"/>
        </w:rPr>
      </w:pPr>
      <w:r>
        <w:rPr>
          <w:rFonts w:asciiTheme="minorEastAsia" w:hAnsiTheme="minorEastAsia" w:eastAsiaTheme="minorEastAsia"/>
        </w:rPr>
        <w:t>承包人按照本款约定解除合同的，发包人应在解除合同后28天内支付下列款项：</w:t>
      </w:r>
    </w:p>
    <w:p>
      <w:pPr>
        <w:rPr>
          <w:rFonts w:asciiTheme="minorEastAsia" w:hAnsiTheme="minorEastAsia" w:eastAsiaTheme="minorEastAsia"/>
        </w:rPr>
      </w:pPr>
      <w:r>
        <w:rPr>
          <w:rFonts w:asciiTheme="minorEastAsia" w:hAnsiTheme="minorEastAsia" w:eastAsiaTheme="minorEastAsia"/>
        </w:rPr>
        <w:t>（1）合同解除前所完成工作的价款；</w:t>
      </w:r>
    </w:p>
    <w:p>
      <w:pPr>
        <w:rPr>
          <w:rFonts w:asciiTheme="minorEastAsia" w:hAnsiTheme="minorEastAsia" w:eastAsiaTheme="minorEastAsia"/>
        </w:rPr>
      </w:pPr>
      <w:r>
        <w:rPr>
          <w:rFonts w:asciiTheme="minorEastAsia" w:hAnsiTheme="minorEastAsia" w:eastAsiaTheme="minorEastAsia"/>
        </w:rPr>
        <w:t>（2）承包人为工程施工订购并已付款的材料、工程设备和其他物品的价款；</w:t>
      </w:r>
    </w:p>
    <w:p>
      <w:pPr>
        <w:rPr>
          <w:rFonts w:asciiTheme="minorEastAsia" w:hAnsiTheme="minorEastAsia" w:eastAsiaTheme="minorEastAsia"/>
        </w:rPr>
      </w:pPr>
      <w:r>
        <w:rPr>
          <w:rFonts w:asciiTheme="minorEastAsia" w:hAnsiTheme="minorEastAsia" w:eastAsiaTheme="minorEastAsia"/>
        </w:rPr>
        <w:t>（3）承包人撤离施工现场以及遣散承包人人员的款项；</w:t>
      </w:r>
    </w:p>
    <w:p>
      <w:pPr>
        <w:rPr>
          <w:rFonts w:asciiTheme="minorEastAsia" w:hAnsiTheme="minorEastAsia" w:eastAsiaTheme="minorEastAsia"/>
        </w:rPr>
      </w:pPr>
      <w:r>
        <w:rPr>
          <w:rFonts w:asciiTheme="minorEastAsia" w:hAnsiTheme="minorEastAsia" w:eastAsiaTheme="minorEastAsia"/>
        </w:rPr>
        <w:t>（4）按照合同约定在合同解除前应支付的违约金；</w:t>
      </w:r>
    </w:p>
    <w:p>
      <w:pPr>
        <w:rPr>
          <w:rFonts w:asciiTheme="minorEastAsia" w:hAnsiTheme="minorEastAsia" w:eastAsiaTheme="minorEastAsia"/>
        </w:rPr>
      </w:pPr>
      <w:r>
        <w:rPr>
          <w:rFonts w:asciiTheme="minorEastAsia" w:hAnsiTheme="minorEastAsia" w:eastAsiaTheme="minorEastAsia"/>
        </w:rPr>
        <w:t>（5）按照合同约定应当支付给承包人的其他款项；</w:t>
      </w:r>
    </w:p>
    <w:p>
      <w:pPr>
        <w:rPr>
          <w:rFonts w:asciiTheme="minorEastAsia" w:hAnsiTheme="minorEastAsia" w:eastAsiaTheme="minorEastAsia"/>
        </w:rPr>
      </w:pPr>
      <w:r>
        <w:rPr>
          <w:rFonts w:asciiTheme="minorEastAsia" w:hAnsiTheme="minorEastAsia" w:eastAsiaTheme="minorEastAsia"/>
        </w:rPr>
        <w:t>（6）按照合同约定应退还的质量保证金；</w:t>
      </w:r>
    </w:p>
    <w:p>
      <w:pPr>
        <w:rPr>
          <w:rFonts w:asciiTheme="minorEastAsia" w:hAnsiTheme="minorEastAsia" w:eastAsiaTheme="minorEastAsia"/>
        </w:rPr>
      </w:pPr>
      <w:r>
        <w:rPr>
          <w:rFonts w:asciiTheme="minorEastAsia" w:hAnsiTheme="minorEastAsia" w:eastAsiaTheme="minorEastAsia"/>
        </w:rPr>
        <w:t>（7）因解除合同给承包人造成的损失。</w:t>
      </w:r>
    </w:p>
    <w:p>
      <w:pPr>
        <w:rPr>
          <w:rFonts w:asciiTheme="minorEastAsia" w:hAnsiTheme="minorEastAsia" w:eastAsiaTheme="minorEastAsia"/>
        </w:rPr>
      </w:pPr>
      <w:r>
        <w:rPr>
          <w:rFonts w:asciiTheme="minorEastAsia" w:hAnsiTheme="minorEastAsia" w:eastAsiaTheme="minorEastAsia"/>
        </w:rPr>
        <w:t>合同当事人未能就解除合同后的结清达成一致的，按照第20条</w:t>
      </w:r>
      <w:r>
        <w:rPr>
          <w:rFonts w:hint="eastAsia" w:asciiTheme="minorEastAsia" w:hAnsiTheme="minorEastAsia" w:eastAsiaTheme="minorEastAsia"/>
        </w:rPr>
        <w:t>〔</w:t>
      </w:r>
      <w:r>
        <w:rPr>
          <w:rFonts w:asciiTheme="minorEastAsia" w:hAnsiTheme="minorEastAsia" w:eastAsiaTheme="minorEastAsia"/>
        </w:rPr>
        <w:t>争议解决</w:t>
      </w:r>
      <w:r>
        <w:rPr>
          <w:rFonts w:hint="eastAsia" w:asciiTheme="minorEastAsia" w:hAnsiTheme="minorEastAsia" w:eastAsiaTheme="minorEastAsia"/>
        </w:rPr>
        <w:t>〕</w:t>
      </w:r>
      <w:r>
        <w:rPr>
          <w:rFonts w:asciiTheme="minorEastAsia" w:hAnsiTheme="minorEastAsia" w:eastAsiaTheme="minorEastAsia"/>
        </w:rPr>
        <w:t>的约定处理。</w:t>
      </w:r>
    </w:p>
    <w:p>
      <w:pPr>
        <w:rPr>
          <w:rFonts w:asciiTheme="minorEastAsia" w:hAnsiTheme="minorEastAsia" w:eastAsiaTheme="minorEastAsia"/>
        </w:rPr>
      </w:pPr>
      <w:r>
        <w:rPr>
          <w:rFonts w:asciiTheme="minorEastAsia" w:hAnsiTheme="minorEastAsia" w:eastAsiaTheme="minorEastAsia"/>
        </w:rPr>
        <w:t>承包人应妥善做好已完工程和与工程有关的已购材料、工程设备的保护和移交工作，并将施工设备和人员撤出施工现场，发包人应为承包人撤出提供必要条件。</w:t>
      </w:r>
    </w:p>
    <w:p>
      <w:pPr>
        <w:rPr>
          <w:rFonts w:asciiTheme="minorEastAsia" w:hAnsiTheme="minorEastAsia" w:eastAsiaTheme="minorEastAsia"/>
          <w:bCs/>
        </w:rPr>
      </w:pPr>
      <w:bookmarkStart w:id="492" w:name="_Toc351203605"/>
      <w:bookmarkStart w:id="493" w:name="_Toc337558822"/>
      <w:bookmarkStart w:id="494" w:name="_Toc296346632"/>
      <w:bookmarkStart w:id="495" w:name="_Toc296503131"/>
      <w:r>
        <w:rPr>
          <w:rFonts w:asciiTheme="minorEastAsia" w:hAnsiTheme="minorEastAsia" w:eastAsiaTheme="minorEastAsia"/>
          <w:bCs/>
        </w:rPr>
        <w:t>16.2 承包人违约</w:t>
      </w:r>
      <w:bookmarkEnd w:id="492"/>
    </w:p>
    <w:bookmarkEnd w:id="493"/>
    <w:bookmarkEnd w:id="494"/>
    <w:bookmarkEnd w:id="495"/>
    <w:p>
      <w:pPr>
        <w:rPr>
          <w:rFonts w:asciiTheme="minorEastAsia" w:hAnsiTheme="minorEastAsia" w:eastAsiaTheme="minorEastAsia"/>
        </w:rPr>
      </w:pPr>
      <w:r>
        <w:rPr>
          <w:rFonts w:asciiTheme="minorEastAsia" w:hAnsiTheme="minorEastAsia" w:eastAsiaTheme="minorEastAsia"/>
        </w:rPr>
        <w:t>16.2.1 承包人违约的情形</w:t>
      </w:r>
    </w:p>
    <w:p>
      <w:pPr>
        <w:rPr>
          <w:rFonts w:asciiTheme="minorEastAsia" w:hAnsiTheme="minorEastAsia" w:eastAsiaTheme="minorEastAsia"/>
        </w:rPr>
      </w:pPr>
      <w:r>
        <w:rPr>
          <w:rFonts w:asciiTheme="minorEastAsia" w:hAnsiTheme="minorEastAsia" w:eastAsiaTheme="minorEastAsia"/>
        </w:rPr>
        <w:t>在合同履行过程中发生的下列情形，属于承包人违约：</w:t>
      </w:r>
    </w:p>
    <w:p>
      <w:pPr>
        <w:rPr>
          <w:rFonts w:asciiTheme="minorEastAsia" w:hAnsiTheme="minorEastAsia" w:eastAsiaTheme="minorEastAsia"/>
        </w:rPr>
      </w:pPr>
      <w:r>
        <w:rPr>
          <w:rFonts w:asciiTheme="minorEastAsia" w:hAnsiTheme="minorEastAsia" w:eastAsiaTheme="minorEastAsia"/>
        </w:rPr>
        <w:t>（1）承包人违反合同约定进行转包或违法分包的；</w:t>
      </w:r>
    </w:p>
    <w:p>
      <w:pPr>
        <w:rPr>
          <w:rFonts w:asciiTheme="minorEastAsia" w:hAnsiTheme="minorEastAsia" w:eastAsiaTheme="minorEastAsia"/>
        </w:rPr>
      </w:pPr>
      <w:r>
        <w:rPr>
          <w:rFonts w:asciiTheme="minorEastAsia" w:hAnsiTheme="minorEastAsia" w:eastAsiaTheme="minorEastAsia"/>
        </w:rPr>
        <w:t>（2）承包人违反合同约定采购和使用不合格的材料和工程设备的；</w:t>
      </w:r>
    </w:p>
    <w:p>
      <w:pPr>
        <w:rPr>
          <w:rFonts w:asciiTheme="minorEastAsia" w:hAnsiTheme="minorEastAsia" w:eastAsiaTheme="minorEastAsia"/>
        </w:rPr>
      </w:pPr>
      <w:r>
        <w:rPr>
          <w:rFonts w:asciiTheme="minorEastAsia" w:hAnsiTheme="minorEastAsia" w:eastAsiaTheme="minorEastAsia"/>
        </w:rPr>
        <w:t xml:space="preserve">（3）因承包人原因导致工程质量不符合合同要求的； </w:t>
      </w:r>
    </w:p>
    <w:p>
      <w:pPr>
        <w:rPr>
          <w:rFonts w:asciiTheme="minorEastAsia" w:hAnsiTheme="minorEastAsia" w:eastAsiaTheme="minorEastAsia"/>
        </w:rPr>
      </w:pPr>
      <w:r>
        <w:rPr>
          <w:rFonts w:asciiTheme="minorEastAsia" w:hAnsiTheme="minorEastAsia" w:eastAsiaTheme="minorEastAsia"/>
        </w:rPr>
        <w:t>（4）承包人违反第8.9款</w:t>
      </w:r>
      <w:r>
        <w:rPr>
          <w:rFonts w:hint="eastAsia" w:asciiTheme="minorEastAsia" w:hAnsiTheme="minorEastAsia" w:eastAsiaTheme="minorEastAsia"/>
        </w:rPr>
        <w:t>〔</w:t>
      </w:r>
      <w:r>
        <w:rPr>
          <w:rFonts w:asciiTheme="minorEastAsia" w:hAnsiTheme="minorEastAsia" w:eastAsiaTheme="minorEastAsia"/>
        </w:rPr>
        <w:t>材料与设备专用</w:t>
      </w:r>
      <w:r>
        <w:rPr>
          <w:rFonts w:hint="eastAsia" w:asciiTheme="minorEastAsia" w:hAnsiTheme="minorEastAsia" w:eastAsiaTheme="minorEastAsia"/>
        </w:rPr>
        <w:t>要求〕</w:t>
      </w:r>
      <w:r>
        <w:rPr>
          <w:rFonts w:asciiTheme="minorEastAsia" w:hAnsiTheme="minorEastAsia" w:eastAsiaTheme="minorEastAsia"/>
        </w:rPr>
        <w:t>的约定，未经批准，私自将已按照合同约定进入施工现场的材料或设备撤离施工现场的；</w:t>
      </w:r>
    </w:p>
    <w:p>
      <w:pPr>
        <w:rPr>
          <w:rFonts w:asciiTheme="minorEastAsia" w:hAnsiTheme="minorEastAsia" w:eastAsiaTheme="minorEastAsia"/>
        </w:rPr>
      </w:pPr>
      <w:r>
        <w:rPr>
          <w:rFonts w:asciiTheme="minorEastAsia" w:hAnsiTheme="minorEastAsia" w:eastAsiaTheme="minorEastAsia"/>
        </w:rPr>
        <w:t>（5）承包人未能按施工进度计划及时完成合同约定的工作，造成工期延误的；</w:t>
      </w:r>
    </w:p>
    <w:p>
      <w:pPr>
        <w:rPr>
          <w:rFonts w:asciiTheme="minorEastAsia" w:hAnsiTheme="minorEastAsia" w:eastAsiaTheme="minorEastAsia"/>
        </w:rPr>
      </w:pPr>
      <w:r>
        <w:rPr>
          <w:rFonts w:asciiTheme="minorEastAsia" w:hAnsiTheme="minorEastAsia" w:eastAsiaTheme="minorEastAsia"/>
        </w:rPr>
        <w:t>（6）承包人在缺陷责任期及保修期内，未能在合理期限对工程缺陷进行修复，或拒绝按发包人要求进行修复的；</w:t>
      </w:r>
    </w:p>
    <w:p>
      <w:pPr>
        <w:rPr>
          <w:rFonts w:asciiTheme="minorEastAsia" w:hAnsiTheme="minorEastAsia" w:eastAsiaTheme="minorEastAsia"/>
        </w:rPr>
      </w:pPr>
      <w:r>
        <w:rPr>
          <w:rFonts w:asciiTheme="minorEastAsia" w:hAnsiTheme="minorEastAsia" w:eastAsiaTheme="minorEastAsia"/>
        </w:rPr>
        <w:t>（7）承包人明确表示或者以其行为表明不履行合同主要义务的；</w:t>
      </w:r>
    </w:p>
    <w:p>
      <w:pPr>
        <w:rPr>
          <w:rFonts w:asciiTheme="minorEastAsia" w:hAnsiTheme="minorEastAsia" w:eastAsiaTheme="minorEastAsia"/>
        </w:rPr>
      </w:pPr>
      <w:r>
        <w:rPr>
          <w:rFonts w:asciiTheme="minorEastAsia" w:hAnsiTheme="minorEastAsia" w:eastAsiaTheme="minorEastAsia"/>
        </w:rPr>
        <w:t>（8）承包人未能按照合同约定履行其他义务的。</w:t>
      </w:r>
    </w:p>
    <w:p>
      <w:pPr>
        <w:rPr>
          <w:rFonts w:asciiTheme="minorEastAsia" w:hAnsiTheme="minorEastAsia" w:eastAsiaTheme="minorEastAsia"/>
        </w:rPr>
      </w:pPr>
      <w:r>
        <w:rPr>
          <w:rFonts w:asciiTheme="minorEastAsia" w:hAnsiTheme="minorEastAsia" w:eastAsiaTheme="minorEastAsia"/>
        </w:rPr>
        <w:t>承包人发生除本项第（7）目约定以外的其他违约情况时，监理人可向承包人发出整改通知，要求其在指定的期限内改正。</w:t>
      </w:r>
    </w:p>
    <w:p>
      <w:pPr>
        <w:rPr>
          <w:rFonts w:asciiTheme="minorEastAsia" w:hAnsiTheme="minorEastAsia" w:eastAsiaTheme="minorEastAsia"/>
        </w:rPr>
      </w:pPr>
      <w:r>
        <w:rPr>
          <w:rFonts w:asciiTheme="minorEastAsia" w:hAnsiTheme="minorEastAsia" w:eastAsiaTheme="minorEastAsia"/>
        </w:rPr>
        <w:t>16.2.2 承包人违约的责任</w:t>
      </w:r>
    </w:p>
    <w:p>
      <w:pPr>
        <w:rPr>
          <w:rFonts w:asciiTheme="minorEastAsia" w:hAnsiTheme="minorEastAsia" w:eastAsiaTheme="minorEastAsia"/>
        </w:rPr>
      </w:pPr>
      <w:r>
        <w:rPr>
          <w:rFonts w:asciiTheme="minorEastAsia" w:hAnsiTheme="minorEastAsia" w:eastAsiaTheme="minorEastAsia"/>
        </w:rPr>
        <w:t>承包人应承担因其违约行为而增加的费用</w:t>
      </w:r>
      <w:r>
        <w:rPr>
          <w:rFonts w:hint="eastAsia" w:asciiTheme="minorEastAsia" w:hAnsiTheme="minorEastAsia" w:eastAsiaTheme="minorEastAsia"/>
        </w:rPr>
        <w:t>和（或）延误的</w:t>
      </w:r>
      <w:r>
        <w:rPr>
          <w:rFonts w:asciiTheme="minorEastAsia" w:hAnsiTheme="minorEastAsia" w:eastAsiaTheme="minorEastAsia"/>
        </w:rPr>
        <w:t>工期。此外，合同当事人可在专用合同条款中另行约定承包人违约责任的承担方式和计算方法。</w:t>
      </w:r>
    </w:p>
    <w:p>
      <w:pPr>
        <w:rPr>
          <w:rFonts w:asciiTheme="minorEastAsia" w:hAnsiTheme="minorEastAsia" w:eastAsiaTheme="minorEastAsia"/>
        </w:rPr>
      </w:pPr>
      <w:r>
        <w:rPr>
          <w:rFonts w:asciiTheme="minorEastAsia" w:hAnsiTheme="minorEastAsia" w:eastAsiaTheme="minorEastAsia"/>
        </w:rPr>
        <w:t>16.2.3 因承包人违约解除合同</w:t>
      </w:r>
    </w:p>
    <w:p>
      <w:pPr>
        <w:rPr>
          <w:rFonts w:asciiTheme="minorEastAsia" w:hAnsiTheme="minorEastAsia" w:eastAsiaTheme="minorEastAsia"/>
        </w:rPr>
      </w:pPr>
      <w:r>
        <w:rPr>
          <w:rFonts w:asciiTheme="minorEastAsia" w:hAnsiTheme="minorEastAsia" w:eastAsiaTheme="minorEastAsia"/>
        </w:rPr>
        <w:t>除专用合同条款另有约定外，出现第16.2.1项</w:t>
      </w:r>
      <w:r>
        <w:rPr>
          <w:rFonts w:hint="eastAsia" w:asciiTheme="minorEastAsia" w:hAnsiTheme="minorEastAsia" w:eastAsiaTheme="minorEastAsia"/>
        </w:rPr>
        <w:t>〔</w:t>
      </w:r>
      <w:r>
        <w:rPr>
          <w:rFonts w:asciiTheme="minorEastAsia" w:hAnsiTheme="minorEastAsia" w:eastAsiaTheme="minorEastAsia"/>
        </w:rPr>
        <w:t>承包人违约的情形</w:t>
      </w:r>
      <w:r>
        <w:rPr>
          <w:rFonts w:hint="eastAsia" w:asciiTheme="minorEastAsia" w:hAnsiTheme="minorEastAsia" w:eastAsiaTheme="minorEastAsia"/>
        </w:rPr>
        <w:t>〕</w:t>
      </w:r>
      <w:r>
        <w:rPr>
          <w:rFonts w:asciiTheme="minorEastAsia" w:hAnsiTheme="minorEastAsia" w:eastAsiaTheme="minorEastAsia"/>
        </w:rPr>
        <w:t>第（7）目约定的违约情况时，或监理人发出整改通知后，承包人在指定的合理期限内仍不纠正违约行为并致使合同目的不能实现的，发包人有权解除合同。合同解除后，因继续完成工程的需要，发包人有权使用承包人在施工现场的材料、设备、临时工程、承包人文件和由承包人或以其名义编制的其他文件，</w:t>
      </w:r>
      <w:r>
        <w:rPr>
          <w:rFonts w:hint="eastAsia" w:asciiTheme="minorEastAsia" w:hAnsiTheme="minorEastAsia" w:eastAsiaTheme="minorEastAsia"/>
        </w:rPr>
        <w:t>合同当事人应在专用合同条款约定相应费用的承担方式。</w:t>
      </w:r>
      <w:r>
        <w:rPr>
          <w:rFonts w:asciiTheme="minorEastAsia" w:hAnsiTheme="minorEastAsia" w:eastAsiaTheme="minorEastAsia"/>
        </w:rPr>
        <w:t>发包人</w:t>
      </w:r>
      <w:r>
        <w:rPr>
          <w:rFonts w:hint="eastAsia" w:asciiTheme="minorEastAsia" w:hAnsiTheme="minorEastAsia" w:eastAsiaTheme="minorEastAsia"/>
        </w:rPr>
        <w:t>继续使用的</w:t>
      </w:r>
      <w:r>
        <w:rPr>
          <w:rFonts w:asciiTheme="minorEastAsia" w:hAnsiTheme="minorEastAsia" w:eastAsiaTheme="minorEastAsia"/>
        </w:rPr>
        <w:t>行为不免除或减轻承包人应承担的违约责任。</w:t>
      </w:r>
    </w:p>
    <w:p>
      <w:pPr>
        <w:rPr>
          <w:rFonts w:asciiTheme="minorEastAsia" w:hAnsiTheme="minorEastAsia" w:eastAsiaTheme="minorEastAsia"/>
        </w:rPr>
      </w:pPr>
      <w:r>
        <w:rPr>
          <w:rFonts w:asciiTheme="minorEastAsia" w:hAnsiTheme="minorEastAsia" w:eastAsiaTheme="minorEastAsia"/>
        </w:rPr>
        <w:t>16.2.4因承包人违约解除合同后的处理</w:t>
      </w:r>
    </w:p>
    <w:p>
      <w:pPr>
        <w:rPr>
          <w:rFonts w:asciiTheme="minorEastAsia" w:hAnsiTheme="minorEastAsia" w:eastAsiaTheme="minorEastAsia"/>
        </w:rPr>
      </w:pPr>
      <w:r>
        <w:rPr>
          <w:rFonts w:asciiTheme="minorEastAsia" w:hAnsiTheme="minorEastAsia" w:eastAsiaTheme="minorEastAsia"/>
        </w:rPr>
        <w:t>因承包人原因导致合同解除的，则合同当事人应在合同解除后28天内完成估价、付款和清算，并按以下约定执行：</w:t>
      </w:r>
    </w:p>
    <w:p>
      <w:pPr>
        <w:rPr>
          <w:rFonts w:asciiTheme="minorEastAsia" w:hAnsiTheme="minorEastAsia" w:eastAsiaTheme="minorEastAsia"/>
        </w:rPr>
      </w:pPr>
      <w:r>
        <w:rPr>
          <w:rFonts w:asciiTheme="minorEastAsia" w:hAnsiTheme="minorEastAsia" w:eastAsiaTheme="minorEastAsia"/>
        </w:rPr>
        <w:t>（1）合同解除后，按第4.4款</w:t>
      </w:r>
      <w:r>
        <w:rPr>
          <w:rFonts w:hint="eastAsia" w:asciiTheme="minorEastAsia" w:hAnsiTheme="minorEastAsia" w:eastAsiaTheme="minorEastAsia"/>
        </w:rPr>
        <w:t>〔</w:t>
      </w:r>
      <w:r>
        <w:rPr>
          <w:rFonts w:asciiTheme="minorEastAsia" w:hAnsiTheme="minorEastAsia" w:eastAsiaTheme="minorEastAsia"/>
        </w:rPr>
        <w:t>商定或确定</w:t>
      </w:r>
      <w:r>
        <w:rPr>
          <w:rFonts w:hint="eastAsia" w:asciiTheme="minorEastAsia" w:hAnsiTheme="minorEastAsia" w:eastAsiaTheme="minorEastAsia"/>
        </w:rPr>
        <w:t>〕</w:t>
      </w:r>
      <w:r>
        <w:rPr>
          <w:rFonts w:asciiTheme="minorEastAsia" w:hAnsiTheme="minorEastAsia" w:eastAsiaTheme="minorEastAsia"/>
        </w:rPr>
        <w:t>商定或确定承包人实际完成工作对应的合同价款，以及承包人已提供的材料、工程设备、施工设备和临时工程等的价值；</w:t>
      </w:r>
    </w:p>
    <w:p>
      <w:pPr>
        <w:rPr>
          <w:rFonts w:asciiTheme="minorEastAsia" w:hAnsiTheme="minorEastAsia" w:eastAsiaTheme="minorEastAsia"/>
        </w:rPr>
      </w:pPr>
      <w:r>
        <w:rPr>
          <w:rFonts w:asciiTheme="minorEastAsia" w:hAnsiTheme="minorEastAsia" w:eastAsiaTheme="minorEastAsia"/>
        </w:rPr>
        <w:t>（2）合同解除后，承包人应支付的违约金；</w:t>
      </w:r>
    </w:p>
    <w:p>
      <w:pPr>
        <w:rPr>
          <w:rFonts w:asciiTheme="minorEastAsia" w:hAnsiTheme="minorEastAsia" w:eastAsiaTheme="minorEastAsia"/>
        </w:rPr>
      </w:pPr>
      <w:r>
        <w:rPr>
          <w:rFonts w:asciiTheme="minorEastAsia" w:hAnsiTheme="minorEastAsia" w:eastAsiaTheme="minorEastAsia"/>
        </w:rPr>
        <w:t>（3）合同解除后，因解除合同给发包人造成的损失；</w:t>
      </w:r>
    </w:p>
    <w:p>
      <w:pPr>
        <w:rPr>
          <w:rFonts w:asciiTheme="minorEastAsia" w:hAnsiTheme="minorEastAsia" w:eastAsiaTheme="minorEastAsia"/>
        </w:rPr>
      </w:pPr>
      <w:r>
        <w:rPr>
          <w:rFonts w:asciiTheme="minorEastAsia" w:hAnsiTheme="minorEastAsia" w:eastAsiaTheme="minorEastAsia"/>
        </w:rPr>
        <w:t>（4）合同解除后，承包人应按照发包人要求和监理人的指示完成现场的清理和撤离；</w:t>
      </w:r>
    </w:p>
    <w:p>
      <w:pPr>
        <w:rPr>
          <w:rFonts w:asciiTheme="minorEastAsia" w:hAnsiTheme="minorEastAsia" w:eastAsiaTheme="minorEastAsia"/>
        </w:rPr>
      </w:pPr>
      <w:r>
        <w:rPr>
          <w:rFonts w:asciiTheme="minorEastAsia" w:hAnsiTheme="minorEastAsia" w:eastAsiaTheme="minorEastAsia"/>
        </w:rPr>
        <w:t>（5）发包人和承包人应在合同解除后进行清算，出具最终结清付款证书，结清全部款项。</w:t>
      </w:r>
    </w:p>
    <w:p>
      <w:pPr>
        <w:rPr>
          <w:rFonts w:asciiTheme="minorEastAsia" w:hAnsiTheme="minorEastAsia" w:eastAsiaTheme="minorEastAsia"/>
        </w:rPr>
      </w:pPr>
      <w:r>
        <w:rPr>
          <w:rFonts w:hint="eastAsia" w:asciiTheme="minorEastAsia" w:hAnsiTheme="minorEastAsia" w:eastAsiaTheme="minorEastAsia"/>
        </w:rPr>
        <w:t>因承包人违约解除合同的，</w:t>
      </w:r>
      <w:r>
        <w:rPr>
          <w:rFonts w:asciiTheme="minorEastAsia" w:hAnsiTheme="minorEastAsia" w:eastAsiaTheme="minorEastAsia"/>
        </w:rPr>
        <w:t>发包人有权暂停对承包人的付款，查清各项付款和已扣款项。发包人和承包人未能就合同解除后的清算和款项支付达成一致的，按照第20条</w:t>
      </w:r>
      <w:r>
        <w:rPr>
          <w:rFonts w:hint="eastAsia" w:asciiTheme="minorEastAsia" w:hAnsiTheme="minorEastAsia" w:eastAsiaTheme="minorEastAsia"/>
        </w:rPr>
        <w:t>〔</w:t>
      </w:r>
      <w:r>
        <w:rPr>
          <w:rFonts w:asciiTheme="minorEastAsia" w:hAnsiTheme="minorEastAsia" w:eastAsiaTheme="minorEastAsia"/>
        </w:rPr>
        <w:t>争议解决</w:t>
      </w:r>
      <w:r>
        <w:rPr>
          <w:rFonts w:hint="eastAsia" w:asciiTheme="minorEastAsia" w:hAnsiTheme="minorEastAsia" w:eastAsiaTheme="minorEastAsia"/>
        </w:rPr>
        <w:t>〕</w:t>
      </w:r>
      <w:r>
        <w:rPr>
          <w:rFonts w:asciiTheme="minorEastAsia" w:hAnsiTheme="minorEastAsia" w:eastAsiaTheme="minorEastAsia"/>
        </w:rPr>
        <w:t>的约定处理。</w:t>
      </w:r>
    </w:p>
    <w:p>
      <w:pPr>
        <w:rPr>
          <w:rFonts w:asciiTheme="minorEastAsia" w:hAnsiTheme="minorEastAsia" w:eastAsiaTheme="minorEastAsia"/>
        </w:rPr>
      </w:pPr>
      <w:r>
        <w:rPr>
          <w:rFonts w:asciiTheme="minorEastAsia" w:hAnsiTheme="minorEastAsia" w:eastAsiaTheme="minorEastAsia"/>
        </w:rPr>
        <w:t>16.2.5采购合同权益转让</w:t>
      </w:r>
    </w:p>
    <w:p>
      <w:pPr>
        <w:rPr>
          <w:rFonts w:asciiTheme="minorEastAsia" w:hAnsiTheme="minorEastAsia" w:eastAsiaTheme="minorEastAsia"/>
        </w:rPr>
      </w:pPr>
      <w:r>
        <w:rPr>
          <w:rFonts w:asciiTheme="minorEastAsia" w:hAnsiTheme="minorEastAsia" w:eastAsiaTheme="minorEastAsia"/>
        </w:rPr>
        <w:t>因承包人违约解除合同的，发包人有权要求承包人将其为实施合同而签订的材料和设备的采购合同的权益转让给发包人，承包人应在收到解除合同通知后14天内，协助发包人与采购合同的供应商达成相关的转让协议。</w:t>
      </w:r>
    </w:p>
    <w:p>
      <w:pPr>
        <w:rPr>
          <w:rFonts w:asciiTheme="minorEastAsia" w:hAnsiTheme="minorEastAsia" w:eastAsiaTheme="minorEastAsia"/>
          <w:bCs/>
        </w:rPr>
      </w:pPr>
      <w:bookmarkStart w:id="496" w:name="_Toc351203606"/>
      <w:r>
        <w:rPr>
          <w:rFonts w:asciiTheme="minorEastAsia" w:hAnsiTheme="minorEastAsia" w:eastAsiaTheme="minorEastAsia"/>
          <w:bCs/>
        </w:rPr>
        <w:t>16.3 第三人造成的违约</w:t>
      </w:r>
      <w:bookmarkEnd w:id="496"/>
    </w:p>
    <w:p>
      <w:pPr>
        <w:rPr>
          <w:rFonts w:asciiTheme="minorEastAsia" w:hAnsiTheme="minorEastAsia" w:eastAsiaTheme="minorEastAsia"/>
        </w:rPr>
      </w:pPr>
      <w:r>
        <w:rPr>
          <w:rFonts w:asciiTheme="minorEastAsia" w:hAnsiTheme="minorEastAsia" w:eastAsiaTheme="minorEastAsia"/>
        </w:rPr>
        <w:t>在履行合同过程中，一方当事人因第三人的原因造成违约的，应当向对方当事人承担违约责任。一方当事人和第三人之间的纠纷，依照法律规定或者按照约定解决。</w:t>
      </w:r>
    </w:p>
    <w:p>
      <w:pPr>
        <w:rPr>
          <w:rFonts w:asciiTheme="minorEastAsia" w:hAnsiTheme="minorEastAsia" w:eastAsiaTheme="minorEastAsia"/>
          <w:bCs/>
        </w:rPr>
      </w:pPr>
      <w:bookmarkStart w:id="497" w:name="_Toc351203607"/>
      <w:bookmarkStart w:id="498" w:name="_Toc296503116"/>
      <w:bookmarkStart w:id="499" w:name="_Toc337558823"/>
      <w:bookmarkStart w:id="500" w:name="_Toc296346617"/>
      <w:r>
        <w:rPr>
          <w:rFonts w:asciiTheme="minorEastAsia" w:hAnsiTheme="minorEastAsia" w:eastAsiaTheme="minorEastAsia"/>
          <w:bCs/>
        </w:rPr>
        <w:t>17. 不可抗力</w:t>
      </w:r>
      <w:bookmarkEnd w:id="497"/>
      <w:r>
        <w:rPr>
          <w:rFonts w:asciiTheme="minorEastAsia" w:hAnsiTheme="minorEastAsia" w:eastAsiaTheme="minorEastAsia"/>
          <w:bCs/>
        </w:rPr>
        <w:t xml:space="preserve"> </w:t>
      </w:r>
      <w:bookmarkEnd w:id="498"/>
      <w:bookmarkEnd w:id="499"/>
      <w:bookmarkEnd w:id="500"/>
    </w:p>
    <w:p>
      <w:pPr>
        <w:rPr>
          <w:rFonts w:asciiTheme="minorEastAsia" w:hAnsiTheme="minorEastAsia" w:eastAsiaTheme="minorEastAsia"/>
          <w:bCs/>
        </w:rPr>
      </w:pPr>
      <w:bookmarkStart w:id="501" w:name="_Toc351203608"/>
      <w:bookmarkStart w:id="502" w:name="_Toc296503117"/>
      <w:bookmarkStart w:id="503" w:name="_Toc296346618"/>
      <w:bookmarkStart w:id="504" w:name="_Toc337558824"/>
      <w:r>
        <w:rPr>
          <w:rFonts w:asciiTheme="minorEastAsia" w:hAnsiTheme="minorEastAsia" w:eastAsiaTheme="minorEastAsia"/>
          <w:bCs/>
        </w:rPr>
        <w:t>17.1 不可抗力的确认</w:t>
      </w:r>
      <w:bookmarkEnd w:id="501"/>
    </w:p>
    <w:bookmarkEnd w:id="502"/>
    <w:bookmarkEnd w:id="503"/>
    <w:bookmarkEnd w:id="504"/>
    <w:p>
      <w:pPr>
        <w:rPr>
          <w:rFonts w:asciiTheme="minorEastAsia" w:hAnsiTheme="minorEastAsia" w:eastAsiaTheme="minorEastAsia"/>
        </w:rPr>
      </w:pPr>
      <w:r>
        <w:rPr>
          <w:rFonts w:asciiTheme="minorEastAsia" w:hAnsiTheme="minorEastAsia" w:eastAsiaTheme="minorEastAsia"/>
        </w:rPr>
        <w:t>不可抗力是指合同当事人在签订合同时不可预见，在合同履行过程中不可避免且不能克服的自然灾害和社会性突发事件，如地震、海啸、瘟疫、骚乱、戒严、暴动、战争和专用合同条款中约定的其他情形。</w:t>
      </w:r>
    </w:p>
    <w:p>
      <w:pPr>
        <w:rPr>
          <w:rFonts w:asciiTheme="minorEastAsia" w:hAnsiTheme="minorEastAsia" w:eastAsiaTheme="minorEastAsia"/>
        </w:rPr>
      </w:pPr>
      <w:r>
        <w:rPr>
          <w:rFonts w:asciiTheme="minorEastAsia" w:hAnsiTheme="minorEastAsia" w:eastAsiaTheme="minorEastAsia"/>
        </w:rPr>
        <w:t>不可抗力发生后，发包人和承包人应收集证明不可抗力发生及不可抗力造成损失的证据，并及时认真统计所造成的损失。合同当事人对是否属于不可抗力或其损失的意见不一致的，由监理人按第4.4款</w:t>
      </w:r>
      <w:r>
        <w:rPr>
          <w:rFonts w:hint="eastAsia" w:asciiTheme="minorEastAsia" w:hAnsiTheme="minorEastAsia" w:eastAsiaTheme="minorEastAsia"/>
        </w:rPr>
        <w:t>〔</w:t>
      </w:r>
      <w:r>
        <w:rPr>
          <w:rFonts w:asciiTheme="minorEastAsia" w:hAnsiTheme="minorEastAsia" w:eastAsiaTheme="minorEastAsia"/>
        </w:rPr>
        <w:t>商定或确定</w:t>
      </w:r>
      <w:r>
        <w:rPr>
          <w:rFonts w:hint="eastAsia" w:asciiTheme="minorEastAsia" w:hAnsiTheme="minorEastAsia" w:eastAsiaTheme="minorEastAsia"/>
        </w:rPr>
        <w:t>〕</w:t>
      </w:r>
      <w:r>
        <w:rPr>
          <w:rFonts w:asciiTheme="minorEastAsia" w:hAnsiTheme="minorEastAsia" w:eastAsiaTheme="minorEastAsia"/>
        </w:rPr>
        <w:t>的约定处理。发生争议时，按第20条</w:t>
      </w:r>
      <w:r>
        <w:rPr>
          <w:rFonts w:hint="eastAsia" w:asciiTheme="minorEastAsia" w:hAnsiTheme="minorEastAsia" w:eastAsiaTheme="minorEastAsia"/>
        </w:rPr>
        <w:t>〔</w:t>
      </w:r>
      <w:r>
        <w:rPr>
          <w:rFonts w:asciiTheme="minorEastAsia" w:hAnsiTheme="minorEastAsia" w:eastAsiaTheme="minorEastAsia"/>
        </w:rPr>
        <w:t>争议解决</w:t>
      </w:r>
      <w:r>
        <w:rPr>
          <w:rFonts w:hint="eastAsia" w:asciiTheme="minorEastAsia" w:hAnsiTheme="minorEastAsia" w:eastAsiaTheme="minorEastAsia"/>
        </w:rPr>
        <w:t>〕</w:t>
      </w:r>
      <w:r>
        <w:rPr>
          <w:rFonts w:asciiTheme="minorEastAsia" w:hAnsiTheme="minorEastAsia" w:eastAsiaTheme="minorEastAsia"/>
        </w:rPr>
        <w:t>的约定处理。</w:t>
      </w:r>
    </w:p>
    <w:p>
      <w:pPr>
        <w:rPr>
          <w:rFonts w:asciiTheme="minorEastAsia" w:hAnsiTheme="minorEastAsia" w:eastAsiaTheme="minorEastAsia"/>
          <w:bCs/>
        </w:rPr>
      </w:pPr>
      <w:bookmarkStart w:id="505" w:name="_Toc351203609"/>
      <w:bookmarkStart w:id="506" w:name="_Toc337558825"/>
      <w:bookmarkStart w:id="507" w:name="_Toc296346619"/>
      <w:bookmarkStart w:id="508" w:name="_Toc296503118"/>
      <w:r>
        <w:rPr>
          <w:rFonts w:asciiTheme="minorEastAsia" w:hAnsiTheme="minorEastAsia" w:eastAsiaTheme="minorEastAsia"/>
          <w:bCs/>
        </w:rPr>
        <w:t>17.2 不可抗力的通知</w:t>
      </w:r>
      <w:bookmarkEnd w:id="505"/>
    </w:p>
    <w:bookmarkEnd w:id="506"/>
    <w:bookmarkEnd w:id="507"/>
    <w:bookmarkEnd w:id="508"/>
    <w:p>
      <w:pPr>
        <w:rPr>
          <w:rFonts w:asciiTheme="minorEastAsia" w:hAnsiTheme="minorEastAsia" w:eastAsiaTheme="minorEastAsia"/>
        </w:rPr>
      </w:pPr>
      <w:r>
        <w:rPr>
          <w:rFonts w:hint="eastAsia" w:asciiTheme="minorEastAsia" w:hAnsiTheme="minorEastAsia" w:eastAsiaTheme="minorEastAsia"/>
        </w:rPr>
        <w:t>合同</w:t>
      </w:r>
      <w:r>
        <w:rPr>
          <w:rFonts w:asciiTheme="minorEastAsia" w:hAnsiTheme="minorEastAsia" w:eastAsiaTheme="minorEastAsia"/>
        </w:rPr>
        <w:t>一方当事人遇到不可抗力事件，使其履行合同义务受到阻碍时，应立即通知合同另一方当事人和监理人，书面说明不可抗力和受阻碍的详细情况，并提供必要的证明。</w:t>
      </w:r>
    </w:p>
    <w:p>
      <w:pPr>
        <w:rPr>
          <w:rFonts w:asciiTheme="minorEastAsia" w:hAnsiTheme="minorEastAsia" w:eastAsiaTheme="minorEastAsia"/>
        </w:rPr>
      </w:pPr>
      <w:r>
        <w:rPr>
          <w:rFonts w:asciiTheme="minorEastAsia" w:hAnsiTheme="minorEastAsia" w:eastAsiaTheme="minorEastAsia"/>
        </w:rPr>
        <w:t>不可抗力持续发生的，合同一方当事人应及时向合同另一方当事人和监理人提交中间报告，说明不可抗力和履行合同受阻的情况，并于不可抗力事件结束后28天内提交最终报告及有关资料。</w:t>
      </w:r>
    </w:p>
    <w:p>
      <w:pPr>
        <w:rPr>
          <w:rFonts w:asciiTheme="minorEastAsia" w:hAnsiTheme="minorEastAsia" w:eastAsiaTheme="minorEastAsia"/>
          <w:bCs/>
        </w:rPr>
      </w:pPr>
      <w:bookmarkStart w:id="509" w:name="_Toc351203610"/>
      <w:bookmarkStart w:id="510" w:name="_Toc337558826"/>
      <w:bookmarkStart w:id="511" w:name="_Toc296346620"/>
      <w:bookmarkStart w:id="512" w:name="_Toc296503119"/>
      <w:r>
        <w:rPr>
          <w:rFonts w:asciiTheme="minorEastAsia" w:hAnsiTheme="minorEastAsia" w:eastAsiaTheme="minorEastAsia"/>
          <w:bCs/>
        </w:rPr>
        <w:t>17.3 不可抗力后果的承担</w:t>
      </w:r>
      <w:bookmarkEnd w:id="509"/>
    </w:p>
    <w:bookmarkEnd w:id="510"/>
    <w:bookmarkEnd w:id="511"/>
    <w:bookmarkEnd w:id="512"/>
    <w:p>
      <w:pPr>
        <w:rPr>
          <w:rFonts w:asciiTheme="minorEastAsia" w:hAnsiTheme="minorEastAsia" w:eastAsiaTheme="minorEastAsia"/>
        </w:rPr>
      </w:pPr>
      <w:r>
        <w:rPr>
          <w:rFonts w:asciiTheme="minorEastAsia" w:hAnsiTheme="minorEastAsia" w:eastAsiaTheme="minorEastAsia"/>
        </w:rPr>
        <w:t xml:space="preserve">17.3.1 </w:t>
      </w:r>
      <w:r>
        <w:rPr>
          <w:rFonts w:hint="eastAsia" w:asciiTheme="minorEastAsia" w:hAnsiTheme="minorEastAsia" w:eastAsiaTheme="minorEastAsia"/>
        </w:rPr>
        <w:t>不可抗力引起的后果及造成的损失由合同当事人按照法律规定及合同约定各自承担。</w:t>
      </w:r>
      <w:r>
        <w:rPr>
          <w:rFonts w:asciiTheme="minorEastAsia" w:hAnsiTheme="minorEastAsia" w:eastAsiaTheme="minorEastAsia"/>
        </w:rPr>
        <w:t>不可抗力发生前已完</w:t>
      </w:r>
      <w:r>
        <w:rPr>
          <w:rFonts w:hint="eastAsia" w:asciiTheme="minorEastAsia" w:hAnsiTheme="minorEastAsia" w:eastAsiaTheme="minorEastAsia"/>
        </w:rPr>
        <w:t>成的</w:t>
      </w:r>
      <w:r>
        <w:rPr>
          <w:rFonts w:asciiTheme="minorEastAsia" w:hAnsiTheme="minorEastAsia" w:eastAsiaTheme="minorEastAsia"/>
        </w:rPr>
        <w:t>工程应当按照合同约定进行计量</w:t>
      </w:r>
      <w:r>
        <w:rPr>
          <w:rFonts w:hint="eastAsia" w:asciiTheme="minorEastAsia" w:hAnsiTheme="minorEastAsia" w:eastAsiaTheme="minorEastAsia"/>
        </w:rPr>
        <w:t>支付</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17.3.2 不可抗力导致的人员伤亡、财产损失、费用增加和（或）工期延误等后果，由合同当事人按以下原则承担：</w:t>
      </w:r>
    </w:p>
    <w:p>
      <w:pPr>
        <w:rPr>
          <w:rFonts w:asciiTheme="minorEastAsia" w:hAnsiTheme="minorEastAsia" w:eastAsiaTheme="minorEastAsia"/>
        </w:rPr>
      </w:pPr>
      <w:r>
        <w:rPr>
          <w:rFonts w:asciiTheme="minorEastAsia" w:hAnsiTheme="minorEastAsia" w:eastAsiaTheme="minorEastAsia"/>
        </w:rPr>
        <w:t>（1）永久工程、已运至施工现场的材料和工程设备的损坏，以及因工程损坏造成的第三人人员伤亡和财产损失由发包人承担；</w:t>
      </w:r>
    </w:p>
    <w:p>
      <w:pPr>
        <w:rPr>
          <w:rFonts w:asciiTheme="minorEastAsia" w:hAnsiTheme="minorEastAsia" w:eastAsiaTheme="minorEastAsia"/>
        </w:rPr>
      </w:pPr>
      <w:r>
        <w:rPr>
          <w:rFonts w:asciiTheme="minorEastAsia" w:hAnsiTheme="minorEastAsia" w:eastAsiaTheme="minorEastAsia"/>
        </w:rPr>
        <w:t>（2）承包人施工设备的损坏由承包人承担；</w:t>
      </w:r>
    </w:p>
    <w:p>
      <w:pPr>
        <w:rPr>
          <w:rFonts w:asciiTheme="minorEastAsia" w:hAnsiTheme="minorEastAsia" w:eastAsiaTheme="minorEastAsia"/>
        </w:rPr>
      </w:pPr>
      <w:r>
        <w:rPr>
          <w:rFonts w:asciiTheme="minorEastAsia" w:hAnsiTheme="minorEastAsia" w:eastAsiaTheme="minorEastAsia"/>
        </w:rPr>
        <w:t>（3）发包人和承包人承担各自人员伤亡和财产的损失；</w:t>
      </w:r>
    </w:p>
    <w:p>
      <w:pPr>
        <w:rPr>
          <w:rFonts w:asciiTheme="minorEastAsia" w:hAnsiTheme="minorEastAsia" w:eastAsiaTheme="minorEastAsia"/>
        </w:rPr>
      </w:pPr>
      <w:r>
        <w:rPr>
          <w:rFonts w:asciiTheme="minorEastAsia" w:hAnsiTheme="minorEastAsia" w:eastAsiaTheme="minorEastAsia"/>
        </w:rPr>
        <w:t>（4）因不可抗力影响承包人履行合同约定的义务，已经引起或将引起工期延误的，应当顺延工期，由此导致承包人停工的费用损失由发包人和承包人合理分担，停工期间必须支付的工人工资由发包人承担；</w:t>
      </w:r>
    </w:p>
    <w:p>
      <w:pPr>
        <w:rPr>
          <w:rFonts w:asciiTheme="minorEastAsia" w:hAnsiTheme="minorEastAsia" w:eastAsiaTheme="minorEastAsia"/>
        </w:rPr>
      </w:pPr>
      <w:r>
        <w:rPr>
          <w:rFonts w:asciiTheme="minorEastAsia" w:hAnsiTheme="minorEastAsia" w:eastAsiaTheme="minorEastAsia"/>
        </w:rPr>
        <w:t>（5）因不可抗力引起或将引起工期延误，发包人要求赶工的，由此增加的赶工费用由发包人承担；</w:t>
      </w:r>
    </w:p>
    <w:p>
      <w:pPr>
        <w:rPr>
          <w:rFonts w:asciiTheme="minorEastAsia" w:hAnsiTheme="minorEastAsia" w:eastAsiaTheme="minorEastAsia"/>
        </w:rPr>
      </w:pPr>
      <w:r>
        <w:rPr>
          <w:rFonts w:asciiTheme="minorEastAsia" w:hAnsiTheme="minorEastAsia" w:eastAsiaTheme="minorEastAsia"/>
        </w:rPr>
        <w:t>（6）承包人在停工期间按照发包人要求照管、清理和修复工程的费用由发包人承担。</w:t>
      </w:r>
    </w:p>
    <w:p>
      <w:pPr>
        <w:rPr>
          <w:rFonts w:asciiTheme="minorEastAsia" w:hAnsiTheme="minorEastAsia" w:eastAsiaTheme="minorEastAsia"/>
        </w:rPr>
      </w:pPr>
      <w:r>
        <w:rPr>
          <w:rFonts w:asciiTheme="minorEastAsia" w:hAnsiTheme="minorEastAsia" w:eastAsiaTheme="minorEastAsia"/>
        </w:rPr>
        <w:t>不可抗力发生后，合同当事人均应采取措施尽量避免和减少损失的扩大，任何一方当事人没有采取有效措施导致损失扩大的，应对扩大的损失承担责任。</w:t>
      </w:r>
    </w:p>
    <w:p>
      <w:pPr>
        <w:rPr>
          <w:rFonts w:asciiTheme="minorEastAsia" w:hAnsiTheme="minorEastAsia" w:eastAsiaTheme="minorEastAsia"/>
        </w:rPr>
      </w:pPr>
      <w:r>
        <w:rPr>
          <w:rFonts w:asciiTheme="minorEastAsia" w:hAnsiTheme="minorEastAsia" w:eastAsiaTheme="minorEastAsia"/>
        </w:rPr>
        <w:t>因合同一方迟延履行合同义务，在迟延履行期间遭遇不可抗力的，不免除其违约责任。</w:t>
      </w:r>
    </w:p>
    <w:p>
      <w:pPr>
        <w:rPr>
          <w:rFonts w:asciiTheme="minorEastAsia" w:hAnsiTheme="minorEastAsia" w:eastAsiaTheme="minorEastAsia"/>
          <w:bCs/>
        </w:rPr>
      </w:pPr>
      <w:bookmarkStart w:id="513" w:name="_Toc351203611"/>
      <w:bookmarkStart w:id="514" w:name="_Toc337558827"/>
      <w:r>
        <w:rPr>
          <w:rFonts w:asciiTheme="minorEastAsia" w:hAnsiTheme="minorEastAsia" w:eastAsiaTheme="minorEastAsia"/>
          <w:bCs/>
        </w:rPr>
        <w:t>17.4 因不可抗力解除合同</w:t>
      </w:r>
      <w:bookmarkEnd w:id="513"/>
    </w:p>
    <w:bookmarkEnd w:id="514"/>
    <w:p>
      <w:pPr>
        <w:rPr>
          <w:rFonts w:asciiTheme="minorEastAsia" w:hAnsiTheme="minorEastAsia" w:eastAsiaTheme="minorEastAsia"/>
        </w:rPr>
      </w:pPr>
      <w:r>
        <w:rPr>
          <w:rFonts w:asciiTheme="minorEastAsia" w:hAnsiTheme="minorEastAsia" w:eastAsiaTheme="minorEastAsia"/>
        </w:rPr>
        <w:t>因不可抗力导致合同无法履行连续超过84天或累计超过140天的，发包人和承包人均有权解除合同。合同解除后，由双方当事人按照第4.4款</w:t>
      </w:r>
      <w:r>
        <w:rPr>
          <w:rFonts w:hint="eastAsia" w:asciiTheme="minorEastAsia" w:hAnsiTheme="minorEastAsia" w:eastAsiaTheme="minorEastAsia"/>
        </w:rPr>
        <w:t>〔</w:t>
      </w:r>
      <w:r>
        <w:rPr>
          <w:rFonts w:asciiTheme="minorEastAsia" w:hAnsiTheme="minorEastAsia" w:eastAsiaTheme="minorEastAsia"/>
        </w:rPr>
        <w:t>商定或确定</w:t>
      </w:r>
      <w:r>
        <w:rPr>
          <w:rFonts w:hint="eastAsia" w:asciiTheme="minorEastAsia" w:hAnsiTheme="minorEastAsia" w:eastAsiaTheme="minorEastAsia"/>
        </w:rPr>
        <w:t>〕</w:t>
      </w:r>
      <w:r>
        <w:rPr>
          <w:rFonts w:asciiTheme="minorEastAsia" w:hAnsiTheme="minorEastAsia" w:eastAsiaTheme="minorEastAsia"/>
        </w:rPr>
        <w:t>商定或确定发包人应支付的款项，该款项包括：</w:t>
      </w:r>
    </w:p>
    <w:p>
      <w:pPr>
        <w:rPr>
          <w:rFonts w:asciiTheme="minorEastAsia" w:hAnsiTheme="minorEastAsia" w:eastAsiaTheme="minorEastAsia"/>
        </w:rPr>
      </w:pPr>
      <w:r>
        <w:rPr>
          <w:rFonts w:asciiTheme="minorEastAsia" w:hAnsiTheme="minorEastAsia" w:eastAsiaTheme="minorEastAsia"/>
        </w:rPr>
        <w:t>（1）合同解除前承包人已完成工作的价款；</w:t>
      </w:r>
    </w:p>
    <w:p>
      <w:pPr>
        <w:rPr>
          <w:rFonts w:asciiTheme="minorEastAsia" w:hAnsiTheme="minorEastAsia" w:eastAsiaTheme="minorEastAsia"/>
        </w:rPr>
      </w:pPr>
      <w:r>
        <w:rPr>
          <w:rFonts w:asciiTheme="minorEastAsia" w:hAnsiTheme="minorEastAsia" w:eastAsiaTheme="minorEastAsia"/>
        </w:rPr>
        <w:t>（2）承包人为工程订购的并已交付给承包人，或承包人有责任接受交付的材料、工程设备和其他物品的价款；</w:t>
      </w:r>
    </w:p>
    <w:p>
      <w:pPr>
        <w:rPr>
          <w:rFonts w:asciiTheme="minorEastAsia" w:hAnsiTheme="minorEastAsia" w:eastAsiaTheme="minorEastAsia"/>
        </w:rPr>
      </w:pPr>
      <w:r>
        <w:rPr>
          <w:rFonts w:asciiTheme="minorEastAsia" w:hAnsiTheme="minorEastAsia" w:eastAsiaTheme="minorEastAsia"/>
        </w:rPr>
        <w:t>（3）发包人要求承包人退货或解除订货合同而产生的费用，或因不能退货或解除合同而产生的损失；</w:t>
      </w:r>
    </w:p>
    <w:p>
      <w:pPr>
        <w:rPr>
          <w:rFonts w:asciiTheme="minorEastAsia" w:hAnsiTheme="minorEastAsia" w:eastAsiaTheme="minorEastAsia"/>
        </w:rPr>
      </w:pPr>
      <w:r>
        <w:rPr>
          <w:rFonts w:asciiTheme="minorEastAsia" w:hAnsiTheme="minorEastAsia" w:eastAsiaTheme="minorEastAsia"/>
        </w:rPr>
        <w:t>（4）承包人撤离施工现场以及遣散承包人人员的费用；</w:t>
      </w:r>
    </w:p>
    <w:p>
      <w:pPr>
        <w:rPr>
          <w:rFonts w:asciiTheme="minorEastAsia" w:hAnsiTheme="minorEastAsia" w:eastAsiaTheme="minorEastAsia"/>
        </w:rPr>
      </w:pPr>
      <w:r>
        <w:rPr>
          <w:rFonts w:asciiTheme="minorEastAsia" w:hAnsiTheme="minorEastAsia" w:eastAsiaTheme="minorEastAsia"/>
        </w:rPr>
        <w:t>（5）按照合同约定在合同解除前应支付给承包人的其他款项；</w:t>
      </w:r>
    </w:p>
    <w:p>
      <w:pPr>
        <w:rPr>
          <w:rFonts w:asciiTheme="minorEastAsia" w:hAnsiTheme="minorEastAsia" w:eastAsiaTheme="minorEastAsia"/>
        </w:rPr>
      </w:pPr>
      <w:r>
        <w:rPr>
          <w:rFonts w:asciiTheme="minorEastAsia" w:hAnsiTheme="minorEastAsia" w:eastAsiaTheme="minorEastAsia"/>
        </w:rPr>
        <w:t>（6）扣减承包人按照合同约定应向发包人支付的款项；</w:t>
      </w:r>
    </w:p>
    <w:p>
      <w:pPr>
        <w:rPr>
          <w:rFonts w:asciiTheme="minorEastAsia" w:hAnsiTheme="minorEastAsia" w:eastAsiaTheme="minorEastAsia"/>
        </w:rPr>
      </w:pPr>
      <w:r>
        <w:rPr>
          <w:rFonts w:asciiTheme="minorEastAsia" w:hAnsiTheme="minorEastAsia" w:eastAsiaTheme="minorEastAsia"/>
        </w:rPr>
        <w:t>（7）双方商定或确定的其他款项。</w:t>
      </w:r>
    </w:p>
    <w:p>
      <w:pPr>
        <w:rPr>
          <w:rFonts w:asciiTheme="minorEastAsia" w:hAnsiTheme="minorEastAsia" w:eastAsiaTheme="minorEastAsia"/>
        </w:rPr>
      </w:pPr>
      <w:r>
        <w:rPr>
          <w:rFonts w:asciiTheme="minorEastAsia" w:hAnsiTheme="minorEastAsia" w:eastAsiaTheme="minorEastAsia"/>
        </w:rPr>
        <w:t>除专用合同条款另有约定外，合同解除后，发包人应在商定或确定上述款项后28天内完成上述款项的支付。</w:t>
      </w:r>
    </w:p>
    <w:p>
      <w:pPr>
        <w:rPr>
          <w:rFonts w:asciiTheme="minorEastAsia" w:hAnsiTheme="minorEastAsia" w:eastAsiaTheme="minorEastAsia"/>
          <w:bCs/>
        </w:rPr>
      </w:pPr>
      <w:bookmarkStart w:id="515" w:name="_Toc351203612"/>
      <w:bookmarkStart w:id="516" w:name="_Toc296503120"/>
      <w:bookmarkStart w:id="517" w:name="_Toc296346621"/>
      <w:bookmarkStart w:id="518" w:name="_Toc337558828"/>
      <w:r>
        <w:rPr>
          <w:rFonts w:asciiTheme="minorEastAsia" w:hAnsiTheme="minorEastAsia" w:eastAsiaTheme="minorEastAsia"/>
          <w:bCs/>
        </w:rPr>
        <w:t>18. 保险</w:t>
      </w:r>
      <w:bookmarkEnd w:id="515"/>
    </w:p>
    <w:bookmarkEnd w:id="516"/>
    <w:bookmarkEnd w:id="517"/>
    <w:bookmarkEnd w:id="518"/>
    <w:p>
      <w:pPr>
        <w:rPr>
          <w:rFonts w:asciiTheme="minorEastAsia" w:hAnsiTheme="minorEastAsia" w:eastAsiaTheme="minorEastAsia"/>
          <w:bCs/>
        </w:rPr>
      </w:pPr>
      <w:bookmarkStart w:id="519" w:name="_Toc351203613"/>
      <w:bookmarkStart w:id="520" w:name="_Toc296503121"/>
      <w:bookmarkStart w:id="521" w:name="_Toc296346622"/>
      <w:bookmarkStart w:id="522" w:name="_Toc337558829"/>
      <w:r>
        <w:rPr>
          <w:rFonts w:asciiTheme="minorEastAsia" w:hAnsiTheme="minorEastAsia" w:eastAsiaTheme="minorEastAsia"/>
          <w:bCs/>
        </w:rPr>
        <w:t>18.1 工程保险</w:t>
      </w:r>
      <w:bookmarkEnd w:id="519"/>
    </w:p>
    <w:bookmarkEnd w:id="520"/>
    <w:bookmarkEnd w:id="521"/>
    <w:bookmarkEnd w:id="522"/>
    <w:p>
      <w:pPr>
        <w:rPr>
          <w:rFonts w:asciiTheme="minorEastAsia" w:hAnsiTheme="minorEastAsia" w:eastAsiaTheme="minorEastAsia"/>
        </w:rPr>
      </w:pPr>
      <w:r>
        <w:rPr>
          <w:rFonts w:asciiTheme="minorEastAsia" w:hAnsiTheme="minorEastAsia" w:eastAsiaTheme="minorEastAsia"/>
        </w:rPr>
        <w:t>除专用合同条款另有约定外，发包人应投保建筑工程一切险或安装工程一切险；发包人委托承包人投保的，因投保产生的保险费和其他相关费用由发包人承担。</w:t>
      </w:r>
    </w:p>
    <w:p>
      <w:pPr>
        <w:rPr>
          <w:rFonts w:asciiTheme="minorEastAsia" w:hAnsiTheme="minorEastAsia" w:eastAsiaTheme="minorEastAsia"/>
          <w:bCs/>
        </w:rPr>
      </w:pPr>
      <w:bookmarkStart w:id="523" w:name="_Toc351203614"/>
      <w:bookmarkStart w:id="524" w:name="_Toc337558830"/>
      <w:bookmarkStart w:id="525" w:name="_Toc296346623"/>
      <w:bookmarkStart w:id="526" w:name="_Toc296503122"/>
      <w:r>
        <w:rPr>
          <w:rFonts w:asciiTheme="minorEastAsia" w:hAnsiTheme="minorEastAsia" w:eastAsiaTheme="minorEastAsia"/>
          <w:bCs/>
        </w:rPr>
        <w:t>18.2 工伤保险</w:t>
      </w:r>
      <w:bookmarkEnd w:id="523"/>
    </w:p>
    <w:bookmarkEnd w:id="524"/>
    <w:bookmarkEnd w:id="525"/>
    <w:bookmarkEnd w:id="526"/>
    <w:p>
      <w:pPr>
        <w:rPr>
          <w:rFonts w:asciiTheme="minorEastAsia" w:hAnsiTheme="minorEastAsia" w:eastAsiaTheme="minorEastAsia"/>
        </w:rPr>
      </w:pPr>
      <w:r>
        <w:rPr>
          <w:rFonts w:asciiTheme="minorEastAsia" w:hAnsiTheme="minorEastAsia" w:eastAsiaTheme="minorEastAsia"/>
        </w:rPr>
        <w:t>18.2.1 发包人应依照法律规定参加工伤保险，并为在施工现场的全部员工办理工伤保险，缴纳工伤保险费，并要求监理人及由发包人为履行合同聘请的第三方依法参加工伤保险。</w:t>
      </w:r>
    </w:p>
    <w:p>
      <w:pPr>
        <w:rPr>
          <w:rFonts w:asciiTheme="minorEastAsia" w:hAnsiTheme="minorEastAsia" w:eastAsiaTheme="minorEastAsia"/>
        </w:rPr>
      </w:pPr>
      <w:r>
        <w:rPr>
          <w:rFonts w:asciiTheme="minorEastAsia" w:hAnsiTheme="minorEastAsia" w:eastAsiaTheme="minorEastAsia"/>
        </w:rPr>
        <w:t>18.2.2 承包人应依照法律规定参加工伤保险，并为其履行合同的全部员工办理工伤保险，缴纳工伤保险费，并要求分包人及由承包人为履行合同聘请的第三方依法参加工伤保险。</w:t>
      </w:r>
    </w:p>
    <w:p>
      <w:pPr>
        <w:rPr>
          <w:rFonts w:asciiTheme="minorEastAsia" w:hAnsiTheme="minorEastAsia" w:eastAsiaTheme="minorEastAsia"/>
          <w:bCs/>
        </w:rPr>
      </w:pPr>
      <w:bookmarkStart w:id="527" w:name="_Toc351203615"/>
      <w:bookmarkStart w:id="528" w:name="_Toc296503125"/>
      <w:bookmarkStart w:id="529" w:name="_Toc296346626"/>
      <w:bookmarkStart w:id="530" w:name="_Toc337558831"/>
      <w:r>
        <w:rPr>
          <w:rFonts w:asciiTheme="minorEastAsia" w:hAnsiTheme="minorEastAsia" w:eastAsiaTheme="minorEastAsia"/>
          <w:bCs/>
        </w:rPr>
        <w:t>18.3其他保险</w:t>
      </w:r>
      <w:bookmarkEnd w:id="527"/>
    </w:p>
    <w:bookmarkEnd w:id="528"/>
    <w:bookmarkEnd w:id="529"/>
    <w:bookmarkEnd w:id="530"/>
    <w:p>
      <w:pPr>
        <w:rPr>
          <w:rFonts w:asciiTheme="minorEastAsia" w:hAnsiTheme="minorEastAsia" w:eastAsiaTheme="minorEastAsia"/>
        </w:rPr>
      </w:pPr>
      <w:r>
        <w:rPr>
          <w:rFonts w:asciiTheme="minorEastAsia" w:hAnsiTheme="minorEastAsia" w:eastAsiaTheme="minorEastAsia"/>
        </w:rPr>
        <w:t>发包人和承包人可以为其施工现场的全部人员办理意外伤害保险并支付保险费，包括其员工及为履行合同聘请的第三方的人员，具体事项由合同当事人在专用合同条款约定。</w:t>
      </w:r>
    </w:p>
    <w:p>
      <w:pPr>
        <w:rPr>
          <w:rFonts w:asciiTheme="minorEastAsia" w:hAnsiTheme="minorEastAsia" w:eastAsiaTheme="minorEastAsia"/>
        </w:rPr>
      </w:pPr>
      <w:r>
        <w:rPr>
          <w:rFonts w:asciiTheme="minorEastAsia" w:hAnsiTheme="minorEastAsia" w:eastAsiaTheme="minorEastAsia"/>
        </w:rPr>
        <w:t>除专用合同条款另有约定外，承包人应为其施工设备等办理财产保险。</w:t>
      </w:r>
    </w:p>
    <w:p>
      <w:pPr>
        <w:rPr>
          <w:rFonts w:asciiTheme="minorEastAsia" w:hAnsiTheme="minorEastAsia" w:eastAsiaTheme="minorEastAsia"/>
          <w:bCs/>
        </w:rPr>
      </w:pPr>
      <w:bookmarkStart w:id="531" w:name="_Toc351203616"/>
      <w:r>
        <w:rPr>
          <w:rFonts w:asciiTheme="minorEastAsia" w:hAnsiTheme="minorEastAsia" w:eastAsiaTheme="minorEastAsia"/>
          <w:bCs/>
        </w:rPr>
        <w:t>18.4持续保险</w:t>
      </w:r>
      <w:bookmarkEnd w:id="531"/>
    </w:p>
    <w:p>
      <w:pPr>
        <w:rPr>
          <w:rFonts w:asciiTheme="minorEastAsia" w:hAnsiTheme="minorEastAsia" w:eastAsiaTheme="minorEastAsia"/>
        </w:rPr>
      </w:pPr>
      <w:r>
        <w:rPr>
          <w:rFonts w:asciiTheme="minorEastAsia" w:hAnsiTheme="minorEastAsia" w:eastAsiaTheme="minorEastAsia"/>
        </w:rPr>
        <w:t>合同当事人应与保险人保持联系，使保险人能够随时了解工程实施中的变动，并确保按保险合同条款要求持续保险。</w:t>
      </w:r>
    </w:p>
    <w:p>
      <w:pPr>
        <w:rPr>
          <w:rFonts w:asciiTheme="minorEastAsia" w:hAnsiTheme="minorEastAsia" w:eastAsiaTheme="minorEastAsia"/>
          <w:bCs/>
        </w:rPr>
      </w:pPr>
      <w:bookmarkStart w:id="532" w:name="_Toc351203617"/>
      <w:bookmarkStart w:id="533" w:name="_Toc296503126"/>
      <w:bookmarkStart w:id="534" w:name="_Toc296346627"/>
      <w:bookmarkStart w:id="535" w:name="_Toc337558832"/>
      <w:r>
        <w:rPr>
          <w:rFonts w:asciiTheme="minorEastAsia" w:hAnsiTheme="minorEastAsia" w:eastAsiaTheme="minorEastAsia"/>
          <w:bCs/>
        </w:rPr>
        <w:t>18.5 保险凭证</w:t>
      </w:r>
      <w:bookmarkEnd w:id="532"/>
    </w:p>
    <w:bookmarkEnd w:id="533"/>
    <w:bookmarkEnd w:id="534"/>
    <w:bookmarkEnd w:id="535"/>
    <w:p>
      <w:pPr>
        <w:rPr>
          <w:rFonts w:asciiTheme="minorEastAsia" w:hAnsiTheme="minorEastAsia" w:eastAsiaTheme="minorEastAsia"/>
        </w:rPr>
      </w:pPr>
      <w:r>
        <w:rPr>
          <w:rFonts w:asciiTheme="minorEastAsia" w:hAnsiTheme="minorEastAsia" w:eastAsiaTheme="minorEastAsia"/>
        </w:rPr>
        <w:t>合同当事人应及时向另一方当事人提交其已投保的各项保险的凭证和保险单复印件。</w:t>
      </w:r>
    </w:p>
    <w:p>
      <w:pPr>
        <w:rPr>
          <w:rFonts w:asciiTheme="minorEastAsia" w:hAnsiTheme="minorEastAsia" w:eastAsiaTheme="minorEastAsia"/>
          <w:bCs/>
        </w:rPr>
      </w:pPr>
      <w:bookmarkStart w:id="536" w:name="_Toc351203618"/>
      <w:bookmarkStart w:id="537" w:name="_Toc337558833"/>
      <w:bookmarkStart w:id="538" w:name="_Toc296503127"/>
      <w:bookmarkStart w:id="539" w:name="_Toc296346628"/>
      <w:r>
        <w:rPr>
          <w:rFonts w:asciiTheme="minorEastAsia" w:hAnsiTheme="minorEastAsia" w:eastAsiaTheme="minorEastAsia"/>
          <w:bCs/>
        </w:rPr>
        <w:t>18.6 未按约定投保的补救</w:t>
      </w:r>
      <w:bookmarkEnd w:id="536"/>
    </w:p>
    <w:bookmarkEnd w:id="537"/>
    <w:bookmarkEnd w:id="538"/>
    <w:bookmarkEnd w:id="539"/>
    <w:p>
      <w:pPr>
        <w:rPr>
          <w:rFonts w:asciiTheme="minorEastAsia" w:hAnsiTheme="minorEastAsia" w:eastAsiaTheme="minorEastAsia"/>
        </w:rPr>
      </w:pPr>
      <w:r>
        <w:rPr>
          <w:rFonts w:asciiTheme="minorEastAsia" w:hAnsiTheme="minorEastAsia" w:eastAsiaTheme="minorEastAsia"/>
        </w:rPr>
        <w:t>18.6.1发包人未按合同约定办理保险，或未能使保险持续有效的，则承包人可代为办理，所需费用由发包人承担。发包人未按合同约定办理保险，导致未能得到足额赔偿的，由发包人负责补足。</w:t>
      </w:r>
    </w:p>
    <w:p>
      <w:pPr>
        <w:rPr>
          <w:rFonts w:asciiTheme="minorEastAsia" w:hAnsiTheme="minorEastAsia" w:eastAsiaTheme="minorEastAsia"/>
        </w:rPr>
      </w:pPr>
      <w:r>
        <w:rPr>
          <w:rFonts w:asciiTheme="minorEastAsia" w:hAnsiTheme="minorEastAsia" w:eastAsiaTheme="minorEastAsia"/>
        </w:rPr>
        <w:t>18.6.2承包人未按合同约定办理保险，或未能使保险持续有效的，则发包人可代为办理，所需费用由承包人承担。承包人未按合同约定办理保险，导致未能得到足额赔偿的，由承包人负责补足。</w:t>
      </w:r>
    </w:p>
    <w:p>
      <w:pPr>
        <w:rPr>
          <w:rFonts w:asciiTheme="minorEastAsia" w:hAnsiTheme="minorEastAsia" w:eastAsiaTheme="minorEastAsia"/>
          <w:bCs/>
        </w:rPr>
      </w:pPr>
      <w:bookmarkStart w:id="540" w:name="_Toc351203619"/>
      <w:bookmarkStart w:id="541" w:name="_Toc337558834"/>
      <w:r>
        <w:rPr>
          <w:rFonts w:asciiTheme="minorEastAsia" w:hAnsiTheme="minorEastAsia" w:eastAsiaTheme="minorEastAsia"/>
          <w:bCs/>
        </w:rPr>
        <w:t>18.7 通知义务</w:t>
      </w:r>
      <w:bookmarkEnd w:id="540"/>
    </w:p>
    <w:bookmarkEnd w:id="541"/>
    <w:p>
      <w:pPr>
        <w:rPr>
          <w:rFonts w:asciiTheme="minorEastAsia" w:hAnsiTheme="minorEastAsia" w:eastAsiaTheme="minorEastAsia"/>
        </w:rPr>
      </w:pPr>
      <w:r>
        <w:rPr>
          <w:rFonts w:asciiTheme="minorEastAsia" w:hAnsiTheme="minorEastAsia" w:eastAsiaTheme="minorEastAsia"/>
        </w:rPr>
        <w:t>除专用合同条款另有约定外，发包人变更除工伤保险之外的保险合同时，应事先征得承包人同意，并通知监理人；承包人变更除工伤保险之外的保险合同时，应事先征得发包人同意，并通知监理人。</w:t>
      </w:r>
    </w:p>
    <w:p>
      <w:pPr>
        <w:rPr>
          <w:rFonts w:asciiTheme="minorEastAsia" w:hAnsiTheme="minorEastAsia" w:eastAsiaTheme="minorEastAsia"/>
        </w:rPr>
      </w:pPr>
      <w:r>
        <w:rPr>
          <w:rFonts w:asciiTheme="minorEastAsia" w:hAnsiTheme="minorEastAsia" w:eastAsiaTheme="minorEastAsia"/>
        </w:rPr>
        <w:t>保险事故发生时，投保人应按照保险合同规定的条件和期限及时向保险人报告。发包人和承包人应当在知道保险事故发生后及时通知对方。</w:t>
      </w:r>
    </w:p>
    <w:p>
      <w:pPr>
        <w:rPr>
          <w:rFonts w:asciiTheme="minorEastAsia" w:hAnsiTheme="minorEastAsia" w:eastAsiaTheme="minorEastAsia"/>
          <w:bCs/>
        </w:rPr>
      </w:pPr>
      <w:bookmarkStart w:id="542" w:name="_Toc351203620"/>
      <w:bookmarkStart w:id="543" w:name="_Toc296503140"/>
      <w:bookmarkStart w:id="544" w:name="_Toc296346641"/>
      <w:bookmarkStart w:id="545" w:name="_Toc337558835"/>
      <w:r>
        <w:rPr>
          <w:rFonts w:asciiTheme="minorEastAsia" w:hAnsiTheme="minorEastAsia" w:eastAsiaTheme="minorEastAsia"/>
          <w:bCs/>
        </w:rPr>
        <w:t>19. 索赔</w:t>
      </w:r>
      <w:bookmarkEnd w:id="542"/>
    </w:p>
    <w:bookmarkEnd w:id="543"/>
    <w:bookmarkEnd w:id="544"/>
    <w:bookmarkEnd w:id="545"/>
    <w:p>
      <w:pPr>
        <w:rPr>
          <w:rFonts w:asciiTheme="minorEastAsia" w:hAnsiTheme="minorEastAsia" w:eastAsiaTheme="minorEastAsia"/>
          <w:bCs/>
        </w:rPr>
      </w:pPr>
      <w:bookmarkStart w:id="546" w:name="_Toc351203621"/>
      <w:bookmarkStart w:id="547" w:name="_Toc296503141"/>
      <w:bookmarkStart w:id="548" w:name="_Toc296346642"/>
      <w:bookmarkStart w:id="549" w:name="_Toc337558836"/>
      <w:r>
        <w:rPr>
          <w:rFonts w:asciiTheme="minorEastAsia" w:hAnsiTheme="minorEastAsia" w:eastAsiaTheme="minorEastAsia"/>
          <w:bCs/>
        </w:rPr>
        <w:t>19.1承包人的索赔</w:t>
      </w:r>
      <w:bookmarkEnd w:id="546"/>
    </w:p>
    <w:bookmarkEnd w:id="547"/>
    <w:bookmarkEnd w:id="548"/>
    <w:bookmarkEnd w:id="549"/>
    <w:p>
      <w:pPr>
        <w:rPr>
          <w:rFonts w:asciiTheme="minorEastAsia" w:hAnsiTheme="minorEastAsia" w:eastAsiaTheme="minorEastAsia"/>
        </w:rPr>
      </w:pPr>
      <w:r>
        <w:rPr>
          <w:rFonts w:asciiTheme="minorEastAsia" w:hAnsiTheme="minorEastAsia" w:eastAsiaTheme="minorEastAsia"/>
        </w:rPr>
        <w:t>根据合同约定，承包人认为有权得到追加付款和（或）延长工期的，应按以下程序向</w:t>
      </w:r>
      <w:r>
        <w:rPr>
          <w:rFonts w:hint="eastAsia" w:asciiTheme="minorEastAsia" w:hAnsiTheme="minorEastAsia" w:eastAsiaTheme="minorEastAsia"/>
        </w:rPr>
        <w:t>发包</w:t>
      </w:r>
      <w:r>
        <w:rPr>
          <w:rFonts w:asciiTheme="minorEastAsia" w:hAnsiTheme="minorEastAsia" w:eastAsiaTheme="minorEastAsia"/>
        </w:rPr>
        <w:t>人提出索赔：</w:t>
      </w:r>
    </w:p>
    <w:p>
      <w:pPr>
        <w:rPr>
          <w:rFonts w:asciiTheme="minorEastAsia" w:hAnsiTheme="minorEastAsia" w:eastAsiaTheme="minorEastAsia"/>
        </w:rPr>
      </w:pPr>
      <w:r>
        <w:rPr>
          <w:rFonts w:asciiTheme="minorEastAsia" w:hAnsiTheme="minorEastAsia" w:eastAsiaTheme="minorEastAsia"/>
        </w:rPr>
        <w:t>（1）承包人应在知道或应当知道索赔事件发生后28天内，向监理人递交索赔意向通知书，并说明发生索赔事件的事由；承包人未在前述28天内发出索赔意向通知书的，丧失要求追加付款和（或）延长工期的权利；</w:t>
      </w:r>
    </w:p>
    <w:p>
      <w:pPr>
        <w:rPr>
          <w:rFonts w:asciiTheme="minorEastAsia" w:hAnsiTheme="minorEastAsia" w:eastAsiaTheme="minorEastAsia"/>
        </w:rPr>
      </w:pPr>
      <w:r>
        <w:rPr>
          <w:rFonts w:asciiTheme="minorEastAsia" w:hAnsiTheme="minorEastAsia" w:eastAsiaTheme="minorEastAsia"/>
        </w:rPr>
        <w:t>（2）承包人应在发出索赔意向通知书后28天内，向监理人正式递交索赔报告；索赔报告应详细说明索赔理由以及要求追加的付款金额和（或）延长的工期，并附必要的记录和证明材料；</w:t>
      </w:r>
    </w:p>
    <w:p>
      <w:pPr>
        <w:rPr>
          <w:rFonts w:asciiTheme="minorEastAsia" w:hAnsiTheme="minorEastAsia" w:eastAsiaTheme="minorEastAsia"/>
        </w:rPr>
      </w:pPr>
      <w:r>
        <w:rPr>
          <w:rFonts w:asciiTheme="minorEastAsia" w:hAnsiTheme="minorEastAsia" w:eastAsiaTheme="minorEastAsia"/>
        </w:rPr>
        <w:t>（3）索赔事件具有持续影响的，承包人应按合理时间间隔继续递交延续索赔通知，说明持续影响的实际情况和记录，列出累计的追加付款金额和（或）工期延长天数；</w:t>
      </w:r>
    </w:p>
    <w:p>
      <w:pPr>
        <w:rPr>
          <w:rFonts w:asciiTheme="minorEastAsia" w:hAnsiTheme="minorEastAsia" w:eastAsiaTheme="minorEastAsia"/>
        </w:rPr>
      </w:pPr>
      <w:r>
        <w:rPr>
          <w:rFonts w:asciiTheme="minorEastAsia" w:hAnsiTheme="minorEastAsia" w:eastAsiaTheme="minorEastAsia"/>
        </w:rPr>
        <w:t>（4）在索赔事件影响结束后28天内，承包人应向监理人递交最终索赔报告，说明最终要求索赔的追加付款金额和（或）延长的工期，并附必要的记录和证明材料。</w:t>
      </w:r>
    </w:p>
    <w:p>
      <w:pPr>
        <w:rPr>
          <w:rFonts w:asciiTheme="minorEastAsia" w:hAnsiTheme="minorEastAsia" w:eastAsiaTheme="minorEastAsia"/>
          <w:bCs/>
        </w:rPr>
      </w:pPr>
      <w:bookmarkStart w:id="550" w:name="_Toc351203622"/>
      <w:bookmarkStart w:id="551" w:name="_Toc337558837"/>
      <w:bookmarkStart w:id="552" w:name="_Toc296503142"/>
      <w:bookmarkStart w:id="553" w:name="_Toc296346643"/>
      <w:r>
        <w:rPr>
          <w:rFonts w:asciiTheme="minorEastAsia" w:hAnsiTheme="minorEastAsia" w:eastAsiaTheme="minorEastAsia"/>
          <w:bCs/>
        </w:rPr>
        <w:t>19.2 对承包人索赔的处理</w:t>
      </w:r>
      <w:bookmarkEnd w:id="550"/>
    </w:p>
    <w:bookmarkEnd w:id="551"/>
    <w:bookmarkEnd w:id="552"/>
    <w:bookmarkEnd w:id="553"/>
    <w:p>
      <w:pPr>
        <w:rPr>
          <w:rFonts w:asciiTheme="minorEastAsia" w:hAnsiTheme="minorEastAsia" w:eastAsiaTheme="minorEastAsia"/>
        </w:rPr>
      </w:pPr>
      <w:r>
        <w:rPr>
          <w:rFonts w:asciiTheme="minorEastAsia" w:hAnsiTheme="minorEastAsia" w:eastAsiaTheme="minorEastAsia"/>
        </w:rPr>
        <w:t>对承包人索赔的处理如下：</w:t>
      </w:r>
    </w:p>
    <w:p>
      <w:pPr>
        <w:rPr>
          <w:rFonts w:asciiTheme="minorEastAsia" w:hAnsiTheme="minorEastAsia" w:eastAsiaTheme="minorEastAsia"/>
        </w:rPr>
      </w:pPr>
      <w:r>
        <w:rPr>
          <w:rFonts w:asciiTheme="minorEastAsia" w:hAnsiTheme="minorEastAsia" w:eastAsiaTheme="minorEastAsia"/>
        </w:rPr>
        <w:t>（1）监理人应在收到索赔报告后14天内完成审查并报送发包人。监理人对索赔报告存在异议的，有权要求承包人提交全部原始记录副本；</w:t>
      </w:r>
    </w:p>
    <w:p>
      <w:pPr>
        <w:rPr>
          <w:rFonts w:asciiTheme="minorEastAsia" w:hAnsiTheme="minorEastAsia" w:eastAsiaTheme="minorEastAsia"/>
        </w:rPr>
      </w:pPr>
      <w:r>
        <w:rPr>
          <w:rFonts w:asciiTheme="minorEastAsia" w:hAnsiTheme="minorEastAsia" w:eastAsiaTheme="minorEastAsia"/>
        </w:rPr>
        <w:t>（2）发包人应在监理人收到索赔报告或有关索赔的进一步证明材料后的28天内，由监理人向承包人出具经发包人签认的索赔处理结果。发包人逾期答复的，则视为认可承包人的索赔要求；</w:t>
      </w:r>
    </w:p>
    <w:p>
      <w:pPr>
        <w:rPr>
          <w:rFonts w:asciiTheme="minorEastAsia" w:hAnsiTheme="minorEastAsia" w:eastAsiaTheme="minorEastAsia"/>
        </w:rPr>
      </w:pPr>
      <w:r>
        <w:rPr>
          <w:rFonts w:asciiTheme="minorEastAsia" w:hAnsiTheme="minorEastAsia" w:eastAsiaTheme="minorEastAsia"/>
        </w:rPr>
        <w:t>（3）承包人接受索赔处理结果的，索赔款项在当期进度款中进行支付；承包人不接受索赔处理结果的，按照第20条</w:t>
      </w:r>
      <w:r>
        <w:rPr>
          <w:rFonts w:hint="eastAsia" w:asciiTheme="minorEastAsia" w:hAnsiTheme="minorEastAsia" w:eastAsiaTheme="minorEastAsia"/>
        </w:rPr>
        <w:t>〔</w:t>
      </w:r>
      <w:r>
        <w:rPr>
          <w:rFonts w:asciiTheme="minorEastAsia" w:hAnsiTheme="minorEastAsia" w:eastAsiaTheme="minorEastAsia"/>
        </w:rPr>
        <w:t>争议解决</w:t>
      </w:r>
      <w:r>
        <w:rPr>
          <w:rFonts w:hint="eastAsia" w:asciiTheme="minorEastAsia" w:hAnsiTheme="minorEastAsia" w:eastAsiaTheme="minorEastAsia"/>
        </w:rPr>
        <w:t>〕</w:t>
      </w:r>
      <w:r>
        <w:rPr>
          <w:rFonts w:asciiTheme="minorEastAsia" w:hAnsiTheme="minorEastAsia" w:eastAsiaTheme="minorEastAsia"/>
        </w:rPr>
        <w:t>约定处理。</w:t>
      </w:r>
    </w:p>
    <w:p>
      <w:pPr>
        <w:rPr>
          <w:rFonts w:asciiTheme="minorEastAsia" w:hAnsiTheme="minorEastAsia" w:eastAsiaTheme="minorEastAsia"/>
          <w:bCs/>
        </w:rPr>
      </w:pPr>
      <w:bookmarkStart w:id="554" w:name="_Toc351203623"/>
      <w:bookmarkStart w:id="555" w:name="_Toc296503143"/>
      <w:bookmarkStart w:id="556" w:name="_Toc296346644"/>
      <w:bookmarkStart w:id="557" w:name="_Toc337558838"/>
      <w:r>
        <w:rPr>
          <w:rFonts w:asciiTheme="minorEastAsia" w:hAnsiTheme="minorEastAsia" w:eastAsiaTheme="minorEastAsia"/>
          <w:bCs/>
        </w:rPr>
        <w:t>19.3发包人的索赔</w:t>
      </w:r>
      <w:bookmarkEnd w:id="554"/>
    </w:p>
    <w:bookmarkEnd w:id="555"/>
    <w:bookmarkEnd w:id="556"/>
    <w:bookmarkEnd w:id="557"/>
    <w:p>
      <w:pPr>
        <w:rPr>
          <w:rFonts w:asciiTheme="minorEastAsia" w:hAnsiTheme="minorEastAsia" w:eastAsiaTheme="minorEastAsia"/>
        </w:rPr>
      </w:pPr>
      <w:r>
        <w:rPr>
          <w:rFonts w:asciiTheme="minorEastAsia" w:hAnsiTheme="minorEastAsia" w:eastAsiaTheme="minorEastAsia"/>
        </w:rPr>
        <w:t>根据合同约定，发包人认为有权得到赔付金额和（或）延长缺陷责任期的，监理人应向承包人发出通知并附有详细的证明。</w:t>
      </w:r>
    </w:p>
    <w:p>
      <w:pPr>
        <w:rPr>
          <w:rFonts w:asciiTheme="minorEastAsia" w:hAnsiTheme="minorEastAsia" w:eastAsiaTheme="minorEastAsia"/>
        </w:rPr>
      </w:pPr>
      <w:r>
        <w:rPr>
          <w:rFonts w:asciiTheme="minorEastAsia" w:hAnsiTheme="minorEastAsia" w:eastAsiaTheme="minorEastAsia"/>
        </w:rPr>
        <w:t>发包人应在知道或应当知道索赔事件发生后28天内通过监理人向承包人提出索赔意向通知书，发包人未在前述28天内发出索赔意向通知书的，丧失要求赔付金额和（或）延长缺陷责任期的权利。发包人应在发出索赔意向通知书后28天内，通过监理人向承包人正式递交索赔报告。</w:t>
      </w:r>
    </w:p>
    <w:p>
      <w:pPr>
        <w:rPr>
          <w:rFonts w:asciiTheme="minorEastAsia" w:hAnsiTheme="minorEastAsia" w:eastAsiaTheme="minorEastAsia"/>
          <w:bCs/>
        </w:rPr>
      </w:pPr>
      <w:bookmarkStart w:id="558" w:name="_Toc351203624"/>
      <w:bookmarkStart w:id="559" w:name="_Toc337558839"/>
      <w:bookmarkStart w:id="560" w:name="_Toc296346645"/>
      <w:bookmarkStart w:id="561" w:name="_Toc296503144"/>
      <w:r>
        <w:rPr>
          <w:rFonts w:asciiTheme="minorEastAsia" w:hAnsiTheme="minorEastAsia" w:eastAsiaTheme="minorEastAsia"/>
          <w:bCs/>
        </w:rPr>
        <w:t>19.4 对发包人索赔的处理</w:t>
      </w:r>
      <w:bookmarkEnd w:id="558"/>
    </w:p>
    <w:bookmarkEnd w:id="559"/>
    <w:bookmarkEnd w:id="560"/>
    <w:bookmarkEnd w:id="561"/>
    <w:p>
      <w:pPr>
        <w:rPr>
          <w:rFonts w:asciiTheme="minorEastAsia" w:hAnsiTheme="minorEastAsia" w:eastAsiaTheme="minorEastAsia"/>
        </w:rPr>
      </w:pPr>
      <w:r>
        <w:rPr>
          <w:rFonts w:asciiTheme="minorEastAsia" w:hAnsiTheme="minorEastAsia" w:eastAsiaTheme="minorEastAsia"/>
        </w:rPr>
        <w:t>对发包人索赔的处理如下：</w:t>
      </w:r>
    </w:p>
    <w:p>
      <w:pPr>
        <w:rPr>
          <w:rFonts w:asciiTheme="minorEastAsia" w:hAnsiTheme="minorEastAsia" w:eastAsiaTheme="minorEastAsia"/>
        </w:rPr>
      </w:pPr>
      <w:r>
        <w:rPr>
          <w:rFonts w:asciiTheme="minorEastAsia" w:hAnsiTheme="minorEastAsia" w:eastAsiaTheme="minorEastAsia"/>
        </w:rPr>
        <w:t>（1）承包人收到发包人提交的索赔报告后，应及时审查索赔报告的内容、查验发包人证明材料；</w:t>
      </w:r>
    </w:p>
    <w:p>
      <w:pPr>
        <w:rPr>
          <w:rFonts w:asciiTheme="minorEastAsia" w:hAnsiTheme="minorEastAsia" w:eastAsiaTheme="minorEastAsia"/>
        </w:rPr>
      </w:pPr>
      <w:r>
        <w:rPr>
          <w:rFonts w:asciiTheme="minorEastAsia" w:hAnsiTheme="minorEastAsia" w:eastAsiaTheme="minorEastAsia"/>
        </w:rPr>
        <w:t>（2）承包人应在收到索赔报告或有关索赔的进一步证明材料后28天内，将索赔处理结果答复发包人。如果承包人未在上述期限内作出答复的，则视为对发包人索赔要求的认可；</w:t>
      </w:r>
    </w:p>
    <w:p>
      <w:pPr>
        <w:rPr>
          <w:rFonts w:asciiTheme="minorEastAsia" w:hAnsiTheme="minorEastAsia" w:eastAsiaTheme="minorEastAsia"/>
        </w:rPr>
      </w:pPr>
      <w:r>
        <w:rPr>
          <w:rFonts w:asciiTheme="minorEastAsia" w:hAnsiTheme="minorEastAsia" w:eastAsiaTheme="minorEastAsia"/>
        </w:rPr>
        <w:t>（3）承包人接受索赔处理结果的，发包人可从应支付给承包人的合同价款中扣除赔付的金额或延长缺陷责任期；发包人不接受索赔处理结果的，按第20条</w:t>
      </w:r>
      <w:r>
        <w:rPr>
          <w:rFonts w:hint="eastAsia" w:asciiTheme="minorEastAsia" w:hAnsiTheme="minorEastAsia" w:eastAsiaTheme="minorEastAsia"/>
        </w:rPr>
        <w:t>〔</w:t>
      </w:r>
      <w:r>
        <w:rPr>
          <w:rFonts w:asciiTheme="minorEastAsia" w:hAnsiTheme="minorEastAsia" w:eastAsiaTheme="minorEastAsia"/>
        </w:rPr>
        <w:t>争议解决</w:t>
      </w:r>
      <w:r>
        <w:rPr>
          <w:rFonts w:hint="eastAsia" w:asciiTheme="minorEastAsia" w:hAnsiTheme="minorEastAsia" w:eastAsiaTheme="minorEastAsia"/>
        </w:rPr>
        <w:t>〕</w:t>
      </w:r>
      <w:r>
        <w:rPr>
          <w:rFonts w:asciiTheme="minorEastAsia" w:hAnsiTheme="minorEastAsia" w:eastAsiaTheme="minorEastAsia"/>
        </w:rPr>
        <w:t>约定处理。</w:t>
      </w:r>
    </w:p>
    <w:p>
      <w:pPr>
        <w:rPr>
          <w:rFonts w:asciiTheme="minorEastAsia" w:hAnsiTheme="minorEastAsia" w:eastAsiaTheme="minorEastAsia"/>
          <w:bCs/>
        </w:rPr>
      </w:pPr>
      <w:bookmarkStart w:id="562" w:name="_Toc351203625"/>
      <w:r>
        <w:rPr>
          <w:rFonts w:asciiTheme="minorEastAsia" w:hAnsiTheme="minorEastAsia" w:eastAsiaTheme="minorEastAsia"/>
          <w:bCs/>
        </w:rPr>
        <w:t>19.5 提出索赔的期限</w:t>
      </w:r>
      <w:bookmarkEnd w:id="562"/>
    </w:p>
    <w:p>
      <w:pPr>
        <w:rPr>
          <w:rFonts w:asciiTheme="minorEastAsia" w:hAnsiTheme="minorEastAsia" w:eastAsiaTheme="minorEastAsia"/>
        </w:rPr>
      </w:pPr>
      <w:r>
        <w:rPr>
          <w:rFonts w:asciiTheme="minorEastAsia" w:hAnsiTheme="minorEastAsia" w:eastAsiaTheme="minorEastAsia"/>
        </w:rPr>
        <w:t>（1）承包人按第14.2款</w:t>
      </w:r>
      <w:r>
        <w:rPr>
          <w:rFonts w:hint="eastAsia" w:asciiTheme="minorEastAsia" w:hAnsiTheme="minorEastAsia" w:eastAsiaTheme="minorEastAsia"/>
        </w:rPr>
        <w:t>〔</w:t>
      </w:r>
      <w:r>
        <w:rPr>
          <w:rFonts w:asciiTheme="minorEastAsia" w:hAnsiTheme="minorEastAsia" w:eastAsiaTheme="minorEastAsia"/>
        </w:rPr>
        <w:t>竣工结算审核</w:t>
      </w:r>
      <w:r>
        <w:rPr>
          <w:rFonts w:hint="eastAsia" w:asciiTheme="minorEastAsia" w:hAnsiTheme="minorEastAsia" w:eastAsiaTheme="minorEastAsia"/>
        </w:rPr>
        <w:t>〕</w:t>
      </w:r>
      <w:r>
        <w:rPr>
          <w:rFonts w:asciiTheme="minorEastAsia" w:hAnsiTheme="minorEastAsia" w:eastAsiaTheme="minorEastAsia"/>
        </w:rPr>
        <w:t>约定接收竣工付款证书后，应被视为已无权再提出在工程接收证书颁发前所发生的任何索赔。</w:t>
      </w:r>
    </w:p>
    <w:p>
      <w:pPr>
        <w:rPr>
          <w:rFonts w:asciiTheme="minorEastAsia" w:hAnsiTheme="minorEastAsia" w:eastAsiaTheme="minorEastAsia"/>
        </w:rPr>
      </w:pPr>
      <w:r>
        <w:rPr>
          <w:rFonts w:asciiTheme="minorEastAsia" w:hAnsiTheme="minorEastAsia" w:eastAsiaTheme="minorEastAsia"/>
        </w:rPr>
        <w:t>（2）承包人按第14.4款</w:t>
      </w:r>
      <w:r>
        <w:rPr>
          <w:rFonts w:hint="eastAsia" w:asciiTheme="minorEastAsia" w:hAnsiTheme="minorEastAsia" w:eastAsiaTheme="minorEastAsia"/>
        </w:rPr>
        <w:t>〔</w:t>
      </w:r>
      <w:r>
        <w:rPr>
          <w:rFonts w:asciiTheme="minorEastAsia" w:hAnsiTheme="minorEastAsia" w:eastAsiaTheme="minorEastAsia"/>
        </w:rPr>
        <w:t>最终结清</w:t>
      </w:r>
      <w:r>
        <w:rPr>
          <w:rFonts w:hint="eastAsia" w:asciiTheme="minorEastAsia" w:hAnsiTheme="minorEastAsia" w:eastAsiaTheme="minorEastAsia"/>
        </w:rPr>
        <w:t>〕</w:t>
      </w:r>
      <w:r>
        <w:rPr>
          <w:rFonts w:asciiTheme="minorEastAsia" w:hAnsiTheme="minorEastAsia" w:eastAsiaTheme="minorEastAsia"/>
        </w:rPr>
        <w:t>提交的最终结清申请单中，只限于提出工程接收证书颁发后发生的索赔。提出索赔的期限自接受最终结清证书时终止。</w:t>
      </w:r>
    </w:p>
    <w:p>
      <w:pPr>
        <w:rPr>
          <w:rFonts w:asciiTheme="minorEastAsia" w:hAnsiTheme="minorEastAsia" w:eastAsiaTheme="minorEastAsia"/>
          <w:bCs/>
        </w:rPr>
      </w:pPr>
      <w:bookmarkStart w:id="563" w:name="_Toc351203626"/>
      <w:r>
        <w:rPr>
          <w:rFonts w:asciiTheme="minorEastAsia" w:hAnsiTheme="minorEastAsia" w:eastAsiaTheme="minorEastAsia"/>
          <w:bCs/>
        </w:rPr>
        <w:t>20</w:t>
      </w:r>
      <w:bookmarkStart w:id="564" w:name="_Toc337558840"/>
      <w:bookmarkStart w:id="565" w:name="_Toc296346647"/>
      <w:bookmarkStart w:id="566" w:name="_Toc296503146"/>
      <w:r>
        <w:rPr>
          <w:rFonts w:asciiTheme="minorEastAsia" w:hAnsiTheme="minorEastAsia" w:eastAsiaTheme="minorEastAsia"/>
          <w:bCs/>
        </w:rPr>
        <w:t>. 争议解决</w:t>
      </w:r>
      <w:bookmarkEnd w:id="563"/>
    </w:p>
    <w:bookmarkEnd w:id="564"/>
    <w:bookmarkEnd w:id="565"/>
    <w:bookmarkEnd w:id="566"/>
    <w:p>
      <w:pPr>
        <w:rPr>
          <w:rFonts w:asciiTheme="minorEastAsia" w:hAnsiTheme="minorEastAsia" w:eastAsiaTheme="minorEastAsia"/>
          <w:bCs/>
        </w:rPr>
      </w:pPr>
      <w:bookmarkStart w:id="567" w:name="_Toc351203627"/>
      <w:bookmarkStart w:id="568" w:name="_Toc337558841"/>
      <w:bookmarkStart w:id="569" w:name="_Toc296346648"/>
      <w:bookmarkStart w:id="570" w:name="_Toc296503147"/>
      <w:r>
        <w:rPr>
          <w:rFonts w:asciiTheme="minorEastAsia" w:hAnsiTheme="minorEastAsia" w:eastAsiaTheme="minorEastAsia"/>
          <w:bCs/>
        </w:rPr>
        <w:t>20.1和解</w:t>
      </w:r>
      <w:bookmarkEnd w:id="567"/>
    </w:p>
    <w:bookmarkEnd w:id="568"/>
    <w:bookmarkEnd w:id="569"/>
    <w:bookmarkEnd w:id="570"/>
    <w:p>
      <w:pPr>
        <w:rPr>
          <w:rFonts w:asciiTheme="minorEastAsia" w:hAnsiTheme="minorEastAsia" w:eastAsiaTheme="minorEastAsia"/>
        </w:rPr>
      </w:pPr>
      <w:r>
        <w:rPr>
          <w:rFonts w:asciiTheme="minorEastAsia" w:hAnsiTheme="minorEastAsia" w:eastAsiaTheme="minorEastAsia"/>
        </w:rPr>
        <w:t>合同当事人可以就争议自行和解，自行和解达成协议的经双方签字并盖章后作为合同补充文件，双方均应遵照执行。</w:t>
      </w:r>
    </w:p>
    <w:p>
      <w:pPr>
        <w:rPr>
          <w:rFonts w:asciiTheme="minorEastAsia" w:hAnsiTheme="minorEastAsia" w:eastAsiaTheme="minorEastAsia"/>
          <w:bCs/>
        </w:rPr>
      </w:pPr>
      <w:bookmarkStart w:id="571" w:name="_Toc351203628"/>
      <w:r>
        <w:rPr>
          <w:rFonts w:asciiTheme="minorEastAsia" w:hAnsiTheme="minorEastAsia" w:eastAsiaTheme="minorEastAsia"/>
          <w:bCs/>
        </w:rPr>
        <w:t>20</w:t>
      </w:r>
      <w:bookmarkStart w:id="572" w:name="_Toc337558842"/>
      <w:bookmarkStart w:id="573" w:name="_Toc296503148"/>
      <w:bookmarkStart w:id="574" w:name="_Toc296346649"/>
      <w:r>
        <w:rPr>
          <w:rFonts w:asciiTheme="minorEastAsia" w:hAnsiTheme="minorEastAsia" w:eastAsiaTheme="minorEastAsia"/>
          <w:bCs/>
        </w:rPr>
        <w:t>.2调解</w:t>
      </w:r>
      <w:bookmarkEnd w:id="571"/>
    </w:p>
    <w:bookmarkEnd w:id="572"/>
    <w:bookmarkEnd w:id="573"/>
    <w:bookmarkEnd w:id="574"/>
    <w:p>
      <w:pPr>
        <w:rPr>
          <w:rFonts w:asciiTheme="minorEastAsia" w:hAnsiTheme="minorEastAsia" w:eastAsiaTheme="minorEastAsia"/>
        </w:rPr>
      </w:pPr>
      <w:r>
        <w:rPr>
          <w:rFonts w:asciiTheme="minorEastAsia" w:hAnsiTheme="minorEastAsia" w:eastAsiaTheme="minorEastAsia"/>
        </w:rPr>
        <w:t>合同当事人可以就争议请求建设行政主管部门</w:t>
      </w:r>
      <w:r>
        <w:rPr>
          <w:rFonts w:hint="eastAsia" w:asciiTheme="minorEastAsia" w:hAnsiTheme="minorEastAsia" w:eastAsiaTheme="minorEastAsia"/>
        </w:rPr>
        <w:t>、行业协会</w:t>
      </w:r>
      <w:r>
        <w:rPr>
          <w:rFonts w:asciiTheme="minorEastAsia" w:hAnsiTheme="minorEastAsia" w:eastAsiaTheme="minorEastAsia"/>
        </w:rPr>
        <w:t>或</w:t>
      </w:r>
      <w:r>
        <w:rPr>
          <w:rFonts w:hint="eastAsia" w:asciiTheme="minorEastAsia" w:hAnsiTheme="minorEastAsia" w:eastAsiaTheme="minorEastAsia"/>
        </w:rPr>
        <w:t>其他</w:t>
      </w:r>
      <w:r>
        <w:rPr>
          <w:rFonts w:asciiTheme="minorEastAsia" w:hAnsiTheme="minorEastAsia" w:eastAsiaTheme="minorEastAsia"/>
        </w:rPr>
        <w:t>第三方进行调解，调解达成协议的，经双方签字并盖章后作为合同补充文件，双方均应遵照执行。</w:t>
      </w:r>
    </w:p>
    <w:p>
      <w:pPr>
        <w:rPr>
          <w:rFonts w:asciiTheme="minorEastAsia" w:hAnsiTheme="minorEastAsia" w:eastAsiaTheme="minorEastAsia"/>
          <w:bCs/>
        </w:rPr>
      </w:pPr>
      <w:bookmarkStart w:id="575" w:name="_Toc351203629"/>
      <w:bookmarkStart w:id="576" w:name="_Toc296503149"/>
      <w:bookmarkStart w:id="577" w:name="_Toc337558843"/>
      <w:bookmarkStart w:id="578" w:name="_Toc296346650"/>
      <w:r>
        <w:rPr>
          <w:rFonts w:asciiTheme="minorEastAsia" w:hAnsiTheme="minorEastAsia" w:eastAsiaTheme="minorEastAsia"/>
          <w:bCs/>
        </w:rPr>
        <w:t>20.3争议评审</w:t>
      </w:r>
      <w:bookmarkEnd w:id="575"/>
    </w:p>
    <w:bookmarkEnd w:id="576"/>
    <w:bookmarkEnd w:id="577"/>
    <w:bookmarkEnd w:id="578"/>
    <w:p>
      <w:pPr>
        <w:rPr>
          <w:rFonts w:asciiTheme="minorEastAsia" w:hAnsiTheme="minorEastAsia" w:eastAsiaTheme="minorEastAsia"/>
        </w:rPr>
      </w:pPr>
      <w:r>
        <w:rPr>
          <w:rFonts w:asciiTheme="minorEastAsia" w:hAnsiTheme="minorEastAsia" w:eastAsiaTheme="minorEastAsia"/>
        </w:rPr>
        <w:t>合同当事人在专用合同条款中约定采取争议评审方式解决争议</w:t>
      </w:r>
      <w:r>
        <w:rPr>
          <w:rFonts w:hint="eastAsia" w:asciiTheme="minorEastAsia" w:hAnsiTheme="minorEastAsia" w:eastAsiaTheme="minorEastAsia"/>
        </w:rPr>
        <w:t>以及评审规则，并</w:t>
      </w:r>
      <w:r>
        <w:rPr>
          <w:rFonts w:asciiTheme="minorEastAsia" w:hAnsiTheme="minorEastAsia" w:eastAsiaTheme="minorEastAsia"/>
        </w:rPr>
        <w:t xml:space="preserve">按下列约定执行： </w:t>
      </w:r>
    </w:p>
    <w:p>
      <w:pPr>
        <w:rPr>
          <w:rFonts w:asciiTheme="minorEastAsia" w:hAnsiTheme="minorEastAsia" w:eastAsiaTheme="minorEastAsia"/>
        </w:rPr>
      </w:pPr>
      <w:r>
        <w:rPr>
          <w:rFonts w:asciiTheme="minorEastAsia" w:hAnsiTheme="minorEastAsia" w:eastAsiaTheme="minorEastAsia"/>
        </w:rPr>
        <w:t>20.3.1 争议评审小组的确定</w:t>
      </w:r>
    </w:p>
    <w:p>
      <w:pPr>
        <w:rPr>
          <w:rFonts w:asciiTheme="minorEastAsia" w:hAnsiTheme="minorEastAsia" w:eastAsiaTheme="minorEastAsia"/>
        </w:rPr>
      </w:pPr>
      <w:r>
        <w:rPr>
          <w:rFonts w:asciiTheme="minorEastAsia" w:hAnsiTheme="minorEastAsia" w:eastAsiaTheme="minorEastAsia"/>
        </w:rPr>
        <w:t>合同当事人可以共同选择一名或三名争议评审员，组成争议评审小组。除专用合同条款另有约定外，合同当事人应当自合同签订后28天内，或者争议发生后14天内，选定争议评审员。</w:t>
      </w:r>
    </w:p>
    <w:p>
      <w:pPr>
        <w:rPr>
          <w:rFonts w:asciiTheme="minorEastAsia" w:hAnsiTheme="minorEastAsia" w:eastAsiaTheme="minorEastAsia"/>
        </w:rPr>
      </w:pPr>
      <w:r>
        <w:rPr>
          <w:rFonts w:asciiTheme="minorEastAsia" w:hAnsiTheme="minorEastAsia" w:eastAsiaTheme="minorEastAsia"/>
        </w:rPr>
        <w:t>选择一名争议评审员的，由合同当事人共同确定；选择三名争议评审员的，各自选定一名，第三名成员为首席争议评审员，由合同当事人共同确定或由合同当事人委托已选定的争议评审员共同确定，或由专用合同条款约定的</w:t>
      </w:r>
      <w:r>
        <w:rPr>
          <w:rFonts w:hint="eastAsia" w:asciiTheme="minorEastAsia" w:hAnsiTheme="minorEastAsia" w:eastAsiaTheme="minorEastAsia"/>
        </w:rPr>
        <w:t>评审</w:t>
      </w:r>
      <w:r>
        <w:rPr>
          <w:rFonts w:asciiTheme="minorEastAsia" w:hAnsiTheme="minorEastAsia" w:eastAsiaTheme="minorEastAsia"/>
        </w:rPr>
        <w:t xml:space="preserve">机构指定第三名首席争议评审员。 </w:t>
      </w:r>
    </w:p>
    <w:p>
      <w:pPr>
        <w:rPr>
          <w:rFonts w:asciiTheme="minorEastAsia" w:hAnsiTheme="minorEastAsia" w:eastAsiaTheme="minorEastAsia"/>
        </w:rPr>
      </w:pPr>
      <w:r>
        <w:rPr>
          <w:rFonts w:asciiTheme="minorEastAsia" w:hAnsiTheme="minorEastAsia" w:eastAsiaTheme="minorEastAsia"/>
        </w:rPr>
        <w:t>除专用合同条款另有约定外，评审员报酬由发包人和承包人各承担一半。</w:t>
      </w:r>
    </w:p>
    <w:p>
      <w:pPr>
        <w:rPr>
          <w:rFonts w:asciiTheme="minorEastAsia" w:hAnsiTheme="minorEastAsia" w:eastAsiaTheme="minorEastAsia"/>
        </w:rPr>
      </w:pPr>
      <w:r>
        <w:rPr>
          <w:rFonts w:asciiTheme="minorEastAsia" w:hAnsiTheme="minorEastAsia" w:eastAsiaTheme="minorEastAsia"/>
        </w:rPr>
        <w:t>20.3.2 争议评审小组的决定</w:t>
      </w:r>
    </w:p>
    <w:p>
      <w:pPr>
        <w:rPr>
          <w:rFonts w:asciiTheme="minorEastAsia" w:hAnsiTheme="minorEastAsia" w:eastAsiaTheme="minorEastAsia"/>
        </w:rPr>
      </w:pPr>
      <w:r>
        <w:rPr>
          <w:rFonts w:asciiTheme="minorEastAsia" w:hAnsiTheme="minorEastAsia" w:eastAsiaTheme="minorEastAsia"/>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14天内作出书面决定，并说明理由。合同当事人可以在专用合同条款中对本项事项另行约定。</w:t>
      </w:r>
    </w:p>
    <w:p>
      <w:pPr>
        <w:rPr>
          <w:rFonts w:asciiTheme="minorEastAsia" w:hAnsiTheme="minorEastAsia" w:eastAsiaTheme="minorEastAsia"/>
        </w:rPr>
      </w:pPr>
      <w:r>
        <w:rPr>
          <w:rFonts w:asciiTheme="minorEastAsia" w:hAnsiTheme="minorEastAsia" w:eastAsiaTheme="minorEastAsia"/>
        </w:rPr>
        <w:t>20.3.3 争议评审小组决定的效力</w:t>
      </w:r>
    </w:p>
    <w:p>
      <w:pPr>
        <w:rPr>
          <w:rFonts w:asciiTheme="minorEastAsia" w:hAnsiTheme="minorEastAsia" w:eastAsiaTheme="minorEastAsia"/>
        </w:rPr>
      </w:pPr>
      <w:r>
        <w:rPr>
          <w:rFonts w:asciiTheme="minorEastAsia" w:hAnsiTheme="minorEastAsia" w:eastAsiaTheme="minorEastAsia"/>
        </w:rPr>
        <w:t>争议评审小组作出的书面决定经合同当事人签字确认后，对双方具有约束力，双方应遵照执行。</w:t>
      </w:r>
    </w:p>
    <w:p>
      <w:pPr>
        <w:rPr>
          <w:rFonts w:asciiTheme="minorEastAsia" w:hAnsiTheme="minorEastAsia" w:eastAsiaTheme="minorEastAsia"/>
        </w:rPr>
      </w:pPr>
      <w:r>
        <w:rPr>
          <w:rFonts w:asciiTheme="minorEastAsia" w:hAnsiTheme="minorEastAsia" w:eastAsiaTheme="minorEastAsia"/>
        </w:rPr>
        <w:t>任何一方当事人不接受争议评审小组决定</w:t>
      </w:r>
      <w:r>
        <w:rPr>
          <w:rFonts w:hint="eastAsia" w:asciiTheme="minorEastAsia" w:hAnsiTheme="minorEastAsia" w:eastAsiaTheme="minorEastAsia"/>
        </w:rPr>
        <w:t>或不履行争议评审小组决定的</w:t>
      </w:r>
      <w:r>
        <w:rPr>
          <w:rFonts w:asciiTheme="minorEastAsia" w:hAnsiTheme="minorEastAsia" w:eastAsiaTheme="minorEastAsia"/>
        </w:rPr>
        <w:t>，双方可选择采用其他争议解决方式。</w:t>
      </w:r>
    </w:p>
    <w:p>
      <w:pPr>
        <w:rPr>
          <w:rFonts w:asciiTheme="minorEastAsia" w:hAnsiTheme="minorEastAsia" w:eastAsiaTheme="minorEastAsia"/>
          <w:bCs/>
        </w:rPr>
      </w:pPr>
      <w:bookmarkStart w:id="579" w:name="_Toc351203630"/>
      <w:bookmarkStart w:id="580" w:name="_Toc337558844"/>
      <w:bookmarkStart w:id="581" w:name="_Toc296346651"/>
      <w:bookmarkStart w:id="582" w:name="_Toc296503150"/>
      <w:r>
        <w:rPr>
          <w:rFonts w:asciiTheme="minorEastAsia" w:hAnsiTheme="minorEastAsia" w:eastAsiaTheme="minorEastAsia"/>
          <w:bCs/>
        </w:rPr>
        <w:t>20.4仲裁或诉讼</w:t>
      </w:r>
      <w:bookmarkEnd w:id="579"/>
    </w:p>
    <w:bookmarkEnd w:id="580"/>
    <w:bookmarkEnd w:id="581"/>
    <w:bookmarkEnd w:id="582"/>
    <w:p>
      <w:pPr>
        <w:rPr>
          <w:rFonts w:asciiTheme="minorEastAsia" w:hAnsiTheme="minorEastAsia" w:eastAsiaTheme="minorEastAsia"/>
        </w:rPr>
      </w:pPr>
      <w:r>
        <w:rPr>
          <w:rFonts w:asciiTheme="minorEastAsia" w:hAnsiTheme="minorEastAsia" w:eastAsiaTheme="minorEastAsia"/>
        </w:rPr>
        <w:t>因合同及合同有关事项产生的争议，合同当事人可以在专用合同条款中约定以下一种方式解决争议：</w:t>
      </w:r>
    </w:p>
    <w:p>
      <w:pPr>
        <w:rPr>
          <w:rFonts w:asciiTheme="minorEastAsia" w:hAnsiTheme="minorEastAsia" w:eastAsiaTheme="minorEastAsia"/>
        </w:rPr>
      </w:pPr>
      <w:r>
        <w:rPr>
          <w:rFonts w:asciiTheme="minorEastAsia" w:hAnsiTheme="minorEastAsia" w:eastAsiaTheme="minorEastAsia"/>
        </w:rPr>
        <w:t>（1）向约定的仲裁委员会申请仲裁；</w:t>
      </w:r>
    </w:p>
    <w:p>
      <w:pPr>
        <w:rPr>
          <w:rFonts w:asciiTheme="minorEastAsia" w:hAnsiTheme="minorEastAsia" w:eastAsiaTheme="minorEastAsia"/>
        </w:rPr>
      </w:pPr>
      <w:r>
        <w:rPr>
          <w:rFonts w:asciiTheme="minorEastAsia" w:hAnsiTheme="minorEastAsia" w:eastAsiaTheme="minorEastAsia"/>
        </w:rPr>
        <w:t>（2）向有管辖权的人民法院起诉。</w:t>
      </w:r>
    </w:p>
    <w:p>
      <w:pPr>
        <w:rPr>
          <w:rFonts w:asciiTheme="minorEastAsia" w:hAnsiTheme="minorEastAsia" w:eastAsiaTheme="minorEastAsia"/>
          <w:bCs/>
        </w:rPr>
      </w:pPr>
      <w:bookmarkStart w:id="583" w:name="_Toc351203631"/>
      <w:bookmarkStart w:id="584" w:name="_Toc296346653"/>
      <w:bookmarkStart w:id="585" w:name="_Toc296503152"/>
      <w:bookmarkStart w:id="586" w:name="_Toc337558845"/>
      <w:r>
        <w:rPr>
          <w:rFonts w:asciiTheme="minorEastAsia" w:hAnsiTheme="minorEastAsia" w:eastAsiaTheme="minorEastAsia"/>
          <w:bCs/>
        </w:rPr>
        <w:t>20.5争议解决条款效力</w:t>
      </w:r>
      <w:bookmarkEnd w:id="583"/>
    </w:p>
    <w:bookmarkEnd w:id="584"/>
    <w:bookmarkEnd w:id="585"/>
    <w:bookmarkEnd w:id="586"/>
    <w:p>
      <w:pPr>
        <w:rPr>
          <w:rFonts w:asciiTheme="minorEastAsia" w:hAnsiTheme="minorEastAsia" w:eastAsiaTheme="minorEastAsia"/>
        </w:rPr>
      </w:pPr>
      <w:r>
        <w:rPr>
          <w:rFonts w:asciiTheme="minorEastAsia" w:hAnsiTheme="minorEastAsia" w:eastAsiaTheme="minorEastAsia"/>
        </w:rPr>
        <w:t xml:space="preserve">合同有关争议解决的条款独立存在，合同的变更、解除、终止、无效或者被撤销均不影响其效力。 </w:t>
      </w:r>
    </w:p>
    <w:p>
      <w:pPr>
        <w:rPr>
          <w:rFonts w:asciiTheme="minorEastAsia" w:hAnsiTheme="minorEastAsia" w:eastAsiaTheme="minorEastAsia"/>
          <w:b/>
        </w:rPr>
      </w:pPr>
      <w:bookmarkStart w:id="587" w:name="_Toc351203632"/>
      <w:r>
        <w:rPr>
          <w:rFonts w:asciiTheme="minorEastAsia" w:hAnsiTheme="minorEastAsia" w:eastAsiaTheme="minorEastAsia"/>
          <w:b/>
          <w:bCs/>
        </w:rPr>
        <w:br w:type="page"/>
      </w:r>
      <w:bookmarkStart w:id="588" w:name="PO_默认文件内容_28"/>
      <w:r>
        <w:rPr>
          <w:rFonts w:asciiTheme="minorEastAsia" w:hAnsiTheme="minorEastAsia" w:eastAsiaTheme="minorEastAsia"/>
          <w:b/>
        </w:rPr>
        <w:t>第三</w:t>
      </w:r>
      <w:r>
        <w:rPr>
          <w:rFonts w:hint="eastAsia" w:asciiTheme="minorEastAsia" w:hAnsiTheme="minorEastAsia" w:eastAsiaTheme="minorEastAsia"/>
          <w:b/>
        </w:rPr>
        <w:t>节</w:t>
      </w:r>
      <w:r>
        <w:rPr>
          <w:rFonts w:asciiTheme="minorEastAsia" w:hAnsiTheme="minorEastAsia" w:eastAsiaTheme="minorEastAsia"/>
          <w:b/>
        </w:rPr>
        <w:t xml:space="preserve"> </w:t>
      </w:r>
      <w:r>
        <w:rPr>
          <w:rFonts w:hint="eastAsia" w:asciiTheme="minorEastAsia" w:hAnsiTheme="minorEastAsia" w:eastAsiaTheme="minorEastAsia"/>
          <w:b/>
        </w:rPr>
        <w:t>专用合同条款</w:t>
      </w:r>
      <w:bookmarkEnd w:id="587"/>
    </w:p>
    <w:p>
      <w:pPr>
        <w:rPr>
          <w:rFonts w:asciiTheme="minorEastAsia" w:hAnsiTheme="minorEastAsia" w:eastAsiaTheme="minorEastAsia"/>
          <w:b/>
        </w:rPr>
      </w:pPr>
      <w:bookmarkStart w:id="589" w:name="_Toc351203633"/>
      <w:r>
        <w:rPr>
          <w:rFonts w:asciiTheme="minorEastAsia" w:hAnsiTheme="minorEastAsia" w:eastAsiaTheme="minorEastAsia"/>
          <w:b/>
        </w:rPr>
        <w:t>1</w:t>
      </w:r>
      <w:bookmarkStart w:id="590" w:name="_Toc296891196"/>
      <w:bookmarkStart w:id="591" w:name="_Toc296503156"/>
      <w:bookmarkStart w:id="592" w:name="_Toc296944495"/>
      <w:bookmarkStart w:id="593" w:name="_Toc296347155"/>
      <w:bookmarkStart w:id="594" w:name="_Toc296890984"/>
      <w:bookmarkStart w:id="595" w:name="_Toc297048342"/>
      <w:bookmarkStart w:id="596" w:name="_Toc292559866"/>
      <w:bookmarkStart w:id="597" w:name="_Toc296346657"/>
      <w:bookmarkStart w:id="598" w:name="_Toc297120456"/>
      <w:bookmarkStart w:id="599" w:name="_Toc292559361"/>
      <w:r>
        <w:rPr>
          <w:rFonts w:asciiTheme="minorEastAsia" w:hAnsiTheme="minorEastAsia" w:eastAsiaTheme="minorEastAsia"/>
          <w:b/>
        </w:rPr>
        <w:t>. 一般约定</w:t>
      </w:r>
      <w:bookmarkEnd w:id="589"/>
    </w:p>
    <w:bookmarkEnd w:id="590"/>
    <w:bookmarkEnd w:id="591"/>
    <w:bookmarkEnd w:id="592"/>
    <w:bookmarkEnd w:id="593"/>
    <w:bookmarkEnd w:id="594"/>
    <w:bookmarkEnd w:id="595"/>
    <w:bookmarkEnd w:id="596"/>
    <w:bookmarkEnd w:id="597"/>
    <w:bookmarkEnd w:id="598"/>
    <w:bookmarkEnd w:id="599"/>
    <w:p>
      <w:pPr>
        <w:rPr>
          <w:rFonts w:asciiTheme="minorEastAsia" w:hAnsiTheme="minorEastAsia" w:eastAsiaTheme="minorEastAsia"/>
        </w:rPr>
      </w:pPr>
      <w:r>
        <w:rPr>
          <w:rFonts w:asciiTheme="minorEastAsia" w:hAnsiTheme="minorEastAsia" w:eastAsiaTheme="minorEastAsia"/>
        </w:rPr>
        <w:t>1.1 词语定义</w:t>
      </w:r>
    </w:p>
    <w:p>
      <w:pPr>
        <w:rPr>
          <w:rFonts w:asciiTheme="minorEastAsia" w:hAnsiTheme="minorEastAsia" w:eastAsiaTheme="minorEastAsia"/>
        </w:rPr>
      </w:pPr>
      <w:r>
        <w:rPr>
          <w:rFonts w:asciiTheme="minorEastAsia" w:hAnsiTheme="minorEastAsia" w:eastAsiaTheme="minorEastAsia"/>
        </w:rPr>
        <w:t>1.1.1合同</w:t>
      </w:r>
    </w:p>
    <w:p>
      <w:pPr>
        <w:rPr>
          <w:rFonts w:asciiTheme="minorEastAsia" w:hAnsiTheme="minorEastAsia" w:eastAsiaTheme="minorEastAsia"/>
        </w:rPr>
      </w:pPr>
      <w:r>
        <w:rPr>
          <w:rFonts w:asciiTheme="minorEastAsia" w:hAnsiTheme="minorEastAsia" w:eastAsiaTheme="minorEastAsia"/>
        </w:rPr>
        <w:t>1.1.1.10其他合同文件包括：</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1.1.2 合同当事人及其他相关方</w:t>
      </w:r>
    </w:p>
    <w:p>
      <w:pPr>
        <w:rPr>
          <w:rFonts w:asciiTheme="minorEastAsia" w:hAnsiTheme="minorEastAsia" w:eastAsiaTheme="minorEastAsia"/>
        </w:rPr>
      </w:pPr>
      <w:r>
        <w:rPr>
          <w:rFonts w:asciiTheme="minorEastAsia" w:hAnsiTheme="minorEastAsia" w:eastAsiaTheme="minorEastAsia"/>
        </w:rPr>
        <w:t>1.1.2.4监理人：</w:t>
      </w:r>
    </w:p>
    <w:p>
      <w:pPr>
        <w:rPr>
          <w:rFonts w:asciiTheme="minorEastAsia" w:hAnsiTheme="minorEastAsia" w:eastAsiaTheme="minorEastAsia"/>
        </w:rPr>
      </w:pPr>
      <w:r>
        <w:rPr>
          <w:rFonts w:asciiTheme="minorEastAsia" w:hAnsiTheme="minorEastAsia" w:eastAsiaTheme="minorEastAsia"/>
        </w:rPr>
        <w:t>名    称：</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资质类别和等级：</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联系电话：</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电子信箱：</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通信地址：</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1.1.2.5 设计人：</w:t>
      </w:r>
    </w:p>
    <w:p>
      <w:pPr>
        <w:rPr>
          <w:rFonts w:asciiTheme="minorEastAsia" w:hAnsiTheme="minorEastAsia" w:eastAsiaTheme="minorEastAsia"/>
        </w:rPr>
      </w:pPr>
      <w:r>
        <w:rPr>
          <w:rFonts w:asciiTheme="minorEastAsia" w:hAnsiTheme="minorEastAsia" w:eastAsiaTheme="minorEastAsia"/>
        </w:rPr>
        <w:t>名    称：</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资质类别和等级：</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联系电话：</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电子信箱：</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通信地址：</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1.1.3 工程和设备</w:t>
      </w:r>
    </w:p>
    <w:p>
      <w:pPr>
        <w:rPr>
          <w:rFonts w:asciiTheme="minorEastAsia" w:hAnsiTheme="minorEastAsia" w:eastAsiaTheme="minorEastAsia"/>
          <w:u w:val="single"/>
        </w:rPr>
      </w:pPr>
      <w:r>
        <w:rPr>
          <w:rFonts w:asciiTheme="minorEastAsia" w:hAnsiTheme="minorEastAsia" w:eastAsiaTheme="minorEastAsia"/>
        </w:rPr>
        <w:t>1.1.3.7 作为施工现场组成部分的其他场所包括：</w:t>
      </w:r>
      <w:r>
        <w:rPr>
          <w:rFonts w:hint="eastAsia"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1.1.3.9 永久占地包括：</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1.1.3.10 临时占地包括：</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 xml:space="preserve">1.3法律 </w:t>
      </w:r>
    </w:p>
    <w:p>
      <w:pPr>
        <w:rPr>
          <w:rFonts w:asciiTheme="minorEastAsia" w:hAnsiTheme="minorEastAsia" w:eastAsiaTheme="minorEastAsia"/>
          <w:u w:val="single"/>
        </w:rPr>
      </w:pPr>
      <w:r>
        <w:rPr>
          <w:rFonts w:asciiTheme="minorEastAsia" w:hAnsiTheme="minorEastAsia" w:eastAsiaTheme="minorEastAsia"/>
        </w:rPr>
        <w:t>适用于合同的其他规范性文件：</w:t>
      </w:r>
      <w:r>
        <w:rPr>
          <w:rFonts w:hint="eastAsia" w:asciiTheme="minorEastAsia" w:hAnsiTheme="minorEastAsia" w:eastAsiaTheme="minorEastAsia"/>
          <w:u w:val="single"/>
        </w:rPr>
        <w:t xml:space="preserve"> </w:t>
      </w:r>
    </w:p>
    <w:p>
      <w:pPr>
        <w:rPr>
          <w:rFonts w:asciiTheme="minorEastAsia" w:hAnsiTheme="minorEastAsia" w:eastAsiaTheme="minorEastAsia"/>
        </w:rPr>
      </w:pP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1.4 标准和规范</w:t>
      </w:r>
    </w:p>
    <w:p>
      <w:pPr>
        <w:rPr>
          <w:rFonts w:asciiTheme="minorEastAsia" w:hAnsiTheme="minorEastAsia" w:eastAsiaTheme="minorEastAsia"/>
        </w:rPr>
      </w:pPr>
      <w:r>
        <w:rPr>
          <w:rFonts w:asciiTheme="minorEastAsia" w:hAnsiTheme="minorEastAsia" w:eastAsiaTheme="minorEastAsia"/>
        </w:rPr>
        <w:t>1.4.1适用于工程的标准规范包括：</w:t>
      </w:r>
      <w:r>
        <w:rPr>
          <w:rFonts w:hint="eastAsia" w:asciiTheme="minorEastAsia" w:hAnsiTheme="minorEastAsia" w:eastAsiaTheme="minorEastAsia"/>
          <w:u w:val="single"/>
        </w:rPr>
        <w:t xml:space="preserve">      </w:t>
      </w:r>
    </w:p>
    <w:p>
      <w:pPr>
        <w:rPr>
          <w:rFonts w:asciiTheme="minorEastAsia" w:hAnsiTheme="minorEastAsia" w:eastAsiaTheme="minorEastAsia"/>
        </w:rPr>
      </w:pP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u w:val="single"/>
        </w:rPr>
      </w:pPr>
      <w:r>
        <w:rPr>
          <w:rFonts w:asciiTheme="minorEastAsia" w:hAnsiTheme="minorEastAsia" w:eastAsiaTheme="minorEastAsia"/>
        </w:rPr>
        <w:t>1.4.2 发包人提供国外标准、规范的名称：</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发包人提供国外标准、规范的份数：</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发包人提供国外标准、规范的名称：</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1.4.3发包人对工程的技术标准和功能要求的特殊要求：</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1.5 合同文件的优先顺序</w:t>
      </w:r>
    </w:p>
    <w:p>
      <w:pPr>
        <w:rPr>
          <w:rFonts w:asciiTheme="minorEastAsia" w:hAnsiTheme="minorEastAsia" w:eastAsiaTheme="minorEastAsia"/>
        </w:rPr>
      </w:pPr>
      <w:r>
        <w:rPr>
          <w:rFonts w:asciiTheme="minorEastAsia" w:hAnsiTheme="minorEastAsia" w:eastAsiaTheme="minorEastAsia"/>
        </w:rPr>
        <w:t>合同文件组成及优先顺序为：</w:t>
      </w:r>
    </w:p>
    <w:p>
      <w:pPr>
        <w:rPr>
          <w:rFonts w:asciiTheme="minorEastAsia" w:hAnsiTheme="minorEastAsia" w:eastAsiaTheme="minorEastAsia"/>
          <w:u w:val="single"/>
        </w:rPr>
      </w:pPr>
      <w:r>
        <w:rPr>
          <w:rFonts w:hint="eastAsia" w:asciiTheme="minorEastAsia" w:hAnsiTheme="minorEastAsia" w:eastAsiaTheme="minorEastAsia"/>
          <w:u w:val="single"/>
        </w:rPr>
        <w:t>（1）合同协议书；</w:t>
      </w:r>
    </w:p>
    <w:p>
      <w:pPr>
        <w:rPr>
          <w:rFonts w:asciiTheme="minorEastAsia" w:hAnsiTheme="minorEastAsia" w:eastAsiaTheme="minorEastAsia"/>
          <w:u w:val="single"/>
        </w:rPr>
      </w:pPr>
      <w:r>
        <w:rPr>
          <w:rFonts w:hint="eastAsia" w:asciiTheme="minorEastAsia" w:hAnsiTheme="minorEastAsia" w:eastAsiaTheme="minorEastAsia"/>
          <w:u w:val="single"/>
        </w:rPr>
        <w:t>（2）成交通知书；</w:t>
      </w:r>
    </w:p>
    <w:p>
      <w:pPr>
        <w:rPr>
          <w:rFonts w:asciiTheme="minorEastAsia" w:hAnsiTheme="minorEastAsia" w:eastAsiaTheme="minorEastAsia"/>
          <w:u w:val="single"/>
        </w:rPr>
      </w:pPr>
      <w:r>
        <w:rPr>
          <w:rFonts w:hint="eastAsia" w:asciiTheme="minorEastAsia" w:hAnsiTheme="minorEastAsia" w:eastAsiaTheme="minorEastAsia"/>
          <w:u w:val="single"/>
        </w:rPr>
        <w:t>（3）专用合同条款及其附件；</w:t>
      </w:r>
    </w:p>
    <w:p>
      <w:pPr>
        <w:rPr>
          <w:rFonts w:asciiTheme="minorEastAsia" w:hAnsiTheme="minorEastAsia" w:eastAsiaTheme="minorEastAsia"/>
          <w:u w:val="single"/>
        </w:rPr>
      </w:pPr>
      <w:r>
        <w:rPr>
          <w:rFonts w:hint="eastAsia" w:asciiTheme="minorEastAsia" w:hAnsiTheme="minorEastAsia" w:eastAsiaTheme="minorEastAsia"/>
          <w:u w:val="single"/>
        </w:rPr>
        <w:t>（4）通用合同条款；</w:t>
      </w:r>
    </w:p>
    <w:p>
      <w:pPr>
        <w:rPr>
          <w:rFonts w:asciiTheme="minorEastAsia" w:hAnsiTheme="minorEastAsia" w:eastAsiaTheme="minorEastAsia"/>
          <w:u w:val="single"/>
        </w:rPr>
      </w:pPr>
      <w:r>
        <w:rPr>
          <w:rFonts w:hint="eastAsia" w:asciiTheme="minorEastAsia" w:hAnsiTheme="minorEastAsia" w:eastAsiaTheme="minorEastAsia"/>
          <w:u w:val="single"/>
        </w:rPr>
        <w:t>（5）评审报告；</w:t>
      </w:r>
    </w:p>
    <w:p>
      <w:pPr>
        <w:rPr>
          <w:rFonts w:asciiTheme="minorEastAsia" w:hAnsiTheme="minorEastAsia" w:eastAsiaTheme="minorEastAsia"/>
          <w:u w:val="single"/>
        </w:rPr>
      </w:pPr>
      <w:r>
        <w:rPr>
          <w:rFonts w:hint="eastAsia" w:asciiTheme="minorEastAsia" w:hAnsiTheme="minorEastAsia" w:eastAsiaTheme="minorEastAsia"/>
          <w:u w:val="single"/>
        </w:rPr>
        <w:t>（6）技术标准和要求；</w:t>
      </w:r>
    </w:p>
    <w:p>
      <w:pPr>
        <w:rPr>
          <w:rFonts w:asciiTheme="minorEastAsia" w:hAnsiTheme="minorEastAsia" w:eastAsiaTheme="minorEastAsia"/>
          <w:u w:val="single"/>
        </w:rPr>
      </w:pPr>
      <w:r>
        <w:rPr>
          <w:rFonts w:hint="eastAsia" w:asciiTheme="minorEastAsia" w:hAnsiTheme="minorEastAsia" w:eastAsiaTheme="minorEastAsia"/>
          <w:u w:val="single"/>
        </w:rPr>
        <w:t>（7）图纸；</w:t>
      </w:r>
    </w:p>
    <w:p>
      <w:pPr>
        <w:rPr>
          <w:rFonts w:asciiTheme="minorEastAsia" w:hAnsiTheme="minorEastAsia" w:eastAsiaTheme="minorEastAsia"/>
          <w:u w:val="single"/>
        </w:rPr>
      </w:pPr>
      <w:r>
        <w:rPr>
          <w:rFonts w:hint="eastAsia" w:asciiTheme="minorEastAsia" w:hAnsiTheme="minorEastAsia" w:eastAsiaTheme="minorEastAsia"/>
          <w:u w:val="single"/>
        </w:rPr>
        <w:t>（8）已标价工程量清单或预算书；</w:t>
      </w:r>
    </w:p>
    <w:p>
      <w:pPr>
        <w:rPr>
          <w:rFonts w:asciiTheme="minorEastAsia" w:hAnsiTheme="minorEastAsia" w:eastAsiaTheme="minorEastAsia"/>
        </w:rPr>
      </w:pPr>
      <w:r>
        <w:rPr>
          <w:rFonts w:hint="eastAsia" w:asciiTheme="minorEastAsia" w:hAnsiTheme="minorEastAsia" w:eastAsiaTheme="minorEastAsia"/>
          <w:u w:val="single"/>
        </w:rPr>
        <w:t>（9）其他合同文件。</w:t>
      </w:r>
    </w:p>
    <w:p>
      <w:pPr>
        <w:rPr>
          <w:rFonts w:asciiTheme="minorEastAsia" w:hAnsiTheme="minorEastAsia" w:eastAsiaTheme="minorEastAsia"/>
        </w:rPr>
      </w:pPr>
      <w:r>
        <w:rPr>
          <w:rFonts w:asciiTheme="minorEastAsia" w:hAnsiTheme="minorEastAsia" w:eastAsiaTheme="minorEastAsia"/>
        </w:rPr>
        <w:t>1.6 图纸和承包人文件</w:t>
      </w:r>
      <w:r>
        <w:rPr>
          <w:rFonts w:asciiTheme="minorEastAsia" w:hAnsiTheme="minorEastAsia" w:eastAsiaTheme="minorEastAsia"/>
        </w:rPr>
        <w:tab/>
      </w:r>
    </w:p>
    <w:p>
      <w:pPr>
        <w:rPr>
          <w:rFonts w:asciiTheme="minorEastAsia" w:hAnsiTheme="minorEastAsia" w:eastAsiaTheme="minorEastAsia"/>
        </w:rPr>
      </w:pPr>
      <w:r>
        <w:rPr>
          <w:rFonts w:asciiTheme="minorEastAsia" w:hAnsiTheme="minorEastAsia" w:eastAsiaTheme="minorEastAsia"/>
        </w:rPr>
        <w:t>1.6.1 图纸的提供</w:t>
      </w:r>
    </w:p>
    <w:p>
      <w:pPr>
        <w:rPr>
          <w:rFonts w:asciiTheme="minorEastAsia" w:hAnsiTheme="minorEastAsia" w:eastAsiaTheme="minorEastAsia"/>
        </w:rPr>
      </w:pPr>
      <w:r>
        <w:rPr>
          <w:rFonts w:asciiTheme="minorEastAsia" w:hAnsiTheme="minorEastAsia" w:eastAsiaTheme="minorEastAsia"/>
        </w:rPr>
        <w:t>发包人向承包人提供图纸的期限：</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发包人向承包人提供图纸的数量：</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发包人向承包人提供图纸的内容：</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1.6.4 承包人文件</w:t>
      </w:r>
    </w:p>
    <w:p>
      <w:pPr>
        <w:rPr>
          <w:rFonts w:asciiTheme="minorEastAsia" w:hAnsiTheme="minorEastAsia" w:eastAsiaTheme="minorEastAsia"/>
        </w:rPr>
      </w:pPr>
      <w:r>
        <w:rPr>
          <w:rFonts w:asciiTheme="minorEastAsia" w:hAnsiTheme="minorEastAsia" w:eastAsiaTheme="minorEastAsia"/>
        </w:rPr>
        <w:t>需要由承包人提供的文件，包括：</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承包人提供的文件的期限为：</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承包人提供的文件的数量为：</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承包人提供的文件的形式为：</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发包人</w:t>
      </w:r>
      <w:r>
        <w:rPr>
          <w:rFonts w:hint="eastAsia" w:asciiTheme="minorEastAsia" w:hAnsiTheme="minorEastAsia" w:eastAsiaTheme="minorEastAsia"/>
        </w:rPr>
        <w:t>审批</w:t>
      </w:r>
      <w:r>
        <w:rPr>
          <w:rFonts w:asciiTheme="minorEastAsia" w:hAnsiTheme="minorEastAsia" w:eastAsiaTheme="minorEastAsia"/>
        </w:rPr>
        <w:t>承包人文件的期限：</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1.6.5 现场图纸准备</w:t>
      </w:r>
    </w:p>
    <w:p>
      <w:pPr>
        <w:rPr>
          <w:rFonts w:asciiTheme="minorEastAsia" w:hAnsiTheme="minorEastAsia" w:eastAsiaTheme="minorEastAsia"/>
        </w:rPr>
      </w:pPr>
      <w:r>
        <w:rPr>
          <w:rFonts w:asciiTheme="minorEastAsia" w:hAnsiTheme="minorEastAsia" w:eastAsiaTheme="minorEastAsia"/>
        </w:rPr>
        <w:t>关于现场图纸准备的约定：</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1.7 联络</w:t>
      </w:r>
    </w:p>
    <w:p>
      <w:pPr>
        <w:rPr>
          <w:rFonts w:asciiTheme="minorEastAsia" w:hAnsiTheme="minorEastAsia" w:eastAsiaTheme="minorEastAsia"/>
        </w:rPr>
      </w:pPr>
      <w:r>
        <w:rPr>
          <w:rFonts w:asciiTheme="minorEastAsia" w:hAnsiTheme="minorEastAsia" w:eastAsiaTheme="minorEastAsia"/>
        </w:rPr>
        <w:t>1.7.1发包人和承包人应当在</w:t>
      </w:r>
      <w:r>
        <w:rPr>
          <w:rFonts w:asciiTheme="minorEastAsia" w:hAnsiTheme="minorEastAsia" w:eastAsiaTheme="minorEastAsia"/>
          <w:u w:val="single"/>
        </w:rPr>
        <w:t xml:space="preserve">   </w:t>
      </w:r>
      <w:r>
        <w:rPr>
          <w:rFonts w:asciiTheme="minorEastAsia" w:hAnsiTheme="minorEastAsia" w:eastAsiaTheme="minorEastAsia"/>
        </w:rPr>
        <w:t>天内将与合同有关的通知、批准、证明、证书、指示、指令、要求、请求、同意、意见、确定和决定等书面函件送达对方当事人</w:t>
      </w:r>
      <w:r>
        <w:rPr>
          <w:rFonts w:hint="eastAsia"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1.7.2 发包人接收文件的地点：</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发包人指定的接收人为：</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p>
    <w:p>
      <w:pPr>
        <w:rPr>
          <w:rFonts w:asciiTheme="minorEastAsia" w:hAnsiTheme="minorEastAsia" w:eastAsiaTheme="minorEastAsia"/>
        </w:rPr>
      </w:pPr>
      <w:r>
        <w:rPr>
          <w:rFonts w:asciiTheme="minorEastAsia" w:hAnsiTheme="minorEastAsia" w:eastAsiaTheme="minorEastAsia"/>
        </w:rPr>
        <w:t>承包人接收文件的地点：</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承包人指定的接收人为：</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p>
    <w:p>
      <w:pPr>
        <w:rPr>
          <w:rFonts w:asciiTheme="minorEastAsia" w:hAnsiTheme="minorEastAsia" w:eastAsiaTheme="minorEastAsia"/>
        </w:rPr>
      </w:pPr>
      <w:r>
        <w:rPr>
          <w:rFonts w:asciiTheme="minorEastAsia" w:hAnsiTheme="minorEastAsia" w:eastAsiaTheme="minorEastAsia"/>
        </w:rPr>
        <w:t>监理人接收文件的地点：</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监理人指定的接收人为：</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1.10 交通运输</w:t>
      </w:r>
    </w:p>
    <w:p>
      <w:pPr>
        <w:rPr>
          <w:rFonts w:asciiTheme="minorEastAsia" w:hAnsiTheme="minorEastAsia" w:eastAsiaTheme="minorEastAsia"/>
        </w:rPr>
      </w:pPr>
      <w:r>
        <w:rPr>
          <w:rFonts w:asciiTheme="minorEastAsia" w:hAnsiTheme="minorEastAsia" w:eastAsiaTheme="minorEastAsia"/>
        </w:rPr>
        <w:t>1</w:t>
      </w:r>
      <w:bookmarkStart w:id="600" w:name="_Toc318581155"/>
      <w:bookmarkStart w:id="601" w:name="_Toc304295521"/>
      <w:bookmarkStart w:id="602" w:name="_Toc303539100"/>
      <w:bookmarkStart w:id="603" w:name="_Toc300934943"/>
      <w:bookmarkStart w:id="604" w:name="_Toc312677986"/>
      <w:r>
        <w:rPr>
          <w:rFonts w:asciiTheme="minorEastAsia" w:hAnsiTheme="minorEastAsia" w:eastAsiaTheme="minorEastAsia"/>
        </w:rPr>
        <w:t>.10.1 出入现场的权利</w:t>
      </w:r>
    </w:p>
    <w:p>
      <w:pPr>
        <w:rPr>
          <w:rFonts w:asciiTheme="minorEastAsia" w:hAnsiTheme="minorEastAsia" w:eastAsiaTheme="minorEastAsia"/>
          <w:u w:val="single"/>
        </w:rPr>
      </w:pPr>
      <w:r>
        <w:rPr>
          <w:rFonts w:asciiTheme="minorEastAsia" w:hAnsiTheme="minorEastAsia" w:eastAsiaTheme="minorEastAsia"/>
        </w:rPr>
        <w:t>关于出入现场的权利的约定：</w:t>
      </w:r>
    </w:p>
    <w:p>
      <w:pPr>
        <w:rPr>
          <w:rFonts w:asciiTheme="minorEastAsia" w:hAnsiTheme="minorEastAsia" w:eastAsiaTheme="minorEastAsia"/>
        </w:rPr>
      </w:pPr>
      <w:r>
        <w:rPr>
          <w:rFonts w:hint="eastAsia" w:asciiTheme="minorEastAsia" w:hAnsiTheme="minorEastAsia" w:eastAsiaTheme="minorEastAsia"/>
          <w:u w:val="single"/>
        </w:rPr>
        <w:t xml:space="preserve">                 </w:t>
      </w:r>
      <w:r>
        <w:rPr>
          <w:rFonts w:asciiTheme="minorEastAsia" w:hAnsiTheme="minorEastAsia" w:eastAsiaTheme="minorEastAsia"/>
        </w:rPr>
        <w:t>。</w:t>
      </w:r>
    </w:p>
    <w:bookmarkEnd w:id="600"/>
    <w:bookmarkEnd w:id="601"/>
    <w:bookmarkEnd w:id="602"/>
    <w:bookmarkEnd w:id="603"/>
    <w:bookmarkEnd w:id="604"/>
    <w:p>
      <w:pPr>
        <w:rPr>
          <w:rFonts w:asciiTheme="minorEastAsia" w:hAnsiTheme="minorEastAsia" w:eastAsiaTheme="minorEastAsia"/>
        </w:rPr>
      </w:pPr>
      <w:r>
        <w:rPr>
          <w:rFonts w:asciiTheme="minorEastAsia" w:hAnsiTheme="minorEastAsia" w:eastAsiaTheme="minorEastAsia"/>
        </w:rPr>
        <w:t>1</w:t>
      </w:r>
      <w:bookmarkStart w:id="605" w:name="_Toc304295522"/>
      <w:bookmarkStart w:id="606" w:name="_Toc303539101"/>
      <w:bookmarkStart w:id="607" w:name="_Toc318581156"/>
      <w:bookmarkStart w:id="608" w:name="_Toc312677987"/>
      <w:bookmarkStart w:id="609" w:name="_Toc300934944"/>
      <w:r>
        <w:rPr>
          <w:rFonts w:asciiTheme="minorEastAsia" w:hAnsiTheme="minorEastAsia" w:eastAsiaTheme="minorEastAsia"/>
        </w:rPr>
        <w:t>.10.3 场内交通</w:t>
      </w:r>
    </w:p>
    <w:p>
      <w:pPr>
        <w:rPr>
          <w:rFonts w:asciiTheme="minorEastAsia" w:hAnsiTheme="minorEastAsia" w:eastAsiaTheme="minorEastAsia"/>
        </w:rPr>
      </w:pPr>
      <w:r>
        <w:rPr>
          <w:rFonts w:asciiTheme="minorEastAsia" w:hAnsiTheme="minorEastAsia" w:eastAsiaTheme="minorEastAsia"/>
        </w:rPr>
        <w:t>关于场外交通和场内交通的边界的约定：</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关于发包人向承包人免费提供满足工程施工需要的场内道路和交通设施的约定：</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rPr>
        <w:t>。</w:t>
      </w:r>
      <w:bookmarkEnd w:id="605"/>
      <w:bookmarkEnd w:id="606"/>
      <w:bookmarkEnd w:id="607"/>
      <w:bookmarkEnd w:id="608"/>
      <w:bookmarkEnd w:id="609"/>
      <w:r>
        <w:rPr>
          <w:rFonts w:asciiTheme="minorEastAsia" w:hAnsiTheme="minorEastAsia" w:eastAsiaTheme="minorEastAsia"/>
        </w:rPr>
        <w:t xml:space="preserve">  </w:t>
      </w:r>
      <w:bookmarkStart w:id="610" w:name="_Toc318581157"/>
    </w:p>
    <w:p>
      <w:pPr>
        <w:rPr>
          <w:rFonts w:asciiTheme="minorEastAsia" w:hAnsiTheme="minorEastAsia" w:eastAsiaTheme="minorEastAsia"/>
        </w:rPr>
      </w:pPr>
      <w:r>
        <w:rPr>
          <w:rFonts w:asciiTheme="minorEastAsia" w:hAnsiTheme="minorEastAsia" w:eastAsiaTheme="minorEastAsia"/>
        </w:rPr>
        <w:t>1.10.4超大件和超重件的运输</w:t>
      </w:r>
    </w:p>
    <w:p>
      <w:pPr>
        <w:rPr>
          <w:rFonts w:asciiTheme="minorEastAsia" w:hAnsiTheme="minorEastAsia" w:eastAsiaTheme="minorEastAsia"/>
        </w:rPr>
      </w:pPr>
      <w:r>
        <w:rPr>
          <w:rFonts w:asciiTheme="minorEastAsia" w:hAnsiTheme="minorEastAsia" w:eastAsiaTheme="minorEastAsia"/>
        </w:rPr>
        <w:t>运输超大件或超重件所需的道路和桥梁临时加固改造费用和其他有关费用由</w:t>
      </w:r>
      <w:r>
        <w:rPr>
          <w:rFonts w:asciiTheme="minorEastAsia" w:hAnsiTheme="minorEastAsia" w:eastAsiaTheme="minorEastAsia"/>
          <w:u w:val="single"/>
        </w:rPr>
        <w:t xml:space="preserve">              </w:t>
      </w:r>
      <w:r>
        <w:rPr>
          <w:rFonts w:asciiTheme="minorEastAsia" w:hAnsiTheme="minorEastAsia" w:eastAsiaTheme="minorEastAsia"/>
        </w:rPr>
        <w:t>承担。</w:t>
      </w:r>
    </w:p>
    <w:bookmarkEnd w:id="610"/>
    <w:p>
      <w:pPr>
        <w:rPr>
          <w:rFonts w:asciiTheme="minorEastAsia" w:hAnsiTheme="minorEastAsia" w:eastAsiaTheme="minorEastAsia"/>
        </w:rPr>
      </w:pPr>
      <w:r>
        <w:rPr>
          <w:rFonts w:asciiTheme="minorEastAsia" w:hAnsiTheme="minorEastAsia" w:eastAsiaTheme="minorEastAsia"/>
        </w:rPr>
        <w:t>1.11 知识产权</w:t>
      </w:r>
    </w:p>
    <w:p>
      <w:pPr>
        <w:rPr>
          <w:rFonts w:asciiTheme="minorEastAsia" w:hAnsiTheme="minorEastAsia" w:eastAsiaTheme="minorEastAsia"/>
          <w:u w:val="single"/>
        </w:rPr>
      </w:pPr>
      <w:r>
        <w:rPr>
          <w:rFonts w:asciiTheme="minorEastAsia" w:hAnsiTheme="minorEastAsia" w:eastAsiaTheme="minorEastAsia"/>
        </w:rPr>
        <w:t>1.11.1关于发包人提供给承包人的图纸、发包人为实施工程自行编制或委托编制的技术规范以及反映发包人关于合同要求或其他类似性质的文件的著作权的归属：</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关于发包人提供的上述文件的使用限制的要求：</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1.11.2 关于承包人为实施工程所编制文件的著作权的归属：</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u w:val="single"/>
        </w:rPr>
      </w:pPr>
      <w:r>
        <w:rPr>
          <w:rFonts w:asciiTheme="minorEastAsia" w:hAnsiTheme="minorEastAsia" w:eastAsiaTheme="minorEastAsia"/>
        </w:rPr>
        <w:t>关于承包人提供的上述文件的使用限制的要求：</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1.11.4 承包人在施工过程中所采用的专利、专有技术、技术秘密的使用费的承担方式：</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1.13工程量清单错误的修正</w:t>
      </w:r>
    </w:p>
    <w:p>
      <w:pPr>
        <w:rPr>
          <w:rFonts w:asciiTheme="minorEastAsia" w:hAnsiTheme="minorEastAsia" w:eastAsiaTheme="minorEastAsia"/>
        </w:rPr>
      </w:pPr>
      <w:r>
        <w:rPr>
          <w:rFonts w:hint="eastAsia" w:asciiTheme="minorEastAsia" w:hAnsiTheme="minorEastAsia" w:eastAsiaTheme="minorEastAsia"/>
        </w:rPr>
        <w:t>出现工程量清单错误时，是否调整合同价格：</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u w:val="single"/>
        </w:rPr>
      </w:pPr>
      <w:r>
        <w:rPr>
          <w:rFonts w:asciiTheme="minorEastAsia" w:hAnsiTheme="minorEastAsia" w:eastAsiaTheme="minorEastAsia"/>
        </w:rPr>
        <w:t>允许调整合同价格的工程量偏差范围：</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bCs/>
        </w:rPr>
      </w:pPr>
      <w:bookmarkStart w:id="611" w:name="_Toc351203634"/>
      <w:r>
        <w:rPr>
          <w:rFonts w:asciiTheme="minorEastAsia" w:hAnsiTheme="minorEastAsia" w:eastAsiaTheme="minorEastAsia"/>
          <w:bCs/>
        </w:rPr>
        <w:t>2</w:t>
      </w:r>
      <w:bookmarkStart w:id="612" w:name="_Toc297120457"/>
      <w:bookmarkStart w:id="613" w:name="_Toc296346658"/>
      <w:bookmarkStart w:id="614" w:name="_Toc296891197"/>
      <w:bookmarkStart w:id="615" w:name="_Toc296503157"/>
      <w:bookmarkStart w:id="616" w:name="_Toc292559867"/>
      <w:bookmarkStart w:id="617" w:name="_Toc297048343"/>
      <w:bookmarkStart w:id="618" w:name="_Toc296347156"/>
      <w:bookmarkStart w:id="619" w:name="_Toc296944496"/>
      <w:bookmarkStart w:id="620" w:name="_Toc292559362"/>
      <w:bookmarkStart w:id="621" w:name="_Toc296890985"/>
      <w:r>
        <w:rPr>
          <w:rFonts w:asciiTheme="minorEastAsia" w:hAnsiTheme="minorEastAsia" w:eastAsiaTheme="minorEastAsia"/>
          <w:bCs/>
        </w:rPr>
        <w:t>. 发包人</w:t>
      </w:r>
      <w:bookmarkEnd w:id="611"/>
    </w:p>
    <w:bookmarkEnd w:id="612"/>
    <w:bookmarkEnd w:id="613"/>
    <w:bookmarkEnd w:id="614"/>
    <w:bookmarkEnd w:id="615"/>
    <w:bookmarkEnd w:id="616"/>
    <w:bookmarkEnd w:id="617"/>
    <w:bookmarkEnd w:id="618"/>
    <w:bookmarkEnd w:id="619"/>
    <w:bookmarkEnd w:id="620"/>
    <w:bookmarkEnd w:id="621"/>
    <w:p>
      <w:pPr>
        <w:rPr>
          <w:rFonts w:asciiTheme="minorEastAsia" w:hAnsiTheme="minorEastAsia" w:eastAsiaTheme="minorEastAsia"/>
        </w:rPr>
      </w:pPr>
      <w:r>
        <w:rPr>
          <w:rFonts w:asciiTheme="minorEastAsia" w:hAnsiTheme="minorEastAsia" w:eastAsiaTheme="minorEastAsia"/>
        </w:rPr>
        <w:t>2.2 发包人代表</w:t>
      </w:r>
    </w:p>
    <w:p>
      <w:pPr>
        <w:rPr>
          <w:rFonts w:asciiTheme="minorEastAsia" w:hAnsiTheme="minorEastAsia" w:eastAsiaTheme="minorEastAsia"/>
        </w:rPr>
      </w:pPr>
      <w:r>
        <w:rPr>
          <w:rFonts w:asciiTheme="minorEastAsia" w:hAnsiTheme="minorEastAsia" w:eastAsiaTheme="minorEastAsia"/>
        </w:rPr>
        <w:t>发包人代表：</w:t>
      </w:r>
    </w:p>
    <w:p>
      <w:pPr>
        <w:rPr>
          <w:rFonts w:asciiTheme="minorEastAsia" w:hAnsiTheme="minorEastAsia" w:eastAsiaTheme="minorEastAsia"/>
        </w:rPr>
      </w:pPr>
      <w:r>
        <w:rPr>
          <w:rFonts w:asciiTheme="minorEastAsia" w:hAnsiTheme="minorEastAsia" w:eastAsiaTheme="minorEastAsia"/>
        </w:rPr>
        <w:t>姓    名：</w:t>
      </w:r>
      <w:r>
        <w:rPr>
          <w:rFonts w:hint="eastAsia" w:asciiTheme="minorEastAsia" w:hAnsiTheme="minorEastAsia" w:eastAsiaTheme="minorEastAsia"/>
          <w:u w:val="single"/>
        </w:rPr>
        <w:t xml:space="preserve"> </w:t>
      </w:r>
      <w:r>
        <w:rPr>
          <w:rFonts w:hint="eastAsia" w:asciiTheme="minorEastAsia" w:hAnsiTheme="minorEastAsia" w:eastAsiaTheme="minorEastAsia"/>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身份证号：</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职    务：</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联系电话：</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电子信箱：</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通信地址：。</w:t>
      </w:r>
    </w:p>
    <w:p>
      <w:pPr>
        <w:rPr>
          <w:rFonts w:asciiTheme="minorEastAsia" w:hAnsiTheme="minorEastAsia" w:eastAsiaTheme="minorEastAsia"/>
        </w:rPr>
      </w:pPr>
      <w:r>
        <w:rPr>
          <w:rFonts w:asciiTheme="minorEastAsia" w:hAnsiTheme="minorEastAsia" w:eastAsiaTheme="minorEastAsia"/>
        </w:rPr>
        <w:t>发包人对发包人代表的授权范围如下：</w:t>
      </w:r>
      <w:r>
        <w:rPr>
          <w:rFonts w:hint="eastAsia" w:asciiTheme="minorEastAsia" w:hAnsiTheme="minorEastAsia" w:eastAsiaTheme="minorEastAsia"/>
          <w:u w:val="single"/>
        </w:rPr>
        <w:t xml:space="preserve">负责本工程建设的相关事宜(含工程管理、现场签证、款项支付等) </w:t>
      </w:r>
      <w:r>
        <w:rPr>
          <w:rFonts w:asciiTheme="minorEastAsia" w:hAnsiTheme="minorEastAsia" w:eastAsiaTheme="minorEastAsia"/>
        </w:rPr>
        <w:t>。</w:t>
      </w:r>
    </w:p>
    <w:p>
      <w:pPr>
        <w:rPr>
          <w:rFonts w:asciiTheme="minorEastAsia" w:hAnsiTheme="minorEastAsia" w:eastAsiaTheme="minorEastAsia"/>
          <w:b/>
          <w:u w:val="single"/>
        </w:rPr>
      </w:pPr>
      <w:r>
        <w:rPr>
          <w:rFonts w:hint="eastAsia" w:asciiTheme="minorEastAsia" w:hAnsiTheme="minorEastAsia" w:eastAsiaTheme="minorEastAsia"/>
          <w:u w:val="single"/>
        </w:rPr>
        <w:t>不实行监理的（1）依照法律、法规及有关技术标准、设计文件和建设工程承包合同，对承包人在施工质量、建设工期、进度、安全文明施工、环境保护和建设资金使用等方面，代表发包人进行监督。（2）认为工程施工不符合工程设计要求、施工技术标准和合同约定时，有权要求承包人改正。初审月进度计划表和当月产值统计报表。对技术核定单、经济签证有初审权（甲方签字认可并盖章后生效），做好施工日志和相关记录。</w:t>
      </w:r>
    </w:p>
    <w:p>
      <w:pPr>
        <w:rPr>
          <w:rFonts w:asciiTheme="minorEastAsia" w:hAnsiTheme="minorEastAsia" w:eastAsiaTheme="minorEastAsia"/>
        </w:rPr>
      </w:pPr>
      <w:r>
        <w:rPr>
          <w:rFonts w:asciiTheme="minorEastAsia" w:hAnsiTheme="minorEastAsia" w:eastAsiaTheme="minorEastAsia"/>
        </w:rPr>
        <w:t>2.4 施工现场、施工条件和基础资料的提供</w:t>
      </w:r>
    </w:p>
    <w:p>
      <w:pPr>
        <w:rPr>
          <w:rFonts w:asciiTheme="minorEastAsia" w:hAnsiTheme="minorEastAsia" w:eastAsiaTheme="minorEastAsia"/>
        </w:rPr>
      </w:pPr>
      <w:r>
        <w:rPr>
          <w:rFonts w:asciiTheme="minorEastAsia" w:hAnsiTheme="minorEastAsia" w:eastAsiaTheme="minorEastAsia"/>
        </w:rPr>
        <w:t>2.4.1 提供施工现场</w:t>
      </w:r>
    </w:p>
    <w:p>
      <w:pPr>
        <w:rPr>
          <w:rFonts w:asciiTheme="minorEastAsia" w:hAnsiTheme="minorEastAsia" w:eastAsiaTheme="minorEastAsia"/>
        </w:rPr>
      </w:pPr>
      <w:r>
        <w:rPr>
          <w:rFonts w:asciiTheme="minorEastAsia" w:hAnsiTheme="minorEastAsia" w:eastAsiaTheme="minorEastAsia"/>
        </w:rPr>
        <w:t>关于发包人移交施工现场的期限要求：</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2.4.2 提供施工条件</w:t>
      </w:r>
    </w:p>
    <w:p>
      <w:pPr>
        <w:rPr>
          <w:rFonts w:asciiTheme="minorEastAsia" w:hAnsiTheme="minorEastAsia" w:eastAsiaTheme="minorEastAsia"/>
        </w:rPr>
      </w:pPr>
      <w:r>
        <w:rPr>
          <w:rFonts w:asciiTheme="minorEastAsia" w:hAnsiTheme="minorEastAsia" w:eastAsiaTheme="minorEastAsia"/>
        </w:rPr>
        <w:t>关于发包人应负责提供施工</w:t>
      </w:r>
      <w:r>
        <w:rPr>
          <w:rFonts w:hint="eastAsia" w:asciiTheme="minorEastAsia" w:hAnsiTheme="minorEastAsia" w:eastAsiaTheme="minorEastAsia"/>
        </w:rPr>
        <w:t>所需要的条件，</w:t>
      </w:r>
      <w:r>
        <w:rPr>
          <w:rFonts w:asciiTheme="minorEastAsia" w:hAnsiTheme="minorEastAsia" w:eastAsiaTheme="minorEastAsia"/>
        </w:rPr>
        <w:t>包括：</w:t>
      </w:r>
    </w:p>
    <w:p>
      <w:pPr>
        <w:rPr>
          <w:rFonts w:asciiTheme="minorEastAsia" w:hAnsiTheme="minorEastAsia" w:eastAsiaTheme="minorEastAsia"/>
          <w:u w:val="single"/>
        </w:rPr>
      </w:pPr>
      <w:r>
        <w:rPr>
          <w:rFonts w:hint="eastAsia" w:asciiTheme="minorEastAsia" w:hAnsiTheme="minorEastAsia" w:eastAsiaTheme="minorEastAsia"/>
        </w:rPr>
        <w:t>（1）将施工所需的水、电、通讯线路接至施工场地的时间、地点和供应要求：</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w:t>
      </w:r>
    </w:p>
    <w:p>
      <w:pPr>
        <w:rPr>
          <w:rFonts w:asciiTheme="minorEastAsia" w:hAnsiTheme="minorEastAsia" w:eastAsiaTheme="minorEastAsia"/>
          <w:u w:val="single"/>
        </w:rPr>
      </w:pPr>
      <w:r>
        <w:rPr>
          <w:rFonts w:hint="eastAsia" w:asciiTheme="minorEastAsia" w:hAnsiTheme="minorEastAsia" w:eastAsiaTheme="minorEastAsia"/>
        </w:rPr>
        <w:t>（2）施工场地与公共道路通道开通的时间和要求：</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w:t>
      </w:r>
    </w:p>
    <w:p>
      <w:pPr>
        <w:rPr>
          <w:rFonts w:asciiTheme="minorEastAsia" w:hAnsiTheme="minorEastAsia" w:eastAsiaTheme="minorEastAsia"/>
          <w:u w:val="single"/>
        </w:rPr>
      </w:pPr>
      <w:r>
        <w:rPr>
          <w:rFonts w:hint="eastAsia" w:asciiTheme="minorEastAsia" w:hAnsiTheme="minorEastAsia" w:eastAsiaTheme="minorEastAsia"/>
        </w:rPr>
        <w:t>（3）工程地质和地下管线资料的提供时间：</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p>
    <w:p>
      <w:pPr>
        <w:rPr>
          <w:rFonts w:asciiTheme="minorEastAsia" w:hAnsiTheme="minorEastAsia" w:eastAsiaTheme="minorEastAsia"/>
          <w:u w:val="single"/>
        </w:rPr>
      </w:pPr>
      <w:r>
        <w:rPr>
          <w:rFonts w:hint="eastAsia" w:asciiTheme="minorEastAsia" w:hAnsiTheme="minorEastAsia" w:eastAsiaTheme="minorEastAsia"/>
        </w:rPr>
        <w:t>（4）由发包人办理的施工所需所证、批件的名称和完成时间：</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w:t>
      </w:r>
    </w:p>
    <w:p>
      <w:pPr>
        <w:rPr>
          <w:rFonts w:asciiTheme="minorEastAsia" w:hAnsiTheme="minorEastAsia" w:eastAsiaTheme="minorEastAsia"/>
          <w:u w:val="single"/>
        </w:rPr>
      </w:pPr>
      <w:r>
        <w:rPr>
          <w:rFonts w:hint="eastAsia" w:asciiTheme="minorEastAsia" w:hAnsiTheme="minorEastAsia" w:eastAsiaTheme="minorEastAsia"/>
        </w:rPr>
        <w:t>（5）水准点与座标控制制点交验要求：</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w:t>
      </w:r>
    </w:p>
    <w:p>
      <w:pPr>
        <w:rPr>
          <w:rFonts w:asciiTheme="minorEastAsia" w:hAnsiTheme="minorEastAsia" w:eastAsiaTheme="minorEastAsia"/>
          <w:u w:val="single"/>
        </w:rPr>
      </w:pPr>
      <w:r>
        <w:rPr>
          <w:rFonts w:hint="eastAsia" w:asciiTheme="minorEastAsia" w:hAnsiTheme="minorEastAsia" w:eastAsiaTheme="minorEastAsia"/>
        </w:rPr>
        <w:t>（6）图纸会审和设计交底时间：</w:t>
      </w:r>
      <w:r>
        <w:rPr>
          <w:rFonts w:hint="eastAsia" w:asciiTheme="minorEastAsia" w:hAnsiTheme="minorEastAsia" w:eastAsiaTheme="minorEastAsia"/>
          <w:u w:val="single"/>
        </w:rPr>
        <w:t xml:space="preserve">              </w:t>
      </w:r>
    </w:p>
    <w:p>
      <w:pPr>
        <w:rPr>
          <w:rFonts w:asciiTheme="minorEastAsia" w:hAnsiTheme="minorEastAsia" w:eastAsiaTheme="minorEastAsia"/>
          <w:u w:val="single"/>
        </w:rPr>
      </w:pPr>
      <w:r>
        <w:rPr>
          <w:rFonts w:hint="eastAsia" w:asciiTheme="minorEastAsia" w:hAnsiTheme="minorEastAsia" w:eastAsiaTheme="minorEastAsia"/>
        </w:rPr>
        <w:t>（7）协调处理施工场地周围地下管线和邻近建筑物、构筑物（含文物保护建筑）、古树名木的保护工作：</w:t>
      </w:r>
      <w:r>
        <w:rPr>
          <w:rFonts w:hint="eastAsia" w:asciiTheme="minorEastAsia" w:hAnsiTheme="minorEastAsia" w:eastAsiaTheme="minorEastAsia"/>
          <w:u w:val="single"/>
        </w:rPr>
        <w:t>本工程如遇上述内容事宜，承包人应按照国家有关规定，提出具体保护措施方案，由发包人征得当地文物管理部门同意后，由承包人实施，所需费用由承包人提出预算，发包人同意后支付。</w:t>
      </w:r>
    </w:p>
    <w:p>
      <w:pPr>
        <w:rPr>
          <w:rFonts w:asciiTheme="minorEastAsia" w:hAnsiTheme="minorEastAsia" w:eastAsiaTheme="minorEastAsia"/>
        </w:rPr>
      </w:pPr>
      <w:r>
        <w:rPr>
          <w:rFonts w:hint="eastAsia" w:asciiTheme="minorEastAsia" w:hAnsiTheme="minorEastAsia" w:eastAsiaTheme="minorEastAsia"/>
        </w:rPr>
        <w:t>（8）发包人应做的其他工作：</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 xml:space="preserve">    </w:t>
      </w:r>
    </w:p>
    <w:p>
      <w:pPr>
        <w:rPr>
          <w:rFonts w:asciiTheme="minorEastAsia" w:hAnsiTheme="minorEastAsia" w:eastAsiaTheme="minorEastAsia"/>
        </w:rPr>
      </w:pPr>
      <w:r>
        <w:rPr>
          <w:rFonts w:asciiTheme="minorEastAsia" w:hAnsiTheme="minorEastAsia" w:eastAsiaTheme="minorEastAsia"/>
        </w:rPr>
        <w:t>2.5 资金来源证明及支付担保</w:t>
      </w:r>
    </w:p>
    <w:p>
      <w:pPr>
        <w:rPr>
          <w:rFonts w:asciiTheme="minorEastAsia" w:hAnsiTheme="minorEastAsia" w:eastAsiaTheme="minorEastAsia"/>
        </w:rPr>
      </w:pPr>
      <w:r>
        <w:rPr>
          <w:rFonts w:asciiTheme="minorEastAsia" w:hAnsiTheme="minorEastAsia" w:eastAsiaTheme="minorEastAsia"/>
        </w:rPr>
        <w:t>发包人提供资金来源证明的期限要求：</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发包人是否提供支付担保：</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u w:val="single"/>
        </w:rPr>
      </w:pPr>
      <w:r>
        <w:rPr>
          <w:rFonts w:asciiTheme="minorEastAsia" w:hAnsiTheme="minorEastAsia" w:eastAsiaTheme="minorEastAsia"/>
        </w:rPr>
        <w:t>发包人提供支付担保的形式：</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bCs/>
        </w:rPr>
      </w:pPr>
      <w:bookmarkStart w:id="622" w:name="_Toc351203635"/>
      <w:r>
        <w:rPr>
          <w:rFonts w:asciiTheme="minorEastAsia" w:hAnsiTheme="minorEastAsia" w:eastAsiaTheme="minorEastAsia"/>
          <w:bCs/>
        </w:rPr>
        <w:t>3</w:t>
      </w:r>
      <w:bookmarkStart w:id="623" w:name="_Toc297048344"/>
      <w:bookmarkStart w:id="624" w:name="_Toc296503158"/>
      <w:bookmarkStart w:id="625" w:name="_Toc296890986"/>
      <w:bookmarkStart w:id="626" w:name="_Toc297120458"/>
      <w:bookmarkStart w:id="627" w:name="_Toc296891198"/>
      <w:bookmarkStart w:id="628" w:name="_Toc292559363"/>
      <w:bookmarkStart w:id="629" w:name="_Toc292559868"/>
      <w:bookmarkStart w:id="630" w:name="_Toc296944497"/>
      <w:bookmarkStart w:id="631" w:name="_Toc296346659"/>
      <w:bookmarkStart w:id="632" w:name="_Toc296347157"/>
      <w:r>
        <w:rPr>
          <w:rFonts w:asciiTheme="minorEastAsia" w:hAnsiTheme="minorEastAsia" w:eastAsiaTheme="minorEastAsia"/>
          <w:bCs/>
        </w:rPr>
        <w:t>. 承包人</w:t>
      </w:r>
      <w:bookmarkEnd w:id="622"/>
    </w:p>
    <w:bookmarkEnd w:id="623"/>
    <w:bookmarkEnd w:id="624"/>
    <w:bookmarkEnd w:id="625"/>
    <w:bookmarkEnd w:id="626"/>
    <w:bookmarkEnd w:id="627"/>
    <w:bookmarkEnd w:id="628"/>
    <w:bookmarkEnd w:id="629"/>
    <w:bookmarkEnd w:id="630"/>
    <w:bookmarkEnd w:id="631"/>
    <w:bookmarkEnd w:id="632"/>
    <w:p>
      <w:pPr>
        <w:rPr>
          <w:rFonts w:asciiTheme="minorEastAsia" w:hAnsiTheme="minorEastAsia" w:eastAsiaTheme="minorEastAsia"/>
        </w:rPr>
      </w:pPr>
      <w:r>
        <w:rPr>
          <w:rFonts w:asciiTheme="minorEastAsia" w:hAnsiTheme="minorEastAsia" w:eastAsiaTheme="minorEastAsia"/>
        </w:rPr>
        <w:t>3.1 承包人的一般义务</w:t>
      </w:r>
    </w:p>
    <w:p>
      <w:pPr>
        <w:rPr>
          <w:rFonts w:asciiTheme="minorEastAsia" w:hAnsiTheme="minorEastAsia" w:eastAsiaTheme="minorEastAsia"/>
          <w:u w:val="single"/>
        </w:rPr>
      </w:pPr>
      <w:r>
        <w:rPr>
          <w:rFonts w:asciiTheme="minorEastAsia" w:hAnsiTheme="minorEastAsia" w:eastAsiaTheme="minorEastAsia"/>
        </w:rPr>
        <w:t>（</w:t>
      </w:r>
      <w:r>
        <w:rPr>
          <w:rFonts w:hint="eastAsia" w:asciiTheme="minorEastAsia" w:hAnsiTheme="minorEastAsia" w:eastAsiaTheme="minorEastAsia"/>
        </w:rPr>
        <w:t>9</w:t>
      </w:r>
      <w:r>
        <w:rPr>
          <w:rFonts w:asciiTheme="minorEastAsia" w:hAnsiTheme="minorEastAsia" w:eastAsiaTheme="minorEastAsia"/>
        </w:rPr>
        <w:t>）承包人提交的竣工资料的内容：</w:t>
      </w:r>
      <w:r>
        <w:rPr>
          <w:rFonts w:asciiTheme="minorEastAsia" w:hAnsiTheme="minorEastAsia" w:eastAsiaTheme="minorEastAsia"/>
          <w:u w:val="single"/>
        </w:rPr>
        <w:t xml:space="preserve">                     </w:t>
      </w:r>
      <w:r>
        <w:rPr>
          <w:rFonts w:asciiTheme="minorEastAsia" w:hAnsiTheme="minorEastAsia" w:eastAsiaTheme="minorEastAsia"/>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承包人需要提交的竣工资料套数：</w:t>
      </w:r>
      <w:r>
        <w:rPr>
          <w:rFonts w:asciiTheme="minorEastAsia" w:hAnsiTheme="minorEastAsia" w:eastAsiaTheme="minorEastAsia"/>
          <w:u w:val="single"/>
        </w:rPr>
        <w:t xml:space="preserve">   3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承包人提交的竣工资料的费用承担：</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承包人提交的竣工资料移交时间：</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承包人提交的竣工资料形式要求：</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w:t>
      </w:r>
      <w:r>
        <w:rPr>
          <w:rFonts w:hint="eastAsia" w:asciiTheme="minorEastAsia" w:hAnsiTheme="minorEastAsia" w:eastAsiaTheme="minorEastAsia"/>
        </w:rPr>
        <w:t>10</w:t>
      </w:r>
      <w:r>
        <w:rPr>
          <w:rFonts w:asciiTheme="minorEastAsia" w:hAnsiTheme="minorEastAsia" w:eastAsiaTheme="minorEastAsia"/>
        </w:rPr>
        <w:t>）承包人应履行的其他义务：</w:t>
      </w:r>
    </w:p>
    <w:p>
      <w:pPr>
        <w:rPr>
          <w:rFonts w:asciiTheme="minorEastAsia" w:hAnsiTheme="minorEastAsia" w:eastAsiaTheme="minorEastAsia"/>
          <w:u w:val="single"/>
        </w:rPr>
      </w:pPr>
      <w:r>
        <w:rPr>
          <w:rFonts w:hint="eastAsia" w:asciiTheme="minorEastAsia" w:hAnsiTheme="minorEastAsia" w:eastAsiaTheme="minorEastAsia"/>
        </w:rPr>
        <w:t>完成深化设计文件提交时间：</w:t>
      </w:r>
      <w:r>
        <w:rPr>
          <w:rFonts w:hint="eastAsia" w:asciiTheme="minorEastAsia" w:hAnsiTheme="minorEastAsia" w:eastAsiaTheme="minorEastAsia"/>
          <w:u w:val="single"/>
        </w:rPr>
        <w:t xml:space="preserve">            </w:t>
      </w:r>
    </w:p>
    <w:p>
      <w:pPr>
        <w:rPr>
          <w:rFonts w:asciiTheme="minorEastAsia" w:hAnsiTheme="minorEastAsia" w:eastAsiaTheme="minorEastAsia"/>
        </w:rPr>
      </w:pPr>
      <w:r>
        <w:rPr>
          <w:rFonts w:hint="eastAsia" w:asciiTheme="minorEastAsia" w:hAnsiTheme="minorEastAsia" w:eastAsiaTheme="minorEastAsia"/>
        </w:rPr>
        <w:t>应提供计划、报表的名称及完成时间：</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w:t>
      </w:r>
      <w:r>
        <w:rPr>
          <w:rFonts w:hint="eastAsia" w:asciiTheme="minorEastAsia" w:hAnsiTheme="minorEastAsia" w:eastAsiaTheme="minorEastAsia"/>
        </w:rPr>
        <w:t xml:space="preserve">     </w:t>
      </w:r>
    </w:p>
    <w:p>
      <w:pPr>
        <w:rPr>
          <w:rFonts w:asciiTheme="minorEastAsia" w:hAnsiTheme="minorEastAsia" w:eastAsiaTheme="minorEastAsia"/>
        </w:rPr>
      </w:pPr>
      <w:r>
        <w:rPr>
          <w:rFonts w:hint="eastAsia" w:asciiTheme="minorEastAsia" w:hAnsiTheme="minorEastAsia" w:eastAsiaTheme="minorEastAsia"/>
        </w:rPr>
        <w:t xml:space="preserve">承担施工安全保卫工作及非夜间施工照明的责任和要求：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w:t>
      </w:r>
      <w:r>
        <w:rPr>
          <w:rFonts w:hint="eastAsia" w:asciiTheme="minorEastAsia" w:hAnsiTheme="minorEastAsia" w:eastAsiaTheme="minorEastAsia"/>
        </w:rPr>
        <w:t xml:space="preserve"> </w:t>
      </w:r>
    </w:p>
    <w:p>
      <w:pPr>
        <w:rPr>
          <w:rFonts w:asciiTheme="minorEastAsia" w:hAnsiTheme="minorEastAsia" w:eastAsiaTheme="minorEastAsia"/>
          <w:u w:val="single"/>
        </w:rPr>
      </w:pPr>
      <w:r>
        <w:rPr>
          <w:rFonts w:hint="eastAsia" w:asciiTheme="minorEastAsia" w:hAnsiTheme="minorEastAsia" w:eastAsiaTheme="minorEastAsia"/>
        </w:rPr>
        <w:t>向发包人提供的办公和生活房屋及设施的要求：</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p>
    <w:p>
      <w:pPr>
        <w:rPr>
          <w:rFonts w:asciiTheme="minorEastAsia" w:hAnsiTheme="minorEastAsia" w:eastAsiaTheme="minorEastAsia"/>
          <w:u w:val="single"/>
        </w:rPr>
      </w:pPr>
      <w:r>
        <w:rPr>
          <w:rFonts w:hint="eastAsia" w:asciiTheme="minorEastAsia" w:hAnsiTheme="minorEastAsia" w:eastAsiaTheme="minorEastAsia"/>
        </w:rPr>
        <w:t>需承包人办理的有关施工场地交通、环卫和施工噪音管理手续：</w:t>
      </w:r>
      <w:r>
        <w:rPr>
          <w:rFonts w:hint="eastAsia" w:asciiTheme="minorEastAsia" w:hAnsiTheme="minorEastAsia" w:eastAsiaTheme="minorEastAsia"/>
          <w:u w:val="single"/>
        </w:rPr>
        <w:t xml:space="preserve"> 按建设行政主管部门有关规定执行。 </w:t>
      </w:r>
    </w:p>
    <w:p>
      <w:pPr>
        <w:rPr>
          <w:rFonts w:asciiTheme="minorEastAsia" w:hAnsiTheme="minorEastAsia" w:eastAsiaTheme="minorEastAsia"/>
        </w:rPr>
      </w:pPr>
      <w:r>
        <w:rPr>
          <w:rFonts w:hint="eastAsia" w:asciiTheme="minorEastAsia" w:hAnsiTheme="minorEastAsia" w:eastAsiaTheme="minorEastAsia"/>
        </w:rPr>
        <w:t>已完工程成品保护的特殊要求及费用承担：</w:t>
      </w:r>
      <w:r>
        <w:rPr>
          <w:rFonts w:asciiTheme="minorEastAsia" w:hAnsiTheme="minorEastAsia" w:eastAsiaTheme="minorEastAsia"/>
          <w:u w:val="single"/>
        </w:rPr>
        <w:t xml:space="preserve">             </w:t>
      </w:r>
      <w:r>
        <w:rPr>
          <w:rFonts w:hint="eastAsia" w:asciiTheme="minorEastAsia" w:hAnsiTheme="minorEastAsia" w:eastAsiaTheme="minorEastAsia"/>
        </w:rPr>
        <w:t xml:space="preserve">。     </w:t>
      </w:r>
    </w:p>
    <w:p>
      <w:pPr>
        <w:rPr>
          <w:rFonts w:asciiTheme="minorEastAsia" w:hAnsiTheme="minorEastAsia" w:eastAsiaTheme="minorEastAsia"/>
          <w:u w:val="single"/>
        </w:rPr>
      </w:pPr>
      <w:r>
        <w:rPr>
          <w:rFonts w:hint="eastAsia" w:asciiTheme="minorEastAsia" w:hAnsiTheme="minorEastAsia" w:eastAsiaTheme="minorEastAsia"/>
        </w:rPr>
        <w:t>施工场地周围地下管线和邻近建筑物、构筑物（含文物保护建筑）、古树名木的保护要求及费用承担：</w:t>
      </w:r>
      <w:r>
        <w:rPr>
          <w:rFonts w:asciiTheme="minorEastAsia" w:hAnsiTheme="minorEastAsia" w:eastAsiaTheme="minorEastAsia"/>
          <w:u w:val="single"/>
        </w:rPr>
        <w:t xml:space="preserve">              </w:t>
      </w:r>
      <w:r>
        <w:rPr>
          <w:rFonts w:hint="eastAsia" w:asciiTheme="minorEastAsia" w:hAnsiTheme="minorEastAsia" w:eastAsiaTheme="minorEastAsia"/>
          <w:u w:val="single"/>
        </w:rPr>
        <w:t>。</w:t>
      </w:r>
    </w:p>
    <w:p>
      <w:pPr>
        <w:rPr>
          <w:rFonts w:asciiTheme="minorEastAsia" w:hAnsiTheme="minorEastAsia" w:eastAsiaTheme="minorEastAsia"/>
        </w:rPr>
      </w:pPr>
      <w:r>
        <w:rPr>
          <w:rFonts w:hint="eastAsia" w:asciiTheme="minorEastAsia" w:hAnsiTheme="minorEastAsia" w:eastAsiaTheme="minorEastAsia"/>
        </w:rPr>
        <w:t>施工场地清洁卫生的要求：</w:t>
      </w:r>
      <w:r>
        <w:rPr>
          <w:rFonts w:hint="eastAsia" w:asciiTheme="minorEastAsia" w:hAnsiTheme="minorEastAsia" w:eastAsiaTheme="minorEastAsia"/>
          <w:u w:val="single"/>
        </w:rPr>
        <w:t>按建设行政主管部门有关规定执行，并按发包人要求对涉及的道路每天进行清扫，费用由承包人承担。</w:t>
      </w:r>
    </w:p>
    <w:p>
      <w:pPr>
        <w:rPr>
          <w:rFonts w:asciiTheme="minorEastAsia" w:hAnsiTheme="minorEastAsia" w:eastAsiaTheme="minorEastAsia"/>
        </w:rPr>
      </w:pPr>
      <w:r>
        <w:rPr>
          <w:rFonts w:hint="eastAsia" w:asciiTheme="minorEastAsia" w:hAnsiTheme="minorEastAsia" w:eastAsiaTheme="minorEastAsia"/>
        </w:rPr>
        <w:t>消防相关工程、</w:t>
      </w:r>
      <w:r>
        <w:rPr>
          <w:rFonts w:asciiTheme="minorEastAsia" w:hAnsiTheme="minorEastAsia" w:eastAsiaTheme="minorEastAsia"/>
        </w:rPr>
        <w:t>资料</w:t>
      </w:r>
      <w:r>
        <w:rPr>
          <w:rFonts w:hint="eastAsia" w:asciiTheme="minorEastAsia" w:hAnsiTheme="minorEastAsia" w:eastAsiaTheme="minorEastAsia"/>
        </w:rPr>
        <w:t>完善并</w:t>
      </w:r>
      <w:r>
        <w:rPr>
          <w:rFonts w:asciiTheme="minorEastAsia" w:hAnsiTheme="minorEastAsia" w:eastAsiaTheme="minorEastAsia"/>
        </w:rPr>
        <w:t>确保通过</w:t>
      </w:r>
      <w:r>
        <w:rPr>
          <w:rFonts w:hint="eastAsia" w:asciiTheme="minorEastAsia" w:hAnsiTheme="minorEastAsia" w:eastAsiaTheme="minorEastAsia"/>
        </w:rPr>
        <w:t>消防</w:t>
      </w:r>
      <w:r>
        <w:rPr>
          <w:rFonts w:asciiTheme="minorEastAsia" w:hAnsiTheme="minorEastAsia" w:eastAsiaTheme="minorEastAsia"/>
        </w:rPr>
        <w:t>验收</w:t>
      </w:r>
      <w:r>
        <w:rPr>
          <w:rFonts w:hint="eastAsia" w:asciiTheme="minorEastAsia" w:hAnsiTheme="minorEastAsia" w:eastAsiaTheme="minorEastAsia"/>
        </w:rPr>
        <w:t>。</w:t>
      </w:r>
    </w:p>
    <w:p>
      <w:pPr>
        <w:rPr>
          <w:rFonts w:asciiTheme="minorEastAsia" w:hAnsiTheme="minorEastAsia" w:eastAsiaTheme="minorEastAsia"/>
        </w:rPr>
      </w:pPr>
      <w:r>
        <w:rPr>
          <w:rFonts w:hint="eastAsia" w:asciiTheme="minorEastAsia" w:hAnsiTheme="minorEastAsia" w:eastAsiaTheme="minorEastAsia"/>
        </w:rPr>
        <w:t>按</w:t>
      </w:r>
      <w:r>
        <w:rPr>
          <w:rFonts w:asciiTheme="minorEastAsia" w:hAnsiTheme="minorEastAsia" w:eastAsiaTheme="minorEastAsia"/>
        </w:rPr>
        <w:t>合同约定支付竣工结算</w:t>
      </w:r>
      <w:r>
        <w:rPr>
          <w:rFonts w:hint="eastAsia" w:asciiTheme="minorEastAsia" w:hAnsiTheme="minorEastAsia" w:eastAsiaTheme="minorEastAsia"/>
        </w:rPr>
        <w:t>效益审计</w:t>
      </w:r>
      <w:r>
        <w:rPr>
          <w:rFonts w:asciiTheme="minorEastAsia" w:hAnsiTheme="minorEastAsia" w:eastAsiaTheme="minorEastAsia"/>
        </w:rPr>
        <w:t>费用</w:t>
      </w:r>
      <w:r>
        <w:rPr>
          <w:rFonts w:hint="eastAsia" w:asciiTheme="minorEastAsia" w:hAnsiTheme="minorEastAsia" w:eastAsiaTheme="minorEastAsia"/>
        </w:rPr>
        <w:t>。</w:t>
      </w:r>
    </w:p>
    <w:p>
      <w:pPr>
        <w:rPr>
          <w:rFonts w:asciiTheme="minorEastAsia" w:hAnsiTheme="minorEastAsia" w:eastAsiaTheme="minorEastAsia"/>
        </w:rPr>
      </w:pPr>
      <w:r>
        <w:rPr>
          <w:rFonts w:hint="eastAsia" w:asciiTheme="minorEastAsia" w:hAnsiTheme="minorEastAsia" w:eastAsiaTheme="minorEastAsia"/>
        </w:rPr>
        <w:t>承包人应按有关法律规定纳税，应缴纳的税金包括在合同价格内。</w:t>
      </w:r>
    </w:p>
    <w:p>
      <w:pPr>
        <w:rPr>
          <w:rFonts w:asciiTheme="minorEastAsia" w:hAnsiTheme="minorEastAsia" w:eastAsiaTheme="minorEastAsia"/>
        </w:rPr>
      </w:pPr>
      <w:r>
        <w:rPr>
          <w:rFonts w:hint="eastAsia" w:asciiTheme="minorEastAsia" w:hAnsiTheme="minorEastAsia" w:eastAsiaTheme="minorEastAsia"/>
        </w:rPr>
        <w:t>双方约定承包人应做的其他工作：</w:t>
      </w:r>
      <w:r>
        <w:rPr>
          <w:rFonts w:hint="eastAsia" w:asciiTheme="minorEastAsia" w:hAnsiTheme="minorEastAsia" w:eastAsiaTheme="minorEastAsia"/>
          <w:u w:val="single"/>
        </w:rPr>
        <w:t>属发</w:t>
      </w:r>
      <w:r>
        <w:rPr>
          <w:rFonts w:asciiTheme="minorEastAsia" w:hAnsiTheme="minorEastAsia" w:eastAsiaTheme="minorEastAsia"/>
          <w:u w:val="single"/>
        </w:rPr>
        <w:t>包人</w:t>
      </w:r>
      <w:r>
        <w:rPr>
          <w:rFonts w:hint="eastAsia" w:asciiTheme="minorEastAsia" w:hAnsiTheme="minorEastAsia" w:eastAsiaTheme="minorEastAsia"/>
          <w:u w:val="single"/>
        </w:rPr>
        <w:t>办理</w:t>
      </w:r>
      <w:r>
        <w:rPr>
          <w:rFonts w:asciiTheme="minorEastAsia" w:hAnsiTheme="minorEastAsia" w:eastAsiaTheme="minorEastAsia"/>
          <w:u w:val="single"/>
        </w:rPr>
        <w:t>事项，</w:t>
      </w:r>
      <w:r>
        <w:rPr>
          <w:rFonts w:hint="eastAsia" w:asciiTheme="minorEastAsia" w:hAnsiTheme="minorEastAsia" w:eastAsiaTheme="minorEastAsia"/>
          <w:u w:val="single"/>
        </w:rPr>
        <w:t>如发</w:t>
      </w:r>
      <w:r>
        <w:rPr>
          <w:rFonts w:asciiTheme="minorEastAsia" w:hAnsiTheme="minorEastAsia" w:eastAsiaTheme="minorEastAsia"/>
          <w:u w:val="single"/>
        </w:rPr>
        <w:t>包人</w:t>
      </w:r>
      <w:r>
        <w:rPr>
          <w:rFonts w:hint="eastAsia" w:asciiTheme="minorEastAsia" w:hAnsiTheme="minorEastAsia" w:eastAsiaTheme="minorEastAsia"/>
          <w:u w:val="single"/>
        </w:rPr>
        <w:t>委托承包人办理，双方另行签订补充协议，其费用由承包人提供预算经发包人同意后支付。</w:t>
      </w:r>
    </w:p>
    <w:p>
      <w:pPr>
        <w:rPr>
          <w:rFonts w:asciiTheme="minorEastAsia" w:hAnsiTheme="minorEastAsia" w:eastAsiaTheme="minorEastAsia"/>
        </w:rPr>
      </w:pPr>
      <w:r>
        <w:rPr>
          <w:rFonts w:asciiTheme="minorEastAsia" w:hAnsiTheme="minorEastAsia" w:eastAsiaTheme="minorEastAsia"/>
        </w:rPr>
        <w:t>3.2 项目经理</w:t>
      </w:r>
    </w:p>
    <w:p>
      <w:pPr>
        <w:rPr>
          <w:rFonts w:asciiTheme="minorEastAsia" w:hAnsiTheme="minorEastAsia" w:eastAsiaTheme="minorEastAsia"/>
        </w:rPr>
      </w:pPr>
      <w:r>
        <w:rPr>
          <w:rFonts w:asciiTheme="minorEastAsia" w:hAnsiTheme="minorEastAsia" w:eastAsiaTheme="minorEastAsia"/>
        </w:rPr>
        <w:t>3.2.1 项目经理：</w:t>
      </w:r>
    </w:p>
    <w:p>
      <w:pPr>
        <w:rPr>
          <w:rFonts w:asciiTheme="minorEastAsia" w:hAnsiTheme="minorEastAsia" w:eastAsiaTheme="minorEastAsia"/>
        </w:rPr>
      </w:pPr>
      <w:r>
        <w:rPr>
          <w:rFonts w:asciiTheme="minorEastAsia" w:hAnsiTheme="minorEastAsia" w:eastAsiaTheme="minorEastAsia"/>
        </w:rPr>
        <w:t>姓    名：；</w:t>
      </w:r>
    </w:p>
    <w:p>
      <w:pPr>
        <w:rPr>
          <w:rFonts w:asciiTheme="minorEastAsia" w:hAnsiTheme="minorEastAsia" w:eastAsiaTheme="minorEastAsia"/>
        </w:rPr>
      </w:pPr>
      <w:r>
        <w:rPr>
          <w:rFonts w:asciiTheme="minorEastAsia" w:hAnsiTheme="minorEastAsia" w:eastAsiaTheme="minorEastAsia"/>
        </w:rPr>
        <w:t>身份证号：；</w:t>
      </w:r>
    </w:p>
    <w:p>
      <w:pPr>
        <w:rPr>
          <w:rFonts w:asciiTheme="minorEastAsia" w:hAnsiTheme="minorEastAsia" w:eastAsiaTheme="minorEastAsia"/>
        </w:rPr>
      </w:pPr>
      <w:r>
        <w:rPr>
          <w:rFonts w:asciiTheme="minorEastAsia" w:hAnsiTheme="minorEastAsia" w:eastAsiaTheme="minorEastAsia"/>
        </w:rPr>
        <w:t>建造师执业资格等级：</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建造师注册证书号：；</w:t>
      </w:r>
    </w:p>
    <w:p>
      <w:pPr>
        <w:rPr>
          <w:rFonts w:asciiTheme="minorEastAsia" w:hAnsiTheme="minorEastAsia" w:eastAsiaTheme="minorEastAsia"/>
        </w:rPr>
      </w:pPr>
      <w:r>
        <w:rPr>
          <w:rFonts w:asciiTheme="minorEastAsia" w:hAnsiTheme="minorEastAsia" w:eastAsiaTheme="minorEastAsia"/>
        </w:rPr>
        <w:t>建造师执业印章号：；</w:t>
      </w:r>
    </w:p>
    <w:p>
      <w:pPr>
        <w:rPr>
          <w:rFonts w:asciiTheme="minorEastAsia" w:hAnsiTheme="minorEastAsia" w:eastAsiaTheme="minorEastAsia"/>
        </w:rPr>
      </w:pPr>
      <w:r>
        <w:rPr>
          <w:rFonts w:asciiTheme="minorEastAsia" w:hAnsiTheme="minorEastAsia" w:eastAsiaTheme="minorEastAsia"/>
        </w:rPr>
        <w:t>安全生产考核合格证书号：；</w:t>
      </w:r>
    </w:p>
    <w:p>
      <w:pPr>
        <w:rPr>
          <w:rFonts w:asciiTheme="minorEastAsia" w:hAnsiTheme="minorEastAsia" w:eastAsiaTheme="minorEastAsia"/>
        </w:rPr>
      </w:pPr>
      <w:r>
        <w:rPr>
          <w:rFonts w:asciiTheme="minorEastAsia" w:hAnsiTheme="minorEastAsia" w:eastAsiaTheme="minorEastAsia"/>
        </w:rPr>
        <w:t>联系电话：</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电子信箱：</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通信地址：</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承包人对项目经理的授权范围如下：</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关于项目经理每月在施工现场的时间要求：</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承包人未提交劳动合同，以及没有为项目经理缴纳社会保险证明的违约责任：</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hint="eastAsia" w:asciiTheme="minorEastAsia" w:hAnsiTheme="minorEastAsia" w:eastAsiaTheme="minorEastAsia"/>
        </w:rPr>
        <w:t>本</w:t>
      </w:r>
      <w:r>
        <w:rPr>
          <w:rFonts w:asciiTheme="minorEastAsia" w:hAnsiTheme="minorEastAsia" w:eastAsiaTheme="minorEastAsia"/>
        </w:rPr>
        <w:t>项目</w:t>
      </w:r>
      <w:r>
        <w:rPr>
          <w:rFonts w:hint="eastAsia" w:asciiTheme="minorEastAsia" w:hAnsiTheme="minorEastAsia" w:eastAsiaTheme="minorEastAsia"/>
        </w:rPr>
        <w:t>实行项目经理、项目主要技术负责人压证施工制度。发包人须在承包人提供响应文件承诺的人员的执业资格证书原件后才能签订合同，至工程竣工</w:t>
      </w:r>
      <w:r>
        <w:rPr>
          <w:rFonts w:asciiTheme="minorEastAsia" w:hAnsiTheme="minorEastAsia" w:eastAsiaTheme="minorEastAsia"/>
        </w:rPr>
        <w:t>验收合格</w:t>
      </w:r>
      <w:r>
        <w:rPr>
          <w:rFonts w:hint="eastAsia" w:asciiTheme="minorEastAsia" w:hAnsiTheme="minorEastAsia" w:eastAsiaTheme="minorEastAsia"/>
        </w:rPr>
        <w:t>后才能退还。承包人项目经理短期离开施工场地，应事先征得发包人同意，并委派代表代行其职责，</w:t>
      </w:r>
      <w:r>
        <w:rPr>
          <w:rFonts w:asciiTheme="minorEastAsia" w:hAnsiTheme="minorEastAsia" w:eastAsiaTheme="minorEastAsia"/>
        </w:rPr>
        <w:t>项目经理未经批准，擅自离开施工现场的违约责任：</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w:t>
      </w:r>
    </w:p>
    <w:p>
      <w:pPr>
        <w:rPr>
          <w:rFonts w:asciiTheme="minorEastAsia" w:hAnsiTheme="minorEastAsia" w:eastAsiaTheme="minorEastAsia"/>
        </w:rPr>
      </w:pPr>
      <w:r>
        <w:rPr>
          <w:rFonts w:asciiTheme="minorEastAsia" w:hAnsiTheme="minorEastAsia" w:eastAsiaTheme="minorEastAsia"/>
        </w:rPr>
        <w:t>3.2.3 承包人擅自更换项目经理</w:t>
      </w:r>
      <w:r>
        <w:rPr>
          <w:rFonts w:hint="eastAsia" w:asciiTheme="minorEastAsia" w:hAnsiTheme="minorEastAsia" w:eastAsiaTheme="minorEastAsia"/>
        </w:rPr>
        <w:t>或技术负责人</w:t>
      </w:r>
      <w:r>
        <w:rPr>
          <w:rFonts w:asciiTheme="minorEastAsia" w:hAnsiTheme="minorEastAsia" w:eastAsiaTheme="minorEastAsia"/>
        </w:rPr>
        <w:t>的违约责任：</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cs="仿宋" w:asciiTheme="minorEastAsia" w:hAnsiTheme="minorEastAsia" w:eastAsiaTheme="minorEastAsia"/>
          <w:u w:val="single"/>
        </w:rPr>
        <w:t>。</w:t>
      </w:r>
    </w:p>
    <w:p>
      <w:pPr>
        <w:rPr>
          <w:rFonts w:asciiTheme="minorEastAsia" w:hAnsiTheme="minorEastAsia" w:eastAsiaTheme="minorEastAsia"/>
        </w:rPr>
      </w:pPr>
      <w:r>
        <w:rPr>
          <w:rFonts w:asciiTheme="minorEastAsia" w:hAnsiTheme="minorEastAsia" w:eastAsiaTheme="minorEastAsia"/>
        </w:rPr>
        <w:t xml:space="preserve">    3.2.4 承包人无正当理由拒绝更换项目经理的违约责任：</w:t>
      </w:r>
      <w:r>
        <w:rPr>
          <w:rFonts w:hint="eastAsia" w:asciiTheme="minorEastAsia" w:hAnsiTheme="minorEastAsia" w:eastAsiaTheme="minorEastAsia"/>
          <w:u w:val="single"/>
        </w:rPr>
        <w:t>发包人有权终止合同</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3.3 承包人人员</w:t>
      </w:r>
    </w:p>
    <w:p>
      <w:pPr>
        <w:rPr>
          <w:rFonts w:asciiTheme="minorEastAsia" w:hAnsiTheme="minorEastAsia" w:eastAsiaTheme="minorEastAsia"/>
        </w:rPr>
      </w:pPr>
      <w:r>
        <w:rPr>
          <w:rFonts w:asciiTheme="minorEastAsia" w:hAnsiTheme="minorEastAsia" w:eastAsiaTheme="minorEastAsia"/>
        </w:rPr>
        <w:t>3.3.1 承包人提交项目管理机构及施工现场管理人员安排报告的期限：</w:t>
      </w:r>
      <w:r>
        <w:rPr>
          <w:rFonts w:hint="eastAsia" w:asciiTheme="minorEastAsia" w:hAnsiTheme="minorEastAsia" w:eastAsiaTheme="minorEastAsia"/>
          <w:u w:val="single"/>
        </w:rPr>
        <w:t>承包人应在接到开工通知后3天内，向监理人和发包人提交承包人在施工场地的管理机构以及人员安排的报告，其内容应包括管理机构的设置、各主要岗位的技术和管理人员名单及其资格，以及各工种技术工人的安排状况。承包人应向监理人提交施工场地人员变动情况的报告。 承包人应按合同约定指派项目经理，并在约定的期限内到职。承包人派驻施工现场的项目经理、项目总监、主要技术负责人与响应文件承诺不符的，视同转包，发包人有权终止合同。</w:t>
      </w:r>
    </w:p>
    <w:p>
      <w:pPr>
        <w:rPr>
          <w:rFonts w:asciiTheme="minorEastAsia" w:hAnsiTheme="minorEastAsia" w:eastAsiaTheme="minorEastAsia"/>
        </w:rPr>
      </w:pPr>
      <w:r>
        <w:rPr>
          <w:rFonts w:asciiTheme="minorEastAsia" w:hAnsiTheme="minorEastAsia" w:eastAsiaTheme="minorEastAsia"/>
        </w:rPr>
        <w:t>3.3.3 承包人无正当理由拒绝撤换主要施工管理人员的违约责任：</w:t>
      </w:r>
      <w:r>
        <w:rPr>
          <w:rFonts w:asciiTheme="minorEastAsia" w:hAnsiTheme="minorEastAsia" w:eastAsiaTheme="minorEastAsia"/>
          <w:u w:val="single"/>
        </w:rPr>
        <w:t xml:space="preserve">  </w:t>
      </w:r>
      <w:r>
        <w:rPr>
          <w:rFonts w:hint="eastAsia" w:asciiTheme="minorEastAsia" w:hAnsiTheme="minorEastAsia" w:eastAsiaTheme="minorEastAsia"/>
          <w:u w:val="single"/>
        </w:rPr>
        <w:t>发包人有权终止合同</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u w:val="single"/>
        </w:rPr>
      </w:pPr>
      <w:r>
        <w:rPr>
          <w:rFonts w:asciiTheme="minorEastAsia" w:hAnsiTheme="minorEastAsia" w:eastAsiaTheme="minorEastAsia"/>
        </w:rPr>
        <w:t xml:space="preserve">3.3.4 承包人主要施工管理人员离开施工现场的批准要求：   </w:t>
      </w:r>
      <w:r>
        <w:rPr>
          <w:rFonts w:hint="eastAsia" w:asciiTheme="minorEastAsia" w:hAnsiTheme="minorEastAsia" w:eastAsiaTheme="minorEastAsia"/>
          <w:u w:val="single"/>
        </w:rPr>
        <w:t xml:space="preserve">  经</w:t>
      </w:r>
      <w:r>
        <w:rPr>
          <w:rFonts w:asciiTheme="minorEastAsia" w:hAnsiTheme="minorEastAsia" w:eastAsiaTheme="minorEastAsia"/>
          <w:u w:val="single"/>
        </w:rPr>
        <w:t xml:space="preserve">发包人同意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3.3.5承包人擅自更换主要施工管理人员的违约责任：</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cs="仿宋" w:asciiTheme="minorEastAsia" w:hAnsiTheme="minorEastAsia" w:eastAsiaTheme="minorEastAsia"/>
          <w:u w:val="single"/>
        </w:rPr>
        <w:t>。</w:t>
      </w:r>
    </w:p>
    <w:p>
      <w:pPr>
        <w:rPr>
          <w:rFonts w:asciiTheme="minorEastAsia" w:hAnsiTheme="minorEastAsia" w:eastAsiaTheme="minorEastAsia"/>
        </w:rPr>
      </w:pPr>
      <w:r>
        <w:rPr>
          <w:rFonts w:asciiTheme="minorEastAsia" w:hAnsiTheme="minorEastAsia" w:eastAsiaTheme="minorEastAsia"/>
        </w:rPr>
        <w:t>承包人主要施工管理人员擅自离开施工现场的违约责任：</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rPr>
        <w:t>3</w:t>
      </w:r>
      <w:bookmarkStart w:id="633" w:name="_Toc296346660"/>
      <w:bookmarkStart w:id="634" w:name="_Toc304295523"/>
      <w:bookmarkStart w:id="635" w:name="_Toc297120459"/>
      <w:bookmarkStart w:id="636" w:name="_Toc292559364"/>
      <w:bookmarkStart w:id="637" w:name="_Toc296891199"/>
      <w:bookmarkStart w:id="638" w:name="_Toc312677988"/>
      <w:bookmarkStart w:id="639" w:name="_Toc296347158"/>
      <w:bookmarkStart w:id="640" w:name="_Toc296944498"/>
      <w:bookmarkStart w:id="641" w:name="_Toc297048345"/>
      <w:bookmarkStart w:id="642" w:name="_Toc292559869"/>
      <w:bookmarkStart w:id="643" w:name="_Toc296503159"/>
      <w:bookmarkStart w:id="644" w:name="_Toc296890987"/>
      <w:bookmarkStart w:id="645" w:name="_Toc297216151"/>
      <w:bookmarkStart w:id="646" w:name="_Toc297123492"/>
      <w:bookmarkStart w:id="647" w:name="_Toc300934945"/>
      <w:bookmarkStart w:id="648" w:name="_Toc303539102"/>
      <w:r>
        <w:rPr>
          <w:rFonts w:asciiTheme="minorEastAsia" w:hAnsiTheme="minorEastAsia" w:eastAsiaTheme="minorEastAsia"/>
        </w:rPr>
        <w:t>.5 分包</w:t>
      </w:r>
    </w:p>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p>
      <w:pPr>
        <w:rPr>
          <w:rFonts w:asciiTheme="minorEastAsia" w:hAnsiTheme="minorEastAsia" w:eastAsiaTheme="minorEastAsia"/>
        </w:rPr>
      </w:pPr>
      <w:r>
        <w:rPr>
          <w:rFonts w:asciiTheme="minorEastAsia" w:hAnsiTheme="minorEastAsia" w:eastAsiaTheme="minorEastAsia"/>
        </w:rPr>
        <w:t>3</w:t>
      </w:r>
      <w:bookmarkStart w:id="649" w:name="_Toc296891200"/>
      <w:bookmarkStart w:id="650" w:name="_Toc297048346"/>
      <w:bookmarkStart w:id="651" w:name="_Toc297123493"/>
      <w:bookmarkStart w:id="652" w:name="_Toc292559870"/>
      <w:bookmarkStart w:id="653" w:name="_Toc300934946"/>
      <w:bookmarkStart w:id="654" w:name="_Toc296346661"/>
      <w:bookmarkStart w:id="655" w:name="_Toc297216152"/>
      <w:bookmarkStart w:id="656" w:name="_Toc296944499"/>
      <w:bookmarkStart w:id="657" w:name="_Toc292559365"/>
      <w:bookmarkStart w:id="658" w:name="_Toc296890988"/>
      <w:bookmarkStart w:id="659" w:name="_Toc304295524"/>
      <w:bookmarkStart w:id="660" w:name="_Toc296347159"/>
      <w:bookmarkStart w:id="661" w:name="_Toc303539103"/>
      <w:bookmarkStart w:id="662" w:name="_Toc297120460"/>
      <w:bookmarkStart w:id="663" w:name="_Toc296503160"/>
      <w:bookmarkStart w:id="664" w:name="_Toc312677989"/>
      <w:bookmarkStart w:id="665" w:name="_Toc318581158"/>
      <w:r>
        <w:rPr>
          <w:rFonts w:asciiTheme="minorEastAsia" w:hAnsiTheme="minorEastAsia" w:eastAsiaTheme="minorEastAsia"/>
        </w:rPr>
        <w:t>.5.1 分包的一般约定</w:t>
      </w:r>
    </w:p>
    <w:p>
      <w:pPr>
        <w:rPr>
          <w:rFonts w:asciiTheme="minorEastAsia" w:hAnsiTheme="minorEastAsia" w:eastAsiaTheme="minorEastAsia"/>
        </w:rPr>
      </w:pPr>
      <w:r>
        <w:rPr>
          <w:rFonts w:asciiTheme="minorEastAsia" w:hAnsiTheme="minorEastAsia" w:eastAsiaTheme="minorEastAsia"/>
        </w:rPr>
        <w:t>禁止分包的工程包括：</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u w:val="single"/>
        </w:rPr>
      </w:pPr>
      <w:r>
        <w:rPr>
          <w:rFonts w:asciiTheme="minorEastAsia" w:hAnsiTheme="minorEastAsia" w:eastAsiaTheme="minorEastAsia"/>
        </w:rPr>
        <w:t>主体结构、关键性工作的范围：</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p>
    <w:p>
      <w:pPr>
        <w:rPr>
          <w:rFonts w:asciiTheme="minorEastAsia" w:hAnsiTheme="minorEastAsia" w:eastAsiaTheme="minorEastAsia"/>
          <w:u w:val="single"/>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Start w:id="666" w:name="_Toc303539104"/>
      <w:bookmarkStart w:id="667" w:name="_Toc304295525"/>
      <w:bookmarkStart w:id="668" w:name="_Toc296347160"/>
      <w:bookmarkStart w:id="669" w:name="_Toc297123494"/>
      <w:bookmarkStart w:id="670" w:name="_Toc296891201"/>
      <w:bookmarkStart w:id="671" w:name="_Toc297048347"/>
      <w:bookmarkStart w:id="672" w:name="_Toc297216153"/>
      <w:bookmarkStart w:id="673" w:name="_Toc296944500"/>
      <w:bookmarkStart w:id="674" w:name="_Toc300934947"/>
      <w:bookmarkStart w:id="675" w:name="_Toc297120461"/>
      <w:bookmarkStart w:id="676" w:name="_Toc296346662"/>
      <w:bookmarkStart w:id="677" w:name="_Toc296890989"/>
      <w:bookmarkStart w:id="678" w:name="_Toc296503161"/>
    </w:p>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p>
      <w:pPr>
        <w:rPr>
          <w:rFonts w:asciiTheme="minorEastAsia" w:hAnsiTheme="minorEastAsia" w:eastAsiaTheme="minorEastAsia"/>
        </w:rPr>
      </w:pPr>
      <w:r>
        <w:rPr>
          <w:rFonts w:asciiTheme="minorEastAsia" w:hAnsiTheme="minorEastAsia" w:eastAsiaTheme="minorEastAsia"/>
        </w:rPr>
        <w:t xml:space="preserve">    3</w:t>
      </w:r>
      <w:bookmarkStart w:id="679" w:name="_Toc312677990"/>
      <w:bookmarkStart w:id="680" w:name="_Toc318581159"/>
      <w:r>
        <w:rPr>
          <w:rFonts w:asciiTheme="minorEastAsia" w:hAnsiTheme="minorEastAsia" w:eastAsiaTheme="minorEastAsia"/>
        </w:rPr>
        <w:t>.5.2分包的确定</w:t>
      </w:r>
    </w:p>
    <w:p>
      <w:pPr>
        <w:rPr>
          <w:rFonts w:asciiTheme="minorEastAsia" w:hAnsiTheme="minorEastAsia" w:eastAsiaTheme="minorEastAsia"/>
          <w:u w:val="single"/>
        </w:rPr>
      </w:pPr>
      <w:r>
        <w:rPr>
          <w:rFonts w:asciiTheme="minorEastAsia" w:hAnsiTheme="minorEastAsia" w:eastAsiaTheme="minorEastAsia"/>
        </w:rPr>
        <w:t>允许分包的专业工程包括：</w:t>
      </w:r>
      <w:r>
        <w:rPr>
          <w:rFonts w:hint="eastAsia" w:asciiTheme="minorEastAsia" w:hAnsiTheme="minorEastAsia" w:eastAsiaTheme="minorEastAsia"/>
          <w:u w:val="single"/>
        </w:rPr>
        <w:t>无</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其他关于分包的约定：</w:t>
      </w:r>
      <w:r>
        <w:rPr>
          <w:rFonts w:hint="eastAsia" w:asciiTheme="minorEastAsia" w:hAnsiTheme="minorEastAsia" w:eastAsiaTheme="minorEastAsia"/>
          <w:u w:val="single"/>
        </w:rPr>
        <w:t>严禁转包和违法分包。未经发包</w:t>
      </w:r>
      <w:r>
        <w:rPr>
          <w:rFonts w:asciiTheme="minorEastAsia" w:hAnsiTheme="minorEastAsia" w:eastAsiaTheme="minorEastAsia"/>
          <w:u w:val="single"/>
        </w:rPr>
        <w:t>人</w:t>
      </w:r>
      <w:r>
        <w:rPr>
          <w:rFonts w:hint="eastAsia" w:asciiTheme="minorEastAsia" w:hAnsiTheme="minorEastAsia" w:eastAsiaTheme="minorEastAsia"/>
          <w:u w:val="single"/>
        </w:rPr>
        <w:t>批准，承包人不得变更项目经理和主要技术负责人。凡采购文件未明确可以分包的，承包人不得进行任何 形式的分包。承包人派驻施工现场的项目经理、主要技术负责人与响应文件承诺不符的，视同转包。发</w:t>
      </w:r>
      <w:r>
        <w:rPr>
          <w:rFonts w:asciiTheme="minorEastAsia" w:hAnsiTheme="minorEastAsia" w:eastAsiaTheme="minorEastAsia"/>
          <w:u w:val="single"/>
        </w:rPr>
        <w:t>包</w:t>
      </w:r>
      <w:r>
        <w:rPr>
          <w:rFonts w:hint="eastAsia" w:asciiTheme="minorEastAsia" w:hAnsiTheme="minorEastAsia" w:eastAsiaTheme="minorEastAsia"/>
          <w:u w:val="single"/>
        </w:rPr>
        <w:t>人有权终止合同，承包人承担由此造成的经济责任及行政处罚。</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rPr>
        <w:t>3.5.4 分包合同价款</w:t>
      </w:r>
    </w:p>
    <w:p>
      <w:pPr>
        <w:rPr>
          <w:rFonts w:asciiTheme="minorEastAsia" w:hAnsiTheme="minorEastAsia" w:eastAsiaTheme="minorEastAsia"/>
        </w:rPr>
      </w:pPr>
      <w:r>
        <w:rPr>
          <w:rFonts w:asciiTheme="minorEastAsia" w:hAnsiTheme="minorEastAsia" w:eastAsiaTheme="minorEastAsia"/>
        </w:rPr>
        <w:t>关于分包合同价款支付的约定：</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bookmarkEnd w:id="679"/>
    <w:bookmarkEnd w:id="680"/>
    <w:p>
      <w:pPr>
        <w:rPr>
          <w:rFonts w:asciiTheme="minorEastAsia" w:hAnsiTheme="minorEastAsia" w:eastAsiaTheme="minorEastAsia"/>
        </w:rPr>
      </w:pPr>
      <w:r>
        <w:rPr>
          <w:rFonts w:asciiTheme="minorEastAsia" w:hAnsiTheme="minorEastAsia" w:eastAsiaTheme="minorEastAsia"/>
        </w:rPr>
        <w:t>3.6 工程照管与成品、半成品保护</w:t>
      </w:r>
    </w:p>
    <w:p>
      <w:pPr>
        <w:rPr>
          <w:rFonts w:asciiTheme="minorEastAsia" w:hAnsiTheme="minorEastAsia" w:eastAsiaTheme="minorEastAsia"/>
          <w:u w:val="single"/>
        </w:rPr>
      </w:pPr>
      <w:r>
        <w:rPr>
          <w:rFonts w:asciiTheme="minorEastAsia" w:hAnsiTheme="minorEastAsia" w:eastAsiaTheme="minorEastAsia"/>
        </w:rPr>
        <w:t>承包人负责照管工程及工程相关的材料、工程设备的起始时间：</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3.7 履约担保</w:t>
      </w:r>
    </w:p>
    <w:p>
      <w:pPr>
        <w:rPr>
          <w:rFonts w:asciiTheme="minorEastAsia" w:hAnsiTheme="minorEastAsia" w:eastAsiaTheme="minorEastAsia"/>
        </w:rPr>
      </w:pPr>
      <w:r>
        <w:rPr>
          <w:rFonts w:hint="eastAsia" w:asciiTheme="minorEastAsia" w:hAnsiTheme="minorEastAsia" w:eastAsiaTheme="minorEastAsia"/>
        </w:rPr>
        <w:t>承包人是否提供履约担保：</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不提供 </w:t>
      </w:r>
      <w:r>
        <w:rPr>
          <w:rFonts w:asciiTheme="minorEastAsia" w:hAnsiTheme="minorEastAsia" w:eastAsiaTheme="minorEastAsia"/>
        </w:rPr>
        <w:t>。</w:t>
      </w:r>
    </w:p>
    <w:p>
      <w:pPr>
        <w:rPr>
          <w:rFonts w:asciiTheme="minorEastAsia" w:hAnsiTheme="minorEastAsia" w:eastAsiaTheme="minorEastAsia"/>
          <w:bCs/>
        </w:rPr>
      </w:pPr>
      <w:bookmarkStart w:id="681" w:name="_Toc351203636"/>
      <w:r>
        <w:rPr>
          <w:rFonts w:asciiTheme="minorEastAsia" w:hAnsiTheme="minorEastAsia" w:eastAsiaTheme="minorEastAsia"/>
          <w:bCs/>
        </w:rPr>
        <w:t>4</w:t>
      </w:r>
      <w:bookmarkStart w:id="682" w:name="_Toc297048348"/>
      <w:bookmarkStart w:id="683" w:name="_Toc296890990"/>
      <w:bookmarkStart w:id="684" w:name="_Toc296944501"/>
      <w:bookmarkStart w:id="685" w:name="_Toc296503162"/>
      <w:bookmarkStart w:id="686" w:name="_Toc296347161"/>
      <w:bookmarkStart w:id="687" w:name="_Toc296346663"/>
      <w:bookmarkStart w:id="688" w:name="_Toc292559871"/>
      <w:bookmarkStart w:id="689" w:name="_Toc296891202"/>
      <w:bookmarkStart w:id="690" w:name="_Toc292559366"/>
      <w:bookmarkStart w:id="691" w:name="_Toc297120462"/>
      <w:bookmarkStart w:id="692" w:name="_Toc267251413"/>
      <w:r>
        <w:rPr>
          <w:rFonts w:asciiTheme="minorEastAsia" w:hAnsiTheme="minorEastAsia" w:eastAsiaTheme="minorEastAsia"/>
          <w:bCs/>
        </w:rPr>
        <w:t>. 监</w:t>
      </w:r>
      <w:bookmarkEnd w:id="682"/>
      <w:bookmarkEnd w:id="683"/>
      <w:bookmarkEnd w:id="684"/>
      <w:bookmarkEnd w:id="685"/>
      <w:bookmarkEnd w:id="686"/>
      <w:bookmarkEnd w:id="687"/>
      <w:bookmarkEnd w:id="688"/>
      <w:bookmarkEnd w:id="689"/>
      <w:bookmarkEnd w:id="690"/>
      <w:bookmarkEnd w:id="691"/>
      <w:bookmarkEnd w:id="692"/>
      <w:r>
        <w:rPr>
          <w:rFonts w:asciiTheme="minorEastAsia" w:hAnsiTheme="minorEastAsia" w:eastAsiaTheme="minorEastAsia"/>
          <w:bCs/>
        </w:rPr>
        <w:t>理人</w:t>
      </w:r>
      <w:bookmarkEnd w:id="681"/>
    </w:p>
    <w:p>
      <w:pPr>
        <w:rPr>
          <w:rFonts w:asciiTheme="minorEastAsia" w:hAnsiTheme="minorEastAsia" w:eastAsiaTheme="minorEastAsia"/>
        </w:rPr>
      </w:pPr>
      <w:r>
        <w:rPr>
          <w:rFonts w:asciiTheme="minorEastAsia" w:hAnsiTheme="minorEastAsia" w:eastAsiaTheme="minorEastAsia"/>
        </w:rPr>
        <w:t>4.1监理人的一般规定</w:t>
      </w:r>
    </w:p>
    <w:p>
      <w:pPr>
        <w:rPr>
          <w:rFonts w:asciiTheme="minorEastAsia" w:hAnsiTheme="minorEastAsia" w:eastAsiaTheme="minorEastAsia"/>
        </w:rPr>
      </w:pPr>
      <w:r>
        <w:rPr>
          <w:rFonts w:asciiTheme="minorEastAsia" w:hAnsiTheme="minorEastAsia" w:eastAsiaTheme="minorEastAsia"/>
        </w:rPr>
        <w:t>关于监理人的监理内容：</w:t>
      </w:r>
      <w:r>
        <w:rPr>
          <w:rFonts w:hint="eastAsia" w:asciiTheme="minorEastAsia" w:hAnsiTheme="minorEastAsia" w:eastAsiaTheme="minorEastAsia"/>
          <w:u w:val="single"/>
        </w:rPr>
        <w:t>监理工程师依照法律、法规及有关技术标准、设计文件和建设工程承包合同，对承包人在施工质量、建设工期、进度、安全文明施工、环境保护和建设资金使用等方面，代表发包人进行监督。</w:t>
      </w:r>
    </w:p>
    <w:p>
      <w:pPr>
        <w:rPr>
          <w:rFonts w:asciiTheme="minorEastAsia" w:hAnsiTheme="minorEastAsia" w:eastAsiaTheme="minorEastAsia"/>
        </w:rPr>
      </w:pPr>
      <w:r>
        <w:rPr>
          <w:rFonts w:asciiTheme="minorEastAsia" w:hAnsiTheme="minorEastAsia" w:eastAsiaTheme="minorEastAsia"/>
        </w:rPr>
        <w:t>关于监理人的监理权限：</w:t>
      </w:r>
      <w:r>
        <w:rPr>
          <w:rFonts w:hint="eastAsia" w:asciiTheme="minorEastAsia" w:hAnsiTheme="minorEastAsia" w:eastAsiaTheme="minorEastAsia"/>
          <w:u w:val="single"/>
        </w:rPr>
        <w:t>监理工程师认为工程施工不符合工程设计要求、施工技术标准和合同约定时，有权要求承包人改正。</w:t>
      </w:r>
      <w:r>
        <w:rPr>
          <w:rFonts w:asciiTheme="minorEastAsia" w:hAnsiTheme="minorEastAsia" w:eastAsiaTheme="minorEastAsia"/>
        </w:rPr>
        <w:t xml:space="preserve"> </w:t>
      </w:r>
    </w:p>
    <w:p>
      <w:pPr>
        <w:rPr>
          <w:rFonts w:asciiTheme="minorEastAsia" w:hAnsiTheme="minorEastAsia" w:eastAsiaTheme="minorEastAsia"/>
        </w:rPr>
      </w:pPr>
      <w:r>
        <w:rPr>
          <w:rFonts w:asciiTheme="minorEastAsia" w:hAnsiTheme="minorEastAsia" w:eastAsiaTheme="minorEastAsia"/>
        </w:rPr>
        <w:t>关于监理人在施工现场的办公场所、生活场所的提供和费用承担的约定：</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rPr>
        <w:t>4.2 监理人员</w:t>
      </w:r>
    </w:p>
    <w:p>
      <w:pPr>
        <w:rPr>
          <w:rFonts w:asciiTheme="minorEastAsia" w:hAnsiTheme="minorEastAsia" w:eastAsiaTheme="minorEastAsia"/>
        </w:rPr>
      </w:pPr>
      <w:r>
        <w:rPr>
          <w:rFonts w:asciiTheme="minorEastAsia" w:hAnsiTheme="minorEastAsia" w:eastAsiaTheme="minorEastAsia"/>
        </w:rPr>
        <w:t>总监理工程师：</w:t>
      </w:r>
    </w:p>
    <w:p>
      <w:pPr>
        <w:rPr>
          <w:rFonts w:asciiTheme="minorEastAsia" w:hAnsiTheme="minorEastAsia" w:eastAsiaTheme="minorEastAsia"/>
        </w:rPr>
      </w:pPr>
      <w:r>
        <w:rPr>
          <w:rFonts w:asciiTheme="minorEastAsia" w:hAnsiTheme="minorEastAsia" w:eastAsiaTheme="minorEastAsia"/>
        </w:rPr>
        <w:t>姓    名：</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职    务：</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监理工程师执业资格证书号：；</w:t>
      </w:r>
    </w:p>
    <w:p>
      <w:pPr>
        <w:rPr>
          <w:rFonts w:asciiTheme="minorEastAsia" w:hAnsiTheme="minorEastAsia" w:eastAsiaTheme="minorEastAsia"/>
        </w:rPr>
      </w:pPr>
      <w:r>
        <w:rPr>
          <w:rFonts w:asciiTheme="minorEastAsia" w:hAnsiTheme="minorEastAsia" w:eastAsiaTheme="minorEastAsia"/>
        </w:rPr>
        <w:t>联系电话：</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电子信箱：</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通信地址：</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关于监理人的其他约定：</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4.4 商定或确定</w:t>
      </w:r>
    </w:p>
    <w:p>
      <w:pPr>
        <w:rPr>
          <w:rFonts w:asciiTheme="minorEastAsia" w:hAnsiTheme="minorEastAsia" w:eastAsiaTheme="minorEastAsia"/>
        </w:rPr>
      </w:pPr>
      <w:bookmarkStart w:id="693" w:name="_Toc267251418"/>
      <w:r>
        <w:rPr>
          <w:rFonts w:asciiTheme="minorEastAsia" w:hAnsiTheme="minorEastAsia" w:eastAsiaTheme="minorEastAsia"/>
        </w:rPr>
        <w:t>在发包人和承包人不能通过协商达成一致意见时，发包人授权监理人对以下事项进行确定：</w:t>
      </w:r>
    </w:p>
    <w:p>
      <w:pPr>
        <w:rPr>
          <w:rFonts w:asciiTheme="minorEastAsia" w:hAnsiTheme="minorEastAsia" w:eastAsiaTheme="minorEastAsia"/>
        </w:rPr>
      </w:pPr>
      <w:r>
        <w:rPr>
          <w:rFonts w:asciiTheme="minorEastAsia" w:hAnsiTheme="minorEastAsia" w:eastAsiaTheme="minorEastAsia"/>
        </w:rPr>
        <w:t>（1）</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（2）</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（3）</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bCs/>
        </w:rPr>
      </w:pPr>
      <w:bookmarkStart w:id="694" w:name="_Toc351203637"/>
      <w:r>
        <w:rPr>
          <w:rFonts w:asciiTheme="minorEastAsia" w:hAnsiTheme="minorEastAsia" w:eastAsiaTheme="minorEastAsia"/>
          <w:bCs/>
        </w:rPr>
        <w:t>5</w:t>
      </w:r>
      <w:bookmarkStart w:id="695" w:name="_Toc296944502"/>
      <w:bookmarkStart w:id="696" w:name="_Toc297048349"/>
      <w:bookmarkStart w:id="697" w:name="_Toc296890991"/>
      <w:bookmarkStart w:id="698" w:name="_Toc297120463"/>
      <w:bookmarkStart w:id="699" w:name="_Toc292559367"/>
      <w:bookmarkStart w:id="700" w:name="_Toc296346664"/>
      <w:bookmarkStart w:id="701" w:name="_Toc296891203"/>
      <w:bookmarkStart w:id="702" w:name="_Toc296503163"/>
      <w:bookmarkStart w:id="703" w:name="_Toc296347162"/>
      <w:bookmarkStart w:id="704" w:name="_Toc292559872"/>
      <w:bookmarkEnd w:id="693"/>
      <w:r>
        <w:rPr>
          <w:rFonts w:asciiTheme="minorEastAsia" w:hAnsiTheme="minorEastAsia" w:eastAsiaTheme="minorEastAsia"/>
          <w:bCs/>
        </w:rPr>
        <w:t>. 工程质量</w:t>
      </w:r>
      <w:bookmarkEnd w:id="694"/>
    </w:p>
    <w:p>
      <w:pPr>
        <w:rPr>
          <w:rFonts w:asciiTheme="minorEastAsia" w:hAnsiTheme="minorEastAsia" w:eastAsiaTheme="minorEastAsia"/>
        </w:rPr>
      </w:pPr>
      <w:r>
        <w:rPr>
          <w:rFonts w:asciiTheme="minorEastAsia" w:hAnsiTheme="minorEastAsia" w:eastAsiaTheme="minorEastAsia"/>
        </w:rPr>
        <w:t>5.1 质量要求</w:t>
      </w:r>
    </w:p>
    <w:p>
      <w:pPr>
        <w:rPr>
          <w:rFonts w:asciiTheme="minorEastAsia" w:hAnsiTheme="minorEastAsia" w:eastAsiaTheme="minorEastAsia"/>
          <w:u w:val="single"/>
        </w:rPr>
      </w:pPr>
      <w:r>
        <w:rPr>
          <w:rFonts w:asciiTheme="minorEastAsia" w:hAnsiTheme="minorEastAsia" w:eastAsiaTheme="minorEastAsia"/>
        </w:rPr>
        <w:t>5</w:t>
      </w:r>
      <w:bookmarkStart w:id="705" w:name="_Toc300934949"/>
      <w:bookmarkStart w:id="706" w:name="_Toc303539106"/>
      <w:bookmarkStart w:id="707" w:name="_Toc312677997"/>
      <w:bookmarkStart w:id="708" w:name="_Toc297216155"/>
      <w:bookmarkStart w:id="709" w:name="_Toc297123496"/>
      <w:bookmarkStart w:id="710" w:name="_Toc304295527"/>
      <w:bookmarkStart w:id="711" w:name="_Toc318581164"/>
      <w:r>
        <w:rPr>
          <w:rFonts w:asciiTheme="minorEastAsia" w:hAnsiTheme="minorEastAsia" w:eastAsiaTheme="minorEastAsia"/>
        </w:rPr>
        <w:t>.1.1 特殊质量标准和要求：</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u w:val="single"/>
        </w:rPr>
      </w:pPr>
      <w:r>
        <w:rPr>
          <w:rFonts w:asciiTheme="minorEastAsia" w:hAnsiTheme="minorEastAsia" w:eastAsiaTheme="minorEastAsia"/>
        </w:rPr>
        <w:t>关于工程奖项的约定：</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5.3 隐蔽工程检查</w:t>
      </w:r>
    </w:p>
    <w:p>
      <w:pPr>
        <w:rPr>
          <w:rFonts w:asciiTheme="minorEastAsia" w:hAnsiTheme="minorEastAsia" w:eastAsiaTheme="minorEastAsia"/>
          <w:u w:val="single"/>
        </w:rPr>
      </w:pPr>
      <w:r>
        <w:rPr>
          <w:rFonts w:asciiTheme="minorEastAsia" w:hAnsiTheme="minorEastAsia" w:eastAsiaTheme="minorEastAsia"/>
        </w:rPr>
        <w:t>5.3.2承包人提前通知监理人隐蔽工程检查的期限的约定：</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监理人不能按时进行检查时，应提前</w:t>
      </w:r>
      <w:r>
        <w:rPr>
          <w:rFonts w:asciiTheme="minorEastAsia" w:hAnsiTheme="minorEastAsia" w:eastAsiaTheme="minorEastAsia"/>
          <w:u w:val="single"/>
        </w:rPr>
        <w:t xml:space="preserve">      </w:t>
      </w:r>
      <w:r>
        <w:rPr>
          <w:rFonts w:asciiTheme="minorEastAsia" w:hAnsiTheme="minorEastAsia" w:eastAsiaTheme="minorEastAsia"/>
        </w:rPr>
        <w:t>小时提交书面延期要求。</w:t>
      </w:r>
    </w:p>
    <w:p>
      <w:pPr>
        <w:rPr>
          <w:rFonts w:asciiTheme="minorEastAsia" w:hAnsiTheme="minorEastAsia" w:eastAsiaTheme="minorEastAsia"/>
        </w:rPr>
      </w:pPr>
      <w:r>
        <w:rPr>
          <w:rFonts w:asciiTheme="minorEastAsia" w:hAnsiTheme="minorEastAsia" w:eastAsiaTheme="minorEastAsia"/>
        </w:rPr>
        <w:t>关于延期最长不得超过：</w:t>
      </w:r>
      <w:r>
        <w:rPr>
          <w:rFonts w:asciiTheme="minorEastAsia" w:hAnsiTheme="minorEastAsia" w:eastAsiaTheme="minorEastAsia"/>
          <w:u w:val="single"/>
        </w:rPr>
        <w:t xml:space="preserve">        </w:t>
      </w:r>
      <w:r>
        <w:rPr>
          <w:rFonts w:asciiTheme="minorEastAsia" w:hAnsiTheme="minorEastAsia" w:eastAsiaTheme="minorEastAsia"/>
        </w:rPr>
        <w:t>小时。</w:t>
      </w:r>
    </w:p>
    <w:p>
      <w:pPr>
        <w:rPr>
          <w:rFonts w:asciiTheme="minorEastAsia" w:hAnsiTheme="minorEastAsia" w:eastAsiaTheme="minorEastAsia"/>
          <w:bCs/>
        </w:rPr>
      </w:pPr>
      <w:bookmarkStart w:id="712" w:name="_Toc351203638"/>
      <w:r>
        <w:rPr>
          <w:rFonts w:asciiTheme="minorEastAsia" w:hAnsiTheme="minorEastAsia" w:eastAsiaTheme="minorEastAsia"/>
          <w:bCs/>
        </w:rPr>
        <w:t>6. 安全文明施工与环境保护</w:t>
      </w:r>
      <w:bookmarkEnd w:id="712"/>
    </w:p>
    <w:p>
      <w:pPr>
        <w:rPr>
          <w:rFonts w:asciiTheme="minorEastAsia" w:hAnsiTheme="minorEastAsia" w:eastAsiaTheme="minorEastAsia"/>
        </w:rPr>
      </w:pPr>
      <w:r>
        <w:rPr>
          <w:rFonts w:asciiTheme="minorEastAsia" w:hAnsiTheme="minorEastAsia" w:eastAsiaTheme="minorEastAsia"/>
        </w:rPr>
        <w:t>6.1安全文明施工</w:t>
      </w:r>
    </w:p>
    <w:p>
      <w:pPr>
        <w:rPr>
          <w:rFonts w:asciiTheme="minorEastAsia" w:hAnsiTheme="minorEastAsia" w:eastAsiaTheme="minorEastAsia"/>
          <w:u w:val="single"/>
        </w:rPr>
      </w:pPr>
      <w:r>
        <w:rPr>
          <w:rFonts w:asciiTheme="minorEastAsia" w:hAnsiTheme="minorEastAsia" w:eastAsiaTheme="minorEastAsia"/>
        </w:rPr>
        <w:t>6.1.1 项目安全生产的达标目标及相应事项的约定：</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u w:val="single"/>
        </w:rPr>
      </w:pPr>
      <w:r>
        <w:rPr>
          <w:rFonts w:asciiTheme="minorEastAsia" w:hAnsiTheme="minorEastAsia" w:eastAsiaTheme="minorEastAsia"/>
        </w:rPr>
        <w:t>6.1.4 关于治安保卫的特别约定：</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关于编制施工场地治安管理计划的约定：</w:t>
      </w:r>
      <w:r>
        <w:rPr>
          <w:rFonts w:asciiTheme="minorEastAsia" w:hAnsiTheme="minorEastAsia" w:eastAsiaTheme="minorEastAsia"/>
          <w:u w:val="single"/>
        </w:rPr>
        <w:t xml:space="preserve">                  </w:t>
      </w:r>
      <w:r>
        <w:rPr>
          <w:rFonts w:asciiTheme="minorEastAsia" w:hAnsiTheme="minorEastAsia" w:eastAsiaTheme="minorEastAsia"/>
          <w:u w:val="single"/>
        </w:rPr>
        <w:br w:type="textWrapping"/>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hint="eastAsia" w:asciiTheme="minorEastAsia" w:hAnsiTheme="minorEastAsia" w:eastAsiaTheme="minorEastAsia"/>
        </w:rPr>
        <w:t>6.1.</w:t>
      </w:r>
      <w:r>
        <w:rPr>
          <w:rFonts w:asciiTheme="minorEastAsia" w:hAnsiTheme="minorEastAsia" w:eastAsiaTheme="minorEastAsia"/>
        </w:rPr>
        <w:t>5</w:t>
      </w:r>
      <w:r>
        <w:rPr>
          <w:rFonts w:hint="eastAsia" w:asciiTheme="minorEastAsia" w:hAnsiTheme="minorEastAsia" w:eastAsiaTheme="minorEastAsia"/>
        </w:rPr>
        <w:t xml:space="preserve"> 文明施工</w:t>
      </w:r>
    </w:p>
    <w:p>
      <w:pPr>
        <w:rPr>
          <w:rFonts w:asciiTheme="minorEastAsia" w:hAnsiTheme="minorEastAsia" w:eastAsiaTheme="minorEastAsia"/>
          <w:u w:val="single"/>
        </w:rPr>
      </w:pPr>
      <w:r>
        <w:rPr>
          <w:rFonts w:hint="eastAsia" w:asciiTheme="minorEastAsia" w:hAnsiTheme="minorEastAsia" w:eastAsiaTheme="minorEastAsia"/>
        </w:rPr>
        <w:t>合同当事人对文明施工的要求：</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p>
    <w:p>
      <w:pPr>
        <w:rPr>
          <w:rFonts w:asciiTheme="minorEastAsia" w:hAnsiTheme="minorEastAsia" w:eastAsiaTheme="minorEastAsia"/>
        </w:rPr>
      </w:pPr>
      <w:r>
        <w:rPr>
          <w:rFonts w:hint="eastAsia" w:asciiTheme="minorEastAsia" w:hAnsiTheme="minorEastAsia" w:eastAsiaTheme="minorEastAsia"/>
          <w:u w:val="single"/>
        </w:rPr>
        <w:t xml:space="preserve">                                                         </w:t>
      </w:r>
      <w:r>
        <w:rPr>
          <w:rFonts w:hint="eastAsia"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6.1.6 关于安全文明施工费支付比例和支付期限的约定：</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bookmarkEnd w:id="705"/>
    <w:bookmarkEnd w:id="706"/>
    <w:bookmarkEnd w:id="707"/>
    <w:bookmarkEnd w:id="708"/>
    <w:bookmarkEnd w:id="709"/>
    <w:bookmarkEnd w:id="710"/>
    <w:bookmarkEnd w:id="711"/>
    <w:p>
      <w:pPr>
        <w:rPr>
          <w:rFonts w:asciiTheme="minorEastAsia" w:hAnsiTheme="minorEastAsia" w:eastAsiaTheme="minorEastAsia"/>
          <w:bCs/>
        </w:rPr>
      </w:pPr>
      <w:bookmarkStart w:id="713" w:name="_Toc351203639"/>
      <w:r>
        <w:rPr>
          <w:rFonts w:asciiTheme="minorEastAsia" w:hAnsiTheme="minorEastAsia" w:eastAsiaTheme="minorEastAsia"/>
          <w:bCs/>
        </w:rPr>
        <w:t>7. 工期和进度</w:t>
      </w:r>
      <w:bookmarkEnd w:id="713"/>
    </w:p>
    <w:p>
      <w:pPr>
        <w:rPr>
          <w:rFonts w:asciiTheme="minorEastAsia" w:hAnsiTheme="minorEastAsia" w:eastAsiaTheme="minorEastAsia"/>
        </w:rPr>
      </w:pPr>
      <w:r>
        <w:rPr>
          <w:rFonts w:asciiTheme="minorEastAsia" w:hAnsiTheme="minorEastAsia" w:eastAsiaTheme="minorEastAsia"/>
        </w:rPr>
        <w:t>7.1 施工组织设计</w:t>
      </w:r>
    </w:p>
    <w:p>
      <w:pPr>
        <w:rPr>
          <w:rFonts w:asciiTheme="minorEastAsia" w:hAnsiTheme="minorEastAsia" w:eastAsiaTheme="minorEastAsia"/>
          <w:u w:val="single"/>
        </w:rPr>
      </w:pPr>
      <w:r>
        <w:rPr>
          <w:rFonts w:asciiTheme="minorEastAsia" w:hAnsiTheme="minorEastAsia" w:eastAsiaTheme="minorEastAsia"/>
        </w:rPr>
        <w:t>7.1.</w:t>
      </w:r>
      <w:r>
        <w:rPr>
          <w:rFonts w:hint="eastAsia" w:asciiTheme="minorEastAsia" w:hAnsiTheme="minorEastAsia" w:eastAsiaTheme="minorEastAsia"/>
        </w:rPr>
        <w:t>1 合同当事人约定的</w:t>
      </w:r>
      <w:r>
        <w:rPr>
          <w:rFonts w:asciiTheme="minorEastAsia" w:hAnsiTheme="minorEastAsia" w:eastAsiaTheme="minorEastAsia"/>
        </w:rPr>
        <w:t>施工组织设计</w:t>
      </w:r>
      <w:r>
        <w:rPr>
          <w:rFonts w:hint="eastAsia" w:asciiTheme="minorEastAsia" w:hAnsiTheme="minorEastAsia" w:eastAsiaTheme="minorEastAsia"/>
        </w:rPr>
        <w:t>应包括的其他内容</w:t>
      </w:r>
      <w:r>
        <w:rPr>
          <w:rFonts w:asciiTheme="minorEastAsia" w:hAnsiTheme="minorEastAsia" w:eastAsiaTheme="minorEastAsia"/>
        </w:rPr>
        <w:t>：</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p>
    <w:p>
      <w:pPr>
        <w:rPr>
          <w:rFonts w:asciiTheme="minorEastAsia" w:hAnsiTheme="minorEastAsia" w:eastAsiaTheme="minorEastAsia"/>
        </w:rPr>
      </w:pP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7.1.2 施工组织设计的提交和修改</w:t>
      </w:r>
    </w:p>
    <w:p>
      <w:pPr>
        <w:rPr>
          <w:rFonts w:asciiTheme="minorEastAsia" w:hAnsiTheme="minorEastAsia" w:eastAsiaTheme="minorEastAsia"/>
          <w:u w:val="single"/>
        </w:rPr>
      </w:pPr>
      <w:r>
        <w:rPr>
          <w:rFonts w:asciiTheme="minorEastAsia" w:hAnsiTheme="minorEastAsia" w:eastAsiaTheme="minorEastAsia"/>
        </w:rPr>
        <w:t>承包人提交详细施工组织设计的期限的约定：</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p>
    <w:p>
      <w:pPr>
        <w:rPr>
          <w:rFonts w:asciiTheme="minorEastAsia" w:hAnsiTheme="minorEastAsia" w:eastAsiaTheme="minorEastAsia"/>
        </w:rPr>
      </w:pP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发包人和监理人在收到</w:t>
      </w:r>
      <w:r>
        <w:rPr>
          <w:rFonts w:hint="eastAsia" w:asciiTheme="minorEastAsia" w:hAnsiTheme="minorEastAsia" w:eastAsiaTheme="minorEastAsia"/>
        </w:rPr>
        <w:t>详细的施工组织设计</w:t>
      </w:r>
      <w:r>
        <w:rPr>
          <w:rFonts w:asciiTheme="minorEastAsia" w:hAnsiTheme="minorEastAsia" w:eastAsiaTheme="minorEastAsia"/>
        </w:rPr>
        <w:t>后确认或提出修改意见的期限：</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7</w:t>
      </w:r>
      <w:bookmarkStart w:id="714" w:name="_Toc297123514"/>
      <w:bookmarkStart w:id="715" w:name="_Toc312678005"/>
      <w:bookmarkStart w:id="716" w:name="_Toc300934966"/>
      <w:bookmarkStart w:id="717" w:name="_Toc312677479"/>
      <w:bookmarkStart w:id="718" w:name="_Toc304295541"/>
      <w:bookmarkStart w:id="719" w:name="_Toc303539123"/>
      <w:bookmarkStart w:id="720" w:name="_Toc297216173"/>
      <w:r>
        <w:rPr>
          <w:rFonts w:asciiTheme="minorEastAsia" w:hAnsiTheme="minorEastAsia" w:eastAsiaTheme="minorEastAsia"/>
        </w:rPr>
        <w:t>.2 施工进度计划</w:t>
      </w:r>
    </w:p>
    <w:p>
      <w:pPr>
        <w:rPr>
          <w:rFonts w:asciiTheme="minorEastAsia" w:hAnsiTheme="minorEastAsia" w:eastAsiaTheme="minorEastAsia"/>
        </w:rPr>
      </w:pPr>
      <w:r>
        <w:rPr>
          <w:rFonts w:asciiTheme="minorEastAsia" w:hAnsiTheme="minorEastAsia" w:eastAsiaTheme="minorEastAsia"/>
        </w:rPr>
        <w:t>7.2.2 施工进度计划的修订</w:t>
      </w:r>
    </w:p>
    <w:p>
      <w:pPr>
        <w:rPr>
          <w:rFonts w:asciiTheme="minorEastAsia" w:hAnsiTheme="minorEastAsia" w:eastAsiaTheme="minorEastAsia"/>
        </w:rPr>
      </w:pPr>
      <w:r>
        <w:rPr>
          <w:rFonts w:hint="eastAsia" w:asciiTheme="minorEastAsia" w:hAnsiTheme="minorEastAsia" w:eastAsiaTheme="minorEastAsia"/>
        </w:rPr>
        <w:t>承包人提供施工组织设计（施工方案）和进度计划的时间：</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w:t>
      </w:r>
      <w:r>
        <w:rPr>
          <w:rFonts w:hint="eastAsia" w:asciiTheme="minorEastAsia" w:hAnsiTheme="minorEastAsia" w:eastAsiaTheme="minorEastAsia"/>
        </w:rPr>
        <w:t xml:space="preserve"> </w:t>
      </w:r>
    </w:p>
    <w:p>
      <w:pPr>
        <w:rPr>
          <w:rFonts w:asciiTheme="minorEastAsia" w:hAnsiTheme="minorEastAsia" w:eastAsiaTheme="minorEastAsia"/>
        </w:rPr>
      </w:pPr>
      <w:r>
        <w:rPr>
          <w:rFonts w:asciiTheme="minorEastAsia" w:hAnsiTheme="minorEastAsia" w:eastAsiaTheme="minorEastAsia"/>
        </w:rPr>
        <w:t>发包人和监理人在收到修订的施工进度计划后确认或提出修改意见的期限：</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7.3 开工</w:t>
      </w:r>
    </w:p>
    <w:p>
      <w:pPr>
        <w:rPr>
          <w:rFonts w:asciiTheme="minorEastAsia" w:hAnsiTheme="minorEastAsia" w:eastAsiaTheme="minorEastAsia"/>
        </w:rPr>
      </w:pPr>
      <w:r>
        <w:rPr>
          <w:rFonts w:asciiTheme="minorEastAsia" w:hAnsiTheme="minorEastAsia" w:eastAsiaTheme="minorEastAsia"/>
        </w:rPr>
        <w:t>7.3.1 开工准备</w:t>
      </w:r>
    </w:p>
    <w:p>
      <w:pPr>
        <w:rPr>
          <w:rFonts w:asciiTheme="minorEastAsia" w:hAnsiTheme="minorEastAsia" w:eastAsiaTheme="minorEastAsia"/>
          <w:u w:val="single"/>
        </w:rPr>
      </w:pPr>
      <w:r>
        <w:rPr>
          <w:rFonts w:asciiTheme="minorEastAsia" w:hAnsiTheme="minorEastAsia" w:eastAsiaTheme="minorEastAsia"/>
        </w:rPr>
        <w:t>关于承包人提交工程开工报审表的期限：</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u w:val="single"/>
        </w:rPr>
      </w:pPr>
      <w:r>
        <w:rPr>
          <w:rFonts w:asciiTheme="minorEastAsia" w:hAnsiTheme="minorEastAsia" w:eastAsiaTheme="minorEastAsia"/>
        </w:rPr>
        <w:t>关于发包人应完成的其他开工准备工作及期限：</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u w:val="single"/>
        </w:rPr>
      </w:pPr>
      <w:r>
        <w:rPr>
          <w:rFonts w:asciiTheme="minorEastAsia" w:hAnsiTheme="minorEastAsia" w:eastAsiaTheme="minorEastAsia"/>
        </w:rPr>
        <w:t>关于承包人应完成的其他开工准备工作及期限：</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7.3.2开工通知</w:t>
      </w:r>
    </w:p>
    <w:p>
      <w:pPr>
        <w:rPr>
          <w:rFonts w:asciiTheme="minorEastAsia" w:hAnsiTheme="minorEastAsia" w:eastAsiaTheme="minorEastAsia"/>
        </w:rPr>
      </w:pPr>
      <w:r>
        <w:rPr>
          <w:rFonts w:asciiTheme="minorEastAsia" w:hAnsiTheme="minorEastAsia" w:eastAsiaTheme="minorEastAsia"/>
        </w:rPr>
        <w:t>因发包人原因造成监理人未能在计划开工日期之日起</w:t>
      </w:r>
      <w:r>
        <w:rPr>
          <w:rFonts w:asciiTheme="minorEastAsia" w:hAnsiTheme="minorEastAsia" w:eastAsiaTheme="minorEastAsia"/>
          <w:u w:val="single"/>
        </w:rPr>
        <w:t xml:space="preserve">     </w:t>
      </w:r>
      <w:r>
        <w:rPr>
          <w:rFonts w:asciiTheme="minorEastAsia" w:hAnsiTheme="minorEastAsia" w:eastAsiaTheme="minorEastAsia"/>
        </w:rPr>
        <w:t>天内发出开工通知的，承包人有权提出价格调整要求，或者解除合同。</w:t>
      </w:r>
    </w:p>
    <w:bookmarkEnd w:id="714"/>
    <w:bookmarkEnd w:id="715"/>
    <w:bookmarkEnd w:id="716"/>
    <w:bookmarkEnd w:id="717"/>
    <w:bookmarkEnd w:id="718"/>
    <w:bookmarkEnd w:id="719"/>
    <w:bookmarkEnd w:id="720"/>
    <w:p>
      <w:pPr>
        <w:rPr>
          <w:rFonts w:asciiTheme="minorEastAsia" w:hAnsiTheme="minorEastAsia" w:eastAsiaTheme="minorEastAsia"/>
        </w:rPr>
      </w:pPr>
      <w:r>
        <w:rPr>
          <w:rFonts w:asciiTheme="minorEastAsia" w:hAnsiTheme="minorEastAsia" w:eastAsiaTheme="minorEastAsia"/>
        </w:rPr>
        <w:t>7.4 测量放线</w:t>
      </w:r>
    </w:p>
    <w:p>
      <w:pPr>
        <w:rPr>
          <w:rFonts w:asciiTheme="minorEastAsia" w:hAnsiTheme="minorEastAsia" w:eastAsiaTheme="minorEastAsia"/>
          <w:u w:val="single"/>
        </w:rPr>
      </w:pPr>
      <w:r>
        <w:rPr>
          <w:rFonts w:asciiTheme="minorEastAsia" w:hAnsiTheme="minorEastAsia" w:eastAsiaTheme="minorEastAsia"/>
        </w:rPr>
        <w:t>7.4.1发包人通过监理人向承包人提供测量基准点、基准线和水准点及其书面资料的期限：</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7</w:t>
      </w:r>
      <w:bookmarkStart w:id="721" w:name="_Toc297123516"/>
      <w:bookmarkStart w:id="722" w:name="_Toc312678010"/>
      <w:bookmarkStart w:id="723" w:name="_Toc312677484"/>
      <w:bookmarkStart w:id="724" w:name="_Toc297216175"/>
      <w:bookmarkStart w:id="725" w:name="_Toc304295546"/>
      <w:bookmarkStart w:id="726" w:name="_Toc300934968"/>
      <w:bookmarkStart w:id="727" w:name="_Toc303539125"/>
      <w:r>
        <w:rPr>
          <w:rFonts w:asciiTheme="minorEastAsia" w:hAnsiTheme="minorEastAsia" w:eastAsiaTheme="minorEastAsia"/>
        </w:rPr>
        <w:t>.5 工期延误</w:t>
      </w:r>
    </w:p>
    <w:bookmarkEnd w:id="721"/>
    <w:bookmarkEnd w:id="722"/>
    <w:bookmarkEnd w:id="723"/>
    <w:bookmarkEnd w:id="724"/>
    <w:bookmarkEnd w:id="725"/>
    <w:bookmarkEnd w:id="726"/>
    <w:bookmarkEnd w:id="727"/>
    <w:p>
      <w:pPr>
        <w:rPr>
          <w:rFonts w:asciiTheme="minorEastAsia" w:hAnsiTheme="minorEastAsia" w:eastAsiaTheme="minorEastAsia"/>
        </w:rPr>
      </w:pPr>
      <w:r>
        <w:rPr>
          <w:rFonts w:asciiTheme="minorEastAsia" w:hAnsiTheme="minorEastAsia" w:eastAsiaTheme="minorEastAsia"/>
        </w:rPr>
        <w:t>7.5.1 因发包人原因导致工期延误</w:t>
      </w:r>
    </w:p>
    <w:p>
      <w:pPr>
        <w:rPr>
          <w:rFonts w:asciiTheme="minorEastAsia" w:hAnsiTheme="minorEastAsia" w:eastAsiaTheme="minorEastAsia"/>
        </w:rPr>
      </w:pPr>
      <w:r>
        <w:rPr>
          <w:rFonts w:asciiTheme="minorEastAsia" w:hAnsiTheme="minorEastAsia" w:eastAsiaTheme="minorEastAsia"/>
        </w:rPr>
        <w:t>（7）因发包人原因导致工期延误的其他情形：</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w:t>
      </w:r>
    </w:p>
    <w:p>
      <w:pPr>
        <w:rPr>
          <w:rFonts w:asciiTheme="minorEastAsia" w:hAnsiTheme="minorEastAsia" w:eastAsiaTheme="minorEastAsia"/>
        </w:rPr>
      </w:pPr>
      <w:r>
        <w:rPr>
          <w:rFonts w:asciiTheme="minorEastAsia" w:hAnsiTheme="minorEastAsia" w:eastAsiaTheme="minorEastAsia"/>
        </w:rPr>
        <w:t>7</w:t>
      </w:r>
      <w:bookmarkStart w:id="728" w:name="_Toc312678012"/>
      <w:bookmarkStart w:id="729" w:name="_Toc318581169"/>
      <w:bookmarkStart w:id="730" w:name="_Toc312677486"/>
      <w:bookmarkStart w:id="731" w:name="_Toc300934970"/>
      <w:bookmarkStart w:id="732" w:name="_Toc304295548"/>
      <w:bookmarkStart w:id="733" w:name="_Toc303539127"/>
      <w:bookmarkStart w:id="734" w:name="_Toc297123518"/>
      <w:bookmarkStart w:id="735" w:name="_Toc297216177"/>
      <w:r>
        <w:rPr>
          <w:rFonts w:asciiTheme="minorEastAsia" w:hAnsiTheme="minorEastAsia" w:eastAsiaTheme="minorEastAsia"/>
        </w:rPr>
        <w:t>.5.2 因承包人原因导致工期延误</w:t>
      </w:r>
    </w:p>
    <w:bookmarkEnd w:id="728"/>
    <w:bookmarkEnd w:id="729"/>
    <w:bookmarkEnd w:id="730"/>
    <w:p>
      <w:pPr>
        <w:rPr>
          <w:rFonts w:asciiTheme="minorEastAsia" w:hAnsiTheme="minorEastAsia" w:eastAsiaTheme="minorEastAsia"/>
          <w:u w:val="single"/>
        </w:rPr>
      </w:pPr>
      <w:r>
        <w:rPr>
          <w:rFonts w:asciiTheme="minorEastAsia" w:hAnsiTheme="minorEastAsia" w:eastAsiaTheme="minorEastAsia"/>
        </w:rPr>
        <w:t>因</w:t>
      </w:r>
      <w:bookmarkStart w:id="736" w:name="_Toc312677487"/>
      <w:bookmarkStart w:id="737" w:name="_Toc312678013"/>
      <w:bookmarkStart w:id="738" w:name="_Toc318581170"/>
      <w:r>
        <w:rPr>
          <w:rFonts w:asciiTheme="minorEastAsia" w:hAnsiTheme="minorEastAsia" w:eastAsiaTheme="minorEastAsia"/>
        </w:rPr>
        <w:t>承包人原因造成工期延误，逾期竣工违约金的计算方法为：</w:t>
      </w:r>
      <w:bookmarkEnd w:id="731"/>
      <w:bookmarkEnd w:id="732"/>
      <w:bookmarkEnd w:id="733"/>
      <w:bookmarkEnd w:id="734"/>
      <w:bookmarkEnd w:id="735"/>
      <w:bookmarkEnd w:id="736"/>
      <w:bookmarkEnd w:id="737"/>
      <w:r>
        <w:rPr>
          <w:rFonts w:asciiTheme="minorEastAsia" w:hAnsiTheme="minorEastAsia" w:eastAsiaTheme="minorEastAsia"/>
          <w:u w:val="single"/>
        </w:rPr>
        <w:t xml:space="preserve">        </w:t>
      </w:r>
      <w:r>
        <w:rPr>
          <w:rFonts w:hint="eastAsia" w:asciiTheme="minorEastAsia" w:hAnsiTheme="minorEastAsia" w:eastAsiaTheme="minorEastAsia"/>
          <w:u w:val="single"/>
        </w:rPr>
        <w:t>。</w:t>
      </w:r>
    </w:p>
    <w:bookmarkEnd w:id="738"/>
    <w:p>
      <w:pPr>
        <w:rPr>
          <w:rFonts w:asciiTheme="minorEastAsia" w:hAnsiTheme="minorEastAsia" w:eastAsiaTheme="minorEastAsia"/>
        </w:rPr>
      </w:pPr>
      <w:r>
        <w:rPr>
          <w:rFonts w:asciiTheme="minorEastAsia" w:hAnsiTheme="minorEastAsia" w:eastAsiaTheme="minorEastAsia"/>
        </w:rPr>
        <w:t>因承包人原因造成工期延误，逾</w:t>
      </w:r>
      <w:bookmarkStart w:id="739" w:name="_Toc312678014"/>
      <w:bookmarkStart w:id="740" w:name="_Toc318581171"/>
      <w:r>
        <w:rPr>
          <w:rFonts w:asciiTheme="minorEastAsia" w:hAnsiTheme="minorEastAsia" w:eastAsiaTheme="minorEastAsia"/>
        </w:rPr>
        <w:t>期竣工违约金的上限：</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bookmarkEnd w:id="739"/>
    <w:bookmarkEnd w:id="740"/>
    <w:p>
      <w:pPr>
        <w:rPr>
          <w:rFonts w:asciiTheme="minorEastAsia" w:hAnsiTheme="minorEastAsia" w:eastAsiaTheme="minorEastAsia"/>
        </w:rPr>
      </w:pPr>
      <w:r>
        <w:rPr>
          <w:rFonts w:asciiTheme="minorEastAsia" w:hAnsiTheme="minorEastAsia" w:eastAsiaTheme="minorEastAsia"/>
        </w:rPr>
        <w:t>7</w:t>
      </w:r>
      <w:bookmarkStart w:id="741" w:name="_Toc300934971"/>
      <w:bookmarkStart w:id="742" w:name="_Toc304295549"/>
      <w:bookmarkStart w:id="743" w:name="_Toc297216178"/>
      <w:bookmarkStart w:id="744" w:name="_Toc303539128"/>
      <w:bookmarkStart w:id="745" w:name="_Toc297123519"/>
      <w:bookmarkStart w:id="746" w:name="_Toc312678015"/>
      <w:r>
        <w:rPr>
          <w:rFonts w:asciiTheme="minorEastAsia" w:hAnsiTheme="minorEastAsia" w:eastAsiaTheme="minorEastAsia"/>
        </w:rPr>
        <w:t>.6 不</w:t>
      </w:r>
      <w:bookmarkEnd w:id="741"/>
      <w:bookmarkEnd w:id="742"/>
      <w:bookmarkEnd w:id="743"/>
      <w:bookmarkEnd w:id="744"/>
      <w:bookmarkEnd w:id="745"/>
      <w:bookmarkEnd w:id="746"/>
      <w:r>
        <w:rPr>
          <w:rFonts w:asciiTheme="minorEastAsia" w:hAnsiTheme="minorEastAsia" w:eastAsiaTheme="minorEastAsia"/>
        </w:rPr>
        <w:t>利物质条件</w:t>
      </w:r>
    </w:p>
    <w:p>
      <w:pPr>
        <w:rPr>
          <w:rFonts w:asciiTheme="minorEastAsia" w:hAnsiTheme="minorEastAsia" w:eastAsiaTheme="minorEastAsia"/>
          <w:u w:val="single"/>
        </w:rPr>
      </w:pPr>
      <w:bookmarkStart w:id="747" w:name="_Toc303539129"/>
      <w:bookmarkStart w:id="748" w:name="_Toc304295550"/>
      <w:bookmarkStart w:id="749" w:name="_Toc297123520"/>
      <w:bookmarkStart w:id="750" w:name="_Toc297216179"/>
      <w:bookmarkStart w:id="751" w:name="_Toc318581172"/>
      <w:bookmarkStart w:id="752" w:name="_Toc312678016"/>
      <w:bookmarkStart w:id="753" w:name="_Toc300934972"/>
      <w:r>
        <w:rPr>
          <w:rFonts w:asciiTheme="minorEastAsia" w:hAnsiTheme="minorEastAsia" w:eastAsiaTheme="minorEastAsia"/>
        </w:rPr>
        <w:t>不利物质条件的其他情形和有关约定：</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bookmarkEnd w:id="747"/>
    <w:bookmarkEnd w:id="748"/>
    <w:bookmarkEnd w:id="749"/>
    <w:bookmarkEnd w:id="750"/>
    <w:bookmarkEnd w:id="751"/>
    <w:bookmarkEnd w:id="752"/>
    <w:bookmarkEnd w:id="753"/>
    <w:p>
      <w:pPr>
        <w:rPr>
          <w:rFonts w:asciiTheme="minorEastAsia" w:hAnsiTheme="minorEastAsia" w:eastAsiaTheme="minorEastAsia"/>
        </w:rPr>
      </w:pPr>
      <w:r>
        <w:rPr>
          <w:rFonts w:asciiTheme="minorEastAsia" w:hAnsiTheme="minorEastAsia" w:eastAsiaTheme="minorEastAsia"/>
        </w:rPr>
        <w:t>7</w:t>
      </w:r>
      <w:bookmarkStart w:id="754" w:name="_Toc304295551"/>
      <w:bookmarkStart w:id="755" w:name="_Toc303539130"/>
      <w:bookmarkStart w:id="756" w:name="_Toc312678017"/>
      <w:bookmarkStart w:id="757" w:name="_Toc297123521"/>
      <w:bookmarkStart w:id="758" w:name="_Toc300934973"/>
      <w:bookmarkStart w:id="759" w:name="_Toc297216180"/>
      <w:r>
        <w:rPr>
          <w:rFonts w:asciiTheme="minorEastAsia" w:hAnsiTheme="minorEastAsia" w:eastAsiaTheme="minorEastAsia"/>
        </w:rPr>
        <w:t>.7异常恶劣的气候条件</w:t>
      </w:r>
    </w:p>
    <w:bookmarkEnd w:id="754"/>
    <w:bookmarkEnd w:id="755"/>
    <w:bookmarkEnd w:id="756"/>
    <w:bookmarkEnd w:id="757"/>
    <w:bookmarkEnd w:id="758"/>
    <w:bookmarkEnd w:id="759"/>
    <w:p>
      <w:pPr>
        <w:rPr>
          <w:rFonts w:asciiTheme="minorEastAsia" w:hAnsiTheme="minorEastAsia" w:eastAsiaTheme="minorEastAsia"/>
        </w:rPr>
      </w:pPr>
      <w:r>
        <w:rPr>
          <w:rFonts w:asciiTheme="minorEastAsia" w:hAnsiTheme="minorEastAsia" w:eastAsiaTheme="minorEastAsia"/>
        </w:rPr>
        <w:t>发包人和承包人同意以下情形视为异常恶劣的气候条件：</w:t>
      </w:r>
    </w:p>
    <w:p>
      <w:pPr>
        <w:rPr>
          <w:rFonts w:asciiTheme="minorEastAsia" w:hAnsiTheme="minorEastAsia" w:eastAsiaTheme="minorEastAsia"/>
        </w:rPr>
      </w:pPr>
      <w:r>
        <w:rPr>
          <w:rFonts w:asciiTheme="minorEastAsia" w:hAnsiTheme="minorEastAsia" w:eastAsiaTheme="minorEastAsia"/>
        </w:rPr>
        <w:t>（1）</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（2）</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（3）</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7.9 提前竣工的奖励</w:t>
      </w:r>
    </w:p>
    <w:p>
      <w:pPr>
        <w:rPr>
          <w:rFonts w:asciiTheme="minorEastAsia" w:hAnsiTheme="minorEastAsia" w:eastAsiaTheme="minorEastAsia"/>
        </w:rPr>
      </w:pPr>
      <w:r>
        <w:rPr>
          <w:rFonts w:asciiTheme="minorEastAsia" w:hAnsiTheme="minorEastAsia" w:eastAsiaTheme="minorEastAsia"/>
        </w:rPr>
        <w:t>7.9.2提前竣工的奖励：</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bCs/>
        </w:rPr>
      </w:pPr>
      <w:bookmarkStart w:id="760" w:name="_Toc351203640"/>
      <w:r>
        <w:rPr>
          <w:rFonts w:asciiTheme="minorEastAsia" w:hAnsiTheme="minorEastAsia" w:eastAsiaTheme="minorEastAsia"/>
          <w:bCs/>
        </w:rPr>
        <w:t>8. 材料与设备</w:t>
      </w:r>
      <w:bookmarkEnd w:id="760"/>
    </w:p>
    <w:p>
      <w:pPr>
        <w:rPr>
          <w:rFonts w:asciiTheme="minorEastAsia" w:hAnsiTheme="minorEastAsia" w:eastAsiaTheme="minorEastAsia"/>
        </w:rPr>
      </w:pPr>
      <w:r>
        <w:rPr>
          <w:rFonts w:hint="eastAsia" w:asciiTheme="minorEastAsia" w:hAnsiTheme="minorEastAsia" w:eastAsiaTheme="minorEastAsia"/>
        </w:rPr>
        <w:t>8.</w:t>
      </w:r>
      <w:r>
        <w:rPr>
          <w:rFonts w:asciiTheme="minorEastAsia" w:hAnsiTheme="minorEastAsia" w:eastAsiaTheme="minorEastAsia"/>
        </w:rPr>
        <w:t>2</w:t>
      </w:r>
      <w:r>
        <w:rPr>
          <w:rFonts w:hint="eastAsia" w:asciiTheme="minorEastAsia" w:hAnsiTheme="minorEastAsia" w:eastAsiaTheme="minorEastAsia"/>
        </w:rPr>
        <w:t>承包人采购材料与工程设备</w:t>
      </w:r>
    </w:p>
    <w:p>
      <w:pPr>
        <w:rPr>
          <w:rFonts w:asciiTheme="minorEastAsia" w:hAnsiTheme="minorEastAsia" w:eastAsiaTheme="minorEastAsia"/>
          <w:u w:val="single"/>
        </w:rPr>
      </w:pPr>
      <w:r>
        <w:rPr>
          <w:rFonts w:hint="eastAsia" w:asciiTheme="minorEastAsia" w:hAnsiTheme="minorEastAsia" w:eastAsiaTheme="minorEastAsia"/>
          <w:u w:val="single"/>
        </w:rPr>
        <w:t xml:space="preserve">（1） </w:t>
      </w:r>
      <w:r>
        <w:rPr>
          <w:rFonts w:asciiTheme="minorEastAsia" w:hAnsiTheme="minorEastAsia" w:eastAsiaTheme="minorEastAsia"/>
          <w:u w:val="single"/>
        </w:rPr>
        <w:t xml:space="preserve">                </w:t>
      </w:r>
      <w:r>
        <w:rPr>
          <w:rFonts w:hint="eastAsia" w:asciiTheme="minorEastAsia" w:hAnsiTheme="minorEastAsia" w:eastAsiaTheme="minorEastAsia"/>
          <w:u w:val="single"/>
        </w:rPr>
        <w:t>。</w:t>
      </w:r>
    </w:p>
    <w:p>
      <w:pPr>
        <w:rPr>
          <w:rFonts w:asciiTheme="minorEastAsia" w:hAnsiTheme="minorEastAsia" w:eastAsiaTheme="minorEastAsia"/>
          <w:u w:val="single"/>
        </w:rPr>
      </w:pPr>
      <w:r>
        <w:rPr>
          <w:rFonts w:hint="eastAsia" w:asciiTheme="minorEastAsia" w:hAnsiTheme="minorEastAsia" w:eastAsiaTheme="minorEastAsia"/>
          <w:u w:val="single"/>
        </w:rPr>
        <w:t xml:space="preserve">（2） </w:t>
      </w:r>
      <w:r>
        <w:rPr>
          <w:rFonts w:asciiTheme="minorEastAsia" w:hAnsiTheme="minorEastAsia" w:eastAsiaTheme="minorEastAsia"/>
          <w:u w:val="single"/>
        </w:rPr>
        <w:t xml:space="preserve">                  </w:t>
      </w:r>
      <w:r>
        <w:rPr>
          <w:rFonts w:hint="eastAsia" w:asciiTheme="minorEastAsia" w:hAnsiTheme="minorEastAsia" w:eastAsiaTheme="minorEastAsia"/>
          <w:u w:val="single"/>
        </w:rPr>
        <w:t>。</w:t>
      </w:r>
    </w:p>
    <w:p>
      <w:pPr>
        <w:rPr>
          <w:rFonts w:asciiTheme="minorEastAsia" w:hAnsiTheme="minorEastAsia" w:eastAsiaTheme="minorEastAsia"/>
          <w:u w:val="single"/>
        </w:rPr>
      </w:pPr>
      <w:r>
        <w:rPr>
          <w:rFonts w:hint="eastAsia" w:asciiTheme="minorEastAsia" w:hAnsiTheme="minorEastAsia" w:eastAsiaTheme="minorEastAsia"/>
          <w:u w:val="single"/>
        </w:rPr>
        <w:t xml:space="preserve">（3） </w:t>
      </w:r>
      <w:r>
        <w:rPr>
          <w:rFonts w:asciiTheme="minorEastAsia" w:hAnsiTheme="minorEastAsia" w:eastAsiaTheme="minorEastAsia"/>
          <w:u w:val="single"/>
        </w:rPr>
        <w:t xml:space="preserve">                   </w:t>
      </w:r>
    </w:p>
    <w:p>
      <w:pPr>
        <w:rPr>
          <w:rFonts w:asciiTheme="minorEastAsia" w:hAnsiTheme="minorEastAsia" w:eastAsiaTheme="minorEastAsia"/>
          <w:u w:val="single"/>
        </w:rPr>
      </w:pPr>
      <w:r>
        <w:rPr>
          <w:rFonts w:hint="eastAsia" w:asciiTheme="minorEastAsia" w:hAnsiTheme="minorEastAsia" w:eastAsiaTheme="minorEastAsia"/>
          <w:u w:val="single"/>
        </w:rPr>
        <w:t>（4</w:t>
      </w:r>
      <w:r>
        <w:rPr>
          <w:rFonts w:asciiTheme="minorEastAsia" w:hAnsiTheme="minorEastAsia" w:eastAsiaTheme="minorEastAsia"/>
          <w:u w:val="single"/>
        </w:rPr>
        <w:t>）</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w:t>
      </w:r>
    </w:p>
    <w:p>
      <w:pPr>
        <w:rPr>
          <w:rFonts w:asciiTheme="minorEastAsia" w:hAnsiTheme="minorEastAsia" w:eastAsiaTheme="minorEastAsia"/>
        </w:rPr>
      </w:pPr>
    </w:p>
    <w:bookmarkEnd w:id="695"/>
    <w:bookmarkEnd w:id="696"/>
    <w:bookmarkEnd w:id="697"/>
    <w:bookmarkEnd w:id="698"/>
    <w:bookmarkEnd w:id="699"/>
    <w:bookmarkEnd w:id="700"/>
    <w:bookmarkEnd w:id="701"/>
    <w:bookmarkEnd w:id="702"/>
    <w:bookmarkEnd w:id="703"/>
    <w:bookmarkEnd w:id="704"/>
    <w:p>
      <w:pPr>
        <w:rPr>
          <w:rFonts w:asciiTheme="minorEastAsia" w:hAnsiTheme="minorEastAsia" w:eastAsiaTheme="minorEastAsia"/>
        </w:rPr>
      </w:pPr>
      <w:r>
        <w:rPr>
          <w:rFonts w:asciiTheme="minorEastAsia" w:hAnsiTheme="minorEastAsia" w:eastAsiaTheme="minorEastAsia"/>
        </w:rPr>
        <w:t>8</w:t>
      </w:r>
      <w:bookmarkStart w:id="761" w:name="_Toc296891207"/>
      <w:bookmarkStart w:id="762" w:name="_Toc296346668"/>
      <w:bookmarkStart w:id="763" w:name="_Toc300934979"/>
      <w:bookmarkStart w:id="764" w:name="_Toc296347166"/>
      <w:bookmarkStart w:id="765" w:name="_Toc296944506"/>
      <w:bookmarkStart w:id="766" w:name="_Toc280868654"/>
      <w:bookmarkStart w:id="767" w:name="_Toc297048353"/>
      <w:bookmarkStart w:id="768" w:name="_Toc297216186"/>
      <w:bookmarkStart w:id="769" w:name="_Toc297123527"/>
      <w:bookmarkStart w:id="770" w:name="_Toc292559877"/>
      <w:bookmarkStart w:id="771" w:name="_Toc296890995"/>
      <w:bookmarkStart w:id="772" w:name="_Toc297120467"/>
      <w:bookmarkStart w:id="773" w:name="_Toc292559372"/>
      <w:bookmarkStart w:id="774" w:name="_Toc312678019"/>
      <w:bookmarkStart w:id="775" w:name="_Toc303539136"/>
      <w:bookmarkStart w:id="776" w:name="_Toc312677493"/>
      <w:bookmarkStart w:id="777" w:name="_Toc304295556"/>
      <w:bookmarkStart w:id="778" w:name="_Toc296503167"/>
      <w:bookmarkStart w:id="779" w:name="_Toc280868656"/>
      <w:bookmarkStart w:id="780" w:name="_Toc267251424"/>
      <w:bookmarkStart w:id="781" w:name="_Toc280868655"/>
      <w:r>
        <w:rPr>
          <w:rFonts w:asciiTheme="minorEastAsia" w:hAnsiTheme="minorEastAsia" w:eastAsiaTheme="minorEastAsia"/>
        </w:rPr>
        <w:t>.4材料与工程设备的保管与使用</w:t>
      </w:r>
    </w:p>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p>
      <w:pPr>
        <w:rPr>
          <w:rFonts w:asciiTheme="minorEastAsia" w:hAnsiTheme="minorEastAsia" w:eastAsiaTheme="minorEastAsia"/>
          <w:u w:val="single"/>
        </w:rPr>
      </w:pPr>
      <w:r>
        <w:rPr>
          <w:rFonts w:asciiTheme="minorEastAsia" w:hAnsiTheme="minorEastAsia" w:eastAsiaTheme="minorEastAsia"/>
        </w:rPr>
        <w:t>8</w:t>
      </w:r>
      <w:bookmarkStart w:id="782" w:name="_Toc292559373"/>
      <w:bookmarkStart w:id="783" w:name="_Toc292559878"/>
      <w:bookmarkStart w:id="784" w:name="_Toc297123528"/>
      <w:bookmarkStart w:id="785" w:name="_Toc312678020"/>
      <w:bookmarkStart w:id="786" w:name="_Toc300934980"/>
      <w:bookmarkStart w:id="787" w:name="_Toc297216187"/>
      <w:bookmarkStart w:id="788" w:name="_Toc296890996"/>
      <w:bookmarkStart w:id="789" w:name="_Toc303539137"/>
      <w:bookmarkStart w:id="790" w:name="_Toc296346669"/>
      <w:bookmarkStart w:id="791" w:name="_Toc297048354"/>
      <w:bookmarkStart w:id="792" w:name="_Toc296347167"/>
      <w:bookmarkStart w:id="793" w:name="_Toc296503168"/>
      <w:bookmarkStart w:id="794" w:name="_Toc304295557"/>
      <w:bookmarkStart w:id="795" w:name="_Toc296891208"/>
      <w:bookmarkStart w:id="796" w:name="_Toc318581173"/>
      <w:bookmarkStart w:id="797" w:name="_Toc297120468"/>
      <w:bookmarkStart w:id="798" w:name="_Toc312677494"/>
      <w:bookmarkStart w:id="799" w:name="_Toc296944507"/>
      <w:r>
        <w:rPr>
          <w:rFonts w:asciiTheme="minorEastAsia" w:hAnsiTheme="minorEastAsia" w:eastAsiaTheme="minorEastAsia"/>
        </w:rPr>
        <w:t>.4.1发包人供应的材料设备的保管费用的承担：</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bookmarkEnd w:id="782"/>
      <w:bookmarkEnd w:id="783"/>
    </w:p>
    <w:p>
      <w:pPr>
        <w:rPr>
          <w:rFonts w:asciiTheme="minorEastAsia" w:hAnsiTheme="minorEastAsia" w:eastAsiaTheme="minorEastAsia"/>
        </w:rPr>
      </w:pPr>
      <w:r>
        <w:rPr>
          <w:rFonts w:asciiTheme="minorEastAsia" w:hAnsiTheme="minorEastAsia" w:eastAsiaTheme="minorEastAsia"/>
        </w:rPr>
        <w:t>8.6 样品</w:t>
      </w:r>
    </w:p>
    <w:p>
      <w:pPr>
        <w:rPr>
          <w:rFonts w:asciiTheme="minorEastAsia" w:hAnsiTheme="minorEastAsia" w:eastAsiaTheme="minorEastAsia"/>
        </w:rPr>
      </w:pPr>
      <w:r>
        <w:rPr>
          <w:rFonts w:asciiTheme="minorEastAsia" w:hAnsiTheme="minorEastAsia" w:eastAsiaTheme="minorEastAsia"/>
        </w:rPr>
        <w:t>8.6.1</w:t>
      </w:r>
      <w:r>
        <w:rPr>
          <w:rFonts w:asciiTheme="minorEastAsia" w:hAnsiTheme="minorEastAsia" w:eastAsiaTheme="minorEastAsia"/>
        </w:rPr>
        <w:tab/>
      </w:r>
      <w:r>
        <w:rPr>
          <w:rFonts w:asciiTheme="minorEastAsia" w:hAnsiTheme="minorEastAsia" w:eastAsiaTheme="minorEastAsia"/>
        </w:rPr>
        <w:t>样品的报送</w:t>
      </w:r>
      <w:r>
        <w:rPr>
          <w:rFonts w:hint="eastAsia" w:asciiTheme="minorEastAsia" w:hAnsiTheme="minorEastAsia" w:eastAsiaTheme="minorEastAsia"/>
        </w:rPr>
        <w:t>与封存</w:t>
      </w:r>
    </w:p>
    <w:p>
      <w:pPr>
        <w:rPr>
          <w:rFonts w:asciiTheme="minorEastAsia" w:hAnsiTheme="minorEastAsia" w:eastAsiaTheme="minorEastAsia"/>
          <w:u w:val="single"/>
        </w:rPr>
      </w:pPr>
      <w:r>
        <w:rPr>
          <w:rFonts w:asciiTheme="minorEastAsia" w:hAnsiTheme="minorEastAsia" w:eastAsiaTheme="minorEastAsia"/>
        </w:rPr>
        <w:t>需要承包人报送样品的材料或工程设备，样品的种类、名称、规格、数量要求：</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8.8 施工设备和临时设施</w:t>
      </w:r>
    </w:p>
    <w:p>
      <w:pPr>
        <w:rPr>
          <w:rFonts w:asciiTheme="minorEastAsia" w:hAnsiTheme="minorEastAsia" w:eastAsiaTheme="minorEastAsia"/>
        </w:rPr>
      </w:pPr>
      <w:r>
        <w:rPr>
          <w:rFonts w:asciiTheme="minorEastAsia" w:hAnsiTheme="minorEastAsia" w:eastAsiaTheme="minorEastAsia"/>
        </w:rPr>
        <w:t>8.8.1 承包人提供的施工设备和临时设施</w:t>
      </w:r>
    </w:p>
    <w:p>
      <w:pPr>
        <w:rPr>
          <w:rFonts w:asciiTheme="minorEastAsia" w:hAnsiTheme="minorEastAsia" w:eastAsiaTheme="minorEastAsia"/>
        </w:rPr>
      </w:pPr>
      <w:r>
        <w:rPr>
          <w:rFonts w:asciiTheme="minorEastAsia" w:hAnsiTheme="minorEastAsia" w:eastAsiaTheme="minorEastAsia"/>
        </w:rPr>
        <w:t>关于修建临时设施费用承担的约定：</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w:t>
      </w:r>
    </w:p>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p>
      <w:pPr>
        <w:rPr>
          <w:rFonts w:asciiTheme="minorEastAsia" w:hAnsiTheme="minorEastAsia" w:eastAsiaTheme="minorEastAsia"/>
          <w:bCs/>
        </w:rPr>
      </w:pPr>
      <w:bookmarkStart w:id="800" w:name="_Toc351203641"/>
      <w:r>
        <w:rPr>
          <w:rFonts w:asciiTheme="minorEastAsia" w:hAnsiTheme="minorEastAsia" w:eastAsiaTheme="minorEastAsia"/>
          <w:bCs/>
        </w:rPr>
        <w:t>9</w:t>
      </w:r>
      <w:bookmarkStart w:id="801" w:name="_Toc297216192"/>
      <w:bookmarkStart w:id="802" w:name="_Toc303539139"/>
      <w:bookmarkStart w:id="803" w:name="_Toc297123533"/>
      <w:bookmarkStart w:id="804" w:name="_Toc312677495"/>
      <w:bookmarkStart w:id="805" w:name="_Toc304295559"/>
      <w:bookmarkStart w:id="806" w:name="_Toc312678021"/>
      <w:bookmarkStart w:id="807" w:name="_Toc300934982"/>
      <w:bookmarkStart w:id="808" w:name="_Toc297048359"/>
      <w:bookmarkStart w:id="809" w:name="_Toc297120473"/>
      <w:bookmarkStart w:id="810" w:name="_Toc267251428"/>
      <w:bookmarkStart w:id="811" w:name="_Toc292559378"/>
      <w:bookmarkStart w:id="812" w:name="_Toc296503173"/>
      <w:bookmarkStart w:id="813" w:name="_Toc296891213"/>
      <w:bookmarkStart w:id="814" w:name="_Toc296944512"/>
      <w:bookmarkStart w:id="815" w:name="_Toc267251427"/>
      <w:bookmarkStart w:id="816" w:name="_Toc292559883"/>
      <w:bookmarkStart w:id="817" w:name="_Toc296347172"/>
      <w:bookmarkStart w:id="818" w:name="_Toc296891001"/>
      <w:bookmarkStart w:id="819" w:name="_Toc296346674"/>
      <w:bookmarkEnd w:id="779"/>
      <w:bookmarkEnd w:id="780"/>
      <w:bookmarkEnd w:id="781"/>
      <w:r>
        <w:rPr>
          <w:rFonts w:asciiTheme="minorEastAsia" w:hAnsiTheme="minorEastAsia" w:eastAsiaTheme="minorEastAsia"/>
          <w:bCs/>
        </w:rPr>
        <w:t>. 试验与检验</w:t>
      </w:r>
      <w:bookmarkEnd w:id="800"/>
    </w:p>
    <w:bookmarkEnd w:id="801"/>
    <w:bookmarkEnd w:id="802"/>
    <w:bookmarkEnd w:id="803"/>
    <w:bookmarkEnd w:id="804"/>
    <w:bookmarkEnd w:id="805"/>
    <w:bookmarkEnd w:id="806"/>
    <w:bookmarkEnd w:id="807"/>
    <w:p>
      <w:pPr>
        <w:rPr>
          <w:rFonts w:asciiTheme="minorEastAsia" w:hAnsiTheme="minorEastAsia" w:eastAsiaTheme="minorEastAsia"/>
        </w:rPr>
      </w:pPr>
      <w:r>
        <w:rPr>
          <w:rFonts w:asciiTheme="minorEastAsia" w:hAnsiTheme="minorEastAsia" w:eastAsiaTheme="minorEastAsia"/>
        </w:rPr>
        <w:t>9</w:t>
      </w:r>
      <w:bookmarkStart w:id="820" w:name="_Toc312677496"/>
      <w:bookmarkStart w:id="821" w:name="_Toc303539140"/>
      <w:bookmarkStart w:id="822" w:name="_Toc312678022"/>
      <w:bookmarkStart w:id="823" w:name="_Toc297123534"/>
      <w:bookmarkStart w:id="824" w:name="_Toc297216193"/>
      <w:bookmarkStart w:id="825" w:name="_Toc300934983"/>
      <w:bookmarkStart w:id="826" w:name="_Toc304295560"/>
      <w:r>
        <w:rPr>
          <w:rFonts w:asciiTheme="minorEastAsia" w:hAnsiTheme="minorEastAsia" w:eastAsiaTheme="minorEastAsia"/>
        </w:rPr>
        <w:t>.1试验设备与试验人员</w:t>
      </w:r>
    </w:p>
    <w:bookmarkEnd w:id="820"/>
    <w:bookmarkEnd w:id="821"/>
    <w:bookmarkEnd w:id="822"/>
    <w:bookmarkEnd w:id="823"/>
    <w:bookmarkEnd w:id="824"/>
    <w:bookmarkEnd w:id="825"/>
    <w:bookmarkEnd w:id="826"/>
    <w:p>
      <w:pPr>
        <w:rPr>
          <w:rFonts w:asciiTheme="minorEastAsia" w:hAnsiTheme="minorEastAsia" w:eastAsiaTheme="minorEastAsia"/>
        </w:rPr>
      </w:pPr>
      <w:r>
        <w:rPr>
          <w:rFonts w:asciiTheme="minorEastAsia" w:hAnsiTheme="minorEastAsia" w:eastAsiaTheme="minorEastAsia"/>
        </w:rPr>
        <w:t>9</w:t>
      </w:r>
      <w:bookmarkStart w:id="827" w:name="_Toc297123535"/>
      <w:bookmarkStart w:id="828" w:name="_Toc304295561"/>
      <w:bookmarkStart w:id="829" w:name="_Toc300934984"/>
      <w:bookmarkStart w:id="830" w:name="_Toc297216194"/>
      <w:bookmarkStart w:id="831" w:name="_Toc312677497"/>
      <w:bookmarkStart w:id="832" w:name="_Toc312678023"/>
      <w:bookmarkStart w:id="833" w:name="_Toc303539141"/>
      <w:bookmarkStart w:id="834" w:name="_Toc318581174"/>
      <w:r>
        <w:rPr>
          <w:rFonts w:asciiTheme="minorEastAsia" w:hAnsiTheme="minorEastAsia" w:eastAsiaTheme="minorEastAsia"/>
        </w:rPr>
        <w:t>.1.2 试验设备</w:t>
      </w:r>
    </w:p>
    <w:p>
      <w:pPr>
        <w:rPr>
          <w:rFonts w:asciiTheme="minorEastAsia" w:hAnsiTheme="minorEastAsia" w:eastAsiaTheme="minorEastAsia"/>
          <w:u w:val="single"/>
        </w:rPr>
      </w:pPr>
      <w:r>
        <w:rPr>
          <w:rFonts w:asciiTheme="minorEastAsia" w:hAnsiTheme="minorEastAsia" w:eastAsiaTheme="minorEastAsia"/>
        </w:rPr>
        <w:t>施工现场需要配置的试验场所：</w:t>
      </w:r>
      <w:bookmarkEnd w:id="827"/>
      <w:bookmarkEnd w:id="828"/>
      <w:bookmarkEnd w:id="829"/>
      <w:bookmarkEnd w:id="830"/>
      <w:bookmarkEnd w:id="831"/>
      <w:bookmarkEnd w:id="832"/>
      <w:bookmarkEnd w:id="833"/>
      <w:bookmarkStart w:id="835" w:name="_Toc297123536"/>
      <w:bookmarkStart w:id="836" w:name="_Toc312678024"/>
      <w:bookmarkStart w:id="837" w:name="_Toc297216195"/>
      <w:bookmarkStart w:id="838" w:name="_Toc303539142"/>
      <w:bookmarkStart w:id="839" w:name="_Toc300934985"/>
      <w:bookmarkStart w:id="840" w:name="_Toc312677498"/>
      <w:bookmarkStart w:id="841" w:name="_Toc304295562"/>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r>
        <w:rPr>
          <w:rFonts w:hint="eastAsia" w:asciiTheme="minorEastAsia" w:hAnsiTheme="minorEastAsia" w:eastAsiaTheme="minorEastAsia"/>
        </w:rPr>
        <w:t xml:space="preserve"> </w:t>
      </w:r>
    </w:p>
    <w:p>
      <w:pPr>
        <w:rPr>
          <w:rFonts w:asciiTheme="minorEastAsia" w:hAnsiTheme="minorEastAsia" w:eastAsiaTheme="minorEastAsia"/>
          <w:u w:val="single"/>
        </w:rPr>
      </w:pPr>
      <w:r>
        <w:rPr>
          <w:rFonts w:asciiTheme="minorEastAsia" w:hAnsiTheme="minorEastAsia" w:eastAsiaTheme="minorEastAsia"/>
        </w:rPr>
        <w:t>施工现场需要配备的试验设备：</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u w:val="single"/>
        </w:rPr>
      </w:pPr>
      <w:r>
        <w:rPr>
          <w:rFonts w:asciiTheme="minorEastAsia" w:hAnsiTheme="minorEastAsia" w:eastAsiaTheme="minorEastAsia"/>
        </w:rPr>
        <w:t>施工现场需要具备的其他试验条件：</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9.4 现场工艺试验</w:t>
      </w:r>
      <w:r>
        <w:rPr>
          <w:rFonts w:hint="eastAsia" w:asciiTheme="minorEastAsia" w:hAnsiTheme="minorEastAsia" w:eastAsiaTheme="minorEastAsia"/>
        </w:rPr>
        <w:t xml:space="preserve"> </w:t>
      </w:r>
    </w:p>
    <w:p>
      <w:pPr>
        <w:rPr>
          <w:rFonts w:asciiTheme="minorEastAsia" w:hAnsiTheme="minorEastAsia" w:eastAsiaTheme="minorEastAsia"/>
          <w:u w:val="single"/>
        </w:rPr>
      </w:pPr>
      <w:r>
        <w:rPr>
          <w:rFonts w:asciiTheme="minorEastAsia" w:hAnsiTheme="minorEastAsia" w:eastAsiaTheme="minorEastAsia"/>
        </w:rPr>
        <w:t>现场工艺试验的有关约定：</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p>
    <w:p>
      <w:pPr>
        <w:rPr>
          <w:rFonts w:asciiTheme="minorEastAsia" w:hAnsiTheme="minorEastAsia" w:eastAsiaTheme="minorEastAsia"/>
        </w:rPr>
      </w:pP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bookmarkEnd w:id="834"/>
    <w:bookmarkEnd w:id="835"/>
    <w:bookmarkEnd w:id="836"/>
    <w:bookmarkEnd w:id="837"/>
    <w:bookmarkEnd w:id="838"/>
    <w:bookmarkEnd w:id="839"/>
    <w:bookmarkEnd w:id="840"/>
    <w:bookmarkEnd w:id="841"/>
    <w:p>
      <w:pPr>
        <w:rPr>
          <w:rFonts w:asciiTheme="minorEastAsia" w:hAnsiTheme="minorEastAsia" w:eastAsiaTheme="minorEastAsia"/>
          <w:bCs/>
        </w:rPr>
      </w:pPr>
      <w:bookmarkStart w:id="842" w:name="_Toc351203642"/>
      <w:r>
        <w:rPr>
          <w:rFonts w:asciiTheme="minorEastAsia" w:hAnsiTheme="minorEastAsia" w:eastAsiaTheme="minorEastAsia"/>
          <w:bCs/>
        </w:rPr>
        <w:t>1</w:t>
      </w:r>
      <w:bookmarkStart w:id="843" w:name="_Toc296944532"/>
      <w:bookmarkStart w:id="844" w:name="_Toc296891233"/>
      <w:bookmarkStart w:id="845" w:name="_Toc303539146"/>
      <w:bookmarkStart w:id="846" w:name="_Toc297216199"/>
      <w:bookmarkStart w:id="847" w:name="_Toc296346694"/>
      <w:bookmarkStart w:id="848" w:name="_Toc292559903"/>
      <w:bookmarkStart w:id="849" w:name="_Toc296503193"/>
      <w:bookmarkStart w:id="850" w:name="_Toc297120493"/>
      <w:bookmarkStart w:id="851" w:name="_Toc292559398"/>
      <w:bookmarkStart w:id="852" w:name="_Toc304295566"/>
      <w:bookmarkStart w:id="853" w:name="_Toc296347192"/>
      <w:bookmarkStart w:id="854" w:name="_Toc297048379"/>
      <w:bookmarkStart w:id="855" w:name="_Toc300934989"/>
      <w:bookmarkStart w:id="856" w:name="_Toc297123540"/>
      <w:bookmarkStart w:id="857" w:name="_Toc296891021"/>
      <w:bookmarkStart w:id="858" w:name="_Toc312678025"/>
      <w:bookmarkStart w:id="859" w:name="_Toc312677499"/>
      <w:bookmarkStart w:id="860" w:name="_Toc267251437"/>
      <w:bookmarkStart w:id="861" w:name="_Toc267251441"/>
      <w:bookmarkStart w:id="862" w:name="_Toc267251435"/>
      <w:bookmarkStart w:id="863" w:name="_Toc267251439"/>
      <w:bookmarkStart w:id="864" w:name="_Toc267251433"/>
      <w:bookmarkStart w:id="865" w:name="_Toc267251440"/>
      <w:bookmarkStart w:id="866" w:name="_Toc267251442"/>
      <w:bookmarkEnd w:id="808"/>
      <w:bookmarkEnd w:id="809"/>
      <w:bookmarkEnd w:id="810"/>
      <w:bookmarkEnd w:id="811"/>
      <w:bookmarkEnd w:id="812"/>
      <w:bookmarkEnd w:id="813"/>
      <w:bookmarkEnd w:id="814"/>
      <w:bookmarkEnd w:id="815"/>
      <w:bookmarkEnd w:id="816"/>
      <w:bookmarkEnd w:id="817"/>
      <w:bookmarkEnd w:id="818"/>
      <w:bookmarkEnd w:id="819"/>
      <w:r>
        <w:rPr>
          <w:rFonts w:asciiTheme="minorEastAsia" w:hAnsiTheme="minorEastAsia" w:eastAsiaTheme="minorEastAsia"/>
          <w:bCs/>
        </w:rPr>
        <w:t>0. 变更</w:t>
      </w:r>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p>
    <w:bookmarkEnd w:id="858"/>
    <w:bookmarkEnd w:id="859"/>
    <w:p>
      <w:pPr>
        <w:rPr>
          <w:rFonts w:asciiTheme="minorEastAsia" w:hAnsiTheme="minorEastAsia" w:eastAsiaTheme="minorEastAsia"/>
        </w:rPr>
      </w:pPr>
      <w:r>
        <w:rPr>
          <w:rFonts w:asciiTheme="minorEastAsia" w:hAnsiTheme="minorEastAsia" w:eastAsiaTheme="minorEastAsia"/>
        </w:rPr>
        <w:t>1</w:t>
      </w:r>
      <w:bookmarkStart w:id="867" w:name="_Toc312677500"/>
      <w:bookmarkStart w:id="868" w:name="_Toc303539147"/>
      <w:bookmarkStart w:id="869" w:name="_Toc297120494"/>
      <w:bookmarkStart w:id="870" w:name="_Toc296347193"/>
      <w:bookmarkStart w:id="871" w:name="_Toc296944533"/>
      <w:bookmarkStart w:id="872" w:name="_Toc296503194"/>
      <w:bookmarkStart w:id="873" w:name="_Toc297123541"/>
      <w:bookmarkStart w:id="874" w:name="_Toc312678026"/>
      <w:bookmarkStart w:id="875" w:name="_Toc296346695"/>
      <w:bookmarkStart w:id="876" w:name="_Toc296891022"/>
      <w:bookmarkStart w:id="877" w:name="_Toc296891234"/>
      <w:bookmarkStart w:id="878" w:name="_Toc297048380"/>
      <w:bookmarkStart w:id="879" w:name="_Toc297216200"/>
      <w:bookmarkStart w:id="880" w:name="_Toc304295567"/>
      <w:bookmarkStart w:id="881" w:name="_Toc292559904"/>
      <w:bookmarkStart w:id="882" w:name="_Toc300934990"/>
      <w:bookmarkStart w:id="883" w:name="_Toc292559399"/>
      <w:r>
        <w:rPr>
          <w:rFonts w:asciiTheme="minorEastAsia" w:hAnsiTheme="minorEastAsia" w:eastAsiaTheme="minorEastAsia"/>
        </w:rPr>
        <w:t>0.1变更的范围</w:t>
      </w:r>
    </w:p>
    <w:p>
      <w:pPr>
        <w:rPr>
          <w:rFonts w:asciiTheme="minorEastAsia" w:hAnsiTheme="minorEastAsia" w:eastAsiaTheme="minorEastAsia"/>
          <w:u w:val="single"/>
        </w:rPr>
      </w:pPr>
      <w:r>
        <w:rPr>
          <w:rFonts w:asciiTheme="minorEastAsia" w:hAnsiTheme="minorEastAsia" w:eastAsiaTheme="minorEastAsia"/>
        </w:rPr>
        <w:t>关于变更的范围的约定：</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p>
    <w:p>
      <w:pPr>
        <w:rPr>
          <w:rFonts w:asciiTheme="minorEastAsia" w:hAnsiTheme="minorEastAsia" w:eastAsiaTheme="minorEastAsia"/>
        </w:rPr>
      </w:pP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10.4 变更估价</w:t>
      </w:r>
    </w:p>
    <w:p>
      <w:pPr>
        <w:rPr>
          <w:rFonts w:asciiTheme="minorEastAsia" w:hAnsiTheme="minorEastAsia" w:eastAsiaTheme="minorEastAsia"/>
        </w:rPr>
      </w:pPr>
      <w:r>
        <w:rPr>
          <w:rFonts w:hint="eastAsia" w:asciiTheme="minorEastAsia" w:hAnsiTheme="minorEastAsia" w:eastAsiaTheme="minorEastAsia"/>
        </w:rPr>
        <w:t>10.</w:t>
      </w:r>
      <w:r>
        <w:rPr>
          <w:rFonts w:asciiTheme="minorEastAsia" w:hAnsiTheme="minorEastAsia" w:eastAsiaTheme="minorEastAsia"/>
        </w:rPr>
        <w:t>4</w:t>
      </w:r>
      <w:r>
        <w:rPr>
          <w:rFonts w:hint="eastAsia" w:asciiTheme="minorEastAsia" w:hAnsiTheme="minorEastAsia" w:eastAsiaTheme="minorEastAsia"/>
        </w:rPr>
        <w:t>.1 变更估价原则</w:t>
      </w:r>
    </w:p>
    <w:p>
      <w:pPr>
        <w:rPr>
          <w:rFonts w:asciiTheme="minorEastAsia" w:hAnsiTheme="minorEastAsia" w:eastAsiaTheme="minorEastAsia"/>
          <w:u w:val="single"/>
        </w:rPr>
      </w:pPr>
      <w:r>
        <w:rPr>
          <w:rFonts w:asciiTheme="minorEastAsia" w:hAnsiTheme="minorEastAsia" w:eastAsiaTheme="minorEastAsia"/>
        </w:rPr>
        <w:t xml:space="preserve">关于变更估价的约定: </w:t>
      </w:r>
    </w:p>
    <w:p>
      <w:pPr>
        <w:rPr>
          <w:rFonts w:asciiTheme="minorEastAsia" w:hAnsiTheme="minorEastAsia" w:eastAsiaTheme="minorEastAsia"/>
          <w:u w:val="single"/>
        </w:rPr>
      </w:pPr>
      <w:r>
        <w:rPr>
          <w:rFonts w:hint="eastAsia" w:asciiTheme="minorEastAsia" w:hAnsiTheme="minorEastAsia" w:eastAsiaTheme="minorEastAsia"/>
          <w:u w:val="single"/>
        </w:rPr>
        <w:t>（1</w:t>
      </w:r>
      <w:r>
        <w:rPr>
          <w:rFonts w:asciiTheme="minorEastAsia" w:hAnsiTheme="minorEastAsia" w:eastAsiaTheme="minorEastAsia"/>
          <w:u w:val="single"/>
        </w:rPr>
        <w:t>）</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w:t>
      </w:r>
    </w:p>
    <w:p>
      <w:pPr>
        <w:rPr>
          <w:rFonts w:asciiTheme="minorEastAsia" w:hAnsiTheme="minorEastAsia" w:eastAsiaTheme="minorEastAsia"/>
          <w:u w:val="single"/>
        </w:rPr>
      </w:pPr>
      <w:r>
        <w:rPr>
          <w:rFonts w:hint="eastAsia" w:asciiTheme="minorEastAsia" w:hAnsiTheme="minorEastAsia" w:eastAsiaTheme="minorEastAsia"/>
          <w:u w:val="single"/>
        </w:rPr>
        <w:t>（2</w:t>
      </w:r>
      <w:r>
        <w:rPr>
          <w:rFonts w:asciiTheme="minorEastAsia" w:hAnsiTheme="minorEastAsia" w:eastAsiaTheme="minorEastAsia"/>
          <w:u w:val="single"/>
        </w:rPr>
        <w:t>）</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w:t>
      </w:r>
    </w:p>
    <w:p>
      <w:pPr>
        <w:rPr>
          <w:rFonts w:asciiTheme="minorEastAsia" w:hAnsiTheme="minorEastAsia" w:eastAsiaTheme="minorEastAsia"/>
        </w:rPr>
      </w:pPr>
      <w:r>
        <w:rPr>
          <w:rFonts w:asciiTheme="minorEastAsia" w:hAnsiTheme="minorEastAsia" w:eastAsiaTheme="minorEastAsia"/>
        </w:rPr>
        <w:t>1</w:t>
      </w:r>
      <w:bookmarkStart w:id="884" w:name="_Toc297123544"/>
      <w:bookmarkStart w:id="885" w:name="_Toc296891025"/>
      <w:bookmarkStart w:id="886" w:name="_Toc297048383"/>
      <w:bookmarkStart w:id="887" w:name="_Toc296346698"/>
      <w:bookmarkStart w:id="888" w:name="_Toc292559402"/>
      <w:bookmarkStart w:id="889" w:name="_Toc292559907"/>
      <w:bookmarkStart w:id="890" w:name="_Toc300934993"/>
      <w:bookmarkStart w:id="891" w:name="_Toc297216203"/>
      <w:bookmarkStart w:id="892" w:name="_Toc296891237"/>
      <w:bookmarkStart w:id="893" w:name="_Toc296503197"/>
      <w:bookmarkStart w:id="894" w:name="_Toc296347196"/>
      <w:bookmarkStart w:id="895" w:name="_Toc296944536"/>
      <w:bookmarkStart w:id="896" w:name="_Toc303539150"/>
      <w:bookmarkStart w:id="897" w:name="_Toc297120497"/>
      <w:bookmarkStart w:id="898" w:name="_Toc312677503"/>
      <w:bookmarkStart w:id="899" w:name="_Toc312678029"/>
      <w:bookmarkStart w:id="900" w:name="_Toc304295570"/>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r>
        <w:rPr>
          <w:rFonts w:asciiTheme="minorEastAsia" w:hAnsiTheme="minorEastAsia" w:eastAsiaTheme="minorEastAsia"/>
        </w:rPr>
        <w:t>0.5承</w:t>
      </w:r>
      <w:bookmarkStart w:id="901" w:name="_Toc297120503"/>
      <w:bookmarkStart w:id="902" w:name="_Toc297123545"/>
      <w:bookmarkStart w:id="903" w:name="_Toc292559408"/>
      <w:bookmarkStart w:id="904" w:name="_Toc303539151"/>
      <w:bookmarkStart w:id="905" w:name="_Toc297216204"/>
      <w:bookmarkStart w:id="906" w:name="_Toc296347202"/>
      <w:bookmarkStart w:id="907" w:name="_Toc292559913"/>
      <w:bookmarkStart w:id="908" w:name="_Toc296891031"/>
      <w:bookmarkStart w:id="909" w:name="_Toc296346704"/>
      <w:bookmarkStart w:id="910" w:name="_Toc300934994"/>
      <w:bookmarkStart w:id="911" w:name="_Toc296944542"/>
      <w:bookmarkStart w:id="912" w:name="_Toc296503203"/>
      <w:bookmarkStart w:id="913" w:name="_Toc296891243"/>
      <w:bookmarkStart w:id="914" w:name="_Toc297048389"/>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r>
        <w:rPr>
          <w:rFonts w:asciiTheme="minorEastAsia" w:hAnsiTheme="minorEastAsia" w:eastAsiaTheme="minorEastAsia"/>
        </w:rPr>
        <w:t>包人的合理化建议</w:t>
      </w:r>
    </w:p>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p>
      <w:pPr>
        <w:rPr>
          <w:rFonts w:asciiTheme="minorEastAsia" w:hAnsiTheme="minorEastAsia" w:eastAsiaTheme="minorEastAsia"/>
        </w:rPr>
      </w:pPr>
      <w:r>
        <w:rPr>
          <w:rFonts w:asciiTheme="minorEastAsia" w:hAnsiTheme="minorEastAsia" w:eastAsiaTheme="minorEastAsia"/>
        </w:rPr>
        <w:t>监理人审查承包人合理化建议的期限：</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发包人审批承包人合理化建议的期限：</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u w:val="single"/>
        </w:rPr>
      </w:pPr>
      <w:r>
        <w:rPr>
          <w:rFonts w:asciiTheme="minorEastAsia" w:hAnsiTheme="minorEastAsia" w:eastAsiaTheme="minorEastAsia"/>
        </w:rPr>
        <w:t>承</w:t>
      </w:r>
      <w:bookmarkStart w:id="915" w:name="_Toc318581175"/>
      <w:bookmarkStart w:id="916" w:name="_Toc296346705"/>
      <w:bookmarkStart w:id="917" w:name="_Toc312678030"/>
      <w:bookmarkStart w:id="918" w:name="_Toc297123546"/>
      <w:bookmarkStart w:id="919" w:name="_Toc296891032"/>
      <w:bookmarkStart w:id="920" w:name="_Toc297216205"/>
      <w:bookmarkStart w:id="921" w:name="_Toc292559914"/>
      <w:bookmarkStart w:id="922" w:name="_Toc304295571"/>
      <w:bookmarkStart w:id="923" w:name="_Toc300934995"/>
      <w:bookmarkStart w:id="924" w:name="_Toc303539152"/>
      <w:bookmarkStart w:id="925" w:name="_Toc296944543"/>
      <w:bookmarkStart w:id="926" w:name="_Toc312677504"/>
      <w:bookmarkStart w:id="927" w:name="_Toc296503204"/>
      <w:bookmarkStart w:id="928" w:name="_Toc296891244"/>
      <w:bookmarkStart w:id="929" w:name="_Toc296347203"/>
      <w:bookmarkStart w:id="930" w:name="_Toc297048390"/>
      <w:bookmarkStart w:id="931" w:name="_Toc297120504"/>
      <w:bookmarkStart w:id="932" w:name="_Toc292559409"/>
      <w:r>
        <w:rPr>
          <w:rFonts w:asciiTheme="minorEastAsia" w:hAnsiTheme="minorEastAsia" w:eastAsiaTheme="minorEastAsia"/>
        </w:rPr>
        <w:t>包人提出的合理化建议降低了合同价格或者提高了工程经济效益的奖励的方法和金额为：</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p>
    <w:p>
      <w:pPr>
        <w:rPr>
          <w:rFonts w:asciiTheme="minorEastAsia" w:hAnsiTheme="minorEastAsia" w:eastAsiaTheme="minorEastAsia"/>
          <w:u w:val="single"/>
        </w:rPr>
      </w:pP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p>
      <w:pPr>
        <w:rPr>
          <w:rFonts w:asciiTheme="minorEastAsia" w:hAnsiTheme="minorEastAsia" w:eastAsiaTheme="minorEastAsia"/>
        </w:rPr>
      </w:pPr>
      <w:r>
        <w:rPr>
          <w:rFonts w:asciiTheme="minorEastAsia" w:hAnsiTheme="minorEastAsia" w:eastAsiaTheme="minorEastAsia"/>
        </w:rPr>
        <w:t>1</w:t>
      </w:r>
      <w:bookmarkStart w:id="933" w:name="_Toc296503199"/>
      <w:bookmarkStart w:id="934" w:name="_Toc297216207"/>
      <w:bookmarkStart w:id="935" w:name="_Toc296944538"/>
      <w:bookmarkStart w:id="936" w:name="_Toc292559404"/>
      <w:bookmarkStart w:id="937" w:name="_Toc296891027"/>
      <w:bookmarkStart w:id="938" w:name="_Toc300934997"/>
      <w:bookmarkStart w:id="939" w:name="_Toc304295574"/>
      <w:bookmarkStart w:id="940" w:name="_Toc312678033"/>
      <w:bookmarkStart w:id="941" w:name="_Toc296891239"/>
      <w:bookmarkStart w:id="942" w:name="_Toc312677507"/>
      <w:bookmarkStart w:id="943" w:name="_Toc297123548"/>
      <w:bookmarkStart w:id="944" w:name="_Toc303539154"/>
      <w:bookmarkStart w:id="945" w:name="_Toc296347198"/>
      <w:bookmarkStart w:id="946" w:name="_Toc297048385"/>
      <w:bookmarkStart w:id="947" w:name="_Toc296346700"/>
      <w:bookmarkStart w:id="948" w:name="_Toc297120499"/>
      <w:bookmarkStart w:id="949" w:name="_Toc292559909"/>
      <w:r>
        <w:rPr>
          <w:rFonts w:asciiTheme="minorEastAsia" w:hAnsiTheme="minorEastAsia" w:eastAsiaTheme="minorEastAsia"/>
        </w:rPr>
        <w:t>0.7 暂估价</w:t>
      </w:r>
    </w:p>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p>
      <w:pPr>
        <w:rPr>
          <w:rFonts w:asciiTheme="minorEastAsia" w:hAnsiTheme="minorEastAsia" w:eastAsiaTheme="minorEastAsia"/>
        </w:rPr>
      </w:pPr>
      <w:r>
        <w:rPr>
          <w:rFonts w:asciiTheme="minorEastAsia" w:hAnsiTheme="minorEastAsia" w:eastAsiaTheme="minorEastAsia"/>
        </w:rPr>
        <w:t>1</w:t>
      </w:r>
      <w:bookmarkStart w:id="950" w:name="_Toc312678035"/>
      <w:bookmarkStart w:id="951" w:name="_Toc312677509"/>
      <w:bookmarkStart w:id="952" w:name="_Toc318581177"/>
      <w:r>
        <w:rPr>
          <w:rFonts w:asciiTheme="minorEastAsia" w:hAnsiTheme="minorEastAsia" w:eastAsiaTheme="minorEastAsia"/>
        </w:rPr>
        <w:t>0.7.1 依法必须招标的暂估价项目</w:t>
      </w:r>
    </w:p>
    <w:bookmarkEnd w:id="950"/>
    <w:bookmarkEnd w:id="951"/>
    <w:bookmarkEnd w:id="952"/>
    <w:p>
      <w:pPr>
        <w:rPr>
          <w:rFonts w:asciiTheme="minorEastAsia" w:hAnsiTheme="minorEastAsia" w:eastAsiaTheme="minorEastAsia"/>
        </w:rPr>
      </w:pPr>
      <w:r>
        <w:rPr>
          <w:rFonts w:asciiTheme="minorEastAsia" w:hAnsiTheme="minorEastAsia" w:eastAsiaTheme="minorEastAsia"/>
        </w:rPr>
        <w:t>对于依法必须招标的暂估价项目的确认和批准采取第</w:t>
      </w:r>
      <w:r>
        <w:rPr>
          <w:rFonts w:asciiTheme="minorEastAsia" w:hAnsiTheme="minorEastAsia" w:eastAsiaTheme="minorEastAsia"/>
          <w:u w:val="single"/>
        </w:rPr>
        <w:t xml:space="preserve">       </w:t>
      </w:r>
      <w:r>
        <w:rPr>
          <w:rFonts w:asciiTheme="minorEastAsia" w:hAnsiTheme="minorEastAsia" w:eastAsiaTheme="minorEastAsia"/>
        </w:rPr>
        <w:t>种方式确定。</w:t>
      </w:r>
    </w:p>
    <w:p>
      <w:pPr>
        <w:rPr>
          <w:rFonts w:asciiTheme="minorEastAsia" w:hAnsiTheme="minorEastAsia" w:eastAsiaTheme="minorEastAsia"/>
        </w:rPr>
      </w:pPr>
      <w:r>
        <w:rPr>
          <w:rFonts w:asciiTheme="minorEastAsia" w:hAnsiTheme="minorEastAsia" w:eastAsiaTheme="minorEastAsia"/>
        </w:rPr>
        <w:t>10.7.2 不属于依法必须招标的暂估价项目</w:t>
      </w:r>
    </w:p>
    <w:p>
      <w:pPr>
        <w:rPr>
          <w:rFonts w:asciiTheme="minorEastAsia" w:hAnsiTheme="minorEastAsia" w:eastAsiaTheme="minorEastAsia"/>
        </w:rPr>
      </w:pPr>
      <w:r>
        <w:rPr>
          <w:rFonts w:asciiTheme="minorEastAsia" w:hAnsiTheme="minorEastAsia" w:eastAsiaTheme="minorEastAsia"/>
        </w:rPr>
        <w:t>对于不属于依法必须招标的暂估价项目的确认和批准采取第</w:t>
      </w:r>
      <w:r>
        <w:rPr>
          <w:rFonts w:asciiTheme="minorEastAsia" w:hAnsiTheme="minorEastAsia" w:eastAsiaTheme="minorEastAsia"/>
          <w:u w:val="single"/>
        </w:rPr>
        <w:t xml:space="preserve">      </w:t>
      </w:r>
      <w:r>
        <w:rPr>
          <w:rFonts w:asciiTheme="minorEastAsia" w:hAnsiTheme="minorEastAsia" w:eastAsiaTheme="minorEastAsia"/>
        </w:rPr>
        <w:t xml:space="preserve"> 种方式确定。</w:t>
      </w:r>
    </w:p>
    <w:p>
      <w:pPr>
        <w:rPr>
          <w:rFonts w:asciiTheme="minorEastAsia" w:hAnsiTheme="minorEastAsia" w:eastAsiaTheme="minorEastAsia"/>
        </w:rPr>
      </w:pPr>
      <w:r>
        <w:rPr>
          <w:rFonts w:asciiTheme="minorEastAsia" w:hAnsiTheme="minorEastAsia" w:eastAsiaTheme="minorEastAsia"/>
        </w:rPr>
        <w:t>第3种方式：承包人直接实施的暂估价项目</w:t>
      </w:r>
    </w:p>
    <w:p>
      <w:pPr>
        <w:rPr>
          <w:rFonts w:asciiTheme="minorEastAsia" w:hAnsiTheme="minorEastAsia" w:eastAsiaTheme="minorEastAsia"/>
        </w:rPr>
      </w:pPr>
      <w:r>
        <w:rPr>
          <w:rFonts w:asciiTheme="minorEastAsia" w:hAnsiTheme="minorEastAsia" w:eastAsiaTheme="minorEastAsia"/>
        </w:rPr>
        <w:t>承包人直接实施的暂估价项目的约定：</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w:t>
      </w:r>
    </w:p>
    <w:p>
      <w:pPr>
        <w:rPr>
          <w:rFonts w:asciiTheme="minorEastAsia" w:hAnsiTheme="minorEastAsia" w:eastAsiaTheme="minorEastAsia"/>
        </w:rPr>
      </w:pPr>
      <w:r>
        <w:rPr>
          <w:rFonts w:asciiTheme="minorEastAsia" w:hAnsiTheme="minorEastAsia" w:eastAsiaTheme="minorEastAsia"/>
        </w:rPr>
        <w:t>10.8 暂列金额</w:t>
      </w:r>
    </w:p>
    <w:p>
      <w:pPr>
        <w:rPr>
          <w:rFonts w:asciiTheme="minorEastAsia" w:hAnsiTheme="minorEastAsia" w:eastAsiaTheme="minorEastAsia"/>
          <w:u w:val="single"/>
        </w:rPr>
      </w:pPr>
      <w:r>
        <w:rPr>
          <w:rFonts w:hint="eastAsia" w:asciiTheme="minorEastAsia" w:hAnsiTheme="minorEastAsia" w:eastAsiaTheme="minorEastAsia"/>
        </w:rPr>
        <w:t>合同当事人关于暂列金额使用的约定：</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p>
    <w:p>
      <w:pPr>
        <w:rPr>
          <w:rFonts w:asciiTheme="minorEastAsia" w:hAnsiTheme="minorEastAsia" w:eastAsiaTheme="minorEastAsia"/>
        </w:rPr>
      </w:pPr>
      <w:r>
        <w:rPr>
          <w:rFonts w:hint="eastAsia" w:asciiTheme="minorEastAsia" w:hAnsiTheme="minorEastAsia" w:eastAsiaTheme="minorEastAsia"/>
          <w:u w:val="single"/>
        </w:rPr>
        <w:t xml:space="preserve">                                                         </w:t>
      </w:r>
      <w:r>
        <w:rPr>
          <w:rFonts w:hint="eastAsia" w:asciiTheme="minorEastAsia" w:hAnsiTheme="minorEastAsia" w:eastAsiaTheme="minorEastAsia"/>
        </w:rPr>
        <w:t>。</w:t>
      </w:r>
    </w:p>
    <w:p>
      <w:pPr>
        <w:rPr>
          <w:rFonts w:asciiTheme="minorEastAsia" w:hAnsiTheme="minorEastAsia" w:eastAsiaTheme="minorEastAsia"/>
          <w:bCs/>
        </w:rPr>
      </w:pPr>
      <w:bookmarkStart w:id="953" w:name="_Toc351203643"/>
      <w:r>
        <w:rPr>
          <w:rFonts w:asciiTheme="minorEastAsia" w:hAnsiTheme="minorEastAsia" w:eastAsiaTheme="minorEastAsia"/>
          <w:bCs/>
        </w:rPr>
        <w:t>11. 价格调整</w:t>
      </w:r>
      <w:bookmarkEnd w:id="953"/>
    </w:p>
    <w:p>
      <w:pPr>
        <w:rPr>
          <w:rFonts w:asciiTheme="minorEastAsia" w:hAnsiTheme="minorEastAsia" w:eastAsiaTheme="minorEastAsia"/>
        </w:rPr>
      </w:pPr>
      <w:bookmarkStart w:id="954" w:name="_Toc300935000"/>
      <w:bookmarkStart w:id="955" w:name="_Toc297048387"/>
      <w:bookmarkStart w:id="956" w:name="_Toc304295577"/>
      <w:bookmarkStart w:id="957" w:name="_Toc297120501"/>
      <w:bookmarkStart w:id="958" w:name="_Toc296503201"/>
      <w:bookmarkStart w:id="959" w:name="_Toc296891029"/>
      <w:bookmarkStart w:id="960" w:name="_Toc296891241"/>
      <w:bookmarkStart w:id="961" w:name="_Toc312678039"/>
      <w:bookmarkStart w:id="962" w:name="_Toc296347200"/>
      <w:bookmarkStart w:id="963" w:name="_Toc296346702"/>
      <w:bookmarkStart w:id="964" w:name="_Toc292559911"/>
      <w:bookmarkStart w:id="965" w:name="_Toc297123550"/>
      <w:bookmarkStart w:id="966" w:name="_Toc296944540"/>
      <w:bookmarkStart w:id="967" w:name="_Toc292559406"/>
      <w:bookmarkStart w:id="968" w:name="_Toc297216209"/>
      <w:bookmarkStart w:id="969" w:name="_Toc303539157"/>
      <w:r>
        <w:rPr>
          <w:rFonts w:asciiTheme="minorEastAsia" w:hAnsiTheme="minorEastAsia" w:eastAsiaTheme="minorEastAsia"/>
        </w:rPr>
        <w:t>11.1 市场价格波动引起的调整</w:t>
      </w:r>
    </w:p>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p>
      <w:pPr>
        <w:rPr>
          <w:rFonts w:asciiTheme="minorEastAsia" w:hAnsiTheme="minorEastAsia" w:eastAsiaTheme="minorEastAsia"/>
        </w:rPr>
      </w:pPr>
      <w:r>
        <w:rPr>
          <w:rFonts w:asciiTheme="minorEastAsia" w:hAnsiTheme="minorEastAsia" w:eastAsiaTheme="minorEastAsia"/>
        </w:rPr>
        <w:t>市场价格波动是否调整合同价格的约定：</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因市场价格波动调整合同价格，采用以下第</w:t>
      </w:r>
      <w:r>
        <w:rPr>
          <w:rFonts w:asciiTheme="minorEastAsia" w:hAnsiTheme="minorEastAsia" w:eastAsiaTheme="minorEastAsia"/>
          <w:u w:val="single"/>
        </w:rPr>
        <w:t xml:space="preserve">    </w:t>
      </w:r>
      <w:r>
        <w:rPr>
          <w:rFonts w:asciiTheme="minorEastAsia" w:hAnsiTheme="minorEastAsia" w:eastAsiaTheme="minorEastAsia"/>
        </w:rPr>
        <w:t>种方式对合同价格进行调整：</w:t>
      </w:r>
    </w:p>
    <w:p>
      <w:pPr>
        <w:rPr>
          <w:rFonts w:asciiTheme="minorEastAsia" w:hAnsiTheme="minorEastAsia" w:eastAsiaTheme="minorEastAsia"/>
        </w:rPr>
      </w:pPr>
      <w:r>
        <w:rPr>
          <w:rFonts w:asciiTheme="minorEastAsia" w:hAnsiTheme="minorEastAsia" w:eastAsiaTheme="minorEastAsia"/>
        </w:rPr>
        <w:t>第1种方式：采用价格指数</w:t>
      </w:r>
      <w:r>
        <w:rPr>
          <w:rFonts w:hint="eastAsia" w:asciiTheme="minorEastAsia" w:hAnsiTheme="minorEastAsia" w:eastAsiaTheme="minorEastAsia"/>
        </w:rPr>
        <w:t>进行价格</w:t>
      </w:r>
      <w:r>
        <w:rPr>
          <w:rFonts w:asciiTheme="minorEastAsia" w:hAnsiTheme="minorEastAsia" w:eastAsiaTheme="minorEastAsia"/>
        </w:rPr>
        <w:t>调整。</w:t>
      </w:r>
    </w:p>
    <w:p>
      <w:pPr>
        <w:rPr>
          <w:rFonts w:asciiTheme="minorEastAsia" w:hAnsiTheme="minorEastAsia" w:eastAsiaTheme="minorEastAsia"/>
          <w:u w:val="single"/>
        </w:rPr>
      </w:pPr>
      <w:r>
        <w:rPr>
          <w:rFonts w:asciiTheme="minorEastAsia" w:hAnsiTheme="minorEastAsia" w:eastAsiaTheme="minorEastAsia"/>
        </w:rPr>
        <w:t>关于各可调因子、定值和变值权重，以及基本价格指数及其来源的约定：</w:t>
      </w:r>
      <w:r>
        <w:rPr>
          <w:rFonts w:asciiTheme="minorEastAsia" w:hAnsiTheme="minorEastAsia" w:eastAsiaTheme="minorEastAsia"/>
          <w:u w:val="single"/>
        </w:rPr>
        <w:t xml:space="preserve">                                                </w:t>
      </w:r>
      <w:r>
        <w:rPr>
          <w:rFonts w:asciiTheme="minorEastAsia" w:hAnsiTheme="minorEastAsia" w:eastAsiaTheme="minorEastAsia"/>
        </w:rPr>
        <w:t xml:space="preserve">；  </w:t>
      </w:r>
    </w:p>
    <w:p>
      <w:pPr>
        <w:rPr>
          <w:rFonts w:asciiTheme="minorEastAsia" w:hAnsiTheme="minorEastAsia" w:eastAsiaTheme="minorEastAsia"/>
        </w:rPr>
      </w:pPr>
      <w:r>
        <w:rPr>
          <w:rFonts w:asciiTheme="minorEastAsia" w:hAnsiTheme="minorEastAsia" w:eastAsiaTheme="minorEastAsia"/>
        </w:rPr>
        <w:t>第2种方式：采用造价信息</w:t>
      </w:r>
      <w:r>
        <w:rPr>
          <w:rFonts w:hint="eastAsia" w:asciiTheme="minorEastAsia" w:hAnsiTheme="minorEastAsia" w:eastAsiaTheme="minorEastAsia"/>
        </w:rPr>
        <w:t>进行价格</w:t>
      </w:r>
      <w:r>
        <w:rPr>
          <w:rFonts w:asciiTheme="minorEastAsia" w:hAnsiTheme="minorEastAsia" w:eastAsiaTheme="minorEastAsia"/>
        </w:rPr>
        <w:t>调整。</w:t>
      </w:r>
    </w:p>
    <w:p>
      <w:pPr>
        <w:rPr>
          <w:rFonts w:asciiTheme="minorEastAsia" w:hAnsiTheme="minorEastAsia" w:eastAsiaTheme="minorEastAsia"/>
        </w:rPr>
      </w:pPr>
      <w:r>
        <w:rPr>
          <w:rFonts w:asciiTheme="minorEastAsia" w:hAnsiTheme="minorEastAsia" w:eastAsiaTheme="minorEastAsia"/>
        </w:rPr>
        <w:t>（2）关于基准价格的约定：</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专用合同条款</w:t>
      </w:r>
      <w:r>
        <w:rPr>
          <w:rFonts w:hint="eastAsia" w:asciiTheme="minorEastAsia" w:hAnsiTheme="minorEastAsia" w:eastAsiaTheme="minorEastAsia"/>
        </w:rPr>
        <w:t>①</w:t>
      </w:r>
      <w:r>
        <w:rPr>
          <w:rFonts w:asciiTheme="minorEastAsia" w:hAnsiTheme="minorEastAsia" w:eastAsiaTheme="minorEastAsia"/>
        </w:rPr>
        <w:t>承包人在已标价工程量清单或预算书中载明的材料单价低于基准价格的：专用合同条款合同履行期间材料单价涨幅以基准价格为基础超过</w:t>
      </w:r>
      <w:r>
        <w:rPr>
          <w:rFonts w:asciiTheme="minorEastAsia" w:hAnsiTheme="minorEastAsia" w:eastAsiaTheme="minorEastAsia"/>
          <w:u w:val="single"/>
        </w:rPr>
        <w:t xml:space="preserve">   </w:t>
      </w:r>
      <w:r>
        <w:rPr>
          <w:rFonts w:asciiTheme="minorEastAsia" w:hAnsiTheme="minorEastAsia" w:eastAsiaTheme="minorEastAsia"/>
        </w:rPr>
        <w:t>%时，或材料单价跌幅以已标价工程量清单或预算书中载明材料单价为基础超过</w:t>
      </w:r>
      <w:r>
        <w:rPr>
          <w:rFonts w:asciiTheme="minorEastAsia" w:hAnsiTheme="minorEastAsia" w:eastAsiaTheme="minorEastAsia"/>
          <w:u w:val="single"/>
        </w:rPr>
        <w:t xml:space="preserve">   </w:t>
      </w:r>
      <w:r>
        <w:rPr>
          <w:rFonts w:asciiTheme="minorEastAsia" w:hAnsiTheme="minorEastAsia" w:eastAsiaTheme="minorEastAsia"/>
        </w:rPr>
        <w:t>%时，其超过部分据实调整。</w:t>
      </w:r>
    </w:p>
    <w:p>
      <w:pPr>
        <w:rPr>
          <w:rFonts w:asciiTheme="minorEastAsia" w:hAnsiTheme="minorEastAsia" w:eastAsiaTheme="minorEastAsia"/>
        </w:rPr>
      </w:pPr>
      <w:r>
        <w:rPr>
          <w:rFonts w:hint="eastAsia" w:asciiTheme="minorEastAsia" w:hAnsiTheme="minorEastAsia" w:eastAsiaTheme="minorEastAsia"/>
        </w:rPr>
        <w:t>②</w:t>
      </w:r>
      <w:r>
        <w:rPr>
          <w:rFonts w:asciiTheme="minorEastAsia" w:hAnsiTheme="minorEastAsia" w:eastAsiaTheme="minorEastAsia"/>
        </w:rPr>
        <w:t>承包人在已标价工程量清单或预算书中载明的材料单价高于基准价格的：专用合同条款合同履行期间材料单价跌幅以基准价格为基础超过</w:t>
      </w:r>
      <w:r>
        <w:rPr>
          <w:rFonts w:asciiTheme="minorEastAsia" w:hAnsiTheme="minorEastAsia" w:eastAsiaTheme="minorEastAsia"/>
          <w:u w:val="single"/>
        </w:rPr>
        <w:t xml:space="preserve">   </w:t>
      </w:r>
      <w:r>
        <w:rPr>
          <w:rFonts w:asciiTheme="minorEastAsia" w:hAnsiTheme="minorEastAsia" w:eastAsiaTheme="minorEastAsia"/>
        </w:rPr>
        <w:t>%时，材料单价涨幅以已标价工程量清单或预算书中载明材料单价为基础超过</w:t>
      </w:r>
      <w:r>
        <w:rPr>
          <w:rFonts w:asciiTheme="minorEastAsia" w:hAnsiTheme="minorEastAsia" w:eastAsiaTheme="minorEastAsia"/>
          <w:u w:val="single"/>
        </w:rPr>
        <w:t xml:space="preserve">   </w:t>
      </w:r>
      <w:r>
        <w:rPr>
          <w:rFonts w:asciiTheme="minorEastAsia" w:hAnsiTheme="minorEastAsia" w:eastAsiaTheme="minorEastAsia"/>
        </w:rPr>
        <w:t>%时，其超过部分据实调整。</w:t>
      </w:r>
    </w:p>
    <w:p>
      <w:pPr>
        <w:rPr>
          <w:rFonts w:asciiTheme="minorEastAsia" w:hAnsiTheme="minorEastAsia" w:eastAsiaTheme="minorEastAsia"/>
        </w:rPr>
      </w:pPr>
      <w:r>
        <w:rPr>
          <w:rFonts w:hint="eastAsia" w:asciiTheme="minorEastAsia" w:hAnsiTheme="minorEastAsia" w:eastAsiaTheme="minorEastAsia"/>
        </w:rPr>
        <w:t>③</w:t>
      </w:r>
      <w:r>
        <w:rPr>
          <w:rFonts w:asciiTheme="minorEastAsia" w:hAnsiTheme="minorEastAsia" w:eastAsiaTheme="minorEastAsia"/>
        </w:rPr>
        <w:t>承包人在已标价工程量清单或预算书中载明的材料单价等于基准单价的：专用合同条款合同履行期间材料单价涨跌幅以基准单价为基础超过±</w:t>
      </w:r>
      <w:r>
        <w:rPr>
          <w:rFonts w:asciiTheme="minorEastAsia" w:hAnsiTheme="minorEastAsia" w:eastAsiaTheme="minorEastAsia"/>
          <w:u w:val="single"/>
        </w:rPr>
        <w:t xml:space="preserve">   </w:t>
      </w:r>
      <w:r>
        <w:rPr>
          <w:rFonts w:asciiTheme="minorEastAsia" w:hAnsiTheme="minorEastAsia" w:eastAsiaTheme="minorEastAsia"/>
        </w:rPr>
        <w:t>%时，其超过部分据实调整。</w:t>
      </w:r>
    </w:p>
    <w:p>
      <w:pPr>
        <w:rPr>
          <w:rFonts w:asciiTheme="minorEastAsia" w:hAnsiTheme="minorEastAsia" w:eastAsiaTheme="minorEastAsia"/>
          <w:u w:val="single"/>
        </w:rPr>
      </w:pPr>
      <w:r>
        <w:rPr>
          <w:rFonts w:asciiTheme="minorEastAsia" w:hAnsiTheme="minorEastAsia" w:eastAsiaTheme="minorEastAsia"/>
        </w:rPr>
        <w:t>第3种方式：其他价格调整方式：</w:t>
      </w:r>
      <w:r>
        <w:rPr>
          <w:rFonts w:asciiTheme="minorEastAsia" w:hAnsiTheme="minorEastAsia" w:eastAsiaTheme="minorEastAsia"/>
          <w:u w:val="single"/>
        </w:rPr>
        <w:t xml:space="preserve">                        </w:t>
      </w:r>
    </w:p>
    <w:p>
      <w:pPr>
        <w:rPr>
          <w:rFonts w:asciiTheme="minorEastAsia" w:hAnsiTheme="minorEastAsia" w:eastAsiaTheme="minorEastAsia"/>
        </w:rPr>
      </w:pP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bookmarkEnd w:id="860"/>
    <w:bookmarkEnd w:id="861"/>
    <w:bookmarkEnd w:id="862"/>
    <w:bookmarkEnd w:id="863"/>
    <w:bookmarkEnd w:id="864"/>
    <w:bookmarkEnd w:id="865"/>
    <w:p>
      <w:pPr>
        <w:rPr>
          <w:rFonts w:asciiTheme="minorEastAsia" w:hAnsiTheme="minorEastAsia" w:eastAsiaTheme="minorEastAsia"/>
          <w:bCs/>
        </w:rPr>
      </w:pPr>
      <w:bookmarkStart w:id="970" w:name="_Toc296346706"/>
      <w:bookmarkStart w:id="971" w:name="_Toc297048391"/>
      <w:bookmarkStart w:id="972" w:name="_Toc292559915"/>
      <w:bookmarkStart w:id="973" w:name="_Toc297120505"/>
      <w:bookmarkStart w:id="974" w:name="_Toc292559410"/>
      <w:bookmarkStart w:id="975" w:name="_Toc296347204"/>
      <w:bookmarkStart w:id="976" w:name="_Toc296503205"/>
      <w:bookmarkStart w:id="977" w:name="_Toc296891245"/>
      <w:bookmarkStart w:id="978" w:name="_Toc296944544"/>
      <w:bookmarkStart w:id="979" w:name="_Toc296891033"/>
      <w:bookmarkStart w:id="980" w:name="_Toc351203644"/>
      <w:bookmarkStart w:id="981" w:name="_Toc300935002"/>
      <w:bookmarkStart w:id="982" w:name="_Toc312678040"/>
      <w:bookmarkStart w:id="983" w:name="_Toc297216211"/>
      <w:bookmarkStart w:id="984" w:name="_Toc297123552"/>
      <w:bookmarkStart w:id="985" w:name="_Toc304295579"/>
      <w:bookmarkStart w:id="986" w:name="_Toc303539159"/>
      <w:r>
        <w:rPr>
          <w:rFonts w:asciiTheme="minorEastAsia" w:hAnsiTheme="minorEastAsia" w:eastAsiaTheme="minorEastAsia"/>
          <w:bCs/>
        </w:rPr>
        <w:t xml:space="preserve">12. </w:t>
      </w:r>
      <w:bookmarkEnd w:id="970"/>
      <w:bookmarkEnd w:id="971"/>
      <w:bookmarkEnd w:id="972"/>
      <w:bookmarkEnd w:id="973"/>
      <w:bookmarkEnd w:id="974"/>
      <w:bookmarkEnd w:id="975"/>
      <w:bookmarkEnd w:id="976"/>
      <w:bookmarkEnd w:id="977"/>
      <w:bookmarkEnd w:id="978"/>
      <w:bookmarkEnd w:id="979"/>
      <w:r>
        <w:rPr>
          <w:rFonts w:asciiTheme="minorEastAsia" w:hAnsiTheme="minorEastAsia" w:eastAsiaTheme="minorEastAsia"/>
          <w:bCs/>
        </w:rPr>
        <w:t>合同价格、计量与支付</w:t>
      </w:r>
      <w:bookmarkEnd w:id="980"/>
    </w:p>
    <w:bookmarkEnd w:id="981"/>
    <w:bookmarkEnd w:id="982"/>
    <w:bookmarkEnd w:id="983"/>
    <w:bookmarkEnd w:id="984"/>
    <w:bookmarkEnd w:id="985"/>
    <w:bookmarkEnd w:id="986"/>
    <w:p>
      <w:pPr>
        <w:rPr>
          <w:rFonts w:asciiTheme="minorEastAsia" w:hAnsiTheme="minorEastAsia" w:eastAsiaTheme="minorEastAsia"/>
        </w:rPr>
      </w:pPr>
      <w:bookmarkStart w:id="987" w:name="_Toc292559916"/>
      <w:bookmarkStart w:id="988" w:name="_Toc267251461"/>
      <w:bookmarkStart w:id="989" w:name="_Toc292559411"/>
      <w:bookmarkStart w:id="990" w:name="_Toc296503206"/>
      <w:bookmarkStart w:id="991" w:name="_Toc297120506"/>
      <w:bookmarkStart w:id="992" w:name="_Toc296891034"/>
      <w:bookmarkStart w:id="993" w:name="_Toc296346707"/>
      <w:bookmarkStart w:id="994" w:name="_Toc296891246"/>
      <w:bookmarkStart w:id="995" w:name="_Toc296944545"/>
      <w:bookmarkStart w:id="996" w:name="_Toc296347205"/>
      <w:bookmarkStart w:id="997" w:name="_Toc297048392"/>
      <w:bookmarkStart w:id="998" w:name="_Toc297123553"/>
      <w:bookmarkStart w:id="999" w:name="_Toc300935003"/>
      <w:bookmarkStart w:id="1000" w:name="_Toc297216212"/>
      <w:bookmarkStart w:id="1001" w:name="_Toc304295580"/>
      <w:bookmarkStart w:id="1002" w:name="_Toc303539160"/>
      <w:bookmarkStart w:id="1003" w:name="_Toc312678041"/>
      <w:r>
        <w:rPr>
          <w:rFonts w:asciiTheme="minorEastAsia" w:hAnsiTheme="minorEastAsia" w:eastAsiaTheme="minorEastAsia"/>
        </w:rPr>
        <w:t>12.1 合</w:t>
      </w:r>
      <w:bookmarkEnd w:id="987"/>
      <w:bookmarkEnd w:id="988"/>
      <w:bookmarkEnd w:id="989"/>
      <w:r>
        <w:rPr>
          <w:rFonts w:asciiTheme="minorEastAsia" w:hAnsiTheme="minorEastAsia" w:eastAsiaTheme="minorEastAsia"/>
        </w:rPr>
        <w:t>同价</w:t>
      </w:r>
      <w:bookmarkEnd w:id="990"/>
      <w:bookmarkEnd w:id="991"/>
      <w:bookmarkEnd w:id="992"/>
      <w:bookmarkEnd w:id="993"/>
      <w:bookmarkEnd w:id="994"/>
      <w:bookmarkEnd w:id="995"/>
      <w:bookmarkEnd w:id="996"/>
      <w:bookmarkEnd w:id="997"/>
      <w:r>
        <w:rPr>
          <w:rFonts w:asciiTheme="minorEastAsia" w:hAnsiTheme="minorEastAsia" w:eastAsiaTheme="minorEastAsia"/>
        </w:rPr>
        <w:t>格形式</w:t>
      </w:r>
    </w:p>
    <w:bookmarkEnd w:id="998"/>
    <w:bookmarkEnd w:id="999"/>
    <w:bookmarkEnd w:id="1000"/>
    <w:bookmarkEnd w:id="1001"/>
    <w:bookmarkEnd w:id="1002"/>
    <w:bookmarkEnd w:id="1003"/>
    <w:p>
      <w:pPr>
        <w:rPr>
          <w:rFonts w:asciiTheme="minorEastAsia" w:hAnsiTheme="minorEastAsia" w:eastAsiaTheme="minorEastAsia"/>
        </w:rPr>
      </w:pPr>
      <w:r>
        <w:rPr>
          <w:rFonts w:asciiTheme="minorEastAsia" w:hAnsiTheme="minorEastAsia" w:eastAsiaTheme="minorEastAsia"/>
        </w:rPr>
        <w:t>1、</w:t>
      </w:r>
      <w:r>
        <w:rPr>
          <w:rFonts w:asciiTheme="minorEastAsia" w:hAnsiTheme="minorEastAsia" w:eastAsiaTheme="minorEastAsia"/>
          <w:u w:val="single"/>
        </w:rPr>
        <w:t>单价合同。</w:t>
      </w:r>
    </w:p>
    <w:p>
      <w:pPr>
        <w:rPr>
          <w:rFonts w:asciiTheme="minorEastAsia" w:hAnsiTheme="minorEastAsia" w:eastAsiaTheme="minorEastAsia"/>
        </w:rPr>
      </w:pPr>
      <w:r>
        <w:rPr>
          <w:rFonts w:asciiTheme="minorEastAsia" w:hAnsiTheme="minorEastAsia" w:eastAsiaTheme="minorEastAsia"/>
        </w:rPr>
        <w:t>综合单价包含的风险范围：</w:t>
      </w:r>
      <w:r>
        <w:rPr>
          <w:rFonts w:hint="eastAsia" w:asciiTheme="minorEastAsia" w:hAnsiTheme="minorEastAsia" w:eastAsiaTheme="minorEastAsia"/>
          <w:u w:val="single"/>
        </w:rPr>
        <w:t>承包人投标报价的分部分项工程量清单综合单价、措施项目清单</w:t>
      </w:r>
      <w:r>
        <w:rPr>
          <w:rFonts w:asciiTheme="minorEastAsia" w:hAnsiTheme="minorEastAsia" w:eastAsiaTheme="minorEastAsia"/>
          <w:u w:val="single"/>
        </w:rPr>
        <w:t>综合单</w:t>
      </w:r>
      <w:r>
        <w:rPr>
          <w:rFonts w:hint="eastAsia" w:asciiTheme="minorEastAsia" w:hAnsiTheme="minorEastAsia" w:eastAsiaTheme="minorEastAsia"/>
          <w:u w:val="single"/>
        </w:rPr>
        <w:t>价以及其他项目清单综合</w:t>
      </w:r>
      <w:r>
        <w:rPr>
          <w:rFonts w:asciiTheme="minorEastAsia" w:hAnsiTheme="minorEastAsia" w:eastAsiaTheme="minorEastAsia"/>
          <w:u w:val="single"/>
        </w:rPr>
        <w:t>单价</w:t>
      </w:r>
      <w:r>
        <w:rPr>
          <w:rFonts w:hint="eastAsia" w:asciiTheme="minorEastAsia" w:hAnsiTheme="minorEastAsia" w:eastAsiaTheme="minorEastAsia"/>
          <w:u w:val="single"/>
        </w:rPr>
        <w:t>均包括人</w:t>
      </w:r>
      <w:r>
        <w:rPr>
          <w:rFonts w:asciiTheme="minorEastAsia" w:hAnsiTheme="minorEastAsia" w:eastAsiaTheme="minorEastAsia"/>
          <w:u w:val="single"/>
        </w:rPr>
        <w:t>工</w:t>
      </w:r>
      <w:r>
        <w:rPr>
          <w:rFonts w:hint="eastAsia" w:asciiTheme="minorEastAsia" w:hAnsiTheme="minorEastAsia" w:eastAsiaTheme="minorEastAsia"/>
          <w:u w:val="single"/>
        </w:rPr>
        <w:t>费</w:t>
      </w:r>
      <w:r>
        <w:rPr>
          <w:rFonts w:asciiTheme="minorEastAsia" w:hAnsiTheme="minorEastAsia" w:eastAsiaTheme="minorEastAsia"/>
          <w:u w:val="single"/>
        </w:rPr>
        <w:t>、</w:t>
      </w:r>
      <w:r>
        <w:rPr>
          <w:rFonts w:hint="eastAsia" w:asciiTheme="minorEastAsia" w:hAnsiTheme="minorEastAsia" w:eastAsiaTheme="minorEastAsia"/>
          <w:u w:val="single"/>
        </w:rPr>
        <w:t>机械费</w:t>
      </w:r>
      <w:r>
        <w:rPr>
          <w:rFonts w:asciiTheme="minorEastAsia" w:hAnsiTheme="minorEastAsia" w:eastAsiaTheme="minorEastAsia"/>
          <w:u w:val="single"/>
        </w:rPr>
        <w:t>、材料</w:t>
      </w:r>
      <w:r>
        <w:rPr>
          <w:rFonts w:hint="eastAsia" w:asciiTheme="minorEastAsia" w:hAnsiTheme="minorEastAsia" w:eastAsiaTheme="minorEastAsia"/>
          <w:u w:val="single"/>
        </w:rPr>
        <w:t>费</w:t>
      </w:r>
      <w:r>
        <w:rPr>
          <w:rFonts w:asciiTheme="minorEastAsia" w:hAnsiTheme="minorEastAsia" w:eastAsiaTheme="minorEastAsia"/>
          <w:u w:val="single"/>
        </w:rPr>
        <w:t>、管理费</w:t>
      </w:r>
      <w:r>
        <w:rPr>
          <w:rFonts w:hint="eastAsia" w:asciiTheme="minorEastAsia" w:hAnsiTheme="minorEastAsia" w:eastAsiaTheme="minorEastAsia"/>
          <w:u w:val="single"/>
        </w:rPr>
        <w:t>、</w:t>
      </w:r>
      <w:r>
        <w:rPr>
          <w:rFonts w:asciiTheme="minorEastAsia" w:hAnsiTheme="minorEastAsia" w:eastAsiaTheme="minorEastAsia"/>
          <w:u w:val="single"/>
        </w:rPr>
        <w:t>利润</w:t>
      </w:r>
      <w:r>
        <w:rPr>
          <w:rFonts w:hint="eastAsia" w:asciiTheme="minorEastAsia" w:hAnsiTheme="minorEastAsia" w:eastAsiaTheme="minorEastAsia"/>
          <w:u w:val="single"/>
        </w:rPr>
        <w:t>及相应</w:t>
      </w:r>
      <w:r>
        <w:rPr>
          <w:rFonts w:asciiTheme="minorEastAsia" w:hAnsiTheme="minorEastAsia" w:eastAsiaTheme="minorEastAsia"/>
          <w:u w:val="single"/>
        </w:rPr>
        <w:t>风险</w:t>
      </w:r>
      <w:r>
        <w:rPr>
          <w:rFonts w:hint="eastAsia" w:asciiTheme="minorEastAsia" w:hAnsiTheme="minorEastAsia" w:eastAsiaTheme="minorEastAsia"/>
          <w:u w:val="single"/>
        </w:rPr>
        <w:t>费用。</w:t>
      </w:r>
    </w:p>
    <w:p>
      <w:pPr>
        <w:rPr>
          <w:rFonts w:asciiTheme="minorEastAsia" w:hAnsiTheme="minorEastAsia" w:eastAsiaTheme="minorEastAsia"/>
        </w:rPr>
      </w:pPr>
      <w:r>
        <w:rPr>
          <w:rFonts w:asciiTheme="minorEastAsia" w:hAnsiTheme="minorEastAsia" w:eastAsiaTheme="minorEastAsia"/>
        </w:rPr>
        <w:t>风险费用的计算方法：</w:t>
      </w:r>
      <w:r>
        <w:rPr>
          <w:rFonts w:asciiTheme="minorEastAsia" w:hAnsiTheme="minorEastAsia" w:eastAsiaTheme="minorEastAsia"/>
          <w:u w:val="single"/>
        </w:rPr>
        <w:t xml:space="preserve"> /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风险范围以外合同价格的调整方法：</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w:t>
      </w:r>
    </w:p>
    <w:p>
      <w:pPr>
        <w:rPr>
          <w:rFonts w:asciiTheme="minorEastAsia" w:hAnsiTheme="minorEastAsia" w:eastAsiaTheme="minorEastAsia"/>
        </w:rPr>
      </w:pPr>
      <w:r>
        <w:rPr>
          <w:rFonts w:asciiTheme="minorEastAsia" w:hAnsiTheme="minorEastAsia" w:eastAsiaTheme="minorEastAsia"/>
        </w:rPr>
        <w:t>2、总价合同。</w:t>
      </w:r>
    </w:p>
    <w:p>
      <w:pPr>
        <w:rPr>
          <w:rFonts w:asciiTheme="minorEastAsia" w:hAnsiTheme="minorEastAsia" w:eastAsiaTheme="minorEastAsia"/>
          <w:u w:val="single"/>
        </w:rPr>
      </w:pPr>
      <w:r>
        <w:rPr>
          <w:rFonts w:asciiTheme="minorEastAsia" w:hAnsiTheme="minorEastAsia" w:eastAsiaTheme="minorEastAsia"/>
        </w:rPr>
        <w:t>总价包含的风险范围：</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u w:val="single"/>
        </w:rPr>
      </w:pPr>
      <w:r>
        <w:rPr>
          <w:rFonts w:asciiTheme="minorEastAsia" w:hAnsiTheme="minorEastAsia" w:eastAsiaTheme="minorEastAsia"/>
        </w:rPr>
        <w:t>风险费用的计算方法：</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风险范围以外合同价格的调整方法：</w:t>
      </w:r>
      <w:r>
        <w:rPr>
          <w:rFonts w:asciiTheme="minorEastAsia" w:hAnsiTheme="minorEastAsia" w:eastAsiaTheme="minorEastAsia"/>
          <w:u w:val="single"/>
        </w:rPr>
        <w:t xml:space="preserve">                      </w:t>
      </w:r>
      <w:r>
        <w:rPr>
          <w:rFonts w:asciiTheme="minorEastAsia" w:hAnsiTheme="minorEastAsia" w:eastAsiaTheme="minorEastAsia"/>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u w:val="single"/>
        </w:rPr>
      </w:pPr>
      <w:r>
        <w:rPr>
          <w:rFonts w:asciiTheme="minorEastAsia" w:hAnsiTheme="minorEastAsia" w:eastAsiaTheme="minorEastAsia"/>
        </w:rPr>
        <w:t>3、其他价格方式：</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bookmarkStart w:id="1004" w:name="_Toc300935004"/>
      <w:bookmarkStart w:id="1005" w:name="_Toc297123554"/>
      <w:bookmarkStart w:id="1006" w:name="_Toc297216213"/>
      <w:bookmarkStart w:id="1007" w:name="_Toc312678042"/>
      <w:bookmarkStart w:id="1008" w:name="_Toc304295581"/>
      <w:bookmarkStart w:id="1009" w:name="_Toc303539161"/>
      <w:bookmarkStart w:id="1010" w:name="_Toc296346708"/>
      <w:bookmarkStart w:id="1011" w:name="_Toc297120507"/>
      <w:bookmarkStart w:id="1012" w:name="_Toc296347206"/>
      <w:bookmarkStart w:id="1013" w:name="_Toc296891035"/>
      <w:bookmarkStart w:id="1014" w:name="_Toc292559917"/>
      <w:bookmarkStart w:id="1015" w:name="_Toc297048393"/>
      <w:bookmarkStart w:id="1016" w:name="_Toc296503207"/>
      <w:bookmarkStart w:id="1017" w:name="_Toc296944546"/>
      <w:bookmarkStart w:id="1018" w:name="_Toc292559412"/>
      <w:bookmarkStart w:id="1019" w:name="_Toc296891247"/>
      <w:r>
        <w:rPr>
          <w:rFonts w:asciiTheme="minorEastAsia" w:hAnsiTheme="minorEastAsia" w:eastAsiaTheme="minorEastAsia"/>
        </w:rPr>
        <w:t>12.2 预付款</w:t>
      </w:r>
    </w:p>
    <w:bookmarkEnd w:id="1004"/>
    <w:bookmarkEnd w:id="1005"/>
    <w:bookmarkEnd w:id="1006"/>
    <w:bookmarkEnd w:id="1007"/>
    <w:bookmarkEnd w:id="1008"/>
    <w:bookmarkEnd w:id="1009"/>
    <w:p>
      <w:pPr>
        <w:rPr>
          <w:rFonts w:asciiTheme="minorEastAsia" w:hAnsiTheme="minorEastAsia" w:eastAsiaTheme="minorEastAsia"/>
        </w:rPr>
      </w:pPr>
      <w:r>
        <w:rPr>
          <w:rFonts w:asciiTheme="minorEastAsia" w:hAnsiTheme="minorEastAsia" w:eastAsiaTheme="minorEastAsia"/>
        </w:rPr>
        <w:t>12.2.1 预付款的支付</w:t>
      </w:r>
    </w:p>
    <w:p>
      <w:pPr>
        <w:rPr>
          <w:rFonts w:asciiTheme="minorEastAsia" w:hAnsiTheme="minorEastAsia" w:eastAsiaTheme="minorEastAsia"/>
        </w:rPr>
      </w:pPr>
      <w:r>
        <w:rPr>
          <w:rFonts w:asciiTheme="minorEastAsia" w:hAnsiTheme="minorEastAsia" w:eastAsiaTheme="minorEastAsia"/>
        </w:rPr>
        <w:t>预付款支付比例或金额：</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预付款支付期限：</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预付款扣回的方式：</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12.2.2 预付款担保</w:t>
      </w:r>
    </w:p>
    <w:p>
      <w:pPr>
        <w:rPr>
          <w:rFonts w:asciiTheme="minorEastAsia" w:hAnsiTheme="minorEastAsia" w:eastAsiaTheme="minorEastAsia"/>
        </w:rPr>
      </w:pPr>
      <w:r>
        <w:rPr>
          <w:rFonts w:asciiTheme="minorEastAsia" w:hAnsiTheme="minorEastAsia" w:eastAsiaTheme="minorEastAsia"/>
        </w:rPr>
        <w:t>承包人提交预付款担保的期限：</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预付款担保的形式为：</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bookmarkEnd w:id="1010"/>
    <w:bookmarkEnd w:id="1011"/>
    <w:bookmarkEnd w:id="1012"/>
    <w:bookmarkEnd w:id="1013"/>
    <w:bookmarkEnd w:id="1014"/>
    <w:bookmarkEnd w:id="1015"/>
    <w:bookmarkEnd w:id="1016"/>
    <w:bookmarkEnd w:id="1017"/>
    <w:bookmarkEnd w:id="1018"/>
    <w:bookmarkEnd w:id="1019"/>
    <w:p>
      <w:pPr>
        <w:rPr>
          <w:rFonts w:asciiTheme="minorEastAsia" w:hAnsiTheme="minorEastAsia" w:eastAsiaTheme="minorEastAsia"/>
        </w:rPr>
      </w:pPr>
      <w:r>
        <w:rPr>
          <w:rFonts w:asciiTheme="minorEastAsia" w:hAnsiTheme="minorEastAsia" w:eastAsiaTheme="minorEastAsia"/>
        </w:rPr>
        <w:t>12.3 计量</w:t>
      </w:r>
    </w:p>
    <w:p>
      <w:pPr>
        <w:rPr>
          <w:rFonts w:asciiTheme="minorEastAsia" w:hAnsiTheme="minorEastAsia" w:eastAsiaTheme="minorEastAsia"/>
        </w:rPr>
      </w:pPr>
      <w:r>
        <w:rPr>
          <w:rFonts w:asciiTheme="minorEastAsia" w:hAnsiTheme="minorEastAsia" w:eastAsiaTheme="minorEastAsia"/>
        </w:rPr>
        <w:t>12.3.1 计量原则</w:t>
      </w:r>
    </w:p>
    <w:p>
      <w:pPr>
        <w:rPr>
          <w:rFonts w:asciiTheme="minorEastAsia" w:hAnsiTheme="minorEastAsia" w:eastAsiaTheme="minorEastAsia"/>
        </w:rPr>
      </w:pPr>
      <w:r>
        <w:rPr>
          <w:rFonts w:asciiTheme="minorEastAsia" w:hAnsiTheme="minorEastAsia" w:eastAsiaTheme="minorEastAsia"/>
        </w:rPr>
        <w:t>工程量计算规则：</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p>
    <w:p>
      <w:pPr>
        <w:rPr>
          <w:rFonts w:asciiTheme="minorEastAsia" w:hAnsiTheme="minorEastAsia" w:eastAsiaTheme="minorEastAsia"/>
        </w:rPr>
      </w:pPr>
      <w:r>
        <w:rPr>
          <w:rFonts w:hint="eastAsia" w:asciiTheme="minorEastAsia" w:hAnsiTheme="minorEastAsia" w:eastAsiaTheme="minorEastAsia"/>
        </w:rPr>
        <w:t>12.3.1.1总价措施项目的计量</w:t>
      </w:r>
    </w:p>
    <w:p>
      <w:pPr>
        <w:rPr>
          <w:rFonts w:asciiTheme="minorEastAsia" w:hAnsiTheme="minorEastAsia" w:eastAsiaTheme="minorEastAsia"/>
        </w:rPr>
      </w:pPr>
      <w:r>
        <w:rPr>
          <w:rFonts w:hint="eastAsia" w:asciiTheme="minorEastAsia" w:hAnsiTheme="minorEastAsia" w:eastAsiaTheme="minorEastAsia"/>
        </w:rPr>
        <w:t>总价措施项目清单中的项目（除环境保护、安全施工、文明施工、临时设施等以费率计价的项目以外），包干计取，结算不作调整；进度支付时按发包人确认后的工程形象进度比例按月计量。</w:t>
      </w:r>
    </w:p>
    <w:p>
      <w:pPr>
        <w:rPr>
          <w:rFonts w:asciiTheme="minorEastAsia" w:hAnsiTheme="minorEastAsia" w:eastAsiaTheme="minorEastAsia"/>
        </w:rPr>
      </w:pPr>
      <w:r>
        <w:rPr>
          <w:rFonts w:hint="eastAsia" w:asciiTheme="minorEastAsia" w:hAnsiTheme="minorEastAsia" w:eastAsiaTheme="minorEastAsia"/>
        </w:rPr>
        <w:t>安全文明施工费的计量、支付与结算按川建发〔2017〕5号执行。</w:t>
      </w:r>
    </w:p>
    <w:p>
      <w:pPr>
        <w:rPr>
          <w:rFonts w:asciiTheme="minorEastAsia" w:hAnsiTheme="minorEastAsia" w:eastAsiaTheme="minorEastAsia"/>
        </w:rPr>
      </w:pPr>
      <w:r>
        <w:rPr>
          <w:rFonts w:hint="eastAsia" w:asciiTheme="minorEastAsia" w:hAnsiTheme="minorEastAsia" w:eastAsiaTheme="minorEastAsia"/>
        </w:rPr>
        <w:t>12.3.1.2规费的计量</w:t>
      </w:r>
    </w:p>
    <w:p>
      <w:pPr>
        <w:rPr>
          <w:rFonts w:asciiTheme="minorEastAsia" w:hAnsiTheme="minorEastAsia" w:eastAsiaTheme="minorEastAsia"/>
        </w:rPr>
      </w:pPr>
      <w:r>
        <w:rPr>
          <w:rFonts w:hint="eastAsia" w:asciiTheme="minorEastAsia" w:hAnsiTheme="minorEastAsia" w:eastAsiaTheme="minorEastAsia"/>
        </w:rPr>
        <w:t>按建设行政主管部门核定的承包人规费费率计量和结算。</w:t>
      </w:r>
    </w:p>
    <w:p>
      <w:pPr>
        <w:rPr>
          <w:rFonts w:asciiTheme="minorEastAsia" w:hAnsiTheme="minorEastAsia" w:eastAsiaTheme="minorEastAsia"/>
        </w:rPr>
      </w:pPr>
      <w:r>
        <w:rPr>
          <w:rFonts w:hint="eastAsia" w:asciiTheme="minorEastAsia" w:hAnsiTheme="minorEastAsia" w:eastAsiaTheme="minorEastAsia"/>
        </w:rPr>
        <w:t>12.3.1.3税金</w:t>
      </w:r>
    </w:p>
    <w:p>
      <w:pPr>
        <w:rPr>
          <w:rFonts w:asciiTheme="minorEastAsia" w:hAnsiTheme="minorEastAsia" w:eastAsiaTheme="minorEastAsia"/>
        </w:rPr>
      </w:pPr>
      <w:r>
        <w:rPr>
          <w:rFonts w:hint="eastAsia" w:asciiTheme="minorEastAsia" w:hAnsiTheme="minorEastAsia" w:eastAsiaTheme="minorEastAsia"/>
        </w:rPr>
        <w:t>税金按国家或省级、行业建设主管部门的规定计取。</w:t>
      </w:r>
    </w:p>
    <w:p>
      <w:pPr>
        <w:rPr>
          <w:rFonts w:asciiTheme="minorEastAsia" w:hAnsiTheme="minorEastAsia" w:eastAsiaTheme="minorEastAsia"/>
        </w:rPr>
      </w:pPr>
      <w:r>
        <w:rPr>
          <w:rFonts w:asciiTheme="minorEastAsia" w:hAnsiTheme="minorEastAsia" w:eastAsiaTheme="minorEastAsia"/>
        </w:rPr>
        <w:t>12.3.2 计量周期</w:t>
      </w:r>
    </w:p>
    <w:p>
      <w:pPr>
        <w:rPr>
          <w:rFonts w:asciiTheme="minorEastAsia" w:hAnsiTheme="minorEastAsia" w:eastAsiaTheme="minorEastAsia"/>
        </w:rPr>
      </w:pPr>
      <w:r>
        <w:rPr>
          <w:rFonts w:asciiTheme="minorEastAsia" w:hAnsiTheme="minorEastAsia" w:eastAsiaTheme="minorEastAsia"/>
        </w:rPr>
        <w:t>关于计量周期的约定：</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12.3.3 单价合同的计量</w:t>
      </w:r>
    </w:p>
    <w:p>
      <w:pPr>
        <w:rPr>
          <w:rFonts w:asciiTheme="minorEastAsia" w:hAnsiTheme="minorEastAsia" w:eastAsiaTheme="minorEastAsia"/>
        </w:rPr>
      </w:pPr>
      <w:r>
        <w:rPr>
          <w:rFonts w:asciiTheme="minorEastAsia" w:hAnsiTheme="minorEastAsia" w:eastAsiaTheme="minorEastAsia"/>
        </w:rPr>
        <w:t>关于单价合同计量的约定：</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12.3.4 总价合同的计量</w:t>
      </w:r>
    </w:p>
    <w:p>
      <w:pPr>
        <w:rPr>
          <w:rFonts w:asciiTheme="minorEastAsia" w:hAnsiTheme="minorEastAsia" w:eastAsiaTheme="minorEastAsia"/>
        </w:rPr>
      </w:pPr>
      <w:r>
        <w:rPr>
          <w:rFonts w:asciiTheme="minorEastAsia" w:hAnsiTheme="minorEastAsia" w:eastAsiaTheme="minorEastAsia"/>
        </w:rPr>
        <w:t>关于总价合同计量的约定：</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12.3.5总价合同采用支付分解表计量支付的，是否适用第12.3.4 项</w:t>
      </w:r>
      <w:r>
        <w:rPr>
          <w:rFonts w:hint="eastAsia" w:asciiTheme="minorEastAsia" w:hAnsiTheme="minorEastAsia" w:eastAsiaTheme="minorEastAsia"/>
        </w:rPr>
        <w:t>〔</w:t>
      </w:r>
      <w:r>
        <w:rPr>
          <w:rFonts w:asciiTheme="minorEastAsia" w:hAnsiTheme="minorEastAsia" w:eastAsiaTheme="minorEastAsia"/>
        </w:rPr>
        <w:t>总价合同的计量</w:t>
      </w:r>
      <w:r>
        <w:rPr>
          <w:rFonts w:hint="eastAsia" w:asciiTheme="minorEastAsia" w:hAnsiTheme="minorEastAsia" w:eastAsiaTheme="minorEastAsia"/>
        </w:rPr>
        <w:t>〕</w:t>
      </w:r>
      <w:r>
        <w:rPr>
          <w:rFonts w:asciiTheme="minorEastAsia" w:hAnsiTheme="minorEastAsia" w:eastAsiaTheme="minorEastAsia"/>
        </w:rPr>
        <w:t>约定</w:t>
      </w:r>
      <w:r>
        <w:rPr>
          <w:rFonts w:hint="eastAsia" w:asciiTheme="minorEastAsia" w:hAnsiTheme="minorEastAsia" w:eastAsiaTheme="minorEastAsia"/>
        </w:rPr>
        <w:t>进行计量：</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12.3.6 其他价格形式合同的计量</w:t>
      </w:r>
    </w:p>
    <w:p>
      <w:pPr>
        <w:rPr>
          <w:rFonts w:asciiTheme="minorEastAsia" w:hAnsiTheme="minorEastAsia" w:eastAsiaTheme="minorEastAsia"/>
          <w:u w:val="single"/>
        </w:rPr>
      </w:pPr>
      <w:r>
        <w:rPr>
          <w:rFonts w:asciiTheme="minorEastAsia" w:hAnsiTheme="minorEastAsia" w:eastAsiaTheme="minorEastAsia"/>
        </w:rPr>
        <w:t>其他价格形式的计量方式和程序：</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12.4 工程进度款支付</w:t>
      </w:r>
    </w:p>
    <w:p>
      <w:pPr>
        <w:rPr>
          <w:rFonts w:asciiTheme="minorEastAsia" w:hAnsiTheme="minorEastAsia" w:eastAsiaTheme="minorEastAsia"/>
        </w:rPr>
      </w:pPr>
      <w:bookmarkStart w:id="1020" w:name="_Toc297123556"/>
      <w:bookmarkStart w:id="1021" w:name="_Toc297048397"/>
      <w:bookmarkStart w:id="1022" w:name="_Toc296891251"/>
      <w:bookmarkStart w:id="1023" w:name="_Toc296503211"/>
      <w:bookmarkStart w:id="1024" w:name="_Toc297216215"/>
      <w:bookmarkStart w:id="1025" w:name="_Toc296346712"/>
      <w:bookmarkStart w:id="1026" w:name="_Toc296891039"/>
      <w:bookmarkStart w:id="1027" w:name="_Toc292559921"/>
      <w:bookmarkStart w:id="1028" w:name="_Toc297120511"/>
      <w:bookmarkStart w:id="1029" w:name="_Toc300935006"/>
      <w:bookmarkStart w:id="1030" w:name="_Toc303539163"/>
      <w:bookmarkStart w:id="1031" w:name="_Toc296347210"/>
      <w:bookmarkStart w:id="1032" w:name="_Toc296944550"/>
      <w:bookmarkStart w:id="1033" w:name="_Toc292559416"/>
      <w:r>
        <w:rPr>
          <w:rFonts w:asciiTheme="minorEastAsia" w:hAnsiTheme="minorEastAsia" w:eastAsiaTheme="minorEastAsia"/>
        </w:rPr>
        <w:t>12.4.1 付款周期</w:t>
      </w:r>
    </w:p>
    <w:p>
      <w:pPr>
        <w:rPr>
          <w:rFonts w:asciiTheme="minorEastAsia" w:hAnsiTheme="minorEastAsia" w:eastAsiaTheme="minorEastAsia"/>
        </w:rPr>
      </w:pPr>
      <w:r>
        <w:rPr>
          <w:rFonts w:hint="eastAsia" w:asciiTheme="minorEastAsia" w:hAnsiTheme="minorEastAsia" w:eastAsiaTheme="minorEastAsia"/>
        </w:rPr>
        <w:t>1、合同生效后付到暂定合同金额的30%；</w:t>
      </w:r>
    </w:p>
    <w:p>
      <w:pPr>
        <w:rPr>
          <w:rFonts w:asciiTheme="minorEastAsia" w:hAnsiTheme="minorEastAsia" w:eastAsiaTheme="minorEastAsia"/>
        </w:rPr>
      </w:pPr>
      <w:r>
        <w:rPr>
          <w:rFonts w:hint="eastAsia" w:asciiTheme="minorEastAsia" w:hAnsiTheme="minorEastAsia" w:eastAsiaTheme="minorEastAsia"/>
        </w:rPr>
        <w:t>2、工程竣工验收合格后付到暂定合同金额的90%；</w:t>
      </w:r>
    </w:p>
    <w:p>
      <w:pPr>
        <w:rPr>
          <w:rFonts w:asciiTheme="minorEastAsia" w:hAnsiTheme="minorEastAsia" w:eastAsiaTheme="minorEastAsia"/>
        </w:rPr>
      </w:pPr>
      <w:r>
        <w:rPr>
          <w:rFonts w:hint="eastAsia" w:asciiTheme="minorEastAsia" w:hAnsiTheme="minorEastAsia" w:eastAsiaTheme="minorEastAsia"/>
        </w:rPr>
        <w:t>3、质检</w:t>
      </w:r>
      <w:r>
        <w:rPr>
          <w:rFonts w:hint="eastAsia" w:asciiTheme="minorEastAsia" w:hAnsiTheme="minorEastAsia" w:eastAsiaTheme="minorEastAsia"/>
          <w:lang w:eastAsia="zh-CN"/>
        </w:rPr>
        <w:t>验收</w:t>
      </w:r>
      <w:r>
        <w:rPr>
          <w:rFonts w:hint="eastAsia" w:asciiTheme="minorEastAsia" w:hAnsiTheme="minorEastAsia" w:eastAsiaTheme="minorEastAsia"/>
        </w:rPr>
        <w:t>完成后付到</w:t>
      </w:r>
      <w:r>
        <w:rPr>
          <w:rFonts w:hint="eastAsia" w:asciiTheme="minorEastAsia" w:hAnsiTheme="minorEastAsia" w:eastAsiaTheme="minorEastAsia"/>
          <w:lang w:eastAsia="zh-CN"/>
        </w:rPr>
        <w:t>验收</w:t>
      </w:r>
      <w:r>
        <w:rPr>
          <w:rFonts w:hint="eastAsia" w:asciiTheme="minorEastAsia" w:hAnsiTheme="minorEastAsia" w:eastAsiaTheme="minorEastAsia"/>
        </w:rPr>
        <w:t>结算价的97%；</w:t>
      </w:r>
    </w:p>
    <w:p>
      <w:pPr>
        <w:rPr>
          <w:rFonts w:asciiTheme="minorEastAsia" w:hAnsiTheme="minorEastAsia" w:eastAsiaTheme="minorEastAsia"/>
        </w:rPr>
      </w:pPr>
      <w:r>
        <w:rPr>
          <w:rFonts w:hint="eastAsia" w:asciiTheme="minorEastAsia" w:hAnsiTheme="minorEastAsia" w:eastAsiaTheme="minorEastAsia"/>
        </w:rPr>
        <w:t>4、剩余款项（</w:t>
      </w:r>
      <w:r>
        <w:rPr>
          <w:rFonts w:hint="eastAsia" w:asciiTheme="minorEastAsia" w:hAnsiTheme="minorEastAsia" w:eastAsiaTheme="minorEastAsia"/>
          <w:lang w:eastAsia="zh-CN"/>
        </w:rPr>
        <w:t>验收</w:t>
      </w:r>
      <w:r>
        <w:rPr>
          <w:rFonts w:hint="eastAsia" w:asciiTheme="minorEastAsia" w:hAnsiTheme="minorEastAsia" w:eastAsiaTheme="minorEastAsia"/>
        </w:rPr>
        <w:t>结算价的3%）作为质保金，从工程竣工</w:t>
      </w:r>
      <w:r>
        <w:rPr>
          <w:rFonts w:hint="eastAsia" w:asciiTheme="minorEastAsia" w:hAnsiTheme="minorEastAsia" w:eastAsiaTheme="minorEastAsia"/>
          <w:lang w:eastAsia="zh-CN"/>
        </w:rPr>
        <w:t>验收</w:t>
      </w:r>
      <w:r>
        <w:rPr>
          <w:rFonts w:hint="eastAsia" w:asciiTheme="minorEastAsia" w:hAnsiTheme="minorEastAsia" w:eastAsiaTheme="minorEastAsia"/>
        </w:rPr>
        <w:t>结束之日起开始计算，缺陷责任期满后支付（无息）。</w:t>
      </w:r>
    </w:p>
    <w:p>
      <w:pPr>
        <w:rPr>
          <w:rFonts w:asciiTheme="minorEastAsia" w:hAnsiTheme="minorEastAsia" w:eastAsiaTheme="minorEastAsia"/>
        </w:rPr>
      </w:pPr>
      <w:r>
        <w:rPr>
          <w:rFonts w:hint="eastAsia" w:asciiTheme="minorEastAsia" w:hAnsiTheme="minorEastAsia" w:eastAsiaTheme="minorEastAsia"/>
        </w:rPr>
        <w:t>5、发包人每次付款前，承包人应事先提供等额正规发票和相关请款资料，否则发包人有权不予付款且不承担违约责任。</w:t>
      </w:r>
    </w:p>
    <w:p>
      <w:pPr>
        <w:rPr>
          <w:rFonts w:asciiTheme="minorEastAsia" w:hAnsiTheme="minorEastAsia" w:eastAsiaTheme="minorEastAsia"/>
          <w:u w:val="single"/>
        </w:rPr>
      </w:pPr>
      <w:r>
        <w:rPr>
          <w:rFonts w:hint="eastAsia" w:asciiTheme="minorEastAsia" w:hAnsiTheme="minorEastAsia" w:eastAsiaTheme="minorEastAsia"/>
        </w:rPr>
        <w:t>发</w:t>
      </w:r>
      <w:r>
        <w:rPr>
          <w:rFonts w:asciiTheme="minorEastAsia" w:hAnsiTheme="minorEastAsia" w:eastAsiaTheme="minorEastAsia"/>
        </w:rPr>
        <w:t>包人</w:t>
      </w:r>
      <w:r>
        <w:rPr>
          <w:rFonts w:hint="eastAsia" w:asciiTheme="minorEastAsia" w:hAnsiTheme="minorEastAsia" w:eastAsiaTheme="minorEastAsia"/>
        </w:rPr>
        <w:t>的建设资金只能拨付给承包人在项目实施地银行开设、留有响应文件承诺的项目经理印鉴的企业法人账户。发包人支付工程款之前，承包人必须按照国家法律规定向发包人提供增值税发票。如果承包人不能按时提供合法入账票据，发包人有权拒绝对承包人进行任何形式的支付，且所引起的一切税费及损失由承包人自行承担并从发包人应支付的款项中扣减。</w:t>
      </w:r>
    </w:p>
    <w:p>
      <w:pPr>
        <w:rPr>
          <w:rFonts w:asciiTheme="minorEastAsia" w:hAnsiTheme="minorEastAsia" w:eastAsiaTheme="minorEastAsia"/>
        </w:rPr>
      </w:pPr>
      <w:r>
        <w:rPr>
          <w:rFonts w:asciiTheme="minorEastAsia" w:hAnsiTheme="minorEastAsia" w:eastAsiaTheme="minorEastAsia"/>
        </w:rPr>
        <w:t>12.4.2 进度付款申请单的编制</w:t>
      </w:r>
    </w:p>
    <w:p>
      <w:pPr>
        <w:rPr>
          <w:rFonts w:asciiTheme="minorEastAsia" w:hAnsiTheme="minorEastAsia" w:eastAsiaTheme="minorEastAsia"/>
          <w:u w:val="single"/>
        </w:rPr>
      </w:pPr>
      <w:r>
        <w:rPr>
          <w:rFonts w:asciiTheme="minorEastAsia" w:hAnsiTheme="minorEastAsia" w:eastAsiaTheme="minorEastAsia"/>
        </w:rPr>
        <w:t>关于进度付款申请单编制的约定：</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w:t>
      </w:r>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r>
        <w:rPr>
          <w:rFonts w:asciiTheme="minorEastAsia" w:hAnsiTheme="minorEastAsia" w:eastAsiaTheme="minorEastAsia"/>
        </w:rPr>
        <w:t>2.4.3 进度付款申请单的提交</w:t>
      </w:r>
    </w:p>
    <w:p>
      <w:pPr>
        <w:rPr>
          <w:rFonts w:asciiTheme="minorEastAsia" w:hAnsiTheme="minorEastAsia" w:eastAsiaTheme="minorEastAsia"/>
        </w:rPr>
      </w:pPr>
      <w:r>
        <w:rPr>
          <w:rFonts w:asciiTheme="minorEastAsia" w:hAnsiTheme="minorEastAsia" w:eastAsiaTheme="minorEastAsia"/>
        </w:rPr>
        <w:t>（1）单价合同进度付款申请单提交的约定</w:t>
      </w:r>
      <w:r>
        <w:rPr>
          <w:rFonts w:hint="eastAsia" w:asciiTheme="minorEastAsia" w:hAnsiTheme="minorEastAsia" w:eastAsiaTheme="minorEastAsia"/>
        </w:rPr>
        <w:t>：</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（2）总价合同进度付款申请单提交的约定</w:t>
      </w:r>
      <w:r>
        <w:rPr>
          <w:rFonts w:hint="eastAsia" w:asciiTheme="minorEastAsia" w:hAnsiTheme="minorEastAsia" w:eastAsiaTheme="minorEastAsia"/>
        </w:rPr>
        <w:t>：</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u w:val="single"/>
        </w:rPr>
      </w:pPr>
      <w:r>
        <w:rPr>
          <w:rFonts w:asciiTheme="minorEastAsia" w:hAnsiTheme="minorEastAsia" w:eastAsiaTheme="minorEastAsia"/>
        </w:rPr>
        <w:t>（3）其他价格形式合同进度付款申请单提交的约定：</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12.4.4 进度款审核和支付</w:t>
      </w:r>
    </w:p>
    <w:p>
      <w:pPr>
        <w:rPr>
          <w:rFonts w:asciiTheme="minorEastAsia" w:hAnsiTheme="minorEastAsia" w:eastAsiaTheme="minorEastAsia"/>
          <w:u w:val="single"/>
        </w:rPr>
      </w:pPr>
      <w:r>
        <w:rPr>
          <w:rFonts w:asciiTheme="minorEastAsia" w:hAnsiTheme="minorEastAsia" w:eastAsiaTheme="minorEastAsia"/>
        </w:rPr>
        <w:t>（1）监理人审查并报送发包人的期限：</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u w:val="single"/>
        </w:rPr>
      </w:pPr>
      <w:r>
        <w:rPr>
          <w:rFonts w:asciiTheme="minorEastAsia" w:hAnsiTheme="minorEastAsia" w:eastAsiaTheme="minorEastAsia"/>
        </w:rPr>
        <w:t>发包人完成审批并签发进度款支付证书的期限：</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（2）发包人支付进度款的期限：</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u w:val="single"/>
        </w:rPr>
      </w:pPr>
      <w:r>
        <w:rPr>
          <w:rFonts w:asciiTheme="minorEastAsia" w:hAnsiTheme="minorEastAsia" w:eastAsiaTheme="minorEastAsia"/>
        </w:rPr>
        <w:t>发包人逾期支付进度款的违约金的计算方式：</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12.4.6 支付分解表的编制</w:t>
      </w:r>
    </w:p>
    <w:p>
      <w:pPr>
        <w:rPr>
          <w:rFonts w:asciiTheme="minorEastAsia" w:hAnsiTheme="minorEastAsia" w:eastAsiaTheme="minorEastAsia"/>
          <w:u w:val="single"/>
        </w:rPr>
      </w:pPr>
      <w:r>
        <w:rPr>
          <w:rFonts w:asciiTheme="minorEastAsia" w:hAnsiTheme="minorEastAsia" w:eastAsiaTheme="minorEastAsia"/>
        </w:rPr>
        <w:t>2、总价合同支付分解表的编制与审批：</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u w:val="single"/>
        </w:rPr>
      </w:pPr>
      <w:r>
        <w:rPr>
          <w:rFonts w:asciiTheme="minorEastAsia" w:hAnsiTheme="minorEastAsia" w:eastAsiaTheme="minorEastAsia"/>
        </w:rPr>
        <w:t>3、单价合同的总价项目支付分解表的编制与审批：</w:t>
      </w:r>
      <w:r>
        <w:rPr>
          <w:rFonts w:asciiTheme="minorEastAsia" w:hAnsiTheme="minorEastAsia" w:eastAsiaTheme="minorEastAsia"/>
          <w:u w:val="single"/>
        </w:rPr>
        <w:t xml:space="preserve">         </w:t>
      </w:r>
      <w:r>
        <w:rPr>
          <w:rFonts w:asciiTheme="minorEastAsia" w:hAnsiTheme="minorEastAsia" w:eastAsiaTheme="minorEastAsia"/>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bookmarkEnd w:id="866"/>
    <w:p>
      <w:pPr>
        <w:rPr>
          <w:rFonts w:asciiTheme="minorEastAsia" w:hAnsiTheme="minorEastAsia" w:eastAsiaTheme="minorEastAsia"/>
          <w:bCs/>
        </w:rPr>
      </w:pPr>
      <w:bookmarkStart w:id="1034" w:name="_Toc351203645"/>
      <w:bookmarkStart w:id="1035" w:name="_Toc297120519"/>
      <w:bookmarkStart w:id="1036" w:name="_Toc296347218"/>
      <w:bookmarkStart w:id="1037" w:name="_Toc312678053"/>
      <w:bookmarkStart w:id="1038" w:name="_Toc303539172"/>
      <w:bookmarkStart w:id="1039" w:name="_Toc296944558"/>
      <w:bookmarkStart w:id="1040" w:name="_Toc292559929"/>
      <w:bookmarkStart w:id="1041" w:name="_Toc292559424"/>
      <w:bookmarkStart w:id="1042" w:name="_Toc297216223"/>
      <w:bookmarkStart w:id="1043" w:name="_Toc297123564"/>
      <w:bookmarkStart w:id="1044" w:name="_Toc296503219"/>
      <w:bookmarkStart w:id="1045" w:name="_Toc300935015"/>
      <w:bookmarkStart w:id="1046" w:name="_Toc304295593"/>
      <w:bookmarkStart w:id="1047" w:name="_Toc296346720"/>
      <w:bookmarkStart w:id="1048" w:name="_Toc296891047"/>
      <w:bookmarkStart w:id="1049" w:name="_Toc296891259"/>
      <w:bookmarkStart w:id="1050" w:name="_Toc297048405"/>
      <w:r>
        <w:rPr>
          <w:rFonts w:asciiTheme="minorEastAsia" w:hAnsiTheme="minorEastAsia" w:eastAsiaTheme="minorEastAsia"/>
          <w:bCs/>
        </w:rPr>
        <w:t>13.</w:t>
      </w:r>
      <w:r>
        <w:rPr>
          <w:rFonts w:hint="eastAsia" w:asciiTheme="minorEastAsia" w:hAnsiTheme="minorEastAsia" w:eastAsiaTheme="minorEastAsia"/>
          <w:bCs/>
        </w:rPr>
        <w:t xml:space="preserve"> </w:t>
      </w:r>
      <w:r>
        <w:rPr>
          <w:rFonts w:asciiTheme="minorEastAsia" w:hAnsiTheme="minorEastAsia" w:eastAsiaTheme="minorEastAsia"/>
          <w:bCs/>
        </w:rPr>
        <w:t>验收和工程试车</w:t>
      </w:r>
      <w:bookmarkEnd w:id="1034"/>
    </w:p>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p>
      <w:pPr>
        <w:rPr>
          <w:rFonts w:asciiTheme="minorEastAsia" w:hAnsiTheme="minorEastAsia" w:eastAsiaTheme="minorEastAsia"/>
        </w:rPr>
      </w:pPr>
      <w:r>
        <w:rPr>
          <w:rFonts w:asciiTheme="minorEastAsia" w:hAnsiTheme="minorEastAsia" w:eastAsiaTheme="minorEastAsia"/>
        </w:rPr>
        <w:t>13.1 分部分项工程验收</w:t>
      </w:r>
    </w:p>
    <w:p>
      <w:pPr>
        <w:rPr>
          <w:rFonts w:asciiTheme="minorEastAsia" w:hAnsiTheme="minorEastAsia" w:eastAsiaTheme="minorEastAsia"/>
        </w:rPr>
      </w:pPr>
      <w:r>
        <w:rPr>
          <w:rFonts w:asciiTheme="minorEastAsia" w:hAnsiTheme="minorEastAsia" w:eastAsiaTheme="minorEastAsia"/>
        </w:rPr>
        <w:t>13.1.2监理人不能按时进行验收时，应提前</w:t>
      </w:r>
      <w:r>
        <w:rPr>
          <w:rFonts w:asciiTheme="minorEastAsia" w:hAnsiTheme="minorEastAsia" w:eastAsiaTheme="minorEastAsia"/>
          <w:u w:val="single"/>
        </w:rPr>
        <w:t xml:space="preserve">       </w:t>
      </w:r>
      <w:r>
        <w:rPr>
          <w:rFonts w:asciiTheme="minorEastAsia" w:hAnsiTheme="minorEastAsia" w:eastAsiaTheme="minorEastAsia"/>
        </w:rPr>
        <w:t>小时提交书面延期要求。</w:t>
      </w:r>
    </w:p>
    <w:p>
      <w:pPr>
        <w:rPr>
          <w:rFonts w:asciiTheme="minorEastAsia" w:hAnsiTheme="minorEastAsia" w:eastAsiaTheme="minorEastAsia"/>
          <w:b/>
        </w:rPr>
      </w:pPr>
      <w:r>
        <w:rPr>
          <w:rFonts w:asciiTheme="minorEastAsia" w:hAnsiTheme="minorEastAsia" w:eastAsiaTheme="minorEastAsia"/>
        </w:rPr>
        <w:t>关于延期最长不得超过：</w:t>
      </w:r>
      <w:r>
        <w:rPr>
          <w:rFonts w:asciiTheme="minorEastAsia" w:hAnsiTheme="minorEastAsia" w:eastAsiaTheme="minorEastAsia"/>
          <w:u w:val="single"/>
        </w:rPr>
        <w:t xml:space="preserve">         </w:t>
      </w:r>
      <w:r>
        <w:rPr>
          <w:rFonts w:asciiTheme="minorEastAsia" w:hAnsiTheme="minorEastAsia" w:eastAsiaTheme="minorEastAsia"/>
        </w:rPr>
        <w:t>小时。</w:t>
      </w:r>
    </w:p>
    <w:p>
      <w:pPr>
        <w:rPr>
          <w:rFonts w:asciiTheme="minorEastAsia" w:hAnsiTheme="minorEastAsia" w:eastAsiaTheme="minorEastAsia"/>
        </w:rPr>
      </w:pPr>
      <w:bookmarkStart w:id="1051" w:name="_Toc312678056"/>
      <w:bookmarkStart w:id="1052" w:name="_Toc296944562"/>
      <w:bookmarkStart w:id="1053" w:name="_Toc297048409"/>
      <w:bookmarkStart w:id="1054" w:name="_Toc297120523"/>
      <w:bookmarkStart w:id="1055" w:name="_Toc297216224"/>
      <w:bookmarkStart w:id="1056" w:name="_Toc304295596"/>
      <w:bookmarkStart w:id="1057" w:name="_Toc292559933"/>
      <w:bookmarkStart w:id="1058" w:name="_Toc296347222"/>
      <w:bookmarkStart w:id="1059" w:name="_Toc292559428"/>
      <w:bookmarkStart w:id="1060" w:name="_Toc296346724"/>
      <w:bookmarkStart w:id="1061" w:name="_Toc297123565"/>
      <w:bookmarkStart w:id="1062" w:name="_Toc303539173"/>
      <w:bookmarkStart w:id="1063" w:name="_Toc300935016"/>
      <w:bookmarkStart w:id="1064" w:name="_Toc296891263"/>
      <w:bookmarkStart w:id="1065" w:name="_Toc296891051"/>
      <w:bookmarkStart w:id="1066" w:name="_Toc296503223"/>
      <w:bookmarkStart w:id="1067" w:name="_Toc267251473"/>
      <w:bookmarkStart w:id="1068" w:name="_Toc267251471"/>
      <w:bookmarkStart w:id="1069" w:name="_Toc267251470"/>
      <w:bookmarkStart w:id="1070" w:name="_Toc267251472"/>
      <w:bookmarkStart w:id="1071" w:name="_Toc267251474"/>
      <w:bookmarkStart w:id="1072" w:name="_Toc267251475"/>
      <w:bookmarkStart w:id="1073" w:name="_Toc267251476"/>
      <w:r>
        <w:rPr>
          <w:rFonts w:asciiTheme="minorEastAsia" w:hAnsiTheme="minorEastAsia" w:eastAsiaTheme="minorEastAsia"/>
        </w:rPr>
        <w:t>13.2 竣工验收</w:t>
      </w:r>
    </w:p>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p>
      <w:pPr>
        <w:rPr>
          <w:rFonts w:asciiTheme="minorEastAsia" w:hAnsiTheme="minorEastAsia" w:eastAsiaTheme="minorEastAsia"/>
        </w:rPr>
      </w:pPr>
      <w:bookmarkStart w:id="1074" w:name="_Toc280868704"/>
      <w:bookmarkStart w:id="1075" w:name="_Toc280868705"/>
      <w:bookmarkStart w:id="1076" w:name="_Toc280868706"/>
      <w:bookmarkStart w:id="1077" w:name="_Toc280868707"/>
      <w:bookmarkStart w:id="1078" w:name="_Toc280868708"/>
      <w:bookmarkStart w:id="1079" w:name="_Toc280868709"/>
      <w:r>
        <w:rPr>
          <w:rFonts w:asciiTheme="minorEastAsia" w:hAnsiTheme="minorEastAsia" w:eastAsiaTheme="minorEastAsia"/>
        </w:rPr>
        <w:t>13.2.2竣工验收程序</w:t>
      </w:r>
    </w:p>
    <w:bookmarkEnd w:id="1074"/>
    <w:p>
      <w:pPr>
        <w:rPr>
          <w:rFonts w:asciiTheme="minorEastAsia" w:hAnsiTheme="minorEastAsia" w:eastAsiaTheme="minorEastAsia"/>
          <w:u w:val="single"/>
        </w:rPr>
      </w:pPr>
      <w:r>
        <w:rPr>
          <w:rFonts w:asciiTheme="minorEastAsia" w:hAnsiTheme="minorEastAsia" w:eastAsiaTheme="minorEastAsia"/>
        </w:rPr>
        <w:t>关于竣工验收程序的约定：</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u w:val="single"/>
        </w:rPr>
      </w:pPr>
      <w:r>
        <w:rPr>
          <w:rFonts w:asciiTheme="minorEastAsia" w:hAnsiTheme="minorEastAsia" w:eastAsiaTheme="minorEastAsia"/>
        </w:rPr>
        <w:t>发包人不按照本项约定组织竣工验收、颁发工程接收证书的违约金的计算方法：</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bookmarkEnd w:id="1075"/>
    <w:p>
      <w:pPr>
        <w:rPr>
          <w:rFonts w:asciiTheme="minorEastAsia" w:hAnsiTheme="minorEastAsia" w:eastAsiaTheme="minorEastAsia"/>
        </w:rPr>
      </w:pPr>
      <w:r>
        <w:rPr>
          <w:rFonts w:asciiTheme="minorEastAsia" w:hAnsiTheme="minorEastAsia" w:eastAsiaTheme="minorEastAsia"/>
        </w:rPr>
        <w:t>13.2.5移交、接收全部与部分工程</w:t>
      </w:r>
    </w:p>
    <w:bookmarkEnd w:id="1076"/>
    <w:p>
      <w:pPr>
        <w:rPr>
          <w:rFonts w:asciiTheme="minorEastAsia" w:hAnsiTheme="minorEastAsia" w:eastAsiaTheme="minorEastAsia"/>
        </w:rPr>
      </w:pPr>
      <w:r>
        <w:rPr>
          <w:rFonts w:hint="eastAsia" w:asciiTheme="minorEastAsia" w:hAnsiTheme="minorEastAsia" w:eastAsiaTheme="minorEastAsia"/>
        </w:rPr>
        <w:t>承包人向发包人移交工程的期限：</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hint="eastAsia" w:asciiTheme="minorEastAsia" w:hAnsiTheme="minorEastAsia" w:eastAsiaTheme="minorEastAsia"/>
        </w:rPr>
        <w:t>。</w:t>
      </w:r>
    </w:p>
    <w:p>
      <w:pPr>
        <w:rPr>
          <w:rFonts w:asciiTheme="minorEastAsia" w:hAnsiTheme="minorEastAsia" w:eastAsiaTheme="minorEastAsia"/>
          <w:u w:val="single"/>
        </w:rPr>
      </w:pPr>
      <w:r>
        <w:rPr>
          <w:rFonts w:asciiTheme="minorEastAsia" w:hAnsiTheme="minorEastAsia" w:eastAsiaTheme="minorEastAsia"/>
        </w:rPr>
        <w:t>发包人未按本合同约定接收全部或部分工程的，违约金的计算方法为：</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bookmarkEnd w:id="1077"/>
    <w:p>
      <w:pPr>
        <w:rPr>
          <w:rFonts w:asciiTheme="minorEastAsia" w:hAnsiTheme="minorEastAsia" w:eastAsiaTheme="minorEastAsia"/>
          <w:u w:val="single"/>
        </w:rPr>
      </w:pPr>
      <w:r>
        <w:rPr>
          <w:rFonts w:asciiTheme="minorEastAsia" w:hAnsiTheme="minorEastAsia" w:eastAsiaTheme="minorEastAsia"/>
        </w:rPr>
        <w:t>承包人未按时移交工程的，违约金的计算方法为：</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13.3 工程试车</w:t>
      </w:r>
    </w:p>
    <w:bookmarkEnd w:id="1078"/>
    <w:p>
      <w:pPr>
        <w:rPr>
          <w:rFonts w:asciiTheme="minorEastAsia" w:hAnsiTheme="minorEastAsia" w:eastAsiaTheme="minorEastAsia"/>
        </w:rPr>
      </w:pPr>
      <w:r>
        <w:rPr>
          <w:rFonts w:asciiTheme="minorEastAsia" w:hAnsiTheme="minorEastAsia" w:eastAsiaTheme="minorEastAsia"/>
        </w:rPr>
        <w:t>13.3.1 试车程序</w:t>
      </w:r>
    </w:p>
    <w:p>
      <w:pPr>
        <w:rPr>
          <w:rFonts w:asciiTheme="minorEastAsia" w:hAnsiTheme="minorEastAsia" w:eastAsiaTheme="minorEastAsia"/>
          <w:u w:val="single"/>
        </w:rPr>
      </w:pPr>
      <w:r>
        <w:rPr>
          <w:rFonts w:asciiTheme="minorEastAsia" w:hAnsiTheme="minorEastAsia" w:eastAsiaTheme="minorEastAsia"/>
        </w:rPr>
        <w:t>工程试车内容：</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（1）单机无负荷试车费用由</w:t>
      </w:r>
      <w:r>
        <w:rPr>
          <w:rFonts w:asciiTheme="minorEastAsia" w:hAnsiTheme="minorEastAsia" w:eastAsiaTheme="minorEastAsia"/>
          <w:u w:val="single"/>
        </w:rPr>
        <w:t xml:space="preserve">                     </w:t>
      </w:r>
      <w:r>
        <w:rPr>
          <w:rFonts w:asciiTheme="minorEastAsia" w:hAnsiTheme="minorEastAsia" w:eastAsiaTheme="minorEastAsia"/>
        </w:rPr>
        <w:t>承担；</w:t>
      </w:r>
    </w:p>
    <w:p>
      <w:pPr>
        <w:rPr>
          <w:rFonts w:asciiTheme="minorEastAsia" w:hAnsiTheme="minorEastAsia" w:eastAsiaTheme="minorEastAsia"/>
        </w:rPr>
      </w:pPr>
      <w:r>
        <w:rPr>
          <w:rFonts w:asciiTheme="minorEastAsia" w:hAnsiTheme="minorEastAsia" w:eastAsiaTheme="minorEastAsia"/>
        </w:rPr>
        <w:t>（2）无负荷联动试车费用由</w:t>
      </w:r>
      <w:r>
        <w:rPr>
          <w:rFonts w:asciiTheme="minorEastAsia" w:hAnsiTheme="minorEastAsia" w:eastAsiaTheme="minorEastAsia"/>
          <w:u w:val="single"/>
        </w:rPr>
        <w:t xml:space="preserve">                     </w:t>
      </w:r>
      <w:r>
        <w:rPr>
          <w:rFonts w:asciiTheme="minorEastAsia" w:hAnsiTheme="minorEastAsia" w:eastAsiaTheme="minorEastAsia"/>
        </w:rPr>
        <w:t>承担。</w:t>
      </w:r>
    </w:p>
    <w:p>
      <w:pPr>
        <w:rPr>
          <w:rFonts w:asciiTheme="minorEastAsia" w:hAnsiTheme="minorEastAsia" w:eastAsiaTheme="minorEastAsia"/>
        </w:rPr>
      </w:pPr>
      <w:r>
        <w:rPr>
          <w:rFonts w:asciiTheme="minorEastAsia" w:hAnsiTheme="minorEastAsia" w:eastAsiaTheme="minorEastAsia"/>
        </w:rPr>
        <w:t>13.3.3 投料试车</w:t>
      </w:r>
    </w:p>
    <w:p>
      <w:pPr>
        <w:rPr>
          <w:rFonts w:asciiTheme="minorEastAsia" w:hAnsiTheme="minorEastAsia" w:eastAsiaTheme="minorEastAsia"/>
          <w:u w:val="single"/>
        </w:rPr>
      </w:pPr>
      <w:r>
        <w:rPr>
          <w:rFonts w:hint="eastAsia" w:asciiTheme="minorEastAsia" w:hAnsiTheme="minorEastAsia" w:eastAsiaTheme="minorEastAsia"/>
        </w:rPr>
        <w:t>关于投料试车相关事项的约定：</w:t>
      </w:r>
      <w:r>
        <w:rPr>
          <w:rFonts w:hint="eastAsia" w:asciiTheme="minorEastAsia" w:hAnsiTheme="minorEastAsia" w:eastAsiaTheme="minorEastAsia"/>
          <w:u w:val="single"/>
        </w:rPr>
        <w:t xml:space="preserve">                           </w:t>
      </w:r>
    </w:p>
    <w:p>
      <w:pPr>
        <w:rPr>
          <w:rFonts w:asciiTheme="minorEastAsia" w:hAnsiTheme="minorEastAsia" w:eastAsiaTheme="minorEastAsia"/>
        </w:rPr>
      </w:pP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13.6 竣工退场</w:t>
      </w:r>
    </w:p>
    <w:p>
      <w:pPr>
        <w:rPr>
          <w:rFonts w:asciiTheme="minorEastAsia" w:hAnsiTheme="minorEastAsia" w:eastAsiaTheme="minorEastAsia"/>
        </w:rPr>
      </w:pPr>
      <w:r>
        <w:rPr>
          <w:rFonts w:asciiTheme="minorEastAsia" w:hAnsiTheme="minorEastAsia" w:eastAsiaTheme="minorEastAsia"/>
        </w:rPr>
        <w:t>13.6.1 竣工退场</w:t>
      </w:r>
    </w:p>
    <w:p>
      <w:pPr>
        <w:rPr>
          <w:rFonts w:asciiTheme="minorEastAsia" w:hAnsiTheme="minorEastAsia" w:eastAsiaTheme="minorEastAsia"/>
        </w:rPr>
      </w:pPr>
      <w:r>
        <w:rPr>
          <w:rFonts w:asciiTheme="minorEastAsia" w:hAnsiTheme="minorEastAsia" w:eastAsiaTheme="minorEastAsia"/>
        </w:rPr>
        <w:t>承包人完成竣工退场的期限：</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bCs/>
        </w:rPr>
      </w:pPr>
      <w:bookmarkStart w:id="1080" w:name="_Toc351203646"/>
      <w:r>
        <w:rPr>
          <w:rFonts w:asciiTheme="minorEastAsia" w:hAnsiTheme="minorEastAsia" w:eastAsiaTheme="minorEastAsia"/>
          <w:bCs/>
        </w:rPr>
        <w:t>14. 竣工结算</w:t>
      </w:r>
      <w:bookmarkEnd w:id="1080"/>
    </w:p>
    <w:p>
      <w:pPr>
        <w:rPr>
          <w:rFonts w:asciiTheme="minorEastAsia" w:hAnsiTheme="minorEastAsia" w:eastAsiaTheme="minorEastAsia"/>
        </w:rPr>
      </w:pPr>
      <w:r>
        <w:rPr>
          <w:rFonts w:asciiTheme="minorEastAsia" w:hAnsiTheme="minorEastAsia" w:eastAsiaTheme="minorEastAsia"/>
        </w:rPr>
        <w:t>14.1 竣工</w:t>
      </w:r>
      <w:r>
        <w:rPr>
          <w:rFonts w:hint="eastAsia" w:asciiTheme="minorEastAsia" w:hAnsiTheme="minorEastAsia" w:eastAsiaTheme="minorEastAsia"/>
        </w:rPr>
        <w:t>结算</w:t>
      </w:r>
      <w:r>
        <w:rPr>
          <w:rFonts w:asciiTheme="minorEastAsia" w:hAnsiTheme="minorEastAsia" w:eastAsiaTheme="minorEastAsia"/>
        </w:rPr>
        <w:t>申请</w:t>
      </w:r>
    </w:p>
    <w:p>
      <w:pPr>
        <w:rPr>
          <w:rFonts w:asciiTheme="minorEastAsia" w:hAnsiTheme="minorEastAsia" w:eastAsiaTheme="minorEastAsia"/>
        </w:rPr>
      </w:pPr>
      <w:r>
        <w:rPr>
          <w:rFonts w:asciiTheme="minorEastAsia" w:hAnsiTheme="minorEastAsia" w:eastAsiaTheme="minorEastAsia"/>
        </w:rPr>
        <w:t>承包人提交竣工</w:t>
      </w:r>
      <w:r>
        <w:rPr>
          <w:rFonts w:hint="eastAsia" w:asciiTheme="minorEastAsia" w:hAnsiTheme="minorEastAsia" w:eastAsiaTheme="minorEastAsia"/>
        </w:rPr>
        <w:t>结算</w:t>
      </w:r>
      <w:r>
        <w:rPr>
          <w:rFonts w:asciiTheme="minorEastAsia" w:hAnsiTheme="minorEastAsia" w:eastAsiaTheme="minorEastAsia"/>
        </w:rPr>
        <w:t>申请单的期限：</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竣工</w:t>
      </w:r>
      <w:r>
        <w:rPr>
          <w:rFonts w:hint="eastAsia" w:asciiTheme="minorEastAsia" w:hAnsiTheme="minorEastAsia" w:eastAsiaTheme="minorEastAsia"/>
        </w:rPr>
        <w:t>结算</w:t>
      </w:r>
      <w:r>
        <w:rPr>
          <w:rFonts w:asciiTheme="minorEastAsia" w:hAnsiTheme="minorEastAsia" w:eastAsiaTheme="minorEastAsia"/>
        </w:rPr>
        <w:t>申请单应包括的内容：</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w:t>
      </w:r>
    </w:p>
    <w:p>
      <w:pPr>
        <w:rPr>
          <w:rFonts w:asciiTheme="minorEastAsia" w:hAnsiTheme="minorEastAsia" w:eastAsiaTheme="minorEastAsia"/>
        </w:rPr>
      </w:pPr>
      <w:r>
        <w:rPr>
          <w:rFonts w:asciiTheme="minorEastAsia" w:hAnsiTheme="minorEastAsia" w:eastAsiaTheme="minorEastAsia"/>
        </w:rPr>
        <w:t>14.2 竣工结算审核</w:t>
      </w:r>
    </w:p>
    <w:p>
      <w:pPr>
        <w:rPr>
          <w:rFonts w:asciiTheme="minorEastAsia" w:hAnsiTheme="minorEastAsia" w:eastAsiaTheme="minorEastAsia"/>
        </w:rPr>
      </w:pPr>
      <w:r>
        <w:rPr>
          <w:rFonts w:asciiTheme="minorEastAsia" w:hAnsiTheme="minorEastAsia" w:eastAsiaTheme="minorEastAsia"/>
        </w:rPr>
        <w:t>发包人</w:t>
      </w:r>
      <w:r>
        <w:rPr>
          <w:rFonts w:hint="eastAsia" w:asciiTheme="minorEastAsia" w:hAnsiTheme="minorEastAsia" w:eastAsiaTheme="minorEastAsia"/>
        </w:rPr>
        <w:t>审批</w:t>
      </w:r>
      <w:r>
        <w:rPr>
          <w:rFonts w:asciiTheme="minorEastAsia" w:hAnsiTheme="minorEastAsia" w:eastAsiaTheme="minorEastAsia"/>
        </w:rPr>
        <w:t>竣工付款申请单的期限：</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发包人完成竣工付款的期限：</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hint="eastAsia" w:asciiTheme="minorEastAsia" w:hAnsiTheme="minorEastAsia" w:eastAsiaTheme="minorEastAsia"/>
        </w:rPr>
        <w:t>关于竣工付款证书异议部分复核的方式和程序：</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u w:val="single"/>
        </w:rPr>
      </w:pPr>
      <w:r>
        <w:rPr>
          <w:rFonts w:hint="eastAsia" w:asciiTheme="minorEastAsia" w:hAnsiTheme="minorEastAsia" w:eastAsiaTheme="minorEastAsia"/>
          <w:u w:val="single"/>
        </w:rPr>
        <w:t>承包人报送的工程竣工结算须经发包人委托的审计机构审核,审减金额超过承包人报审金额的5%时,超过5%部份的审减金额的审减效益费由承包人承担(审增不抵销审减), 审减效益费费率按照5%计算。审增部分本着谁收益谁付费的原则，由承包人承担，审增部分的收费费率同审减效益收费费率，以审增金额为基数计算。按照合同关系,审减效益收费和审增收费均由发包人从承包人的工程价款中予以扣除后支付给审计机构。</w:t>
      </w:r>
    </w:p>
    <w:p>
      <w:pPr>
        <w:rPr>
          <w:rFonts w:asciiTheme="minorEastAsia" w:hAnsiTheme="minorEastAsia" w:eastAsiaTheme="minorEastAsia"/>
        </w:rPr>
      </w:pPr>
      <w:r>
        <w:rPr>
          <w:rFonts w:asciiTheme="minorEastAsia" w:hAnsiTheme="minorEastAsia" w:eastAsiaTheme="minorEastAsia"/>
        </w:rPr>
        <w:t>14.4 最终结清</w:t>
      </w:r>
    </w:p>
    <w:p>
      <w:pPr>
        <w:rPr>
          <w:rFonts w:asciiTheme="minorEastAsia" w:hAnsiTheme="minorEastAsia" w:eastAsiaTheme="minorEastAsia"/>
        </w:rPr>
      </w:pPr>
      <w:r>
        <w:rPr>
          <w:rFonts w:asciiTheme="minorEastAsia" w:hAnsiTheme="minorEastAsia" w:eastAsiaTheme="minorEastAsia"/>
        </w:rPr>
        <w:t>14.4.1 最终结清申请单</w:t>
      </w:r>
    </w:p>
    <w:p>
      <w:pPr>
        <w:rPr>
          <w:rFonts w:asciiTheme="minorEastAsia" w:hAnsiTheme="minorEastAsia" w:eastAsiaTheme="minorEastAsia"/>
        </w:rPr>
      </w:pPr>
      <w:r>
        <w:rPr>
          <w:rFonts w:asciiTheme="minorEastAsia" w:hAnsiTheme="minorEastAsia" w:eastAsiaTheme="minorEastAsia"/>
        </w:rPr>
        <w:t>承包人提交最终结清申请单的份数：</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承包人提交最终结算申请单的期限：</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 xml:space="preserve">。 </w:t>
      </w:r>
    </w:p>
    <w:p>
      <w:pPr>
        <w:rPr>
          <w:rFonts w:asciiTheme="minorEastAsia" w:hAnsiTheme="minorEastAsia" w:eastAsiaTheme="minorEastAsia"/>
        </w:rPr>
      </w:pPr>
      <w:r>
        <w:rPr>
          <w:rFonts w:asciiTheme="minorEastAsia" w:hAnsiTheme="minorEastAsia" w:eastAsiaTheme="minorEastAsia"/>
        </w:rPr>
        <w:t>14.4.2 最终结清证书和支付</w:t>
      </w:r>
    </w:p>
    <w:p>
      <w:pPr>
        <w:rPr>
          <w:rFonts w:asciiTheme="minorEastAsia" w:hAnsiTheme="minorEastAsia" w:eastAsiaTheme="minorEastAsia"/>
        </w:rPr>
      </w:pPr>
      <w:r>
        <w:rPr>
          <w:rFonts w:asciiTheme="minorEastAsia" w:hAnsiTheme="minorEastAsia" w:eastAsiaTheme="minorEastAsia"/>
        </w:rPr>
        <w:t>（1）发包人完成最终结清申请单的</w:t>
      </w:r>
      <w:r>
        <w:rPr>
          <w:rFonts w:hint="eastAsia" w:asciiTheme="minorEastAsia" w:hAnsiTheme="minorEastAsia" w:eastAsiaTheme="minorEastAsia"/>
        </w:rPr>
        <w:t>审批</w:t>
      </w:r>
      <w:r>
        <w:rPr>
          <w:rFonts w:asciiTheme="minorEastAsia" w:hAnsiTheme="minorEastAsia" w:eastAsiaTheme="minorEastAsia"/>
        </w:rPr>
        <w:t>并颁发最终结清证书的期限：</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（2）发包人完成支付的期限：</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bookmarkEnd w:id="1067"/>
    <w:bookmarkEnd w:id="1068"/>
    <w:bookmarkEnd w:id="1069"/>
    <w:bookmarkEnd w:id="1070"/>
    <w:bookmarkEnd w:id="1071"/>
    <w:bookmarkEnd w:id="1072"/>
    <w:bookmarkEnd w:id="1073"/>
    <w:bookmarkEnd w:id="1079"/>
    <w:p>
      <w:pPr>
        <w:rPr>
          <w:rFonts w:asciiTheme="minorEastAsia" w:hAnsiTheme="minorEastAsia" w:eastAsiaTheme="minorEastAsia"/>
          <w:bCs/>
        </w:rPr>
      </w:pPr>
      <w:bookmarkStart w:id="1081" w:name="_Toc351203647"/>
      <w:bookmarkStart w:id="1082" w:name="_Toc267251483"/>
      <w:bookmarkStart w:id="1083" w:name="_Toc267251482"/>
      <w:bookmarkStart w:id="1084" w:name="_Toc267251484"/>
      <w:bookmarkStart w:id="1085" w:name="_Toc267251485"/>
      <w:bookmarkStart w:id="1086" w:name="_Toc267251489"/>
      <w:bookmarkStart w:id="1087" w:name="_Toc267251490"/>
      <w:bookmarkStart w:id="1088" w:name="_Toc267251488"/>
      <w:bookmarkStart w:id="1089" w:name="_Toc267251486"/>
      <w:bookmarkStart w:id="1090" w:name="_Toc267251496"/>
      <w:bookmarkStart w:id="1091" w:name="_Toc267251498"/>
      <w:bookmarkStart w:id="1092" w:name="_Toc267251494"/>
      <w:bookmarkStart w:id="1093" w:name="_Toc267251493"/>
      <w:bookmarkStart w:id="1094" w:name="_Toc267251502"/>
      <w:bookmarkStart w:id="1095" w:name="_Toc267251491"/>
      <w:bookmarkStart w:id="1096" w:name="_Toc267251499"/>
      <w:bookmarkStart w:id="1097" w:name="_Toc267251501"/>
      <w:bookmarkStart w:id="1098" w:name="_Toc267251492"/>
      <w:bookmarkStart w:id="1099" w:name="_Toc267251495"/>
      <w:bookmarkStart w:id="1100" w:name="_Toc267251497"/>
      <w:bookmarkStart w:id="1101" w:name="_Toc267251503"/>
      <w:bookmarkStart w:id="1102" w:name="_Toc267251504"/>
      <w:bookmarkStart w:id="1103" w:name="_Toc267251506"/>
      <w:bookmarkStart w:id="1104" w:name="_Toc267251507"/>
      <w:bookmarkStart w:id="1105" w:name="_Toc267251508"/>
      <w:bookmarkStart w:id="1106" w:name="_Toc267251510"/>
      <w:bookmarkStart w:id="1107" w:name="_Toc267251511"/>
      <w:bookmarkStart w:id="1108" w:name="_Toc267251513"/>
      <w:bookmarkStart w:id="1109" w:name="_Toc267251514"/>
      <w:bookmarkStart w:id="1110" w:name="_Toc267251509"/>
      <w:bookmarkStart w:id="1111" w:name="_Toc267251515"/>
      <w:r>
        <w:rPr>
          <w:rFonts w:asciiTheme="minorEastAsia" w:hAnsiTheme="minorEastAsia" w:eastAsiaTheme="minorEastAsia"/>
          <w:bCs/>
        </w:rPr>
        <w:t>15. 缺陷责任期与保修</w:t>
      </w:r>
      <w:bookmarkEnd w:id="1081"/>
    </w:p>
    <w:p>
      <w:pPr>
        <w:rPr>
          <w:rFonts w:asciiTheme="minorEastAsia" w:hAnsiTheme="minorEastAsia" w:eastAsiaTheme="minorEastAsia"/>
        </w:rPr>
      </w:pPr>
      <w:r>
        <w:rPr>
          <w:rFonts w:asciiTheme="minorEastAsia" w:hAnsiTheme="minorEastAsia" w:eastAsiaTheme="minorEastAsia"/>
        </w:rPr>
        <w:t>15.2缺陷责任期</w:t>
      </w:r>
      <w:bookmarkEnd w:id="1082"/>
    </w:p>
    <w:p>
      <w:pPr>
        <w:rPr>
          <w:rFonts w:asciiTheme="minorEastAsia" w:hAnsiTheme="minorEastAsia" w:eastAsiaTheme="minorEastAsia"/>
        </w:rPr>
      </w:pPr>
      <w:r>
        <w:rPr>
          <w:rFonts w:asciiTheme="minorEastAsia" w:hAnsiTheme="minorEastAsia" w:eastAsiaTheme="minorEastAsia"/>
        </w:rPr>
        <w:t>缺陷责任期的具体期限：</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w:t>
      </w:r>
    </w:p>
    <w:p>
      <w:pPr>
        <w:rPr>
          <w:rFonts w:asciiTheme="minorEastAsia" w:hAnsiTheme="minorEastAsia" w:eastAsiaTheme="minorEastAsia"/>
        </w:rPr>
      </w:pPr>
      <w:r>
        <w:rPr>
          <w:rFonts w:asciiTheme="minorEastAsia" w:hAnsiTheme="minorEastAsia" w:eastAsiaTheme="minorEastAsia"/>
        </w:rPr>
        <w:t>15.3 质量保证金</w:t>
      </w:r>
    </w:p>
    <w:p>
      <w:pPr>
        <w:rPr>
          <w:rFonts w:asciiTheme="minorEastAsia" w:hAnsiTheme="minorEastAsia" w:eastAsiaTheme="minorEastAsia"/>
        </w:rPr>
      </w:pPr>
      <w:r>
        <w:rPr>
          <w:rFonts w:hint="eastAsia" w:asciiTheme="minorEastAsia" w:hAnsiTheme="minorEastAsia" w:eastAsiaTheme="minorEastAsia"/>
        </w:rPr>
        <w:t>关于是否扣留质量保证金的约定：</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p>
    <w:p>
      <w:pPr>
        <w:rPr>
          <w:rFonts w:asciiTheme="minorEastAsia" w:hAnsiTheme="minorEastAsia" w:eastAsiaTheme="minorEastAsia"/>
        </w:rPr>
      </w:pPr>
      <w:r>
        <w:rPr>
          <w:rFonts w:asciiTheme="minorEastAsia" w:hAnsiTheme="minorEastAsia" w:eastAsiaTheme="minorEastAsia"/>
        </w:rPr>
        <w:t xml:space="preserve">15.3.1 </w:t>
      </w:r>
      <w:r>
        <w:rPr>
          <w:rFonts w:hint="eastAsia" w:asciiTheme="minorEastAsia" w:hAnsiTheme="minorEastAsia" w:eastAsiaTheme="minorEastAsia"/>
        </w:rPr>
        <w:t>承包人提供</w:t>
      </w:r>
      <w:r>
        <w:rPr>
          <w:rFonts w:asciiTheme="minorEastAsia" w:hAnsiTheme="minorEastAsia" w:eastAsiaTheme="minorEastAsia"/>
        </w:rPr>
        <w:t>质量保证金的</w:t>
      </w:r>
      <w:r>
        <w:rPr>
          <w:rFonts w:hint="eastAsia" w:asciiTheme="minorEastAsia" w:hAnsiTheme="minorEastAsia" w:eastAsiaTheme="minorEastAsia"/>
        </w:rPr>
        <w:t>方</w:t>
      </w:r>
      <w:r>
        <w:rPr>
          <w:rFonts w:asciiTheme="minorEastAsia" w:hAnsiTheme="minorEastAsia" w:eastAsiaTheme="minorEastAsia"/>
        </w:rPr>
        <w:t>式</w:t>
      </w:r>
    </w:p>
    <w:p>
      <w:pPr>
        <w:rPr>
          <w:rFonts w:asciiTheme="minorEastAsia" w:hAnsiTheme="minorEastAsia" w:eastAsiaTheme="minorEastAsia"/>
        </w:rPr>
      </w:pPr>
      <w:r>
        <w:rPr>
          <w:rFonts w:asciiTheme="minorEastAsia" w:hAnsiTheme="minorEastAsia" w:eastAsiaTheme="minorEastAsia"/>
        </w:rPr>
        <w:t>质量保证金采用以下第</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种方式：</w:t>
      </w:r>
    </w:p>
    <w:p>
      <w:pPr>
        <w:rPr>
          <w:rFonts w:asciiTheme="minorEastAsia" w:hAnsiTheme="minorEastAsia" w:eastAsiaTheme="minorEastAsia"/>
        </w:rPr>
      </w:pPr>
      <w:r>
        <w:rPr>
          <w:rFonts w:asciiTheme="minorEastAsia" w:hAnsiTheme="minorEastAsia" w:eastAsiaTheme="minorEastAsia"/>
        </w:rPr>
        <w:t>（1）质量保证金保函，保证金额为：</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 xml:space="preserve">； </w:t>
      </w:r>
    </w:p>
    <w:p>
      <w:pPr>
        <w:rPr>
          <w:rFonts w:asciiTheme="minorEastAsia" w:hAnsiTheme="minorEastAsia" w:eastAsiaTheme="minorEastAsia"/>
        </w:rPr>
      </w:pPr>
      <w:r>
        <w:rPr>
          <w:rFonts w:asciiTheme="minorEastAsia" w:hAnsiTheme="minorEastAsia" w:eastAsiaTheme="minorEastAsia"/>
        </w:rPr>
        <w:t>（2）</w:t>
      </w:r>
      <w:r>
        <w:rPr>
          <w:rFonts w:asciiTheme="minorEastAsia" w:hAnsiTheme="minorEastAsia" w:eastAsiaTheme="minorEastAsia"/>
          <w:u w:val="single"/>
        </w:rPr>
        <w:t xml:space="preserve">      </w:t>
      </w:r>
      <w:r>
        <w:rPr>
          <w:rFonts w:asciiTheme="minorEastAsia" w:hAnsiTheme="minorEastAsia" w:eastAsiaTheme="minorEastAsia"/>
        </w:rPr>
        <w:t>%的工程款；</w:t>
      </w:r>
    </w:p>
    <w:p>
      <w:pPr>
        <w:rPr>
          <w:rFonts w:asciiTheme="minorEastAsia" w:hAnsiTheme="minorEastAsia" w:eastAsiaTheme="minorEastAsia"/>
        </w:rPr>
      </w:pPr>
      <w:r>
        <w:rPr>
          <w:rFonts w:asciiTheme="minorEastAsia" w:hAnsiTheme="minorEastAsia" w:eastAsiaTheme="minorEastAsia"/>
        </w:rPr>
        <w:t>（3）其他</w:t>
      </w:r>
      <w:r>
        <w:rPr>
          <w:rFonts w:hint="eastAsia" w:asciiTheme="minorEastAsia" w:hAnsiTheme="minorEastAsia" w:eastAsiaTheme="minorEastAsia"/>
        </w:rPr>
        <w:t>方</w:t>
      </w:r>
      <w:r>
        <w:rPr>
          <w:rFonts w:asciiTheme="minorEastAsia" w:hAnsiTheme="minorEastAsia" w:eastAsiaTheme="minorEastAsia"/>
        </w:rPr>
        <w:t>式:</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 xml:space="preserve">15.3.2 质量保证金的扣留 </w:t>
      </w:r>
    </w:p>
    <w:p>
      <w:pPr>
        <w:rPr>
          <w:rFonts w:asciiTheme="minorEastAsia" w:hAnsiTheme="minorEastAsia" w:eastAsiaTheme="minorEastAsia"/>
        </w:rPr>
      </w:pPr>
      <w:r>
        <w:rPr>
          <w:rFonts w:asciiTheme="minorEastAsia" w:hAnsiTheme="minorEastAsia" w:eastAsiaTheme="minorEastAsia"/>
        </w:rPr>
        <w:t>质量保证金的扣留采取以下第</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种方式：</w:t>
      </w:r>
    </w:p>
    <w:p>
      <w:pPr>
        <w:rPr>
          <w:rFonts w:asciiTheme="minorEastAsia" w:hAnsiTheme="minorEastAsia" w:eastAsiaTheme="minorEastAsia"/>
        </w:rPr>
      </w:pPr>
      <w:r>
        <w:rPr>
          <w:rFonts w:asciiTheme="minorEastAsia" w:hAnsiTheme="minorEastAsia" w:eastAsiaTheme="minorEastAsia"/>
        </w:rPr>
        <w:t>（1）在支付工程进度款时逐次扣留，在此情形下，质量保证金的计算基数不包括预付款的支付、扣回以及价格调整的金额；</w:t>
      </w:r>
    </w:p>
    <w:p>
      <w:pPr>
        <w:rPr>
          <w:rFonts w:asciiTheme="minorEastAsia" w:hAnsiTheme="minorEastAsia" w:eastAsiaTheme="minorEastAsia"/>
        </w:rPr>
      </w:pPr>
      <w:r>
        <w:rPr>
          <w:rFonts w:asciiTheme="minorEastAsia" w:hAnsiTheme="minorEastAsia" w:eastAsiaTheme="minorEastAsia"/>
        </w:rPr>
        <w:t>（2）工程竣工结算时一次性扣留质量保证金；</w:t>
      </w:r>
    </w:p>
    <w:p>
      <w:pPr>
        <w:rPr>
          <w:rFonts w:asciiTheme="minorEastAsia" w:hAnsiTheme="minorEastAsia" w:eastAsiaTheme="minorEastAsia"/>
        </w:rPr>
      </w:pPr>
      <w:r>
        <w:rPr>
          <w:rFonts w:asciiTheme="minorEastAsia" w:hAnsiTheme="minorEastAsia" w:eastAsiaTheme="minorEastAsia"/>
        </w:rPr>
        <w:t>（3）其他扣留方式:</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u w:val="single"/>
        </w:rPr>
      </w:pPr>
      <w:r>
        <w:rPr>
          <w:rFonts w:asciiTheme="minorEastAsia" w:hAnsiTheme="minorEastAsia" w:eastAsiaTheme="minorEastAsia"/>
        </w:rPr>
        <w:t>关于质量保证金的补充约定：</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p>
    <w:p>
      <w:pPr>
        <w:rPr>
          <w:rFonts w:asciiTheme="minorEastAsia" w:hAnsiTheme="minorEastAsia" w:eastAsiaTheme="minorEastAsia"/>
        </w:rPr>
      </w:pPr>
      <w:r>
        <w:rPr>
          <w:rFonts w:hint="eastAsia" w:asciiTheme="minorEastAsia" w:hAnsiTheme="minorEastAsia" w:eastAsiaTheme="minorEastAsia"/>
          <w:u w:val="single"/>
        </w:rPr>
        <w:t xml:space="preserve">                                                         </w:t>
      </w:r>
      <w:r>
        <w:rPr>
          <w:rFonts w:asciiTheme="minorEastAsia" w:hAnsiTheme="minorEastAsia" w:eastAsiaTheme="minorEastAsia"/>
        </w:rPr>
        <w:t>。</w:t>
      </w:r>
    </w:p>
    <w:bookmarkEnd w:id="1083"/>
    <w:bookmarkEnd w:id="1084"/>
    <w:p>
      <w:pPr>
        <w:rPr>
          <w:rFonts w:asciiTheme="minorEastAsia" w:hAnsiTheme="minorEastAsia" w:eastAsiaTheme="minorEastAsia"/>
        </w:rPr>
      </w:pPr>
      <w:r>
        <w:rPr>
          <w:rFonts w:asciiTheme="minorEastAsia" w:hAnsiTheme="minorEastAsia" w:eastAsiaTheme="minorEastAsia"/>
        </w:rPr>
        <w:t>15.4保修</w:t>
      </w:r>
    </w:p>
    <w:bookmarkEnd w:id="1085"/>
    <w:p>
      <w:pPr>
        <w:rPr>
          <w:rFonts w:asciiTheme="minorEastAsia" w:hAnsiTheme="minorEastAsia" w:eastAsiaTheme="minorEastAsia"/>
        </w:rPr>
      </w:pPr>
      <w:r>
        <w:rPr>
          <w:rFonts w:asciiTheme="minorEastAsia" w:hAnsiTheme="minorEastAsia" w:eastAsiaTheme="minorEastAsia"/>
        </w:rPr>
        <w:t>15.4.1 保修责任</w:t>
      </w:r>
    </w:p>
    <w:p>
      <w:pPr>
        <w:rPr>
          <w:rFonts w:asciiTheme="minorEastAsia" w:hAnsiTheme="minorEastAsia" w:eastAsiaTheme="minorEastAsia"/>
          <w:u w:val="single"/>
        </w:rPr>
      </w:pPr>
      <w:r>
        <w:rPr>
          <w:rFonts w:asciiTheme="minorEastAsia" w:hAnsiTheme="minorEastAsia" w:eastAsiaTheme="minorEastAsia"/>
        </w:rPr>
        <w:t>工程保修期为：</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15.4.3 修复通知</w:t>
      </w:r>
    </w:p>
    <w:p>
      <w:pPr>
        <w:rPr>
          <w:rFonts w:asciiTheme="minorEastAsia" w:hAnsiTheme="minorEastAsia" w:eastAsiaTheme="minorEastAsia"/>
          <w:u w:val="single"/>
        </w:rPr>
      </w:pPr>
      <w:r>
        <w:rPr>
          <w:rFonts w:asciiTheme="minorEastAsia" w:hAnsiTheme="minorEastAsia" w:eastAsiaTheme="minorEastAsia"/>
        </w:rPr>
        <w:t>承包人收到保修通知并到达工程现场的合理时间：</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bookmarkEnd w:id="1086"/>
    <w:bookmarkEnd w:id="1087"/>
    <w:bookmarkEnd w:id="1088"/>
    <w:bookmarkEnd w:id="1089"/>
    <w:p>
      <w:pPr>
        <w:rPr>
          <w:rFonts w:asciiTheme="minorEastAsia" w:hAnsiTheme="minorEastAsia" w:eastAsiaTheme="minorEastAsia"/>
          <w:bCs/>
        </w:rPr>
      </w:pPr>
      <w:bookmarkStart w:id="1112" w:name="_Toc351203648"/>
      <w:bookmarkStart w:id="1113" w:name="_Toc280868717"/>
      <w:bookmarkStart w:id="1114" w:name="_Toc280868718"/>
      <w:r>
        <w:rPr>
          <w:rFonts w:asciiTheme="minorEastAsia" w:hAnsiTheme="minorEastAsia" w:eastAsiaTheme="minorEastAsia"/>
          <w:bCs/>
        </w:rPr>
        <w:t>16. 违约</w:t>
      </w:r>
      <w:bookmarkEnd w:id="1112"/>
    </w:p>
    <w:p>
      <w:pPr>
        <w:rPr>
          <w:rFonts w:asciiTheme="minorEastAsia" w:hAnsiTheme="minorEastAsia" w:eastAsiaTheme="minorEastAsia"/>
        </w:rPr>
      </w:pPr>
      <w:r>
        <w:rPr>
          <w:rFonts w:asciiTheme="minorEastAsia" w:hAnsiTheme="minorEastAsia" w:eastAsiaTheme="minorEastAsia"/>
        </w:rPr>
        <w:t>16.1 发包人违约</w:t>
      </w:r>
    </w:p>
    <w:p>
      <w:pPr>
        <w:rPr>
          <w:rFonts w:asciiTheme="minorEastAsia" w:hAnsiTheme="minorEastAsia" w:eastAsiaTheme="minorEastAsia"/>
        </w:rPr>
      </w:pPr>
      <w:r>
        <w:rPr>
          <w:rFonts w:asciiTheme="minorEastAsia" w:hAnsiTheme="minorEastAsia" w:eastAsiaTheme="minorEastAsia"/>
        </w:rPr>
        <w:t>16.1.1发包人违约的情形</w:t>
      </w:r>
    </w:p>
    <w:p>
      <w:pPr>
        <w:rPr>
          <w:rFonts w:asciiTheme="minorEastAsia" w:hAnsiTheme="minorEastAsia" w:eastAsiaTheme="minorEastAsia"/>
          <w:u w:val="single"/>
        </w:rPr>
      </w:pPr>
      <w:r>
        <w:rPr>
          <w:rFonts w:asciiTheme="minorEastAsia" w:hAnsiTheme="minorEastAsia" w:eastAsiaTheme="minorEastAsia"/>
        </w:rPr>
        <w:t>发包人违约的其他情形：</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 xml:space="preserve">    16.1.2 发包人违约的责任</w:t>
      </w:r>
    </w:p>
    <w:p>
      <w:pPr>
        <w:rPr>
          <w:rFonts w:asciiTheme="minorEastAsia" w:hAnsiTheme="minorEastAsia" w:eastAsiaTheme="minorEastAsia"/>
        </w:rPr>
      </w:pPr>
      <w:r>
        <w:rPr>
          <w:rFonts w:asciiTheme="minorEastAsia" w:hAnsiTheme="minorEastAsia" w:eastAsiaTheme="minorEastAsia"/>
        </w:rPr>
        <w:t>发包人违约责任的承担方式和计算方法：</w:t>
      </w:r>
    </w:p>
    <w:p>
      <w:pPr>
        <w:rPr>
          <w:rFonts w:asciiTheme="minorEastAsia" w:hAnsiTheme="minorEastAsia" w:eastAsiaTheme="minorEastAsia"/>
          <w:u w:val="single"/>
        </w:rPr>
      </w:pPr>
      <w:r>
        <w:rPr>
          <w:rFonts w:asciiTheme="minorEastAsia" w:hAnsiTheme="minorEastAsia" w:eastAsiaTheme="minorEastAsia"/>
        </w:rPr>
        <w:t>（1）因发包人原因未能在计划开工日期前7天内下达开工通知的违约责任：</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（2）因发包人原因未能按合同约定支付合同价款的违约责任：</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u w:val="single"/>
        </w:rPr>
      </w:pPr>
      <w:r>
        <w:rPr>
          <w:rFonts w:asciiTheme="minorEastAsia" w:hAnsiTheme="minorEastAsia" w:eastAsiaTheme="minorEastAsia"/>
        </w:rPr>
        <w:t>（3）发包人违反第10.1款</w:t>
      </w:r>
      <w:r>
        <w:rPr>
          <w:rFonts w:hint="eastAsia" w:asciiTheme="minorEastAsia" w:hAnsiTheme="minorEastAsia" w:eastAsiaTheme="minorEastAsia"/>
        </w:rPr>
        <w:t>〔</w:t>
      </w:r>
      <w:r>
        <w:rPr>
          <w:rFonts w:asciiTheme="minorEastAsia" w:hAnsiTheme="minorEastAsia" w:eastAsiaTheme="minorEastAsia"/>
        </w:rPr>
        <w:t>变更的范围</w:t>
      </w:r>
      <w:r>
        <w:rPr>
          <w:rFonts w:hint="eastAsia" w:asciiTheme="minorEastAsia" w:hAnsiTheme="minorEastAsia" w:eastAsiaTheme="minorEastAsia"/>
        </w:rPr>
        <w:t>〕</w:t>
      </w:r>
      <w:r>
        <w:rPr>
          <w:rFonts w:asciiTheme="minorEastAsia" w:hAnsiTheme="minorEastAsia" w:eastAsiaTheme="minorEastAsia"/>
        </w:rPr>
        <w:t>第（2）项约定，自行实施被取消的工作或转由他人实施的违约责任：</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（4）发包人提供的材料、工程设备的规格、数量或质量不符合合同约定，或因发包人原因导致交货日期延误或交货地点变更等情况的违约责任：</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u w:val="single"/>
        </w:rPr>
      </w:pPr>
      <w:r>
        <w:rPr>
          <w:rFonts w:asciiTheme="minorEastAsia" w:hAnsiTheme="minorEastAsia" w:eastAsiaTheme="minorEastAsia"/>
        </w:rPr>
        <w:t>（5）因发包人违反合同约定造成暂停施工的违约责任：</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（6）发包人无正当理由没有在约定期限内发出复工指示，导致承包人无法复工的违约责任：</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（7）</w:t>
      </w:r>
      <w:r>
        <w:rPr>
          <w:rFonts w:hint="eastAsia" w:asciiTheme="minorEastAsia" w:hAnsiTheme="minorEastAsia" w:eastAsiaTheme="minorEastAsia"/>
        </w:rPr>
        <w:t>其他：</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16.1.3 因发包人违约解除合同</w:t>
      </w:r>
    </w:p>
    <w:p>
      <w:pPr>
        <w:rPr>
          <w:rFonts w:asciiTheme="minorEastAsia" w:hAnsiTheme="minorEastAsia" w:eastAsiaTheme="minorEastAsia"/>
        </w:rPr>
      </w:pPr>
      <w:r>
        <w:rPr>
          <w:rFonts w:asciiTheme="minorEastAsia" w:hAnsiTheme="minorEastAsia" w:eastAsiaTheme="minorEastAsia"/>
        </w:rPr>
        <w:t>承包人按16.1.1项</w:t>
      </w:r>
      <w:r>
        <w:rPr>
          <w:rFonts w:hint="eastAsia" w:asciiTheme="minorEastAsia" w:hAnsiTheme="minorEastAsia" w:eastAsiaTheme="minorEastAsia"/>
        </w:rPr>
        <w:t>〔</w:t>
      </w:r>
      <w:r>
        <w:rPr>
          <w:rFonts w:asciiTheme="minorEastAsia" w:hAnsiTheme="minorEastAsia" w:eastAsiaTheme="minorEastAsia"/>
        </w:rPr>
        <w:t>发包人违约的情形</w:t>
      </w:r>
      <w:r>
        <w:rPr>
          <w:rFonts w:hint="eastAsia" w:asciiTheme="minorEastAsia" w:hAnsiTheme="minorEastAsia" w:eastAsiaTheme="minorEastAsia"/>
        </w:rPr>
        <w:t>〕</w:t>
      </w:r>
      <w:r>
        <w:rPr>
          <w:rFonts w:asciiTheme="minorEastAsia" w:hAnsiTheme="minorEastAsia" w:eastAsiaTheme="minorEastAsia"/>
        </w:rPr>
        <w:t>约定暂停施工满</w:t>
      </w:r>
      <w:r>
        <w:rPr>
          <w:rFonts w:asciiTheme="minorEastAsia" w:hAnsiTheme="minorEastAsia" w:eastAsiaTheme="minorEastAsia"/>
          <w:u w:val="single"/>
        </w:rPr>
        <w:t xml:space="preserve">    </w:t>
      </w:r>
      <w:r>
        <w:rPr>
          <w:rFonts w:asciiTheme="minorEastAsia" w:hAnsiTheme="minorEastAsia" w:eastAsiaTheme="minorEastAsia"/>
        </w:rPr>
        <w:t>天后发包人仍不纠正其违约行为并致使合同目的不能实现的，承包人有权解除合同。</w:t>
      </w:r>
    </w:p>
    <w:p>
      <w:pPr>
        <w:rPr>
          <w:rFonts w:asciiTheme="minorEastAsia" w:hAnsiTheme="minorEastAsia" w:eastAsiaTheme="minorEastAsia"/>
        </w:rPr>
      </w:pPr>
      <w:r>
        <w:rPr>
          <w:rFonts w:asciiTheme="minorEastAsia" w:hAnsiTheme="minorEastAsia" w:eastAsiaTheme="minorEastAsia"/>
        </w:rPr>
        <w:t>16.2 承包人违约</w:t>
      </w:r>
    </w:p>
    <w:p>
      <w:pPr>
        <w:rPr>
          <w:rFonts w:asciiTheme="minorEastAsia" w:hAnsiTheme="minorEastAsia" w:eastAsiaTheme="minorEastAsia"/>
        </w:rPr>
      </w:pPr>
      <w:r>
        <w:rPr>
          <w:rFonts w:asciiTheme="minorEastAsia" w:hAnsiTheme="minorEastAsia" w:eastAsiaTheme="minorEastAsia"/>
        </w:rPr>
        <w:t>16.2.1 承包人违约的情形</w:t>
      </w:r>
    </w:p>
    <w:p>
      <w:pPr>
        <w:rPr>
          <w:rFonts w:asciiTheme="minorEastAsia" w:hAnsiTheme="minorEastAsia" w:eastAsiaTheme="minorEastAsia"/>
          <w:u w:val="single"/>
        </w:rPr>
      </w:pPr>
      <w:r>
        <w:rPr>
          <w:rFonts w:asciiTheme="minorEastAsia" w:hAnsiTheme="minorEastAsia" w:eastAsiaTheme="minorEastAsia"/>
        </w:rPr>
        <w:t>承包人违约的其他情形：</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16.2.2承包人违约的责任</w:t>
      </w:r>
    </w:p>
    <w:p>
      <w:pPr>
        <w:rPr>
          <w:rFonts w:asciiTheme="minorEastAsia" w:hAnsiTheme="minorEastAsia" w:eastAsiaTheme="minorEastAsia"/>
          <w:u w:val="single"/>
        </w:rPr>
      </w:pPr>
      <w:r>
        <w:rPr>
          <w:rFonts w:asciiTheme="minorEastAsia" w:hAnsiTheme="minorEastAsia" w:eastAsiaTheme="minorEastAsia"/>
        </w:rPr>
        <w:t>承包人违约责任的承担方式和计算方法：</w:t>
      </w:r>
      <w:r>
        <w:rPr>
          <w:rFonts w:asciiTheme="minorEastAsia" w:hAnsiTheme="minorEastAsia" w:eastAsiaTheme="minorEastAsia"/>
          <w:u w:val="single"/>
        </w:rPr>
        <w:t xml:space="preserve">                  </w:t>
      </w:r>
    </w:p>
    <w:p>
      <w:pPr>
        <w:rPr>
          <w:rFonts w:asciiTheme="minorEastAsia" w:hAnsiTheme="minorEastAsia" w:eastAsiaTheme="minorEastAsia"/>
          <w:u w:val="single"/>
        </w:rPr>
      </w:pPr>
      <w:r>
        <w:rPr>
          <w:rFonts w:asciiTheme="minorEastAsia" w:hAnsiTheme="minorEastAsia" w:eastAsiaTheme="minorEastAsia"/>
          <w:u w:val="single"/>
        </w:rPr>
        <w:t xml:space="preserve">                                                         </w:t>
      </w:r>
      <w:r>
        <w:rPr>
          <w:rFonts w:asciiTheme="minorEastAsia" w:hAnsiTheme="minorEastAsia" w:eastAsiaTheme="minorEastAsia"/>
        </w:rPr>
        <w:t xml:space="preserve">。    </w:t>
      </w:r>
    </w:p>
    <w:p>
      <w:pPr>
        <w:rPr>
          <w:rFonts w:asciiTheme="minorEastAsia" w:hAnsiTheme="minorEastAsia" w:eastAsiaTheme="minorEastAsia"/>
        </w:rPr>
      </w:pPr>
      <w:r>
        <w:rPr>
          <w:rFonts w:asciiTheme="minorEastAsia" w:hAnsiTheme="minorEastAsia" w:eastAsiaTheme="minorEastAsia"/>
        </w:rPr>
        <w:t>16.2.3 因承包人违约解除合同</w:t>
      </w:r>
    </w:p>
    <w:p>
      <w:pPr>
        <w:rPr>
          <w:rFonts w:asciiTheme="minorEastAsia" w:hAnsiTheme="minorEastAsia" w:eastAsiaTheme="minorEastAsia"/>
          <w:u w:val="single"/>
        </w:rPr>
      </w:pPr>
      <w:r>
        <w:rPr>
          <w:rFonts w:asciiTheme="minorEastAsia" w:hAnsiTheme="minorEastAsia" w:eastAsiaTheme="minorEastAsia"/>
        </w:rPr>
        <w:t>关于承包人违约解除合同的特别约定：</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发包人</w:t>
      </w:r>
      <w:r>
        <w:rPr>
          <w:rFonts w:hint="eastAsia" w:asciiTheme="minorEastAsia" w:hAnsiTheme="minorEastAsia" w:eastAsiaTheme="minorEastAsia"/>
        </w:rPr>
        <w:t>继续</w:t>
      </w:r>
      <w:r>
        <w:rPr>
          <w:rFonts w:asciiTheme="minorEastAsia" w:hAnsiTheme="minorEastAsia" w:eastAsiaTheme="minorEastAsia"/>
        </w:rPr>
        <w:t>使用承包人在施工现场的材料、设备、临时工程、承包人文件和由承包人或以其名义编制的其他文件</w:t>
      </w:r>
      <w:r>
        <w:rPr>
          <w:rFonts w:hint="eastAsia" w:asciiTheme="minorEastAsia" w:hAnsiTheme="minorEastAsia" w:eastAsiaTheme="minorEastAsia"/>
        </w:rPr>
        <w:t>的费用承担方式</w:t>
      </w:r>
      <w:r>
        <w:rPr>
          <w:rFonts w:asciiTheme="minorEastAsia" w:hAnsiTheme="minorEastAsia" w:eastAsiaTheme="minorEastAsia"/>
        </w:rPr>
        <w:t>：</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rPr>
        <w:t>。</w:t>
      </w:r>
    </w:p>
    <w:p>
      <w:pPr>
        <w:rPr>
          <w:rFonts w:asciiTheme="minorEastAsia" w:hAnsiTheme="minorEastAsia" w:eastAsiaTheme="minorEastAsia"/>
          <w:bCs/>
        </w:rPr>
      </w:pPr>
      <w:bookmarkStart w:id="1115" w:name="_Toc351203649"/>
      <w:r>
        <w:rPr>
          <w:rFonts w:asciiTheme="minorEastAsia" w:hAnsiTheme="minorEastAsia" w:eastAsiaTheme="minorEastAsia"/>
          <w:bCs/>
        </w:rPr>
        <w:t>17. 不可抗力</w:t>
      </w:r>
      <w:bookmarkEnd w:id="1115"/>
      <w:r>
        <w:rPr>
          <w:rFonts w:asciiTheme="minorEastAsia" w:hAnsiTheme="minorEastAsia" w:eastAsiaTheme="minorEastAsia"/>
          <w:bCs/>
        </w:rPr>
        <w:t xml:space="preserve"> </w:t>
      </w:r>
      <w:bookmarkEnd w:id="1113"/>
    </w:p>
    <w:p>
      <w:pPr>
        <w:rPr>
          <w:rFonts w:asciiTheme="minorEastAsia" w:hAnsiTheme="minorEastAsia" w:eastAsiaTheme="minorEastAsia"/>
        </w:rPr>
      </w:pPr>
      <w:r>
        <w:rPr>
          <w:rFonts w:asciiTheme="minorEastAsia" w:hAnsiTheme="minorEastAsia" w:eastAsiaTheme="minorEastAsia"/>
        </w:rPr>
        <w:t>17.1 不可抗力的确认</w:t>
      </w:r>
    </w:p>
    <w:p>
      <w:pPr>
        <w:rPr>
          <w:rFonts w:asciiTheme="minorEastAsia" w:hAnsiTheme="minorEastAsia" w:eastAsiaTheme="minorEastAsia"/>
          <w:u w:val="single"/>
        </w:rPr>
      </w:pPr>
      <w:r>
        <w:rPr>
          <w:rFonts w:asciiTheme="minorEastAsia" w:hAnsiTheme="minorEastAsia" w:eastAsiaTheme="minorEastAsia"/>
        </w:rPr>
        <w:t xml:space="preserve">除通用合同条款约定的不可抗力事件之外，视为不可抗力的其他情形：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17.4 因不可抗力解除合同</w:t>
      </w:r>
    </w:p>
    <w:p>
      <w:pPr>
        <w:rPr>
          <w:rFonts w:asciiTheme="minorEastAsia" w:hAnsiTheme="minorEastAsia" w:eastAsiaTheme="minorEastAsia"/>
        </w:rPr>
      </w:pPr>
      <w:r>
        <w:rPr>
          <w:rFonts w:asciiTheme="minorEastAsia" w:hAnsiTheme="minorEastAsia" w:eastAsiaTheme="minorEastAsia"/>
        </w:rPr>
        <w:t>合同解除后，发包人应在商定或确定发包人应支付款项后</w:t>
      </w:r>
      <w:r>
        <w:rPr>
          <w:rFonts w:asciiTheme="minorEastAsia" w:hAnsiTheme="minorEastAsia" w:eastAsiaTheme="minorEastAsia"/>
          <w:u w:val="single"/>
        </w:rPr>
        <w:t xml:space="preserve">    </w:t>
      </w:r>
      <w:r>
        <w:rPr>
          <w:rFonts w:asciiTheme="minorEastAsia" w:hAnsiTheme="minorEastAsia" w:eastAsiaTheme="minorEastAsia"/>
        </w:rPr>
        <w:t>天内完成款项的支付。</w:t>
      </w:r>
    </w:p>
    <w:p>
      <w:pPr>
        <w:rPr>
          <w:rFonts w:asciiTheme="minorEastAsia" w:hAnsiTheme="minorEastAsia" w:eastAsiaTheme="minorEastAsia"/>
          <w:bCs/>
        </w:rPr>
      </w:pPr>
      <w:bookmarkStart w:id="1116" w:name="_Toc351203650"/>
      <w:r>
        <w:rPr>
          <w:rFonts w:asciiTheme="minorEastAsia" w:hAnsiTheme="minorEastAsia" w:eastAsiaTheme="minorEastAsia"/>
          <w:bCs/>
        </w:rPr>
        <w:t>18. 保险</w:t>
      </w:r>
      <w:bookmarkEnd w:id="1116"/>
    </w:p>
    <w:bookmarkEnd w:id="1114"/>
    <w:p>
      <w:pPr>
        <w:rPr>
          <w:rFonts w:asciiTheme="minorEastAsia" w:hAnsiTheme="minorEastAsia" w:eastAsiaTheme="minorEastAsia"/>
        </w:rPr>
      </w:pPr>
      <w:r>
        <w:rPr>
          <w:rFonts w:asciiTheme="minorEastAsia" w:hAnsiTheme="minorEastAsia" w:eastAsiaTheme="minorEastAsia"/>
        </w:rPr>
        <w:t>18.1 工程保险</w:t>
      </w:r>
    </w:p>
    <w:p>
      <w:pPr>
        <w:rPr>
          <w:rFonts w:asciiTheme="minorEastAsia" w:hAnsiTheme="minorEastAsia" w:eastAsiaTheme="minorEastAsia"/>
        </w:rPr>
      </w:pPr>
      <w:r>
        <w:rPr>
          <w:rFonts w:asciiTheme="minorEastAsia" w:hAnsiTheme="minorEastAsia" w:eastAsiaTheme="minorEastAsia"/>
        </w:rPr>
        <w:t>关于工程保险的特别约定：</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18.3 其他保险</w:t>
      </w:r>
    </w:p>
    <w:p>
      <w:pPr>
        <w:rPr>
          <w:rFonts w:asciiTheme="minorEastAsia" w:hAnsiTheme="minorEastAsia" w:eastAsiaTheme="minorEastAsia"/>
          <w:u w:val="single"/>
        </w:rPr>
      </w:pPr>
      <w:r>
        <w:rPr>
          <w:rFonts w:asciiTheme="minorEastAsia" w:hAnsiTheme="minorEastAsia" w:eastAsiaTheme="minorEastAsia"/>
        </w:rPr>
        <w:t>关于其他保险的约定：</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w:t>
      </w:r>
    </w:p>
    <w:p>
      <w:pPr>
        <w:rPr>
          <w:rFonts w:asciiTheme="minorEastAsia" w:hAnsiTheme="minorEastAsia" w:eastAsiaTheme="minorEastAsia"/>
        </w:rPr>
      </w:pPr>
      <w:r>
        <w:rPr>
          <w:rFonts w:asciiTheme="minorEastAsia" w:hAnsiTheme="minorEastAsia" w:eastAsiaTheme="minorEastAsia"/>
        </w:rPr>
        <w:t>承包人是否应为其施工设备等办理财产保险：</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18.7 通知义务</w:t>
      </w:r>
    </w:p>
    <w:p>
      <w:pPr>
        <w:rPr>
          <w:rFonts w:asciiTheme="minorEastAsia" w:hAnsiTheme="minorEastAsia" w:eastAsiaTheme="minorEastAsia"/>
          <w:u w:val="single"/>
        </w:rPr>
      </w:pPr>
      <w:r>
        <w:rPr>
          <w:rFonts w:asciiTheme="minorEastAsia" w:hAnsiTheme="minorEastAsia" w:eastAsiaTheme="minorEastAsia"/>
        </w:rPr>
        <w:t>关于变更保险合同时的通知义务的约定：</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bookmarkEnd w:id="1090"/>
    <w:bookmarkEnd w:id="1091"/>
    <w:bookmarkEnd w:id="1092"/>
    <w:bookmarkEnd w:id="1093"/>
    <w:bookmarkEnd w:id="1094"/>
    <w:bookmarkEnd w:id="1095"/>
    <w:bookmarkEnd w:id="1096"/>
    <w:bookmarkEnd w:id="1097"/>
    <w:bookmarkEnd w:id="1098"/>
    <w:bookmarkEnd w:id="1099"/>
    <w:bookmarkEnd w:id="1100"/>
    <w:bookmarkEnd w:id="1101"/>
    <w:p>
      <w:pPr>
        <w:rPr>
          <w:rFonts w:asciiTheme="minorEastAsia" w:hAnsiTheme="minorEastAsia" w:eastAsiaTheme="minorEastAsia"/>
          <w:bCs/>
        </w:rPr>
      </w:pPr>
      <w:bookmarkStart w:id="1117" w:name="_Toc351203651"/>
      <w:r>
        <w:rPr>
          <w:rFonts w:asciiTheme="minorEastAsia" w:hAnsiTheme="minorEastAsia" w:eastAsiaTheme="minorEastAsia"/>
          <w:bCs/>
        </w:rPr>
        <w:t>20. 争议解决</w:t>
      </w:r>
      <w:bookmarkEnd w:id="1117"/>
    </w:p>
    <w:bookmarkEnd w:id="1102"/>
    <w:bookmarkEnd w:id="1103"/>
    <w:p>
      <w:pPr>
        <w:rPr>
          <w:rFonts w:asciiTheme="minorEastAsia" w:hAnsiTheme="minorEastAsia" w:eastAsiaTheme="minorEastAsia"/>
        </w:rPr>
      </w:pPr>
      <w:r>
        <w:rPr>
          <w:rFonts w:asciiTheme="minorEastAsia" w:hAnsiTheme="minorEastAsia" w:eastAsiaTheme="minorEastAsia"/>
        </w:rPr>
        <w:t>20.3 争</w:t>
      </w:r>
      <w:bookmarkEnd w:id="1104"/>
      <w:r>
        <w:rPr>
          <w:rFonts w:asciiTheme="minorEastAsia" w:hAnsiTheme="minorEastAsia" w:eastAsiaTheme="minorEastAsia"/>
        </w:rPr>
        <w:t>议评审</w:t>
      </w:r>
    </w:p>
    <w:p>
      <w:pPr>
        <w:rPr>
          <w:rFonts w:asciiTheme="minorEastAsia" w:hAnsiTheme="minorEastAsia" w:eastAsiaTheme="minorEastAsia"/>
          <w:u w:val="single"/>
        </w:rPr>
      </w:pPr>
      <w:r>
        <w:rPr>
          <w:rFonts w:asciiTheme="minorEastAsia" w:hAnsiTheme="minorEastAsia" w:eastAsiaTheme="minorEastAsia"/>
        </w:rPr>
        <w:t>合同当事人是否同意将工程争议提交争议评审小组决</w:t>
      </w:r>
      <w:r>
        <w:rPr>
          <w:rFonts w:hint="eastAsia" w:asciiTheme="minorEastAsia" w:hAnsiTheme="minorEastAsia" w:eastAsiaTheme="minorEastAsia"/>
        </w:rPr>
        <w:t>定：</w:t>
      </w:r>
      <w:r>
        <w:rPr>
          <w:rFonts w:hint="eastAsia" w:asciiTheme="minorEastAsia" w:hAnsiTheme="minorEastAsia" w:eastAsiaTheme="minorEastAsia"/>
          <w:u w:val="single"/>
        </w:rPr>
        <w:t xml:space="preserve">    </w:t>
      </w:r>
    </w:p>
    <w:p>
      <w:pPr>
        <w:rPr>
          <w:rFonts w:asciiTheme="minorEastAsia" w:hAnsiTheme="minorEastAsia" w:eastAsiaTheme="minorEastAsia"/>
        </w:rPr>
      </w:pPr>
      <w:r>
        <w:rPr>
          <w:rFonts w:hint="eastAsia" w:asciiTheme="minorEastAsia" w:hAnsiTheme="minorEastAsia" w:eastAsiaTheme="minorEastAsia"/>
          <w:u w:val="single"/>
        </w:rPr>
        <w:t xml:space="preserve">                                                         </w:t>
      </w:r>
      <w:r>
        <w:rPr>
          <w:rFonts w:hint="eastAsia" w:asciiTheme="minorEastAsia" w:hAnsiTheme="minorEastAsia" w:eastAsiaTheme="minorEastAsia"/>
        </w:rPr>
        <w:t xml:space="preserve">。  </w:t>
      </w:r>
    </w:p>
    <w:p>
      <w:pPr>
        <w:rPr>
          <w:rFonts w:asciiTheme="minorEastAsia" w:hAnsiTheme="minorEastAsia" w:eastAsiaTheme="minorEastAsia"/>
        </w:rPr>
      </w:pPr>
      <w:r>
        <w:rPr>
          <w:rFonts w:asciiTheme="minorEastAsia" w:hAnsiTheme="minorEastAsia" w:eastAsiaTheme="minorEastAsia"/>
        </w:rPr>
        <w:t>20.3.1 争议评审小组的确定</w:t>
      </w:r>
    </w:p>
    <w:p>
      <w:pPr>
        <w:rPr>
          <w:rFonts w:asciiTheme="minorEastAsia" w:hAnsiTheme="minorEastAsia" w:eastAsiaTheme="minorEastAsia"/>
          <w:u w:val="single"/>
        </w:rPr>
      </w:pPr>
      <w:r>
        <w:rPr>
          <w:rFonts w:asciiTheme="minorEastAsia" w:hAnsiTheme="minorEastAsia" w:eastAsiaTheme="minorEastAsia"/>
        </w:rPr>
        <w:t>争议评审小组成员的确定：</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选定争议评审员的期限：</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争议评审小组成员的报酬承担方式：</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其他事项的约定：</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20.3.2 争议评审小组的决定</w:t>
      </w:r>
    </w:p>
    <w:p>
      <w:pPr>
        <w:rPr>
          <w:rFonts w:asciiTheme="minorEastAsia" w:hAnsiTheme="minorEastAsia" w:eastAsiaTheme="minorEastAsia"/>
        </w:rPr>
      </w:pPr>
      <w:r>
        <w:rPr>
          <w:rFonts w:asciiTheme="minorEastAsia" w:hAnsiTheme="minorEastAsia" w:eastAsiaTheme="minorEastAsia"/>
        </w:rPr>
        <w:t>合同当事人关于本项的约定：</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20.4仲裁或诉讼</w:t>
      </w:r>
      <w:bookmarkEnd w:id="1105"/>
    </w:p>
    <w:p>
      <w:pPr>
        <w:rPr>
          <w:rFonts w:asciiTheme="minorEastAsia" w:hAnsiTheme="minorEastAsia" w:eastAsiaTheme="minorEastAsia"/>
        </w:rPr>
      </w:pPr>
      <w:r>
        <w:rPr>
          <w:rFonts w:asciiTheme="minorEastAsia" w:hAnsiTheme="minorEastAsia" w:eastAsiaTheme="minorEastAsia"/>
        </w:rPr>
        <w:t>因合同及合同有关事项发生的争议，按下列第</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种方式</w:t>
      </w:r>
      <w:r>
        <w:rPr>
          <w:rFonts w:hint="eastAsia" w:asciiTheme="minorEastAsia" w:hAnsiTheme="minorEastAsia" w:eastAsiaTheme="minorEastAsia"/>
        </w:rPr>
        <w:t>解</w:t>
      </w:r>
      <w:r>
        <w:rPr>
          <w:rFonts w:asciiTheme="minorEastAsia" w:hAnsiTheme="minorEastAsia" w:eastAsiaTheme="minorEastAsia"/>
        </w:rPr>
        <w:t>决：</w:t>
      </w:r>
    </w:p>
    <w:p>
      <w:pPr>
        <w:rPr>
          <w:rFonts w:asciiTheme="minorEastAsia" w:hAnsiTheme="minorEastAsia" w:eastAsiaTheme="minorEastAsia"/>
        </w:rPr>
      </w:pPr>
      <w:r>
        <w:rPr>
          <w:rFonts w:asciiTheme="minorEastAsia" w:hAnsiTheme="minorEastAsia" w:eastAsiaTheme="minorEastAsia"/>
        </w:rPr>
        <w:t>（1）向</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rPr>
        <w:t>仲裁委员会申请仲裁；</w:t>
      </w:r>
    </w:p>
    <w:p>
      <w:pPr>
        <w:rPr>
          <w:rFonts w:asciiTheme="minorEastAsia" w:hAnsiTheme="minorEastAsia" w:eastAsiaTheme="minorEastAsia"/>
        </w:rPr>
      </w:pPr>
      <w:r>
        <w:rPr>
          <w:rFonts w:asciiTheme="minorEastAsia" w:hAnsiTheme="minorEastAsia" w:eastAsiaTheme="minorEastAsia"/>
        </w:rPr>
        <w:t>（2）向</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人民法院起诉。</w:t>
      </w:r>
      <w:bookmarkEnd w:id="1106"/>
      <w:bookmarkEnd w:id="1107"/>
      <w:bookmarkEnd w:id="1108"/>
      <w:bookmarkEnd w:id="1109"/>
      <w:bookmarkEnd w:id="1110"/>
      <w:bookmarkEnd w:id="1111"/>
    </w:p>
    <w:p>
      <w:pPr>
        <w:rPr>
          <w:rFonts w:asciiTheme="minorEastAsia" w:hAnsiTheme="minorEastAsia" w:eastAsiaTheme="minorEastAsia"/>
          <w:bCs/>
        </w:rPr>
      </w:pPr>
    </w:p>
    <w:p>
      <w:pPr>
        <w:rPr>
          <w:rFonts w:asciiTheme="minorEastAsia" w:hAnsiTheme="minorEastAsia" w:eastAsiaTheme="minorEastAsia"/>
          <w:b/>
        </w:rPr>
      </w:pPr>
      <w:r>
        <w:rPr>
          <w:rFonts w:asciiTheme="minorEastAsia" w:hAnsiTheme="minorEastAsia" w:eastAsiaTheme="minorEastAsia"/>
          <w:bCs/>
        </w:rPr>
        <w:br w:type="page"/>
      </w:r>
      <w:r>
        <w:rPr>
          <w:rFonts w:hint="eastAsia" w:asciiTheme="minorEastAsia" w:hAnsiTheme="minorEastAsia" w:eastAsiaTheme="minorEastAsia"/>
          <w:b/>
        </w:rPr>
        <w:t>第四节</w:t>
      </w:r>
      <w:r>
        <w:rPr>
          <w:rFonts w:asciiTheme="minorEastAsia" w:hAnsiTheme="minorEastAsia" w:eastAsiaTheme="minorEastAsia"/>
          <w:b/>
        </w:rPr>
        <w:t xml:space="preserve">  </w:t>
      </w:r>
      <w:r>
        <w:rPr>
          <w:rFonts w:hint="eastAsia" w:asciiTheme="minorEastAsia" w:hAnsiTheme="minorEastAsia" w:eastAsiaTheme="minorEastAsia"/>
          <w:b/>
        </w:rPr>
        <w:t>合同附件格式</w:t>
      </w:r>
    </w:p>
    <w:p>
      <w:pPr>
        <w:rPr>
          <w:rFonts w:asciiTheme="minorEastAsia" w:hAnsiTheme="minorEastAsia" w:eastAsiaTheme="minorEastAsia"/>
        </w:rPr>
      </w:pPr>
    </w:p>
    <w:p>
      <w:pPr>
        <w:rPr>
          <w:rFonts w:asciiTheme="minorEastAsia" w:hAnsiTheme="minorEastAsia" w:eastAsiaTheme="minorEastAsia"/>
          <w:b/>
        </w:rPr>
      </w:pPr>
      <w:r>
        <w:rPr>
          <w:rFonts w:hint="eastAsia" w:asciiTheme="minorEastAsia" w:hAnsiTheme="minorEastAsia" w:eastAsiaTheme="minorEastAsia"/>
          <w:b/>
        </w:rPr>
        <w:t>附件一：质量保修书</w:t>
      </w:r>
    </w:p>
    <w:p>
      <w:pPr>
        <w:rPr>
          <w:rFonts w:asciiTheme="minorEastAsia" w:hAnsiTheme="minorEastAsia" w:eastAsiaTheme="minorEastAsia"/>
          <w:b/>
        </w:rPr>
      </w:pPr>
    </w:p>
    <w:p>
      <w:pPr>
        <w:rPr>
          <w:rFonts w:asciiTheme="minorEastAsia" w:hAnsiTheme="minorEastAsia" w:eastAsiaTheme="minorEastAsia"/>
          <w:b/>
        </w:rPr>
      </w:pPr>
    </w:p>
    <w:p>
      <w:pPr>
        <w:rPr>
          <w:rFonts w:asciiTheme="minorEastAsia" w:hAnsiTheme="minorEastAsia" w:eastAsiaTheme="minorEastAsia"/>
        </w:rPr>
      </w:pPr>
      <w:r>
        <w:rPr>
          <w:rFonts w:hint="eastAsia" w:asciiTheme="minorEastAsia" w:hAnsiTheme="minorEastAsia" w:eastAsiaTheme="minorEastAsia"/>
          <w:b/>
        </w:rPr>
        <w:t>工程质量保修书</w:t>
      </w:r>
    </w:p>
    <w:p>
      <w:pPr>
        <w:rPr>
          <w:rFonts w:asciiTheme="minorEastAsia" w:hAnsiTheme="minorEastAsia" w:eastAsiaTheme="minorEastAsia"/>
          <w:u w:val="single"/>
        </w:rPr>
      </w:pPr>
      <w:r>
        <w:rPr>
          <w:rFonts w:hint="eastAsia" w:asciiTheme="minorEastAsia" w:hAnsiTheme="minorEastAsia" w:eastAsiaTheme="minorEastAsia"/>
        </w:rPr>
        <w:t>发包人（全称）：</w:t>
      </w:r>
      <w:r>
        <w:rPr>
          <w:rFonts w:hint="eastAsia" w:asciiTheme="minorEastAsia" w:hAnsiTheme="minorEastAsia" w:eastAsiaTheme="minorEastAsia"/>
          <w:u w:val="single"/>
        </w:rPr>
        <w:t xml:space="preserve">                                               </w:t>
      </w:r>
    </w:p>
    <w:p>
      <w:pPr>
        <w:rPr>
          <w:rFonts w:asciiTheme="minorEastAsia" w:hAnsiTheme="minorEastAsia" w:eastAsiaTheme="minorEastAsia"/>
          <w:u w:val="single"/>
        </w:rPr>
      </w:pPr>
      <w:r>
        <w:rPr>
          <w:rFonts w:hint="eastAsia" w:asciiTheme="minorEastAsia" w:hAnsiTheme="minorEastAsia" w:eastAsiaTheme="minorEastAsia"/>
        </w:rPr>
        <w:t>承包人（全称）：</w:t>
      </w:r>
      <w:r>
        <w:rPr>
          <w:rFonts w:hint="eastAsia" w:asciiTheme="minorEastAsia" w:hAnsiTheme="minorEastAsia" w:eastAsiaTheme="minorEastAsia"/>
          <w:u w:val="single"/>
        </w:rPr>
        <w:t xml:space="preserve">                                               </w:t>
      </w:r>
    </w:p>
    <w:p>
      <w:pPr>
        <w:rPr>
          <w:rFonts w:asciiTheme="minorEastAsia" w:hAnsiTheme="minorEastAsia" w:eastAsiaTheme="minorEastAsia"/>
          <w:u w:val="single"/>
        </w:rPr>
      </w:pPr>
      <w:r>
        <w:rPr>
          <w:rFonts w:hint="eastAsia" w:asciiTheme="minorEastAsia" w:hAnsiTheme="minorEastAsia" w:eastAsiaTheme="minorEastAsia"/>
        </w:rPr>
        <w:t>发包人、承包人根据《中华人民共和国建筑法》、《建设工程质量管理条例》和《房屋建筑工程质量保修办法》，经协商一致，对</w:t>
      </w:r>
      <w:r>
        <w:rPr>
          <w:rFonts w:hint="eastAsia" w:asciiTheme="minorEastAsia" w:hAnsiTheme="minorEastAsia" w:eastAsiaTheme="minorEastAsia"/>
          <w:u w:val="single"/>
        </w:rPr>
        <w:t xml:space="preserve">          </w:t>
      </w:r>
      <w:r>
        <w:rPr>
          <w:rFonts w:hint="eastAsia" w:asciiTheme="minorEastAsia" w:hAnsiTheme="minorEastAsia" w:eastAsiaTheme="minorEastAsia"/>
        </w:rPr>
        <w:t>签订工程质量保修书。</w:t>
      </w:r>
    </w:p>
    <w:p>
      <w:pPr>
        <w:rPr>
          <w:rFonts w:asciiTheme="minorEastAsia" w:hAnsiTheme="minorEastAsia" w:eastAsiaTheme="minorEastAsia"/>
        </w:rPr>
      </w:pPr>
      <w:r>
        <w:rPr>
          <w:rFonts w:hint="eastAsia" w:asciiTheme="minorEastAsia" w:hAnsiTheme="minorEastAsia" w:eastAsiaTheme="minorEastAsia"/>
        </w:rPr>
        <w:t>1、工程质量保修范围和内容</w:t>
      </w:r>
    </w:p>
    <w:p>
      <w:pPr>
        <w:rPr>
          <w:rFonts w:asciiTheme="minorEastAsia" w:hAnsiTheme="minorEastAsia" w:eastAsiaTheme="minorEastAsia"/>
        </w:rPr>
      </w:pPr>
      <w:r>
        <w:rPr>
          <w:rFonts w:hint="eastAsia" w:asciiTheme="minorEastAsia" w:hAnsiTheme="minorEastAsia" w:eastAsiaTheme="minorEastAsia"/>
        </w:rPr>
        <w:t>承包人在质量保修期内，按照有关法律、法规、规章规定和双方约定，承担本工程质量保修责任。</w:t>
      </w:r>
    </w:p>
    <w:p>
      <w:pPr>
        <w:rPr>
          <w:rFonts w:asciiTheme="minorEastAsia" w:hAnsiTheme="minorEastAsia" w:eastAsiaTheme="minorEastAsia"/>
        </w:rPr>
      </w:pPr>
      <w:r>
        <w:rPr>
          <w:rFonts w:hint="eastAsia" w:asciiTheme="minorEastAsia" w:hAnsiTheme="minorEastAsia" w:eastAsiaTheme="minorEastAsia"/>
        </w:rPr>
        <w:t>质量保修范围包括地基基础工程、主体结构工程，屋面防水工程、有防水要求的卫生间、房间和外墙面的防渗漏，供热与供冷系统，电气管线、给排水管道、设备安装和装修工程，以及双方约定的其他项目。</w:t>
      </w:r>
    </w:p>
    <w:p>
      <w:pPr>
        <w:rPr>
          <w:rFonts w:asciiTheme="minorEastAsia" w:hAnsiTheme="minorEastAsia" w:eastAsiaTheme="minorEastAsia"/>
        </w:rPr>
      </w:pPr>
      <w:r>
        <w:rPr>
          <w:rFonts w:hint="eastAsia" w:asciiTheme="minorEastAsia" w:hAnsiTheme="minorEastAsia" w:eastAsiaTheme="minorEastAsia"/>
        </w:rPr>
        <w:t>2、质量保修期</w:t>
      </w:r>
    </w:p>
    <w:p>
      <w:pPr>
        <w:rPr>
          <w:rFonts w:asciiTheme="minorEastAsia" w:hAnsiTheme="minorEastAsia" w:eastAsiaTheme="minorEastAsia"/>
        </w:rPr>
      </w:pPr>
      <w:r>
        <w:rPr>
          <w:rFonts w:hint="eastAsia" w:asciiTheme="minorEastAsia" w:hAnsiTheme="minorEastAsia" w:eastAsiaTheme="minorEastAsia"/>
        </w:rPr>
        <w:t>2.1双方根据《建设工程质量管理条例》及有关规定，约定本工程的质量保修期如下：</w:t>
      </w:r>
    </w:p>
    <w:p>
      <w:pPr>
        <w:rPr>
          <w:rFonts w:asciiTheme="minorEastAsia" w:hAnsiTheme="minorEastAsia" w:eastAsiaTheme="minorEastAsia"/>
        </w:rPr>
      </w:pPr>
      <w:r>
        <w:rPr>
          <w:rFonts w:hint="eastAsia" w:asciiTheme="minorEastAsia" w:hAnsiTheme="minorEastAsia" w:eastAsiaTheme="minorEastAsia"/>
        </w:rPr>
        <w:t>（1）地基基础工程和主体结构工程为设计文件规定的该工程合理使用年限；</w:t>
      </w:r>
    </w:p>
    <w:p>
      <w:pPr>
        <w:rPr>
          <w:rFonts w:asciiTheme="minorEastAsia" w:hAnsiTheme="minorEastAsia" w:eastAsiaTheme="minorEastAsia"/>
          <w:spacing w:val="-6"/>
        </w:rPr>
      </w:pPr>
      <w:r>
        <w:rPr>
          <w:rFonts w:hint="eastAsia" w:asciiTheme="minorEastAsia" w:hAnsiTheme="minorEastAsia" w:eastAsiaTheme="minorEastAsia"/>
          <w:spacing w:val="-6"/>
        </w:rPr>
        <w:t>（2）屋面防水工程、有防水要求的卫生间、房间和外墙面的防渗漏为</w:t>
      </w:r>
      <w:r>
        <w:rPr>
          <w:rFonts w:hint="eastAsia" w:asciiTheme="minorEastAsia" w:hAnsiTheme="minorEastAsia" w:eastAsiaTheme="minorEastAsia"/>
          <w:spacing w:val="-6"/>
          <w:u w:val="single"/>
        </w:rPr>
        <w:t xml:space="preserve">     </w:t>
      </w:r>
      <w:r>
        <w:rPr>
          <w:rFonts w:hint="eastAsia" w:asciiTheme="minorEastAsia" w:hAnsiTheme="minorEastAsia" w:eastAsiaTheme="minorEastAsia"/>
          <w:spacing w:val="-6"/>
        </w:rPr>
        <w:t>年；</w:t>
      </w:r>
    </w:p>
    <w:p>
      <w:pPr>
        <w:rPr>
          <w:rFonts w:asciiTheme="minorEastAsia" w:hAnsiTheme="minorEastAsia" w:eastAsiaTheme="minorEastAsia"/>
        </w:rPr>
      </w:pPr>
      <w:r>
        <w:rPr>
          <w:rFonts w:hint="eastAsia" w:asciiTheme="minorEastAsia" w:hAnsiTheme="minorEastAsia" w:eastAsiaTheme="minorEastAsia"/>
        </w:rPr>
        <w:t>（3）装修工程为</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hint="eastAsia" w:asciiTheme="minorEastAsia" w:hAnsiTheme="minorEastAsia" w:eastAsiaTheme="minorEastAsia"/>
        </w:rPr>
        <w:t>年；</w:t>
      </w:r>
    </w:p>
    <w:p>
      <w:pPr>
        <w:rPr>
          <w:rFonts w:asciiTheme="minorEastAsia" w:hAnsiTheme="minorEastAsia" w:eastAsiaTheme="minorEastAsia"/>
        </w:rPr>
      </w:pPr>
      <w:r>
        <w:rPr>
          <w:rFonts w:hint="eastAsia" w:asciiTheme="minorEastAsia" w:hAnsiTheme="minorEastAsia" w:eastAsiaTheme="minorEastAsia"/>
        </w:rPr>
        <w:t>（4）供热与供冷系统为</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hint="eastAsia" w:asciiTheme="minorEastAsia" w:hAnsiTheme="minorEastAsia" w:eastAsiaTheme="minorEastAsia"/>
        </w:rPr>
        <w:t>个采暖期、供冷期；</w:t>
      </w:r>
    </w:p>
    <w:p>
      <w:pPr>
        <w:rPr>
          <w:rFonts w:asciiTheme="minorEastAsia" w:hAnsiTheme="minorEastAsia" w:eastAsiaTheme="minorEastAsia"/>
        </w:rPr>
      </w:pPr>
      <w:r>
        <w:rPr>
          <w:rFonts w:hint="eastAsia" w:asciiTheme="minorEastAsia" w:hAnsiTheme="minorEastAsia" w:eastAsiaTheme="minorEastAsia"/>
        </w:rPr>
        <w:t>（5）电气管线、给排水管道、设备安装工程为</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hint="eastAsia" w:asciiTheme="minorEastAsia" w:hAnsiTheme="minorEastAsia" w:eastAsiaTheme="minorEastAsia"/>
        </w:rPr>
        <w:t>年；</w:t>
      </w:r>
    </w:p>
    <w:p>
      <w:pPr>
        <w:rPr>
          <w:rFonts w:asciiTheme="minorEastAsia" w:hAnsiTheme="minorEastAsia" w:eastAsiaTheme="minorEastAsia"/>
        </w:rPr>
      </w:pPr>
      <w:r>
        <w:rPr>
          <w:rFonts w:hint="eastAsia" w:asciiTheme="minorEastAsia" w:hAnsiTheme="minorEastAsia" w:eastAsiaTheme="minorEastAsia"/>
        </w:rPr>
        <w:t>（6）住宅小区内的给排水设施、道路等配套工程为</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hint="eastAsia" w:asciiTheme="minorEastAsia" w:hAnsiTheme="minorEastAsia" w:eastAsiaTheme="minorEastAsia"/>
        </w:rPr>
        <w:t>年；</w:t>
      </w:r>
    </w:p>
    <w:p>
      <w:pPr>
        <w:rPr>
          <w:rFonts w:asciiTheme="minorEastAsia" w:hAnsiTheme="minorEastAsia" w:eastAsiaTheme="minorEastAsia"/>
        </w:rPr>
      </w:pPr>
      <w:r>
        <w:rPr>
          <w:rFonts w:hint="eastAsia" w:asciiTheme="minorEastAsia" w:hAnsiTheme="minorEastAsia" w:eastAsiaTheme="minorEastAsia"/>
        </w:rPr>
        <w:t>2.2 质量保修期自工程竣工验收合格之日起计算。</w:t>
      </w:r>
    </w:p>
    <w:p>
      <w:pPr>
        <w:rPr>
          <w:rFonts w:asciiTheme="minorEastAsia" w:hAnsiTheme="minorEastAsia" w:eastAsiaTheme="minorEastAsia"/>
        </w:rPr>
      </w:pPr>
      <w:r>
        <w:rPr>
          <w:rFonts w:hint="eastAsia" w:asciiTheme="minorEastAsia" w:hAnsiTheme="minorEastAsia" w:eastAsiaTheme="minorEastAsia"/>
        </w:rPr>
        <w:t>3、质量保修责任</w:t>
      </w:r>
    </w:p>
    <w:p>
      <w:pPr>
        <w:rPr>
          <w:rFonts w:asciiTheme="minorEastAsia" w:hAnsiTheme="minorEastAsia" w:eastAsiaTheme="minorEastAsia"/>
        </w:rPr>
      </w:pPr>
      <w:r>
        <w:rPr>
          <w:rFonts w:hint="eastAsia" w:asciiTheme="minorEastAsia" w:hAnsiTheme="minorEastAsia" w:eastAsiaTheme="minorEastAsia"/>
        </w:rPr>
        <w:t>3.1 属于保修范围、内容的项目，承包人应当在接到保修通知之日起</w:t>
      </w:r>
      <w:r>
        <w:rPr>
          <w:rFonts w:asciiTheme="minorEastAsia" w:hAnsiTheme="minorEastAsia" w:eastAsiaTheme="minorEastAsia"/>
        </w:rPr>
        <w:t>7天</w:t>
      </w:r>
      <w:r>
        <w:rPr>
          <w:rFonts w:hint="eastAsia" w:asciiTheme="minorEastAsia" w:hAnsiTheme="minorEastAsia" w:eastAsiaTheme="minorEastAsia"/>
        </w:rPr>
        <w:t>内派人保修。承包人不在约定期限内派人保修的，发包人可以委托他人修理。</w:t>
      </w:r>
    </w:p>
    <w:p>
      <w:pPr>
        <w:rPr>
          <w:rFonts w:asciiTheme="minorEastAsia" w:hAnsiTheme="minorEastAsia" w:eastAsiaTheme="minorEastAsia"/>
        </w:rPr>
      </w:pPr>
      <w:r>
        <w:rPr>
          <w:rFonts w:hint="eastAsia" w:asciiTheme="minorEastAsia" w:hAnsiTheme="minorEastAsia" w:eastAsiaTheme="minorEastAsia"/>
        </w:rPr>
        <w:t>3.2 发生紧急抢修事故的，承包人在接到事故通知后，应当立即到达事故现场抢修。</w:t>
      </w:r>
    </w:p>
    <w:p>
      <w:pPr>
        <w:rPr>
          <w:rFonts w:asciiTheme="minorEastAsia" w:hAnsiTheme="minorEastAsia" w:eastAsiaTheme="minorEastAsia"/>
        </w:rPr>
      </w:pPr>
      <w:r>
        <w:rPr>
          <w:rFonts w:hint="eastAsia" w:asciiTheme="minorEastAsia" w:hAnsiTheme="minorEastAsia" w:eastAsiaTheme="minorEastAsia"/>
        </w:rPr>
        <w:t>3.3 对于涉及结构安全的质量问题，应当按照《房屋建筑工程质量保修办法》的规定，立即向当地建设行政主管部门报告，采取安全防范措施；由原设计单位或者具有相应资质等级的设计单位提出保修方案，承包人实施保修。</w:t>
      </w:r>
    </w:p>
    <w:p>
      <w:pPr>
        <w:rPr>
          <w:rFonts w:asciiTheme="minorEastAsia" w:hAnsiTheme="minorEastAsia" w:eastAsiaTheme="minorEastAsia"/>
        </w:rPr>
      </w:pPr>
      <w:r>
        <w:rPr>
          <w:rFonts w:hint="eastAsia" w:asciiTheme="minorEastAsia" w:hAnsiTheme="minorEastAsia" w:eastAsiaTheme="minorEastAsia"/>
        </w:rPr>
        <w:t>3.4 质量保修完成后，由发包人组织验收。</w:t>
      </w:r>
    </w:p>
    <w:p>
      <w:pPr>
        <w:rPr>
          <w:rFonts w:asciiTheme="minorEastAsia" w:hAnsiTheme="minorEastAsia" w:eastAsiaTheme="minorEastAsia"/>
        </w:rPr>
      </w:pPr>
      <w:r>
        <w:rPr>
          <w:rFonts w:hint="eastAsia" w:asciiTheme="minorEastAsia" w:hAnsiTheme="minorEastAsia" w:eastAsiaTheme="minorEastAsia"/>
        </w:rPr>
        <w:t>4、保修费用</w:t>
      </w:r>
    </w:p>
    <w:p>
      <w:pPr>
        <w:rPr>
          <w:rFonts w:asciiTheme="minorEastAsia" w:hAnsiTheme="minorEastAsia" w:eastAsiaTheme="minorEastAsia"/>
        </w:rPr>
      </w:pPr>
      <w:r>
        <w:rPr>
          <w:rFonts w:hint="eastAsia" w:asciiTheme="minorEastAsia" w:hAnsiTheme="minorEastAsia" w:eastAsiaTheme="minorEastAsia"/>
        </w:rPr>
        <w:t>4.1保修费用由造成质量缺陷的责任方承担。</w:t>
      </w:r>
    </w:p>
    <w:p>
      <w:pPr>
        <w:rPr>
          <w:rFonts w:asciiTheme="minorEastAsia" w:hAnsiTheme="minorEastAsia" w:eastAsiaTheme="minorEastAsia"/>
        </w:rPr>
      </w:pPr>
      <w:r>
        <w:rPr>
          <w:rFonts w:hint="eastAsia" w:asciiTheme="minorEastAsia" w:hAnsiTheme="minorEastAsia" w:eastAsiaTheme="minorEastAsia"/>
        </w:rPr>
        <w:t>5、其他</w:t>
      </w:r>
    </w:p>
    <w:p>
      <w:pPr>
        <w:rPr>
          <w:rFonts w:asciiTheme="minorEastAsia" w:hAnsiTheme="minorEastAsia" w:eastAsiaTheme="minorEastAsia"/>
        </w:rPr>
      </w:pPr>
      <w:bookmarkStart w:id="1118" w:name="_Toc211643904"/>
      <w:bookmarkStart w:id="1119" w:name="_Toc199318336"/>
      <w:bookmarkStart w:id="1120" w:name="_Toc435626179"/>
      <w:bookmarkStart w:id="1121" w:name="_Toc247945911"/>
      <w:bookmarkStart w:id="1122" w:name="_Toc207526821"/>
      <w:r>
        <w:rPr>
          <w:rFonts w:hint="eastAsia" w:asciiTheme="minorEastAsia" w:hAnsiTheme="minorEastAsia" w:eastAsiaTheme="minorEastAsia"/>
        </w:rPr>
        <w:t>5.1 双方约定的其他工程质量保修事项:</w:t>
      </w:r>
      <w:bookmarkEnd w:id="1118"/>
      <w:bookmarkEnd w:id="1119"/>
      <w:bookmarkEnd w:id="1120"/>
      <w:bookmarkEnd w:id="1121"/>
      <w:bookmarkEnd w:id="1122"/>
    </w:p>
    <w:p>
      <w:pPr>
        <w:rPr>
          <w:rFonts w:asciiTheme="minorEastAsia" w:hAnsiTheme="minorEastAsia" w:eastAsiaTheme="minorEastAsia"/>
          <w:u w:val="single"/>
        </w:rPr>
      </w:pP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p>
    <w:p>
      <w:pPr>
        <w:rPr>
          <w:rFonts w:asciiTheme="minorEastAsia" w:hAnsiTheme="minorEastAsia" w:eastAsiaTheme="minorEastAsia"/>
        </w:rPr>
      </w:pPr>
      <w:bookmarkStart w:id="1123" w:name="_Toc247945912"/>
      <w:bookmarkStart w:id="1124" w:name="_Toc435626180"/>
      <w:bookmarkStart w:id="1125" w:name="_Toc211643905"/>
      <w:bookmarkStart w:id="1126" w:name="_Toc199318337"/>
      <w:bookmarkStart w:id="1127" w:name="_Toc207526822"/>
      <w:r>
        <w:rPr>
          <w:rFonts w:hint="eastAsia" w:asciiTheme="minorEastAsia" w:hAnsiTheme="minorEastAsia" w:eastAsiaTheme="minorEastAsia"/>
        </w:rPr>
        <w:t>5.2 本工程质量保修书,由施工合同发包人、承包人双方在竣工验收前共同签署，作为施工合同附件，其有效期限至保修期满。</w:t>
      </w:r>
      <w:bookmarkEnd w:id="1123"/>
      <w:bookmarkEnd w:id="1124"/>
      <w:bookmarkEnd w:id="1125"/>
      <w:bookmarkEnd w:id="1126"/>
      <w:bookmarkEnd w:id="1127"/>
    </w:p>
    <w:p>
      <w:pPr>
        <w:rPr>
          <w:rFonts w:asciiTheme="minorEastAsia" w:hAnsiTheme="minorEastAsia" w:eastAsiaTheme="minorEastAsia"/>
        </w:rPr>
      </w:pPr>
    </w:p>
    <w:p>
      <w:pPr>
        <w:rPr>
          <w:rFonts w:asciiTheme="minorEastAsia" w:hAnsiTheme="minorEastAsia" w:eastAsiaTheme="minorEastAsia"/>
        </w:rPr>
      </w:pPr>
    </w:p>
    <w:p>
      <w:pPr>
        <w:rPr>
          <w:rFonts w:asciiTheme="minorEastAsia" w:hAnsiTheme="minorEastAsia" w:eastAsiaTheme="minorEastAsia"/>
        </w:rPr>
      </w:pPr>
    </w:p>
    <w:p>
      <w:pPr>
        <w:rPr>
          <w:rFonts w:asciiTheme="minorEastAsia" w:hAnsiTheme="minorEastAsia" w:eastAsiaTheme="minorEastAsia"/>
        </w:rPr>
      </w:pPr>
      <w:r>
        <w:rPr>
          <w:rFonts w:hint="eastAsia" w:asciiTheme="minorEastAsia" w:hAnsiTheme="minorEastAsia" w:eastAsiaTheme="minorEastAsia"/>
        </w:rPr>
        <w:t>发  包  人（公章）：                     承  包  人（公章）：</w:t>
      </w:r>
    </w:p>
    <w:p>
      <w:pPr>
        <w:rPr>
          <w:rFonts w:asciiTheme="minorEastAsia" w:hAnsiTheme="minorEastAsia" w:eastAsiaTheme="minorEastAsia"/>
        </w:rPr>
      </w:pPr>
    </w:p>
    <w:p>
      <w:pPr>
        <w:rPr>
          <w:rFonts w:asciiTheme="minorEastAsia" w:hAnsiTheme="minorEastAsia" w:eastAsiaTheme="minorEastAsia"/>
        </w:rPr>
      </w:pPr>
      <w:r>
        <w:rPr>
          <w:rFonts w:hint="eastAsia" w:asciiTheme="minorEastAsia" w:hAnsiTheme="minorEastAsia" w:eastAsiaTheme="minorEastAsia"/>
        </w:rPr>
        <w:t>法定代表人或授权代表（签字）：           法定代表人或授权代表（签字）：</w:t>
      </w:r>
    </w:p>
    <w:p>
      <w:pPr>
        <w:rPr>
          <w:rFonts w:asciiTheme="minorEastAsia" w:hAnsiTheme="minorEastAsia" w:eastAsiaTheme="minorEastAsia"/>
        </w:rPr>
      </w:pPr>
    </w:p>
    <w:p>
      <w:pPr>
        <w:rPr>
          <w:rFonts w:asciiTheme="minorEastAsia" w:hAnsiTheme="minorEastAsia" w:eastAsiaTheme="minorEastAsia"/>
        </w:rPr>
      </w:pPr>
      <w:r>
        <w:rPr>
          <w:rFonts w:hint="eastAsia" w:asciiTheme="minorEastAsia" w:hAnsiTheme="minorEastAsia" w:eastAsiaTheme="minorEastAsia"/>
        </w:rPr>
        <w:t>年</w:t>
      </w:r>
      <w:r>
        <w:rPr>
          <w:rFonts w:hint="eastAsia" w:asciiTheme="minorEastAsia" w:hAnsiTheme="minorEastAsia" w:eastAsiaTheme="minorEastAsia"/>
          <w:u w:val="single"/>
        </w:rPr>
        <w:t xml:space="preserve">     </w:t>
      </w:r>
      <w:r>
        <w:rPr>
          <w:rFonts w:hint="eastAsia" w:asciiTheme="minorEastAsia" w:hAnsiTheme="minorEastAsia" w:eastAsiaTheme="minorEastAsia"/>
        </w:rPr>
        <w:t>月</w:t>
      </w:r>
      <w:r>
        <w:rPr>
          <w:rFonts w:hint="eastAsia" w:asciiTheme="minorEastAsia" w:hAnsiTheme="minorEastAsia" w:eastAsiaTheme="minorEastAsia"/>
          <w:u w:val="single"/>
        </w:rPr>
        <w:t xml:space="preserve">     </w:t>
      </w:r>
      <w:r>
        <w:rPr>
          <w:rFonts w:hint="eastAsia" w:asciiTheme="minorEastAsia" w:hAnsiTheme="minorEastAsia" w:eastAsiaTheme="minorEastAsia"/>
        </w:rPr>
        <w:t xml:space="preserve">日                        </w:t>
      </w:r>
      <w:r>
        <w:rPr>
          <w:rFonts w:hint="eastAsia" w:asciiTheme="minorEastAsia" w:hAnsiTheme="minorEastAsia" w:eastAsiaTheme="minorEastAsia"/>
          <w:u w:val="single"/>
        </w:rPr>
        <w:t xml:space="preserve">        </w:t>
      </w:r>
      <w:r>
        <w:rPr>
          <w:rFonts w:hint="eastAsia" w:asciiTheme="minorEastAsia" w:hAnsiTheme="minorEastAsia" w:eastAsiaTheme="minorEastAsia"/>
        </w:rPr>
        <w:t>年</w:t>
      </w:r>
      <w:r>
        <w:rPr>
          <w:rFonts w:hint="eastAsia" w:asciiTheme="minorEastAsia" w:hAnsiTheme="minorEastAsia" w:eastAsiaTheme="minorEastAsia"/>
          <w:u w:val="single"/>
        </w:rPr>
        <w:t xml:space="preserve">     </w:t>
      </w:r>
      <w:r>
        <w:rPr>
          <w:rFonts w:hint="eastAsia" w:asciiTheme="minorEastAsia" w:hAnsiTheme="minorEastAsia" w:eastAsiaTheme="minorEastAsia"/>
        </w:rPr>
        <w:t>月</w:t>
      </w:r>
    </w:p>
    <w:p>
      <w:pPr>
        <w:rPr>
          <w:rFonts w:asciiTheme="minorEastAsia" w:hAnsiTheme="minorEastAsia" w:eastAsiaTheme="minorEastAsia"/>
          <w:b/>
        </w:rPr>
      </w:pPr>
    </w:p>
    <w:p>
      <w:pPr>
        <w:rPr>
          <w:rFonts w:asciiTheme="minorEastAsia" w:hAnsiTheme="minorEastAsia" w:eastAsiaTheme="minorEastAsia"/>
          <w:b/>
        </w:rPr>
      </w:pPr>
    </w:p>
    <w:p>
      <w:pPr>
        <w:rPr>
          <w:rFonts w:asciiTheme="minorEastAsia" w:hAnsiTheme="minorEastAsia" w:eastAsiaTheme="minorEastAsia"/>
          <w:b/>
        </w:rPr>
      </w:pPr>
    </w:p>
    <w:p>
      <w:pPr>
        <w:rPr>
          <w:rFonts w:asciiTheme="minorEastAsia" w:hAnsiTheme="minorEastAsia" w:eastAsiaTheme="minorEastAsia"/>
          <w:b/>
        </w:rPr>
      </w:pPr>
    </w:p>
    <w:p>
      <w:pPr>
        <w:rPr>
          <w:rFonts w:asciiTheme="minorEastAsia" w:hAnsiTheme="minorEastAsia" w:eastAsiaTheme="minorEastAsia"/>
          <w:b/>
        </w:rPr>
      </w:pPr>
    </w:p>
    <w:p>
      <w:pPr>
        <w:rPr>
          <w:rFonts w:asciiTheme="minorEastAsia" w:hAnsiTheme="minorEastAsia" w:eastAsiaTheme="minorEastAsia"/>
          <w:b/>
        </w:rPr>
      </w:pPr>
    </w:p>
    <w:p>
      <w:pPr>
        <w:rPr>
          <w:rFonts w:asciiTheme="minorEastAsia" w:hAnsiTheme="minorEastAsia" w:eastAsiaTheme="minorEastAsia"/>
          <w:b/>
        </w:rPr>
      </w:pPr>
    </w:p>
    <w:p>
      <w:pPr>
        <w:rPr>
          <w:rFonts w:asciiTheme="minorEastAsia" w:hAnsiTheme="minorEastAsia" w:eastAsiaTheme="minorEastAsia"/>
          <w:b/>
        </w:rPr>
      </w:pPr>
    </w:p>
    <w:bookmarkEnd w:id="588"/>
    <w:p>
      <w:pPr>
        <w:rPr>
          <w:rFonts w:asciiTheme="minorEastAsia" w:hAnsiTheme="minorEastAsia" w:eastAsiaTheme="minorEastAsia"/>
          <w:b/>
        </w:rPr>
      </w:pPr>
    </w:p>
    <w:p/>
    <w:p>
      <w:pPr>
        <w:spacing w:line="440" w:lineRule="exact"/>
        <w:rPr>
          <w:rFonts w:ascii="宋体" w:hAnsi="宋体" w:cs="宋体"/>
          <w:szCs w:val="21"/>
        </w:rPr>
      </w:pPr>
    </w:p>
    <w:p>
      <w:pPr>
        <w:spacing w:line="360" w:lineRule="auto"/>
        <w:ind w:firstLine="1767" w:firstLineChars="400"/>
        <w:rPr>
          <w:rFonts w:ascii="宋体" w:hAnsi="宋体" w:cs="宋体"/>
          <w:szCs w:val="21"/>
        </w:rPr>
      </w:pPr>
      <w:r>
        <w:rPr>
          <w:rFonts w:hint="eastAsia" w:ascii="宋体" w:hAnsi="宋体" w:cs="宋体"/>
          <w:b/>
          <w:bCs/>
          <w:sz w:val="44"/>
          <w:szCs w:val="44"/>
        </w:rPr>
        <w:t xml:space="preserve"> </w:t>
      </w:r>
    </w:p>
    <w:p>
      <w:pPr>
        <w:spacing w:line="400" w:lineRule="exact"/>
        <w:rPr>
          <w:rFonts w:ascii="宋体" w:hAnsi="宋体" w:cs="宋体"/>
          <w:szCs w:val="21"/>
        </w:rPr>
      </w:pPr>
    </w:p>
    <w:p>
      <w:pPr>
        <w:spacing w:line="400" w:lineRule="exact"/>
        <w:rPr>
          <w:rFonts w:ascii="宋体" w:hAnsi="宋体" w:cs="宋体"/>
          <w:szCs w:val="21"/>
        </w:rPr>
      </w:pPr>
    </w:p>
    <w:p>
      <w:pPr>
        <w:spacing w:line="400" w:lineRule="exact"/>
        <w:rPr>
          <w:rFonts w:ascii="宋体" w:hAnsi="宋体" w:cs="宋体"/>
          <w:szCs w:val="21"/>
        </w:rPr>
      </w:pPr>
    </w:p>
    <w:p>
      <w:pPr>
        <w:spacing w:line="400" w:lineRule="exact"/>
        <w:rPr>
          <w:rFonts w:ascii="宋体" w:hAnsi="宋体" w:cs="宋体"/>
          <w:szCs w:val="21"/>
        </w:rPr>
      </w:pPr>
    </w:p>
    <w:p>
      <w:pPr>
        <w:spacing w:line="400" w:lineRule="exact"/>
        <w:rPr>
          <w:rFonts w:ascii="宋体" w:hAnsi="宋体" w:cs="宋体"/>
          <w:szCs w:val="21"/>
        </w:rPr>
      </w:pPr>
    </w:p>
    <w:p>
      <w:pPr>
        <w:spacing w:line="400" w:lineRule="exact"/>
        <w:rPr>
          <w:rFonts w:ascii="宋体" w:hAnsi="宋体" w:cs="宋体"/>
          <w:szCs w:val="21"/>
        </w:rPr>
      </w:pPr>
    </w:p>
    <w:p>
      <w:pPr>
        <w:spacing w:line="400" w:lineRule="exact"/>
        <w:rPr>
          <w:rFonts w:ascii="宋体" w:hAnsi="宋体" w:cs="宋体"/>
          <w:szCs w:val="21"/>
        </w:rPr>
      </w:pPr>
    </w:p>
    <w:p>
      <w:pPr>
        <w:spacing w:line="400" w:lineRule="exact"/>
        <w:rPr>
          <w:rFonts w:ascii="宋体" w:hAnsi="宋体" w:cs="宋体"/>
          <w:szCs w:val="21"/>
        </w:rPr>
      </w:pPr>
    </w:p>
    <w:p>
      <w:pPr>
        <w:spacing w:line="400" w:lineRule="exact"/>
        <w:rPr>
          <w:rFonts w:ascii="宋体" w:hAnsi="宋体" w:cs="宋体"/>
          <w:szCs w:val="21"/>
        </w:rPr>
      </w:pPr>
    </w:p>
    <w:p>
      <w:pPr>
        <w:spacing w:line="400" w:lineRule="exact"/>
        <w:rPr>
          <w:rFonts w:ascii="宋体" w:hAnsi="宋体" w:cs="宋体"/>
          <w:szCs w:val="21"/>
        </w:rPr>
      </w:pPr>
    </w:p>
    <w:p>
      <w:pPr>
        <w:spacing w:line="400" w:lineRule="exact"/>
        <w:rPr>
          <w:rFonts w:ascii="宋体" w:hAnsi="宋体" w:cs="宋体"/>
          <w:szCs w:val="21"/>
        </w:rPr>
      </w:pPr>
    </w:p>
    <w:p>
      <w:pPr>
        <w:spacing w:line="400" w:lineRule="exact"/>
        <w:rPr>
          <w:rFonts w:ascii="宋体" w:hAnsi="宋体" w:cs="宋体"/>
          <w:szCs w:val="21"/>
        </w:rPr>
      </w:pPr>
    </w:p>
    <w:p>
      <w:pPr>
        <w:spacing w:line="400" w:lineRule="exact"/>
        <w:rPr>
          <w:rFonts w:ascii="宋体" w:hAnsi="宋体" w:cs="宋体"/>
          <w:szCs w:val="21"/>
        </w:rPr>
      </w:pPr>
    </w:p>
    <w:p>
      <w:pPr>
        <w:spacing w:line="400" w:lineRule="exact"/>
        <w:rPr>
          <w:rFonts w:ascii="宋体" w:hAnsi="宋体" w:cs="宋体"/>
          <w:szCs w:val="21"/>
        </w:rPr>
      </w:pPr>
    </w:p>
    <w:p>
      <w:pPr>
        <w:spacing w:line="400" w:lineRule="exact"/>
        <w:rPr>
          <w:rFonts w:ascii="宋体" w:hAnsi="宋体" w:cs="宋体"/>
          <w:szCs w:val="21"/>
        </w:rPr>
      </w:pPr>
    </w:p>
    <w:p>
      <w:pPr>
        <w:spacing w:line="400" w:lineRule="exact"/>
        <w:rPr>
          <w:rFonts w:ascii="宋体" w:hAnsi="宋体" w:cs="宋体"/>
          <w:szCs w:val="21"/>
        </w:rPr>
      </w:pPr>
    </w:p>
    <w:p>
      <w:pPr>
        <w:pStyle w:val="3"/>
        <w:numPr>
          <w:ilvl w:val="0"/>
          <w:numId w:val="49"/>
        </w:numPr>
        <w:snapToGrid w:val="0"/>
        <w:spacing w:before="0" w:after="0"/>
        <w:ind w:left="0" w:firstLine="0"/>
        <w:rPr>
          <w:rFonts w:ascii="仿宋" w:hAnsi="仿宋" w:eastAsia="仿宋"/>
          <w:color w:val="auto"/>
          <w:highlight w:val="none"/>
        </w:rPr>
      </w:pPr>
      <w:bookmarkStart w:id="1128" w:name="_Toc15616"/>
      <w:r>
        <w:rPr>
          <w:rFonts w:hint="eastAsia" w:ascii="仿宋" w:hAnsi="仿宋" w:eastAsia="仿宋"/>
          <w:color w:val="auto"/>
          <w:highlight w:val="none"/>
        </w:rPr>
        <w:t>工程量清单和图纸</w:t>
      </w:r>
      <w:bookmarkEnd w:id="152"/>
      <w:bookmarkEnd w:id="153"/>
      <w:bookmarkEnd w:id="1128"/>
    </w:p>
    <w:p>
      <w:pPr>
        <w:rPr>
          <w:color w:val="auto"/>
          <w:highlight w:val="none"/>
        </w:rPr>
      </w:pPr>
    </w:p>
    <w:p>
      <w:pPr>
        <w:ind w:firstLine="480" w:firstLineChars="200"/>
        <w:jc w:val="center"/>
        <w:rPr>
          <w:color w:val="auto"/>
          <w:highlight w:val="none"/>
        </w:rPr>
      </w:pPr>
      <w:r>
        <w:rPr>
          <w:rFonts w:hint="eastAsia" w:cs="宋体"/>
          <w:color w:val="auto"/>
          <w:highlight w:val="none"/>
        </w:rPr>
        <w:t>另册。</w:t>
      </w:r>
    </w:p>
    <w:p>
      <w:pPr>
        <w:rPr>
          <w:color w:val="auto"/>
          <w:highlight w:val="none"/>
        </w:rPr>
      </w:pPr>
    </w:p>
    <w:p>
      <w:pPr>
        <w:rPr>
          <w:color w:val="auto"/>
          <w:highlight w:val="none"/>
        </w:rPr>
      </w:pPr>
    </w:p>
    <w:p>
      <w:pPr>
        <w:adjustRightInd w:val="0"/>
        <w:snapToGrid w:val="0"/>
        <w:spacing w:line="360" w:lineRule="auto"/>
        <w:rPr>
          <w:rFonts w:asciiTheme="minorEastAsia" w:hAnsiTheme="minorEastAsia"/>
          <w:color w:val="auto"/>
          <w:sz w:val="28"/>
          <w:szCs w:val="28"/>
          <w:highlight w:val="none"/>
        </w:rPr>
      </w:pPr>
      <w:r>
        <w:rPr>
          <w:rFonts w:asciiTheme="minorEastAsia" w:hAnsiTheme="minorEastAsia"/>
          <w:color w:val="auto"/>
          <w:sz w:val="28"/>
          <w:szCs w:val="28"/>
          <w:highlight w:val="none"/>
        </w:rPr>
        <w:t xml:space="preserve">     </w:t>
      </w:r>
    </w:p>
    <w:p>
      <w:pPr>
        <w:adjustRightInd w:val="0"/>
        <w:snapToGrid w:val="0"/>
        <w:spacing w:line="360" w:lineRule="auto"/>
        <w:rPr>
          <w:rFonts w:asciiTheme="minorEastAsia" w:hAnsiTheme="minorEastAsia"/>
          <w:color w:val="auto"/>
          <w:sz w:val="28"/>
          <w:szCs w:val="28"/>
          <w:highlight w:val="none"/>
        </w:rPr>
      </w:pPr>
    </w:p>
    <w:p>
      <w:pPr>
        <w:adjustRightInd w:val="0"/>
        <w:snapToGrid w:val="0"/>
        <w:spacing w:line="360" w:lineRule="auto"/>
        <w:rPr>
          <w:rFonts w:asciiTheme="minorEastAsia" w:hAnsiTheme="minorEastAsia"/>
          <w:color w:val="auto"/>
          <w:sz w:val="28"/>
          <w:szCs w:val="28"/>
          <w:highlight w:val="none"/>
        </w:rPr>
      </w:pPr>
    </w:p>
    <w:p>
      <w:pPr>
        <w:adjustRightInd w:val="0"/>
        <w:snapToGrid w:val="0"/>
        <w:spacing w:line="360" w:lineRule="auto"/>
        <w:rPr>
          <w:rFonts w:asciiTheme="minorEastAsia" w:hAnsiTheme="minorEastAsia"/>
          <w:color w:val="auto"/>
          <w:sz w:val="28"/>
          <w:szCs w:val="28"/>
          <w:highlight w:val="none"/>
        </w:rPr>
      </w:pPr>
    </w:p>
    <w:p>
      <w:pPr>
        <w:adjustRightInd w:val="0"/>
        <w:snapToGrid w:val="0"/>
        <w:spacing w:line="360" w:lineRule="auto"/>
        <w:rPr>
          <w:rFonts w:asciiTheme="minorEastAsia" w:hAnsiTheme="minorEastAsia"/>
          <w:color w:val="auto"/>
          <w:sz w:val="28"/>
          <w:szCs w:val="28"/>
          <w:highlight w:val="none"/>
        </w:rPr>
      </w:pPr>
    </w:p>
    <w:p>
      <w:pPr>
        <w:adjustRightInd w:val="0"/>
        <w:snapToGrid w:val="0"/>
        <w:spacing w:line="360" w:lineRule="auto"/>
        <w:rPr>
          <w:rFonts w:asciiTheme="minorEastAsia" w:hAnsiTheme="minorEastAsia"/>
          <w:color w:val="auto"/>
          <w:sz w:val="28"/>
          <w:szCs w:val="28"/>
          <w:highlight w:val="none"/>
        </w:rPr>
      </w:pPr>
    </w:p>
    <w:p>
      <w:pPr>
        <w:adjustRightInd w:val="0"/>
        <w:snapToGrid w:val="0"/>
        <w:spacing w:line="360" w:lineRule="auto"/>
        <w:rPr>
          <w:rFonts w:asciiTheme="minorEastAsia" w:hAnsiTheme="minorEastAsia"/>
          <w:color w:val="auto"/>
          <w:sz w:val="28"/>
          <w:szCs w:val="28"/>
          <w:highlight w:val="none"/>
        </w:rPr>
      </w:pPr>
    </w:p>
    <w:p>
      <w:pPr>
        <w:adjustRightInd w:val="0"/>
        <w:snapToGrid w:val="0"/>
        <w:spacing w:line="360" w:lineRule="auto"/>
        <w:rPr>
          <w:rFonts w:asciiTheme="minorEastAsia" w:hAnsiTheme="minorEastAsia"/>
          <w:color w:val="auto"/>
          <w:sz w:val="28"/>
          <w:szCs w:val="28"/>
          <w:highlight w:val="none"/>
        </w:rPr>
      </w:pPr>
    </w:p>
    <w:p>
      <w:pPr>
        <w:adjustRightInd w:val="0"/>
        <w:snapToGrid w:val="0"/>
        <w:spacing w:line="360" w:lineRule="auto"/>
        <w:rPr>
          <w:rFonts w:asciiTheme="minorEastAsia" w:hAnsiTheme="minorEastAsia"/>
          <w:color w:val="auto"/>
          <w:sz w:val="28"/>
          <w:szCs w:val="28"/>
          <w:highlight w:val="none"/>
        </w:rPr>
      </w:pPr>
    </w:p>
    <w:p>
      <w:pPr>
        <w:adjustRightInd w:val="0"/>
        <w:snapToGrid w:val="0"/>
        <w:spacing w:line="360" w:lineRule="auto"/>
        <w:rPr>
          <w:rFonts w:asciiTheme="minorEastAsia" w:hAnsiTheme="minorEastAsia"/>
          <w:color w:val="auto"/>
          <w:sz w:val="28"/>
          <w:szCs w:val="28"/>
          <w:highlight w:val="none"/>
        </w:rPr>
      </w:pPr>
    </w:p>
    <w:p>
      <w:pPr>
        <w:adjustRightInd w:val="0"/>
        <w:snapToGrid w:val="0"/>
        <w:spacing w:line="360" w:lineRule="auto"/>
        <w:rPr>
          <w:rFonts w:asciiTheme="minorEastAsia" w:hAnsiTheme="minorEastAsia"/>
          <w:color w:val="auto"/>
          <w:sz w:val="28"/>
          <w:szCs w:val="28"/>
          <w:highlight w:val="none"/>
        </w:rPr>
      </w:pPr>
    </w:p>
    <w:p>
      <w:pPr>
        <w:adjustRightInd w:val="0"/>
        <w:snapToGrid w:val="0"/>
        <w:spacing w:line="360" w:lineRule="auto"/>
        <w:rPr>
          <w:rFonts w:asciiTheme="minorEastAsia" w:hAnsiTheme="minorEastAsia"/>
          <w:color w:val="auto"/>
          <w:sz w:val="28"/>
          <w:szCs w:val="28"/>
          <w:highlight w:val="none"/>
        </w:rPr>
      </w:pPr>
    </w:p>
    <w:p>
      <w:pPr>
        <w:adjustRightInd w:val="0"/>
        <w:snapToGrid w:val="0"/>
        <w:spacing w:line="360" w:lineRule="auto"/>
        <w:rPr>
          <w:rFonts w:asciiTheme="minorEastAsia" w:hAnsiTheme="minorEastAsia"/>
          <w:color w:val="auto"/>
          <w:sz w:val="28"/>
          <w:szCs w:val="28"/>
          <w:highlight w:val="none"/>
        </w:rPr>
      </w:pPr>
    </w:p>
    <w:p>
      <w:pPr>
        <w:adjustRightInd w:val="0"/>
        <w:snapToGrid w:val="0"/>
        <w:spacing w:line="360" w:lineRule="auto"/>
        <w:rPr>
          <w:rFonts w:asciiTheme="minorEastAsia" w:hAnsiTheme="minorEastAsia"/>
          <w:color w:val="auto"/>
          <w:sz w:val="28"/>
          <w:szCs w:val="28"/>
          <w:highlight w:val="none"/>
        </w:rPr>
      </w:pPr>
    </w:p>
    <w:p>
      <w:pPr>
        <w:adjustRightInd w:val="0"/>
        <w:snapToGrid w:val="0"/>
        <w:spacing w:line="360" w:lineRule="auto"/>
        <w:rPr>
          <w:rFonts w:asciiTheme="minorEastAsia" w:hAnsiTheme="minorEastAsia"/>
          <w:color w:val="auto"/>
          <w:sz w:val="28"/>
          <w:szCs w:val="28"/>
          <w:highlight w:val="none"/>
        </w:rPr>
      </w:pPr>
    </w:p>
    <w:p>
      <w:pPr>
        <w:adjustRightInd w:val="0"/>
        <w:snapToGrid w:val="0"/>
        <w:spacing w:line="360" w:lineRule="auto"/>
        <w:rPr>
          <w:rFonts w:asciiTheme="minorEastAsia" w:hAnsiTheme="minorEastAsia"/>
          <w:color w:val="auto"/>
          <w:sz w:val="28"/>
          <w:szCs w:val="28"/>
          <w:highlight w:val="none"/>
        </w:rPr>
      </w:pPr>
    </w:p>
    <w:p>
      <w:pPr>
        <w:adjustRightInd w:val="0"/>
        <w:snapToGrid w:val="0"/>
        <w:spacing w:line="360" w:lineRule="auto"/>
        <w:rPr>
          <w:rFonts w:asciiTheme="minorEastAsia" w:hAnsiTheme="minorEastAsia"/>
          <w:color w:val="auto"/>
          <w:sz w:val="28"/>
          <w:szCs w:val="28"/>
          <w:highlight w:val="none"/>
        </w:rPr>
      </w:pPr>
    </w:p>
    <w:p>
      <w:pPr>
        <w:adjustRightInd w:val="0"/>
        <w:snapToGrid w:val="0"/>
        <w:spacing w:line="360" w:lineRule="auto"/>
        <w:rPr>
          <w:rFonts w:asciiTheme="minorEastAsia" w:hAnsiTheme="minorEastAsia"/>
          <w:color w:val="auto"/>
          <w:sz w:val="28"/>
          <w:szCs w:val="28"/>
          <w:highlight w:val="none"/>
        </w:rPr>
      </w:pPr>
    </w:p>
    <w:p>
      <w:pPr>
        <w:adjustRightInd w:val="0"/>
        <w:snapToGrid w:val="0"/>
        <w:spacing w:line="360" w:lineRule="auto"/>
        <w:rPr>
          <w:rFonts w:asciiTheme="minorEastAsia" w:hAnsiTheme="minorEastAsia" w:eastAsiaTheme="minorEastAsia"/>
          <w:b/>
          <w:color w:val="auto"/>
          <w:sz w:val="21"/>
          <w:szCs w:val="21"/>
          <w:highlight w:val="none"/>
        </w:rPr>
        <w:sectPr>
          <w:footerReference r:id="rId11" w:type="default"/>
          <w:pgSz w:w="11906" w:h="16838"/>
          <w:pgMar w:top="1134" w:right="1368" w:bottom="924" w:left="1418" w:header="851" w:footer="992" w:gutter="0"/>
          <w:cols w:space="425" w:num="1"/>
          <w:titlePg/>
          <w:docGrid w:type="lines" w:linePitch="312" w:charSpace="0"/>
        </w:sectPr>
      </w:pPr>
      <w:r>
        <w:rPr>
          <w:rFonts w:asciiTheme="minorEastAsia" w:hAnsiTheme="minorEastAsia"/>
          <w:color w:val="auto"/>
          <w:sz w:val="28"/>
          <w:szCs w:val="28"/>
          <w:highlight w:val="none"/>
        </w:rPr>
        <w:t xml:space="preserve">                  </w:t>
      </w:r>
    </w:p>
    <w:bookmarkEnd w:id="94"/>
    <w:bookmarkEnd w:id="95"/>
    <w:bookmarkEnd w:id="96"/>
    <w:p>
      <w:pPr>
        <w:rPr>
          <w:b/>
          <w:color w:val="auto"/>
          <w:sz w:val="36"/>
          <w:szCs w:val="36"/>
          <w:highlight w:val="none"/>
        </w:rPr>
      </w:pPr>
      <w:r>
        <w:rPr>
          <w:rFonts w:hint="eastAsia"/>
          <w:b/>
          <w:color w:val="auto"/>
          <w:sz w:val="36"/>
          <w:szCs w:val="36"/>
          <w:highlight w:val="none"/>
        </w:rPr>
        <w:t>附件：</w:t>
      </w:r>
    </w:p>
    <w:p>
      <w:pPr>
        <w:rPr>
          <w:color w:val="auto"/>
          <w:highlight w:val="none"/>
        </w:rPr>
      </w:pPr>
    </w:p>
    <w:p>
      <w:pPr>
        <w:rPr>
          <w:color w:val="auto"/>
          <w:highlight w:val="none"/>
        </w:rPr>
      </w:pPr>
      <w:r>
        <w:rPr>
          <w:rFonts w:hint="eastAsia"/>
          <w:color w:val="auto"/>
          <w:highlight w:val="none"/>
        </w:rPr>
        <w:drawing>
          <wp:inline distT="0" distB="0" distL="0" distR="0">
            <wp:extent cx="5274310" cy="7463790"/>
            <wp:effectExtent l="0" t="0" r="2540" b="3810"/>
            <wp:docPr id="674" name="图片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图片 63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274310" cy="7463790"/>
            <wp:effectExtent l="0" t="0" r="2540" b="3810"/>
            <wp:docPr id="675" name="图片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图片 63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274310" cy="7451725"/>
            <wp:effectExtent l="0" t="0" r="2540" b="15875"/>
            <wp:docPr id="676" name="图片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图片 637"/>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274310" cy="7463790"/>
            <wp:effectExtent l="0" t="0" r="2540" b="3810"/>
            <wp:docPr id="677" name="图片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图片 638"/>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274310" cy="7451725"/>
            <wp:effectExtent l="0" t="0" r="2540" b="15875"/>
            <wp:docPr id="678" name="图片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图片 639"/>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274310" cy="7463790"/>
            <wp:effectExtent l="0" t="0" r="2540" b="3810"/>
            <wp:docPr id="679" name="图片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图片 640"/>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274310" cy="7451725"/>
            <wp:effectExtent l="0" t="0" r="2540" b="15875"/>
            <wp:docPr id="680" name="图片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图片 64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274310" cy="7451725"/>
            <wp:effectExtent l="0" t="0" r="2540" b="15875"/>
            <wp:docPr id="681" name="图片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图片 64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274310" cy="7463790"/>
            <wp:effectExtent l="0" t="0" r="2540" b="3810"/>
            <wp:docPr id="696" name="图片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图片 64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274310" cy="7463790"/>
            <wp:effectExtent l="0" t="0" r="2540" b="3810"/>
            <wp:docPr id="697" name="图片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 name="图片 64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274310" cy="7463790"/>
            <wp:effectExtent l="0" t="0" r="2540" b="3810"/>
            <wp:docPr id="698" name="图片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图片 64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274310" cy="7451725"/>
            <wp:effectExtent l="0" t="0" r="2540" b="15875"/>
            <wp:docPr id="699" name="图片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 name="图片 64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274310" cy="7463790"/>
            <wp:effectExtent l="0" t="0" r="2540" b="3810"/>
            <wp:docPr id="700" name="图片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图片 64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274310" cy="7463790"/>
            <wp:effectExtent l="0" t="0" r="2540" b="3810"/>
            <wp:docPr id="701" name="图片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图片 64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color w:val="auto"/>
          <w:highlight w:val="none"/>
        </w:rPr>
      </w:pPr>
    </w:p>
    <w:p>
      <w:pPr>
        <w:rPr>
          <w:color w:val="auto"/>
          <w:highlight w:val="none"/>
        </w:rPr>
      </w:pPr>
    </w:p>
    <w:p>
      <w:pPr>
        <w:rPr>
          <w:color w:val="auto"/>
          <w:highlight w:val="none"/>
        </w:rPr>
      </w:pPr>
    </w:p>
    <w:p>
      <w:pPr>
        <w:rPr>
          <w:color w:val="auto"/>
          <w:highlight w:val="none"/>
        </w:rPr>
      </w:pPr>
      <w:r>
        <w:rPr>
          <w:rFonts w:hint="eastAsia"/>
          <w:color w:val="auto"/>
          <w:highlight w:val="none"/>
        </w:rPr>
        <w:drawing>
          <wp:inline distT="0" distB="0" distL="0" distR="0">
            <wp:extent cx="5274310" cy="7463790"/>
            <wp:effectExtent l="0" t="0" r="2540" b="3810"/>
            <wp:docPr id="702" name="图片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图片 65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pPr>
        <w:rPr>
          <w:color w:val="auto"/>
          <w:highlight w:val="none"/>
        </w:rPr>
      </w:pPr>
    </w:p>
    <w:p>
      <w:pPr>
        <w:rPr>
          <w:color w:val="auto"/>
          <w:highlight w:val="none"/>
        </w:rPr>
      </w:pPr>
    </w:p>
    <w:p>
      <w:pPr>
        <w:rPr>
          <w:color w:val="auto"/>
          <w:highlight w:val="none"/>
        </w:rPr>
      </w:pPr>
    </w:p>
    <w:p>
      <w:pPr>
        <w:spacing w:line="360" w:lineRule="auto"/>
        <w:ind w:firstLine="480" w:firstLineChars="200"/>
        <w:rPr>
          <w:rFonts w:ascii="宋体" w:hAnsi="宋体"/>
          <w:color w:val="auto"/>
          <w:szCs w:val="21"/>
          <w:highlight w:val="none"/>
        </w:rPr>
      </w:pPr>
    </w:p>
    <w:p>
      <w:pPr>
        <w:spacing w:line="360" w:lineRule="auto"/>
        <w:ind w:firstLine="480" w:firstLineChars="200"/>
        <w:rPr>
          <w:rFonts w:ascii="宋体" w:hAnsi="宋体"/>
          <w:color w:val="auto"/>
          <w:szCs w:val="21"/>
          <w:highlight w:val="none"/>
        </w:rPr>
      </w:pPr>
    </w:p>
    <w:p>
      <w:pPr>
        <w:spacing w:line="360" w:lineRule="auto"/>
        <w:ind w:firstLine="480" w:firstLineChars="200"/>
        <w:rPr>
          <w:rFonts w:ascii="宋体" w:hAnsi="宋体"/>
          <w:color w:val="auto"/>
          <w:szCs w:val="21"/>
          <w:highlight w:val="none"/>
        </w:rPr>
      </w:pPr>
    </w:p>
    <w:p>
      <w:pPr>
        <w:spacing w:line="360" w:lineRule="auto"/>
        <w:ind w:left="-480" w:leftChars="-200" w:firstLine="0" w:firstLineChars="0"/>
        <w:rPr>
          <w:rFonts w:ascii="宋体" w:hAnsi="宋体"/>
          <w:color w:val="auto"/>
          <w:szCs w:val="21"/>
          <w:highlight w:val="none"/>
        </w:rPr>
      </w:pPr>
      <w:r>
        <w:rPr>
          <w:rFonts w:hint="eastAsia" w:ascii="宋体" w:hAnsi="宋体"/>
          <w:color w:val="auto"/>
          <w:szCs w:val="21"/>
          <w:highlight w:val="none"/>
        </w:rPr>
        <w:drawing>
          <wp:inline distT="0" distB="0" distL="0" distR="0">
            <wp:extent cx="5783580" cy="7386955"/>
            <wp:effectExtent l="0" t="0" r="7620" b="4445"/>
            <wp:docPr id="2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2"/>
                    <pic:cNvPicPr>
                      <a:picLocks noChangeAspect="1" noChangeArrowheads="1"/>
                    </pic:cNvPicPr>
                  </pic:nvPicPr>
                  <pic:blipFill>
                    <a:blip r:embed="rId36"/>
                    <a:stretch>
                      <a:fillRect/>
                    </a:stretch>
                  </pic:blipFill>
                  <pic:spPr>
                    <a:xfrm>
                      <a:off x="0" y="0"/>
                      <a:ext cx="5783651" cy="7387200"/>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color w:val="auto"/>
          <w:szCs w:val="21"/>
          <w:highlight w:val="none"/>
        </w:rPr>
      </w:pPr>
    </w:p>
    <w:p>
      <w:pPr>
        <w:spacing w:line="360" w:lineRule="auto"/>
        <w:ind w:firstLine="480" w:firstLineChars="200"/>
        <w:rPr>
          <w:rFonts w:ascii="宋体" w:hAnsi="宋体"/>
          <w:color w:val="auto"/>
          <w:szCs w:val="21"/>
          <w:highlight w:val="none"/>
        </w:rPr>
      </w:pPr>
    </w:p>
    <w:p>
      <w:pPr>
        <w:spacing w:line="360" w:lineRule="auto"/>
        <w:ind w:firstLine="480" w:firstLineChars="200"/>
        <w:rPr>
          <w:rFonts w:ascii="宋体" w:hAnsi="宋体"/>
          <w:color w:val="auto"/>
          <w:szCs w:val="21"/>
          <w:highlight w:val="none"/>
        </w:rPr>
      </w:pPr>
    </w:p>
    <w:p>
      <w:pPr>
        <w:spacing w:line="360" w:lineRule="auto"/>
        <w:ind w:left="-240" w:leftChars="-100" w:firstLine="0" w:firstLineChars="0"/>
        <w:rPr>
          <w:rFonts w:ascii="宋体" w:hAnsi="宋体"/>
          <w:color w:val="auto"/>
          <w:szCs w:val="21"/>
          <w:highlight w:val="none"/>
        </w:rPr>
      </w:pPr>
      <w:r>
        <w:rPr>
          <w:rFonts w:hint="eastAsia" w:ascii="宋体" w:hAnsi="宋体"/>
          <w:color w:val="auto"/>
          <w:szCs w:val="21"/>
          <w:highlight w:val="none"/>
        </w:rPr>
        <w:drawing>
          <wp:inline distT="0" distB="0" distL="0" distR="0">
            <wp:extent cx="5487035" cy="7415530"/>
            <wp:effectExtent l="0" t="0" r="18415" b="1397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37"/>
                    <a:stretch>
                      <a:fillRect/>
                    </a:stretch>
                  </pic:blipFill>
                  <pic:spPr>
                    <a:xfrm>
                      <a:off x="0" y="0"/>
                      <a:ext cx="5487291" cy="7416000"/>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color w:val="auto"/>
          <w:szCs w:val="21"/>
          <w:highlight w:val="none"/>
        </w:rPr>
      </w:pPr>
    </w:p>
    <w:p>
      <w:pPr>
        <w:spacing w:line="360" w:lineRule="auto"/>
        <w:ind w:firstLine="480" w:firstLineChars="200"/>
        <w:rPr>
          <w:rFonts w:ascii="宋体" w:hAnsi="宋体"/>
          <w:color w:val="auto"/>
          <w:szCs w:val="21"/>
          <w:highlight w:val="none"/>
        </w:rPr>
      </w:pPr>
      <w:r>
        <w:rPr>
          <w:rFonts w:ascii="宋体" w:hAnsi="宋体"/>
          <w:color w:val="auto"/>
          <w:szCs w:val="21"/>
          <w:highlight w:val="none"/>
        </w:rPr>
        <w:drawing>
          <wp:inline distT="0" distB="0" distL="0" distR="0">
            <wp:extent cx="5033010" cy="7296785"/>
            <wp:effectExtent l="0" t="0" r="15240" b="18415"/>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noChangeArrowheads="1"/>
                    </pic:cNvPicPr>
                  </pic:nvPicPr>
                  <pic:blipFill>
                    <a:blip r:embed="rId38"/>
                    <a:stretch>
                      <a:fillRect/>
                    </a:stretch>
                  </pic:blipFill>
                  <pic:spPr>
                    <a:xfrm>
                      <a:off x="0" y="0"/>
                      <a:ext cx="5033260" cy="7297200"/>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color w:val="auto"/>
          <w:szCs w:val="21"/>
          <w:highlight w:val="none"/>
        </w:rPr>
      </w:pPr>
    </w:p>
    <w:p>
      <w:pPr>
        <w:spacing w:line="360" w:lineRule="auto"/>
        <w:ind w:firstLine="480" w:firstLineChars="200"/>
        <w:rPr>
          <w:rFonts w:ascii="宋体" w:hAnsi="宋体"/>
          <w:color w:val="auto"/>
          <w:szCs w:val="21"/>
          <w:highlight w:val="none"/>
        </w:rPr>
      </w:pPr>
      <w:r>
        <w:rPr>
          <w:rFonts w:ascii="宋体" w:hAnsi="宋体"/>
          <w:color w:val="auto"/>
          <w:szCs w:val="21"/>
          <w:highlight w:val="none"/>
        </w:rPr>
        <w:drawing>
          <wp:inline distT="0" distB="0" distL="0" distR="0">
            <wp:extent cx="5226685" cy="7203440"/>
            <wp:effectExtent l="0" t="0" r="12065" b="16510"/>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noChangeArrowheads="1"/>
                    </pic:cNvPicPr>
                  </pic:nvPicPr>
                  <pic:blipFill>
                    <a:blip r:embed="rId39"/>
                    <a:stretch>
                      <a:fillRect/>
                    </a:stretch>
                  </pic:blipFill>
                  <pic:spPr>
                    <a:xfrm>
                      <a:off x="0" y="0"/>
                      <a:ext cx="5227193" cy="7203600"/>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color w:val="auto"/>
          <w:szCs w:val="21"/>
          <w:highlight w:val="none"/>
        </w:rPr>
      </w:pPr>
    </w:p>
    <w:p>
      <w:pPr>
        <w:spacing w:line="360" w:lineRule="auto"/>
        <w:ind w:firstLine="480" w:firstLineChars="200"/>
        <w:rPr>
          <w:rFonts w:ascii="宋体" w:hAnsi="宋体"/>
          <w:color w:val="auto"/>
          <w:szCs w:val="21"/>
          <w:highlight w:val="none"/>
        </w:rPr>
      </w:pPr>
    </w:p>
    <w:p>
      <w:pPr>
        <w:spacing w:line="360" w:lineRule="auto"/>
        <w:ind w:firstLine="480" w:firstLineChars="200"/>
        <w:rPr>
          <w:rFonts w:ascii="宋体" w:hAnsi="宋体"/>
          <w:color w:val="auto"/>
          <w:szCs w:val="21"/>
          <w:highlight w:val="none"/>
        </w:rPr>
      </w:pPr>
      <w:r>
        <w:rPr>
          <w:rFonts w:ascii="宋体" w:hAnsi="宋体"/>
          <w:color w:val="auto"/>
          <w:szCs w:val="21"/>
          <w:highlight w:val="none"/>
        </w:rPr>
        <w:drawing>
          <wp:inline distT="0" distB="0" distL="0" distR="0">
            <wp:extent cx="5353050" cy="7541895"/>
            <wp:effectExtent l="0" t="0" r="0" b="1905"/>
            <wp:docPr id="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
                    <pic:cNvPicPr>
                      <a:picLocks noChangeAspect="1" noChangeArrowheads="1"/>
                    </pic:cNvPicPr>
                  </pic:nvPicPr>
                  <pic:blipFill>
                    <a:blip r:embed="rId40"/>
                    <a:stretch>
                      <a:fillRect/>
                    </a:stretch>
                  </pic:blipFill>
                  <pic:spPr>
                    <a:xfrm>
                      <a:off x="0" y="0"/>
                      <a:ext cx="5353050" cy="7541895"/>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color w:val="auto"/>
          <w:szCs w:val="21"/>
          <w:highlight w:val="none"/>
        </w:rPr>
      </w:pPr>
    </w:p>
    <w:p>
      <w:pPr>
        <w:spacing w:line="360" w:lineRule="auto"/>
        <w:ind w:firstLine="480" w:firstLineChars="200"/>
        <w:rPr>
          <w:rFonts w:ascii="宋体" w:hAnsi="宋体"/>
          <w:color w:val="auto"/>
          <w:szCs w:val="21"/>
          <w:highlight w:val="none"/>
        </w:rPr>
      </w:pPr>
      <w:r>
        <w:rPr>
          <w:rFonts w:ascii="宋体" w:hAnsi="宋体"/>
          <w:color w:val="auto"/>
          <w:szCs w:val="21"/>
          <w:highlight w:val="none"/>
        </w:rPr>
        <w:drawing>
          <wp:inline distT="0" distB="0" distL="0" distR="0">
            <wp:extent cx="5466080" cy="7868920"/>
            <wp:effectExtent l="0" t="0" r="1270" b="17780"/>
            <wp:docPr id="2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3"/>
                    <pic:cNvPicPr>
                      <a:picLocks noChangeAspect="1" noChangeArrowheads="1"/>
                    </pic:cNvPicPr>
                  </pic:nvPicPr>
                  <pic:blipFill>
                    <a:blip r:embed="rId41"/>
                    <a:stretch>
                      <a:fillRect/>
                    </a:stretch>
                  </pic:blipFill>
                  <pic:spPr>
                    <a:xfrm>
                      <a:off x="0" y="0"/>
                      <a:ext cx="5466080" cy="7868920"/>
                    </a:xfrm>
                    <a:prstGeom prst="rect">
                      <a:avLst/>
                    </a:prstGeom>
                    <a:noFill/>
                    <a:ln w="9525">
                      <a:noFill/>
                      <a:miter lim="800000"/>
                      <a:headEnd/>
                      <a:tailEnd/>
                    </a:ln>
                  </pic:spPr>
                </pic:pic>
              </a:graphicData>
            </a:graphic>
          </wp:inline>
        </w:drawing>
      </w:r>
      <w:r>
        <w:rPr>
          <w:rFonts w:ascii="宋体" w:hAnsi="宋体"/>
          <w:color w:val="auto"/>
          <w:szCs w:val="21"/>
          <w:highlight w:val="none"/>
        </w:rPr>
        <w:drawing>
          <wp:inline distT="0" distB="0" distL="0" distR="0">
            <wp:extent cx="4883785" cy="7260590"/>
            <wp:effectExtent l="0" t="0" r="12065" b="16510"/>
            <wp:docPr id="3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6"/>
                    <pic:cNvPicPr>
                      <a:picLocks noChangeAspect="1" noChangeArrowheads="1"/>
                    </pic:cNvPicPr>
                  </pic:nvPicPr>
                  <pic:blipFill>
                    <a:blip r:embed="rId42"/>
                    <a:stretch>
                      <a:fillRect/>
                    </a:stretch>
                  </pic:blipFill>
                  <pic:spPr>
                    <a:xfrm>
                      <a:off x="0" y="0"/>
                      <a:ext cx="4884117" cy="7261200"/>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color w:val="auto"/>
          <w:szCs w:val="21"/>
          <w:highlight w:val="none"/>
        </w:rPr>
      </w:pPr>
    </w:p>
    <w:p>
      <w:pPr>
        <w:spacing w:line="360" w:lineRule="auto"/>
        <w:ind w:firstLine="480" w:firstLineChars="200"/>
        <w:rPr>
          <w:rFonts w:ascii="宋体" w:hAnsi="宋体"/>
          <w:color w:val="auto"/>
          <w:szCs w:val="21"/>
          <w:highlight w:val="none"/>
        </w:rPr>
      </w:pPr>
      <w:r>
        <w:rPr>
          <w:rFonts w:ascii="宋体" w:hAnsi="宋体"/>
          <w:color w:val="auto"/>
          <w:szCs w:val="21"/>
          <w:highlight w:val="none"/>
        </w:rPr>
        <w:drawing>
          <wp:inline distT="0" distB="0" distL="0" distR="0">
            <wp:extent cx="5086985" cy="7430135"/>
            <wp:effectExtent l="0" t="0" r="18415" b="18415"/>
            <wp:docPr id="3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9"/>
                    <pic:cNvPicPr>
                      <a:picLocks noChangeAspect="1" noChangeArrowheads="1"/>
                    </pic:cNvPicPr>
                  </pic:nvPicPr>
                  <pic:blipFill>
                    <a:blip r:embed="rId43"/>
                    <a:stretch>
                      <a:fillRect/>
                    </a:stretch>
                  </pic:blipFill>
                  <pic:spPr>
                    <a:xfrm>
                      <a:off x="0" y="0"/>
                      <a:ext cx="5087026" cy="7430400"/>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color w:val="auto"/>
          <w:szCs w:val="21"/>
          <w:highlight w:val="none"/>
        </w:rPr>
      </w:pPr>
    </w:p>
    <w:p>
      <w:pPr>
        <w:tabs>
          <w:tab w:val="left" w:pos="937"/>
        </w:tabs>
        <w:adjustRightInd w:val="0"/>
        <w:snapToGrid w:val="0"/>
        <w:spacing w:line="560" w:lineRule="exact"/>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53"/>
        <w:rPr>
          <w:color w:val="auto"/>
          <w:highlight w:val="none"/>
        </w:rPr>
      </w:pPr>
    </w:p>
    <w:p>
      <w:pPr>
        <w:pStyle w:val="17"/>
        <w:rPr>
          <w:color w:val="auto"/>
          <w:highlight w:val="none"/>
        </w:rPr>
      </w:pPr>
      <w:r>
        <w:rPr>
          <w:rFonts w:hint="eastAsia" w:ascii="宋体" w:hAnsi="宋体"/>
          <w:b/>
          <w:color w:val="auto"/>
          <w:sz w:val="44"/>
          <w:szCs w:val="44"/>
          <w:highlight w:val="none"/>
        </w:rPr>
        <w:t>锦江区政府采购信用融资机构名单</w:t>
      </w:r>
    </w:p>
    <w:tbl>
      <w:tblPr>
        <w:tblStyle w:val="50"/>
        <w:tblW w:w="8280" w:type="dxa"/>
        <w:tblInd w:w="0" w:type="dxa"/>
        <w:tblLayout w:type="fixed"/>
        <w:tblCellMar>
          <w:top w:w="0" w:type="dxa"/>
          <w:left w:w="108" w:type="dxa"/>
          <w:bottom w:w="0" w:type="dxa"/>
          <w:right w:w="108" w:type="dxa"/>
        </w:tblCellMar>
      </w:tblPr>
      <w:tblGrid>
        <w:gridCol w:w="682"/>
        <w:gridCol w:w="2163"/>
        <w:gridCol w:w="2488"/>
        <w:gridCol w:w="2947"/>
      </w:tblGrid>
      <w:tr>
        <w:tblPrEx>
          <w:tblLayout w:type="fixed"/>
          <w:tblCellMar>
            <w:top w:w="0" w:type="dxa"/>
            <w:left w:w="108" w:type="dxa"/>
            <w:bottom w:w="0" w:type="dxa"/>
            <w:right w:w="108" w:type="dxa"/>
          </w:tblCellMar>
        </w:tblPrEx>
        <w:trPr>
          <w:trHeight w:val="314" w:hRule="atLeast"/>
        </w:trPr>
        <w:tc>
          <w:tcPr>
            <w:tcW w:w="682"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rPr>
                <w:rFonts w:ascii="黑体" w:hAnsi="黑体" w:eastAsia="黑体"/>
                <w:color w:val="auto"/>
                <w:highlight w:val="none"/>
              </w:rPr>
            </w:pPr>
            <w:r>
              <w:rPr>
                <w:rFonts w:hint="eastAsia" w:ascii="黑体" w:hAnsi="黑体" w:eastAsia="黑体"/>
                <w:color w:val="auto"/>
                <w:highlight w:val="none"/>
              </w:rPr>
              <w:t>序号</w:t>
            </w:r>
          </w:p>
        </w:tc>
        <w:tc>
          <w:tcPr>
            <w:tcW w:w="2163"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jc w:val="center"/>
              <w:rPr>
                <w:rFonts w:ascii="黑体" w:hAnsi="黑体" w:eastAsia="黑体"/>
                <w:color w:val="auto"/>
                <w:highlight w:val="none"/>
              </w:rPr>
            </w:pPr>
            <w:r>
              <w:rPr>
                <w:rFonts w:hint="eastAsia" w:ascii="黑体" w:hAnsi="黑体" w:eastAsia="黑体"/>
                <w:color w:val="auto"/>
                <w:highlight w:val="none"/>
              </w:rPr>
              <w:t>银行名称</w:t>
            </w:r>
          </w:p>
        </w:tc>
        <w:tc>
          <w:tcPr>
            <w:tcW w:w="2488"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jc w:val="center"/>
              <w:rPr>
                <w:rFonts w:ascii="黑体" w:hAnsi="黑体" w:eastAsia="黑体"/>
                <w:color w:val="auto"/>
                <w:highlight w:val="none"/>
              </w:rPr>
            </w:pPr>
            <w:r>
              <w:rPr>
                <w:rFonts w:hint="eastAsia" w:ascii="黑体" w:hAnsi="黑体" w:eastAsia="黑体"/>
                <w:color w:val="auto"/>
                <w:highlight w:val="none"/>
              </w:rPr>
              <w:t>银行地址</w:t>
            </w:r>
          </w:p>
        </w:tc>
        <w:tc>
          <w:tcPr>
            <w:tcW w:w="2947"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rPr>
                <w:rFonts w:ascii="黑体" w:hAnsi="黑体" w:eastAsia="黑体"/>
                <w:color w:val="auto"/>
                <w:highlight w:val="none"/>
              </w:rPr>
            </w:pPr>
            <w:r>
              <w:rPr>
                <w:rFonts w:hint="eastAsia" w:ascii="黑体" w:hAnsi="黑体" w:eastAsia="黑体"/>
                <w:color w:val="auto"/>
                <w:highlight w:val="none"/>
              </w:rPr>
              <w:t>联系人及联系电话</w:t>
            </w:r>
          </w:p>
        </w:tc>
      </w:tr>
      <w:tr>
        <w:tblPrEx>
          <w:tblLayout w:type="fixed"/>
          <w:tblCellMar>
            <w:top w:w="0" w:type="dxa"/>
            <w:left w:w="108" w:type="dxa"/>
            <w:bottom w:w="0" w:type="dxa"/>
            <w:right w:w="108" w:type="dxa"/>
          </w:tblCellMar>
        </w:tblPrEx>
        <w:trPr>
          <w:trHeight w:val="617" w:hRule="atLeast"/>
        </w:trPr>
        <w:tc>
          <w:tcPr>
            <w:tcW w:w="682"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jc w:val="center"/>
              <w:rPr>
                <w:rFonts w:eastAsiaTheme="minorEastAsia"/>
                <w:color w:val="auto"/>
                <w:highlight w:val="none"/>
              </w:rPr>
            </w:pPr>
          </w:p>
          <w:p>
            <w:pPr>
              <w:pStyle w:val="259"/>
              <w:kinsoku w:val="0"/>
              <w:overflowPunct w:val="0"/>
              <w:ind w:firstLine="240" w:firstLineChars="100"/>
              <w:rPr>
                <w:rFonts w:eastAsiaTheme="minorEastAsia"/>
                <w:color w:val="auto"/>
                <w:highlight w:val="none"/>
              </w:rPr>
            </w:pPr>
            <w:r>
              <w:rPr>
                <w:rFonts w:hint="eastAsia" w:eastAsiaTheme="minorEastAsia"/>
                <w:color w:val="auto"/>
                <w:highlight w:val="none"/>
              </w:rPr>
              <w:t>1</w:t>
            </w:r>
          </w:p>
        </w:tc>
        <w:tc>
          <w:tcPr>
            <w:tcW w:w="2163"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jc w:val="left"/>
              <w:rPr>
                <w:rFonts w:ascii="宋体" w:hAnsi="宋体" w:eastAsia="宋体"/>
                <w:color w:val="auto"/>
                <w:highlight w:val="none"/>
              </w:rPr>
            </w:pPr>
            <w:r>
              <w:rPr>
                <w:rFonts w:hint="eastAsia" w:ascii="宋体" w:hAnsi="宋体" w:eastAsia="宋体"/>
                <w:color w:val="auto"/>
                <w:highlight w:val="none"/>
              </w:rPr>
              <w:t>中国工商银行成都芷泉支行</w:t>
            </w:r>
          </w:p>
        </w:tc>
        <w:tc>
          <w:tcPr>
            <w:tcW w:w="2488"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jc w:val="left"/>
              <w:rPr>
                <w:rFonts w:ascii="宋体" w:hAnsi="宋体" w:eastAsia="宋体"/>
                <w:color w:val="auto"/>
                <w:highlight w:val="none"/>
              </w:rPr>
            </w:pPr>
            <w:r>
              <w:rPr>
                <w:rFonts w:hint="eastAsia" w:ascii="宋体" w:hAnsi="宋体" w:eastAsia="宋体"/>
                <w:color w:val="auto"/>
                <w:highlight w:val="none"/>
              </w:rPr>
              <w:t>成都市锦江区一环路东五段</w:t>
            </w:r>
            <w:r>
              <w:rPr>
                <w:color w:val="auto"/>
                <w:highlight w:val="none"/>
              </w:rPr>
              <w:t xml:space="preserve">103 </w:t>
            </w:r>
            <w:r>
              <w:rPr>
                <w:rFonts w:hint="eastAsia" w:ascii="宋体" w:hAnsi="宋体" w:eastAsia="宋体"/>
                <w:color w:val="auto"/>
                <w:highlight w:val="none"/>
              </w:rPr>
              <w:t>号</w:t>
            </w:r>
          </w:p>
        </w:tc>
        <w:tc>
          <w:tcPr>
            <w:tcW w:w="2947"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spacing w:after="0"/>
              <w:jc w:val="left"/>
              <w:rPr>
                <w:color w:val="auto"/>
                <w:highlight w:val="none"/>
              </w:rPr>
            </w:pPr>
            <w:r>
              <w:rPr>
                <w:rFonts w:hint="eastAsia" w:ascii="宋体" w:hAnsi="宋体" w:eastAsia="宋体"/>
                <w:color w:val="auto"/>
                <w:highlight w:val="none"/>
              </w:rPr>
              <w:t xml:space="preserve">杨可 </w:t>
            </w:r>
            <w:r>
              <w:rPr>
                <w:color w:val="auto"/>
                <w:highlight w:val="none"/>
              </w:rPr>
              <w:t>18583269666</w:t>
            </w:r>
          </w:p>
          <w:p>
            <w:pPr>
              <w:pStyle w:val="259"/>
              <w:kinsoku w:val="0"/>
              <w:overflowPunct w:val="0"/>
              <w:spacing w:after="0" w:line="291" w:lineRule="exact"/>
              <w:jc w:val="left"/>
              <w:rPr>
                <w:color w:val="auto"/>
                <w:highlight w:val="none"/>
              </w:rPr>
            </w:pPr>
            <w:r>
              <w:rPr>
                <w:rFonts w:hint="eastAsia" w:ascii="宋体" w:hAnsi="宋体" w:eastAsia="宋体"/>
                <w:color w:val="auto"/>
                <w:highlight w:val="none"/>
              </w:rPr>
              <w:t xml:space="preserve">何小亮 </w:t>
            </w:r>
            <w:r>
              <w:rPr>
                <w:color w:val="auto"/>
                <w:highlight w:val="none"/>
              </w:rPr>
              <w:t>13880995541</w:t>
            </w:r>
          </w:p>
        </w:tc>
      </w:tr>
      <w:tr>
        <w:tblPrEx>
          <w:tblLayout w:type="fixed"/>
          <w:tblCellMar>
            <w:top w:w="0" w:type="dxa"/>
            <w:left w:w="108" w:type="dxa"/>
            <w:bottom w:w="0" w:type="dxa"/>
            <w:right w:w="108" w:type="dxa"/>
          </w:tblCellMar>
        </w:tblPrEx>
        <w:trPr>
          <w:trHeight w:val="926" w:hRule="atLeast"/>
        </w:trPr>
        <w:tc>
          <w:tcPr>
            <w:tcW w:w="682"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rPr>
                <w:rFonts w:ascii="方正小标宋简体" w:hAnsi="方正小标宋简体" w:eastAsia="方正小标宋简体"/>
                <w:color w:val="auto"/>
                <w:sz w:val="13"/>
                <w:highlight w:val="none"/>
              </w:rPr>
            </w:pPr>
          </w:p>
          <w:p>
            <w:pPr>
              <w:pStyle w:val="259"/>
              <w:kinsoku w:val="0"/>
              <w:overflowPunct w:val="0"/>
              <w:jc w:val="center"/>
              <w:rPr>
                <w:color w:val="auto"/>
                <w:highlight w:val="none"/>
              </w:rPr>
            </w:pPr>
            <w:r>
              <w:rPr>
                <w:color w:val="auto"/>
                <w:highlight w:val="none"/>
              </w:rPr>
              <w:t>2</w:t>
            </w:r>
          </w:p>
        </w:tc>
        <w:tc>
          <w:tcPr>
            <w:tcW w:w="2163"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jc w:val="left"/>
              <w:rPr>
                <w:rFonts w:ascii="宋体" w:hAnsi="宋体" w:eastAsia="宋体"/>
                <w:color w:val="auto"/>
                <w:highlight w:val="none"/>
              </w:rPr>
            </w:pPr>
            <w:r>
              <w:rPr>
                <w:rFonts w:hint="eastAsia" w:ascii="宋体" w:hAnsi="宋体" w:eastAsia="宋体"/>
                <w:color w:val="auto"/>
                <w:highlight w:val="none"/>
              </w:rPr>
              <w:t>成都农村商业银行锦江支行</w:t>
            </w:r>
          </w:p>
        </w:tc>
        <w:tc>
          <w:tcPr>
            <w:tcW w:w="2488"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jc w:val="left"/>
              <w:rPr>
                <w:rFonts w:ascii="宋体" w:hAnsi="宋体" w:eastAsia="宋体"/>
                <w:color w:val="auto"/>
                <w:highlight w:val="none"/>
              </w:rPr>
            </w:pPr>
            <w:r>
              <w:rPr>
                <w:rFonts w:hint="eastAsia" w:ascii="宋体" w:hAnsi="宋体" w:eastAsia="宋体"/>
                <w:color w:val="auto"/>
                <w:highlight w:val="none"/>
              </w:rPr>
              <w:t xml:space="preserve">成都市锦江区经天路 </w:t>
            </w:r>
            <w:r>
              <w:rPr>
                <w:color w:val="auto"/>
                <w:highlight w:val="none"/>
              </w:rPr>
              <w:t xml:space="preserve">2 </w:t>
            </w:r>
            <w:r>
              <w:rPr>
                <w:rFonts w:hint="eastAsia" w:ascii="宋体" w:hAnsi="宋体" w:eastAsia="宋体"/>
                <w:color w:val="auto"/>
                <w:highlight w:val="none"/>
              </w:rPr>
              <w:t>号</w:t>
            </w:r>
          </w:p>
        </w:tc>
        <w:tc>
          <w:tcPr>
            <w:tcW w:w="2947"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spacing w:after="0"/>
              <w:jc w:val="left"/>
              <w:rPr>
                <w:color w:val="auto"/>
                <w:highlight w:val="none"/>
              </w:rPr>
            </w:pPr>
            <w:r>
              <w:rPr>
                <w:rFonts w:hint="eastAsia" w:ascii="宋体" w:hAnsi="宋体" w:eastAsia="宋体"/>
                <w:color w:val="auto"/>
                <w:highlight w:val="none"/>
              </w:rPr>
              <w:t xml:space="preserve">向茜 </w:t>
            </w:r>
            <w:r>
              <w:rPr>
                <w:color w:val="auto"/>
                <w:highlight w:val="none"/>
              </w:rPr>
              <w:t>13882194997</w:t>
            </w:r>
          </w:p>
          <w:p>
            <w:pPr>
              <w:pStyle w:val="259"/>
              <w:kinsoku w:val="0"/>
              <w:overflowPunct w:val="0"/>
              <w:spacing w:after="0"/>
              <w:jc w:val="left"/>
              <w:rPr>
                <w:color w:val="auto"/>
                <w:highlight w:val="none"/>
              </w:rPr>
            </w:pPr>
            <w:r>
              <w:rPr>
                <w:rFonts w:hint="eastAsia" w:ascii="宋体" w:hAnsi="宋体" w:eastAsia="宋体"/>
                <w:color w:val="auto"/>
                <w:highlight w:val="none"/>
              </w:rPr>
              <w:t xml:space="preserve">吴姜鼗 </w:t>
            </w:r>
            <w:r>
              <w:rPr>
                <w:color w:val="auto"/>
                <w:highlight w:val="none"/>
              </w:rPr>
              <w:t>18981735117</w:t>
            </w:r>
          </w:p>
        </w:tc>
      </w:tr>
      <w:tr>
        <w:tblPrEx>
          <w:tblLayout w:type="fixed"/>
          <w:tblCellMar>
            <w:top w:w="0" w:type="dxa"/>
            <w:left w:w="108" w:type="dxa"/>
            <w:bottom w:w="0" w:type="dxa"/>
            <w:right w:w="108" w:type="dxa"/>
          </w:tblCellMar>
        </w:tblPrEx>
        <w:trPr>
          <w:trHeight w:val="1953" w:hRule="atLeast"/>
        </w:trPr>
        <w:tc>
          <w:tcPr>
            <w:tcW w:w="682"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rPr>
                <w:rFonts w:ascii="方正小标宋简体" w:hAnsi="方正小标宋简体" w:eastAsia="方正小标宋简体"/>
                <w:color w:val="auto"/>
                <w:sz w:val="22"/>
                <w:highlight w:val="none"/>
              </w:rPr>
            </w:pPr>
          </w:p>
          <w:p>
            <w:pPr>
              <w:pStyle w:val="259"/>
              <w:kinsoku w:val="0"/>
              <w:overflowPunct w:val="0"/>
              <w:jc w:val="center"/>
              <w:rPr>
                <w:color w:val="auto"/>
                <w:highlight w:val="none"/>
              </w:rPr>
            </w:pPr>
            <w:r>
              <w:rPr>
                <w:color w:val="auto"/>
                <w:highlight w:val="none"/>
              </w:rPr>
              <w:t>3</w:t>
            </w:r>
          </w:p>
        </w:tc>
        <w:tc>
          <w:tcPr>
            <w:tcW w:w="2163"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jc w:val="left"/>
              <w:rPr>
                <w:rFonts w:ascii="方正小标宋简体" w:hAnsi="方正小标宋简体" w:eastAsia="方正小标宋简体"/>
                <w:color w:val="auto"/>
                <w:highlight w:val="none"/>
              </w:rPr>
            </w:pPr>
          </w:p>
          <w:p>
            <w:pPr>
              <w:pStyle w:val="259"/>
              <w:kinsoku w:val="0"/>
              <w:overflowPunct w:val="0"/>
              <w:jc w:val="left"/>
              <w:rPr>
                <w:rFonts w:ascii="宋体" w:hAnsi="宋体" w:eastAsia="宋体"/>
                <w:color w:val="auto"/>
                <w:highlight w:val="none"/>
              </w:rPr>
            </w:pPr>
            <w:r>
              <w:rPr>
                <w:rFonts w:hint="eastAsia" w:ascii="宋体" w:hAnsi="宋体" w:eastAsia="宋体"/>
                <w:color w:val="auto"/>
                <w:highlight w:val="none"/>
              </w:rPr>
              <w:t>中国银行成都锦江支行</w:t>
            </w:r>
          </w:p>
        </w:tc>
        <w:tc>
          <w:tcPr>
            <w:tcW w:w="2488"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jc w:val="left"/>
              <w:rPr>
                <w:rFonts w:ascii="方正小标宋简体" w:hAnsi="方正小标宋简体" w:eastAsia="方正小标宋简体"/>
                <w:color w:val="auto"/>
                <w:sz w:val="22"/>
                <w:highlight w:val="none"/>
              </w:rPr>
            </w:pPr>
          </w:p>
          <w:p>
            <w:pPr>
              <w:pStyle w:val="259"/>
              <w:kinsoku w:val="0"/>
              <w:overflowPunct w:val="0"/>
              <w:jc w:val="left"/>
              <w:rPr>
                <w:rFonts w:ascii="宋体" w:hAnsi="宋体" w:eastAsia="宋体"/>
                <w:color w:val="auto"/>
                <w:highlight w:val="none"/>
              </w:rPr>
            </w:pPr>
            <w:r>
              <w:rPr>
                <w:rFonts w:hint="eastAsia" w:ascii="宋体" w:hAnsi="宋体" w:eastAsia="宋体"/>
                <w:color w:val="auto"/>
                <w:highlight w:val="none"/>
              </w:rPr>
              <w:t xml:space="preserve">成都市锦江区汇泉南路 </w:t>
            </w:r>
            <w:r>
              <w:rPr>
                <w:color w:val="auto"/>
                <w:highlight w:val="none"/>
              </w:rPr>
              <w:t xml:space="preserve">1 </w:t>
            </w:r>
            <w:r>
              <w:rPr>
                <w:rFonts w:hint="eastAsia" w:ascii="宋体" w:hAnsi="宋体" w:eastAsia="宋体"/>
                <w:color w:val="auto"/>
                <w:highlight w:val="none"/>
              </w:rPr>
              <w:t>号</w:t>
            </w:r>
          </w:p>
        </w:tc>
        <w:tc>
          <w:tcPr>
            <w:tcW w:w="2947"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spacing w:after="0" w:line="256" w:lineRule="auto"/>
              <w:jc w:val="left"/>
              <w:rPr>
                <w:rFonts w:ascii="宋体" w:hAnsi="宋体" w:eastAsia="宋体"/>
                <w:color w:val="auto"/>
                <w:spacing w:val="-16"/>
                <w:highlight w:val="none"/>
              </w:rPr>
            </w:pPr>
            <w:r>
              <w:rPr>
                <w:rFonts w:hint="eastAsia" w:ascii="宋体" w:hAnsi="宋体" w:eastAsia="宋体"/>
                <w:color w:val="auto"/>
                <w:spacing w:val="-16"/>
                <w:highlight w:val="none"/>
              </w:rPr>
              <w:t>李经理</w:t>
            </w:r>
          </w:p>
          <w:p>
            <w:pPr>
              <w:pStyle w:val="259"/>
              <w:kinsoku w:val="0"/>
              <w:overflowPunct w:val="0"/>
              <w:spacing w:after="0" w:line="256" w:lineRule="auto"/>
              <w:ind w:hanging="458"/>
              <w:jc w:val="left"/>
              <w:rPr>
                <w:color w:val="auto"/>
                <w:highlight w:val="none"/>
              </w:rPr>
            </w:pPr>
            <w:r>
              <w:rPr>
                <w:color w:val="auto"/>
                <w:spacing w:val="-2"/>
                <w:highlight w:val="none"/>
              </w:rPr>
              <w:t xml:space="preserve">028-69262125/ </w:t>
            </w:r>
            <w:r>
              <w:rPr>
                <w:color w:val="auto"/>
                <w:highlight w:val="none"/>
              </w:rPr>
              <w:t>13880694826</w:t>
            </w:r>
          </w:p>
          <w:p>
            <w:pPr>
              <w:pStyle w:val="259"/>
              <w:kinsoku w:val="0"/>
              <w:overflowPunct w:val="0"/>
              <w:spacing w:after="0" w:line="256" w:lineRule="auto"/>
              <w:jc w:val="left"/>
              <w:rPr>
                <w:rFonts w:ascii="宋体" w:hAnsi="宋体" w:eastAsia="宋体"/>
                <w:color w:val="auto"/>
                <w:spacing w:val="-16"/>
                <w:highlight w:val="none"/>
              </w:rPr>
            </w:pPr>
            <w:r>
              <w:rPr>
                <w:rFonts w:hint="eastAsia" w:ascii="宋体" w:hAnsi="宋体" w:eastAsia="宋体"/>
                <w:color w:val="auto"/>
                <w:spacing w:val="-16"/>
                <w:highlight w:val="none"/>
              </w:rPr>
              <w:t xml:space="preserve">程经理 </w:t>
            </w:r>
          </w:p>
          <w:p>
            <w:pPr>
              <w:pStyle w:val="259"/>
              <w:kinsoku w:val="0"/>
              <w:overflowPunct w:val="0"/>
              <w:spacing w:after="0" w:line="256" w:lineRule="auto"/>
              <w:jc w:val="left"/>
              <w:rPr>
                <w:color w:val="auto"/>
                <w:highlight w:val="none"/>
              </w:rPr>
            </w:pPr>
            <w:r>
              <w:rPr>
                <w:color w:val="auto"/>
                <w:spacing w:val="-2"/>
                <w:highlight w:val="none"/>
              </w:rPr>
              <w:t xml:space="preserve">028-69262124/ </w:t>
            </w:r>
            <w:r>
              <w:rPr>
                <w:color w:val="auto"/>
                <w:highlight w:val="none"/>
              </w:rPr>
              <w:t>15982295640</w:t>
            </w:r>
          </w:p>
          <w:p>
            <w:pPr>
              <w:pStyle w:val="259"/>
              <w:kinsoku w:val="0"/>
              <w:overflowPunct w:val="0"/>
              <w:spacing w:after="0" w:line="256" w:lineRule="auto"/>
              <w:jc w:val="left"/>
              <w:rPr>
                <w:rFonts w:ascii="宋体" w:hAnsi="宋体" w:eastAsia="宋体"/>
                <w:color w:val="auto"/>
                <w:spacing w:val="-16"/>
                <w:highlight w:val="none"/>
              </w:rPr>
            </w:pPr>
            <w:r>
              <w:rPr>
                <w:rFonts w:hint="eastAsia" w:ascii="宋体" w:hAnsi="宋体" w:eastAsia="宋体"/>
                <w:color w:val="auto"/>
                <w:spacing w:val="-16"/>
                <w:highlight w:val="none"/>
              </w:rPr>
              <w:t xml:space="preserve">张经理 </w:t>
            </w:r>
          </w:p>
          <w:p>
            <w:pPr>
              <w:pStyle w:val="259"/>
              <w:kinsoku w:val="0"/>
              <w:overflowPunct w:val="0"/>
              <w:spacing w:after="0" w:line="256" w:lineRule="auto"/>
              <w:jc w:val="left"/>
              <w:rPr>
                <w:color w:val="auto"/>
                <w:highlight w:val="none"/>
              </w:rPr>
            </w:pPr>
            <w:r>
              <w:rPr>
                <w:color w:val="auto"/>
                <w:spacing w:val="-2"/>
                <w:highlight w:val="none"/>
              </w:rPr>
              <w:t xml:space="preserve">028-69262122/ </w:t>
            </w:r>
            <w:r>
              <w:rPr>
                <w:color w:val="auto"/>
                <w:highlight w:val="none"/>
              </w:rPr>
              <w:t>186160.5547868</w:t>
            </w:r>
          </w:p>
        </w:tc>
      </w:tr>
      <w:tr>
        <w:tblPrEx>
          <w:tblLayout w:type="fixed"/>
          <w:tblCellMar>
            <w:top w:w="0" w:type="dxa"/>
            <w:left w:w="108" w:type="dxa"/>
            <w:bottom w:w="0" w:type="dxa"/>
            <w:right w:w="108" w:type="dxa"/>
          </w:tblCellMar>
        </w:tblPrEx>
        <w:trPr>
          <w:trHeight w:val="1906" w:hRule="atLeast"/>
        </w:trPr>
        <w:tc>
          <w:tcPr>
            <w:tcW w:w="682"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rPr>
                <w:rFonts w:ascii="方正小标宋简体" w:hAnsi="方正小标宋简体" w:eastAsia="方正小标宋简体"/>
                <w:color w:val="auto"/>
                <w:sz w:val="22"/>
                <w:highlight w:val="none"/>
              </w:rPr>
            </w:pPr>
          </w:p>
          <w:p>
            <w:pPr>
              <w:pStyle w:val="259"/>
              <w:kinsoku w:val="0"/>
              <w:overflowPunct w:val="0"/>
              <w:jc w:val="center"/>
              <w:rPr>
                <w:color w:val="auto"/>
                <w:highlight w:val="none"/>
              </w:rPr>
            </w:pPr>
            <w:r>
              <w:rPr>
                <w:color w:val="auto"/>
                <w:highlight w:val="none"/>
              </w:rPr>
              <w:t>4</w:t>
            </w:r>
          </w:p>
        </w:tc>
        <w:tc>
          <w:tcPr>
            <w:tcW w:w="2163"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jc w:val="left"/>
              <w:rPr>
                <w:rFonts w:ascii="方正小标宋简体" w:hAnsi="方正小标宋简体" w:eastAsia="方正小标宋简体"/>
                <w:color w:val="auto"/>
                <w:sz w:val="23"/>
                <w:highlight w:val="none"/>
              </w:rPr>
            </w:pPr>
          </w:p>
          <w:p>
            <w:pPr>
              <w:pStyle w:val="259"/>
              <w:kinsoku w:val="0"/>
              <w:overflowPunct w:val="0"/>
              <w:jc w:val="left"/>
              <w:rPr>
                <w:rFonts w:ascii="宋体" w:hAnsi="宋体" w:eastAsia="宋体"/>
                <w:color w:val="auto"/>
                <w:highlight w:val="none"/>
              </w:rPr>
            </w:pPr>
            <w:r>
              <w:rPr>
                <w:rFonts w:hint="eastAsia" w:ascii="宋体" w:hAnsi="宋体" w:eastAsia="宋体"/>
                <w:color w:val="auto"/>
                <w:highlight w:val="none"/>
              </w:rPr>
              <w:t>中国建设银行成都第九支行</w:t>
            </w:r>
          </w:p>
        </w:tc>
        <w:tc>
          <w:tcPr>
            <w:tcW w:w="2488"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jc w:val="left"/>
              <w:rPr>
                <w:rFonts w:ascii="宋体" w:hAnsi="宋体" w:eastAsia="宋体"/>
                <w:color w:val="auto"/>
                <w:highlight w:val="none"/>
              </w:rPr>
            </w:pPr>
          </w:p>
          <w:p>
            <w:pPr>
              <w:pStyle w:val="259"/>
              <w:kinsoku w:val="0"/>
              <w:overflowPunct w:val="0"/>
              <w:jc w:val="left"/>
              <w:rPr>
                <w:rFonts w:ascii="宋体" w:hAnsi="宋体" w:eastAsia="宋体"/>
                <w:color w:val="auto"/>
                <w:highlight w:val="none"/>
              </w:rPr>
            </w:pPr>
            <w:r>
              <w:rPr>
                <w:rFonts w:hint="eastAsia" w:ascii="宋体" w:hAnsi="宋体" w:eastAsia="宋体"/>
                <w:color w:val="auto"/>
                <w:highlight w:val="none"/>
              </w:rPr>
              <w:t xml:space="preserve">成都市武侯区人民南路三段 </w:t>
            </w:r>
            <w:r>
              <w:rPr>
                <w:color w:val="auto"/>
                <w:highlight w:val="none"/>
              </w:rPr>
              <w:t>17</w:t>
            </w:r>
            <w:r>
              <w:rPr>
                <w:rFonts w:hint="eastAsia" w:ascii="宋体" w:hAnsi="宋体" w:eastAsia="宋体"/>
                <w:color w:val="auto"/>
                <w:highlight w:val="none"/>
              </w:rPr>
              <w:t xml:space="preserve">号附 </w:t>
            </w:r>
            <w:r>
              <w:rPr>
                <w:color w:val="auto"/>
                <w:highlight w:val="none"/>
              </w:rPr>
              <w:t xml:space="preserve">1 </w:t>
            </w:r>
            <w:r>
              <w:rPr>
                <w:rFonts w:hint="eastAsia" w:ascii="宋体" w:hAnsi="宋体" w:eastAsia="宋体"/>
                <w:color w:val="auto"/>
                <w:highlight w:val="none"/>
              </w:rPr>
              <w:t>号</w:t>
            </w:r>
          </w:p>
        </w:tc>
        <w:tc>
          <w:tcPr>
            <w:tcW w:w="2947"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spacing w:after="0"/>
              <w:jc w:val="left"/>
              <w:rPr>
                <w:rFonts w:ascii="宋体" w:hAnsi="宋体" w:eastAsia="宋体"/>
                <w:color w:val="auto"/>
                <w:highlight w:val="none"/>
              </w:rPr>
            </w:pPr>
            <w:r>
              <w:rPr>
                <w:rFonts w:hint="eastAsia" w:ascii="宋体" w:hAnsi="宋体" w:eastAsia="宋体"/>
                <w:color w:val="auto"/>
                <w:highlight w:val="none"/>
              </w:rPr>
              <w:t>陈劲松</w:t>
            </w:r>
          </w:p>
          <w:p>
            <w:pPr>
              <w:pStyle w:val="259"/>
              <w:kinsoku w:val="0"/>
              <w:overflowPunct w:val="0"/>
              <w:spacing w:after="0"/>
              <w:jc w:val="left"/>
              <w:rPr>
                <w:color w:val="auto"/>
                <w:highlight w:val="none"/>
              </w:rPr>
            </w:pPr>
            <w:r>
              <w:rPr>
                <w:color w:val="auto"/>
                <w:highlight w:val="none"/>
              </w:rPr>
              <w:t>028-85442391/</w:t>
            </w:r>
          </w:p>
          <w:p>
            <w:pPr>
              <w:pStyle w:val="259"/>
              <w:kinsoku w:val="0"/>
              <w:overflowPunct w:val="0"/>
              <w:spacing w:after="0"/>
              <w:jc w:val="left"/>
              <w:rPr>
                <w:color w:val="auto"/>
                <w:highlight w:val="none"/>
              </w:rPr>
            </w:pPr>
            <w:r>
              <w:rPr>
                <w:color w:val="auto"/>
                <w:highlight w:val="none"/>
              </w:rPr>
              <w:t>13808042188</w:t>
            </w:r>
          </w:p>
          <w:p>
            <w:pPr>
              <w:pStyle w:val="259"/>
              <w:kinsoku w:val="0"/>
              <w:overflowPunct w:val="0"/>
              <w:spacing w:after="0"/>
              <w:jc w:val="left"/>
              <w:rPr>
                <w:rFonts w:ascii="宋体" w:hAnsi="宋体" w:eastAsia="宋体"/>
                <w:color w:val="auto"/>
                <w:highlight w:val="none"/>
              </w:rPr>
            </w:pPr>
            <w:r>
              <w:rPr>
                <w:rFonts w:hint="eastAsia" w:ascii="宋体" w:hAnsi="宋体" w:eastAsia="宋体"/>
                <w:color w:val="auto"/>
                <w:highlight w:val="none"/>
              </w:rPr>
              <w:t>张易伟</w:t>
            </w:r>
          </w:p>
          <w:p>
            <w:pPr>
              <w:pStyle w:val="259"/>
              <w:kinsoku w:val="0"/>
              <w:overflowPunct w:val="0"/>
              <w:spacing w:after="0"/>
              <w:jc w:val="left"/>
              <w:rPr>
                <w:color w:val="auto"/>
                <w:highlight w:val="none"/>
              </w:rPr>
            </w:pPr>
            <w:r>
              <w:rPr>
                <w:color w:val="auto"/>
                <w:highlight w:val="none"/>
              </w:rPr>
              <w:t>028-85289896/</w:t>
            </w:r>
          </w:p>
          <w:p>
            <w:pPr>
              <w:pStyle w:val="259"/>
              <w:kinsoku w:val="0"/>
              <w:overflowPunct w:val="0"/>
              <w:spacing w:after="0"/>
              <w:jc w:val="left"/>
              <w:rPr>
                <w:color w:val="auto"/>
                <w:highlight w:val="none"/>
              </w:rPr>
            </w:pPr>
            <w:r>
              <w:rPr>
                <w:color w:val="auto"/>
                <w:highlight w:val="none"/>
              </w:rPr>
              <w:t>18628249617</w:t>
            </w:r>
          </w:p>
        </w:tc>
      </w:tr>
      <w:tr>
        <w:tblPrEx>
          <w:tblLayout w:type="fixed"/>
          <w:tblCellMar>
            <w:top w:w="0" w:type="dxa"/>
            <w:left w:w="108" w:type="dxa"/>
            <w:bottom w:w="0" w:type="dxa"/>
            <w:right w:w="108" w:type="dxa"/>
          </w:tblCellMar>
        </w:tblPrEx>
        <w:trPr>
          <w:trHeight w:val="1029" w:hRule="atLeast"/>
        </w:trPr>
        <w:tc>
          <w:tcPr>
            <w:tcW w:w="682"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rPr>
                <w:rFonts w:ascii="方正小标宋简体" w:hAnsi="方正小标宋简体" w:eastAsia="方正小标宋简体"/>
                <w:color w:val="auto"/>
                <w:sz w:val="23"/>
                <w:highlight w:val="none"/>
              </w:rPr>
            </w:pPr>
          </w:p>
          <w:p>
            <w:pPr>
              <w:pStyle w:val="259"/>
              <w:kinsoku w:val="0"/>
              <w:overflowPunct w:val="0"/>
              <w:jc w:val="center"/>
              <w:rPr>
                <w:color w:val="auto"/>
                <w:highlight w:val="none"/>
              </w:rPr>
            </w:pPr>
            <w:r>
              <w:rPr>
                <w:color w:val="auto"/>
                <w:highlight w:val="none"/>
              </w:rPr>
              <w:t>5</w:t>
            </w:r>
          </w:p>
        </w:tc>
        <w:tc>
          <w:tcPr>
            <w:tcW w:w="2163"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jc w:val="left"/>
              <w:rPr>
                <w:rFonts w:ascii="宋体" w:hAnsi="宋体" w:eastAsia="宋体"/>
                <w:color w:val="auto"/>
                <w:highlight w:val="none"/>
              </w:rPr>
            </w:pPr>
            <w:r>
              <w:rPr>
                <w:rFonts w:hint="eastAsia" w:ascii="宋体" w:hAnsi="宋体" w:eastAsia="宋体"/>
                <w:color w:val="auto"/>
                <w:highlight w:val="none"/>
              </w:rPr>
              <w:t>成都银行锦江支行</w:t>
            </w:r>
          </w:p>
        </w:tc>
        <w:tc>
          <w:tcPr>
            <w:tcW w:w="2488"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jc w:val="left"/>
              <w:rPr>
                <w:rFonts w:ascii="宋体" w:hAnsi="宋体" w:eastAsia="宋体"/>
                <w:color w:val="auto"/>
                <w:highlight w:val="none"/>
              </w:rPr>
            </w:pPr>
            <w:r>
              <w:rPr>
                <w:rFonts w:hint="eastAsia" w:ascii="宋体" w:hAnsi="宋体" w:eastAsia="宋体"/>
                <w:color w:val="auto"/>
                <w:highlight w:val="none"/>
              </w:rPr>
              <w:t xml:space="preserve">成都市锦江区书院西街 </w:t>
            </w:r>
            <w:r>
              <w:rPr>
                <w:color w:val="auto"/>
                <w:highlight w:val="none"/>
              </w:rPr>
              <w:t xml:space="preserve">1-33 </w:t>
            </w:r>
            <w:r>
              <w:rPr>
                <w:rFonts w:hint="eastAsia" w:ascii="宋体" w:hAnsi="宋体" w:eastAsia="宋体"/>
                <w:color w:val="auto"/>
                <w:highlight w:val="none"/>
              </w:rPr>
              <w:t>号</w:t>
            </w:r>
          </w:p>
        </w:tc>
        <w:tc>
          <w:tcPr>
            <w:tcW w:w="2947"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spacing w:after="0"/>
              <w:jc w:val="left"/>
              <w:rPr>
                <w:color w:val="auto"/>
                <w:highlight w:val="none"/>
              </w:rPr>
            </w:pPr>
            <w:r>
              <w:rPr>
                <w:rFonts w:hint="eastAsia" w:ascii="宋体" w:hAnsi="宋体" w:eastAsia="宋体"/>
                <w:color w:val="auto"/>
                <w:spacing w:val="-20"/>
                <w:highlight w:val="none"/>
              </w:rPr>
              <w:t xml:space="preserve">徐强 </w:t>
            </w:r>
            <w:r>
              <w:rPr>
                <w:color w:val="auto"/>
                <w:highlight w:val="none"/>
              </w:rPr>
              <w:t>136160.5551573</w:t>
            </w:r>
          </w:p>
          <w:p>
            <w:pPr>
              <w:pStyle w:val="259"/>
              <w:kinsoku w:val="0"/>
              <w:overflowPunct w:val="0"/>
              <w:spacing w:after="0"/>
              <w:jc w:val="left"/>
              <w:rPr>
                <w:color w:val="auto"/>
                <w:highlight w:val="none"/>
              </w:rPr>
            </w:pPr>
            <w:r>
              <w:rPr>
                <w:rFonts w:hint="eastAsia" w:ascii="宋体" w:hAnsi="宋体" w:eastAsia="宋体"/>
                <w:color w:val="auto"/>
                <w:spacing w:val="-20"/>
                <w:highlight w:val="none"/>
              </w:rPr>
              <w:t xml:space="preserve">郑蓓 </w:t>
            </w:r>
            <w:r>
              <w:rPr>
                <w:color w:val="auto"/>
                <w:highlight w:val="none"/>
              </w:rPr>
              <w:t>13982294491</w:t>
            </w:r>
          </w:p>
          <w:p>
            <w:pPr>
              <w:pStyle w:val="259"/>
              <w:kinsoku w:val="0"/>
              <w:overflowPunct w:val="0"/>
              <w:spacing w:after="0"/>
              <w:jc w:val="left"/>
              <w:rPr>
                <w:color w:val="auto"/>
                <w:highlight w:val="none"/>
              </w:rPr>
            </w:pPr>
            <w:r>
              <w:rPr>
                <w:rFonts w:hint="eastAsia" w:ascii="宋体" w:hAnsi="宋体" w:eastAsia="宋体"/>
                <w:color w:val="auto"/>
                <w:highlight w:val="none"/>
              </w:rPr>
              <w:t xml:space="preserve">余继龙 </w:t>
            </w:r>
            <w:r>
              <w:rPr>
                <w:color w:val="auto"/>
                <w:highlight w:val="none"/>
              </w:rPr>
              <w:t>18180671127</w:t>
            </w:r>
          </w:p>
        </w:tc>
      </w:tr>
      <w:tr>
        <w:tblPrEx>
          <w:tblLayout w:type="fixed"/>
          <w:tblCellMar>
            <w:top w:w="0" w:type="dxa"/>
            <w:left w:w="108" w:type="dxa"/>
            <w:bottom w:w="0" w:type="dxa"/>
            <w:right w:w="108" w:type="dxa"/>
          </w:tblCellMar>
        </w:tblPrEx>
        <w:trPr>
          <w:trHeight w:val="992" w:hRule="atLeast"/>
        </w:trPr>
        <w:tc>
          <w:tcPr>
            <w:tcW w:w="682"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rPr>
                <w:rFonts w:ascii="方正小标宋简体" w:hAnsi="方正小标宋简体" w:eastAsia="方正小标宋简体"/>
                <w:color w:val="auto"/>
                <w:sz w:val="23"/>
                <w:highlight w:val="none"/>
              </w:rPr>
            </w:pPr>
          </w:p>
          <w:p>
            <w:pPr>
              <w:pStyle w:val="259"/>
              <w:kinsoku w:val="0"/>
              <w:overflowPunct w:val="0"/>
              <w:jc w:val="center"/>
              <w:rPr>
                <w:color w:val="auto"/>
                <w:highlight w:val="none"/>
              </w:rPr>
            </w:pPr>
            <w:r>
              <w:rPr>
                <w:color w:val="auto"/>
                <w:highlight w:val="none"/>
              </w:rPr>
              <w:t>6</w:t>
            </w:r>
          </w:p>
        </w:tc>
        <w:tc>
          <w:tcPr>
            <w:tcW w:w="2163"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jc w:val="left"/>
              <w:rPr>
                <w:rFonts w:ascii="宋体" w:hAnsi="宋体" w:eastAsia="宋体"/>
                <w:color w:val="auto"/>
                <w:highlight w:val="none"/>
              </w:rPr>
            </w:pPr>
            <w:r>
              <w:rPr>
                <w:rFonts w:hint="eastAsia" w:ascii="宋体" w:hAnsi="宋体" w:eastAsia="宋体"/>
                <w:color w:val="auto"/>
                <w:highlight w:val="none"/>
              </w:rPr>
              <w:t>中国工商银行成都春熙支行</w:t>
            </w:r>
          </w:p>
        </w:tc>
        <w:tc>
          <w:tcPr>
            <w:tcW w:w="2488"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jc w:val="left"/>
              <w:rPr>
                <w:rFonts w:ascii="宋体" w:hAnsi="宋体" w:eastAsia="宋体"/>
                <w:color w:val="auto"/>
                <w:highlight w:val="none"/>
              </w:rPr>
            </w:pPr>
            <w:r>
              <w:rPr>
                <w:rFonts w:hint="eastAsia" w:ascii="宋体" w:hAnsi="宋体" w:eastAsia="宋体"/>
                <w:color w:val="auto"/>
                <w:highlight w:val="none"/>
              </w:rPr>
              <w:t xml:space="preserve">成都市提督街 </w:t>
            </w:r>
            <w:r>
              <w:rPr>
                <w:color w:val="auto"/>
                <w:highlight w:val="none"/>
              </w:rPr>
              <w:t xml:space="preserve">50 </w:t>
            </w:r>
            <w:r>
              <w:rPr>
                <w:rFonts w:hint="eastAsia" w:ascii="宋体" w:hAnsi="宋体" w:eastAsia="宋体"/>
                <w:color w:val="auto"/>
                <w:highlight w:val="none"/>
              </w:rPr>
              <w:t>号</w:t>
            </w:r>
          </w:p>
        </w:tc>
        <w:tc>
          <w:tcPr>
            <w:tcW w:w="2947"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spacing w:after="0"/>
              <w:jc w:val="left"/>
              <w:rPr>
                <w:color w:val="auto"/>
                <w:highlight w:val="none"/>
              </w:rPr>
            </w:pPr>
            <w:r>
              <w:rPr>
                <w:rFonts w:hint="eastAsia" w:ascii="宋体" w:hAnsi="宋体" w:eastAsia="宋体"/>
                <w:color w:val="auto"/>
                <w:spacing w:val="-20"/>
                <w:highlight w:val="none"/>
              </w:rPr>
              <w:t xml:space="preserve">曾曦 </w:t>
            </w:r>
            <w:r>
              <w:rPr>
                <w:color w:val="auto"/>
                <w:highlight w:val="none"/>
              </w:rPr>
              <w:t>13982183613</w:t>
            </w:r>
          </w:p>
          <w:p>
            <w:pPr>
              <w:pStyle w:val="259"/>
              <w:kinsoku w:val="0"/>
              <w:overflowPunct w:val="0"/>
              <w:spacing w:after="0"/>
              <w:jc w:val="left"/>
              <w:rPr>
                <w:color w:val="auto"/>
                <w:highlight w:val="none"/>
              </w:rPr>
            </w:pPr>
            <w:r>
              <w:rPr>
                <w:rFonts w:hint="eastAsia" w:ascii="宋体" w:hAnsi="宋体" w:eastAsia="宋体"/>
                <w:color w:val="auto"/>
                <w:spacing w:val="-20"/>
                <w:highlight w:val="none"/>
              </w:rPr>
              <w:t xml:space="preserve">何煦 </w:t>
            </w:r>
            <w:r>
              <w:rPr>
                <w:color w:val="auto"/>
                <w:highlight w:val="none"/>
              </w:rPr>
              <w:t>13666223231</w:t>
            </w:r>
          </w:p>
          <w:p>
            <w:pPr>
              <w:pStyle w:val="259"/>
              <w:kinsoku w:val="0"/>
              <w:overflowPunct w:val="0"/>
              <w:spacing w:after="0"/>
              <w:jc w:val="left"/>
              <w:rPr>
                <w:color w:val="auto"/>
                <w:highlight w:val="none"/>
              </w:rPr>
            </w:pPr>
            <w:r>
              <w:rPr>
                <w:rFonts w:hint="eastAsia" w:ascii="宋体" w:hAnsi="宋体" w:eastAsia="宋体"/>
                <w:color w:val="auto"/>
                <w:highlight w:val="none"/>
              </w:rPr>
              <w:t xml:space="preserve">青呈伟 </w:t>
            </w:r>
            <w:r>
              <w:rPr>
                <w:color w:val="auto"/>
                <w:highlight w:val="none"/>
              </w:rPr>
              <w:t>13880968977</w:t>
            </w:r>
          </w:p>
        </w:tc>
      </w:tr>
      <w:tr>
        <w:tblPrEx>
          <w:tblLayout w:type="fixed"/>
          <w:tblCellMar>
            <w:top w:w="0" w:type="dxa"/>
            <w:left w:w="108" w:type="dxa"/>
            <w:bottom w:w="0" w:type="dxa"/>
            <w:right w:w="108" w:type="dxa"/>
          </w:tblCellMar>
        </w:tblPrEx>
        <w:trPr>
          <w:trHeight w:val="724" w:hRule="atLeast"/>
        </w:trPr>
        <w:tc>
          <w:tcPr>
            <w:tcW w:w="682"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rPr>
                <w:rFonts w:ascii="方正小标宋简体" w:hAnsi="方正小标宋简体" w:eastAsia="方正小标宋简体"/>
                <w:color w:val="auto"/>
                <w:sz w:val="13"/>
                <w:highlight w:val="none"/>
              </w:rPr>
            </w:pPr>
          </w:p>
          <w:p>
            <w:pPr>
              <w:pStyle w:val="259"/>
              <w:kinsoku w:val="0"/>
              <w:overflowPunct w:val="0"/>
              <w:jc w:val="center"/>
              <w:rPr>
                <w:color w:val="auto"/>
                <w:highlight w:val="none"/>
              </w:rPr>
            </w:pPr>
            <w:r>
              <w:rPr>
                <w:color w:val="auto"/>
                <w:highlight w:val="none"/>
              </w:rPr>
              <w:t>7</w:t>
            </w:r>
          </w:p>
        </w:tc>
        <w:tc>
          <w:tcPr>
            <w:tcW w:w="2163"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jc w:val="left"/>
              <w:rPr>
                <w:rFonts w:ascii="宋体" w:hAnsi="宋体" w:eastAsia="宋体"/>
                <w:color w:val="auto"/>
                <w:highlight w:val="none"/>
              </w:rPr>
            </w:pPr>
            <w:r>
              <w:rPr>
                <w:rFonts w:hint="eastAsia" w:ascii="宋体" w:hAnsi="宋体" w:eastAsia="宋体"/>
                <w:color w:val="auto"/>
                <w:highlight w:val="none"/>
              </w:rPr>
              <w:t>上海银行成都东大街支行</w:t>
            </w:r>
          </w:p>
        </w:tc>
        <w:tc>
          <w:tcPr>
            <w:tcW w:w="2488"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spacing w:line="242" w:lineRule="auto"/>
              <w:jc w:val="left"/>
              <w:rPr>
                <w:rFonts w:ascii="宋体" w:hAnsi="宋体" w:eastAsia="宋体"/>
                <w:color w:val="auto"/>
                <w:highlight w:val="none"/>
              </w:rPr>
            </w:pPr>
            <w:r>
              <w:rPr>
                <w:rFonts w:hint="eastAsia" w:ascii="宋体" w:hAnsi="宋体" w:eastAsia="宋体"/>
                <w:color w:val="auto"/>
                <w:highlight w:val="none"/>
              </w:rPr>
              <w:t xml:space="preserve">成都市锦江区东大路 </w:t>
            </w:r>
            <w:r>
              <w:rPr>
                <w:color w:val="auto"/>
                <w:highlight w:val="none"/>
              </w:rPr>
              <w:t xml:space="preserve">100 </w:t>
            </w:r>
            <w:r>
              <w:rPr>
                <w:rFonts w:hint="eastAsia" w:ascii="宋体" w:hAnsi="宋体" w:eastAsia="宋体"/>
                <w:color w:val="auto"/>
                <w:highlight w:val="none"/>
              </w:rPr>
              <w:t xml:space="preserve">号商会大厦 </w:t>
            </w:r>
            <w:r>
              <w:rPr>
                <w:color w:val="auto"/>
                <w:highlight w:val="none"/>
              </w:rPr>
              <w:t xml:space="preserve">A </w:t>
            </w:r>
            <w:r>
              <w:rPr>
                <w:rFonts w:hint="eastAsia" w:ascii="宋体" w:hAnsi="宋体" w:eastAsia="宋体"/>
                <w:color w:val="auto"/>
                <w:highlight w:val="none"/>
              </w:rPr>
              <w:t xml:space="preserve">座 </w:t>
            </w:r>
            <w:r>
              <w:rPr>
                <w:color w:val="auto"/>
                <w:highlight w:val="none"/>
              </w:rPr>
              <w:t xml:space="preserve">2 </w:t>
            </w:r>
            <w:r>
              <w:rPr>
                <w:rFonts w:hint="eastAsia" w:ascii="宋体" w:hAnsi="宋体" w:eastAsia="宋体"/>
                <w:color w:val="auto"/>
                <w:highlight w:val="none"/>
              </w:rPr>
              <w:t>楼</w:t>
            </w:r>
          </w:p>
        </w:tc>
        <w:tc>
          <w:tcPr>
            <w:tcW w:w="2947"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spacing w:after="0" w:line="256" w:lineRule="auto"/>
              <w:jc w:val="left"/>
              <w:rPr>
                <w:color w:val="auto"/>
                <w:highlight w:val="none"/>
              </w:rPr>
            </w:pPr>
            <w:r>
              <w:rPr>
                <w:rFonts w:hint="eastAsia" w:ascii="宋体" w:hAnsi="宋体" w:eastAsia="宋体"/>
                <w:color w:val="auto"/>
                <w:highlight w:val="none"/>
              </w:rPr>
              <w:t xml:space="preserve">金鑫 </w:t>
            </w:r>
            <w:r>
              <w:rPr>
                <w:color w:val="auto"/>
                <w:highlight w:val="none"/>
              </w:rPr>
              <w:t>028-61303012/ 17721885710</w:t>
            </w:r>
          </w:p>
        </w:tc>
      </w:tr>
      <w:tr>
        <w:tblPrEx>
          <w:tblLayout w:type="fixed"/>
          <w:tblCellMar>
            <w:top w:w="0" w:type="dxa"/>
            <w:left w:w="108" w:type="dxa"/>
            <w:bottom w:w="0" w:type="dxa"/>
            <w:right w:w="108" w:type="dxa"/>
          </w:tblCellMar>
        </w:tblPrEx>
        <w:trPr>
          <w:trHeight w:val="734" w:hRule="atLeast"/>
        </w:trPr>
        <w:tc>
          <w:tcPr>
            <w:tcW w:w="682"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jc w:val="center"/>
              <w:rPr>
                <w:rFonts w:eastAsia="宋体"/>
                <w:color w:val="auto"/>
                <w:highlight w:val="none"/>
              </w:rPr>
            </w:pPr>
            <w:r>
              <w:rPr>
                <w:rFonts w:hint="eastAsia" w:eastAsia="宋体"/>
                <w:color w:val="auto"/>
                <w:highlight w:val="none"/>
              </w:rPr>
              <w:t>8</w:t>
            </w:r>
          </w:p>
        </w:tc>
        <w:tc>
          <w:tcPr>
            <w:tcW w:w="2163"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jc w:val="left"/>
              <w:rPr>
                <w:rFonts w:ascii="宋体" w:hAnsi="宋体" w:eastAsia="宋体"/>
                <w:color w:val="auto"/>
                <w:highlight w:val="none"/>
              </w:rPr>
            </w:pPr>
            <w:r>
              <w:rPr>
                <w:rFonts w:hint="eastAsia" w:ascii="宋体" w:hAnsi="宋体" w:eastAsia="宋体"/>
                <w:color w:val="auto"/>
                <w:highlight w:val="none"/>
              </w:rPr>
              <w:t>四川天府银行</w:t>
            </w:r>
          </w:p>
        </w:tc>
        <w:tc>
          <w:tcPr>
            <w:tcW w:w="2488"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spacing w:line="242" w:lineRule="auto"/>
              <w:jc w:val="left"/>
              <w:rPr>
                <w:rFonts w:ascii="宋体" w:hAnsi="宋体" w:eastAsia="宋体"/>
                <w:color w:val="auto"/>
                <w:highlight w:val="none"/>
              </w:rPr>
            </w:pPr>
            <w:r>
              <w:rPr>
                <w:rFonts w:hint="eastAsia" w:ascii="宋体" w:hAnsi="宋体" w:eastAsia="宋体"/>
                <w:color w:val="auto"/>
                <w:highlight w:val="none"/>
              </w:rPr>
              <w:t>四川天府银行</w:t>
            </w:r>
          </w:p>
        </w:tc>
        <w:tc>
          <w:tcPr>
            <w:tcW w:w="2947" w:type="dxa"/>
            <w:tcBorders>
              <w:top w:val="single" w:color="000000" w:sz="4" w:space="0"/>
              <w:left w:val="single" w:color="000000" w:sz="4" w:space="0"/>
              <w:bottom w:val="single" w:color="000000" w:sz="4" w:space="0"/>
              <w:right w:val="single" w:color="000000" w:sz="4" w:space="0"/>
              <w:tl2br w:val="nil"/>
              <w:tr2bl w:val="nil"/>
            </w:tcBorders>
          </w:tcPr>
          <w:p>
            <w:pPr>
              <w:pStyle w:val="259"/>
              <w:kinsoku w:val="0"/>
              <w:overflowPunct w:val="0"/>
              <w:spacing w:after="0" w:line="256" w:lineRule="auto"/>
              <w:jc w:val="left"/>
              <w:rPr>
                <w:rFonts w:ascii="宋体" w:hAnsi="宋体" w:eastAsia="宋体"/>
                <w:color w:val="auto"/>
                <w:highlight w:val="none"/>
              </w:rPr>
            </w:pPr>
            <w:r>
              <w:rPr>
                <w:rFonts w:hint="eastAsia" w:ascii="宋体" w:hAnsi="宋体" w:eastAsia="宋体"/>
                <w:color w:val="auto"/>
                <w:highlight w:val="none"/>
              </w:rPr>
              <w:t>刘艺婷15108295326</w:t>
            </w:r>
          </w:p>
          <w:p>
            <w:pPr>
              <w:pStyle w:val="259"/>
              <w:kinsoku w:val="0"/>
              <w:overflowPunct w:val="0"/>
              <w:spacing w:after="0" w:line="256" w:lineRule="auto"/>
              <w:jc w:val="left"/>
              <w:rPr>
                <w:rFonts w:ascii="宋体" w:hAnsi="宋体" w:eastAsia="宋体"/>
                <w:color w:val="auto"/>
                <w:highlight w:val="none"/>
              </w:rPr>
            </w:pPr>
            <w:r>
              <w:rPr>
                <w:rFonts w:hint="eastAsia" w:ascii="宋体" w:hAnsi="宋体" w:eastAsia="宋体"/>
                <w:color w:val="auto"/>
                <w:highlight w:val="none"/>
              </w:rPr>
              <w:t>郑瑶瑶13438008900</w:t>
            </w:r>
          </w:p>
        </w:tc>
      </w:tr>
    </w:tbl>
    <w:p>
      <w:pPr>
        <w:rPr>
          <w:rFonts w:ascii="仿宋" w:hAnsi="仿宋" w:eastAsia="仿宋"/>
          <w:color w:val="auto"/>
          <w:sz w:val="30"/>
          <w:szCs w:val="32"/>
          <w:highlight w:val="none"/>
        </w:rPr>
      </w:pPr>
    </w:p>
    <w:sectPr>
      <w:footerReference r:id="rId12" w:type="default"/>
      <w:pgSz w:w="11906" w:h="16838"/>
      <w:pgMar w:top="678" w:right="1274" w:bottom="1440" w:left="1418" w:header="851" w:footer="992" w:gutter="0"/>
      <w:cols w:space="720"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decorative"/>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Arial Narrow">
    <w:altName w:val="Arial"/>
    <w:panose1 w:val="020B0606020202030204"/>
    <w:charset w:val="00"/>
    <w:family w:val="decorative"/>
    <w:pitch w:val="default"/>
    <w:sig w:usb0="00000000" w:usb1="00000000" w:usb2="00000000" w:usb3="00000000" w:csb0="0000009F" w:csb1="00000000"/>
  </w:font>
  <w:font w:name="Tms Rmn">
    <w:altName w:val="Segoe Print"/>
    <w:panose1 w:val="02020603040505020304"/>
    <w:charset w:val="00"/>
    <w:family w:val="modern"/>
    <w:pitch w:val="default"/>
    <w:sig w:usb0="00000000" w:usb1="00000000" w:usb2="00000000" w:usb3="00000000" w:csb0="00000001" w:csb1="00000000"/>
  </w:font>
  <w:font w:name="楷体à.ā">
    <w:altName w:val="黑体"/>
    <w:panose1 w:val="00000000000000000000"/>
    <w:charset w:val="86"/>
    <w:family w:val="swiss"/>
    <w:pitch w:val="default"/>
    <w:sig w:usb0="00000000" w:usb1="00000000" w:usb2="00000010" w:usb3="00000000" w:csb0="00040000" w:csb1="00000000"/>
  </w:font>
  <w:font w:name="ˎ̥">
    <w:altName w:val="Times New Roman"/>
    <w:panose1 w:val="00000000000000000000"/>
    <w:charset w:val="00"/>
    <w:family w:val="modern"/>
    <w:pitch w:val="default"/>
    <w:sig w:usb0="00000000" w:usb1="00000000" w:usb2="00000000" w:usb3="00000000" w:csb0="00000000" w:csb1="00000000"/>
  </w:font>
  <w:font w:name="Tahoma">
    <w:panose1 w:val="020B0604030504040204"/>
    <w:charset w:val="00"/>
    <w:family w:val="decorative"/>
    <w:pitch w:val="default"/>
    <w:sig w:usb0="E1002EFF" w:usb1="C000605B" w:usb2="00000029" w:usb3="00000000" w:csb0="200101FF" w:csb1="20280000"/>
  </w:font>
  <w:font w:name="楷体_GB2312">
    <w:altName w:val="楷体"/>
    <w:panose1 w:val="00000000000000000000"/>
    <w:charset w:val="86"/>
    <w:family w:val="swiss"/>
    <w:pitch w:val="default"/>
    <w:sig w:usb0="00000000" w:usb1="00000000" w:usb2="00000010" w:usb3="00000000" w:csb0="00040000" w:csb1="00000000"/>
  </w:font>
  <w:font w:name="仿宋">
    <w:panose1 w:val="02010609060101010101"/>
    <w:charset w:val="86"/>
    <w:family w:val="swiss"/>
    <w:pitch w:val="default"/>
    <w:sig w:usb0="800002BF" w:usb1="38CF7CFA" w:usb2="00000016" w:usb3="00000000" w:csb0="00040001" w:csb1="00000000"/>
  </w:font>
  <w:font w:name="Verdana">
    <w:panose1 w:val="020B0604030504040204"/>
    <w:charset w:val="00"/>
    <w:family w:val="decorative"/>
    <w:pitch w:val="default"/>
    <w:sig w:usb0="A10006FF" w:usb1="4000205B" w:usb2="00000010" w:usb3="00000000" w:csb0="2000019F" w:csb1="00000000"/>
  </w:font>
  <w:font w:name="仿宋_GB2312">
    <w:altName w:val="仿宋"/>
    <w:panose1 w:val="02010609030101010101"/>
    <w:charset w:val="86"/>
    <w:family w:val="swiss"/>
    <w:pitch w:val="default"/>
    <w:sig w:usb0="00000000" w:usb1="00000000" w:usb2="00000000" w:usb3="00000000" w:csb0="00040000" w:csb1="00000000"/>
  </w:font>
  <w:font w:name="Times New (W1)">
    <w:altName w:val="Segoe Print"/>
    <w:panose1 w:val="00000000000000000000"/>
    <w:charset w:val="00"/>
    <w:family w:val="modern"/>
    <w:pitch w:val="default"/>
    <w:sig w:usb0="00000000" w:usb1="00000000" w:usb2="00000000" w:usb3="00000000" w:csb0="00000001" w:csb1="00000000"/>
  </w:font>
  <w:font w:name="方正仿宋">
    <w:altName w:val="仿宋"/>
    <w:panose1 w:val="03000509000000000000"/>
    <w:charset w:val="86"/>
    <w:family w:val="script"/>
    <w:pitch w:val="default"/>
    <w:sig w:usb0="00000000" w:usb1="0000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Helvetica">
    <w:altName w:val="Arial"/>
    <w:panose1 w:val="020B0604020202020204"/>
    <w:charset w:val="00"/>
    <w:family w:val="decorative"/>
    <w:pitch w:val="default"/>
    <w:sig w:usb0="00000000" w:usb1="00000000" w:usb2="00000000" w:usb3="00000000" w:csb0="00000001" w:csb1="00000000"/>
  </w:font>
  <w:font w:name="Cambria Math">
    <w:panose1 w:val="02040503050406030204"/>
    <w:charset w:val="01"/>
    <w:family w:val="roman"/>
    <w:pitch w:val="default"/>
    <w:sig w:usb0="E00002FF" w:usb1="420024FF" w:usb2="00000000" w:usb3="00000000" w:csb0="2000019F" w:csb1="00000000"/>
  </w:font>
  <w:font w:name="微软雅黑">
    <w:panose1 w:val="020B0503020204020204"/>
    <w:charset w:val="86"/>
    <w:family w:val="decorative"/>
    <w:pitch w:val="default"/>
    <w:sig w:usb0="80000287" w:usb1="280F3C52" w:usb2="00000016" w:usb3="00000000" w:csb0="0004001F" w:csb1="00000000"/>
  </w:font>
  <w:font w:name="MingLiU">
    <w:panose1 w:val="02020509000000000000"/>
    <w:charset w:val="88"/>
    <w:family w:val="swiss"/>
    <w:pitch w:val="default"/>
    <w:sig w:usb0="A00002FF" w:usb1="28CFFCFA" w:usb2="00000016" w:usb3="00000000" w:csb0="00100001" w:csb1="00000000"/>
  </w:font>
  <w:font w:name="新宋体">
    <w:panose1 w:val="02010609030101010101"/>
    <w:charset w:val="86"/>
    <w:family w:val="decorative"/>
    <w:pitch w:val="default"/>
    <w:sig w:usb0="00000003" w:usb1="288F0000" w:usb2="00000006" w:usb3="00000000" w:csb0="00040001" w:csb1="00000000"/>
  </w:font>
  <w:font w:name="方正小标宋简体">
    <w:altName w:val="微软雅黑"/>
    <w:panose1 w:val="02010601030101010101"/>
    <w:charset w:val="86"/>
    <w:family w:val="script"/>
    <w:pitch w:val="default"/>
    <w:sig w:usb0="00000000" w:usb1="00000000" w:usb2="00000000" w:usb3="00000000" w:csb0="00040000" w:csb1="00000000"/>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auto"/>
    <w:pitch w:val="default"/>
    <w:sig w:usb0="800002BF" w:usb1="38CF7CFA" w:usb2="00000016" w:usb3="00000000" w:csb0="00040001" w:csb1="00000000"/>
  </w:font>
  <w:font w:name="等线">
    <w:altName w:val="宋体"/>
    <w:panose1 w:val="02010600030101010101"/>
    <w:charset w:val="86"/>
    <w:family w:val="auto"/>
    <w:pitch w:val="default"/>
    <w:sig w:usb0="00000000" w:usb1="00000000" w:usb2="00000016" w:usb3="00000000" w:csb0="0004000F" w:csb1="00000000"/>
  </w:font>
  <w:font w:name="Arial">
    <w:panose1 w:val="020B0604020202020204"/>
    <w:charset w:val="00"/>
    <w:family w:val="roman"/>
    <w:pitch w:val="default"/>
    <w:sig w:usb0="E0002AFF" w:usb1="C0007843" w:usb2="00000009" w:usb3="00000000" w:csb0="400001FF" w:csb1="FFFF0000"/>
  </w:font>
  <w:font w:name="Courier New">
    <w:panose1 w:val="02070309020205020404"/>
    <w:charset w:val="00"/>
    <w:family w:val="decorative"/>
    <w:pitch w:val="default"/>
    <w:sig w:usb0="E0002AFF" w:usb1="C0007843" w:usb2="00000009" w:usb3="00000000" w:csb0="400001FF" w:csb1="FFFF0000"/>
  </w:font>
  <w:font w:name="Consolas">
    <w:panose1 w:val="020B0609020204030204"/>
    <w:charset w:val="00"/>
    <w:family w:val="decorative"/>
    <w:pitch w:val="default"/>
    <w:sig w:usb0="E10002FF" w:usb1="4000FCFF" w:usb2="00000009" w:usb3="00000000" w:csb0="6000019F" w:csb1="DFD70000"/>
  </w:font>
  <w:font w:name="隶书">
    <w:altName w:val="微软雅黑"/>
    <w:panose1 w:val="02010509060101010101"/>
    <w:charset w:val="86"/>
    <w:family w:val="decorative"/>
    <w:pitch w:val="default"/>
    <w:sig w:usb0="00000000" w:usb1="00000000" w:usb2="00000010" w:usb3="00000000" w:csb0="00040000" w:csb1="00000000"/>
  </w:font>
  <w:font w:name="Microsoft YaHei UI">
    <w:altName w:val="宋体"/>
    <w:panose1 w:val="020B0503020204020204"/>
    <w:charset w:val="86"/>
    <w:family w:val="roman"/>
    <w:pitch w:val="default"/>
    <w:sig w:usb0="00000000" w:usb1="00000000" w:usb2="00000016" w:usb3="00000000" w:csb0="0004001F" w:csb1="00000000"/>
  </w:font>
  <w:font w:name="Arial (W1)">
    <w:altName w:val="Arial"/>
    <w:panose1 w:val="00000000000000000000"/>
    <w:charset w:val="00"/>
    <w:family w:val="roman"/>
    <w:pitch w:val="default"/>
    <w:sig w:usb0="00000000" w:usb1="00000000" w:usb2="00000008" w:usb3="00000000" w:csb0="000001FF" w:csb1="00000000"/>
  </w:font>
  <w:font w:name="等线 Light">
    <w:altName w:val="宋体"/>
    <w:panose1 w:val="02010600030101010101"/>
    <w:charset w:val="86"/>
    <w:family w:val="auto"/>
    <w:pitch w:val="default"/>
    <w:sig w:usb0="00000000" w:usb1="00000000" w:usb2="00000016" w:usb3="00000000" w:csb0="0004000F" w:csb1="00000000"/>
  </w:font>
  <w:font w:name="Wingdings 2">
    <w:altName w:val="Wingdings"/>
    <w:panose1 w:val="05020102010507070707"/>
    <w:charset w:val="00"/>
    <w:family w:val="auto"/>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等线">
    <w:altName w:val="Segoe Print"/>
    <w:panose1 w:val="00000000000000000000"/>
    <w:charset w:val="00"/>
    <w:family w:val="auto"/>
    <w:pitch w:val="default"/>
    <w:sig w:usb0="00000000" w:usb1="00000000" w:usb2="00000000" w:usb3="00000000" w:csb0="00000000" w:csb1="00000000"/>
  </w:font>
  <w:font w:name="等线 Light">
    <w:altName w:val="Segoe Print"/>
    <w:panose1 w:val="00000000000000000000"/>
    <w:charset w:val="00"/>
    <w:family w:val="auto"/>
    <w:pitch w:val="default"/>
    <w:sig w:usb0="00000000" w:usb1="00000000" w:usb2="00000000" w:usb3="00000000" w:csb0="00000000" w:csb1="00000000"/>
  </w:font>
  <w:font w:name="PMingLiU-ExtB">
    <w:panose1 w:val="02020500000000000000"/>
    <w:charset w:val="88"/>
    <w:family w:val="auto"/>
    <w:pitch w:val="default"/>
    <w:sig w:usb0="8000002F" w:usb1="02000008" w:usb2="00000000" w:usb3="00000000" w:csb0="00100001" w:csb1="00000000"/>
  </w:font>
  <w:font w:name="Cambria Math">
    <w:panose1 w:val="02040503050406030204"/>
    <w:charset w:val="00"/>
    <w:family w:val="roman"/>
    <w:pitch w:val="default"/>
    <w:sig w:usb0="E00002FF" w:usb1="420024FF" w:usb2="00000000" w:usb3="00000000" w:csb0="2000019F" w:csb1="00000000"/>
  </w:font>
  <w:font w:name="Segoe UI Symbol">
    <w:panose1 w:val="020B0502040204020203"/>
    <w:charset w:val="00"/>
    <w:family w:val="swiss"/>
    <w:pitch w:val="default"/>
    <w:sig w:usb0="8000006F" w:usb1="1200FBEF" w:usb2="0064C000" w:usb3="00000002" w:csb0="00000001" w:csb1="40000000"/>
  </w:font>
  <w:font w:name="Calibri Light">
    <w:panose1 w:val="020F0302020204030204"/>
    <w:charset w:val="00"/>
    <w:family w:val="swiss"/>
    <w:pitch w:val="default"/>
    <w:sig w:usb0="A00002EF" w:usb1="4000207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framePr w:wrap="around" w:vAnchor="text" w:hAnchor="margin" w:xAlign="center" w:y="1"/>
      <w:rPr>
        <w:rStyle w:val="46"/>
      </w:rPr>
    </w:pPr>
    <w:r>
      <w:fldChar w:fldCharType="begin"/>
    </w:r>
    <w:r>
      <w:rPr>
        <w:rStyle w:val="46"/>
      </w:rPr>
      <w:instrText xml:space="preserve">PAGE  </w:instrText>
    </w:r>
    <w:r>
      <w:fldChar w:fldCharType="separate"/>
    </w:r>
    <w:r>
      <w:rPr>
        <w:rStyle w:val="46"/>
      </w:rPr>
      <w:t>10</w:t>
    </w:r>
    <w:r>
      <w:fldChar w:fldCharType="end"/>
    </w:r>
  </w:p>
  <w:p>
    <w:pPr>
      <w:pStyle w:val="3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framePr w:wrap="around" w:vAnchor="text" w:hAnchor="margin" w:xAlign="center" w:y="1"/>
      <w:rPr>
        <w:rStyle w:val="46"/>
      </w:rPr>
    </w:pPr>
    <w:r>
      <w:fldChar w:fldCharType="begin"/>
    </w:r>
    <w:r>
      <w:rPr>
        <w:rStyle w:val="46"/>
      </w:rPr>
      <w:instrText xml:space="preserve">PAGE  </w:instrText>
    </w:r>
    <w:r>
      <w:fldChar w:fldCharType="end"/>
    </w:r>
  </w:p>
  <w:p>
    <w:pPr>
      <w:pStyle w:val="3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center"/>
    </w:pPr>
    <w:r>
      <w:fldChar w:fldCharType="begin"/>
    </w:r>
    <w:r>
      <w:instrText xml:space="preserve"> PAGE   \* MERGEFORMAT </w:instrText>
    </w:r>
    <w:r>
      <w:fldChar w:fldCharType="separate"/>
    </w:r>
    <w:r>
      <w:rPr>
        <w:lang w:val="zh-CN"/>
      </w:rPr>
      <w:t>9</w:t>
    </w:r>
    <w:r>
      <w:rPr>
        <w:lang w:val="zh-CN"/>
      </w:rPr>
      <w:fldChar w:fldCharType="end"/>
    </w:r>
  </w:p>
  <w:p>
    <w:pPr>
      <w:pStyle w:val="3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framePr w:wrap="around" w:vAnchor="text" w:hAnchor="margin" w:xAlign="center" w:y="1"/>
      <w:rPr>
        <w:rStyle w:val="46"/>
      </w:rPr>
    </w:pPr>
    <w:r>
      <w:fldChar w:fldCharType="begin"/>
    </w:r>
    <w:r>
      <w:rPr>
        <w:rStyle w:val="46"/>
      </w:rPr>
      <w:instrText xml:space="preserve">PAGE  </w:instrText>
    </w:r>
    <w:r>
      <w:fldChar w:fldCharType="separate"/>
    </w:r>
    <w:r>
      <w:rPr>
        <w:rStyle w:val="46"/>
      </w:rPr>
      <w:t>1</w:t>
    </w:r>
    <w:r>
      <w:fldChar w:fldCharType="end"/>
    </w:r>
  </w:p>
  <w:p>
    <w:pPr>
      <w:pStyle w:val="3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framePr w:wrap="around" w:vAnchor="text" w:hAnchor="margin" w:xAlign="center" w:y="1"/>
      <w:rPr>
        <w:rStyle w:val="46"/>
      </w:rPr>
    </w:pPr>
    <w:r>
      <w:fldChar w:fldCharType="begin"/>
    </w:r>
    <w:r>
      <w:rPr>
        <w:rStyle w:val="46"/>
      </w:rPr>
      <w:instrText xml:space="preserve">PAGE  </w:instrText>
    </w:r>
    <w:r>
      <w:fldChar w:fldCharType="end"/>
    </w:r>
  </w:p>
  <w:p>
    <w:pPr>
      <w:pStyle w:val="31"/>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center"/>
    </w:pPr>
    <w:r>
      <w:fldChar w:fldCharType="begin"/>
    </w:r>
    <w:r>
      <w:instrText xml:space="preserve"> PAGE   \* MERGEFORMAT </w:instrText>
    </w:r>
    <w:r>
      <w:fldChar w:fldCharType="separate"/>
    </w:r>
    <w:r>
      <w:rPr>
        <w:lang w:val="zh-CN"/>
      </w:rPr>
      <w:t>23</w:t>
    </w:r>
    <w:r>
      <w:rPr>
        <w:lang w:val="zh-CN"/>
      </w:rPr>
      <w:fldChar w:fldCharType="end"/>
    </w:r>
  </w:p>
  <w:p>
    <w:pPr>
      <w:pStyle w:val="3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center"/>
    </w:pPr>
    <w:r>
      <w:fldChar w:fldCharType="begin"/>
    </w:r>
    <w:r>
      <w:instrText xml:space="preserve"> PAGE   \* MERGEFORMAT </w:instrText>
    </w:r>
    <w:r>
      <w:fldChar w:fldCharType="separate"/>
    </w:r>
    <w:r>
      <w:rPr>
        <w:lang w:val="zh-CN"/>
      </w:rPr>
      <w:t>65</w:t>
    </w:r>
    <w:r>
      <w:rPr>
        <w:lang w:val="zh-CN"/>
      </w:rPr>
      <w:fldChar w:fldCharType="end"/>
    </w:r>
  </w:p>
  <w:p>
    <w:pPr>
      <w:pStyle w:val="31"/>
      <w:tabs>
        <w:tab w:val="center" w:pos="4533"/>
        <w:tab w:val="clear" w:pos="4153"/>
        <w:tab w:val="clear" w:pos="8306"/>
      </w:tabs>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ind w:firstLine="420"/>
      <w:jc w:val="center"/>
    </w:pPr>
    <w:r>
      <w:fldChar w:fldCharType="begin"/>
    </w:r>
    <w:r>
      <w:instrText xml:space="preserve">PAGE   \* MERGEFORMAT</w:instrText>
    </w:r>
    <w:r>
      <w:fldChar w:fldCharType="separate"/>
    </w:r>
    <w:r>
      <w:rPr>
        <w:lang w:val="zh-CN"/>
      </w:rPr>
      <w:t>121</w:t>
    </w:r>
    <w:r>
      <w:rPr>
        <w:lang w:val="zh-CN"/>
      </w:rPr>
      <w:fldChar w:fldCharType="end"/>
    </w:r>
  </w:p>
  <w:p>
    <w:pPr>
      <w:pStyle w:val="3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2"/>
    <w:multiLevelType w:val="multilevel"/>
    <w:tmpl w:val="00000012"/>
    <w:lvl w:ilvl="0" w:tentative="0">
      <w:start w:val="1"/>
      <w:numFmt w:val="chineseCountingThousand"/>
      <w:lvlText w:val="%1、"/>
      <w:lvlJc w:val="lef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
    <w:nsid w:val="00000013"/>
    <w:multiLevelType w:val="multilevel"/>
    <w:tmpl w:val="00000013"/>
    <w:lvl w:ilvl="0" w:tentative="0">
      <w:start w:val="1"/>
      <w:numFmt w:val="chineseCountingThousand"/>
      <w:lvlText w:val="%1、"/>
      <w:lvlJc w:val="left"/>
      <w:pPr>
        <w:ind w:left="420" w:hanging="420"/>
      </w:pPr>
      <w:rPr>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0000017"/>
    <w:multiLevelType w:val="multilevel"/>
    <w:tmpl w:val="00000017"/>
    <w:lvl w:ilvl="0" w:tentative="0">
      <w:start w:val="1"/>
      <w:numFmt w:val="chineseCountingThousand"/>
      <w:lvlText w:val="%1、"/>
      <w:lvlJc w:val="left"/>
      <w:pPr>
        <w:ind w:left="846" w:hanging="4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
    <w:nsid w:val="00000024"/>
    <w:multiLevelType w:val="multilevel"/>
    <w:tmpl w:val="00000024"/>
    <w:lvl w:ilvl="0" w:tentative="0">
      <w:start w:val="1"/>
      <w:numFmt w:val="decimal"/>
      <w:lvlText w:val="%1."/>
      <w:lvlJc w:val="left"/>
      <w:pPr>
        <w:ind w:left="958" w:hanging="420"/>
      </w:pPr>
      <w:rPr>
        <w:rFonts w:hint="eastAsia"/>
      </w:rPr>
    </w:lvl>
    <w:lvl w:ilvl="1" w:tentative="0">
      <w:start w:val="1"/>
      <w:numFmt w:val="chineseCountingThousand"/>
      <w:lvlText w:val="%2、"/>
      <w:lvlJc w:val="left"/>
      <w:pPr>
        <w:ind w:left="420" w:hanging="420"/>
      </w:pPr>
      <w:rPr>
        <w:rFonts w:hint="eastAsia"/>
      </w:r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4">
    <w:nsid w:val="00000025"/>
    <w:multiLevelType w:val="multilevel"/>
    <w:tmpl w:val="00000025"/>
    <w:lvl w:ilvl="0" w:tentative="0">
      <w:start w:val="1"/>
      <w:numFmt w:val="chineseCountingThousand"/>
      <w:lvlText w:val="%1、"/>
      <w:lvlJc w:val="left"/>
      <w:pPr>
        <w:ind w:left="2689" w:hanging="420"/>
      </w:pPr>
      <w:rPr>
        <w:b w:val="0"/>
        <w:sz w:val="28"/>
        <w:szCs w:val="28"/>
      </w:rPr>
    </w:lvl>
    <w:lvl w:ilvl="1" w:tentative="0">
      <w:start w:val="1"/>
      <w:numFmt w:val="lowerLetter"/>
      <w:lvlText w:val="%2)"/>
      <w:lvlJc w:val="left"/>
      <w:pPr>
        <w:ind w:left="1563" w:hanging="420"/>
      </w:pPr>
    </w:lvl>
    <w:lvl w:ilvl="2" w:tentative="0">
      <w:start w:val="1"/>
      <w:numFmt w:val="lowerRoman"/>
      <w:lvlText w:val="%3."/>
      <w:lvlJc w:val="right"/>
      <w:pPr>
        <w:ind w:left="1983" w:hanging="420"/>
      </w:pPr>
    </w:lvl>
    <w:lvl w:ilvl="3" w:tentative="0">
      <w:start w:val="1"/>
      <w:numFmt w:val="decimal"/>
      <w:lvlText w:val="%4."/>
      <w:lvlJc w:val="left"/>
      <w:pPr>
        <w:ind w:left="2403" w:hanging="420"/>
      </w:pPr>
    </w:lvl>
    <w:lvl w:ilvl="4" w:tentative="0">
      <w:start w:val="1"/>
      <w:numFmt w:val="lowerLetter"/>
      <w:lvlText w:val="%5)"/>
      <w:lvlJc w:val="left"/>
      <w:pPr>
        <w:ind w:left="2823" w:hanging="420"/>
      </w:pPr>
    </w:lvl>
    <w:lvl w:ilvl="5" w:tentative="0">
      <w:start w:val="1"/>
      <w:numFmt w:val="lowerRoman"/>
      <w:lvlText w:val="%6."/>
      <w:lvlJc w:val="right"/>
      <w:pPr>
        <w:ind w:left="3243" w:hanging="420"/>
      </w:pPr>
    </w:lvl>
    <w:lvl w:ilvl="6" w:tentative="0">
      <w:start w:val="1"/>
      <w:numFmt w:val="decimal"/>
      <w:lvlText w:val="%7."/>
      <w:lvlJc w:val="left"/>
      <w:pPr>
        <w:ind w:left="3663" w:hanging="420"/>
      </w:pPr>
    </w:lvl>
    <w:lvl w:ilvl="7" w:tentative="0">
      <w:start w:val="1"/>
      <w:numFmt w:val="lowerLetter"/>
      <w:lvlText w:val="%8)"/>
      <w:lvlJc w:val="left"/>
      <w:pPr>
        <w:ind w:left="4083" w:hanging="420"/>
      </w:pPr>
    </w:lvl>
    <w:lvl w:ilvl="8" w:tentative="0">
      <w:start w:val="1"/>
      <w:numFmt w:val="lowerRoman"/>
      <w:lvlText w:val="%9."/>
      <w:lvlJc w:val="right"/>
      <w:pPr>
        <w:ind w:left="4503" w:hanging="420"/>
      </w:pPr>
    </w:lvl>
  </w:abstractNum>
  <w:abstractNum w:abstractNumId="5">
    <w:nsid w:val="00000029"/>
    <w:multiLevelType w:val="multilevel"/>
    <w:tmpl w:val="00000029"/>
    <w:lvl w:ilvl="0" w:tentative="0">
      <w:start w:val="1"/>
      <w:numFmt w:val="decimal"/>
      <w:lvlText w:val="%1."/>
      <w:lvlJc w:val="left"/>
      <w:pPr>
        <w:ind w:left="420" w:hanging="420"/>
      </w:pPr>
      <w:rPr>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0000002E"/>
    <w:multiLevelType w:val="multilevel"/>
    <w:tmpl w:val="0000002E"/>
    <w:lvl w:ilvl="0" w:tentative="0">
      <w:start w:val="1"/>
      <w:numFmt w:val="decimal"/>
      <w:lvlText w:val="第%1章"/>
      <w:lvlJc w:val="left"/>
      <w:pPr>
        <w:ind w:left="283" w:hanging="425"/>
      </w:pPr>
      <w:rPr>
        <w:rFonts w:hint="default" w:ascii="Times New Roman" w:hAnsi="Times New Roman" w:eastAsia="宋体"/>
        <w:b/>
        <w:i w:val="0"/>
        <w:sz w:val="32"/>
        <w:szCs w:val="32"/>
      </w:rPr>
    </w:lvl>
    <w:lvl w:ilvl="1" w:tentative="0">
      <w:start w:val="1"/>
      <w:numFmt w:val="decimal"/>
      <w:pStyle w:val="4"/>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5"/>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suff w:val="nothing"/>
      <w:lvlText w:val="%1.%2.%3.%4"/>
      <w:lvlJc w:val="left"/>
      <w:pPr>
        <w:ind w:left="708" w:hanging="708"/>
      </w:pPr>
      <w:rPr>
        <w:rFonts w:hint="default" w:ascii="Times New Roman" w:hAnsi="Times New Roman" w:eastAsia="宋体" w:cs="Times New Roman"/>
        <w:b/>
        <w:i w:val="0"/>
        <w:strike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rPr>
        <w:rFonts w:hint="eastAsia"/>
      </w:rPr>
    </w:lvl>
    <w:lvl w:ilvl="6" w:tentative="0">
      <w:start w:val="1"/>
      <w:numFmt w:val="decimal"/>
      <w:lvlText w:val="%1.%2.%3.%4.%5.%6.%7"/>
      <w:lvlJc w:val="left"/>
      <w:pPr>
        <w:ind w:left="3685" w:hanging="1276"/>
      </w:pPr>
      <w:rPr>
        <w:rFonts w:hint="eastAsia"/>
      </w:rPr>
    </w:lvl>
    <w:lvl w:ilvl="7" w:tentative="0">
      <w:start w:val="1"/>
      <w:numFmt w:val="decimal"/>
      <w:lvlText w:val="%1.%2.%3.%4.%5.%6.%7.%8"/>
      <w:lvlJc w:val="left"/>
      <w:pPr>
        <w:ind w:left="4252" w:hanging="1418"/>
      </w:pPr>
      <w:rPr>
        <w:rFonts w:hint="eastAsia"/>
      </w:rPr>
    </w:lvl>
    <w:lvl w:ilvl="8" w:tentative="0">
      <w:start w:val="1"/>
      <w:numFmt w:val="decimal"/>
      <w:lvlText w:val="%1.%2.%3.%4.%5.%6.%7.%8.%9"/>
      <w:lvlJc w:val="left"/>
      <w:pPr>
        <w:ind w:left="4960" w:hanging="1700"/>
      </w:pPr>
      <w:rPr>
        <w:rFonts w:hint="eastAsia"/>
      </w:rPr>
    </w:lvl>
  </w:abstractNum>
  <w:abstractNum w:abstractNumId="7">
    <w:nsid w:val="00000041"/>
    <w:multiLevelType w:val="multilevel"/>
    <w:tmpl w:val="00000041"/>
    <w:lvl w:ilvl="0" w:tentative="0">
      <w:start w:val="1"/>
      <w:numFmt w:val="chineseCountingThousand"/>
      <w:lvlText w:val="%1、"/>
      <w:lvlJc w:val="left"/>
      <w:pPr>
        <w:ind w:left="2122" w:hanging="420"/>
      </w:pPr>
      <w:rPr>
        <w:rFonts w:asciiTheme="minorEastAsia" w:hAnsiTheme="minorEastAsia" w:eastAsiaTheme="minorEastAsia"/>
        <w:sz w:val="28"/>
        <w:szCs w:val="28"/>
      </w:rPr>
    </w:lvl>
    <w:lvl w:ilvl="1" w:tentative="0">
      <w:start w:val="1"/>
      <w:numFmt w:val="chineseCountingThousand"/>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14F1104D"/>
    <w:multiLevelType w:val="multilevel"/>
    <w:tmpl w:val="14F1104D"/>
    <w:lvl w:ilvl="0" w:tentative="0">
      <w:start w:val="1"/>
      <w:numFmt w:val="chineseCountingThousand"/>
      <w:lvlText w:val="(%1)"/>
      <w:lvlJc w:val="left"/>
      <w:pPr>
        <w:ind w:left="1129" w:hanging="420"/>
      </w:pPr>
    </w:lvl>
    <w:lvl w:ilvl="1" w:tentative="0">
      <w:start w:val="1"/>
      <w:numFmt w:val="lowerLetter"/>
      <w:lvlText w:val="%2)"/>
      <w:lvlJc w:val="left"/>
      <w:pPr>
        <w:ind w:left="1549" w:hanging="420"/>
      </w:pPr>
    </w:lvl>
    <w:lvl w:ilvl="2" w:tentative="0">
      <w:start w:val="1"/>
      <w:numFmt w:val="lowerRoman"/>
      <w:lvlText w:val="%3."/>
      <w:lvlJc w:val="right"/>
      <w:pPr>
        <w:ind w:left="1969" w:hanging="420"/>
      </w:pPr>
    </w:lvl>
    <w:lvl w:ilvl="3" w:tentative="0">
      <w:start w:val="1"/>
      <w:numFmt w:val="decimal"/>
      <w:lvlText w:val="%4."/>
      <w:lvlJc w:val="left"/>
      <w:pPr>
        <w:ind w:left="2389" w:hanging="420"/>
      </w:pPr>
    </w:lvl>
    <w:lvl w:ilvl="4" w:tentative="0">
      <w:start w:val="1"/>
      <w:numFmt w:val="lowerLetter"/>
      <w:lvlText w:val="%5)"/>
      <w:lvlJc w:val="left"/>
      <w:pPr>
        <w:ind w:left="2809" w:hanging="420"/>
      </w:pPr>
    </w:lvl>
    <w:lvl w:ilvl="5" w:tentative="0">
      <w:start w:val="1"/>
      <w:numFmt w:val="lowerRoman"/>
      <w:lvlText w:val="%6."/>
      <w:lvlJc w:val="right"/>
      <w:pPr>
        <w:ind w:left="3229" w:hanging="420"/>
      </w:pPr>
    </w:lvl>
    <w:lvl w:ilvl="6" w:tentative="0">
      <w:start w:val="1"/>
      <w:numFmt w:val="decimal"/>
      <w:lvlText w:val="%7."/>
      <w:lvlJc w:val="left"/>
      <w:pPr>
        <w:ind w:left="3649" w:hanging="420"/>
      </w:pPr>
    </w:lvl>
    <w:lvl w:ilvl="7" w:tentative="0">
      <w:start w:val="1"/>
      <w:numFmt w:val="lowerLetter"/>
      <w:lvlText w:val="%8)"/>
      <w:lvlJc w:val="left"/>
      <w:pPr>
        <w:ind w:left="4069" w:hanging="420"/>
      </w:pPr>
    </w:lvl>
    <w:lvl w:ilvl="8" w:tentative="0">
      <w:start w:val="1"/>
      <w:numFmt w:val="lowerRoman"/>
      <w:lvlText w:val="%9."/>
      <w:lvlJc w:val="right"/>
      <w:pPr>
        <w:ind w:left="4489" w:hanging="420"/>
      </w:pPr>
    </w:lvl>
  </w:abstractNum>
  <w:abstractNum w:abstractNumId="9">
    <w:nsid w:val="17B830D0"/>
    <w:multiLevelType w:val="multilevel"/>
    <w:tmpl w:val="17B830D0"/>
    <w:lvl w:ilvl="0" w:tentative="0">
      <w:start w:val="1"/>
      <w:numFmt w:val="chineseCountingThousand"/>
      <w:lvlText w:val="%1、"/>
      <w:lvlJc w:val="left"/>
      <w:pPr>
        <w:ind w:left="958" w:hanging="420"/>
      </w:pPr>
    </w:lvl>
    <w:lvl w:ilvl="1" w:tentative="0">
      <w:start w:val="1"/>
      <w:numFmt w:val="lowerLetter"/>
      <w:lvlText w:val="%2)"/>
      <w:lvlJc w:val="left"/>
      <w:pPr>
        <w:ind w:left="1378"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0">
    <w:nsid w:val="26567281"/>
    <w:multiLevelType w:val="multilevel"/>
    <w:tmpl w:val="26567281"/>
    <w:lvl w:ilvl="0" w:tentative="0">
      <w:start w:val="1"/>
      <w:numFmt w:val="decimal"/>
      <w:lvlText w:val="%1."/>
      <w:lvlJc w:val="left"/>
      <w:pPr>
        <w:ind w:left="958" w:hanging="420"/>
      </w:pPr>
    </w:lvl>
    <w:lvl w:ilvl="1" w:tentative="0">
      <w:start w:val="1"/>
      <w:numFmt w:val="chineseCountingThousand"/>
      <w:lvlText w:val="%2、"/>
      <w:lvlJc w:val="left"/>
      <w:pPr>
        <w:ind w:left="988" w:hanging="420"/>
      </w:pPr>
      <w:rPr>
        <w:rFonts w:hint="eastAsia"/>
        <w:lang w:val="en-US"/>
      </w:rPr>
    </w:lvl>
    <w:lvl w:ilvl="2" w:tentative="0">
      <w:start w:val="1"/>
      <w:numFmt w:val="decimal"/>
      <w:lvlText w:val="%3．"/>
      <w:lvlJc w:val="left"/>
      <w:pPr>
        <w:ind w:left="2098" w:hanging="720"/>
      </w:pPr>
    </w:lvl>
    <w:lvl w:ilvl="3" w:tentative="0">
      <w:start w:val="1"/>
      <w:numFmt w:val="decimal"/>
      <w:lvlText w:val="%4、"/>
      <w:lvlJc w:val="left"/>
      <w:pPr>
        <w:ind w:left="2158" w:hanging="360"/>
      </w:pPr>
      <w:rPr>
        <w:rFonts w:hint="default"/>
      </w:r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1">
    <w:nsid w:val="27297F69"/>
    <w:multiLevelType w:val="multilevel"/>
    <w:tmpl w:val="27297F69"/>
    <w:lvl w:ilvl="0" w:tentative="0">
      <w:start w:val="1"/>
      <w:numFmt w:val="chineseCountingThousand"/>
      <w:suff w:val="nothing"/>
      <w:lvlText w:val="%1、"/>
      <w:lvlJc w:val="left"/>
      <w:pPr>
        <w:ind w:left="1271" w:hanging="420"/>
      </w:pPr>
      <w:rPr>
        <w:rFonts w:hint="eastAsia"/>
        <w:b/>
        <w:sz w:val="28"/>
        <w:szCs w:val="28"/>
        <w:lang w:val="en-US"/>
      </w:rPr>
    </w:lvl>
    <w:lvl w:ilvl="1" w:tentative="0">
      <w:start w:val="1"/>
      <w:numFmt w:val="lowerLetter"/>
      <w:lvlText w:val="%2)"/>
      <w:lvlJc w:val="left"/>
      <w:pPr>
        <w:ind w:left="1731" w:hanging="420"/>
      </w:pPr>
    </w:lvl>
    <w:lvl w:ilvl="2" w:tentative="0">
      <w:start w:val="1"/>
      <w:numFmt w:val="lowerRoman"/>
      <w:lvlText w:val="%3."/>
      <w:lvlJc w:val="right"/>
      <w:pPr>
        <w:ind w:left="2151" w:hanging="420"/>
      </w:pPr>
    </w:lvl>
    <w:lvl w:ilvl="3" w:tentative="0">
      <w:start w:val="1"/>
      <w:numFmt w:val="decimal"/>
      <w:lvlText w:val="%4."/>
      <w:lvlJc w:val="left"/>
      <w:pPr>
        <w:ind w:left="2571" w:hanging="420"/>
      </w:pPr>
    </w:lvl>
    <w:lvl w:ilvl="4" w:tentative="0">
      <w:start w:val="1"/>
      <w:numFmt w:val="lowerLetter"/>
      <w:lvlText w:val="%5)"/>
      <w:lvlJc w:val="left"/>
      <w:pPr>
        <w:ind w:left="2991" w:hanging="420"/>
      </w:pPr>
    </w:lvl>
    <w:lvl w:ilvl="5" w:tentative="0">
      <w:start w:val="1"/>
      <w:numFmt w:val="lowerRoman"/>
      <w:lvlText w:val="%6."/>
      <w:lvlJc w:val="right"/>
      <w:pPr>
        <w:ind w:left="3411" w:hanging="420"/>
      </w:pPr>
    </w:lvl>
    <w:lvl w:ilvl="6" w:tentative="0">
      <w:start w:val="1"/>
      <w:numFmt w:val="decimal"/>
      <w:lvlText w:val="%7."/>
      <w:lvlJc w:val="left"/>
      <w:pPr>
        <w:ind w:left="3831" w:hanging="420"/>
      </w:pPr>
    </w:lvl>
    <w:lvl w:ilvl="7" w:tentative="0">
      <w:start w:val="1"/>
      <w:numFmt w:val="lowerLetter"/>
      <w:lvlText w:val="%8)"/>
      <w:lvlJc w:val="left"/>
      <w:pPr>
        <w:ind w:left="4251" w:hanging="420"/>
      </w:pPr>
    </w:lvl>
    <w:lvl w:ilvl="8" w:tentative="0">
      <w:start w:val="1"/>
      <w:numFmt w:val="lowerRoman"/>
      <w:lvlText w:val="%9."/>
      <w:lvlJc w:val="right"/>
      <w:pPr>
        <w:ind w:left="4671" w:hanging="420"/>
      </w:pPr>
    </w:lvl>
  </w:abstractNum>
  <w:abstractNum w:abstractNumId="12">
    <w:nsid w:val="27EE0DC8"/>
    <w:multiLevelType w:val="multilevel"/>
    <w:tmpl w:val="27EE0DC8"/>
    <w:lvl w:ilvl="0" w:tentative="0">
      <w:start w:val="1"/>
      <w:numFmt w:val="decimalFullWidth"/>
      <w:lvlText w:val="（%1）"/>
      <w:lvlJc w:val="left"/>
      <w:pPr>
        <w:ind w:left="987" w:hanging="420"/>
      </w:pPr>
      <w:rPr>
        <w:rFonts w:hint="default" w:cs="Times New Roman" w:asciiTheme="minorEastAsia" w:hAnsiTheme="minorEastAsia" w:eastAsiaTheme="minorEastAsia"/>
      </w:rPr>
    </w:lvl>
    <w:lvl w:ilvl="1" w:tentative="0">
      <w:start w:val="1"/>
      <w:numFmt w:val="decimalFullWidth"/>
      <w:lvlText w:val="（%2）"/>
      <w:lvlJc w:val="left"/>
      <w:pPr>
        <w:ind w:left="1407" w:hanging="420"/>
      </w:pPr>
      <w:rPr>
        <w:rFonts w:hint="default" w:cs="Times New Roman" w:asciiTheme="minorEastAsia" w:hAnsiTheme="minorEastAsia" w:eastAsiaTheme="minorEastAsia"/>
        <w:color w:val="auto"/>
      </w:r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3">
    <w:nsid w:val="28894A2A"/>
    <w:multiLevelType w:val="multilevel"/>
    <w:tmpl w:val="28894A2A"/>
    <w:lvl w:ilvl="0" w:tentative="0">
      <w:start w:val="1"/>
      <w:numFmt w:val="japaneseCounting"/>
      <w:lvlText w:val="（%1）"/>
      <w:lvlJc w:val="left"/>
      <w:pPr>
        <w:ind w:left="1418" w:hanging="855"/>
      </w:pPr>
      <w:rPr>
        <w:rFonts w:hint="default"/>
      </w:rPr>
    </w:lvl>
    <w:lvl w:ilvl="1" w:tentative="0">
      <w:start w:val="1"/>
      <w:numFmt w:val="lowerLetter"/>
      <w:lvlText w:val="%2)"/>
      <w:lvlJc w:val="left"/>
      <w:pPr>
        <w:ind w:left="1403" w:hanging="420"/>
      </w:pPr>
    </w:lvl>
    <w:lvl w:ilvl="2" w:tentative="0">
      <w:start w:val="1"/>
      <w:numFmt w:val="lowerRoman"/>
      <w:lvlText w:val="%3."/>
      <w:lvlJc w:val="right"/>
      <w:pPr>
        <w:ind w:left="1823" w:hanging="420"/>
      </w:pPr>
    </w:lvl>
    <w:lvl w:ilvl="3" w:tentative="0">
      <w:start w:val="1"/>
      <w:numFmt w:val="decimal"/>
      <w:lvlText w:val="%4."/>
      <w:lvlJc w:val="left"/>
      <w:pPr>
        <w:ind w:left="2243" w:hanging="420"/>
      </w:pPr>
    </w:lvl>
    <w:lvl w:ilvl="4" w:tentative="0">
      <w:start w:val="1"/>
      <w:numFmt w:val="lowerLetter"/>
      <w:lvlText w:val="%5)"/>
      <w:lvlJc w:val="left"/>
      <w:pPr>
        <w:ind w:left="2663" w:hanging="420"/>
      </w:pPr>
    </w:lvl>
    <w:lvl w:ilvl="5" w:tentative="0">
      <w:start w:val="1"/>
      <w:numFmt w:val="lowerRoman"/>
      <w:lvlText w:val="%6."/>
      <w:lvlJc w:val="right"/>
      <w:pPr>
        <w:ind w:left="3083" w:hanging="420"/>
      </w:pPr>
    </w:lvl>
    <w:lvl w:ilvl="6" w:tentative="0">
      <w:start w:val="1"/>
      <w:numFmt w:val="decimal"/>
      <w:lvlText w:val="%7."/>
      <w:lvlJc w:val="left"/>
      <w:pPr>
        <w:ind w:left="3503" w:hanging="420"/>
      </w:pPr>
    </w:lvl>
    <w:lvl w:ilvl="7" w:tentative="0">
      <w:start w:val="1"/>
      <w:numFmt w:val="lowerLetter"/>
      <w:lvlText w:val="%8)"/>
      <w:lvlJc w:val="left"/>
      <w:pPr>
        <w:ind w:left="3923" w:hanging="420"/>
      </w:pPr>
    </w:lvl>
    <w:lvl w:ilvl="8" w:tentative="0">
      <w:start w:val="1"/>
      <w:numFmt w:val="lowerRoman"/>
      <w:lvlText w:val="%9."/>
      <w:lvlJc w:val="right"/>
      <w:pPr>
        <w:ind w:left="4343" w:hanging="420"/>
      </w:pPr>
    </w:lvl>
  </w:abstractNum>
  <w:abstractNum w:abstractNumId="14">
    <w:nsid w:val="2B713F49"/>
    <w:multiLevelType w:val="multilevel"/>
    <w:tmpl w:val="2B713F49"/>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5">
    <w:nsid w:val="2CF26CF0"/>
    <w:multiLevelType w:val="multilevel"/>
    <w:tmpl w:val="2CF26CF0"/>
    <w:lvl w:ilvl="0" w:tentative="0">
      <w:start w:val="1"/>
      <w:numFmt w:val="chineseCountingThousand"/>
      <w:lvlText w:val="(%1)"/>
      <w:lvlJc w:val="left"/>
      <w:pPr>
        <w:ind w:left="980" w:hanging="420"/>
      </w:pPr>
      <w:rPr>
        <w:color w:val="auto"/>
      </w:rPr>
    </w:lvl>
    <w:lvl w:ilvl="1" w:tentative="0">
      <w:start w:val="1"/>
      <w:numFmt w:val="japaneseCounting"/>
      <w:lvlText w:val="（%2）"/>
      <w:lvlJc w:val="left"/>
      <w:pPr>
        <w:ind w:left="2360" w:hanging="1380"/>
      </w:pPr>
      <w:rPr>
        <w:rFonts w:hint="default"/>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6">
    <w:nsid w:val="2E0076D2"/>
    <w:multiLevelType w:val="multilevel"/>
    <w:tmpl w:val="2E0076D2"/>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7">
    <w:nsid w:val="318460B7"/>
    <w:multiLevelType w:val="multilevel"/>
    <w:tmpl w:val="318460B7"/>
    <w:lvl w:ilvl="0" w:tentative="0">
      <w:start w:val="1"/>
      <w:numFmt w:val="chineseCountingThousand"/>
      <w:lvlText w:val="%1、"/>
      <w:lvlJc w:val="left"/>
      <w:pPr>
        <w:ind w:left="846" w:hanging="420"/>
      </w:p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18">
    <w:nsid w:val="32E06660"/>
    <w:multiLevelType w:val="multilevel"/>
    <w:tmpl w:val="32E06660"/>
    <w:lvl w:ilvl="0" w:tentative="0">
      <w:start w:val="1"/>
      <w:numFmt w:val="chineseCountingThousand"/>
      <w:lvlText w:val="%1、"/>
      <w:lvlJc w:val="left"/>
      <w:pPr>
        <w:ind w:left="1555" w:hanging="420"/>
      </w:p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19">
    <w:nsid w:val="343F0848"/>
    <w:multiLevelType w:val="multilevel"/>
    <w:tmpl w:val="343F0848"/>
    <w:lvl w:ilvl="0" w:tentative="0">
      <w:start w:val="1"/>
      <w:numFmt w:val="decimalFullWidth"/>
      <w:lvlText w:val="（%1）"/>
      <w:lvlJc w:val="left"/>
      <w:pPr>
        <w:ind w:left="720" w:hanging="720"/>
      </w:pPr>
      <w:rPr>
        <w:rFonts w:hint="default" w:cs="Times New Roman" w:asciiTheme="minorEastAsia" w:hAnsiTheme="minorEastAsia" w:eastAsiaTheme="minor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3C1C4096"/>
    <w:multiLevelType w:val="multilevel"/>
    <w:tmpl w:val="3C1C4096"/>
    <w:lvl w:ilvl="0" w:tentative="0">
      <w:start w:val="1"/>
      <w:numFmt w:val="chineseCountingThousand"/>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1">
    <w:nsid w:val="3FA321C4"/>
    <w:multiLevelType w:val="multilevel"/>
    <w:tmpl w:val="3FA321C4"/>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2">
    <w:nsid w:val="443D2B39"/>
    <w:multiLevelType w:val="multilevel"/>
    <w:tmpl w:val="443D2B39"/>
    <w:lvl w:ilvl="0" w:tentative="0">
      <w:start w:val="1"/>
      <w:numFmt w:val="chineseCountingThousand"/>
      <w:lvlText w:val="%1、"/>
      <w:lvlJc w:val="left"/>
      <w:pPr>
        <w:ind w:left="1980" w:hanging="420"/>
      </w:pPr>
      <w:rPr>
        <w:rFonts w:hint="eastAsia" w:ascii="宋体" w:hAnsi="宋体" w:eastAsia="宋体"/>
        <w:i w:val="0"/>
        <w:sz w:val="28"/>
        <w:szCs w:val="28"/>
      </w:rPr>
    </w:lvl>
    <w:lvl w:ilvl="1" w:tentative="0">
      <w:start w:val="1"/>
      <w:numFmt w:val="lowerLetter"/>
      <w:lvlText w:val="%2)"/>
      <w:lvlJc w:val="left"/>
      <w:pPr>
        <w:ind w:left="1474" w:hanging="420"/>
      </w:p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23">
    <w:nsid w:val="45B731EA"/>
    <w:multiLevelType w:val="multilevel"/>
    <w:tmpl w:val="45B731EA"/>
    <w:lvl w:ilvl="0" w:tentative="0">
      <w:start w:val="1"/>
      <w:numFmt w:val="chineseCountingThousand"/>
      <w:lvlText w:val="%1、"/>
      <w:lvlJc w:val="left"/>
      <w:pPr>
        <w:ind w:left="1004" w:hanging="420"/>
      </w:pPr>
    </w:lvl>
    <w:lvl w:ilvl="1" w:tentative="0">
      <w:start w:val="1"/>
      <w:numFmt w:val="lowerLetter"/>
      <w:lvlText w:val="%2)"/>
      <w:lvlJc w:val="left"/>
      <w:pPr>
        <w:ind w:left="1424" w:hanging="420"/>
      </w:pPr>
    </w:lvl>
    <w:lvl w:ilvl="2" w:tentative="0">
      <w:start w:val="1"/>
      <w:numFmt w:val="lowerRoman"/>
      <w:lvlText w:val="%3."/>
      <w:lvlJc w:val="right"/>
      <w:pPr>
        <w:ind w:left="1844" w:hanging="420"/>
      </w:pPr>
    </w:lvl>
    <w:lvl w:ilvl="3" w:tentative="0">
      <w:start w:val="1"/>
      <w:numFmt w:val="chineseCountingThousand"/>
      <w:lvlText w:val="%4、"/>
      <w:lvlJc w:val="left"/>
      <w:pPr>
        <w:ind w:left="2264" w:hanging="420"/>
      </w:pPr>
    </w:lvl>
    <w:lvl w:ilvl="4" w:tentative="0">
      <w:start w:val="1"/>
      <w:numFmt w:val="lowerLetter"/>
      <w:lvlText w:val="%5)"/>
      <w:lvlJc w:val="left"/>
      <w:pPr>
        <w:ind w:left="2684" w:hanging="420"/>
      </w:pPr>
    </w:lvl>
    <w:lvl w:ilvl="5" w:tentative="0">
      <w:start w:val="1"/>
      <w:numFmt w:val="lowerRoman"/>
      <w:lvlText w:val="%6."/>
      <w:lvlJc w:val="right"/>
      <w:pPr>
        <w:ind w:left="3104" w:hanging="420"/>
      </w:pPr>
    </w:lvl>
    <w:lvl w:ilvl="6" w:tentative="0">
      <w:start w:val="1"/>
      <w:numFmt w:val="decimal"/>
      <w:lvlText w:val="%7."/>
      <w:lvlJc w:val="left"/>
      <w:pPr>
        <w:ind w:left="3524" w:hanging="420"/>
      </w:pPr>
    </w:lvl>
    <w:lvl w:ilvl="7" w:tentative="0">
      <w:start w:val="1"/>
      <w:numFmt w:val="lowerLetter"/>
      <w:lvlText w:val="%8)"/>
      <w:lvlJc w:val="left"/>
      <w:pPr>
        <w:ind w:left="3944" w:hanging="420"/>
      </w:pPr>
    </w:lvl>
    <w:lvl w:ilvl="8" w:tentative="0">
      <w:start w:val="1"/>
      <w:numFmt w:val="lowerRoman"/>
      <w:lvlText w:val="%9."/>
      <w:lvlJc w:val="right"/>
      <w:pPr>
        <w:ind w:left="4364" w:hanging="420"/>
      </w:pPr>
    </w:lvl>
  </w:abstractNum>
  <w:abstractNum w:abstractNumId="24">
    <w:nsid w:val="4B8625D2"/>
    <w:multiLevelType w:val="multilevel"/>
    <w:tmpl w:val="4B8625D2"/>
    <w:lvl w:ilvl="0" w:tentative="0">
      <w:start w:val="1"/>
      <w:numFmt w:val="chineseCountingThousand"/>
      <w:lvlText w:val="%1、"/>
      <w:lvlJc w:val="left"/>
      <w:pPr>
        <w:ind w:left="98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5">
    <w:nsid w:val="4D3C4E8D"/>
    <w:multiLevelType w:val="multilevel"/>
    <w:tmpl w:val="4D3C4E8D"/>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26">
    <w:nsid w:val="4E5A0637"/>
    <w:multiLevelType w:val="multilevel"/>
    <w:tmpl w:val="4E5A0637"/>
    <w:lvl w:ilvl="0" w:tentative="0">
      <w:start w:val="1"/>
      <w:numFmt w:val="chineseCountingThousand"/>
      <w:lvlText w:val="%1、"/>
      <w:lvlJc w:val="left"/>
      <w:pPr>
        <w:ind w:left="960" w:hanging="420"/>
      </w:pPr>
    </w:lvl>
    <w:lvl w:ilvl="1" w:tentative="0">
      <w:start w:val="1"/>
      <w:numFmt w:val="lowerLetter"/>
      <w:lvlText w:val="%2)"/>
      <w:lvlJc w:val="left"/>
      <w:pPr>
        <w:ind w:left="1500" w:hanging="420"/>
      </w:pPr>
    </w:lvl>
    <w:lvl w:ilvl="2" w:tentative="0">
      <w:start w:val="1"/>
      <w:numFmt w:val="lowerRoman"/>
      <w:lvlText w:val="%3."/>
      <w:lvlJc w:val="right"/>
      <w:pPr>
        <w:ind w:left="1920" w:hanging="420"/>
      </w:pPr>
    </w:lvl>
    <w:lvl w:ilvl="3" w:tentative="0">
      <w:start w:val="1"/>
      <w:numFmt w:val="decimal"/>
      <w:lvlText w:val="%4."/>
      <w:lvlJc w:val="left"/>
      <w:pPr>
        <w:ind w:left="2340" w:hanging="420"/>
      </w:pPr>
    </w:lvl>
    <w:lvl w:ilvl="4" w:tentative="0">
      <w:start w:val="1"/>
      <w:numFmt w:val="lowerLetter"/>
      <w:lvlText w:val="%5)"/>
      <w:lvlJc w:val="left"/>
      <w:pPr>
        <w:ind w:left="2760" w:hanging="420"/>
      </w:pPr>
    </w:lvl>
    <w:lvl w:ilvl="5" w:tentative="0">
      <w:start w:val="1"/>
      <w:numFmt w:val="lowerRoman"/>
      <w:lvlText w:val="%6."/>
      <w:lvlJc w:val="right"/>
      <w:pPr>
        <w:ind w:left="3180" w:hanging="420"/>
      </w:pPr>
    </w:lvl>
    <w:lvl w:ilvl="6" w:tentative="0">
      <w:start w:val="1"/>
      <w:numFmt w:val="decimal"/>
      <w:lvlText w:val="%7."/>
      <w:lvlJc w:val="left"/>
      <w:pPr>
        <w:ind w:left="3600" w:hanging="420"/>
      </w:pPr>
    </w:lvl>
    <w:lvl w:ilvl="7" w:tentative="0">
      <w:start w:val="1"/>
      <w:numFmt w:val="lowerLetter"/>
      <w:lvlText w:val="%8)"/>
      <w:lvlJc w:val="left"/>
      <w:pPr>
        <w:ind w:left="4020" w:hanging="420"/>
      </w:pPr>
    </w:lvl>
    <w:lvl w:ilvl="8" w:tentative="0">
      <w:start w:val="1"/>
      <w:numFmt w:val="lowerRoman"/>
      <w:lvlText w:val="%9."/>
      <w:lvlJc w:val="right"/>
      <w:pPr>
        <w:ind w:left="4440" w:hanging="420"/>
      </w:pPr>
    </w:lvl>
  </w:abstractNum>
  <w:abstractNum w:abstractNumId="27">
    <w:nsid w:val="4E792A9E"/>
    <w:multiLevelType w:val="multilevel"/>
    <w:tmpl w:val="4E792A9E"/>
    <w:lvl w:ilvl="0" w:tentative="0">
      <w:start w:val="1"/>
      <w:numFmt w:val="chineseCountingThousand"/>
      <w:lvlText w:val="%1、"/>
      <w:lvlJc w:val="left"/>
      <w:pPr>
        <w:ind w:left="98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8">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9">
    <w:nsid w:val="54B8504E"/>
    <w:multiLevelType w:val="multilevel"/>
    <w:tmpl w:val="54B8504E"/>
    <w:lvl w:ilvl="0" w:tentative="0">
      <w:start w:val="1"/>
      <w:numFmt w:val="japaneseCounting"/>
      <w:lvlText w:val="（%1）"/>
      <w:lvlJc w:val="left"/>
      <w:pPr>
        <w:ind w:left="1404" w:hanging="855"/>
      </w:pPr>
      <w:rPr>
        <w:rFonts w:hint="default"/>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30">
    <w:nsid w:val="58E76E2A"/>
    <w:multiLevelType w:val="multilevel"/>
    <w:tmpl w:val="58E76E2A"/>
    <w:lvl w:ilvl="0" w:tentative="0">
      <w:start w:val="1"/>
      <w:numFmt w:val="decimal"/>
      <w:lvlText w:val="%1."/>
      <w:lvlJc w:val="left"/>
      <w:pPr>
        <w:ind w:left="980" w:hanging="420"/>
      </w:pPr>
      <w:rPr>
        <w:rFonts w:hint="eastAsia"/>
      </w:rPr>
    </w:lvl>
    <w:lvl w:ilvl="1" w:tentative="0">
      <w:start w:val="1"/>
      <w:numFmt w:val="chineseCountingThousand"/>
      <w:lvlText w:val="%2、"/>
      <w:lvlJc w:val="left"/>
      <w:pPr>
        <w:ind w:left="1413" w:hanging="420"/>
      </w:pPr>
      <w:rPr>
        <w:rFonts w:hint="default"/>
      </w:rPr>
    </w:lvl>
    <w:lvl w:ilvl="2" w:tentative="0">
      <w:start w:val="1"/>
      <w:numFmt w:val="lowerRoman"/>
      <w:lvlText w:val="%3."/>
      <w:lvlJc w:val="right"/>
      <w:pPr>
        <w:ind w:left="1820" w:hanging="420"/>
      </w:pPr>
    </w:lvl>
    <w:lvl w:ilvl="3" w:tentative="0">
      <w:start w:val="1"/>
      <w:numFmt w:val="decimal"/>
      <w:lvlText w:val="%4．"/>
      <w:lvlJc w:val="left"/>
      <w:pPr>
        <w:ind w:left="502" w:hanging="360"/>
      </w:pPr>
      <w:rPr>
        <w:rFonts w:hint="default"/>
      </w:r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1">
    <w:nsid w:val="59ED26AD"/>
    <w:multiLevelType w:val="multilevel"/>
    <w:tmpl w:val="59ED26AD"/>
    <w:lvl w:ilvl="0" w:tentative="0">
      <w:start w:val="2"/>
      <w:numFmt w:val="none"/>
      <w:lvlText w:val="二、"/>
      <w:lvlJc w:val="left"/>
      <w:pPr>
        <w:ind w:left="128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2">
    <w:nsid w:val="5EC168B2"/>
    <w:multiLevelType w:val="multilevel"/>
    <w:tmpl w:val="5EC168B2"/>
    <w:lvl w:ilvl="0" w:tentative="0">
      <w:start w:val="1"/>
      <w:numFmt w:val="japaneseCounting"/>
      <w:lvlText w:val="（%1）"/>
      <w:lvlJc w:val="left"/>
      <w:pPr>
        <w:ind w:left="1955" w:hanging="1395"/>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3">
    <w:nsid w:val="5F143CBF"/>
    <w:multiLevelType w:val="multilevel"/>
    <w:tmpl w:val="5F143CBF"/>
    <w:lvl w:ilvl="0" w:tentative="0">
      <w:start w:val="1"/>
      <w:numFmt w:val="chineseCountingThousand"/>
      <w:lvlText w:val="(%1)"/>
      <w:lvlJc w:val="left"/>
      <w:pPr>
        <w:ind w:left="1004" w:hanging="420"/>
      </w:pPr>
    </w:lvl>
    <w:lvl w:ilvl="1" w:tentative="0">
      <w:start w:val="1"/>
      <w:numFmt w:val="lowerLetter"/>
      <w:lvlText w:val="%2)"/>
      <w:lvlJc w:val="left"/>
      <w:pPr>
        <w:ind w:left="1424" w:hanging="420"/>
      </w:pPr>
    </w:lvl>
    <w:lvl w:ilvl="2" w:tentative="0">
      <w:start w:val="1"/>
      <w:numFmt w:val="lowerRoman"/>
      <w:lvlText w:val="%3."/>
      <w:lvlJc w:val="right"/>
      <w:pPr>
        <w:ind w:left="1844" w:hanging="420"/>
      </w:pPr>
    </w:lvl>
    <w:lvl w:ilvl="3" w:tentative="0">
      <w:start w:val="1"/>
      <w:numFmt w:val="decimal"/>
      <w:lvlText w:val="%4."/>
      <w:lvlJc w:val="left"/>
      <w:pPr>
        <w:ind w:left="2264" w:hanging="420"/>
      </w:pPr>
    </w:lvl>
    <w:lvl w:ilvl="4" w:tentative="0">
      <w:start w:val="1"/>
      <w:numFmt w:val="lowerLetter"/>
      <w:lvlText w:val="%5)"/>
      <w:lvlJc w:val="left"/>
      <w:pPr>
        <w:ind w:left="2684" w:hanging="420"/>
      </w:pPr>
    </w:lvl>
    <w:lvl w:ilvl="5" w:tentative="0">
      <w:start w:val="1"/>
      <w:numFmt w:val="lowerRoman"/>
      <w:lvlText w:val="%6."/>
      <w:lvlJc w:val="right"/>
      <w:pPr>
        <w:ind w:left="3104" w:hanging="420"/>
      </w:pPr>
    </w:lvl>
    <w:lvl w:ilvl="6" w:tentative="0">
      <w:start w:val="1"/>
      <w:numFmt w:val="decimal"/>
      <w:lvlText w:val="%7."/>
      <w:lvlJc w:val="left"/>
      <w:pPr>
        <w:ind w:left="3524" w:hanging="420"/>
      </w:pPr>
    </w:lvl>
    <w:lvl w:ilvl="7" w:tentative="0">
      <w:start w:val="1"/>
      <w:numFmt w:val="lowerLetter"/>
      <w:lvlText w:val="%8)"/>
      <w:lvlJc w:val="left"/>
      <w:pPr>
        <w:ind w:left="3944" w:hanging="420"/>
      </w:pPr>
    </w:lvl>
    <w:lvl w:ilvl="8" w:tentative="0">
      <w:start w:val="1"/>
      <w:numFmt w:val="lowerRoman"/>
      <w:lvlText w:val="%9."/>
      <w:lvlJc w:val="right"/>
      <w:pPr>
        <w:ind w:left="4364" w:hanging="420"/>
      </w:pPr>
    </w:lvl>
  </w:abstractNum>
  <w:abstractNum w:abstractNumId="34">
    <w:nsid w:val="5F644052"/>
    <w:multiLevelType w:val="multilevel"/>
    <w:tmpl w:val="5F644052"/>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5">
    <w:nsid w:val="6062DB5F"/>
    <w:multiLevelType w:val="singleLevel"/>
    <w:tmpl w:val="6062DB5F"/>
    <w:lvl w:ilvl="0" w:tentative="0">
      <w:start w:val="1"/>
      <w:numFmt w:val="chineseCounting"/>
      <w:suff w:val="nothing"/>
      <w:lvlText w:val="%1、"/>
      <w:lvlJc w:val="left"/>
      <w:pPr>
        <w:ind w:left="0" w:leftChars="0" w:firstLine="420" w:firstLineChars="0"/>
      </w:pPr>
      <w:rPr>
        <w:rFonts w:hint="eastAsia"/>
      </w:rPr>
    </w:lvl>
  </w:abstractNum>
  <w:abstractNum w:abstractNumId="36">
    <w:nsid w:val="6063CF29"/>
    <w:multiLevelType w:val="singleLevel"/>
    <w:tmpl w:val="6063CF29"/>
    <w:lvl w:ilvl="0" w:tentative="0">
      <w:start w:val="1"/>
      <w:numFmt w:val="chineseCounting"/>
      <w:suff w:val="nothing"/>
      <w:lvlText w:val="%1、"/>
      <w:lvlJc w:val="left"/>
      <w:pPr>
        <w:ind w:left="0" w:leftChars="0" w:firstLine="420" w:firstLineChars="0"/>
      </w:pPr>
      <w:rPr>
        <w:rFonts w:hint="eastAsia"/>
      </w:rPr>
    </w:lvl>
  </w:abstractNum>
  <w:abstractNum w:abstractNumId="37">
    <w:nsid w:val="60E2BBD2"/>
    <w:multiLevelType w:val="multilevel"/>
    <w:tmpl w:val="60E2BBD2"/>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8">
    <w:nsid w:val="60E2BBDD"/>
    <w:multiLevelType w:val="multilevel"/>
    <w:tmpl w:val="60E2BBDD"/>
    <w:lvl w:ilvl="0" w:tentative="0">
      <w:start w:val="1"/>
      <w:numFmt w:val="japaneseCounting"/>
      <w:lvlText w:val="（%1）"/>
      <w:lvlJc w:val="left"/>
      <w:pPr>
        <w:ind w:left="1415" w:hanging="855"/>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9">
    <w:nsid w:val="60E2BBE8"/>
    <w:multiLevelType w:val="multilevel"/>
    <w:tmpl w:val="60E2BBE8"/>
    <w:lvl w:ilvl="0" w:tentative="0">
      <w:start w:val="1"/>
      <w:numFmt w:val="chineseCountingThousand"/>
      <w:lvlText w:val="%1、"/>
      <w:lvlJc w:val="left"/>
      <w:pPr>
        <w:ind w:left="1555" w:hanging="420"/>
      </w:pPr>
      <w:rPr>
        <w:rFonts w:hint="eastAsia"/>
        <w:color w:val="auto"/>
        <w:sz w:val="28"/>
        <w:szCs w:val="28"/>
        <w:lang w:val="en-US"/>
      </w:rPr>
    </w:lvl>
    <w:lvl w:ilvl="1" w:tentative="0">
      <w:start w:val="1"/>
      <w:numFmt w:val="decimal"/>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40">
    <w:nsid w:val="60E2BBF3"/>
    <w:multiLevelType w:val="multilevel"/>
    <w:tmpl w:val="60E2BBF3"/>
    <w:lvl w:ilvl="0" w:tentative="0">
      <w:start w:val="1"/>
      <w:numFmt w:val="decimal"/>
      <w:suff w:val="nothing"/>
      <w:lvlText w:val="%1."/>
      <w:lvlJc w:val="left"/>
      <w:pPr>
        <w:ind w:left="1555" w:hanging="420"/>
      </w:pPr>
      <w:rPr>
        <w:rFonts w:hint="eastAsia"/>
        <w:sz w:val="28"/>
        <w:szCs w:val="28"/>
      </w:rPr>
    </w:lvl>
    <w:lvl w:ilvl="1" w:tentative="0">
      <w:start w:val="1"/>
      <w:numFmt w:val="chineseCountingThousand"/>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41">
    <w:nsid w:val="60E2BBFE"/>
    <w:multiLevelType w:val="multilevel"/>
    <w:tmpl w:val="60E2BBFE"/>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2">
    <w:nsid w:val="60E2BC09"/>
    <w:multiLevelType w:val="multilevel"/>
    <w:tmpl w:val="60E2BC09"/>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3">
    <w:nsid w:val="60E2BC14"/>
    <w:multiLevelType w:val="multilevel"/>
    <w:tmpl w:val="60E2BC14"/>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4">
    <w:nsid w:val="61780E46"/>
    <w:multiLevelType w:val="multilevel"/>
    <w:tmpl w:val="61780E46"/>
    <w:lvl w:ilvl="0" w:tentative="0">
      <w:start w:val="1"/>
      <w:numFmt w:val="japaneseCounting"/>
      <w:lvlText w:val="%1、"/>
      <w:lvlJc w:val="left"/>
      <w:pPr>
        <w:ind w:left="2000" w:hanging="720"/>
      </w:pPr>
      <w:rPr>
        <w:rFonts w:hint="default"/>
      </w:rPr>
    </w:lvl>
    <w:lvl w:ilvl="1" w:tentative="0">
      <w:start w:val="1"/>
      <w:numFmt w:val="lowerLetter"/>
      <w:lvlText w:val="%2)"/>
      <w:lvlJc w:val="left"/>
      <w:pPr>
        <w:ind w:left="2120" w:hanging="420"/>
      </w:pPr>
    </w:lvl>
    <w:lvl w:ilvl="2" w:tentative="0">
      <w:start w:val="1"/>
      <w:numFmt w:val="japaneseCounting"/>
      <w:lvlText w:val="（%3）"/>
      <w:lvlJc w:val="left"/>
      <w:pPr>
        <w:ind w:left="2975" w:hanging="855"/>
      </w:pPr>
      <w:rPr>
        <w:rFonts w:hint="default"/>
      </w:rPr>
    </w:lvl>
    <w:lvl w:ilvl="3" w:tentative="0">
      <w:start w:val="1"/>
      <w:numFmt w:val="decimal"/>
      <w:lvlText w:val="%4."/>
      <w:lvlJc w:val="left"/>
      <w:pPr>
        <w:ind w:left="2960" w:hanging="420"/>
      </w:pPr>
    </w:lvl>
    <w:lvl w:ilvl="4" w:tentative="0">
      <w:start w:val="1"/>
      <w:numFmt w:val="lowerLetter"/>
      <w:lvlText w:val="%5)"/>
      <w:lvlJc w:val="left"/>
      <w:pPr>
        <w:ind w:left="3380" w:hanging="420"/>
      </w:pPr>
    </w:lvl>
    <w:lvl w:ilvl="5" w:tentative="0">
      <w:start w:val="1"/>
      <w:numFmt w:val="lowerRoman"/>
      <w:lvlText w:val="%6."/>
      <w:lvlJc w:val="right"/>
      <w:pPr>
        <w:ind w:left="3800" w:hanging="420"/>
      </w:pPr>
    </w:lvl>
    <w:lvl w:ilvl="6" w:tentative="0">
      <w:start w:val="1"/>
      <w:numFmt w:val="decimal"/>
      <w:lvlText w:val="%7."/>
      <w:lvlJc w:val="left"/>
      <w:pPr>
        <w:ind w:left="4220" w:hanging="420"/>
      </w:pPr>
    </w:lvl>
    <w:lvl w:ilvl="7" w:tentative="0">
      <w:start w:val="1"/>
      <w:numFmt w:val="lowerLetter"/>
      <w:lvlText w:val="%8)"/>
      <w:lvlJc w:val="left"/>
      <w:pPr>
        <w:ind w:left="4640" w:hanging="420"/>
      </w:pPr>
    </w:lvl>
    <w:lvl w:ilvl="8" w:tentative="0">
      <w:start w:val="1"/>
      <w:numFmt w:val="lowerRoman"/>
      <w:lvlText w:val="%9."/>
      <w:lvlJc w:val="right"/>
      <w:pPr>
        <w:ind w:left="5060" w:hanging="420"/>
      </w:pPr>
    </w:lvl>
  </w:abstractNum>
  <w:abstractNum w:abstractNumId="45">
    <w:nsid w:val="61C76959"/>
    <w:multiLevelType w:val="multilevel"/>
    <w:tmpl w:val="61C76959"/>
    <w:lvl w:ilvl="0" w:tentative="0">
      <w:start w:val="1"/>
      <w:numFmt w:val="chineseCountingThousand"/>
      <w:lvlText w:val="%1、"/>
      <w:lvlJc w:val="left"/>
      <w:pPr>
        <w:ind w:left="1413"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6">
    <w:nsid w:val="63C242C0"/>
    <w:multiLevelType w:val="multilevel"/>
    <w:tmpl w:val="63C242C0"/>
    <w:lvl w:ilvl="0" w:tentative="0">
      <w:start w:val="1"/>
      <w:numFmt w:val="decimal"/>
      <w:lvlText w:val="%1."/>
      <w:lvlJc w:val="left"/>
      <w:pPr>
        <w:ind w:left="138" w:hanging="420"/>
      </w:pPr>
    </w:lvl>
    <w:lvl w:ilvl="1" w:tentative="0">
      <w:start w:val="1"/>
      <w:numFmt w:val="lowerLetter"/>
      <w:lvlText w:val="%2)"/>
      <w:lvlJc w:val="left"/>
      <w:pPr>
        <w:ind w:left="558" w:hanging="420"/>
      </w:pPr>
    </w:lvl>
    <w:lvl w:ilvl="2" w:tentative="0">
      <w:start w:val="1"/>
      <w:numFmt w:val="chineseCountingThousand"/>
      <w:lvlText w:val="%3、"/>
      <w:lvlJc w:val="left"/>
      <w:pPr>
        <w:ind w:left="848" w:hanging="420"/>
      </w:pPr>
      <w:rPr>
        <w:rFonts w:hint="default"/>
        <w:b w:val="0"/>
        <w:sz w:val="28"/>
        <w:szCs w:val="28"/>
      </w:rPr>
    </w:lvl>
    <w:lvl w:ilvl="3" w:tentative="0">
      <w:start w:val="1"/>
      <w:numFmt w:val="decimal"/>
      <w:lvlText w:val="%4."/>
      <w:lvlJc w:val="left"/>
      <w:pPr>
        <w:ind w:left="1398" w:hanging="420"/>
      </w:pPr>
    </w:lvl>
    <w:lvl w:ilvl="4" w:tentative="0">
      <w:start w:val="1"/>
      <w:numFmt w:val="lowerLetter"/>
      <w:lvlText w:val="%5)"/>
      <w:lvlJc w:val="left"/>
      <w:pPr>
        <w:ind w:left="1818" w:hanging="420"/>
      </w:pPr>
    </w:lvl>
    <w:lvl w:ilvl="5" w:tentative="0">
      <w:start w:val="1"/>
      <w:numFmt w:val="lowerRoman"/>
      <w:lvlText w:val="%6."/>
      <w:lvlJc w:val="right"/>
      <w:pPr>
        <w:ind w:left="2238" w:hanging="420"/>
      </w:pPr>
    </w:lvl>
    <w:lvl w:ilvl="6" w:tentative="0">
      <w:start w:val="1"/>
      <w:numFmt w:val="decimal"/>
      <w:lvlText w:val="%7."/>
      <w:lvlJc w:val="left"/>
      <w:pPr>
        <w:ind w:left="2658" w:hanging="420"/>
      </w:pPr>
    </w:lvl>
    <w:lvl w:ilvl="7" w:tentative="0">
      <w:start w:val="1"/>
      <w:numFmt w:val="lowerLetter"/>
      <w:lvlText w:val="%8)"/>
      <w:lvlJc w:val="left"/>
      <w:pPr>
        <w:ind w:left="3078" w:hanging="420"/>
      </w:pPr>
    </w:lvl>
    <w:lvl w:ilvl="8" w:tentative="0">
      <w:start w:val="1"/>
      <w:numFmt w:val="lowerRoman"/>
      <w:lvlText w:val="%9."/>
      <w:lvlJc w:val="right"/>
      <w:pPr>
        <w:ind w:left="3498" w:hanging="420"/>
      </w:pPr>
    </w:lvl>
  </w:abstractNum>
  <w:abstractNum w:abstractNumId="47">
    <w:nsid w:val="687526DB"/>
    <w:multiLevelType w:val="multilevel"/>
    <w:tmpl w:val="687526DB"/>
    <w:lvl w:ilvl="0" w:tentative="0">
      <w:start w:val="1"/>
      <w:numFmt w:val="chineseCountingThousand"/>
      <w:lvlText w:val="%1、"/>
      <w:lvlJc w:val="left"/>
      <w:pPr>
        <w:ind w:left="5780" w:hanging="960"/>
      </w:pPr>
      <w:rPr>
        <w:rFonts w:hint="default"/>
        <w:b w:val="0"/>
      </w:rPr>
    </w:lvl>
    <w:lvl w:ilvl="1" w:tentative="0">
      <w:start w:val="1"/>
      <w:numFmt w:val="lowerLetter"/>
      <w:lvlText w:val="%2)"/>
      <w:lvlJc w:val="left"/>
      <w:pPr>
        <w:ind w:left="5518" w:hanging="420"/>
      </w:pPr>
    </w:lvl>
    <w:lvl w:ilvl="2" w:tentative="0">
      <w:start w:val="1"/>
      <w:numFmt w:val="lowerRoman"/>
      <w:lvlText w:val="%3."/>
      <w:lvlJc w:val="right"/>
      <w:pPr>
        <w:ind w:left="5938" w:hanging="420"/>
      </w:pPr>
    </w:lvl>
    <w:lvl w:ilvl="3" w:tentative="0">
      <w:start w:val="1"/>
      <w:numFmt w:val="decimal"/>
      <w:lvlText w:val="%4."/>
      <w:lvlJc w:val="left"/>
      <w:pPr>
        <w:ind w:left="6358" w:hanging="420"/>
      </w:pPr>
    </w:lvl>
    <w:lvl w:ilvl="4" w:tentative="0">
      <w:start w:val="1"/>
      <w:numFmt w:val="lowerLetter"/>
      <w:lvlText w:val="%5)"/>
      <w:lvlJc w:val="left"/>
      <w:pPr>
        <w:ind w:left="6778" w:hanging="420"/>
      </w:pPr>
    </w:lvl>
    <w:lvl w:ilvl="5" w:tentative="0">
      <w:start w:val="1"/>
      <w:numFmt w:val="lowerRoman"/>
      <w:lvlText w:val="%6."/>
      <w:lvlJc w:val="right"/>
      <w:pPr>
        <w:ind w:left="7198" w:hanging="420"/>
      </w:pPr>
    </w:lvl>
    <w:lvl w:ilvl="6" w:tentative="0">
      <w:start w:val="1"/>
      <w:numFmt w:val="decimal"/>
      <w:lvlText w:val="%7."/>
      <w:lvlJc w:val="left"/>
      <w:pPr>
        <w:ind w:left="7618" w:hanging="420"/>
      </w:pPr>
    </w:lvl>
    <w:lvl w:ilvl="7" w:tentative="0">
      <w:start w:val="1"/>
      <w:numFmt w:val="lowerLetter"/>
      <w:lvlText w:val="%8)"/>
      <w:lvlJc w:val="left"/>
      <w:pPr>
        <w:ind w:left="8038" w:hanging="420"/>
      </w:pPr>
    </w:lvl>
    <w:lvl w:ilvl="8" w:tentative="0">
      <w:start w:val="1"/>
      <w:numFmt w:val="lowerRoman"/>
      <w:lvlText w:val="%9."/>
      <w:lvlJc w:val="right"/>
      <w:pPr>
        <w:ind w:left="8458" w:hanging="420"/>
      </w:pPr>
    </w:lvl>
  </w:abstractNum>
  <w:abstractNum w:abstractNumId="48">
    <w:nsid w:val="6A47046A"/>
    <w:multiLevelType w:val="multilevel"/>
    <w:tmpl w:val="6A47046A"/>
    <w:lvl w:ilvl="0" w:tentative="0">
      <w:start w:val="1"/>
      <w:numFmt w:val="chineseCountingThousand"/>
      <w:lvlText w:val="%1、"/>
      <w:lvlJc w:val="left"/>
      <w:pPr>
        <w:ind w:left="1271" w:hanging="420"/>
      </w:pPr>
      <w:rPr>
        <w:rFonts w:hint="eastAsia"/>
        <w:i w:val="0"/>
        <w:sz w:val="28"/>
        <w:szCs w:val="28"/>
      </w:rPr>
    </w:lvl>
    <w:lvl w:ilvl="1" w:tentative="0">
      <w:start w:val="1"/>
      <w:numFmt w:val="lowerLetter"/>
      <w:lvlText w:val="%2)"/>
      <w:lvlJc w:val="left"/>
      <w:pPr>
        <w:ind w:left="1049" w:hanging="420"/>
      </w:pPr>
    </w:lvl>
    <w:lvl w:ilvl="2" w:tentative="0">
      <w:start w:val="1"/>
      <w:numFmt w:val="lowerRoman"/>
      <w:lvlText w:val="%3."/>
      <w:lvlJc w:val="right"/>
      <w:pPr>
        <w:ind w:left="1469" w:hanging="420"/>
      </w:pPr>
    </w:lvl>
    <w:lvl w:ilvl="3" w:tentative="0">
      <w:start w:val="1"/>
      <w:numFmt w:val="decimal"/>
      <w:lvlText w:val="%4."/>
      <w:lvlJc w:val="left"/>
      <w:pPr>
        <w:ind w:left="1889" w:hanging="420"/>
      </w:pPr>
    </w:lvl>
    <w:lvl w:ilvl="4" w:tentative="0">
      <w:start w:val="1"/>
      <w:numFmt w:val="lowerLetter"/>
      <w:lvlText w:val="%5)"/>
      <w:lvlJc w:val="left"/>
      <w:pPr>
        <w:ind w:left="2309" w:hanging="420"/>
      </w:pPr>
    </w:lvl>
    <w:lvl w:ilvl="5" w:tentative="0">
      <w:start w:val="1"/>
      <w:numFmt w:val="lowerRoman"/>
      <w:lvlText w:val="%6."/>
      <w:lvlJc w:val="right"/>
      <w:pPr>
        <w:ind w:left="2729" w:hanging="420"/>
      </w:pPr>
    </w:lvl>
    <w:lvl w:ilvl="6" w:tentative="0">
      <w:start w:val="1"/>
      <w:numFmt w:val="decimal"/>
      <w:lvlText w:val="%7."/>
      <w:lvlJc w:val="left"/>
      <w:pPr>
        <w:ind w:left="3149" w:hanging="420"/>
      </w:pPr>
    </w:lvl>
    <w:lvl w:ilvl="7" w:tentative="0">
      <w:start w:val="1"/>
      <w:numFmt w:val="lowerLetter"/>
      <w:lvlText w:val="%8)"/>
      <w:lvlJc w:val="left"/>
      <w:pPr>
        <w:ind w:left="3569" w:hanging="420"/>
      </w:pPr>
    </w:lvl>
    <w:lvl w:ilvl="8" w:tentative="0">
      <w:start w:val="1"/>
      <w:numFmt w:val="lowerRoman"/>
      <w:lvlText w:val="%9."/>
      <w:lvlJc w:val="right"/>
      <w:pPr>
        <w:ind w:left="3989" w:hanging="420"/>
      </w:pPr>
    </w:lvl>
  </w:abstractNum>
  <w:abstractNum w:abstractNumId="49">
    <w:nsid w:val="76475011"/>
    <w:multiLevelType w:val="multilevel"/>
    <w:tmpl w:val="76475011"/>
    <w:lvl w:ilvl="0" w:tentative="0">
      <w:start w:val="1"/>
      <w:numFmt w:val="chineseCountingThousand"/>
      <w:lvlText w:val="(%1)"/>
      <w:lvlJc w:val="left"/>
      <w:pPr>
        <w:tabs>
          <w:tab w:val="left" w:pos="5949"/>
        </w:tabs>
        <w:ind w:left="5949" w:hanging="420"/>
      </w:pPr>
    </w:lvl>
    <w:lvl w:ilvl="1" w:tentative="0">
      <w:start w:val="1"/>
      <w:numFmt w:val="lowerLetter"/>
      <w:lvlText w:val="%2)"/>
      <w:lvlJc w:val="left"/>
      <w:pPr>
        <w:tabs>
          <w:tab w:val="left" w:pos="6532"/>
        </w:tabs>
        <w:ind w:left="6532" w:hanging="420"/>
      </w:pPr>
    </w:lvl>
    <w:lvl w:ilvl="2" w:tentative="0">
      <w:start w:val="1"/>
      <w:numFmt w:val="lowerRoman"/>
      <w:lvlText w:val="%3."/>
      <w:lvlJc w:val="right"/>
      <w:pPr>
        <w:tabs>
          <w:tab w:val="left" w:pos="6952"/>
        </w:tabs>
        <w:ind w:left="6952" w:hanging="420"/>
      </w:pPr>
    </w:lvl>
    <w:lvl w:ilvl="3" w:tentative="0">
      <w:start w:val="1"/>
      <w:numFmt w:val="decimal"/>
      <w:lvlText w:val="%4."/>
      <w:lvlJc w:val="left"/>
      <w:pPr>
        <w:tabs>
          <w:tab w:val="left" w:pos="7372"/>
        </w:tabs>
        <w:ind w:left="7372" w:hanging="420"/>
      </w:pPr>
    </w:lvl>
    <w:lvl w:ilvl="4" w:tentative="0">
      <w:start w:val="1"/>
      <w:numFmt w:val="lowerLetter"/>
      <w:lvlText w:val="%5)"/>
      <w:lvlJc w:val="left"/>
      <w:pPr>
        <w:tabs>
          <w:tab w:val="left" w:pos="7792"/>
        </w:tabs>
        <w:ind w:left="7792" w:hanging="420"/>
      </w:pPr>
    </w:lvl>
    <w:lvl w:ilvl="5" w:tentative="0">
      <w:start w:val="1"/>
      <w:numFmt w:val="lowerRoman"/>
      <w:lvlText w:val="%6."/>
      <w:lvlJc w:val="right"/>
      <w:pPr>
        <w:tabs>
          <w:tab w:val="left" w:pos="8212"/>
        </w:tabs>
        <w:ind w:left="8212" w:hanging="420"/>
      </w:pPr>
    </w:lvl>
    <w:lvl w:ilvl="6" w:tentative="0">
      <w:start w:val="1"/>
      <w:numFmt w:val="decimal"/>
      <w:lvlText w:val="%7."/>
      <w:lvlJc w:val="left"/>
      <w:pPr>
        <w:tabs>
          <w:tab w:val="left" w:pos="8632"/>
        </w:tabs>
        <w:ind w:left="8632" w:hanging="420"/>
      </w:pPr>
    </w:lvl>
    <w:lvl w:ilvl="7" w:tentative="0">
      <w:start w:val="1"/>
      <w:numFmt w:val="lowerLetter"/>
      <w:lvlText w:val="%8)"/>
      <w:lvlJc w:val="left"/>
      <w:pPr>
        <w:tabs>
          <w:tab w:val="left" w:pos="9052"/>
        </w:tabs>
        <w:ind w:left="9052" w:hanging="420"/>
      </w:pPr>
    </w:lvl>
    <w:lvl w:ilvl="8" w:tentative="0">
      <w:start w:val="1"/>
      <w:numFmt w:val="lowerRoman"/>
      <w:lvlText w:val="%9."/>
      <w:lvlJc w:val="right"/>
      <w:pPr>
        <w:tabs>
          <w:tab w:val="left" w:pos="9472"/>
        </w:tabs>
        <w:ind w:left="9472" w:hanging="420"/>
      </w:pPr>
    </w:lvl>
  </w:abstractNum>
  <w:abstractNum w:abstractNumId="50">
    <w:nsid w:val="7B652295"/>
    <w:multiLevelType w:val="multilevel"/>
    <w:tmpl w:val="7B652295"/>
    <w:lvl w:ilvl="0" w:tentative="0">
      <w:start w:val="1"/>
      <w:numFmt w:val="chineseCountingThousand"/>
      <w:lvlText w:val="(%1)"/>
      <w:lvlJc w:val="left"/>
      <w:pPr>
        <w:ind w:left="977" w:hanging="420"/>
      </w:pPr>
    </w:lvl>
    <w:lvl w:ilvl="1" w:tentative="0">
      <w:start w:val="1"/>
      <w:numFmt w:val="lowerLetter"/>
      <w:lvlText w:val="%2)"/>
      <w:lvlJc w:val="left"/>
      <w:pPr>
        <w:ind w:left="1397" w:hanging="420"/>
      </w:pPr>
    </w:lvl>
    <w:lvl w:ilvl="2" w:tentative="0">
      <w:start w:val="1"/>
      <w:numFmt w:val="lowerRoman"/>
      <w:lvlText w:val="%3."/>
      <w:lvlJc w:val="right"/>
      <w:pPr>
        <w:ind w:left="1817" w:hanging="420"/>
      </w:pPr>
    </w:lvl>
    <w:lvl w:ilvl="3" w:tentative="0">
      <w:start w:val="1"/>
      <w:numFmt w:val="decimal"/>
      <w:lvlText w:val="%4."/>
      <w:lvlJc w:val="left"/>
      <w:pPr>
        <w:ind w:left="2237" w:hanging="420"/>
      </w:pPr>
    </w:lvl>
    <w:lvl w:ilvl="4" w:tentative="0">
      <w:start w:val="1"/>
      <w:numFmt w:val="lowerLetter"/>
      <w:lvlText w:val="%5)"/>
      <w:lvlJc w:val="left"/>
      <w:pPr>
        <w:ind w:left="2657" w:hanging="420"/>
      </w:pPr>
    </w:lvl>
    <w:lvl w:ilvl="5" w:tentative="0">
      <w:start w:val="1"/>
      <w:numFmt w:val="lowerRoman"/>
      <w:lvlText w:val="%6."/>
      <w:lvlJc w:val="right"/>
      <w:pPr>
        <w:ind w:left="3077" w:hanging="420"/>
      </w:pPr>
    </w:lvl>
    <w:lvl w:ilvl="6" w:tentative="0">
      <w:start w:val="1"/>
      <w:numFmt w:val="decimal"/>
      <w:lvlText w:val="%7."/>
      <w:lvlJc w:val="left"/>
      <w:pPr>
        <w:ind w:left="3497" w:hanging="420"/>
      </w:pPr>
    </w:lvl>
    <w:lvl w:ilvl="7" w:tentative="0">
      <w:start w:val="1"/>
      <w:numFmt w:val="lowerLetter"/>
      <w:lvlText w:val="%8)"/>
      <w:lvlJc w:val="left"/>
      <w:pPr>
        <w:ind w:left="3917" w:hanging="420"/>
      </w:pPr>
    </w:lvl>
    <w:lvl w:ilvl="8" w:tentative="0">
      <w:start w:val="1"/>
      <w:numFmt w:val="lowerRoman"/>
      <w:lvlText w:val="%9."/>
      <w:lvlJc w:val="right"/>
      <w:pPr>
        <w:ind w:left="4337" w:hanging="420"/>
      </w:pPr>
    </w:lvl>
  </w:abstractNum>
  <w:abstractNum w:abstractNumId="51">
    <w:nsid w:val="7F4B22BA"/>
    <w:multiLevelType w:val="multilevel"/>
    <w:tmpl w:val="7F4B22BA"/>
    <w:lvl w:ilvl="0" w:tentative="0">
      <w:start w:val="1"/>
      <w:numFmt w:val="chineseCountingThousand"/>
      <w:lvlText w:val="%1、"/>
      <w:lvlJc w:val="left"/>
      <w:pPr>
        <w:ind w:left="1272" w:hanging="420"/>
      </w:pPr>
      <w:rPr>
        <w:color w:val="auto"/>
      </w:rPr>
    </w:lvl>
    <w:lvl w:ilvl="1" w:tentative="0">
      <w:start w:val="1"/>
      <w:numFmt w:val="lowerLetter"/>
      <w:lvlText w:val="%2)"/>
      <w:lvlJc w:val="left"/>
      <w:pPr>
        <w:ind w:left="1690" w:hanging="420"/>
      </w:pPr>
    </w:lvl>
    <w:lvl w:ilvl="2" w:tentative="0">
      <w:start w:val="1"/>
      <w:numFmt w:val="lowerRoman"/>
      <w:lvlText w:val="%3."/>
      <w:lvlJc w:val="right"/>
      <w:pPr>
        <w:ind w:left="2110" w:hanging="420"/>
      </w:pPr>
    </w:lvl>
    <w:lvl w:ilvl="3" w:tentative="0">
      <w:start w:val="1"/>
      <w:numFmt w:val="decimal"/>
      <w:lvlText w:val="%4."/>
      <w:lvlJc w:val="left"/>
      <w:pPr>
        <w:ind w:left="2530" w:hanging="420"/>
      </w:pPr>
    </w:lvl>
    <w:lvl w:ilvl="4" w:tentative="0">
      <w:start w:val="1"/>
      <w:numFmt w:val="lowerLetter"/>
      <w:lvlText w:val="%5)"/>
      <w:lvlJc w:val="left"/>
      <w:pPr>
        <w:ind w:left="2950" w:hanging="420"/>
      </w:pPr>
    </w:lvl>
    <w:lvl w:ilvl="5" w:tentative="0">
      <w:start w:val="1"/>
      <w:numFmt w:val="lowerRoman"/>
      <w:lvlText w:val="%6."/>
      <w:lvlJc w:val="right"/>
      <w:pPr>
        <w:ind w:left="3370" w:hanging="420"/>
      </w:pPr>
    </w:lvl>
    <w:lvl w:ilvl="6" w:tentative="0">
      <w:start w:val="1"/>
      <w:numFmt w:val="decimal"/>
      <w:lvlText w:val="%7."/>
      <w:lvlJc w:val="left"/>
      <w:pPr>
        <w:ind w:left="3790" w:hanging="420"/>
      </w:pPr>
    </w:lvl>
    <w:lvl w:ilvl="7" w:tentative="0">
      <w:start w:val="1"/>
      <w:numFmt w:val="lowerLetter"/>
      <w:lvlText w:val="%8)"/>
      <w:lvlJc w:val="left"/>
      <w:pPr>
        <w:ind w:left="4210" w:hanging="420"/>
      </w:pPr>
    </w:lvl>
    <w:lvl w:ilvl="8" w:tentative="0">
      <w:start w:val="1"/>
      <w:numFmt w:val="lowerRoman"/>
      <w:lvlText w:val="%9."/>
      <w:lvlJc w:val="right"/>
      <w:pPr>
        <w:ind w:left="4630" w:hanging="420"/>
      </w:pPr>
    </w:lvl>
  </w:abstractNum>
  <w:num w:numId="1">
    <w:abstractNumId w:val="6"/>
  </w:num>
  <w:num w:numId="2">
    <w:abstractNumId w:val="11"/>
  </w:num>
  <w:num w:numId="3">
    <w:abstractNumId w:val="49"/>
  </w:num>
  <w:num w:numId="4">
    <w:abstractNumId w:val="13"/>
  </w:num>
  <w:num w:numId="5">
    <w:abstractNumId w:val="29"/>
  </w:num>
  <w:num w:numId="6">
    <w:abstractNumId w:val="5"/>
  </w:num>
  <w:num w:numId="7">
    <w:abstractNumId w:val="30"/>
  </w:num>
  <w:num w:numId="8">
    <w:abstractNumId w:val="2"/>
  </w:num>
  <w:num w:numId="9">
    <w:abstractNumId w:val="9"/>
  </w:num>
  <w:num w:numId="10">
    <w:abstractNumId w:val="15"/>
  </w:num>
  <w:num w:numId="11">
    <w:abstractNumId w:val="12"/>
  </w:num>
  <w:num w:numId="12">
    <w:abstractNumId w:val="24"/>
  </w:num>
  <w:num w:numId="13">
    <w:abstractNumId w:val="27"/>
  </w:num>
  <w:num w:numId="14">
    <w:abstractNumId w:val="36"/>
  </w:num>
  <w:num w:numId="15">
    <w:abstractNumId w:val="31"/>
  </w:num>
  <w:num w:numId="16">
    <w:abstractNumId w:val="18"/>
  </w:num>
  <w:num w:numId="17">
    <w:abstractNumId w:val="47"/>
  </w:num>
  <w:num w:numId="18">
    <w:abstractNumId w:val="17"/>
  </w:num>
  <w:num w:numId="19">
    <w:abstractNumId w:val="4"/>
  </w:num>
  <w:num w:numId="20">
    <w:abstractNumId w:val="26"/>
  </w:num>
  <w:num w:numId="21">
    <w:abstractNumId w:val="48"/>
  </w:num>
  <w:num w:numId="22">
    <w:abstractNumId w:val="51"/>
  </w:num>
  <w:num w:numId="23">
    <w:abstractNumId w:val="1"/>
  </w:num>
  <w:num w:numId="24">
    <w:abstractNumId w:val="3"/>
  </w:num>
  <w:num w:numId="25">
    <w:abstractNumId w:val="0"/>
  </w:num>
  <w:num w:numId="26">
    <w:abstractNumId w:val="35"/>
  </w:num>
  <w:num w:numId="27">
    <w:abstractNumId w:val="46"/>
  </w:num>
  <w:num w:numId="28">
    <w:abstractNumId w:val="23"/>
  </w:num>
  <w:num w:numId="29">
    <w:abstractNumId w:val="33"/>
  </w:num>
  <w:num w:numId="30">
    <w:abstractNumId w:val="20"/>
  </w:num>
  <w:num w:numId="31">
    <w:abstractNumId w:val="45"/>
  </w:num>
  <w:num w:numId="32">
    <w:abstractNumId w:val="7"/>
  </w:num>
  <w:num w:numId="33">
    <w:abstractNumId w:val="28"/>
  </w:num>
  <w:num w:numId="34">
    <w:abstractNumId w:val="10"/>
  </w:num>
  <w:num w:numId="35">
    <w:abstractNumId w:val="16"/>
  </w:num>
  <w:num w:numId="36">
    <w:abstractNumId w:val="14"/>
  </w:num>
  <w:num w:numId="37">
    <w:abstractNumId w:val="34"/>
  </w:num>
  <w:num w:numId="38">
    <w:abstractNumId w:val="8"/>
  </w:num>
  <w:num w:numId="39">
    <w:abstractNumId w:val="19"/>
  </w:num>
  <w:num w:numId="40">
    <w:abstractNumId w:val="44"/>
  </w:num>
  <w:num w:numId="41">
    <w:abstractNumId w:val="22"/>
  </w:num>
  <w:num w:numId="42">
    <w:abstractNumId w:val="50"/>
  </w:num>
  <w:num w:numId="43">
    <w:abstractNumId w:val="25"/>
  </w:num>
  <w:num w:numId="44">
    <w:abstractNumId w:val="32"/>
  </w:num>
  <w:num w:numId="45">
    <w:abstractNumId w:val="37"/>
    <w:lvlOverride w:ilvl="0">
      <w:startOverride w:val="1"/>
    </w:lvlOverride>
  </w:num>
  <w:num w:numId="46">
    <w:abstractNumId w:val="21"/>
  </w:num>
  <w:num w:numId="47">
    <w:abstractNumId w:val="38"/>
    <w:lvlOverride w:ilvl="0">
      <w:startOverride w:val="1"/>
    </w:lvlOverride>
  </w:num>
  <w:num w:numId="48">
    <w:abstractNumId w:val="6"/>
    <w:lvlOverride w:ilvl="2">
      <w:startOverride w:val="1"/>
    </w:lvlOverride>
  </w:num>
  <w:num w:numId="49">
    <w:abstractNumId w:val="6"/>
    <w:lvlOverride w:ilvl="1">
      <w:startOverride w:val="1"/>
    </w:lvlOverride>
  </w:num>
  <w:num w:numId="50">
    <w:abstractNumId w:val="39"/>
    <w:lvlOverride w:ilvl="0">
      <w:startOverride w:val="1"/>
    </w:lvlOverride>
  </w:num>
  <w:num w:numId="51">
    <w:abstractNumId w:val="40"/>
    <w:lvlOverride w:ilvl="1">
      <w:startOverride w:val="1"/>
    </w:lvlOverride>
  </w:num>
  <w:num w:numId="52">
    <w:abstractNumId w:val="41"/>
    <w:lvlOverride w:ilvl="0">
      <w:startOverride w:val="1"/>
    </w:lvlOverride>
  </w:num>
  <w:num w:numId="53">
    <w:abstractNumId w:val="42"/>
    <w:lvlOverride w:ilvl="0">
      <w:startOverride w:val="1"/>
    </w:lvlOverride>
  </w:num>
  <w:num w:numId="54">
    <w:abstractNumId w:val="4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hideSpellingErrors/>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BreakWrappedTables/>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5BC7"/>
    <w:rsid w:val="00000AD7"/>
    <w:rsid w:val="000020D5"/>
    <w:rsid w:val="00002199"/>
    <w:rsid w:val="00002DA3"/>
    <w:rsid w:val="000032BF"/>
    <w:rsid w:val="00003A0A"/>
    <w:rsid w:val="00003BAB"/>
    <w:rsid w:val="00003C5A"/>
    <w:rsid w:val="00003D73"/>
    <w:rsid w:val="000047BE"/>
    <w:rsid w:val="0000489B"/>
    <w:rsid w:val="00005B40"/>
    <w:rsid w:val="000064D2"/>
    <w:rsid w:val="00006E7F"/>
    <w:rsid w:val="00006F88"/>
    <w:rsid w:val="0000719D"/>
    <w:rsid w:val="000072C2"/>
    <w:rsid w:val="000079E6"/>
    <w:rsid w:val="00007BB7"/>
    <w:rsid w:val="0001020C"/>
    <w:rsid w:val="0001059E"/>
    <w:rsid w:val="00010934"/>
    <w:rsid w:val="0001242D"/>
    <w:rsid w:val="00012851"/>
    <w:rsid w:val="00013703"/>
    <w:rsid w:val="00013717"/>
    <w:rsid w:val="0001385C"/>
    <w:rsid w:val="00013BD5"/>
    <w:rsid w:val="00013F9D"/>
    <w:rsid w:val="0001501A"/>
    <w:rsid w:val="000160D6"/>
    <w:rsid w:val="00016279"/>
    <w:rsid w:val="00016681"/>
    <w:rsid w:val="00016D2F"/>
    <w:rsid w:val="00016D8F"/>
    <w:rsid w:val="00016F50"/>
    <w:rsid w:val="0001717B"/>
    <w:rsid w:val="00017A3F"/>
    <w:rsid w:val="000209F6"/>
    <w:rsid w:val="00020A9C"/>
    <w:rsid w:val="00020FF3"/>
    <w:rsid w:val="000212C4"/>
    <w:rsid w:val="00021749"/>
    <w:rsid w:val="00021905"/>
    <w:rsid w:val="00022A68"/>
    <w:rsid w:val="00024DFB"/>
    <w:rsid w:val="00025259"/>
    <w:rsid w:val="00025D03"/>
    <w:rsid w:val="00025E25"/>
    <w:rsid w:val="00026A48"/>
    <w:rsid w:val="00027522"/>
    <w:rsid w:val="0002761F"/>
    <w:rsid w:val="00027949"/>
    <w:rsid w:val="000311AD"/>
    <w:rsid w:val="000324B6"/>
    <w:rsid w:val="00032ABD"/>
    <w:rsid w:val="0003327E"/>
    <w:rsid w:val="000336C3"/>
    <w:rsid w:val="00033822"/>
    <w:rsid w:val="00033916"/>
    <w:rsid w:val="00034401"/>
    <w:rsid w:val="00034C48"/>
    <w:rsid w:val="000358E6"/>
    <w:rsid w:val="00035C5B"/>
    <w:rsid w:val="00036636"/>
    <w:rsid w:val="00036C9E"/>
    <w:rsid w:val="000370DD"/>
    <w:rsid w:val="00037DF1"/>
    <w:rsid w:val="00040183"/>
    <w:rsid w:val="00040BCA"/>
    <w:rsid w:val="00041BB7"/>
    <w:rsid w:val="00042FED"/>
    <w:rsid w:val="000443E9"/>
    <w:rsid w:val="00044A40"/>
    <w:rsid w:val="00044D7F"/>
    <w:rsid w:val="00044D8B"/>
    <w:rsid w:val="00045E75"/>
    <w:rsid w:val="000463E1"/>
    <w:rsid w:val="00046C77"/>
    <w:rsid w:val="00047387"/>
    <w:rsid w:val="000476DA"/>
    <w:rsid w:val="00047828"/>
    <w:rsid w:val="0005010F"/>
    <w:rsid w:val="0005011F"/>
    <w:rsid w:val="0005090A"/>
    <w:rsid w:val="00050C79"/>
    <w:rsid w:val="00051E46"/>
    <w:rsid w:val="00052007"/>
    <w:rsid w:val="00052139"/>
    <w:rsid w:val="000522BC"/>
    <w:rsid w:val="000524B9"/>
    <w:rsid w:val="0005284C"/>
    <w:rsid w:val="00052875"/>
    <w:rsid w:val="00052C3C"/>
    <w:rsid w:val="00053186"/>
    <w:rsid w:val="0005324A"/>
    <w:rsid w:val="0005359C"/>
    <w:rsid w:val="000539AA"/>
    <w:rsid w:val="00053DA0"/>
    <w:rsid w:val="00054124"/>
    <w:rsid w:val="00054427"/>
    <w:rsid w:val="00055899"/>
    <w:rsid w:val="000563C3"/>
    <w:rsid w:val="000563FA"/>
    <w:rsid w:val="000569BB"/>
    <w:rsid w:val="000569E9"/>
    <w:rsid w:val="00056AA3"/>
    <w:rsid w:val="00057A78"/>
    <w:rsid w:val="00057E9E"/>
    <w:rsid w:val="0006026D"/>
    <w:rsid w:val="0006045F"/>
    <w:rsid w:val="000621AA"/>
    <w:rsid w:val="000628E4"/>
    <w:rsid w:val="00062A0D"/>
    <w:rsid w:val="00062E56"/>
    <w:rsid w:val="000634CA"/>
    <w:rsid w:val="000638E4"/>
    <w:rsid w:val="000646D0"/>
    <w:rsid w:val="00064C57"/>
    <w:rsid w:val="000654D5"/>
    <w:rsid w:val="00066342"/>
    <w:rsid w:val="000665D3"/>
    <w:rsid w:val="00066CB0"/>
    <w:rsid w:val="00066E81"/>
    <w:rsid w:val="00066F53"/>
    <w:rsid w:val="00072646"/>
    <w:rsid w:val="00072E1D"/>
    <w:rsid w:val="00072ECF"/>
    <w:rsid w:val="00072FC1"/>
    <w:rsid w:val="000732EF"/>
    <w:rsid w:val="00073459"/>
    <w:rsid w:val="000735D0"/>
    <w:rsid w:val="000743C7"/>
    <w:rsid w:val="00076E33"/>
    <w:rsid w:val="00077883"/>
    <w:rsid w:val="00077894"/>
    <w:rsid w:val="000805B0"/>
    <w:rsid w:val="000819C0"/>
    <w:rsid w:val="00082C97"/>
    <w:rsid w:val="0008519A"/>
    <w:rsid w:val="00085313"/>
    <w:rsid w:val="0008551E"/>
    <w:rsid w:val="000866C4"/>
    <w:rsid w:val="00086D81"/>
    <w:rsid w:val="00087AEC"/>
    <w:rsid w:val="00087C4A"/>
    <w:rsid w:val="00087D75"/>
    <w:rsid w:val="000900EF"/>
    <w:rsid w:val="00090416"/>
    <w:rsid w:val="00090820"/>
    <w:rsid w:val="0009101A"/>
    <w:rsid w:val="00091400"/>
    <w:rsid w:val="00091A07"/>
    <w:rsid w:val="000921C2"/>
    <w:rsid w:val="000922E3"/>
    <w:rsid w:val="0009285B"/>
    <w:rsid w:val="000936A9"/>
    <w:rsid w:val="00093D15"/>
    <w:rsid w:val="00093F72"/>
    <w:rsid w:val="000946EA"/>
    <w:rsid w:val="000948B0"/>
    <w:rsid w:val="000954D4"/>
    <w:rsid w:val="00095698"/>
    <w:rsid w:val="0009613C"/>
    <w:rsid w:val="00097BFC"/>
    <w:rsid w:val="00097DF5"/>
    <w:rsid w:val="000A0321"/>
    <w:rsid w:val="000A0887"/>
    <w:rsid w:val="000A0C03"/>
    <w:rsid w:val="000A20FB"/>
    <w:rsid w:val="000A2419"/>
    <w:rsid w:val="000A42C0"/>
    <w:rsid w:val="000A58A6"/>
    <w:rsid w:val="000A5A61"/>
    <w:rsid w:val="000A5EA8"/>
    <w:rsid w:val="000A63F2"/>
    <w:rsid w:val="000A66DC"/>
    <w:rsid w:val="000A6D27"/>
    <w:rsid w:val="000A7522"/>
    <w:rsid w:val="000B0DF9"/>
    <w:rsid w:val="000B11A6"/>
    <w:rsid w:val="000B1243"/>
    <w:rsid w:val="000B14A0"/>
    <w:rsid w:val="000B2447"/>
    <w:rsid w:val="000B4068"/>
    <w:rsid w:val="000B4C40"/>
    <w:rsid w:val="000B51DC"/>
    <w:rsid w:val="000B53A2"/>
    <w:rsid w:val="000B5841"/>
    <w:rsid w:val="000B5A2E"/>
    <w:rsid w:val="000B69F4"/>
    <w:rsid w:val="000B6B67"/>
    <w:rsid w:val="000B7875"/>
    <w:rsid w:val="000B7B39"/>
    <w:rsid w:val="000B7B5D"/>
    <w:rsid w:val="000C0713"/>
    <w:rsid w:val="000C0792"/>
    <w:rsid w:val="000C13AF"/>
    <w:rsid w:val="000C1CA5"/>
    <w:rsid w:val="000C26DE"/>
    <w:rsid w:val="000C2727"/>
    <w:rsid w:val="000C29E0"/>
    <w:rsid w:val="000C3182"/>
    <w:rsid w:val="000C327D"/>
    <w:rsid w:val="000C3678"/>
    <w:rsid w:val="000C3728"/>
    <w:rsid w:val="000C386D"/>
    <w:rsid w:val="000C3D6F"/>
    <w:rsid w:val="000C4113"/>
    <w:rsid w:val="000C5A61"/>
    <w:rsid w:val="000C6E68"/>
    <w:rsid w:val="000C78AA"/>
    <w:rsid w:val="000D081F"/>
    <w:rsid w:val="000D08F1"/>
    <w:rsid w:val="000D0A54"/>
    <w:rsid w:val="000D1092"/>
    <w:rsid w:val="000D10E6"/>
    <w:rsid w:val="000D1F9A"/>
    <w:rsid w:val="000D31CB"/>
    <w:rsid w:val="000D31DE"/>
    <w:rsid w:val="000D3B02"/>
    <w:rsid w:val="000D454A"/>
    <w:rsid w:val="000D58E8"/>
    <w:rsid w:val="000D60C9"/>
    <w:rsid w:val="000D6FD4"/>
    <w:rsid w:val="000D7992"/>
    <w:rsid w:val="000E0412"/>
    <w:rsid w:val="000E0B4B"/>
    <w:rsid w:val="000E15D5"/>
    <w:rsid w:val="000E1D87"/>
    <w:rsid w:val="000E2ADB"/>
    <w:rsid w:val="000E2DC8"/>
    <w:rsid w:val="000E305E"/>
    <w:rsid w:val="000E5DF8"/>
    <w:rsid w:val="000E6FC3"/>
    <w:rsid w:val="000E754E"/>
    <w:rsid w:val="000E7609"/>
    <w:rsid w:val="000E7B13"/>
    <w:rsid w:val="000E7F9D"/>
    <w:rsid w:val="000F15EC"/>
    <w:rsid w:val="000F1908"/>
    <w:rsid w:val="000F2729"/>
    <w:rsid w:val="000F3898"/>
    <w:rsid w:val="000F4927"/>
    <w:rsid w:val="000F52DB"/>
    <w:rsid w:val="000F5866"/>
    <w:rsid w:val="000F6263"/>
    <w:rsid w:val="000F646A"/>
    <w:rsid w:val="000F6747"/>
    <w:rsid w:val="000F6956"/>
    <w:rsid w:val="000F76C2"/>
    <w:rsid w:val="000F7FB4"/>
    <w:rsid w:val="0010016E"/>
    <w:rsid w:val="001002E7"/>
    <w:rsid w:val="00100952"/>
    <w:rsid w:val="00100CC2"/>
    <w:rsid w:val="0010170E"/>
    <w:rsid w:val="001019C3"/>
    <w:rsid w:val="00101CF2"/>
    <w:rsid w:val="0010208F"/>
    <w:rsid w:val="0010229F"/>
    <w:rsid w:val="001031C5"/>
    <w:rsid w:val="001035E1"/>
    <w:rsid w:val="0010366C"/>
    <w:rsid w:val="00103690"/>
    <w:rsid w:val="00103B5F"/>
    <w:rsid w:val="00103E6A"/>
    <w:rsid w:val="0010451F"/>
    <w:rsid w:val="00104A56"/>
    <w:rsid w:val="00104CA0"/>
    <w:rsid w:val="001055E1"/>
    <w:rsid w:val="00105B8F"/>
    <w:rsid w:val="001064CE"/>
    <w:rsid w:val="00106B6A"/>
    <w:rsid w:val="00106E70"/>
    <w:rsid w:val="00106F7E"/>
    <w:rsid w:val="00107AF5"/>
    <w:rsid w:val="0011063B"/>
    <w:rsid w:val="00110B64"/>
    <w:rsid w:val="00111E2C"/>
    <w:rsid w:val="001123C6"/>
    <w:rsid w:val="0011254A"/>
    <w:rsid w:val="001128A2"/>
    <w:rsid w:val="00112BBC"/>
    <w:rsid w:val="00113BF8"/>
    <w:rsid w:val="00113F75"/>
    <w:rsid w:val="00114440"/>
    <w:rsid w:val="00114DC9"/>
    <w:rsid w:val="00116F8E"/>
    <w:rsid w:val="00117DAF"/>
    <w:rsid w:val="001204EF"/>
    <w:rsid w:val="00120A97"/>
    <w:rsid w:val="00121256"/>
    <w:rsid w:val="001213DA"/>
    <w:rsid w:val="00121472"/>
    <w:rsid w:val="00121B9A"/>
    <w:rsid w:val="00121DDA"/>
    <w:rsid w:val="00121EEC"/>
    <w:rsid w:val="00122090"/>
    <w:rsid w:val="00124108"/>
    <w:rsid w:val="00125613"/>
    <w:rsid w:val="00125883"/>
    <w:rsid w:val="00125988"/>
    <w:rsid w:val="00125AF6"/>
    <w:rsid w:val="00125EB9"/>
    <w:rsid w:val="00126A37"/>
    <w:rsid w:val="00126BF2"/>
    <w:rsid w:val="001272ED"/>
    <w:rsid w:val="00130270"/>
    <w:rsid w:val="001302FE"/>
    <w:rsid w:val="00130B0A"/>
    <w:rsid w:val="00130F50"/>
    <w:rsid w:val="001317CA"/>
    <w:rsid w:val="00131A9D"/>
    <w:rsid w:val="00131D53"/>
    <w:rsid w:val="00131E7C"/>
    <w:rsid w:val="00131E97"/>
    <w:rsid w:val="00132375"/>
    <w:rsid w:val="001324A7"/>
    <w:rsid w:val="001329D7"/>
    <w:rsid w:val="001332E4"/>
    <w:rsid w:val="001336A8"/>
    <w:rsid w:val="00133BA0"/>
    <w:rsid w:val="001345EB"/>
    <w:rsid w:val="00134646"/>
    <w:rsid w:val="001348E3"/>
    <w:rsid w:val="00134A7E"/>
    <w:rsid w:val="00134BFE"/>
    <w:rsid w:val="00134C69"/>
    <w:rsid w:val="001353C7"/>
    <w:rsid w:val="001356D6"/>
    <w:rsid w:val="00137402"/>
    <w:rsid w:val="00137440"/>
    <w:rsid w:val="001374DE"/>
    <w:rsid w:val="001379C9"/>
    <w:rsid w:val="00137CFA"/>
    <w:rsid w:val="00140FD4"/>
    <w:rsid w:val="001423AA"/>
    <w:rsid w:val="00143A80"/>
    <w:rsid w:val="00144EF8"/>
    <w:rsid w:val="001468EA"/>
    <w:rsid w:val="00146AC0"/>
    <w:rsid w:val="00146E80"/>
    <w:rsid w:val="00147B8C"/>
    <w:rsid w:val="00150144"/>
    <w:rsid w:val="00150AF3"/>
    <w:rsid w:val="00150CEA"/>
    <w:rsid w:val="0015131D"/>
    <w:rsid w:val="001513B9"/>
    <w:rsid w:val="001514DA"/>
    <w:rsid w:val="001518E7"/>
    <w:rsid w:val="00151DC0"/>
    <w:rsid w:val="00151EB4"/>
    <w:rsid w:val="001522A2"/>
    <w:rsid w:val="00152E98"/>
    <w:rsid w:val="001532C9"/>
    <w:rsid w:val="00153B1E"/>
    <w:rsid w:val="00153D08"/>
    <w:rsid w:val="00154010"/>
    <w:rsid w:val="00154815"/>
    <w:rsid w:val="00154ECF"/>
    <w:rsid w:val="00156B83"/>
    <w:rsid w:val="0015739D"/>
    <w:rsid w:val="00157970"/>
    <w:rsid w:val="00160BFB"/>
    <w:rsid w:val="00162706"/>
    <w:rsid w:val="0016281C"/>
    <w:rsid w:val="00162827"/>
    <w:rsid w:val="001633A4"/>
    <w:rsid w:val="00163A03"/>
    <w:rsid w:val="00163F57"/>
    <w:rsid w:val="00164665"/>
    <w:rsid w:val="00164AE4"/>
    <w:rsid w:val="00164EAB"/>
    <w:rsid w:val="0016549E"/>
    <w:rsid w:val="00165B97"/>
    <w:rsid w:val="00165EE5"/>
    <w:rsid w:val="00166A4D"/>
    <w:rsid w:val="001672E8"/>
    <w:rsid w:val="00167321"/>
    <w:rsid w:val="001675C3"/>
    <w:rsid w:val="00167D4D"/>
    <w:rsid w:val="001700DC"/>
    <w:rsid w:val="00170AEC"/>
    <w:rsid w:val="00171CDD"/>
    <w:rsid w:val="001720DB"/>
    <w:rsid w:val="0017210B"/>
    <w:rsid w:val="001728AE"/>
    <w:rsid w:val="00172BAC"/>
    <w:rsid w:val="00173920"/>
    <w:rsid w:val="00174121"/>
    <w:rsid w:val="001741B0"/>
    <w:rsid w:val="001744D0"/>
    <w:rsid w:val="001755FA"/>
    <w:rsid w:val="001757BA"/>
    <w:rsid w:val="00177D3C"/>
    <w:rsid w:val="00177F79"/>
    <w:rsid w:val="001802AE"/>
    <w:rsid w:val="00180ECC"/>
    <w:rsid w:val="00180F80"/>
    <w:rsid w:val="0018164D"/>
    <w:rsid w:val="001831A4"/>
    <w:rsid w:val="0018504E"/>
    <w:rsid w:val="001852FA"/>
    <w:rsid w:val="00185427"/>
    <w:rsid w:val="00185AEC"/>
    <w:rsid w:val="00185B7C"/>
    <w:rsid w:val="00186C1F"/>
    <w:rsid w:val="00186CBA"/>
    <w:rsid w:val="00187D01"/>
    <w:rsid w:val="00187F36"/>
    <w:rsid w:val="00190253"/>
    <w:rsid w:val="00190B4D"/>
    <w:rsid w:val="00190FA1"/>
    <w:rsid w:val="00191773"/>
    <w:rsid w:val="00192702"/>
    <w:rsid w:val="00192A2A"/>
    <w:rsid w:val="00192DD5"/>
    <w:rsid w:val="00192ED6"/>
    <w:rsid w:val="0019306A"/>
    <w:rsid w:val="00193E6E"/>
    <w:rsid w:val="001956E3"/>
    <w:rsid w:val="00196F70"/>
    <w:rsid w:val="00197C78"/>
    <w:rsid w:val="001A05C4"/>
    <w:rsid w:val="001A1874"/>
    <w:rsid w:val="001A2573"/>
    <w:rsid w:val="001A28B4"/>
    <w:rsid w:val="001A353B"/>
    <w:rsid w:val="001A3893"/>
    <w:rsid w:val="001A3AE8"/>
    <w:rsid w:val="001A4EC8"/>
    <w:rsid w:val="001A52C2"/>
    <w:rsid w:val="001A556A"/>
    <w:rsid w:val="001A56C7"/>
    <w:rsid w:val="001A5BC7"/>
    <w:rsid w:val="001A5BE9"/>
    <w:rsid w:val="001A5DE1"/>
    <w:rsid w:val="001A5E35"/>
    <w:rsid w:val="001A6AC8"/>
    <w:rsid w:val="001A6D65"/>
    <w:rsid w:val="001A7D87"/>
    <w:rsid w:val="001B0634"/>
    <w:rsid w:val="001B0B56"/>
    <w:rsid w:val="001B0C8E"/>
    <w:rsid w:val="001B10D2"/>
    <w:rsid w:val="001B12FD"/>
    <w:rsid w:val="001B1A23"/>
    <w:rsid w:val="001B1E26"/>
    <w:rsid w:val="001B2276"/>
    <w:rsid w:val="001B271F"/>
    <w:rsid w:val="001B2789"/>
    <w:rsid w:val="001B2EA1"/>
    <w:rsid w:val="001B312C"/>
    <w:rsid w:val="001B36AD"/>
    <w:rsid w:val="001B3B50"/>
    <w:rsid w:val="001B3D94"/>
    <w:rsid w:val="001B42D9"/>
    <w:rsid w:val="001B4343"/>
    <w:rsid w:val="001B49AE"/>
    <w:rsid w:val="001B4A16"/>
    <w:rsid w:val="001B4C5E"/>
    <w:rsid w:val="001B4D80"/>
    <w:rsid w:val="001B4D8F"/>
    <w:rsid w:val="001B4DA3"/>
    <w:rsid w:val="001B4E92"/>
    <w:rsid w:val="001B5BA1"/>
    <w:rsid w:val="001B629D"/>
    <w:rsid w:val="001B702C"/>
    <w:rsid w:val="001B7E0E"/>
    <w:rsid w:val="001B7EFB"/>
    <w:rsid w:val="001C0C9F"/>
    <w:rsid w:val="001C1234"/>
    <w:rsid w:val="001C125F"/>
    <w:rsid w:val="001C1DE5"/>
    <w:rsid w:val="001C2637"/>
    <w:rsid w:val="001C266B"/>
    <w:rsid w:val="001C4D3F"/>
    <w:rsid w:val="001C5BEE"/>
    <w:rsid w:val="001C7063"/>
    <w:rsid w:val="001C794E"/>
    <w:rsid w:val="001D055F"/>
    <w:rsid w:val="001D0A61"/>
    <w:rsid w:val="001D0B04"/>
    <w:rsid w:val="001D17E5"/>
    <w:rsid w:val="001D1CED"/>
    <w:rsid w:val="001D1D4D"/>
    <w:rsid w:val="001D21C2"/>
    <w:rsid w:val="001D2A98"/>
    <w:rsid w:val="001D2C01"/>
    <w:rsid w:val="001D3613"/>
    <w:rsid w:val="001D4187"/>
    <w:rsid w:val="001D549B"/>
    <w:rsid w:val="001D58A1"/>
    <w:rsid w:val="001D6874"/>
    <w:rsid w:val="001D7E9E"/>
    <w:rsid w:val="001E0275"/>
    <w:rsid w:val="001E0D0E"/>
    <w:rsid w:val="001E0DAA"/>
    <w:rsid w:val="001E0FC8"/>
    <w:rsid w:val="001E118C"/>
    <w:rsid w:val="001E1745"/>
    <w:rsid w:val="001E32D7"/>
    <w:rsid w:val="001E34E3"/>
    <w:rsid w:val="001E4710"/>
    <w:rsid w:val="001E4D5C"/>
    <w:rsid w:val="001E6C58"/>
    <w:rsid w:val="001E70D9"/>
    <w:rsid w:val="001E7199"/>
    <w:rsid w:val="001E7999"/>
    <w:rsid w:val="001F0066"/>
    <w:rsid w:val="001F05B2"/>
    <w:rsid w:val="001F0BDF"/>
    <w:rsid w:val="001F0CD2"/>
    <w:rsid w:val="001F0FA5"/>
    <w:rsid w:val="001F12DD"/>
    <w:rsid w:val="001F1742"/>
    <w:rsid w:val="001F1AC3"/>
    <w:rsid w:val="001F1DC8"/>
    <w:rsid w:val="001F27E1"/>
    <w:rsid w:val="001F2F73"/>
    <w:rsid w:val="001F3AC2"/>
    <w:rsid w:val="001F47E9"/>
    <w:rsid w:val="001F63B3"/>
    <w:rsid w:val="001F711C"/>
    <w:rsid w:val="001F7740"/>
    <w:rsid w:val="002000CA"/>
    <w:rsid w:val="00200450"/>
    <w:rsid w:val="00202565"/>
    <w:rsid w:val="00203030"/>
    <w:rsid w:val="0020354A"/>
    <w:rsid w:val="00203F4C"/>
    <w:rsid w:val="00204D24"/>
    <w:rsid w:val="0020545D"/>
    <w:rsid w:val="00205507"/>
    <w:rsid w:val="002062A4"/>
    <w:rsid w:val="00206B37"/>
    <w:rsid w:val="00206EAD"/>
    <w:rsid w:val="002070F4"/>
    <w:rsid w:val="00207F7B"/>
    <w:rsid w:val="0021033D"/>
    <w:rsid w:val="00210347"/>
    <w:rsid w:val="002104DE"/>
    <w:rsid w:val="002121EE"/>
    <w:rsid w:val="00212C21"/>
    <w:rsid w:val="00212D95"/>
    <w:rsid w:val="002143D4"/>
    <w:rsid w:val="00214473"/>
    <w:rsid w:val="0021512A"/>
    <w:rsid w:val="002159BE"/>
    <w:rsid w:val="00215A82"/>
    <w:rsid w:val="00216178"/>
    <w:rsid w:val="0021656A"/>
    <w:rsid w:val="00216949"/>
    <w:rsid w:val="00216DDF"/>
    <w:rsid w:val="00216F4B"/>
    <w:rsid w:val="00217DDA"/>
    <w:rsid w:val="002202CD"/>
    <w:rsid w:val="002209E4"/>
    <w:rsid w:val="00221492"/>
    <w:rsid w:val="00221733"/>
    <w:rsid w:val="00222648"/>
    <w:rsid w:val="00222C96"/>
    <w:rsid w:val="00223501"/>
    <w:rsid w:val="00223DF2"/>
    <w:rsid w:val="002242AB"/>
    <w:rsid w:val="0022430B"/>
    <w:rsid w:val="002256A5"/>
    <w:rsid w:val="00227194"/>
    <w:rsid w:val="00227C26"/>
    <w:rsid w:val="002306E6"/>
    <w:rsid w:val="00230DE9"/>
    <w:rsid w:val="0023107F"/>
    <w:rsid w:val="002316E1"/>
    <w:rsid w:val="00231D9C"/>
    <w:rsid w:val="00232ACA"/>
    <w:rsid w:val="00233B13"/>
    <w:rsid w:val="00233DBB"/>
    <w:rsid w:val="00235000"/>
    <w:rsid w:val="002361BB"/>
    <w:rsid w:val="0023634B"/>
    <w:rsid w:val="00237279"/>
    <w:rsid w:val="00237829"/>
    <w:rsid w:val="00237E23"/>
    <w:rsid w:val="002403F9"/>
    <w:rsid w:val="0024075F"/>
    <w:rsid w:val="00240874"/>
    <w:rsid w:val="00240D7C"/>
    <w:rsid w:val="002416AF"/>
    <w:rsid w:val="00241DAA"/>
    <w:rsid w:val="00241FB2"/>
    <w:rsid w:val="002427C6"/>
    <w:rsid w:val="00245687"/>
    <w:rsid w:val="00245728"/>
    <w:rsid w:val="00245869"/>
    <w:rsid w:val="002459A4"/>
    <w:rsid w:val="00245C9D"/>
    <w:rsid w:val="002473BA"/>
    <w:rsid w:val="002479D2"/>
    <w:rsid w:val="00250715"/>
    <w:rsid w:val="002518C5"/>
    <w:rsid w:val="00251B3E"/>
    <w:rsid w:val="00251B96"/>
    <w:rsid w:val="002530E7"/>
    <w:rsid w:val="00253795"/>
    <w:rsid w:val="00253893"/>
    <w:rsid w:val="00254492"/>
    <w:rsid w:val="00255096"/>
    <w:rsid w:val="002550A2"/>
    <w:rsid w:val="002559E3"/>
    <w:rsid w:val="00255A51"/>
    <w:rsid w:val="0025644A"/>
    <w:rsid w:val="00256B34"/>
    <w:rsid w:val="00256D00"/>
    <w:rsid w:val="00257179"/>
    <w:rsid w:val="00257900"/>
    <w:rsid w:val="00257E08"/>
    <w:rsid w:val="002602B1"/>
    <w:rsid w:val="00261182"/>
    <w:rsid w:val="00262628"/>
    <w:rsid w:val="00262FFF"/>
    <w:rsid w:val="002637D4"/>
    <w:rsid w:val="00263F98"/>
    <w:rsid w:val="00264245"/>
    <w:rsid w:val="0026581E"/>
    <w:rsid w:val="0026616D"/>
    <w:rsid w:val="00266606"/>
    <w:rsid w:val="00266728"/>
    <w:rsid w:val="00266A51"/>
    <w:rsid w:val="00267120"/>
    <w:rsid w:val="002674EF"/>
    <w:rsid w:val="0026774E"/>
    <w:rsid w:val="00267D2D"/>
    <w:rsid w:val="002701D8"/>
    <w:rsid w:val="00270EBE"/>
    <w:rsid w:val="00271006"/>
    <w:rsid w:val="00271A0E"/>
    <w:rsid w:val="00272887"/>
    <w:rsid w:val="00272D1C"/>
    <w:rsid w:val="00272D77"/>
    <w:rsid w:val="002741A1"/>
    <w:rsid w:val="00274465"/>
    <w:rsid w:val="002747DC"/>
    <w:rsid w:val="002749C3"/>
    <w:rsid w:val="00274AB1"/>
    <w:rsid w:val="002752DD"/>
    <w:rsid w:val="00275757"/>
    <w:rsid w:val="00275DC3"/>
    <w:rsid w:val="00276695"/>
    <w:rsid w:val="00276706"/>
    <w:rsid w:val="00277200"/>
    <w:rsid w:val="00277C48"/>
    <w:rsid w:val="002800CB"/>
    <w:rsid w:val="002800CC"/>
    <w:rsid w:val="002804D7"/>
    <w:rsid w:val="002805F9"/>
    <w:rsid w:val="0028067E"/>
    <w:rsid w:val="00280BC1"/>
    <w:rsid w:val="00280D08"/>
    <w:rsid w:val="002816DC"/>
    <w:rsid w:val="00281C5C"/>
    <w:rsid w:val="00281CAE"/>
    <w:rsid w:val="002823B7"/>
    <w:rsid w:val="0028242E"/>
    <w:rsid w:val="002824B5"/>
    <w:rsid w:val="00282A23"/>
    <w:rsid w:val="00283DB1"/>
    <w:rsid w:val="00283FCC"/>
    <w:rsid w:val="00284885"/>
    <w:rsid w:val="00284B55"/>
    <w:rsid w:val="00284B65"/>
    <w:rsid w:val="00285310"/>
    <w:rsid w:val="00286037"/>
    <w:rsid w:val="00286151"/>
    <w:rsid w:val="002861EE"/>
    <w:rsid w:val="0028654D"/>
    <w:rsid w:val="002867C7"/>
    <w:rsid w:val="00286BE5"/>
    <w:rsid w:val="0028765A"/>
    <w:rsid w:val="00287BF6"/>
    <w:rsid w:val="00287DA4"/>
    <w:rsid w:val="00290573"/>
    <w:rsid w:val="002905D4"/>
    <w:rsid w:val="00291428"/>
    <w:rsid w:val="00291A5A"/>
    <w:rsid w:val="002921BD"/>
    <w:rsid w:val="0029360E"/>
    <w:rsid w:val="00293914"/>
    <w:rsid w:val="002965A4"/>
    <w:rsid w:val="00296DD4"/>
    <w:rsid w:val="002974C2"/>
    <w:rsid w:val="00297BAE"/>
    <w:rsid w:val="00297CA1"/>
    <w:rsid w:val="00297FDE"/>
    <w:rsid w:val="002A26F6"/>
    <w:rsid w:val="002A31E6"/>
    <w:rsid w:val="002A3A01"/>
    <w:rsid w:val="002A3B56"/>
    <w:rsid w:val="002A3E52"/>
    <w:rsid w:val="002A47F4"/>
    <w:rsid w:val="002A4B6A"/>
    <w:rsid w:val="002A5326"/>
    <w:rsid w:val="002A562D"/>
    <w:rsid w:val="002A56FA"/>
    <w:rsid w:val="002A6892"/>
    <w:rsid w:val="002A6CF7"/>
    <w:rsid w:val="002A7261"/>
    <w:rsid w:val="002A7940"/>
    <w:rsid w:val="002B0151"/>
    <w:rsid w:val="002B16F9"/>
    <w:rsid w:val="002B185A"/>
    <w:rsid w:val="002B2117"/>
    <w:rsid w:val="002B2733"/>
    <w:rsid w:val="002B293E"/>
    <w:rsid w:val="002B2B86"/>
    <w:rsid w:val="002B309A"/>
    <w:rsid w:val="002B36B4"/>
    <w:rsid w:val="002B3CA6"/>
    <w:rsid w:val="002B41C7"/>
    <w:rsid w:val="002B5FA0"/>
    <w:rsid w:val="002B607C"/>
    <w:rsid w:val="002B62A3"/>
    <w:rsid w:val="002B730D"/>
    <w:rsid w:val="002C05A2"/>
    <w:rsid w:val="002C0982"/>
    <w:rsid w:val="002C0C37"/>
    <w:rsid w:val="002C116D"/>
    <w:rsid w:val="002C1AFF"/>
    <w:rsid w:val="002C1D24"/>
    <w:rsid w:val="002C245D"/>
    <w:rsid w:val="002C252F"/>
    <w:rsid w:val="002C2F92"/>
    <w:rsid w:val="002C38EE"/>
    <w:rsid w:val="002C39C6"/>
    <w:rsid w:val="002C4374"/>
    <w:rsid w:val="002C43C5"/>
    <w:rsid w:val="002C4880"/>
    <w:rsid w:val="002C493F"/>
    <w:rsid w:val="002C5858"/>
    <w:rsid w:val="002C5B01"/>
    <w:rsid w:val="002C5F90"/>
    <w:rsid w:val="002C6152"/>
    <w:rsid w:val="002C6468"/>
    <w:rsid w:val="002C73FD"/>
    <w:rsid w:val="002C7746"/>
    <w:rsid w:val="002C7790"/>
    <w:rsid w:val="002D014A"/>
    <w:rsid w:val="002D060C"/>
    <w:rsid w:val="002D08B6"/>
    <w:rsid w:val="002D0950"/>
    <w:rsid w:val="002D1227"/>
    <w:rsid w:val="002D1648"/>
    <w:rsid w:val="002D16AF"/>
    <w:rsid w:val="002D289B"/>
    <w:rsid w:val="002D410D"/>
    <w:rsid w:val="002D41B3"/>
    <w:rsid w:val="002D46D3"/>
    <w:rsid w:val="002D46F1"/>
    <w:rsid w:val="002D4986"/>
    <w:rsid w:val="002D5158"/>
    <w:rsid w:val="002D5DA8"/>
    <w:rsid w:val="002D6010"/>
    <w:rsid w:val="002D60D3"/>
    <w:rsid w:val="002D624D"/>
    <w:rsid w:val="002D647B"/>
    <w:rsid w:val="002D6817"/>
    <w:rsid w:val="002D7033"/>
    <w:rsid w:val="002D7F21"/>
    <w:rsid w:val="002E0155"/>
    <w:rsid w:val="002E0616"/>
    <w:rsid w:val="002E0644"/>
    <w:rsid w:val="002E19D4"/>
    <w:rsid w:val="002E1E83"/>
    <w:rsid w:val="002E24C3"/>
    <w:rsid w:val="002E3399"/>
    <w:rsid w:val="002E3491"/>
    <w:rsid w:val="002E352F"/>
    <w:rsid w:val="002E4093"/>
    <w:rsid w:val="002E4163"/>
    <w:rsid w:val="002E4185"/>
    <w:rsid w:val="002E41D4"/>
    <w:rsid w:val="002E4582"/>
    <w:rsid w:val="002E4A15"/>
    <w:rsid w:val="002E614A"/>
    <w:rsid w:val="002E61E8"/>
    <w:rsid w:val="002E6CAE"/>
    <w:rsid w:val="002E784A"/>
    <w:rsid w:val="002E7CEF"/>
    <w:rsid w:val="002F09DD"/>
    <w:rsid w:val="002F15AC"/>
    <w:rsid w:val="002F20DC"/>
    <w:rsid w:val="002F215F"/>
    <w:rsid w:val="002F4201"/>
    <w:rsid w:val="002F4205"/>
    <w:rsid w:val="002F5210"/>
    <w:rsid w:val="002F5634"/>
    <w:rsid w:val="002F5E02"/>
    <w:rsid w:val="002F612F"/>
    <w:rsid w:val="002F6890"/>
    <w:rsid w:val="002F6A26"/>
    <w:rsid w:val="002F7106"/>
    <w:rsid w:val="002F71D6"/>
    <w:rsid w:val="00301023"/>
    <w:rsid w:val="00301B1D"/>
    <w:rsid w:val="00301E35"/>
    <w:rsid w:val="00301E98"/>
    <w:rsid w:val="0030257D"/>
    <w:rsid w:val="00302748"/>
    <w:rsid w:val="003027DB"/>
    <w:rsid w:val="0030390C"/>
    <w:rsid w:val="00303E85"/>
    <w:rsid w:val="00303EF1"/>
    <w:rsid w:val="00303F0C"/>
    <w:rsid w:val="00303F3A"/>
    <w:rsid w:val="0030405B"/>
    <w:rsid w:val="00304598"/>
    <w:rsid w:val="0030584B"/>
    <w:rsid w:val="00306058"/>
    <w:rsid w:val="003060CB"/>
    <w:rsid w:val="00306BE8"/>
    <w:rsid w:val="003079C2"/>
    <w:rsid w:val="00307EDA"/>
    <w:rsid w:val="0031303A"/>
    <w:rsid w:val="00313698"/>
    <w:rsid w:val="0031429F"/>
    <w:rsid w:val="003147FC"/>
    <w:rsid w:val="003154BE"/>
    <w:rsid w:val="003167ED"/>
    <w:rsid w:val="00316B3F"/>
    <w:rsid w:val="0031758A"/>
    <w:rsid w:val="00317D2B"/>
    <w:rsid w:val="00317FA8"/>
    <w:rsid w:val="00320CA7"/>
    <w:rsid w:val="00320F06"/>
    <w:rsid w:val="00321AA9"/>
    <w:rsid w:val="0032200C"/>
    <w:rsid w:val="00323414"/>
    <w:rsid w:val="00323C1D"/>
    <w:rsid w:val="00325077"/>
    <w:rsid w:val="00325322"/>
    <w:rsid w:val="003255C3"/>
    <w:rsid w:val="00325A1A"/>
    <w:rsid w:val="00325A2E"/>
    <w:rsid w:val="00325C57"/>
    <w:rsid w:val="003269E0"/>
    <w:rsid w:val="00327319"/>
    <w:rsid w:val="00327A12"/>
    <w:rsid w:val="00331451"/>
    <w:rsid w:val="0033168E"/>
    <w:rsid w:val="003317A2"/>
    <w:rsid w:val="00332D13"/>
    <w:rsid w:val="0033355E"/>
    <w:rsid w:val="00333A70"/>
    <w:rsid w:val="00334430"/>
    <w:rsid w:val="00334486"/>
    <w:rsid w:val="0033457A"/>
    <w:rsid w:val="003369C3"/>
    <w:rsid w:val="00336D0B"/>
    <w:rsid w:val="0033768B"/>
    <w:rsid w:val="00337768"/>
    <w:rsid w:val="0034085C"/>
    <w:rsid w:val="00340E08"/>
    <w:rsid w:val="003431CB"/>
    <w:rsid w:val="00344075"/>
    <w:rsid w:val="00344B5B"/>
    <w:rsid w:val="0034529E"/>
    <w:rsid w:val="00345762"/>
    <w:rsid w:val="00346C4F"/>
    <w:rsid w:val="00346D06"/>
    <w:rsid w:val="00346EE3"/>
    <w:rsid w:val="003473E8"/>
    <w:rsid w:val="00350F5D"/>
    <w:rsid w:val="003516FE"/>
    <w:rsid w:val="003519FF"/>
    <w:rsid w:val="00351CE1"/>
    <w:rsid w:val="00352210"/>
    <w:rsid w:val="00352621"/>
    <w:rsid w:val="003528B1"/>
    <w:rsid w:val="00352AF5"/>
    <w:rsid w:val="00352CCC"/>
    <w:rsid w:val="00353F22"/>
    <w:rsid w:val="00354118"/>
    <w:rsid w:val="00354FEE"/>
    <w:rsid w:val="0035509B"/>
    <w:rsid w:val="003566DE"/>
    <w:rsid w:val="00356931"/>
    <w:rsid w:val="00356A43"/>
    <w:rsid w:val="00357545"/>
    <w:rsid w:val="00361B4F"/>
    <w:rsid w:val="00365CF0"/>
    <w:rsid w:val="00366433"/>
    <w:rsid w:val="00366B57"/>
    <w:rsid w:val="00366E02"/>
    <w:rsid w:val="003673CC"/>
    <w:rsid w:val="003703FD"/>
    <w:rsid w:val="00370554"/>
    <w:rsid w:val="00370FE6"/>
    <w:rsid w:val="0037169A"/>
    <w:rsid w:val="003724D4"/>
    <w:rsid w:val="003725AC"/>
    <w:rsid w:val="00372F67"/>
    <w:rsid w:val="003746B2"/>
    <w:rsid w:val="003746CA"/>
    <w:rsid w:val="00374B71"/>
    <w:rsid w:val="003754CF"/>
    <w:rsid w:val="003755A1"/>
    <w:rsid w:val="00375745"/>
    <w:rsid w:val="00375928"/>
    <w:rsid w:val="003773C0"/>
    <w:rsid w:val="0037783A"/>
    <w:rsid w:val="00377EA3"/>
    <w:rsid w:val="0038006D"/>
    <w:rsid w:val="00380883"/>
    <w:rsid w:val="00380E0B"/>
    <w:rsid w:val="00381B4E"/>
    <w:rsid w:val="00381C53"/>
    <w:rsid w:val="00381C72"/>
    <w:rsid w:val="003821CB"/>
    <w:rsid w:val="00382387"/>
    <w:rsid w:val="003825C5"/>
    <w:rsid w:val="00383EC5"/>
    <w:rsid w:val="0038465A"/>
    <w:rsid w:val="00384865"/>
    <w:rsid w:val="003849A5"/>
    <w:rsid w:val="00384F13"/>
    <w:rsid w:val="003851F8"/>
    <w:rsid w:val="00385B10"/>
    <w:rsid w:val="00385CD4"/>
    <w:rsid w:val="00385F42"/>
    <w:rsid w:val="00386529"/>
    <w:rsid w:val="003866BA"/>
    <w:rsid w:val="0038783D"/>
    <w:rsid w:val="00387FF6"/>
    <w:rsid w:val="00390411"/>
    <w:rsid w:val="00390C4F"/>
    <w:rsid w:val="003915F6"/>
    <w:rsid w:val="00392539"/>
    <w:rsid w:val="00392FCC"/>
    <w:rsid w:val="00392FDE"/>
    <w:rsid w:val="003931A3"/>
    <w:rsid w:val="003939F3"/>
    <w:rsid w:val="00393C16"/>
    <w:rsid w:val="00393C4B"/>
    <w:rsid w:val="00394A3F"/>
    <w:rsid w:val="00394FAF"/>
    <w:rsid w:val="003954C3"/>
    <w:rsid w:val="00395689"/>
    <w:rsid w:val="0039571F"/>
    <w:rsid w:val="00395E3B"/>
    <w:rsid w:val="00396077"/>
    <w:rsid w:val="00396887"/>
    <w:rsid w:val="00397477"/>
    <w:rsid w:val="003976D7"/>
    <w:rsid w:val="00397797"/>
    <w:rsid w:val="003979D4"/>
    <w:rsid w:val="003A13B9"/>
    <w:rsid w:val="003A1514"/>
    <w:rsid w:val="003A313B"/>
    <w:rsid w:val="003A32BD"/>
    <w:rsid w:val="003A3481"/>
    <w:rsid w:val="003A3D1D"/>
    <w:rsid w:val="003A47E4"/>
    <w:rsid w:val="003A4C03"/>
    <w:rsid w:val="003A5EAF"/>
    <w:rsid w:val="003A60E4"/>
    <w:rsid w:val="003A615C"/>
    <w:rsid w:val="003A64F2"/>
    <w:rsid w:val="003A67C4"/>
    <w:rsid w:val="003A6DB5"/>
    <w:rsid w:val="003A7643"/>
    <w:rsid w:val="003A7D60"/>
    <w:rsid w:val="003A7E7B"/>
    <w:rsid w:val="003B03B2"/>
    <w:rsid w:val="003B0632"/>
    <w:rsid w:val="003B0C74"/>
    <w:rsid w:val="003B1F8D"/>
    <w:rsid w:val="003B2025"/>
    <w:rsid w:val="003B4176"/>
    <w:rsid w:val="003B45F0"/>
    <w:rsid w:val="003B4953"/>
    <w:rsid w:val="003B536A"/>
    <w:rsid w:val="003B55B0"/>
    <w:rsid w:val="003B5C8D"/>
    <w:rsid w:val="003B60E9"/>
    <w:rsid w:val="003B6875"/>
    <w:rsid w:val="003B7C23"/>
    <w:rsid w:val="003B7CB9"/>
    <w:rsid w:val="003C058F"/>
    <w:rsid w:val="003C0DB3"/>
    <w:rsid w:val="003C1406"/>
    <w:rsid w:val="003C2E71"/>
    <w:rsid w:val="003C3F0F"/>
    <w:rsid w:val="003C445A"/>
    <w:rsid w:val="003C4CD9"/>
    <w:rsid w:val="003C5786"/>
    <w:rsid w:val="003C6C70"/>
    <w:rsid w:val="003C7461"/>
    <w:rsid w:val="003C7A29"/>
    <w:rsid w:val="003D036E"/>
    <w:rsid w:val="003D05C8"/>
    <w:rsid w:val="003D0703"/>
    <w:rsid w:val="003D0C57"/>
    <w:rsid w:val="003D0FE2"/>
    <w:rsid w:val="003D1055"/>
    <w:rsid w:val="003D202D"/>
    <w:rsid w:val="003D2769"/>
    <w:rsid w:val="003D2DC2"/>
    <w:rsid w:val="003D2F05"/>
    <w:rsid w:val="003D34FA"/>
    <w:rsid w:val="003D3A74"/>
    <w:rsid w:val="003D3F35"/>
    <w:rsid w:val="003D4B9E"/>
    <w:rsid w:val="003D4C3C"/>
    <w:rsid w:val="003D4E43"/>
    <w:rsid w:val="003D54D2"/>
    <w:rsid w:val="003D688E"/>
    <w:rsid w:val="003D6A98"/>
    <w:rsid w:val="003D712B"/>
    <w:rsid w:val="003D71A7"/>
    <w:rsid w:val="003E02A9"/>
    <w:rsid w:val="003E086B"/>
    <w:rsid w:val="003E1547"/>
    <w:rsid w:val="003E2ED2"/>
    <w:rsid w:val="003E2FF0"/>
    <w:rsid w:val="003E3256"/>
    <w:rsid w:val="003E36CF"/>
    <w:rsid w:val="003E3C50"/>
    <w:rsid w:val="003E3F91"/>
    <w:rsid w:val="003E5720"/>
    <w:rsid w:val="003E58A1"/>
    <w:rsid w:val="003E66A9"/>
    <w:rsid w:val="003E6B43"/>
    <w:rsid w:val="003E6BDD"/>
    <w:rsid w:val="003E7ADD"/>
    <w:rsid w:val="003E7BBD"/>
    <w:rsid w:val="003F0955"/>
    <w:rsid w:val="003F0DB0"/>
    <w:rsid w:val="003F0E5B"/>
    <w:rsid w:val="003F2103"/>
    <w:rsid w:val="003F24B3"/>
    <w:rsid w:val="003F2C42"/>
    <w:rsid w:val="003F2DF0"/>
    <w:rsid w:val="003F3091"/>
    <w:rsid w:val="003F4E95"/>
    <w:rsid w:val="003F5920"/>
    <w:rsid w:val="003F5A4C"/>
    <w:rsid w:val="003F5C13"/>
    <w:rsid w:val="003F5E2E"/>
    <w:rsid w:val="003F60C5"/>
    <w:rsid w:val="003F7EC6"/>
    <w:rsid w:val="00400477"/>
    <w:rsid w:val="00400814"/>
    <w:rsid w:val="00400A17"/>
    <w:rsid w:val="00401591"/>
    <w:rsid w:val="004019B0"/>
    <w:rsid w:val="00402641"/>
    <w:rsid w:val="00402AD3"/>
    <w:rsid w:val="0040383B"/>
    <w:rsid w:val="00404069"/>
    <w:rsid w:val="004044A3"/>
    <w:rsid w:val="00405653"/>
    <w:rsid w:val="004057ED"/>
    <w:rsid w:val="00405FCA"/>
    <w:rsid w:val="00406264"/>
    <w:rsid w:val="00406BD5"/>
    <w:rsid w:val="004079F7"/>
    <w:rsid w:val="00412220"/>
    <w:rsid w:val="0041338C"/>
    <w:rsid w:val="00413CD0"/>
    <w:rsid w:val="004158D1"/>
    <w:rsid w:val="004158FF"/>
    <w:rsid w:val="0041702F"/>
    <w:rsid w:val="00420D41"/>
    <w:rsid w:val="00420EF7"/>
    <w:rsid w:val="004224D4"/>
    <w:rsid w:val="00422CC2"/>
    <w:rsid w:val="004231D0"/>
    <w:rsid w:val="004234A6"/>
    <w:rsid w:val="004239CA"/>
    <w:rsid w:val="004242EC"/>
    <w:rsid w:val="00424321"/>
    <w:rsid w:val="0042479E"/>
    <w:rsid w:val="00425222"/>
    <w:rsid w:val="00425FEA"/>
    <w:rsid w:val="00426A44"/>
    <w:rsid w:val="00426B44"/>
    <w:rsid w:val="00426EF2"/>
    <w:rsid w:val="004274E3"/>
    <w:rsid w:val="0042789C"/>
    <w:rsid w:val="00430A33"/>
    <w:rsid w:val="004313FF"/>
    <w:rsid w:val="00431926"/>
    <w:rsid w:val="00432CF5"/>
    <w:rsid w:val="004331C3"/>
    <w:rsid w:val="004335C8"/>
    <w:rsid w:val="0043363E"/>
    <w:rsid w:val="00433978"/>
    <w:rsid w:val="00434A5B"/>
    <w:rsid w:val="00435CCC"/>
    <w:rsid w:val="00435CE2"/>
    <w:rsid w:val="00437F6C"/>
    <w:rsid w:val="0044124E"/>
    <w:rsid w:val="00442DDD"/>
    <w:rsid w:val="00443B17"/>
    <w:rsid w:val="004440F3"/>
    <w:rsid w:val="004444C2"/>
    <w:rsid w:val="00444AC3"/>
    <w:rsid w:val="00445722"/>
    <w:rsid w:val="00446D0E"/>
    <w:rsid w:val="00450D7F"/>
    <w:rsid w:val="00450E9A"/>
    <w:rsid w:val="00451091"/>
    <w:rsid w:val="00452564"/>
    <w:rsid w:val="00454245"/>
    <w:rsid w:val="00455E04"/>
    <w:rsid w:val="00455F32"/>
    <w:rsid w:val="00456D07"/>
    <w:rsid w:val="00457150"/>
    <w:rsid w:val="00457A5C"/>
    <w:rsid w:val="00457FB3"/>
    <w:rsid w:val="00460079"/>
    <w:rsid w:val="004603F4"/>
    <w:rsid w:val="004609D3"/>
    <w:rsid w:val="00460DB4"/>
    <w:rsid w:val="00461666"/>
    <w:rsid w:val="0046176B"/>
    <w:rsid w:val="00461803"/>
    <w:rsid w:val="00461A1F"/>
    <w:rsid w:val="00461EA8"/>
    <w:rsid w:val="00463454"/>
    <w:rsid w:val="004636CD"/>
    <w:rsid w:val="004637A5"/>
    <w:rsid w:val="00464762"/>
    <w:rsid w:val="00464F86"/>
    <w:rsid w:val="004665E4"/>
    <w:rsid w:val="0046667A"/>
    <w:rsid w:val="00466706"/>
    <w:rsid w:val="00466F5D"/>
    <w:rsid w:val="00466F90"/>
    <w:rsid w:val="0046727D"/>
    <w:rsid w:val="00467690"/>
    <w:rsid w:val="00467B0B"/>
    <w:rsid w:val="00471286"/>
    <w:rsid w:val="004712F6"/>
    <w:rsid w:val="00471431"/>
    <w:rsid w:val="00471A54"/>
    <w:rsid w:val="00471D50"/>
    <w:rsid w:val="0047240E"/>
    <w:rsid w:val="00474309"/>
    <w:rsid w:val="00474834"/>
    <w:rsid w:val="004752DD"/>
    <w:rsid w:val="004775D4"/>
    <w:rsid w:val="00477AFF"/>
    <w:rsid w:val="00477E65"/>
    <w:rsid w:val="004820C4"/>
    <w:rsid w:val="00482716"/>
    <w:rsid w:val="004827EA"/>
    <w:rsid w:val="00482C77"/>
    <w:rsid w:val="00483654"/>
    <w:rsid w:val="004849A3"/>
    <w:rsid w:val="004869D5"/>
    <w:rsid w:val="00486A53"/>
    <w:rsid w:val="00487105"/>
    <w:rsid w:val="004873C7"/>
    <w:rsid w:val="004874F6"/>
    <w:rsid w:val="0049000C"/>
    <w:rsid w:val="004902FA"/>
    <w:rsid w:val="004915EE"/>
    <w:rsid w:val="004918E7"/>
    <w:rsid w:val="00492272"/>
    <w:rsid w:val="00492312"/>
    <w:rsid w:val="00493571"/>
    <w:rsid w:val="00493AB5"/>
    <w:rsid w:val="00493D6D"/>
    <w:rsid w:val="0049424D"/>
    <w:rsid w:val="00494AAD"/>
    <w:rsid w:val="0049587F"/>
    <w:rsid w:val="00495A16"/>
    <w:rsid w:val="00495FB7"/>
    <w:rsid w:val="00496163"/>
    <w:rsid w:val="00496A4A"/>
    <w:rsid w:val="00496EF1"/>
    <w:rsid w:val="00496F8F"/>
    <w:rsid w:val="0049786F"/>
    <w:rsid w:val="004978AF"/>
    <w:rsid w:val="00497939"/>
    <w:rsid w:val="004A10E6"/>
    <w:rsid w:val="004A15F4"/>
    <w:rsid w:val="004A3196"/>
    <w:rsid w:val="004A3358"/>
    <w:rsid w:val="004A373F"/>
    <w:rsid w:val="004A37E8"/>
    <w:rsid w:val="004A4558"/>
    <w:rsid w:val="004A590D"/>
    <w:rsid w:val="004A5BD7"/>
    <w:rsid w:val="004A631A"/>
    <w:rsid w:val="004A664A"/>
    <w:rsid w:val="004A66B2"/>
    <w:rsid w:val="004A6DB4"/>
    <w:rsid w:val="004A6FCB"/>
    <w:rsid w:val="004A707E"/>
    <w:rsid w:val="004A7644"/>
    <w:rsid w:val="004B00DB"/>
    <w:rsid w:val="004B0902"/>
    <w:rsid w:val="004B0B1B"/>
    <w:rsid w:val="004B0B82"/>
    <w:rsid w:val="004B1799"/>
    <w:rsid w:val="004B1FD6"/>
    <w:rsid w:val="004B2678"/>
    <w:rsid w:val="004B2804"/>
    <w:rsid w:val="004B3339"/>
    <w:rsid w:val="004B341B"/>
    <w:rsid w:val="004B46BD"/>
    <w:rsid w:val="004B4CF5"/>
    <w:rsid w:val="004B517C"/>
    <w:rsid w:val="004B56F9"/>
    <w:rsid w:val="004B5C79"/>
    <w:rsid w:val="004B5FDA"/>
    <w:rsid w:val="004B644A"/>
    <w:rsid w:val="004B7227"/>
    <w:rsid w:val="004B7561"/>
    <w:rsid w:val="004B764B"/>
    <w:rsid w:val="004B7761"/>
    <w:rsid w:val="004B7DE9"/>
    <w:rsid w:val="004C0A4C"/>
    <w:rsid w:val="004C1011"/>
    <w:rsid w:val="004C22DF"/>
    <w:rsid w:val="004C2538"/>
    <w:rsid w:val="004C2F92"/>
    <w:rsid w:val="004C3096"/>
    <w:rsid w:val="004C38BE"/>
    <w:rsid w:val="004C4EED"/>
    <w:rsid w:val="004C5625"/>
    <w:rsid w:val="004C5F16"/>
    <w:rsid w:val="004C6085"/>
    <w:rsid w:val="004C6132"/>
    <w:rsid w:val="004C6A34"/>
    <w:rsid w:val="004C6C11"/>
    <w:rsid w:val="004C6EFC"/>
    <w:rsid w:val="004C7F90"/>
    <w:rsid w:val="004D00FB"/>
    <w:rsid w:val="004D0727"/>
    <w:rsid w:val="004D1469"/>
    <w:rsid w:val="004D24AE"/>
    <w:rsid w:val="004D2831"/>
    <w:rsid w:val="004D2873"/>
    <w:rsid w:val="004D2E68"/>
    <w:rsid w:val="004D4641"/>
    <w:rsid w:val="004D49B0"/>
    <w:rsid w:val="004D4C0D"/>
    <w:rsid w:val="004D4C15"/>
    <w:rsid w:val="004D52E3"/>
    <w:rsid w:val="004D5741"/>
    <w:rsid w:val="004D6034"/>
    <w:rsid w:val="004D61AA"/>
    <w:rsid w:val="004D6865"/>
    <w:rsid w:val="004D6921"/>
    <w:rsid w:val="004D6F36"/>
    <w:rsid w:val="004D746D"/>
    <w:rsid w:val="004D7988"/>
    <w:rsid w:val="004D79B9"/>
    <w:rsid w:val="004E025A"/>
    <w:rsid w:val="004E0B5A"/>
    <w:rsid w:val="004E10EB"/>
    <w:rsid w:val="004E23D4"/>
    <w:rsid w:val="004E24CF"/>
    <w:rsid w:val="004E30F9"/>
    <w:rsid w:val="004E37BC"/>
    <w:rsid w:val="004E3943"/>
    <w:rsid w:val="004E4A56"/>
    <w:rsid w:val="004E50A5"/>
    <w:rsid w:val="004E5DC0"/>
    <w:rsid w:val="004E60D4"/>
    <w:rsid w:val="004E614C"/>
    <w:rsid w:val="004E61A1"/>
    <w:rsid w:val="004E6B0F"/>
    <w:rsid w:val="004E6B89"/>
    <w:rsid w:val="004E7384"/>
    <w:rsid w:val="004E75CB"/>
    <w:rsid w:val="004E7908"/>
    <w:rsid w:val="004E7985"/>
    <w:rsid w:val="004E79F7"/>
    <w:rsid w:val="004E7B32"/>
    <w:rsid w:val="004E7C72"/>
    <w:rsid w:val="004F022E"/>
    <w:rsid w:val="004F0F7F"/>
    <w:rsid w:val="004F20C7"/>
    <w:rsid w:val="004F24B6"/>
    <w:rsid w:val="004F3027"/>
    <w:rsid w:val="004F34A5"/>
    <w:rsid w:val="004F3514"/>
    <w:rsid w:val="004F3C76"/>
    <w:rsid w:val="004F3FD1"/>
    <w:rsid w:val="004F4CED"/>
    <w:rsid w:val="004F4E59"/>
    <w:rsid w:val="004F5E74"/>
    <w:rsid w:val="004F642F"/>
    <w:rsid w:val="004F722A"/>
    <w:rsid w:val="004F77CC"/>
    <w:rsid w:val="004F7BC9"/>
    <w:rsid w:val="00500827"/>
    <w:rsid w:val="0050131F"/>
    <w:rsid w:val="00501398"/>
    <w:rsid w:val="00501616"/>
    <w:rsid w:val="00501ABA"/>
    <w:rsid w:val="00502AEA"/>
    <w:rsid w:val="00502FBA"/>
    <w:rsid w:val="00503226"/>
    <w:rsid w:val="00503B0E"/>
    <w:rsid w:val="005040FC"/>
    <w:rsid w:val="00504D79"/>
    <w:rsid w:val="0050528D"/>
    <w:rsid w:val="00505961"/>
    <w:rsid w:val="00505E6C"/>
    <w:rsid w:val="00506238"/>
    <w:rsid w:val="00506853"/>
    <w:rsid w:val="00506ABA"/>
    <w:rsid w:val="0050712B"/>
    <w:rsid w:val="005078C0"/>
    <w:rsid w:val="00507B43"/>
    <w:rsid w:val="00507CD6"/>
    <w:rsid w:val="00507E46"/>
    <w:rsid w:val="00512370"/>
    <w:rsid w:val="00512763"/>
    <w:rsid w:val="00512D96"/>
    <w:rsid w:val="0051317C"/>
    <w:rsid w:val="005131CF"/>
    <w:rsid w:val="00515360"/>
    <w:rsid w:val="005163A0"/>
    <w:rsid w:val="005169E3"/>
    <w:rsid w:val="005174D6"/>
    <w:rsid w:val="005179AF"/>
    <w:rsid w:val="00517DB8"/>
    <w:rsid w:val="00520A09"/>
    <w:rsid w:val="00520D42"/>
    <w:rsid w:val="00520F5D"/>
    <w:rsid w:val="005223D3"/>
    <w:rsid w:val="00522E2D"/>
    <w:rsid w:val="00524B60"/>
    <w:rsid w:val="0052509D"/>
    <w:rsid w:val="00525492"/>
    <w:rsid w:val="00525F6A"/>
    <w:rsid w:val="0052737E"/>
    <w:rsid w:val="00530A4E"/>
    <w:rsid w:val="00530BC3"/>
    <w:rsid w:val="00531366"/>
    <w:rsid w:val="00531828"/>
    <w:rsid w:val="00531D16"/>
    <w:rsid w:val="00531D94"/>
    <w:rsid w:val="00533271"/>
    <w:rsid w:val="005354E4"/>
    <w:rsid w:val="0053604E"/>
    <w:rsid w:val="0053658D"/>
    <w:rsid w:val="00536C7D"/>
    <w:rsid w:val="00537201"/>
    <w:rsid w:val="005400B1"/>
    <w:rsid w:val="00540748"/>
    <w:rsid w:val="00541529"/>
    <w:rsid w:val="00541740"/>
    <w:rsid w:val="0054227B"/>
    <w:rsid w:val="00543064"/>
    <w:rsid w:val="00543A61"/>
    <w:rsid w:val="00543B19"/>
    <w:rsid w:val="005449EA"/>
    <w:rsid w:val="00545605"/>
    <w:rsid w:val="005468CD"/>
    <w:rsid w:val="005472C8"/>
    <w:rsid w:val="0055039D"/>
    <w:rsid w:val="00550645"/>
    <w:rsid w:val="0055157D"/>
    <w:rsid w:val="00553072"/>
    <w:rsid w:val="00553AFD"/>
    <w:rsid w:val="00553B41"/>
    <w:rsid w:val="0055429E"/>
    <w:rsid w:val="00554CC8"/>
    <w:rsid w:val="00555651"/>
    <w:rsid w:val="00555C3E"/>
    <w:rsid w:val="005564B3"/>
    <w:rsid w:val="00556933"/>
    <w:rsid w:val="005572A5"/>
    <w:rsid w:val="00557661"/>
    <w:rsid w:val="00557E89"/>
    <w:rsid w:val="00557F10"/>
    <w:rsid w:val="005602B8"/>
    <w:rsid w:val="00560EFF"/>
    <w:rsid w:val="00561FC3"/>
    <w:rsid w:val="00562ABC"/>
    <w:rsid w:val="00563D74"/>
    <w:rsid w:val="00564110"/>
    <w:rsid w:val="005644F3"/>
    <w:rsid w:val="0056563C"/>
    <w:rsid w:val="0056576C"/>
    <w:rsid w:val="005669F5"/>
    <w:rsid w:val="005712E0"/>
    <w:rsid w:val="00571C7A"/>
    <w:rsid w:val="0057215F"/>
    <w:rsid w:val="005726BE"/>
    <w:rsid w:val="00572C38"/>
    <w:rsid w:val="005730C6"/>
    <w:rsid w:val="00574A57"/>
    <w:rsid w:val="00574CC1"/>
    <w:rsid w:val="00575D40"/>
    <w:rsid w:val="00575DEC"/>
    <w:rsid w:val="005762C7"/>
    <w:rsid w:val="00577954"/>
    <w:rsid w:val="0058081E"/>
    <w:rsid w:val="005824B3"/>
    <w:rsid w:val="005829BE"/>
    <w:rsid w:val="005830C8"/>
    <w:rsid w:val="005842A3"/>
    <w:rsid w:val="005847B0"/>
    <w:rsid w:val="00584D7F"/>
    <w:rsid w:val="0058543E"/>
    <w:rsid w:val="00585B2E"/>
    <w:rsid w:val="00585EE7"/>
    <w:rsid w:val="005870A4"/>
    <w:rsid w:val="00590415"/>
    <w:rsid w:val="00590447"/>
    <w:rsid w:val="0059082A"/>
    <w:rsid w:val="00592021"/>
    <w:rsid w:val="0059273C"/>
    <w:rsid w:val="0059344C"/>
    <w:rsid w:val="00593804"/>
    <w:rsid w:val="0059400B"/>
    <w:rsid w:val="00594EEE"/>
    <w:rsid w:val="0059509B"/>
    <w:rsid w:val="005955CB"/>
    <w:rsid w:val="0059576A"/>
    <w:rsid w:val="00595A47"/>
    <w:rsid w:val="00596C95"/>
    <w:rsid w:val="00597624"/>
    <w:rsid w:val="005A28F5"/>
    <w:rsid w:val="005A2C6B"/>
    <w:rsid w:val="005A2DEA"/>
    <w:rsid w:val="005A4179"/>
    <w:rsid w:val="005A461F"/>
    <w:rsid w:val="005A4BBC"/>
    <w:rsid w:val="005A4EC0"/>
    <w:rsid w:val="005A6512"/>
    <w:rsid w:val="005A6803"/>
    <w:rsid w:val="005A70A1"/>
    <w:rsid w:val="005A72CE"/>
    <w:rsid w:val="005A73E4"/>
    <w:rsid w:val="005A79EE"/>
    <w:rsid w:val="005B0193"/>
    <w:rsid w:val="005B06E5"/>
    <w:rsid w:val="005B0D61"/>
    <w:rsid w:val="005B14F9"/>
    <w:rsid w:val="005B2503"/>
    <w:rsid w:val="005B2CC0"/>
    <w:rsid w:val="005B32A2"/>
    <w:rsid w:val="005B3301"/>
    <w:rsid w:val="005B33FB"/>
    <w:rsid w:val="005B38ED"/>
    <w:rsid w:val="005B390F"/>
    <w:rsid w:val="005B3A26"/>
    <w:rsid w:val="005B40EC"/>
    <w:rsid w:val="005B53A2"/>
    <w:rsid w:val="005B7020"/>
    <w:rsid w:val="005B72AB"/>
    <w:rsid w:val="005B777B"/>
    <w:rsid w:val="005B7788"/>
    <w:rsid w:val="005B7C79"/>
    <w:rsid w:val="005C02EE"/>
    <w:rsid w:val="005C060F"/>
    <w:rsid w:val="005C073F"/>
    <w:rsid w:val="005C0984"/>
    <w:rsid w:val="005C0F20"/>
    <w:rsid w:val="005C1345"/>
    <w:rsid w:val="005C205C"/>
    <w:rsid w:val="005C389B"/>
    <w:rsid w:val="005C39EC"/>
    <w:rsid w:val="005C4039"/>
    <w:rsid w:val="005C4455"/>
    <w:rsid w:val="005C4800"/>
    <w:rsid w:val="005C4F5F"/>
    <w:rsid w:val="005C559A"/>
    <w:rsid w:val="005C57D4"/>
    <w:rsid w:val="005C5F0B"/>
    <w:rsid w:val="005C5F2E"/>
    <w:rsid w:val="005C6440"/>
    <w:rsid w:val="005C644B"/>
    <w:rsid w:val="005C6470"/>
    <w:rsid w:val="005C6A35"/>
    <w:rsid w:val="005C6CF4"/>
    <w:rsid w:val="005C731A"/>
    <w:rsid w:val="005D01F6"/>
    <w:rsid w:val="005D0BDE"/>
    <w:rsid w:val="005D1470"/>
    <w:rsid w:val="005D14B6"/>
    <w:rsid w:val="005D1D56"/>
    <w:rsid w:val="005D34EB"/>
    <w:rsid w:val="005D39AC"/>
    <w:rsid w:val="005D4665"/>
    <w:rsid w:val="005D5329"/>
    <w:rsid w:val="005D562D"/>
    <w:rsid w:val="005D5849"/>
    <w:rsid w:val="005D5B8F"/>
    <w:rsid w:val="005D5F53"/>
    <w:rsid w:val="005D6255"/>
    <w:rsid w:val="005D6DCB"/>
    <w:rsid w:val="005D74F7"/>
    <w:rsid w:val="005D782A"/>
    <w:rsid w:val="005D7F35"/>
    <w:rsid w:val="005E112E"/>
    <w:rsid w:val="005E11BB"/>
    <w:rsid w:val="005E170A"/>
    <w:rsid w:val="005E1D87"/>
    <w:rsid w:val="005E25C7"/>
    <w:rsid w:val="005E2877"/>
    <w:rsid w:val="005E2BA9"/>
    <w:rsid w:val="005E3285"/>
    <w:rsid w:val="005E368D"/>
    <w:rsid w:val="005E3DB6"/>
    <w:rsid w:val="005E424A"/>
    <w:rsid w:val="005E5BAF"/>
    <w:rsid w:val="005E64CE"/>
    <w:rsid w:val="005E7C0A"/>
    <w:rsid w:val="005F00B4"/>
    <w:rsid w:val="005F016D"/>
    <w:rsid w:val="005F0F4A"/>
    <w:rsid w:val="005F116B"/>
    <w:rsid w:val="005F1447"/>
    <w:rsid w:val="005F31E8"/>
    <w:rsid w:val="005F37F9"/>
    <w:rsid w:val="005F3876"/>
    <w:rsid w:val="005F4884"/>
    <w:rsid w:val="005F5C2E"/>
    <w:rsid w:val="0060003E"/>
    <w:rsid w:val="006001AD"/>
    <w:rsid w:val="00600EB9"/>
    <w:rsid w:val="00600F39"/>
    <w:rsid w:val="00600F95"/>
    <w:rsid w:val="006016B6"/>
    <w:rsid w:val="00601CE5"/>
    <w:rsid w:val="0060263E"/>
    <w:rsid w:val="006028A1"/>
    <w:rsid w:val="00602B8E"/>
    <w:rsid w:val="00603197"/>
    <w:rsid w:val="006043B8"/>
    <w:rsid w:val="00604A5E"/>
    <w:rsid w:val="00605783"/>
    <w:rsid w:val="006061E1"/>
    <w:rsid w:val="00606379"/>
    <w:rsid w:val="0060644D"/>
    <w:rsid w:val="0060736D"/>
    <w:rsid w:val="00607475"/>
    <w:rsid w:val="00607CBE"/>
    <w:rsid w:val="00610C98"/>
    <w:rsid w:val="00612341"/>
    <w:rsid w:val="006125C5"/>
    <w:rsid w:val="0061280E"/>
    <w:rsid w:val="00612FED"/>
    <w:rsid w:val="00613CB6"/>
    <w:rsid w:val="00614065"/>
    <w:rsid w:val="00615531"/>
    <w:rsid w:val="006155E0"/>
    <w:rsid w:val="00615825"/>
    <w:rsid w:val="00615A24"/>
    <w:rsid w:val="00615C12"/>
    <w:rsid w:val="00616AAB"/>
    <w:rsid w:val="006172B4"/>
    <w:rsid w:val="00617E87"/>
    <w:rsid w:val="00620637"/>
    <w:rsid w:val="006208AE"/>
    <w:rsid w:val="00620BFC"/>
    <w:rsid w:val="006220E8"/>
    <w:rsid w:val="00622A19"/>
    <w:rsid w:val="0062319B"/>
    <w:rsid w:val="0062451F"/>
    <w:rsid w:val="00624F70"/>
    <w:rsid w:val="006250CD"/>
    <w:rsid w:val="00625212"/>
    <w:rsid w:val="00625753"/>
    <w:rsid w:val="00625C6F"/>
    <w:rsid w:val="00625C89"/>
    <w:rsid w:val="00626508"/>
    <w:rsid w:val="006268A8"/>
    <w:rsid w:val="00626CB3"/>
    <w:rsid w:val="00627498"/>
    <w:rsid w:val="00627750"/>
    <w:rsid w:val="006306A2"/>
    <w:rsid w:val="0063077E"/>
    <w:rsid w:val="006319F3"/>
    <w:rsid w:val="00631C8D"/>
    <w:rsid w:val="0063295C"/>
    <w:rsid w:val="00633721"/>
    <w:rsid w:val="00633B4D"/>
    <w:rsid w:val="0063410C"/>
    <w:rsid w:val="00634F56"/>
    <w:rsid w:val="0063555E"/>
    <w:rsid w:val="00635848"/>
    <w:rsid w:val="00635D8E"/>
    <w:rsid w:val="00636EB7"/>
    <w:rsid w:val="00637182"/>
    <w:rsid w:val="006371E1"/>
    <w:rsid w:val="00637860"/>
    <w:rsid w:val="00640783"/>
    <w:rsid w:val="00640DBB"/>
    <w:rsid w:val="006412C7"/>
    <w:rsid w:val="00641BFD"/>
    <w:rsid w:val="00642CDF"/>
    <w:rsid w:val="00643CC1"/>
    <w:rsid w:val="00644BC6"/>
    <w:rsid w:val="00645FB8"/>
    <w:rsid w:val="00646907"/>
    <w:rsid w:val="00646931"/>
    <w:rsid w:val="006469EB"/>
    <w:rsid w:val="00646D9A"/>
    <w:rsid w:val="00647679"/>
    <w:rsid w:val="0064773F"/>
    <w:rsid w:val="006479DB"/>
    <w:rsid w:val="00647F04"/>
    <w:rsid w:val="006505DF"/>
    <w:rsid w:val="00652666"/>
    <w:rsid w:val="00652A06"/>
    <w:rsid w:val="00653069"/>
    <w:rsid w:val="00653F2A"/>
    <w:rsid w:val="00654221"/>
    <w:rsid w:val="006543A7"/>
    <w:rsid w:val="00654CA1"/>
    <w:rsid w:val="006550C3"/>
    <w:rsid w:val="00655666"/>
    <w:rsid w:val="00655C4A"/>
    <w:rsid w:val="00655FA3"/>
    <w:rsid w:val="00657372"/>
    <w:rsid w:val="0065780C"/>
    <w:rsid w:val="0066008E"/>
    <w:rsid w:val="00660191"/>
    <w:rsid w:val="0066081D"/>
    <w:rsid w:val="00660E02"/>
    <w:rsid w:val="006610A6"/>
    <w:rsid w:val="00661306"/>
    <w:rsid w:val="00661B2E"/>
    <w:rsid w:val="00663197"/>
    <w:rsid w:val="006631D0"/>
    <w:rsid w:val="006641B3"/>
    <w:rsid w:val="006641BF"/>
    <w:rsid w:val="006645CC"/>
    <w:rsid w:val="0066511E"/>
    <w:rsid w:val="00665E95"/>
    <w:rsid w:val="00666375"/>
    <w:rsid w:val="00666740"/>
    <w:rsid w:val="00666CE6"/>
    <w:rsid w:val="006673DC"/>
    <w:rsid w:val="0066745C"/>
    <w:rsid w:val="006674C7"/>
    <w:rsid w:val="006677F3"/>
    <w:rsid w:val="006677F5"/>
    <w:rsid w:val="0067062D"/>
    <w:rsid w:val="00670684"/>
    <w:rsid w:val="00670D22"/>
    <w:rsid w:val="006728F7"/>
    <w:rsid w:val="006741E8"/>
    <w:rsid w:val="0067492A"/>
    <w:rsid w:val="00674DDB"/>
    <w:rsid w:val="00675B2B"/>
    <w:rsid w:val="006767CE"/>
    <w:rsid w:val="00676891"/>
    <w:rsid w:val="00676ACA"/>
    <w:rsid w:val="00676EDA"/>
    <w:rsid w:val="00676F60"/>
    <w:rsid w:val="0067726C"/>
    <w:rsid w:val="006774AB"/>
    <w:rsid w:val="00677500"/>
    <w:rsid w:val="00677D3E"/>
    <w:rsid w:val="00680AC4"/>
    <w:rsid w:val="00680C62"/>
    <w:rsid w:val="006811DC"/>
    <w:rsid w:val="00681C2E"/>
    <w:rsid w:val="00682249"/>
    <w:rsid w:val="006822F8"/>
    <w:rsid w:val="00682C5F"/>
    <w:rsid w:val="006833E0"/>
    <w:rsid w:val="00683483"/>
    <w:rsid w:val="0068361A"/>
    <w:rsid w:val="00683D98"/>
    <w:rsid w:val="00683E88"/>
    <w:rsid w:val="0068436F"/>
    <w:rsid w:val="00684913"/>
    <w:rsid w:val="00686386"/>
    <w:rsid w:val="00687DFC"/>
    <w:rsid w:val="00687FB5"/>
    <w:rsid w:val="00690502"/>
    <w:rsid w:val="00690A83"/>
    <w:rsid w:val="0069101F"/>
    <w:rsid w:val="006912E7"/>
    <w:rsid w:val="00691C3E"/>
    <w:rsid w:val="006924C6"/>
    <w:rsid w:val="0069305E"/>
    <w:rsid w:val="0069364F"/>
    <w:rsid w:val="00693D19"/>
    <w:rsid w:val="00695DF8"/>
    <w:rsid w:val="006961A2"/>
    <w:rsid w:val="00696F14"/>
    <w:rsid w:val="00697E4B"/>
    <w:rsid w:val="006A00A7"/>
    <w:rsid w:val="006A01C5"/>
    <w:rsid w:val="006A0E82"/>
    <w:rsid w:val="006A0EBB"/>
    <w:rsid w:val="006A1236"/>
    <w:rsid w:val="006A14E8"/>
    <w:rsid w:val="006A1977"/>
    <w:rsid w:val="006A1F16"/>
    <w:rsid w:val="006A201B"/>
    <w:rsid w:val="006A2273"/>
    <w:rsid w:val="006A2BF7"/>
    <w:rsid w:val="006A2E53"/>
    <w:rsid w:val="006A2F75"/>
    <w:rsid w:val="006A312D"/>
    <w:rsid w:val="006A3419"/>
    <w:rsid w:val="006A3EB9"/>
    <w:rsid w:val="006A40AE"/>
    <w:rsid w:val="006A459F"/>
    <w:rsid w:val="006A4EEC"/>
    <w:rsid w:val="006A5D67"/>
    <w:rsid w:val="006A5FDF"/>
    <w:rsid w:val="006A61A7"/>
    <w:rsid w:val="006A78B6"/>
    <w:rsid w:val="006A7AAC"/>
    <w:rsid w:val="006A7DCF"/>
    <w:rsid w:val="006B0C46"/>
    <w:rsid w:val="006B1310"/>
    <w:rsid w:val="006B138C"/>
    <w:rsid w:val="006B1A1C"/>
    <w:rsid w:val="006B1C8D"/>
    <w:rsid w:val="006B1F61"/>
    <w:rsid w:val="006B2A0D"/>
    <w:rsid w:val="006B3196"/>
    <w:rsid w:val="006B40EC"/>
    <w:rsid w:val="006B5866"/>
    <w:rsid w:val="006B5D6A"/>
    <w:rsid w:val="006B5DE5"/>
    <w:rsid w:val="006B5E59"/>
    <w:rsid w:val="006B6B0B"/>
    <w:rsid w:val="006B6E98"/>
    <w:rsid w:val="006B71DA"/>
    <w:rsid w:val="006B7538"/>
    <w:rsid w:val="006B7872"/>
    <w:rsid w:val="006B7CE7"/>
    <w:rsid w:val="006C0598"/>
    <w:rsid w:val="006C0C28"/>
    <w:rsid w:val="006C1775"/>
    <w:rsid w:val="006C2241"/>
    <w:rsid w:val="006C31BA"/>
    <w:rsid w:val="006C3315"/>
    <w:rsid w:val="006C42CD"/>
    <w:rsid w:val="006C4A42"/>
    <w:rsid w:val="006C5430"/>
    <w:rsid w:val="006C5AB2"/>
    <w:rsid w:val="006C5EEE"/>
    <w:rsid w:val="006C7CF1"/>
    <w:rsid w:val="006D04D0"/>
    <w:rsid w:val="006D06B1"/>
    <w:rsid w:val="006D0A8C"/>
    <w:rsid w:val="006D0F53"/>
    <w:rsid w:val="006D12F8"/>
    <w:rsid w:val="006D14D6"/>
    <w:rsid w:val="006D1E1D"/>
    <w:rsid w:val="006D2833"/>
    <w:rsid w:val="006D34B8"/>
    <w:rsid w:val="006D3840"/>
    <w:rsid w:val="006D387D"/>
    <w:rsid w:val="006D3CCD"/>
    <w:rsid w:val="006D3D51"/>
    <w:rsid w:val="006D3D61"/>
    <w:rsid w:val="006D48B5"/>
    <w:rsid w:val="006D552C"/>
    <w:rsid w:val="006D578C"/>
    <w:rsid w:val="006D6130"/>
    <w:rsid w:val="006D62FD"/>
    <w:rsid w:val="006D65E2"/>
    <w:rsid w:val="006D66D1"/>
    <w:rsid w:val="006D6E50"/>
    <w:rsid w:val="006D6EE8"/>
    <w:rsid w:val="006D70A9"/>
    <w:rsid w:val="006D718E"/>
    <w:rsid w:val="006D7D37"/>
    <w:rsid w:val="006D7DE9"/>
    <w:rsid w:val="006E068E"/>
    <w:rsid w:val="006E0CA7"/>
    <w:rsid w:val="006E105F"/>
    <w:rsid w:val="006E1AA5"/>
    <w:rsid w:val="006E1E90"/>
    <w:rsid w:val="006E1FD2"/>
    <w:rsid w:val="006E2DF2"/>
    <w:rsid w:val="006E3360"/>
    <w:rsid w:val="006E39DF"/>
    <w:rsid w:val="006E3AB0"/>
    <w:rsid w:val="006E4643"/>
    <w:rsid w:val="006E4F7F"/>
    <w:rsid w:val="006E7AFA"/>
    <w:rsid w:val="006E7D2F"/>
    <w:rsid w:val="006F0CEE"/>
    <w:rsid w:val="006F1149"/>
    <w:rsid w:val="006F1ABB"/>
    <w:rsid w:val="006F2C54"/>
    <w:rsid w:val="006F2D2F"/>
    <w:rsid w:val="006F37A5"/>
    <w:rsid w:val="006F3BC0"/>
    <w:rsid w:val="006F3FDC"/>
    <w:rsid w:val="006F4405"/>
    <w:rsid w:val="006F4422"/>
    <w:rsid w:val="006F4668"/>
    <w:rsid w:val="006F5AC1"/>
    <w:rsid w:val="006F6690"/>
    <w:rsid w:val="006F6AA7"/>
    <w:rsid w:val="006F6D21"/>
    <w:rsid w:val="006F7647"/>
    <w:rsid w:val="006F7EF1"/>
    <w:rsid w:val="00700AED"/>
    <w:rsid w:val="00700FB8"/>
    <w:rsid w:val="007028C2"/>
    <w:rsid w:val="007034F7"/>
    <w:rsid w:val="007035AB"/>
    <w:rsid w:val="00705211"/>
    <w:rsid w:val="00705F33"/>
    <w:rsid w:val="00705F52"/>
    <w:rsid w:val="007067CA"/>
    <w:rsid w:val="00707458"/>
    <w:rsid w:val="0071031E"/>
    <w:rsid w:val="00710696"/>
    <w:rsid w:val="0071226D"/>
    <w:rsid w:val="007134AB"/>
    <w:rsid w:val="00715815"/>
    <w:rsid w:val="00715969"/>
    <w:rsid w:val="00715C1B"/>
    <w:rsid w:val="00715E6F"/>
    <w:rsid w:val="0071674E"/>
    <w:rsid w:val="00716B0B"/>
    <w:rsid w:val="00720205"/>
    <w:rsid w:val="00720B57"/>
    <w:rsid w:val="007210A0"/>
    <w:rsid w:val="00722994"/>
    <w:rsid w:val="0072302B"/>
    <w:rsid w:val="007236EC"/>
    <w:rsid w:val="00724E1D"/>
    <w:rsid w:val="0072539C"/>
    <w:rsid w:val="007253D7"/>
    <w:rsid w:val="00725D0F"/>
    <w:rsid w:val="00725FC3"/>
    <w:rsid w:val="007260D0"/>
    <w:rsid w:val="007260ED"/>
    <w:rsid w:val="007261A8"/>
    <w:rsid w:val="007266A6"/>
    <w:rsid w:val="00726C27"/>
    <w:rsid w:val="00727268"/>
    <w:rsid w:val="00727B09"/>
    <w:rsid w:val="00730497"/>
    <w:rsid w:val="007315C4"/>
    <w:rsid w:val="00731990"/>
    <w:rsid w:val="00732108"/>
    <w:rsid w:val="00732221"/>
    <w:rsid w:val="00732664"/>
    <w:rsid w:val="00732707"/>
    <w:rsid w:val="0073307D"/>
    <w:rsid w:val="00733CE9"/>
    <w:rsid w:val="00733FE3"/>
    <w:rsid w:val="00733FFC"/>
    <w:rsid w:val="00734F9E"/>
    <w:rsid w:val="00735040"/>
    <w:rsid w:val="0073552C"/>
    <w:rsid w:val="00736254"/>
    <w:rsid w:val="007362BB"/>
    <w:rsid w:val="00736654"/>
    <w:rsid w:val="007367A5"/>
    <w:rsid w:val="00736B16"/>
    <w:rsid w:val="0073757C"/>
    <w:rsid w:val="00737BDB"/>
    <w:rsid w:val="0074084A"/>
    <w:rsid w:val="00740BA8"/>
    <w:rsid w:val="00740CCD"/>
    <w:rsid w:val="00742BBD"/>
    <w:rsid w:val="00743483"/>
    <w:rsid w:val="007446DC"/>
    <w:rsid w:val="00744AB1"/>
    <w:rsid w:val="00745108"/>
    <w:rsid w:val="007453BD"/>
    <w:rsid w:val="00745428"/>
    <w:rsid w:val="00745D29"/>
    <w:rsid w:val="00745F67"/>
    <w:rsid w:val="0074705B"/>
    <w:rsid w:val="00747FEB"/>
    <w:rsid w:val="007500F4"/>
    <w:rsid w:val="0075020F"/>
    <w:rsid w:val="007507B0"/>
    <w:rsid w:val="00750C66"/>
    <w:rsid w:val="00751771"/>
    <w:rsid w:val="00752407"/>
    <w:rsid w:val="00753CA7"/>
    <w:rsid w:val="00754544"/>
    <w:rsid w:val="00754622"/>
    <w:rsid w:val="00754DB9"/>
    <w:rsid w:val="007550BA"/>
    <w:rsid w:val="00755406"/>
    <w:rsid w:val="00755723"/>
    <w:rsid w:val="00755844"/>
    <w:rsid w:val="00755EB3"/>
    <w:rsid w:val="00756725"/>
    <w:rsid w:val="00756F89"/>
    <w:rsid w:val="0075700C"/>
    <w:rsid w:val="007570A3"/>
    <w:rsid w:val="00757CBF"/>
    <w:rsid w:val="007604DF"/>
    <w:rsid w:val="007611A7"/>
    <w:rsid w:val="00761A04"/>
    <w:rsid w:val="00761CA7"/>
    <w:rsid w:val="00761FA7"/>
    <w:rsid w:val="007620D9"/>
    <w:rsid w:val="00762602"/>
    <w:rsid w:val="00762AAF"/>
    <w:rsid w:val="0076343B"/>
    <w:rsid w:val="00764290"/>
    <w:rsid w:val="0076484D"/>
    <w:rsid w:val="007649E2"/>
    <w:rsid w:val="00764B75"/>
    <w:rsid w:val="00765438"/>
    <w:rsid w:val="00765548"/>
    <w:rsid w:val="00766E32"/>
    <w:rsid w:val="00767287"/>
    <w:rsid w:val="00770E7A"/>
    <w:rsid w:val="00772F49"/>
    <w:rsid w:val="00773C18"/>
    <w:rsid w:val="00774037"/>
    <w:rsid w:val="0077462F"/>
    <w:rsid w:val="00774BF6"/>
    <w:rsid w:val="00775181"/>
    <w:rsid w:val="00775BC9"/>
    <w:rsid w:val="00775FFE"/>
    <w:rsid w:val="0077606B"/>
    <w:rsid w:val="00776414"/>
    <w:rsid w:val="0077665E"/>
    <w:rsid w:val="00777D2C"/>
    <w:rsid w:val="00777E75"/>
    <w:rsid w:val="00780175"/>
    <w:rsid w:val="00780DF5"/>
    <w:rsid w:val="00781A03"/>
    <w:rsid w:val="00781E37"/>
    <w:rsid w:val="00782263"/>
    <w:rsid w:val="00782319"/>
    <w:rsid w:val="0078454F"/>
    <w:rsid w:val="0078457A"/>
    <w:rsid w:val="00784689"/>
    <w:rsid w:val="00785434"/>
    <w:rsid w:val="00787BF4"/>
    <w:rsid w:val="00787E00"/>
    <w:rsid w:val="007914BC"/>
    <w:rsid w:val="0079192D"/>
    <w:rsid w:val="007928B8"/>
    <w:rsid w:val="00792B1D"/>
    <w:rsid w:val="00793580"/>
    <w:rsid w:val="00794016"/>
    <w:rsid w:val="00794318"/>
    <w:rsid w:val="00794E2C"/>
    <w:rsid w:val="00794FE6"/>
    <w:rsid w:val="0079562C"/>
    <w:rsid w:val="00795A1F"/>
    <w:rsid w:val="00796FBF"/>
    <w:rsid w:val="00797046"/>
    <w:rsid w:val="00797939"/>
    <w:rsid w:val="00797CA7"/>
    <w:rsid w:val="007A0631"/>
    <w:rsid w:val="007A0682"/>
    <w:rsid w:val="007A0D95"/>
    <w:rsid w:val="007A0F01"/>
    <w:rsid w:val="007A174C"/>
    <w:rsid w:val="007A2055"/>
    <w:rsid w:val="007A21B8"/>
    <w:rsid w:val="007A26DF"/>
    <w:rsid w:val="007A2D56"/>
    <w:rsid w:val="007A363D"/>
    <w:rsid w:val="007A4369"/>
    <w:rsid w:val="007A5A53"/>
    <w:rsid w:val="007A6531"/>
    <w:rsid w:val="007A7A30"/>
    <w:rsid w:val="007B03DA"/>
    <w:rsid w:val="007B0FC1"/>
    <w:rsid w:val="007B16AD"/>
    <w:rsid w:val="007B23A8"/>
    <w:rsid w:val="007B25EB"/>
    <w:rsid w:val="007B292F"/>
    <w:rsid w:val="007B2B5D"/>
    <w:rsid w:val="007B2DCA"/>
    <w:rsid w:val="007B46D3"/>
    <w:rsid w:val="007B4837"/>
    <w:rsid w:val="007B4848"/>
    <w:rsid w:val="007B4D4A"/>
    <w:rsid w:val="007B55E3"/>
    <w:rsid w:val="007B5E23"/>
    <w:rsid w:val="007B64BF"/>
    <w:rsid w:val="007B6DCE"/>
    <w:rsid w:val="007B75AD"/>
    <w:rsid w:val="007B75EF"/>
    <w:rsid w:val="007B79BB"/>
    <w:rsid w:val="007C0561"/>
    <w:rsid w:val="007C0D8A"/>
    <w:rsid w:val="007C0E64"/>
    <w:rsid w:val="007C1373"/>
    <w:rsid w:val="007C1F6C"/>
    <w:rsid w:val="007C270F"/>
    <w:rsid w:val="007C342D"/>
    <w:rsid w:val="007C38DF"/>
    <w:rsid w:val="007C4DA0"/>
    <w:rsid w:val="007C582C"/>
    <w:rsid w:val="007C5971"/>
    <w:rsid w:val="007C764D"/>
    <w:rsid w:val="007C7C41"/>
    <w:rsid w:val="007D06AA"/>
    <w:rsid w:val="007D13A1"/>
    <w:rsid w:val="007D2016"/>
    <w:rsid w:val="007D2966"/>
    <w:rsid w:val="007D2FD6"/>
    <w:rsid w:val="007D3719"/>
    <w:rsid w:val="007D3762"/>
    <w:rsid w:val="007D3777"/>
    <w:rsid w:val="007D3C87"/>
    <w:rsid w:val="007D3DED"/>
    <w:rsid w:val="007D4CB9"/>
    <w:rsid w:val="007D56FE"/>
    <w:rsid w:val="007D5B0E"/>
    <w:rsid w:val="007D5FF9"/>
    <w:rsid w:val="007D64C6"/>
    <w:rsid w:val="007D7366"/>
    <w:rsid w:val="007D736A"/>
    <w:rsid w:val="007D7528"/>
    <w:rsid w:val="007E04E5"/>
    <w:rsid w:val="007E0622"/>
    <w:rsid w:val="007E0F13"/>
    <w:rsid w:val="007E1A79"/>
    <w:rsid w:val="007E1E06"/>
    <w:rsid w:val="007E23FF"/>
    <w:rsid w:val="007E3051"/>
    <w:rsid w:val="007E386B"/>
    <w:rsid w:val="007E4FCA"/>
    <w:rsid w:val="007E62BA"/>
    <w:rsid w:val="007E7065"/>
    <w:rsid w:val="007E7B56"/>
    <w:rsid w:val="007E7F56"/>
    <w:rsid w:val="007F0817"/>
    <w:rsid w:val="007F0E45"/>
    <w:rsid w:val="007F0FAD"/>
    <w:rsid w:val="007F1067"/>
    <w:rsid w:val="007F1BDE"/>
    <w:rsid w:val="007F2235"/>
    <w:rsid w:val="007F2337"/>
    <w:rsid w:val="007F2591"/>
    <w:rsid w:val="007F32F2"/>
    <w:rsid w:val="007F3599"/>
    <w:rsid w:val="007F436D"/>
    <w:rsid w:val="007F467B"/>
    <w:rsid w:val="007F4D2E"/>
    <w:rsid w:val="007F5AC3"/>
    <w:rsid w:val="007F632F"/>
    <w:rsid w:val="007F640C"/>
    <w:rsid w:val="007F6EDE"/>
    <w:rsid w:val="007F7611"/>
    <w:rsid w:val="007F7B2F"/>
    <w:rsid w:val="007F7C3D"/>
    <w:rsid w:val="007F7C75"/>
    <w:rsid w:val="00800556"/>
    <w:rsid w:val="00800EA8"/>
    <w:rsid w:val="00801986"/>
    <w:rsid w:val="00802977"/>
    <w:rsid w:val="00802DFB"/>
    <w:rsid w:val="00803368"/>
    <w:rsid w:val="0080399B"/>
    <w:rsid w:val="00804545"/>
    <w:rsid w:val="00804B68"/>
    <w:rsid w:val="008051FF"/>
    <w:rsid w:val="00805497"/>
    <w:rsid w:val="00805F64"/>
    <w:rsid w:val="0080680B"/>
    <w:rsid w:val="00806DA6"/>
    <w:rsid w:val="00806DE1"/>
    <w:rsid w:val="00807C98"/>
    <w:rsid w:val="00810129"/>
    <w:rsid w:val="00810B99"/>
    <w:rsid w:val="00811251"/>
    <w:rsid w:val="008118C1"/>
    <w:rsid w:val="0081292C"/>
    <w:rsid w:val="0081349A"/>
    <w:rsid w:val="00813A74"/>
    <w:rsid w:val="00813BF1"/>
    <w:rsid w:val="00813DA0"/>
    <w:rsid w:val="00813E84"/>
    <w:rsid w:val="0081467A"/>
    <w:rsid w:val="00814831"/>
    <w:rsid w:val="0081489A"/>
    <w:rsid w:val="00814E96"/>
    <w:rsid w:val="00815135"/>
    <w:rsid w:val="008158FD"/>
    <w:rsid w:val="00816032"/>
    <w:rsid w:val="008166DA"/>
    <w:rsid w:val="0081754C"/>
    <w:rsid w:val="00817F61"/>
    <w:rsid w:val="008207F4"/>
    <w:rsid w:val="00820D40"/>
    <w:rsid w:val="008211A1"/>
    <w:rsid w:val="00821C4B"/>
    <w:rsid w:val="008220CD"/>
    <w:rsid w:val="0082261D"/>
    <w:rsid w:val="00822903"/>
    <w:rsid w:val="00822988"/>
    <w:rsid w:val="008236D8"/>
    <w:rsid w:val="00823870"/>
    <w:rsid w:val="00823BB0"/>
    <w:rsid w:val="00824BF9"/>
    <w:rsid w:val="00824E2B"/>
    <w:rsid w:val="0082593F"/>
    <w:rsid w:val="00825A03"/>
    <w:rsid w:val="00825AAE"/>
    <w:rsid w:val="00825BB7"/>
    <w:rsid w:val="00825DB1"/>
    <w:rsid w:val="0082626C"/>
    <w:rsid w:val="00826392"/>
    <w:rsid w:val="0082652D"/>
    <w:rsid w:val="0082797C"/>
    <w:rsid w:val="00827C52"/>
    <w:rsid w:val="008308AA"/>
    <w:rsid w:val="0083098D"/>
    <w:rsid w:val="00831499"/>
    <w:rsid w:val="008327E7"/>
    <w:rsid w:val="00832A96"/>
    <w:rsid w:val="00832C70"/>
    <w:rsid w:val="00833B38"/>
    <w:rsid w:val="0083539D"/>
    <w:rsid w:val="00835A6F"/>
    <w:rsid w:val="00835E7F"/>
    <w:rsid w:val="00836399"/>
    <w:rsid w:val="008363DC"/>
    <w:rsid w:val="00836EA6"/>
    <w:rsid w:val="00836F0F"/>
    <w:rsid w:val="008376F9"/>
    <w:rsid w:val="00842552"/>
    <w:rsid w:val="008427F3"/>
    <w:rsid w:val="0084437C"/>
    <w:rsid w:val="0084479F"/>
    <w:rsid w:val="008452E3"/>
    <w:rsid w:val="00845B2F"/>
    <w:rsid w:val="00845B90"/>
    <w:rsid w:val="00845D26"/>
    <w:rsid w:val="008470D7"/>
    <w:rsid w:val="00850A35"/>
    <w:rsid w:val="00852C55"/>
    <w:rsid w:val="00852F35"/>
    <w:rsid w:val="008531AB"/>
    <w:rsid w:val="0085322A"/>
    <w:rsid w:val="00853B74"/>
    <w:rsid w:val="008545EA"/>
    <w:rsid w:val="0085533B"/>
    <w:rsid w:val="008556CE"/>
    <w:rsid w:val="008556DB"/>
    <w:rsid w:val="008557AE"/>
    <w:rsid w:val="008576DE"/>
    <w:rsid w:val="008606CF"/>
    <w:rsid w:val="00860B34"/>
    <w:rsid w:val="00861199"/>
    <w:rsid w:val="00861C3D"/>
    <w:rsid w:val="008632F5"/>
    <w:rsid w:val="00864398"/>
    <w:rsid w:val="00864A2B"/>
    <w:rsid w:val="008655F5"/>
    <w:rsid w:val="0086573B"/>
    <w:rsid w:val="008657C7"/>
    <w:rsid w:val="00865CD0"/>
    <w:rsid w:val="00866A9C"/>
    <w:rsid w:val="00866BE2"/>
    <w:rsid w:val="0086781A"/>
    <w:rsid w:val="0087079A"/>
    <w:rsid w:val="00870B87"/>
    <w:rsid w:val="008712D1"/>
    <w:rsid w:val="008714AB"/>
    <w:rsid w:val="008716AA"/>
    <w:rsid w:val="0087227A"/>
    <w:rsid w:val="008727AE"/>
    <w:rsid w:val="00872E0F"/>
    <w:rsid w:val="00873B35"/>
    <w:rsid w:val="00874787"/>
    <w:rsid w:val="00874930"/>
    <w:rsid w:val="0087568F"/>
    <w:rsid w:val="00875A5F"/>
    <w:rsid w:val="0087641F"/>
    <w:rsid w:val="00876F22"/>
    <w:rsid w:val="0087706C"/>
    <w:rsid w:val="0087710C"/>
    <w:rsid w:val="00877792"/>
    <w:rsid w:val="00877B21"/>
    <w:rsid w:val="00880123"/>
    <w:rsid w:val="00880805"/>
    <w:rsid w:val="008808B0"/>
    <w:rsid w:val="008808D7"/>
    <w:rsid w:val="00881399"/>
    <w:rsid w:val="00881A45"/>
    <w:rsid w:val="008825BE"/>
    <w:rsid w:val="008829FC"/>
    <w:rsid w:val="00882A41"/>
    <w:rsid w:val="0088309C"/>
    <w:rsid w:val="00883517"/>
    <w:rsid w:val="00883690"/>
    <w:rsid w:val="008838DD"/>
    <w:rsid w:val="008842B2"/>
    <w:rsid w:val="008843BE"/>
    <w:rsid w:val="0088446A"/>
    <w:rsid w:val="00884D85"/>
    <w:rsid w:val="00885274"/>
    <w:rsid w:val="00885510"/>
    <w:rsid w:val="00885812"/>
    <w:rsid w:val="00885B25"/>
    <w:rsid w:val="00885CA3"/>
    <w:rsid w:val="00886DDD"/>
    <w:rsid w:val="0088728C"/>
    <w:rsid w:val="00887524"/>
    <w:rsid w:val="0088752E"/>
    <w:rsid w:val="008909F5"/>
    <w:rsid w:val="00890AC7"/>
    <w:rsid w:val="00891E73"/>
    <w:rsid w:val="00892669"/>
    <w:rsid w:val="008926C0"/>
    <w:rsid w:val="00892FE6"/>
    <w:rsid w:val="008930BE"/>
    <w:rsid w:val="00893332"/>
    <w:rsid w:val="00893766"/>
    <w:rsid w:val="00893E40"/>
    <w:rsid w:val="00894569"/>
    <w:rsid w:val="00894740"/>
    <w:rsid w:val="00894E84"/>
    <w:rsid w:val="00894EE2"/>
    <w:rsid w:val="008954A9"/>
    <w:rsid w:val="00895A62"/>
    <w:rsid w:val="00895D38"/>
    <w:rsid w:val="00895DF3"/>
    <w:rsid w:val="00896124"/>
    <w:rsid w:val="00896919"/>
    <w:rsid w:val="00896C9A"/>
    <w:rsid w:val="00897497"/>
    <w:rsid w:val="008A006C"/>
    <w:rsid w:val="008A0822"/>
    <w:rsid w:val="008A2AD4"/>
    <w:rsid w:val="008A377E"/>
    <w:rsid w:val="008A3CF0"/>
    <w:rsid w:val="008A3CFB"/>
    <w:rsid w:val="008A3E2C"/>
    <w:rsid w:val="008A3FA5"/>
    <w:rsid w:val="008A49D0"/>
    <w:rsid w:val="008A4B37"/>
    <w:rsid w:val="008A57CC"/>
    <w:rsid w:val="008A682B"/>
    <w:rsid w:val="008A6ACC"/>
    <w:rsid w:val="008A7499"/>
    <w:rsid w:val="008A7FF2"/>
    <w:rsid w:val="008B0D5C"/>
    <w:rsid w:val="008B338C"/>
    <w:rsid w:val="008B3CB7"/>
    <w:rsid w:val="008B3EC3"/>
    <w:rsid w:val="008B48E7"/>
    <w:rsid w:val="008B50B4"/>
    <w:rsid w:val="008B52BA"/>
    <w:rsid w:val="008B6384"/>
    <w:rsid w:val="008B6804"/>
    <w:rsid w:val="008B6AD7"/>
    <w:rsid w:val="008B733C"/>
    <w:rsid w:val="008B7DC3"/>
    <w:rsid w:val="008C0176"/>
    <w:rsid w:val="008C04E7"/>
    <w:rsid w:val="008C06E8"/>
    <w:rsid w:val="008C0F11"/>
    <w:rsid w:val="008C13D8"/>
    <w:rsid w:val="008C1800"/>
    <w:rsid w:val="008C1D89"/>
    <w:rsid w:val="008C2133"/>
    <w:rsid w:val="008C21CF"/>
    <w:rsid w:val="008C2A3F"/>
    <w:rsid w:val="008C3148"/>
    <w:rsid w:val="008C34E1"/>
    <w:rsid w:val="008C382D"/>
    <w:rsid w:val="008C5747"/>
    <w:rsid w:val="008C58A7"/>
    <w:rsid w:val="008C75C1"/>
    <w:rsid w:val="008C76DF"/>
    <w:rsid w:val="008D0060"/>
    <w:rsid w:val="008D028A"/>
    <w:rsid w:val="008D0568"/>
    <w:rsid w:val="008D06E9"/>
    <w:rsid w:val="008D11D4"/>
    <w:rsid w:val="008D1266"/>
    <w:rsid w:val="008D149D"/>
    <w:rsid w:val="008D155C"/>
    <w:rsid w:val="008D170B"/>
    <w:rsid w:val="008D17D0"/>
    <w:rsid w:val="008D17F6"/>
    <w:rsid w:val="008D1BE3"/>
    <w:rsid w:val="008D2EFD"/>
    <w:rsid w:val="008D3210"/>
    <w:rsid w:val="008D34C2"/>
    <w:rsid w:val="008D35D3"/>
    <w:rsid w:val="008D3990"/>
    <w:rsid w:val="008D41BA"/>
    <w:rsid w:val="008D420B"/>
    <w:rsid w:val="008D4701"/>
    <w:rsid w:val="008D4C4A"/>
    <w:rsid w:val="008D51F9"/>
    <w:rsid w:val="008D57E5"/>
    <w:rsid w:val="008D5A1D"/>
    <w:rsid w:val="008D6A1C"/>
    <w:rsid w:val="008D6E80"/>
    <w:rsid w:val="008D73F7"/>
    <w:rsid w:val="008D750A"/>
    <w:rsid w:val="008D7572"/>
    <w:rsid w:val="008D7BA1"/>
    <w:rsid w:val="008D7D5C"/>
    <w:rsid w:val="008E000F"/>
    <w:rsid w:val="008E0CDD"/>
    <w:rsid w:val="008E129B"/>
    <w:rsid w:val="008E1954"/>
    <w:rsid w:val="008E255A"/>
    <w:rsid w:val="008E316B"/>
    <w:rsid w:val="008E3C09"/>
    <w:rsid w:val="008E451A"/>
    <w:rsid w:val="008E4813"/>
    <w:rsid w:val="008E498C"/>
    <w:rsid w:val="008E5282"/>
    <w:rsid w:val="008E58BB"/>
    <w:rsid w:val="008E5B0A"/>
    <w:rsid w:val="008E5B4D"/>
    <w:rsid w:val="008E7F02"/>
    <w:rsid w:val="008F04A3"/>
    <w:rsid w:val="008F124D"/>
    <w:rsid w:val="008F21FC"/>
    <w:rsid w:val="008F34EF"/>
    <w:rsid w:val="008F39C7"/>
    <w:rsid w:val="008F3D52"/>
    <w:rsid w:val="008F4A04"/>
    <w:rsid w:val="008F5FB9"/>
    <w:rsid w:val="008F618F"/>
    <w:rsid w:val="008F61F7"/>
    <w:rsid w:val="008F6215"/>
    <w:rsid w:val="008F66AE"/>
    <w:rsid w:val="008F67FE"/>
    <w:rsid w:val="008F6861"/>
    <w:rsid w:val="008F6A3A"/>
    <w:rsid w:val="008F70A3"/>
    <w:rsid w:val="008F75FD"/>
    <w:rsid w:val="008F775D"/>
    <w:rsid w:val="009000AD"/>
    <w:rsid w:val="00900EBA"/>
    <w:rsid w:val="0090123F"/>
    <w:rsid w:val="009013DF"/>
    <w:rsid w:val="00901AD7"/>
    <w:rsid w:val="00901FE8"/>
    <w:rsid w:val="00903C1E"/>
    <w:rsid w:val="009040B0"/>
    <w:rsid w:val="00904345"/>
    <w:rsid w:val="00906798"/>
    <w:rsid w:val="00906809"/>
    <w:rsid w:val="00906F2D"/>
    <w:rsid w:val="00910072"/>
    <w:rsid w:val="009104AA"/>
    <w:rsid w:val="00911F11"/>
    <w:rsid w:val="009125C2"/>
    <w:rsid w:val="00912DD6"/>
    <w:rsid w:val="00912EC2"/>
    <w:rsid w:val="00913163"/>
    <w:rsid w:val="0091452D"/>
    <w:rsid w:val="009145D9"/>
    <w:rsid w:val="00915C43"/>
    <w:rsid w:val="00915D00"/>
    <w:rsid w:val="00915F7C"/>
    <w:rsid w:val="00917022"/>
    <w:rsid w:val="009174F0"/>
    <w:rsid w:val="00917E48"/>
    <w:rsid w:val="00920846"/>
    <w:rsid w:val="00921461"/>
    <w:rsid w:val="00921482"/>
    <w:rsid w:val="0092215C"/>
    <w:rsid w:val="00922B5D"/>
    <w:rsid w:val="00922BE2"/>
    <w:rsid w:val="00922DF2"/>
    <w:rsid w:val="00922FC5"/>
    <w:rsid w:val="00923271"/>
    <w:rsid w:val="00923C66"/>
    <w:rsid w:val="00924221"/>
    <w:rsid w:val="009245A0"/>
    <w:rsid w:val="00924E8D"/>
    <w:rsid w:val="0092561E"/>
    <w:rsid w:val="009256DC"/>
    <w:rsid w:val="00925B5A"/>
    <w:rsid w:val="00927049"/>
    <w:rsid w:val="0092720E"/>
    <w:rsid w:val="00927604"/>
    <w:rsid w:val="00927806"/>
    <w:rsid w:val="0093119F"/>
    <w:rsid w:val="0093133A"/>
    <w:rsid w:val="00931A5A"/>
    <w:rsid w:val="00932728"/>
    <w:rsid w:val="00933C62"/>
    <w:rsid w:val="00933FF7"/>
    <w:rsid w:val="00934BDB"/>
    <w:rsid w:val="0093522D"/>
    <w:rsid w:val="0093551E"/>
    <w:rsid w:val="00935525"/>
    <w:rsid w:val="0093557B"/>
    <w:rsid w:val="00935C31"/>
    <w:rsid w:val="00935D31"/>
    <w:rsid w:val="00936379"/>
    <w:rsid w:val="00936E6C"/>
    <w:rsid w:val="009373FF"/>
    <w:rsid w:val="009400E5"/>
    <w:rsid w:val="009402BD"/>
    <w:rsid w:val="009405FF"/>
    <w:rsid w:val="00941B7F"/>
    <w:rsid w:val="00943689"/>
    <w:rsid w:val="00943C63"/>
    <w:rsid w:val="0094453B"/>
    <w:rsid w:val="00944DB9"/>
    <w:rsid w:val="00944EBF"/>
    <w:rsid w:val="009457DC"/>
    <w:rsid w:val="00946ADB"/>
    <w:rsid w:val="00946E11"/>
    <w:rsid w:val="00947562"/>
    <w:rsid w:val="0094794D"/>
    <w:rsid w:val="00947A18"/>
    <w:rsid w:val="00947C7D"/>
    <w:rsid w:val="00947CBF"/>
    <w:rsid w:val="00947F14"/>
    <w:rsid w:val="00947F5C"/>
    <w:rsid w:val="00950E49"/>
    <w:rsid w:val="00951687"/>
    <w:rsid w:val="00952E54"/>
    <w:rsid w:val="00953756"/>
    <w:rsid w:val="00953E77"/>
    <w:rsid w:val="009544BD"/>
    <w:rsid w:val="009551C1"/>
    <w:rsid w:val="00955266"/>
    <w:rsid w:val="00955889"/>
    <w:rsid w:val="009561FC"/>
    <w:rsid w:val="00956484"/>
    <w:rsid w:val="00956E9E"/>
    <w:rsid w:val="00956F51"/>
    <w:rsid w:val="00957A78"/>
    <w:rsid w:val="009608B8"/>
    <w:rsid w:val="00960CCE"/>
    <w:rsid w:val="00960D28"/>
    <w:rsid w:val="009616D6"/>
    <w:rsid w:val="00961B28"/>
    <w:rsid w:val="009624F0"/>
    <w:rsid w:val="0096449C"/>
    <w:rsid w:val="009649D6"/>
    <w:rsid w:val="00965227"/>
    <w:rsid w:val="00965A67"/>
    <w:rsid w:val="00965FB2"/>
    <w:rsid w:val="0096618D"/>
    <w:rsid w:val="00966785"/>
    <w:rsid w:val="00967753"/>
    <w:rsid w:val="00967920"/>
    <w:rsid w:val="00970D16"/>
    <w:rsid w:val="00971259"/>
    <w:rsid w:val="00971958"/>
    <w:rsid w:val="00971A0A"/>
    <w:rsid w:val="00971AC0"/>
    <w:rsid w:val="00972E8F"/>
    <w:rsid w:val="00973500"/>
    <w:rsid w:val="00973730"/>
    <w:rsid w:val="00973C4D"/>
    <w:rsid w:val="009744A8"/>
    <w:rsid w:val="0097491B"/>
    <w:rsid w:val="00974BD3"/>
    <w:rsid w:val="0097507E"/>
    <w:rsid w:val="009756B4"/>
    <w:rsid w:val="009758BB"/>
    <w:rsid w:val="00976278"/>
    <w:rsid w:val="009763E4"/>
    <w:rsid w:val="00977B68"/>
    <w:rsid w:val="0098015C"/>
    <w:rsid w:val="00981A97"/>
    <w:rsid w:val="00981DE8"/>
    <w:rsid w:val="009820EF"/>
    <w:rsid w:val="00984248"/>
    <w:rsid w:val="009844A7"/>
    <w:rsid w:val="009845C6"/>
    <w:rsid w:val="0098570E"/>
    <w:rsid w:val="00986062"/>
    <w:rsid w:val="00986253"/>
    <w:rsid w:val="00986782"/>
    <w:rsid w:val="00987211"/>
    <w:rsid w:val="00987323"/>
    <w:rsid w:val="009902B8"/>
    <w:rsid w:val="009903C8"/>
    <w:rsid w:val="0099069D"/>
    <w:rsid w:val="00991146"/>
    <w:rsid w:val="00991726"/>
    <w:rsid w:val="00991C72"/>
    <w:rsid w:val="00992131"/>
    <w:rsid w:val="009926CA"/>
    <w:rsid w:val="009935F2"/>
    <w:rsid w:val="009952FF"/>
    <w:rsid w:val="009955F0"/>
    <w:rsid w:val="00995A46"/>
    <w:rsid w:val="00997444"/>
    <w:rsid w:val="0099753F"/>
    <w:rsid w:val="0099758E"/>
    <w:rsid w:val="00997AAD"/>
    <w:rsid w:val="009A0978"/>
    <w:rsid w:val="009A0E2F"/>
    <w:rsid w:val="009A124A"/>
    <w:rsid w:val="009A1E51"/>
    <w:rsid w:val="009A230A"/>
    <w:rsid w:val="009A3646"/>
    <w:rsid w:val="009A455C"/>
    <w:rsid w:val="009A466D"/>
    <w:rsid w:val="009A49FC"/>
    <w:rsid w:val="009A513C"/>
    <w:rsid w:val="009A51E8"/>
    <w:rsid w:val="009A5A08"/>
    <w:rsid w:val="009A5D5C"/>
    <w:rsid w:val="009A6AD0"/>
    <w:rsid w:val="009A6C82"/>
    <w:rsid w:val="009A6F11"/>
    <w:rsid w:val="009A789C"/>
    <w:rsid w:val="009B0311"/>
    <w:rsid w:val="009B28DA"/>
    <w:rsid w:val="009B2B82"/>
    <w:rsid w:val="009B3004"/>
    <w:rsid w:val="009B3113"/>
    <w:rsid w:val="009B356A"/>
    <w:rsid w:val="009B39F8"/>
    <w:rsid w:val="009B3BA4"/>
    <w:rsid w:val="009B3D45"/>
    <w:rsid w:val="009B47C8"/>
    <w:rsid w:val="009B49CB"/>
    <w:rsid w:val="009B6170"/>
    <w:rsid w:val="009B6DE8"/>
    <w:rsid w:val="009B6FB8"/>
    <w:rsid w:val="009B7F51"/>
    <w:rsid w:val="009C0225"/>
    <w:rsid w:val="009C1457"/>
    <w:rsid w:val="009C1511"/>
    <w:rsid w:val="009C1F62"/>
    <w:rsid w:val="009C2598"/>
    <w:rsid w:val="009C2BCC"/>
    <w:rsid w:val="009C447E"/>
    <w:rsid w:val="009C4ECA"/>
    <w:rsid w:val="009C6F42"/>
    <w:rsid w:val="009C73DB"/>
    <w:rsid w:val="009C7EED"/>
    <w:rsid w:val="009D0053"/>
    <w:rsid w:val="009D138E"/>
    <w:rsid w:val="009D1E9E"/>
    <w:rsid w:val="009D2896"/>
    <w:rsid w:val="009D3F01"/>
    <w:rsid w:val="009D510C"/>
    <w:rsid w:val="009D6CCA"/>
    <w:rsid w:val="009D7383"/>
    <w:rsid w:val="009D753E"/>
    <w:rsid w:val="009D7B1C"/>
    <w:rsid w:val="009E0023"/>
    <w:rsid w:val="009E057F"/>
    <w:rsid w:val="009E0D35"/>
    <w:rsid w:val="009E1BCF"/>
    <w:rsid w:val="009E2CC3"/>
    <w:rsid w:val="009E30AD"/>
    <w:rsid w:val="009E318D"/>
    <w:rsid w:val="009E31DE"/>
    <w:rsid w:val="009E339B"/>
    <w:rsid w:val="009E33E3"/>
    <w:rsid w:val="009E35D6"/>
    <w:rsid w:val="009E3CEA"/>
    <w:rsid w:val="009E4056"/>
    <w:rsid w:val="009E4965"/>
    <w:rsid w:val="009E5566"/>
    <w:rsid w:val="009E5576"/>
    <w:rsid w:val="009E6713"/>
    <w:rsid w:val="009E6865"/>
    <w:rsid w:val="009E6BAC"/>
    <w:rsid w:val="009E6FF5"/>
    <w:rsid w:val="009E72F5"/>
    <w:rsid w:val="009E7744"/>
    <w:rsid w:val="009E794A"/>
    <w:rsid w:val="009F108E"/>
    <w:rsid w:val="009F1ED1"/>
    <w:rsid w:val="009F2C76"/>
    <w:rsid w:val="009F3357"/>
    <w:rsid w:val="009F335F"/>
    <w:rsid w:val="009F3E7B"/>
    <w:rsid w:val="009F3FC9"/>
    <w:rsid w:val="009F4C6D"/>
    <w:rsid w:val="009F5192"/>
    <w:rsid w:val="009F5236"/>
    <w:rsid w:val="009F55E8"/>
    <w:rsid w:val="009F578C"/>
    <w:rsid w:val="009F5CC7"/>
    <w:rsid w:val="009F614E"/>
    <w:rsid w:val="009F7AE0"/>
    <w:rsid w:val="009F7B7F"/>
    <w:rsid w:val="009F7EAC"/>
    <w:rsid w:val="00A00740"/>
    <w:rsid w:val="00A00A1A"/>
    <w:rsid w:val="00A016F9"/>
    <w:rsid w:val="00A023DA"/>
    <w:rsid w:val="00A02465"/>
    <w:rsid w:val="00A02EB2"/>
    <w:rsid w:val="00A03850"/>
    <w:rsid w:val="00A04421"/>
    <w:rsid w:val="00A046FB"/>
    <w:rsid w:val="00A0470D"/>
    <w:rsid w:val="00A0492D"/>
    <w:rsid w:val="00A050B3"/>
    <w:rsid w:val="00A05F1B"/>
    <w:rsid w:val="00A06A26"/>
    <w:rsid w:val="00A077AA"/>
    <w:rsid w:val="00A106C2"/>
    <w:rsid w:val="00A110CE"/>
    <w:rsid w:val="00A1169D"/>
    <w:rsid w:val="00A117E9"/>
    <w:rsid w:val="00A122B8"/>
    <w:rsid w:val="00A123E3"/>
    <w:rsid w:val="00A1688C"/>
    <w:rsid w:val="00A16A99"/>
    <w:rsid w:val="00A16B14"/>
    <w:rsid w:val="00A17251"/>
    <w:rsid w:val="00A207CE"/>
    <w:rsid w:val="00A209FF"/>
    <w:rsid w:val="00A20C53"/>
    <w:rsid w:val="00A20D36"/>
    <w:rsid w:val="00A2151D"/>
    <w:rsid w:val="00A21674"/>
    <w:rsid w:val="00A21750"/>
    <w:rsid w:val="00A21CB3"/>
    <w:rsid w:val="00A221B9"/>
    <w:rsid w:val="00A229A5"/>
    <w:rsid w:val="00A22BF2"/>
    <w:rsid w:val="00A22C0E"/>
    <w:rsid w:val="00A22C7C"/>
    <w:rsid w:val="00A23BDC"/>
    <w:rsid w:val="00A24A27"/>
    <w:rsid w:val="00A24B3F"/>
    <w:rsid w:val="00A24CC3"/>
    <w:rsid w:val="00A24DF1"/>
    <w:rsid w:val="00A24ECF"/>
    <w:rsid w:val="00A25264"/>
    <w:rsid w:val="00A25526"/>
    <w:rsid w:val="00A2569F"/>
    <w:rsid w:val="00A25F94"/>
    <w:rsid w:val="00A260A6"/>
    <w:rsid w:val="00A2612A"/>
    <w:rsid w:val="00A26144"/>
    <w:rsid w:val="00A26B69"/>
    <w:rsid w:val="00A26D10"/>
    <w:rsid w:val="00A26DB7"/>
    <w:rsid w:val="00A26F53"/>
    <w:rsid w:val="00A27181"/>
    <w:rsid w:val="00A27DE9"/>
    <w:rsid w:val="00A27F31"/>
    <w:rsid w:val="00A3027E"/>
    <w:rsid w:val="00A306C4"/>
    <w:rsid w:val="00A30D39"/>
    <w:rsid w:val="00A3198E"/>
    <w:rsid w:val="00A331F4"/>
    <w:rsid w:val="00A335D5"/>
    <w:rsid w:val="00A3374B"/>
    <w:rsid w:val="00A3385D"/>
    <w:rsid w:val="00A343EC"/>
    <w:rsid w:val="00A34AEF"/>
    <w:rsid w:val="00A34BB0"/>
    <w:rsid w:val="00A35CB2"/>
    <w:rsid w:val="00A36078"/>
    <w:rsid w:val="00A36281"/>
    <w:rsid w:val="00A363AE"/>
    <w:rsid w:val="00A372EE"/>
    <w:rsid w:val="00A37A69"/>
    <w:rsid w:val="00A40EF9"/>
    <w:rsid w:val="00A40F4B"/>
    <w:rsid w:val="00A413A7"/>
    <w:rsid w:val="00A41601"/>
    <w:rsid w:val="00A418BB"/>
    <w:rsid w:val="00A419FF"/>
    <w:rsid w:val="00A42207"/>
    <w:rsid w:val="00A4344F"/>
    <w:rsid w:val="00A43A29"/>
    <w:rsid w:val="00A43B4A"/>
    <w:rsid w:val="00A43DB2"/>
    <w:rsid w:val="00A44659"/>
    <w:rsid w:val="00A45561"/>
    <w:rsid w:val="00A45EC7"/>
    <w:rsid w:val="00A465EE"/>
    <w:rsid w:val="00A46748"/>
    <w:rsid w:val="00A474A0"/>
    <w:rsid w:val="00A47968"/>
    <w:rsid w:val="00A50677"/>
    <w:rsid w:val="00A5094A"/>
    <w:rsid w:val="00A5115F"/>
    <w:rsid w:val="00A51DC7"/>
    <w:rsid w:val="00A53879"/>
    <w:rsid w:val="00A53FCC"/>
    <w:rsid w:val="00A54DFC"/>
    <w:rsid w:val="00A54FB8"/>
    <w:rsid w:val="00A55040"/>
    <w:rsid w:val="00A5505D"/>
    <w:rsid w:val="00A5543F"/>
    <w:rsid w:val="00A554DD"/>
    <w:rsid w:val="00A56812"/>
    <w:rsid w:val="00A56DC0"/>
    <w:rsid w:val="00A57412"/>
    <w:rsid w:val="00A635BF"/>
    <w:rsid w:val="00A6386E"/>
    <w:rsid w:val="00A641CB"/>
    <w:rsid w:val="00A6595A"/>
    <w:rsid w:val="00A660CF"/>
    <w:rsid w:val="00A6620E"/>
    <w:rsid w:val="00A66B9C"/>
    <w:rsid w:val="00A674FA"/>
    <w:rsid w:val="00A67D2C"/>
    <w:rsid w:val="00A7147A"/>
    <w:rsid w:val="00A73A87"/>
    <w:rsid w:val="00A74149"/>
    <w:rsid w:val="00A7423B"/>
    <w:rsid w:val="00A74652"/>
    <w:rsid w:val="00A746CC"/>
    <w:rsid w:val="00A76A11"/>
    <w:rsid w:val="00A77331"/>
    <w:rsid w:val="00A774C8"/>
    <w:rsid w:val="00A77CAE"/>
    <w:rsid w:val="00A80EE4"/>
    <w:rsid w:val="00A8198D"/>
    <w:rsid w:val="00A81BA6"/>
    <w:rsid w:val="00A82289"/>
    <w:rsid w:val="00A82EBC"/>
    <w:rsid w:val="00A8555F"/>
    <w:rsid w:val="00A863D2"/>
    <w:rsid w:val="00A866C2"/>
    <w:rsid w:val="00A87F88"/>
    <w:rsid w:val="00A901C4"/>
    <w:rsid w:val="00A907B6"/>
    <w:rsid w:val="00A90853"/>
    <w:rsid w:val="00A911AE"/>
    <w:rsid w:val="00A91A85"/>
    <w:rsid w:val="00A91E4F"/>
    <w:rsid w:val="00A92E67"/>
    <w:rsid w:val="00A9434C"/>
    <w:rsid w:val="00A946FA"/>
    <w:rsid w:val="00A955F2"/>
    <w:rsid w:val="00A95BBB"/>
    <w:rsid w:val="00A96808"/>
    <w:rsid w:val="00A96831"/>
    <w:rsid w:val="00A96F76"/>
    <w:rsid w:val="00A978DA"/>
    <w:rsid w:val="00AA0EA2"/>
    <w:rsid w:val="00AA1E6D"/>
    <w:rsid w:val="00AA2FF2"/>
    <w:rsid w:val="00AA331D"/>
    <w:rsid w:val="00AA411E"/>
    <w:rsid w:val="00AA43A4"/>
    <w:rsid w:val="00AA46E3"/>
    <w:rsid w:val="00AA50D0"/>
    <w:rsid w:val="00AA5BBB"/>
    <w:rsid w:val="00AA63D9"/>
    <w:rsid w:val="00AB0055"/>
    <w:rsid w:val="00AB1485"/>
    <w:rsid w:val="00AB1CE6"/>
    <w:rsid w:val="00AB2A3D"/>
    <w:rsid w:val="00AB2D65"/>
    <w:rsid w:val="00AB4553"/>
    <w:rsid w:val="00AB4B81"/>
    <w:rsid w:val="00AB68E6"/>
    <w:rsid w:val="00AB75E6"/>
    <w:rsid w:val="00AB7DF9"/>
    <w:rsid w:val="00AC0C8B"/>
    <w:rsid w:val="00AC0CEB"/>
    <w:rsid w:val="00AC0E5B"/>
    <w:rsid w:val="00AC10E6"/>
    <w:rsid w:val="00AC1CB8"/>
    <w:rsid w:val="00AC319F"/>
    <w:rsid w:val="00AC5C9E"/>
    <w:rsid w:val="00AC635C"/>
    <w:rsid w:val="00AC6CA8"/>
    <w:rsid w:val="00AC7CB3"/>
    <w:rsid w:val="00AC7CD4"/>
    <w:rsid w:val="00AD088D"/>
    <w:rsid w:val="00AD10F7"/>
    <w:rsid w:val="00AD22B9"/>
    <w:rsid w:val="00AD24F7"/>
    <w:rsid w:val="00AD2D7D"/>
    <w:rsid w:val="00AD3A83"/>
    <w:rsid w:val="00AD3ECE"/>
    <w:rsid w:val="00AD449C"/>
    <w:rsid w:val="00AD505E"/>
    <w:rsid w:val="00AD506C"/>
    <w:rsid w:val="00AD545A"/>
    <w:rsid w:val="00AD56AF"/>
    <w:rsid w:val="00AD5801"/>
    <w:rsid w:val="00AD5AB1"/>
    <w:rsid w:val="00AD60E8"/>
    <w:rsid w:val="00AD776C"/>
    <w:rsid w:val="00AE0EBC"/>
    <w:rsid w:val="00AE220D"/>
    <w:rsid w:val="00AE2571"/>
    <w:rsid w:val="00AE27C9"/>
    <w:rsid w:val="00AE2839"/>
    <w:rsid w:val="00AE2B1C"/>
    <w:rsid w:val="00AE2EAB"/>
    <w:rsid w:val="00AE2F15"/>
    <w:rsid w:val="00AE35F1"/>
    <w:rsid w:val="00AE3A1F"/>
    <w:rsid w:val="00AE3B54"/>
    <w:rsid w:val="00AE3CB6"/>
    <w:rsid w:val="00AE4131"/>
    <w:rsid w:val="00AE4A92"/>
    <w:rsid w:val="00AE535D"/>
    <w:rsid w:val="00AE56CE"/>
    <w:rsid w:val="00AE57B3"/>
    <w:rsid w:val="00AE6CEC"/>
    <w:rsid w:val="00AE6D2D"/>
    <w:rsid w:val="00AE7374"/>
    <w:rsid w:val="00AE78EB"/>
    <w:rsid w:val="00AF02E0"/>
    <w:rsid w:val="00AF0334"/>
    <w:rsid w:val="00AF0908"/>
    <w:rsid w:val="00AF13E8"/>
    <w:rsid w:val="00AF1AC2"/>
    <w:rsid w:val="00AF24E2"/>
    <w:rsid w:val="00AF346E"/>
    <w:rsid w:val="00AF494E"/>
    <w:rsid w:val="00AF74E0"/>
    <w:rsid w:val="00AF753C"/>
    <w:rsid w:val="00AF7D3A"/>
    <w:rsid w:val="00B00315"/>
    <w:rsid w:val="00B004D2"/>
    <w:rsid w:val="00B01169"/>
    <w:rsid w:val="00B015FD"/>
    <w:rsid w:val="00B022CB"/>
    <w:rsid w:val="00B023DB"/>
    <w:rsid w:val="00B02D76"/>
    <w:rsid w:val="00B03BA0"/>
    <w:rsid w:val="00B049D4"/>
    <w:rsid w:val="00B05107"/>
    <w:rsid w:val="00B0643F"/>
    <w:rsid w:val="00B07504"/>
    <w:rsid w:val="00B07805"/>
    <w:rsid w:val="00B07C31"/>
    <w:rsid w:val="00B1081A"/>
    <w:rsid w:val="00B11A74"/>
    <w:rsid w:val="00B1247B"/>
    <w:rsid w:val="00B127C6"/>
    <w:rsid w:val="00B12825"/>
    <w:rsid w:val="00B12FE3"/>
    <w:rsid w:val="00B1314D"/>
    <w:rsid w:val="00B14060"/>
    <w:rsid w:val="00B141F7"/>
    <w:rsid w:val="00B147E7"/>
    <w:rsid w:val="00B15E5F"/>
    <w:rsid w:val="00B16002"/>
    <w:rsid w:val="00B1675A"/>
    <w:rsid w:val="00B167D2"/>
    <w:rsid w:val="00B170A4"/>
    <w:rsid w:val="00B17236"/>
    <w:rsid w:val="00B201FA"/>
    <w:rsid w:val="00B2036A"/>
    <w:rsid w:val="00B214DF"/>
    <w:rsid w:val="00B216A1"/>
    <w:rsid w:val="00B22000"/>
    <w:rsid w:val="00B22332"/>
    <w:rsid w:val="00B22BFD"/>
    <w:rsid w:val="00B2393C"/>
    <w:rsid w:val="00B24593"/>
    <w:rsid w:val="00B255C5"/>
    <w:rsid w:val="00B256D1"/>
    <w:rsid w:val="00B25914"/>
    <w:rsid w:val="00B25E99"/>
    <w:rsid w:val="00B2609D"/>
    <w:rsid w:val="00B260E3"/>
    <w:rsid w:val="00B26B45"/>
    <w:rsid w:val="00B2786F"/>
    <w:rsid w:val="00B27C06"/>
    <w:rsid w:val="00B3037F"/>
    <w:rsid w:val="00B31146"/>
    <w:rsid w:val="00B3139D"/>
    <w:rsid w:val="00B315BF"/>
    <w:rsid w:val="00B31BDB"/>
    <w:rsid w:val="00B32BEE"/>
    <w:rsid w:val="00B32E0B"/>
    <w:rsid w:val="00B345DE"/>
    <w:rsid w:val="00B34645"/>
    <w:rsid w:val="00B350FA"/>
    <w:rsid w:val="00B35AF0"/>
    <w:rsid w:val="00B35B41"/>
    <w:rsid w:val="00B36B85"/>
    <w:rsid w:val="00B37931"/>
    <w:rsid w:val="00B40700"/>
    <w:rsid w:val="00B40EA1"/>
    <w:rsid w:val="00B41255"/>
    <w:rsid w:val="00B4129F"/>
    <w:rsid w:val="00B420CE"/>
    <w:rsid w:val="00B42212"/>
    <w:rsid w:val="00B42F0B"/>
    <w:rsid w:val="00B43ABC"/>
    <w:rsid w:val="00B43DBF"/>
    <w:rsid w:val="00B4512A"/>
    <w:rsid w:val="00B478F1"/>
    <w:rsid w:val="00B47AE1"/>
    <w:rsid w:val="00B501FC"/>
    <w:rsid w:val="00B50FA3"/>
    <w:rsid w:val="00B5102B"/>
    <w:rsid w:val="00B51422"/>
    <w:rsid w:val="00B536B2"/>
    <w:rsid w:val="00B536DA"/>
    <w:rsid w:val="00B5457E"/>
    <w:rsid w:val="00B5485B"/>
    <w:rsid w:val="00B55616"/>
    <w:rsid w:val="00B55807"/>
    <w:rsid w:val="00B55969"/>
    <w:rsid w:val="00B564AF"/>
    <w:rsid w:val="00B56929"/>
    <w:rsid w:val="00B56F95"/>
    <w:rsid w:val="00B575DD"/>
    <w:rsid w:val="00B57A0C"/>
    <w:rsid w:val="00B57DDF"/>
    <w:rsid w:val="00B6036E"/>
    <w:rsid w:val="00B61303"/>
    <w:rsid w:val="00B61984"/>
    <w:rsid w:val="00B62682"/>
    <w:rsid w:val="00B62AB8"/>
    <w:rsid w:val="00B64124"/>
    <w:rsid w:val="00B644CA"/>
    <w:rsid w:val="00B64FB6"/>
    <w:rsid w:val="00B66F62"/>
    <w:rsid w:val="00B671CA"/>
    <w:rsid w:val="00B672BB"/>
    <w:rsid w:val="00B672E1"/>
    <w:rsid w:val="00B67703"/>
    <w:rsid w:val="00B677E2"/>
    <w:rsid w:val="00B679A7"/>
    <w:rsid w:val="00B67C40"/>
    <w:rsid w:val="00B709B7"/>
    <w:rsid w:val="00B71B04"/>
    <w:rsid w:val="00B71BAF"/>
    <w:rsid w:val="00B720C5"/>
    <w:rsid w:val="00B72E6C"/>
    <w:rsid w:val="00B7353D"/>
    <w:rsid w:val="00B73BB5"/>
    <w:rsid w:val="00B740B0"/>
    <w:rsid w:val="00B742CB"/>
    <w:rsid w:val="00B75A64"/>
    <w:rsid w:val="00B75FA6"/>
    <w:rsid w:val="00B7679D"/>
    <w:rsid w:val="00B77880"/>
    <w:rsid w:val="00B77F25"/>
    <w:rsid w:val="00B802A7"/>
    <w:rsid w:val="00B80344"/>
    <w:rsid w:val="00B804F0"/>
    <w:rsid w:val="00B80713"/>
    <w:rsid w:val="00B81776"/>
    <w:rsid w:val="00B81FCD"/>
    <w:rsid w:val="00B8256B"/>
    <w:rsid w:val="00B82B3B"/>
    <w:rsid w:val="00B8385F"/>
    <w:rsid w:val="00B83C96"/>
    <w:rsid w:val="00B83CF8"/>
    <w:rsid w:val="00B84521"/>
    <w:rsid w:val="00B86062"/>
    <w:rsid w:val="00B86863"/>
    <w:rsid w:val="00B86A0A"/>
    <w:rsid w:val="00B86D16"/>
    <w:rsid w:val="00B87B61"/>
    <w:rsid w:val="00B90AD3"/>
    <w:rsid w:val="00B91B4F"/>
    <w:rsid w:val="00B91C31"/>
    <w:rsid w:val="00B92037"/>
    <w:rsid w:val="00B9203D"/>
    <w:rsid w:val="00B92546"/>
    <w:rsid w:val="00B92EE3"/>
    <w:rsid w:val="00B94590"/>
    <w:rsid w:val="00B945DA"/>
    <w:rsid w:val="00B951DE"/>
    <w:rsid w:val="00B95A89"/>
    <w:rsid w:val="00B966EB"/>
    <w:rsid w:val="00B968D5"/>
    <w:rsid w:val="00B96CFC"/>
    <w:rsid w:val="00B96D4D"/>
    <w:rsid w:val="00B97719"/>
    <w:rsid w:val="00BA0056"/>
    <w:rsid w:val="00BA03A9"/>
    <w:rsid w:val="00BA03B0"/>
    <w:rsid w:val="00BA0635"/>
    <w:rsid w:val="00BA0EB4"/>
    <w:rsid w:val="00BA1193"/>
    <w:rsid w:val="00BA20CA"/>
    <w:rsid w:val="00BA2831"/>
    <w:rsid w:val="00BA3203"/>
    <w:rsid w:val="00BA42A2"/>
    <w:rsid w:val="00BA443C"/>
    <w:rsid w:val="00BA5283"/>
    <w:rsid w:val="00BA57B4"/>
    <w:rsid w:val="00BA5835"/>
    <w:rsid w:val="00BA6016"/>
    <w:rsid w:val="00BA67D5"/>
    <w:rsid w:val="00BA742D"/>
    <w:rsid w:val="00BA7493"/>
    <w:rsid w:val="00BB01E7"/>
    <w:rsid w:val="00BB043C"/>
    <w:rsid w:val="00BB1364"/>
    <w:rsid w:val="00BB26BC"/>
    <w:rsid w:val="00BB2D4B"/>
    <w:rsid w:val="00BB2F9E"/>
    <w:rsid w:val="00BB3A0E"/>
    <w:rsid w:val="00BB4A41"/>
    <w:rsid w:val="00BB58CA"/>
    <w:rsid w:val="00BB5F23"/>
    <w:rsid w:val="00BB646E"/>
    <w:rsid w:val="00BB6DDD"/>
    <w:rsid w:val="00BB77C8"/>
    <w:rsid w:val="00BB78A8"/>
    <w:rsid w:val="00BC036C"/>
    <w:rsid w:val="00BC0C60"/>
    <w:rsid w:val="00BC0D63"/>
    <w:rsid w:val="00BC1DDD"/>
    <w:rsid w:val="00BC20A2"/>
    <w:rsid w:val="00BC2273"/>
    <w:rsid w:val="00BC2915"/>
    <w:rsid w:val="00BC2945"/>
    <w:rsid w:val="00BC2AC8"/>
    <w:rsid w:val="00BC3850"/>
    <w:rsid w:val="00BC4160"/>
    <w:rsid w:val="00BC463E"/>
    <w:rsid w:val="00BC529A"/>
    <w:rsid w:val="00BC5646"/>
    <w:rsid w:val="00BC59C3"/>
    <w:rsid w:val="00BC6E15"/>
    <w:rsid w:val="00BD13DE"/>
    <w:rsid w:val="00BD1A8C"/>
    <w:rsid w:val="00BD2563"/>
    <w:rsid w:val="00BD2A28"/>
    <w:rsid w:val="00BD2BEE"/>
    <w:rsid w:val="00BD312D"/>
    <w:rsid w:val="00BD428B"/>
    <w:rsid w:val="00BD4FE2"/>
    <w:rsid w:val="00BD511E"/>
    <w:rsid w:val="00BD60C6"/>
    <w:rsid w:val="00BD649F"/>
    <w:rsid w:val="00BE0277"/>
    <w:rsid w:val="00BE165D"/>
    <w:rsid w:val="00BE18B9"/>
    <w:rsid w:val="00BE2CD0"/>
    <w:rsid w:val="00BE3515"/>
    <w:rsid w:val="00BE35F5"/>
    <w:rsid w:val="00BE3627"/>
    <w:rsid w:val="00BE384B"/>
    <w:rsid w:val="00BE38BE"/>
    <w:rsid w:val="00BE4452"/>
    <w:rsid w:val="00BE4F8F"/>
    <w:rsid w:val="00BE5006"/>
    <w:rsid w:val="00BE50D4"/>
    <w:rsid w:val="00BE5CF0"/>
    <w:rsid w:val="00BE5DF0"/>
    <w:rsid w:val="00BE60BF"/>
    <w:rsid w:val="00BE63D5"/>
    <w:rsid w:val="00BE6829"/>
    <w:rsid w:val="00BE7359"/>
    <w:rsid w:val="00BE74B2"/>
    <w:rsid w:val="00BE7CBF"/>
    <w:rsid w:val="00BF1155"/>
    <w:rsid w:val="00BF1C2F"/>
    <w:rsid w:val="00BF24C0"/>
    <w:rsid w:val="00BF2E95"/>
    <w:rsid w:val="00BF3495"/>
    <w:rsid w:val="00BF3C79"/>
    <w:rsid w:val="00BF3CDB"/>
    <w:rsid w:val="00BF4E24"/>
    <w:rsid w:val="00BF4E84"/>
    <w:rsid w:val="00BF53F9"/>
    <w:rsid w:val="00BF5619"/>
    <w:rsid w:val="00BF5717"/>
    <w:rsid w:val="00BF76B1"/>
    <w:rsid w:val="00BF7B03"/>
    <w:rsid w:val="00BF7B73"/>
    <w:rsid w:val="00BF7E51"/>
    <w:rsid w:val="00C0031F"/>
    <w:rsid w:val="00C01083"/>
    <w:rsid w:val="00C01353"/>
    <w:rsid w:val="00C021F7"/>
    <w:rsid w:val="00C036B2"/>
    <w:rsid w:val="00C0445D"/>
    <w:rsid w:val="00C04BD5"/>
    <w:rsid w:val="00C04BFD"/>
    <w:rsid w:val="00C05119"/>
    <w:rsid w:val="00C05752"/>
    <w:rsid w:val="00C05991"/>
    <w:rsid w:val="00C05EE4"/>
    <w:rsid w:val="00C061C6"/>
    <w:rsid w:val="00C06211"/>
    <w:rsid w:val="00C0638D"/>
    <w:rsid w:val="00C06479"/>
    <w:rsid w:val="00C075E8"/>
    <w:rsid w:val="00C07A75"/>
    <w:rsid w:val="00C1071D"/>
    <w:rsid w:val="00C10BFC"/>
    <w:rsid w:val="00C110C8"/>
    <w:rsid w:val="00C11CC4"/>
    <w:rsid w:val="00C1273F"/>
    <w:rsid w:val="00C1294B"/>
    <w:rsid w:val="00C129D1"/>
    <w:rsid w:val="00C12BC8"/>
    <w:rsid w:val="00C13915"/>
    <w:rsid w:val="00C1527E"/>
    <w:rsid w:val="00C164D2"/>
    <w:rsid w:val="00C176D7"/>
    <w:rsid w:val="00C179E8"/>
    <w:rsid w:val="00C17EF8"/>
    <w:rsid w:val="00C2106C"/>
    <w:rsid w:val="00C212F8"/>
    <w:rsid w:val="00C21486"/>
    <w:rsid w:val="00C23135"/>
    <w:rsid w:val="00C23D10"/>
    <w:rsid w:val="00C24328"/>
    <w:rsid w:val="00C247E1"/>
    <w:rsid w:val="00C261BC"/>
    <w:rsid w:val="00C26A10"/>
    <w:rsid w:val="00C2721B"/>
    <w:rsid w:val="00C2723E"/>
    <w:rsid w:val="00C27AB4"/>
    <w:rsid w:val="00C30D5B"/>
    <w:rsid w:val="00C30DFB"/>
    <w:rsid w:val="00C3111A"/>
    <w:rsid w:val="00C31286"/>
    <w:rsid w:val="00C3137A"/>
    <w:rsid w:val="00C31528"/>
    <w:rsid w:val="00C315F4"/>
    <w:rsid w:val="00C31626"/>
    <w:rsid w:val="00C31C78"/>
    <w:rsid w:val="00C320B7"/>
    <w:rsid w:val="00C32CAD"/>
    <w:rsid w:val="00C3442D"/>
    <w:rsid w:val="00C360B9"/>
    <w:rsid w:val="00C36A18"/>
    <w:rsid w:val="00C36C70"/>
    <w:rsid w:val="00C37712"/>
    <w:rsid w:val="00C37D20"/>
    <w:rsid w:val="00C37E1D"/>
    <w:rsid w:val="00C4033F"/>
    <w:rsid w:val="00C403D0"/>
    <w:rsid w:val="00C40470"/>
    <w:rsid w:val="00C40C50"/>
    <w:rsid w:val="00C410BF"/>
    <w:rsid w:val="00C41305"/>
    <w:rsid w:val="00C426D0"/>
    <w:rsid w:val="00C4293F"/>
    <w:rsid w:val="00C43553"/>
    <w:rsid w:val="00C443A6"/>
    <w:rsid w:val="00C44971"/>
    <w:rsid w:val="00C44B82"/>
    <w:rsid w:val="00C44C66"/>
    <w:rsid w:val="00C44D72"/>
    <w:rsid w:val="00C4616D"/>
    <w:rsid w:val="00C46288"/>
    <w:rsid w:val="00C46EC7"/>
    <w:rsid w:val="00C4706A"/>
    <w:rsid w:val="00C473D1"/>
    <w:rsid w:val="00C5013F"/>
    <w:rsid w:val="00C5051E"/>
    <w:rsid w:val="00C516FA"/>
    <w:rsid w:val="00C51903"/>
    <w:rsid w:val="00C51B0C"/>
    <w:rsid w:val="00C51CF5"/>
    <w:rsid w:val="00C51EAF"/>
    <w:rsid w:val="00C52588"/>
    <w:rsid w:val="00C52725"/>
    <w:rsid w:val="00C52851"/>
    <w:rsid w:val="00C52918"/>
    <w:rsid w:val="00C52DE2"/>
    <w:rsid w:val="00C531B7"/>
    <w:rsid w:val="00C53530"/>
    <w:rsid w:val="00C5390C"/>
    <w:rsid w:val="00C53D30"/>
    <w:rsid w:val="00C53FE4"/>
    <w:rsid w:val="00C54AB6"/>
    <w:rsid w:val="00C555EA"/>
    <w:rsid w:val="00C56384"/>
    <w:rsid w:val="00C56478"/>
    <w:rsid w:val="00C575EF"/>
    <w:rsid w:val="00C61419"/>
    <w:rsid w:val="00C61608"/>
    <w:rsid w:val="00C61E54"/>
    <w:rsid w:val="00C620FE"/>
    <w:rsid w:val="00C629C3"/>
    <w:rsid w:val="00C62BC9"/>
    <w:rsid w:val="00C62D72"/>
    <w:rsid w:val="00C6307D"/>
    <w:rsid w:val="00C63E3D"/>
    <w:rsid w:val="00C64D9B"/>
    <w:rsid w:val="00C65495"/>
    <w:rsid w:val="00C65F9A"/>
    <w:rsid w:val="00C666BA"/>
    <w:rsid w:val="00C66BA6"/>
    <w:rsid w:val="00C66D1F"/>
    <w:rsid w:val="00C67C4E"/>
    <w:rsid w:val="00C70A62"/>
    <w:rsid w:val="00C70FBF"/>
    <w:rsid w:val="00C70FF1"/>
    <w:rsid w:val="00C71101"/>
    <w:rsid w:val="00C725CE"/>
    <w:rsid w:val="00C72B9E"/>
    <w:rsid w:val="00C72D43"/>
    <w:rsid w:val="00C73A19"/>
    <w:rsid w:val="00C740A5"/>
    <w:rsid w:val="00C74335"/>
    <w:rsid w:val="00C752E3"/>
    <w:rsid w:val="00C758B7"/>
    <w:rsid w:val="00C76815"/>
    <w:rsid w:val="00C76AFA"/>
    <w:rsid w:val="00C76D53"/>
    <w:rsid w:val="00C7787A"/>
    <w:rsid w:val="00C802CE"/>
    <w:rsid w:val="00C809C5"/>
    <w:rsid w:val="00C80B48"/>
    <w:rsid w:val="00C80E60"/>
    <w:rsid w:val="00C81029"/>
    <w:rsid w:val="00C8164C"/>
    <w:rsid w:val="00C81803"/>
    <w:rsid w:val="00C8195A"/>
    <w:rsid w:val="00C81991"/>
    <w:rsid w:val="00C819D4"/>
    <w:rsid w:val="00C829CF"/>
    <w:rsid w:val="00C83BEE"/>
    <w:rsid w:val="00C84F46"/>
    <w:rsid w:val="00C8505F"/>
    <w:rsid w:val="00C8529F"/>
    <w:rsid w:val="00C857A6"/>
    <w:rsid w:val="00C857D0"/>
    <w:rsid w:val="00C86DD4"/>
    <w:rsid w:val="00C87517"/>
    <w:rsid w:val="00C87E62"/>
    <w:rsid w:val="00C90898"/>
    <w:rsid w:val="00C90E0D"/>
    <w:rsid w:val="00C910AD"/>
    <w:rsid w:val="00C911A9"/>
    <w:rsid w:val="00C91F1C"/>
    <w:rsid w:val="00C92680"/>
    <w:rsid w:val="00C92E8A"/>
    <w:rsid w:val="00C9344D"/>
    <w:rsid w:val="00C93D82"/>
    <w:rsid w:val="00C943CB"/>
    <w:rsid w:val="00C94D10"/>
    <w:rsid w:val="00C95009"/>
    <w:rsid w:val="00C95287"/>
    <w:rsid w:val="00C9544A"/>
    <w:rsid w:val="00C95EB3"/>
    <w:rsid w:val="00C95FB8"/>
    <w:rsid w:val="00C95FDE"/>
    <w:rsid w:val="00C9736D"/>
    <w:rsid w:val="00CA078E"/>
    <w:rsid w:val="00CA1312"/>
    <w:rsid w:val="00CA1872"/>
    <w:rsid w:val="00CA1955"/>
    <w:rsid w:val="00CA1BDE"/>
    <w:rsid w:val="00CA203A"/>
    <w:rsid w:val="00CA2246"/>
    <w:rsid w:val="00CA2C7B"/>
    <w:rsid w:val="00CA3B37"/>
    <w:rsid w:val="00CA447F"/>
    <w:rsid w:val="00CA4CE9"/>
    <w:rsid w:val="00CA5009"/>
    <w:rsid w:val="00CA59FA"/>
    <w:rsid w:val="00CA7503"/>
    <w:rsid w:val="00CA7652"/>
    <w:rsid w:val="00CA7FE0"/>
    <w:rsid w:val="00CB0496"/>
    <w:rsid w:val="00CB0BD3"/>
    <w:rsid w:val="00CB0F17"/>
    <w:rsid w:val="00CB0FBB"/>
    <w:rsid w:val="00CB1468"/>
    <w:rsid w:val="00CB163C"/>
    <w:rsid w:val="00CB1910"/>
    <w:rsid w:val="00CB211C"/>
    <w:rsid w:val="00CB23C2"/>
    <w:rsid w:val="00CB29F9"/>
    <w:rsid w:val="00CB2FF2"/>
    <w:rsid w:val="00CB374F"/>
    <w:rsid w:val="00CB3C9D"/>
    <w:rsid w:val="00CB3FAD"/>
    <w:rsid w:val="00CB48B1"/>
    <w:rsid w:val="00CB4A79"/>
    <w:rsid w:val="00CB4E23"/>
    <w:rsid w:val="00CB5456"/>
    <w:rsid w:val="00CB54B5"/>
    <w:rsid w:val="00CB5508"/>
    <w:rsid w:val="00CB5E6D"/>
    <w:rsid w:val="00CB6E97"/>
    <w:rsid w:val="00CB7DEA"/>
    <w:rsid w:val="00CC0356"/>
    <w:rsid w:val="00CC0D84"/>
    <w:rsid w:val="00CC0F93"/>
    <w:rsid w:val="00CC18EF"/>
    <w:rsid w:val="00CC1AC9"/>
    <w:rsid w:val="00CC2CE6"/>
    <w:rsid w:val="00CC3D87"/>
    <w:rsid w:val="00CC5367"/>
    <w:rsid w:val="00CC5C98"/>
    <w:rsid w:val="00CC65E9"/>
    <w:rsid w:val="00CC69BC"/>
    <w:rsid w:val="00CC6E42"/>
    <w:rsid w:val="00CC78CB"/>
    <w:rsid w:val="00CD17CB"/>
    <w:rsid w:val="00CD1A78"/>
    <w:rsid w:val="00CD1BA1"/>
    <w:rsid w:val="00CD2ABE"/>
    <w:rsid w:val="00CD32A3"/>
    <w:rsid w:val="00CD3FBB"/>
    <w:rsid w:val="00CD41B1"/>
    <w:rsid w:val="00CD4C20"/>
    <w:rsid w:val="00CD5322"/>
    <w:rsid w:val="00CD77C0"/>
    <w:rsid w:val="00CD7AE5"/>
    <w:rsid w:val="00CD7F89"/>
    <w:rsid w:val="00CE099D"/>
    <w:rsid w:val="00CE0B3E"/>
    <w:rsid w:val="00CE1599"/>
    <w:rsid w:val="00CE1DDA"/>
    <w:rsid w:val="00CE2769"/>
    <w:rsid w:val="00CE2D57"/>
    <w:rsid w:val="00CE2D7C"/>
    <w:rsid w:val="00CE30D1"/>
    <w:rsid w:val="00CE31D2"/>
    <w:rsid w:val="00CE3438"/>
    <w:rsid w:val="00CE384F"/>
    <w:rsid w:val="00CE3976"/>
    <w:rsid w:val="00CE3FF3"/>
    <w:rsid w:val="00CE49B8"/>
    <w:rsid w:val="00CE4D8D"/>
    <w:rsid w:val="00CE4E04"/>
    <w:rsid w:val="00CE5009"/>
    <w:rsid w:val="00CE5106"/>
    <w:rsid w:val="00CE6182"/>
    <w:rsid w:val="00CE79B0"/>
    <w:rsid w:val="00CE7FC9"/>
    <w:rsid w:val="00CF1186"/>
    <w:rsid w:val="00CF119C"/>
    <w:rsid w:val="00CF140B"/>
    <w:rsid w:val="00CF228E"/>
    <w:rsid w:val="00CF24AD"/>
    <w:rsid w:val="00CF26D6"/>
    <w:rsid w:val="00CF287F"/>
    <w:rsid w:val="00CF2DB5"/>
    <w:rsid w:val="00CF2FF5"/>
    <w:rsid w:val="00CF333D"/>
    <w:rsid w:val="00CF3A04"/>
    <w:rsid w:val="00CF5259"/>
    <w:rsid w:val="00CF566F"/>
    <w:rsid w:val="00CF6BAD"/>
    <w:rsid w:val="00CF7454"/>
    <w:rsid w:val="00CF760E"/>
    <w:rsid w:val="00D00A99"/>
    <w:rsid w:val="00D00E76"/>
    <w:rsid w:val="00D00FD4"/>
    <w:rsid w:val="00D01DC6"/>
    <w:rsid w:val="00D02BF1"/>
    <w:rsid w:val="00D03A3E"/>
    <w:rsid w:val="00D042BB"/>
    <w:rsid w:val="00D05031"/>
    <w:rsid w:val="00D05364"/>
    <w:rsid w:val="00D05A4C"/>
    <w:rsid w:val="00D061DE"/>
    <w:rsid w:val="00D06542"/>
    <w:rsid w:val="00D06738"/>
    <w:rsid w:val="00D06A22"/>
    <w:rsid w:val="00D06C5F"/>
    <w:rsid w:val="00D0702F"/>
    <w:rsid w:val="00D0727C"/>
    <w:rsid w:val="00D11D4C"/>
    <w:rsid w:val="00D12218"/>
    <w:rsid w:val="00D12DF8"/>
    <w:rsid w:val="00D13144"/>
    <w:rsid w:val="00D131E2"/>
    <w:rsid w:val="00D13992"/>
    <w:rsid w:val="00D13E5E"/>
    <w:rsid w:val="00D15141"/>
    <w:rsid w:val="00D15DD5"/>
    <w:rsid w:val="00D16963"/>
    <w:rsid w:val="00D16A5E"/>
    <w:rsid w:val="00D16E09"/>
    <w:rsid w:val="00D17788"/>
    <w:rsid w:val="00D17FA9"/>
    <w:rsid w:val="00D20433"/>
    <w:rsid w:val="00D20647"/>
    <w:rsid w:val="00D2104C"/>
    <w:rsid w:val="00D212CA"/>
    <w:rsid w:val="00D22512"/>
    <w:rsid w:val="00D229EE"/>
    <w:rsid w:val="00D23174"/>
    <w:rsid w:val="00D232A7"/>
    <w:rsid w:val="00D23B73"/>
    <w:rsid w:val="00D241CC"/>
    <w:rsid w:val="00D24753"/>
    <w:rsid w:val="00D249A2"/>
    <w:rsid w:val="00D25064"/>
    <w:rsid w:val="00D25105"/>
    <w:rsid w:val="00D2652E"/>
    <w:rsid w:val="00D2703C"/>
    <w:rsid w:val="00D27A1E"/>
    <w:rsid w:val="00D30F25"/>
    <w:rsid w:val="00D31548"/>
    <w:rsid w:val="00D3154D"/>
    <w:rsid w:val="00D31912"/>
    <w:rsid w:val="00D31B60"/>
    <w:rsid w:val="00D32133"/>
    <w:rsid w:val="00D3252B"/>
    <w:rsid w:val="00D33692"/>
    <w:rsid w:val="00D339F8"/>
    <w:rsid w:val="00D342D4"/>
    <w:rsid w:val="00D349FB"/>
    <w:rsid w:val="00D34A23"/>
    <w:rsid w:val="00D35AEB"/>
    <w:rsid w:val="00D35B04"/>
    <w:rsid w:val="00D36B17"/>
    <w:rsid w:val="00D36B2E"/>
    <w:rsid w:val="00D37E07"/>
    <w:rsid w:val="00D40616"/>
    <w:rsid w:val="00D411C3"/>
    <w:rsid w:val="00D413F6"/>
    <w:rsid w:val="00D415E8"/>
    <w:rsid w:val="00D416FA"/>
    <w:rsid w:val="00D42FF7"/>
    <w:rsid w:val="00D43081"/>
    <w:rsid w:val="00D43597"/>
    <w:rsid w:val="00D43F95"/>
    <w:rsid w:val="00D446F3"/>
    <w:rsid w:val="00D45979"/>
    <w:rsid w:val="00D461AD"/>
    <w:rsid w:val="00D468D8"/>
    <w:rsid w:val="00D46AC0"/>
    <w:rsid w:val="00D50136"/>
    <w:rsid w:val="00D50516"/>
    <w:rsid w:val="00D5052B"/>
    <w:rsid w:val="00D50DE9"/>
    <w:rsid w:val="00D5149D"/>
    <w:rsid w:val="00D52448"/>
    <w:rsid w:val="00D52621"/>
    <w:rsid w:val="00D530FE"/>
    <w:rsid w:val="00D53933"/>
    <w:rsid w:val="00D5409B"/>
    <w:rsid w:val="00D541D5"/>
    <w:rsid w:val="00D54950"/>
    <w:rsid w:val="00D5503E"/>
    <w:rsid w:val="00D5563C"/>
    <w:rsid w:val="00D56405"/>
    <w:rsid w:val="00D56863"/>
    <w:rsid w:val="00D571A8"/>
    <w:rsid w:val="00D57363"/>
    <w:rsid w:val="00D60100"/>
    <w:rsid w:val="00D60300"/>
    <w:rsid w:val="00D60574"/>
    <w:rsid w:val="00D61703"/>
    <w:rsid w:val="00D6275A"/>
    <w:rsid w:val="00D62762"/>
    <w:rsid w:val="00D62C69"/>
    <w:rsid w:val="00D62D3A"/>
    <w:rsid w:val="00D6319A"/>
    <w:rsid w:val="00D6325A"/>
    <w:rsid w:val="00D637B4"/>
    <w:rsid w:val="00D63D37"/>
    <w:rsid w:val="00D6403B"/>
    <w:rsid w:val="00D64CDC"/>
    <w:rsid w:val="00D65EDE"/>
    <w:rsid w:val="00D661D2"/>
    <w:rsid w:val="00D6623B"/>
    <w:rsid w:val="00D665D9"/>
    <w:rsid w:val="00D66B44"/>
    <w:rsid w:val="00D671B0"/>
    <w:rsid w:val="00D67303"/>
    <w:rsid w:val="00D6761D"/>
    <w:rsid w:val="00D67736"/>
    <w:rsid w:val="00D67967"/>
    <w:rsid w:val="00D67D40"/>
    <w:rsid w:val="00D710F9"/>
    <w:rsid w:val="00D71B9C"/>
    <w:rsid w:val="00D71DB3"/>
    <w:rsid w:val="00D72F59"/>
    <w:rsid w:val="00D735A6"/>
    <w:rsid w:val="00D738E3"/>
    <w:rsid w:val="00D74699"/>
    <w:rsid w:val="00D754E4"/>
    <w:rsid w:val="00D763BD"/>
    <w:rsid w:val="00D76E07"/>
    <w:rsid w:val="00D77833"/>
    <w:rsid w:val="00D80231"/>
    <w:rsid w:val="00D802A7"/>
    <w:rsid w:val="00D80ABF"/>
    <w:rsid w:val="00D8191B"/>
    <w:rsid w:val="00D83045"/>
    <w:rsid w:val="00D83164"/>
    <w:rsid w:val="00D83A1F"/>
    <w:rsid w:val="00D83C8A"/>
    <w:rsid w:val="00D83CFB"/>
    <w:rsid w:val="00D83D04"/>
    <w:rsid w:val="00D84892"/>
    <w:rsid w:val="00D84963"/>
    <w:rsid w:val="00D8539A"/>
    <w:rsid w:val="00D8716E"/>
    <w:rsid w:val="00D873EE"/>
    <w:rsid w:val="00D90085"/>
    <w:rsid w:val="00D90538"/>
    <w:rsid w:val="00D9068F"/>
    <w:rsid w:val="00D90A02"/>
    <w:rsid w:val="00D911D3"/>
    <w:rsid w:val="00D9169D"/>
    <w:rsid w:val="00D91A4B"/>
    <w:rsid w:val="00D9249C"/>
    <w:rsid w:val="00D92BC5"/>
    <w:rsid w:val="00D92E9E"/>
    <w:rsid w:val="00D935BE"/>
    <w:rsid w:val="00D940C5"/>
    <w:rsid w:val="00D9495C"/>
    <w:rsid w:val="00D94A92"/>
    <w:rsid w:val="00D94F0F"/>
    <w:rsid w:val="00D960E6"/>
    <w:rsid w:val="00D96945"/>
    <w:rsid w:val="00D96BA2"/>
    <w:rsid w:val="00D96E15"/>
    <w:rsid w:val="00D96F4D"/>
    <w:rsid w:val="00DA00BE"/>
    <w:rsid w:val="00DA0BB3"/>
    <w:rsid w:val="00DA0D99"/>
    <w:rsid w:val="00DA0E23"/>
    <w:rsid w:val="00DA18BE"/>
    <w:rsid w:val="00DA2869"/>
    <w:rsid w:val="00DA2931"/>
    <w:rsid w:val="00DA332B"/>
    <w:rsid w:val="00DA348A"/>
    <w:rsid w:val="00DA412E"/>
    <w:rsid w:val="00DA4795"/>
    <w:rsid w:val="00DA4DA3"/>
    <w:rsid w:val="00DA59E8"/>
    <w:rsid w:val="00DA62F3"/>
    <w:rsid w:val="00DA7E7E"/>
    <w:rsid w:val="00DB05AB"/>
    <w:rsid w:val="00DB09CA"/>
    <w:rsid w:val="00DB103D"/>
    <w:rsid w:val="00DB12BD"/>
    <w:rsid w:val="00DB1526"/>
    <w:rsid w:val="00DB2767"/>
    <w:rsid w:val="00DB2D8A"/>
    <w:rsid w:val="00DB3C24"/>
    <w:rsid w:val="00DB4250"/>
    <w:rsid w:val="00DB6252"/>
    <w:rsid w:val="00DB6269"/>
    <w:rsid w:val="00DB6356"/>
    <w:rsid w:val="00DC0C3F"/>
    <w:rsid w:val="00DC1DE8"/>
    <w:rsid w:val="00DC28FC"/>
    <w:rsid w:val="00DC2F22"/>
    <w:rsid w:val="00DC311A"/>
    <w:rsid w:val="00DC3D0E"/>
    <w:rsid w:val="00DC3DBC"/>
    <w:rsid w:val="00DC3FA4"/>
    <w:rsid w:val="00DC3FD6"/>
    <w:rsid w:val="00DC4C18"/>
    <w:rsid w:val="00DC616C"/>
    <w:rsid w:val="00DC63A5"/>
    <w:rsid w:val="00DC65D5"/>
    <w:rsid w:val="00DC6B00"/>
    <w:rsid w:val="00DC73D6"/>
    <w:rsid w:val="00DC7485"/>
    <w:rsid w:val="00DC7AE0"/>
    <w:rsid w:val="00DD0760"/>
    <w:rsid w:val="00DD0F2C"/>
    <w:rsid w:val="00DD1F3D"/>
    <w:rsid w:val="00DD21B1"/>
    <w:rsid w:val="00DD22B8"/>
    <w:rsid w:val="00DD3274"/>
    <w:rsid w:val="00DD3E4F"/>
    <w:rsid w:val="00DD403B"/>
    <w:rsid w:val="00DD60F7"/>
    <w:rsid w:val="00DD7E0C"/>
    <w:rsid w:val="00DD7F89"/>
    <w:rsid w:val="00DE0225"/>
    <w:rsid w:val="00DE0723"/>
    <w:rsid w:val="00DE0966"/>
    <w:rsid w:val="00DE10E6"/>
    <w:rsid w:val="00DE152F"/>
    <w:rsid w:val="00DE3262"/>
    <w:rsid w:val="00DE471D"/>
    <w:rsid w:val="00DE4B5E"/>
    <w:rsid w:val="00DE679C"/>
    <w:rsid w:val="00DE6A7E"/>
    <w:rsid w:val="00DE72C8"/>
    <w:rsid w:val="00DE7BE3"/>
    <w:rsid w:val="00DF0188"/>
    <w:rsid w:val="00DF01D1"/>
    <w:rsid w:val="00DF11AE"/>
    <w:rsid w:val="00DF1715"/>
    <w:rsid w:val="00DF22B1"/>
    <w:rsid w:val="00DF294C"/>
    <w:rsid w:val="00DF2A1F"/>
    <w:rsid w:val="00DF2F88"/>
    <w:rsid w:val="00DF3A57"/>
    <w:rsid w:val="00DF3A88"/>
    <w:rsid w:val="00DF4661"/>
    <w:rsid w:val="00DF5F2F"/>
    <w:rsid w:val="00DF5FA1"/>
    <w:rsid w:val="00DF69EE"/>
    <w:rsid w:val="00DF7490"/>
    <w:rsid w:val="00E001BA"/>
    <w:rsid w:val="00E00ACE"/>
    <w:rsid w:val="00E01310"/>
    <w:rsid w:val="00E01A99"/>
    <w:rsid w:val="00E02FB6"/>
    <w:rsid w:val="00E03B84"/>
    <w:rsid w:val="00E04B48"/>
    <w:rsid w:val="00E04F16"/>
    <w:rsid w:val="00E05F7D"/>
    <w:rsid w:val="00E05FB5"/>
    <w:rsid w:val="00E05FE1"/>
    <w:rsid w:val="00E06F68"/>
    <w:rsid w:val="00E103D2"/>
    <w:rsid w:val="00E1047F"/>
    <w:rsid w:val="00E10F39"/>
    <w:rsid w:val="00E11C0E"/>
    <w:rsid w:val="00E11EF2"/>
    <w:rsid w:val="00E12CB9"/>
    <w:rsid w:val="00E13E20"/>
    <w:rsid w:val="00E142EF"/>
    <w:rsid w:val="00E14663"/>
    <w:rsid w:val="00E14781"/>
    <w:rsid w:val="00E153EF"/>
    <w:rsid w:val="00E1547A"/>
    <w:rsid w:val="00E15E7B"/>
    <w:rsid w:val="00E167ED"/>
    <w:rsid w:val="00E16C83"/>
    <w:rsid w:val="00E21E81"/>
    <w:rsid w:val="00E22435"/>
    <w:rsid w:val="00E232F5"/>
    <w:rsid w:val="00E24696"/>
    <w:rsid w:val="00E24AB0"/>
    <w:rsid w:val="00E25742"/>
    <w:rsid w:val="00E257DF"/>
    <w:rsid w:val="00E25919"/>
    <w:rsid w:val="00E263DA"/>
    <w:rsid w:val="00E26B53"/>
    <w:rsid w:val="00E26FCF"/>
    <w:rsid w:val="00E30129"/>
    <w:rsid w:val="00E3058C"/>
    <w:rsid w:val="00E30DAA"/>
    <w:rsid w:val="00E31040"/>
    <w:rsid w:val="00E310C8"/>
    <w:rsid w:val="00E31127"/>
    <w:rsid w:val="00E311D7"/>
    <w:rsid w:val="00E31823"/>
    <w:rsid w:val="00E3183E"/>
    <w:rsid w:val="00E320AA"/>
    <w:rsid w:val="00E324E9"/>
    <w:rsid w:val="00E3263F"/>
    <w:rsid w:val="00E328A2"/>
    <w:rsid w:val="00E33DCC"/>
    <w:rsid w:val="00E349D1"/>
    <w:rsid w:val="00E34BFD"/>
    <w:rsid w:val="00E351F2"/>
    <w:rsid w:val="00E35CB9"/>
    <w:rsid w:val="00E35D92"/>
    <w:rsid w:val="00E4055D"/>
    <w:rsid w:val="00E4102B"/>
    <w:rsid w:val="00E41C98"/>
    <w:rsid w:val="00E4256D"/>
    <w:rsid w:val="00E4323F"/>
    <w:rsid w:val="00E441A4"/>
    <w:rsid w:val="00E44592"/>
    <w:rsid w:val="00E44895"/>
    <w:rsid w:val="00E44B7D"/>
    <w:rsid w:val="00E4509A"/>
    <w:rsid w:val="00E4517E"/>
    <w:rsid w:val="00E4563B"/>
    <w:rsid w:val="00E45676"/>
    <w:rsid w:val="00E45E49"/>
    <w:rsid w:val="00E46005"/>
    <w:rsid w:val="00E46300"/>
    <w:rsid w:val="00E4634E"/>
    <w:rsid w:val="00E463C7"/>
    <w:rsid w:val="00E464BB"/>
    <w:rsid w:val="00E46B8E"/>
    <w:rsid w:val="00E476D5"/>
    <w:rsid w:val="00E47BB6"/>
    <w:rsid w:val="00E5088C"/>
    <w:rsid w:val="00E50C5F"/>
    <w:rsid w:val="00E50DA2"/>
    <w:rsid w:val="00E515D2"/>
    <w:rsid w:val="00E53095"/>
    <w:rsid w:val="00E534C9"/>
    <w:rsid w:val="00E55DED"/>
    <w:rsid w:val="00E56309"/>
    <w:rsid w:val="00E56313"/>
    <w:rsid w:val="00E56AB4"/>
    <w:rsid w:val="00E56D2E"/>
    <w:rsid w:val="00E56ECA"/>
    <w:rsid w:val="00E574B2"/>
    <w:rsid w:val="00E57600"/>
    <w:rsid w:val="00E60102"/>
    <w:rsid w:val="00E602AC"/>
    <w:rsid w:val="00E60F6E"/>
    <w:rsid w:val="00E61F99"/>
    <w:rsid w:val="00E62346"/>
    <w:rsid w:val="00E6288B"/>
    <w:rsid w:val="00E639BC"/>
    <w:rsid w:val="00E63CE6"/>
    <w:rsid w:val="00E641E6"/>
    <w:rsid w:val="00E646F7"/>
    <w:rsid w:val="00E65217"/>
    <w:rsid w:val="00E65922"/>
    <w:rsid w:val="00E65A9D"/>
    <w:rsid w:val="00E65EBF"/>
    <w:rsid w:val="00E65F47"/>
    <w:rsid w:val="00E661AA"/>
    <w:rsid w:val="00E663FD"/>
    <w:rsid w:val="00E66AE6"/>
    <w:rsid w:val="00E66AF8"/>
    <w:rsid w:val="00E6736C"/>
    <w:rsid w:val="00E6795B"/>
    <w:rsid w:val="00E67C2F"/>
    <w:rsid w:val="00E67F79"/>
    <w:rsid w:val="00E70609"/>
    <w:rsid w:val="00E7086E"/>
    <w:rsid w:val="00E71B20"/>
    <w:rsid w:val="00E71B56"/>
    <w:rsid w:val="00E72362"/>
    <w:rsid w:val="00E723BF"/>
    <w:rsid w:val="00E72716"/>
    <w:rsid w:val="00E731B0"/>
    <w:rsid w:val="00E73381"/>
    <w:rsid w:val="00E73CA9"/>
    <w:rsid w:val="00E744C5"/>
    <w:rsid w:val="00E74800"/>
    <w:rsid w:val="00E74824"/>
    <w:rsid w:val="00E74958"/>
    <w:rsid w:val="00E75869"/>
    <w:rsid w:val="00E75D36"/>
    <w:rsid w:val="00E75F2D"/>
    <w:rsid w:val="00E76305"/>
    <w:rsid w:val="00E76D3B"/>
    <w:rsid w:val="00E77734"/>
    <w:rsid w:val="00E800C0"/>
    <w:rsid w:val="00E80670"/>
    <w:rsid w:val="00E815C4"/>
    <w:rsid w:val="00E81F1C"/>
    <w:rsid w:val="00E822A0"/>
    <w:rsid w:val="00E82A0D"/>
    <w:rsid w:val="00E82DE6"/>
    <w:rsid w:val="00E83A13"/>
    <w:rsid w:val="00E83B82"/>
    <w:rsid w:val="00E8498B"/>
    <w:rsid w:val="00E85181"/>
    <w:rsid w:val="00E8520A"/>
    <w:rsid w:val="00E85848"/>
    <w:rsid w:val="00E861CB"/>
    <w:rsid w:val="00E8642A"/>
    <w:rsid w:val="00E86675"/>
    <w:rsid w:val="00E8762B"/>
    <w:rsid w:val="00E9123C"/>
    <w:rsid w:val="00E9189B"/>
    <w:rsid w:val="00E9323F"/>
    <w:rsid w:val="00E93ADC"/>
    <w:rsid w:val="00E93CC2"/>
    <w:rsid w:val="00E95034"/>
    <w:rsid w:val="00E95E9F"/>
    <w:rsid w:val="00E9612E"/>
    <w:rsid w:val="00E96932"/>
    <w:rsid w:val="00E96B02"/>
    <w:rsid w:val="00E9702D"/>
    <w:rsid w:val="00E974D9"/>
    <w:rsid w:val="00E9777D"/>
    <w:rsid w:val="00E97826"/>
    <w:rsid w:val="00E97EA7"/>
    <w:rsid w:val="00EA0F7D"/>
    <w:rsid w:val="00EA10CE"/>
    <w:rsid w:val="00EA1479"/>
    <w:rsid w:val="00EA169A"/>
    <w:rsid w:val="00EA1B57"/>
    <w:rsid w:val="00EA1B78"/>
    <w:rsid w:val="00EA316D"/>
    <w:rsid w:val="00EA3392"/>
    <w:rsid w:val="00EA3DB0"/>
    <w:rsid w:val="00EA4435"/>
    <w:rsid w:val="00EA5010"/>
    <w:rsid w:val="00EA6524"/>
    <w:rsid w:val="00EA6E6F"/>
    <w:rsid w:val="00EA70D4"/>
    <w:rsid w:val="00EB014D"/>
    <w:rsid w:val="00EB0360"/>
    <w:rsid w:val="00EB0585"/>
    <w:rsid w:val="00EB0E36"/>
    <w:rsid w:val="00EB17F0"/>
    <w:rsid w:val="00EB1B6C"/>
    <w:rsid w:val="00EB23B9"/>
    <w:rsid w:val="00EB284D"/>
    <w:rsid w:val="00EB3E06"/>
    <w:rsid w:val="00EB44DC"/>
    <w:rsid w:val="00EB4A90"/>
    <w:rsid w:val="00EB4DBB"/>
    <w:rsid w:val="00EB55AB"/>
    <w:rsid w:val="00EB57DB"/>
    <w:rsid w:val="00EB5AEF"/>
    <w:rsid w:val="00EB6336"/>
    <w:rsid w:val="00EB667F"/>
    <w:rsid w:val="00EB69AB"/>
    <w:rsid w:val="00EB6F95"/>
    <w:rsid w:val="00EB7DE1"/>
    <w:rsid w:val="00EC0050"/>
    <w:rsid w:val="00EC00CD"/>
    <w:rsid w:val="00EC06DC"/>
    <w:rsid w:val="00EC08A6"/>
    <w:rsid w:val="00EC12AA"/>
    <w:rsid w:val="00EC1610"/>
    <w:rsid w:val="00EC1D10"/>
    <w:rsid w:val="00EC28EA"/>
    <w:rsid w:val="00EC2C60"/>
    <w:rsid w:val="00EC3C54"/>
    <w:rsid w:val="00EC5F63"/>
    <w:rsid w:val="00EC6F6F"/>
    <w:rsid w:val="00EC700F"/>
    <w:rsid w:val="00EC7351"/>
    <w:rsid w:val="00ED02B4"/>
    <w:rsid w:val="00ED0B2D"/>
    <w:rsid w:val="00ED0CEE"/>
    <w:rsid w:val="00ED2E8E"/>
    <w:rsid w:val="00ED3D2F"/>
    <w:rsid w:val="00ED4315"/>
    <w:rsid w:val="00ED4574"/>
    <w:rsid w:val="00ED54A6"/>
    <w:rsid w:val="00ED5BF7"/>
    <w:rsid w:val="00ED5C97"/>
    <w:rsid w:val="00ED5E80"/>
    <w:rsid w:val="00ED5FED"/>
    <w:rsid w:val="00ED60FF"/>
    <w:rsid w:val="00ED62D2"/>
    <w:rsid w:val="00ED6FDC"/>
    <w:rsid w:val="00ED7334"/>
    <w:rsid w:val="00ED76E1"/>
    <w:rsid w:val="00ED7BD5"/>
    <w:rsid w:val="00ED7C36"/>
    <w:rsid w:val="00EE1F0D"/>
    <w:rsid w:val="00EE2799"/>
    <w:rsid w:val="00EE27CF"/>
    <w:rsid w:val="00EE48AD"/>
    <w:rsid w:val="00EE4A87"/>
    <w:rsid w:val="00EE5492"/>
    <w:rsid w:val="00EE57CD"/>
    <w:rsid w:val="00EE5AA1"/>
    <w:rsid w:val="00EE5CEB"/>
    <w:rsid w:val="00EE657C"/>
    <w:rsid w:val="00EE725C"/>
    <w:rsid w:val="00EE77F7"/>
    <w:rsid w:val="00EE7975"/>
    <w:rsid w:val="00EE7985"/>
    <w:rsid w:val="00EE79F7"/>
    <w:rsid w:val="00EE7FE8"/>
    <w:rsid w:val="00EF0990"/>
    <w:rsid w:val="00EF0FA1"/>
    <w:rsid w:val="00EF163C"/>
    <w:rsid w:val="00EF1768"/>
    <w:rsid w:val="00EF1A3B"/>
    <w:rsid w:val="00EF2232"/>
    <w:rsid w:val="00EF340C"/>
    <w:rsid w:val="00EF3411"/>
    <w:rsid w:val="00EF3F67"/>
    <w:rsid w:val="00EF4134"/>
    <w:rsid w:val="00EF45CC"/>
    <w:rsid w:val="00EF4DF8"/>
    <w:rsid w:val="00EF566B"/>
    <w:rsid w:val="00EF5953"/>
    <w:rsid w:val="00EF652C"/>
    <w:rsid w:val="00EF67A7"/>
    <w:rsid w:val="00EF7158"/>
    <w:rsid w:val="00EF736B"/>
    <w:rsid w:val="00EF7690"/>
    <w:rsid w:val="00EF7D84"/>
    <w:rsid w:val="00F00242"/>
    <w:rsid w:val="00F00525"/>
    <w:rsid w:val="00F0082A"/>
    <w:rsid w:val="00F00890"/>
    <w:rsid w:val="00F00C5B"/>
    <w:rsid w:val="00F00C69"/>
    <w:rsid w:val="00F00D97"/>
    <w:rsid w:val="00F0151A"/>
    <w:rsid w:val="00F01C4A"/>
    <w:rsid w:val="00F030EC"/>
    <w:rsid w:val="00F03C2A"/>
    <w:rsid w:val="00F042AB"/>
    <w:rsid w:val="00F05299"/>
    <w:rsid w:val="00F05C51"/>
    <w:rsid w:val="00F05D52"/>
    <w:rsid w:val="00F05DE8"/>
    <w:rsid w:val="00F06439"/>
    <w:rsid w:val="00F06D2C"/>
    <w:rsid w:val="00F07B63"/>
    <w:rsid w:val="00F10423"/>
    <w:rsid w:val="00F10967"/>
    <w:rsid w:val="00F10F6A"/>
    <w:rsid w:val="00F11573"/>
    <w:rsid w:val="00F11723"/>
    <w:rsid w:val="00F11E39"/>
    <w:rsid w:val="00F11F64"/>
    <w:rsid w:val="00F11FAD"/>
    <w:rsid w:val="00F135CA"/>
    <w:rsid w:val="00F1430F"/>
    <w:rsid w:val="00F14408"/>
    <w:rsid w:val="00F14661"/>
    <w:rsid w:val="00F14B8F"/>
    <w:rsid w:val="00F14E20"/>
    <w:rsid w:val="00F15051"/>
    <w:rsid w:val="00F1547F"/>
    <w:rsid w:val="00F1631C"/>
    <w:rsid w:val="00F206D0"/>
    <w:rsid w:val="00F210C6"/>
    <w:rsid w:val="00F2203D"/>
    <w:rsid w:val="00F22CD7"/>
    <w:rsid w:val="00F24892"/>
    <w:rsid w:val="00F24CFC"/>
    <w:rsid w:val="00F26339"/>
    <w:rsid w:val="00F26405"/>
    <w:rsid w:val="00F268C2"/>
    <w:rsid w:val="00F27BB5"/>
    <w:rsid w:val="00F27E26"/>
    <w:rsid w:val="00F302AF"/>
    <w:rsid w:val="00F303C9"/>
    <w:rsid w:val="00F30779"/>
    <w:rsid w:val="00F30925"/>
    <w:rsid w:val="00F309B9"/>
    <w:rsid w:val="00F31288"/>
    <w:rsid w:val="00F31783"/>
    <w:rsid w:val="00F320E9"/>
    <w:rsid w:val="00F32E32"/>
    <w:rsid w:val="00F33659"/>
    <w:rsid w:val="00F33A9C"/>
    <w:rsid w:val="00F3410A"/>
    <w:rsid w:val="00F34711"/>
    <w:rsid w:val="00F34854"/>
    <w:rsid w:val="00F34CC5"/>
    <w:rsid w:val="00F34D5C"/>
    <w:rsid w:val="00F35F4B"/>
    <w:rsid w:val="00F36E63"/>
    <w:rsid w:val="00F36F2A"/>
    <w:rsid w:val="00F36FDE"/>
    <w:rsid w:val="00F370F7"/>
    <w:rsid w:val="00F37392"/>
    <w:rsid w:val="00F37EC3"/>
    <w:rsid w:val="00F408CC"/>
    <w:rsid w:val="00F42A46"/>
    <w:rsid w:val="00F433B5"/>
    <w:rsid w:val="00F4355F"/>
    <w:rsid w:val="00F44AD1"/>
    <w:rsid w:val="00F44E29"/>
    <w:rsid w:val="00F451F5"/>
    <w:rsid w:val="00F4521A"/>
    <w:rsid w:val="00F4545B"/>
    <w:rsid w:val="00F4595E"/>
    <w:rsid w:val="00F45C95"/>
    <w:rsid w:val="00F4650A"/>
    <w:rsid w:val="00F46E1F"/>
    <w:rsid w:val="00F46EB7"/>
    <w:rsid w:val="00F50332"/>
    <w:rsid w:val="00F51904"/>
    <w:rsid w:val="00F52DAD"/>
    <w:rsid w:val="00F534E3"/>
    <w:rsid w:val="00F53EDD"/>
    <w:rsid w:val="00F548C6"/>
    <w:rsid w:val="00F553B6"/>
    <w:rsid w:val="00F5556A"/>
    <w:rsid w:val="00F55D09"/>
    <w:rsid w:val="00F56D32"/>
    <w:rsid w:val="00F57391"/>
    <w:rsid w:val="00F575A6"/>
    <w:rsid w:val="00F578A9"/>
    <w:rsid w:val="00F60BF8"/>
    <w:rsid w:val="00F612AA"/>
    <w:rsid w:val="00F61A78"/>
    <w:rsid w:val="00F61DF8"/>
    <w:rsid w:val="00F6219E"/>
    <w:rsid w:val="00F6269B"/>
    <w:rsid w:val="00F62FCA"/>
    <w:rsid w:val="00F6326A"/>
    <w:rsid w:val="00F64472"/>
    <w:rsid w:val="00F647D8"/>
    <w:rsid w:val="00F64F5D"/>
    <w:rsid w:val="00F65619"/>
    <w:rsid w:val="00F65C11"/>
    <w:rsid w:val="00F6641F"/>
    <w:rsid w:val="00F6693F"/>
    <w:rsid w:val="00F66C09"/>
    <w:rsid w:val="00F66ECC"/>
    <w:rsid w:val="00F67554"/>
    <w:rsid w:val="00F67CFA"/>
    <w:rsid w:val="00F70CD3"/>
    <w:rsid w:val="00F70FBB"/>
    <w:rsid w:val="00F71C22"/>
    <w:rsid w:val="00F71C5C"/>
    <w:rsid w:val="00F72600"/>
    <w:rsid w:val="00F726A4"/>
    <w:rsid w:val="00F72716"/>
    <w:rsid w:val="00F7373E"/>
    <w:rsid w:val="00F737CC"/>
    <w:rsid w:val="00F737D8"/>
    <w:rsid w:val="00F740A5"/>
    <w:rsid w:val="00F743C2"/>
    <w:rsid w:val="00F74665"/>
    <w:rsid w:val="00F74C30"/>
    <w:rsid w:val="00F7508E"/>
    <w:rsid w:val="00F7570D"/>
    <w:rsid w:val="00F75813"/>
    <w:rsid w:val="00F75924"/>
    <w:rsid w:val="00F75E7E"/>
    <w:rsid w:val="00F76D1B"/>
    <w:rsid w:val="00F80414"/>
    <w:rsid w:val="00F810A6"/>
    <w:rsid w:val="00F810AE"/>
    <w:rsid w:val="00F82508"/>
    <w:rsid w:val="00F827DB"/>
    <w:rsid w:val="00F833B8"/>
    <w:rsid w:val="00F8385A"/>
    <w:rsid w:val="00F83AE5"/>
    <w:rsid w:val="00F83E43"/>
    <w:rsid w:val="00F84D53"/>
    <w:rsid w:val="00F854B5"/>
    <w:rsid w:val="00F85578"/>
    <w:rsid w:val="00F85C37"/>
    <w:rsid w:val="00F86001"/>
    <w:rsid w:val="00F86428"/>
    <w:rsid w:val="00F865DF"/>
    <w:rsid w:val="00F87858"/>
    <w:rsid w:val="00F87BEF"/>
    <w:rsid w:val="00F90701"/>
    <w:rsid w:val="00F907FD"/>
    <w:rsid w:val="00F9085A"/>
    <w:rsid w:val="00F90B89"/>
    <w:rsid w:val="00F910DE"/>
    <w:rsid w:val="00F92A34"/>
    <w:rsid w:val="00F92A75"/>
    <w:rsid w:val="00F94354"/>
    <w:rsid w:val="00F94360"/>
    <w:rsid w:val="00F950C3"/>
    <w:rsid w:val="00F9540E"/>
    <w:rsid w:val="00F95870"/>
    <w:rsid w:val="00F95CEE"/>
    <w:rsid w:val="00F967F7"/>
    <w:rsid w:val="00F968F1"/>
    <w:rsid w:val="00F96B59"/>
    <w:rsid w:val="00F97A40"/>
    <w:rsid w:val="00F97CB0"/>
    <w:rsid w:val="00FA0D20"/>
    <w:rsid w:val="00FA1123"/>
    <w:rsid w:val="00FA1FC2"/>
    <w:rsid w:val="00FA2603"/>
    <w:rsid w:val="00FA37E1"/>
    <w:rsid w:val="00FA3C74"/>
    <w:rsid w:val="00FA3DBE"/>
    <w:rsid w:val="00FA4385"/>
    <w:rsid w:val="00FA4525"/>
    <w:rsid w:val="00FA457F"/>
    <w:rsid w:val="00FA4DC7"/>
    <w:rsid w:val="00FA4E69"/>
    <w:rsid w:val="00FA611D"/>
    <w:rsid w:val="00FA658F"/>
    <w:rsid w:val="00FA7017"/>
    <w:rsid w:val="00FA79C8"/>
    <w:rsid w:val="00FB0589"/>
    <w:rsid w:val="00FB0755"/>
    <w:rsid w:val="00FB0C61"/>
    <w:rsid w:val="00FB0D40"/>
    <w:rsid w:val="00FB1041"/>
    <w:rsid w:val="00FB261D"/>
    <w:rsid w:val="00FB2D72"/>
    <w:rsid w:val="00FB333F"/>
    <w:rsid w:val="00FB3EF9"/>
    <w:rsid w:val="00FB53A6"/>
    <w:rsid w:val="00FB587C"/>
    <w:rsid w:val="00FB6B01"/>
    <w:rsid w:val="00FB6BA0"/>
    <w:rsid w:val="00FB6EA6"/>
    <w:rsid w:val="00FB6F9F"/>
    <w:rsid w:val="00FB735F"/>
    <w:rsid w:val="00FB7365"/>
    <w:rsid w:val="00FC0172"/>
    <w:rsid w:val="00FC0724"/>
    <w:rsid w:val="00FC0746"/>
    <w:rsid w:val="00FC0BAD"/>
    <w:rsid w:val="00FC0D22"/>
    <w:rsid w:val="00FC0D3F"/>
    <w:rsid w:val="00FC280A"/>
    <w:rsid w:val="00FC2FE6"/>
    <w:rsid w:val="00FC391D"/>
    <w:rsid w:val="00FC3AA3"/>
    <w:rsid w:val="00FC3F19"/>
    <w:rsid w:val="00FC52D2"/>
    <w:rsid w:val="00FC66A3"/>
    <w:rsid w:val="00FC6AA1"/>
    <w:rsid w:val="00FC795D"/>
    <w:rsid w:val="00FC7F73"/>
    <w:rsid w:val="00FD0C3E"/>
    <w:rsid w:val="00FD150E"/>
    <w:rsid w:val="00FD1D87"/>
    <w:rsid w:val="00FD1E47"/>
    <w:rsid w:val="00FD2DC5"/>
    <w:rsid w:val="00FD311E"/>
    <w:rsid w:val="00FD319C"/>
    <w:rsid w:val="00FD3B94"/>
    <w:rsid w:val="00FD421E"/>
    <w:rsid w:val="00FD428C"/>
    <w:rsid w:val="00FD4323"/>
    <w:rsid w:val="00FD5A1D"/>
    <w:rsid w:val="00FD5A88"/>
    <w:rsid w:val="00FD6039"/>
    <w:rsid w:val="00FD675C"/>
    <w:rsid w:val="00FD6E31"/>
    <w:rsid w:val="00FD7703"/>
    <w:rsid w:val="00FE0613"/>
    <w:rsid w:val="00FE0C8F"/>
    <w:rsid w:val="00FE18C7"/>
    <w:rsid w:val="00FE23AB"/>
    <w:rsid w:val="00FE28BB"/>
    <w:rsid w:val="00FE3532"/>
    <w:rsid w:val="00FE42BE"/>
    <w:rsid w:val="00FE445A"/>
    <w:rsid w:val="00FE47C8"/>
    <w:rsid w:val="00FE5B16"/>
    <w:rsid w:val="00FE6028"/>
    <w:rsid w:val="00FE6F81"/>
    <w:rsid w:val="00FE739F"/>
    <w:rsid w:val="00FF018D"/>
    <w:rsid w:val="00FF0403"/>
    <w:rsid w:val="00FF1B40"/>
    <w:rsid w:val="00FF1C43"/>
    <w:rsid w:val="00FF2754"/>
    <w:rsid w:val="00FF27DE"/>
    <w:rsid w:val="00FF2801"/>
    <w:rsid w:val="00FF2F65"/>
    <w:rsid w:val="00FF46E0"/>
    <w:rsid w:val="00FF4C10"/>
    <w:rsid w:val="00FF5A10"/>
    <w:rsid w:val="00FF60EB"/>
    <w:rsid w:val="00FF6181"/>
    <w:rsid w:val="00FF64A4"/>
    <w:rsid w:val="00FF688C"/>
    <w:rsid w:val="00FF6C39"/>
    <w:rsid w:val="017212DB"/>
    <w:rsid w:val="03086BCF"/>
    <w:rsid w:val="049D2585"/>
    <w:rsid w:val="04CC58CB"/>
    <w:rsid w:val="04D33BB8"/>
    <w:rsid w:val="04EB55F0"/>
    <w:rsid w:val="087D43CA"/>
    <w:rsid w:val="0BEC6B03"/>
    <w:rsid w:val="0D5924A5"/>
    <w:rsid w:val="0E1B04F8"/>
    <w:rsid w:val="0EF00249"/>
    <w:rsid w:val="0FE30E82"/>
    <w:rsid w:val="1026298B"/>
    <w:rsid w:val="108E0EC5"/>
    <w:rsid w:val="11FD24A9"/>
    <w:rsid w:val="12B957C8"/>
    <w:rsid w:val="1354513F"/>
    <w:rsid w:val="148A3C6A"/>
    <w:rsid w:val="154C6D02"/>
    <w:rsid w:val="156E500A"/>
    <w:rsid w:val="157F4FBF"/>
    <w:rsid w:val="15D608EC"/>
    <w:rsid w:val="162D376A"/>
    <w:rsid w:val="16885D48"/>
    <w:rsid w:val="17535373"/>
    <w:rsid w:val="17F943C3"/>
    <w:rsid w:val="183718FE"/>
    <w:rsid w:val="19C944C7"/>
    <w:rsid w:val="1A5E74BB"/>
    <w:rsid w:val="1AC14B69"/>
    <w:rsid w:val="1CF8121C"/>
    <w:rsid w:val="1D896282"/>
    <w:rsid w:val="1E373C0A"/>
    <w:rsid w:val="1E6154BD"/>
    <w:rsid w:val="1ED667B3"/>
    <w:rsid w:val="1F993EC7"/>
    <w:rsid w:val="1FA9685A"/>
    <w:rsid w:val="212266F4"/>
    <w:rsid w:val="215410A1"/>
    <w:rsid w:val="248B0DDF"/>
    <w:rsid w:val="24F432B7"/>
    <w:rsid w:val="26D67523"/>
    <w:rsid w:val="27FF24DB"/>
    <w:rsid w:val="286F616F"/>
    <w:rsid w:val="28DD4E46"/>
    <w:rsid w:val="28F74EA9"/>
    <w:rsid w:val="28F75199"/>
    <w:rsid w:val="294848E5"/>
    <w:rsid w:val="29DB30E0"/>
    <w:rsid w:val="2AA44EBE"/>
    <w:rsid w:val="2BB5436E"/>
    <w:rsid w:val="2CAE26BA"/>
    <w:rsid w:val="2D4F5841"/>
    <w:rsid w:val="2DBF0742"/>
    <w:rsid w:val="2EC9070A"/>
    <w:rsid w:val="2F662FD9"/>
    <w:rsid w:val="3029023D"/>
    <w:rsid w:val="30AD7863"/>
    <w:rsid w:val="30C63809"/>
    <w:rsid w:val="31CD6CFB"/>
    <w:rsid w:val="32034CA1"/>
    <w:rsid w:val="32A97B18"/>
    <w:rsid w:val="32D97C91"/>
    <w:rsid w:val="33381CA6"/>
    <w:rsid w:val="337C5731"/>
    <w:rsid w:val="34322AD8"/>
    <w:rsid w:val="344B6E52"/>
    <w:rsid w:val="354D1BCC"/>
    <w:rsid w:val="35677A9B"/>
    <w:rsid w:val="357655D4"/>
    <w:rsid w:val="36022765"/>
    <w:rsid w:val="36996FA2"/>
    <w:rsid w:val="37A46185"/>
    <w:rsid w:val="37E3296E"/>
    <w:rsid w:val="38E671FC"/>
    <w:rsid w:val="38FE1CC2"/>
    <w:rsid w:val="39CD0B0D"/>
    <w:rsid w:val="3B4B12B9"/>
    <w:rsid w:val="3B8D532A"/>
    <w:rsid w:val="3C454409"/>
    <w:rsid w:val="3CDA396F"/>
    <w:rsid w:val="3CE45E92"/>
    <w:rsid w:val="3D3245E2"/>
    <w:rsid w:val="3D5B28C1"/>
    <w:rsid w:val="3DF345F8"/>
    <w:rsid w:val="400265ED"/>
    <w:rsid w:val="41FF1D8F"/>
    <w:rsid w:val="42303571"/>
    <w:rsid w:val="42D80AF1"/>
    <w:rsid w:val="434A3072"/>
    <w:rsid w:val="438079D3"/>
    <w:rsid w:val="456B1CC4"/>
    <w:rsid w:val="45D548C2"/>
    <w:rsid w:val="46646DAD"/>
    <w:rsid w:val="46880650"/>
    <w:rsid w:val="47E73402"/>
    <w:rsid w:val="49AA77A6"/>
    <w:rsid w:val="4B764851"/>
    <w:rsid w:val="4BD93E04"/>
    <w:rsid w:val="4C432B1F"/>
    <w:rsid w:val="4DB62480"/>
    <w:rsid w:val="4E4B30B0"/>
    <w:rsid w:val="4E94258B"/>
    <w:rsid w:val="4EB46585"/>
    <w:rsid w:val="4F3B4966"/>
    <w:rsid w:val="502E19DA"/>
    <w:rsid w:val="50437A89"/>
    <w:rsid w:val="50887646"/>
    <w:rsid w:val="51256D1E"/>
    <w:rsid w:val="527D4EE9"/>
    <w:rsid w:val="52DE175D"/>
    <w:rsid w:val="53013DFE"/>
    <w:rsid w:val="531C0833"/>
    <w:rsid w:val="55596361"/>
    <w:rsid w:val="56AA729A"/>
    <w:rsid w:val="58A741E8"/>
    <w:rsid w:val="5A355265"/>
    <w:rsid w:val="5A9B08FF"/>
    <w:rsid w:val="5B637897"/>
    <w:rsid w:val="5B715A6E"/>
    <w:rsid w:val="5C994142"/>
    <w:rsid w:val="5D2950F1"/>
    <w:rsid w:val="5D6857D0"/>
    <w:rsid w:val="5EBF10DF"/>
    <w:rsid w:val="5F0E44F6"/>
    <w:rsid w:val="5F5B0708"/>
    <w:rsid w:val="5FC25FA4"/>
    <w:rsid w:val="5FEB07B2"/>
    <w:rsid w:val="6030049A"/>
    <w:rsid w:val="60327757"/>
    <w:rsid w:val="60B47835"/>
    <w:rsid w:val="60C362AB"/>
    <w:rsid w:val="60F14397"/>
    <w:rsid w:val="61BE71D9"/>
    <w:rsid w:val="62F2375D"/>
    <w:rsid w:val="64912AA6"/>
    <w:rsid w:val="65621DAE"/>
    <w:rsid w:val="66176F73"/>
    <w:rsid w:val="663231AE"/>
    <w:rsid w:val="669B7A9A"/>
    <w:rsid w:val="67791FE4"/>
    <w:rsid w:val="686804BA"/>
    <w:rsid w:val="687065F7"/>
    <w:rsid w:val="69C961D4"/>
    <w:rsid w:val="6B2609CB"/>
    <w:rsid w:val="6B313323"/>
    <w:rsid w:val="6B771E07"/>
    <w:rsid w:val="6BCD173F"/>
    <w:rsid w:val="6D54530F"/>
    <w:rsid w:val="6F3930F3"/>
    <w:rsid w:val="70370503"/>
    <w:rsid w:val="70497EE8"/>
    <w:rsid w:val="705F1327"/>
    <w:rsid w:val="70B57C26"/>
    <w:rsid w:val="716D5F2E"/>
    <w:rsid w:val="72400992"/>
    <w:rsid w:val="73B17E2E"/>
    <w:rsid w:val="749D0B5F"/>
    <w:rsid w:val="760A6A79"/>
    <w:rsid w:val="764375CF"/>
    <w:rsid w:val="768D4DBC"/>
    <w:rsid w:val="771A3341"/>
    <w:rsid w:val="77A512CE"/>
    <w:rsid w:val="790E4678"/>
    <w:rsid w:val="7A5B274A"/>
    <w:rsid w:val="7B0E6D45"/>
    <w:rsid w:val="7C4227F3"/>
    <w:rsid w:val="7C824634"/>
    <w:rsid w:val="7D1075A2"/>
    <w:rsid w:val="7DE14325"/>
    <w:rsid w:val="7DF217F7"/>
    <w:rsid w:val="7E04531B"/>
    <w:rsid w:val="7E740813"/>
    <w:rsid w:val="7E7C2023"/>
  </w:rsids>
  <m:mathPr>
    <m:lMargin m:val="0"/>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nhideWhenUsed="0" w:uiPriority="99" w:semiHidden="0" w:name="heading 4"/>
    <w:lsdException w:qFormat="1" w:unhideWhenUsed="0" w:uiPriority="0" w:semiHidden="0" w:name="heading 5"/>
    <w:lsdException w:qFormat="1" w:unhideWhenUsed="0" w:uiPriority="1"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uiPriority="99" w:name="index 1"/>
    <w:lsdException w:uiPriority="99" w:name="index 2"/>
    <w:lsdException w:uiPriority="99" w:name="index 3"/>
    <w:lsdException w:qFormat="1" w:unhideWhenUsed="0" w:uiPriority="99" w:name="index 4"/>
    <w:lsdException w:uiPriority="99" w:name="index 5"/>
    <w:lsdException w:uiPriority="99" w:name="index 6"/>
    <w:lsdException w:qFormat="1" w:unhideWhenUsed="0"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99"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qFormat="1" w:unhideWhenUsed="0" w:uiPriority="0" w:semiHidden="0" w:name="Salutation"/>
    <w:lsdException w:qFormat="1" w:unhideWhenUsed="0" w:uiPriority="99"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99" w:semiHidden="0" w:name="Body Text Indent 2"/>
    <w:lsdException w:qFormat="1" w:unhideWhenUsed="0" w:uiPriority="99" w:semiHidden="0" w:name="Body Text Indent 3"/>
    <w:lsdException w:qFormat="1" w:unhideWhenUsed="0" w:uiPriority="0" w:semiHidden="0" w:name="Block Text"/>
    <w:lsdException w:qFormat="1" w:unhideWhenUsed="0" w:uiPriority="99" w:semiHidden="0" w:name="Hyperlink"/>
    <w:lsdException w:uiPriority="0" w:name="FollowedHyperlink"/>
    <w:lsdException w:qFormat="1" w:unhideWhenUsed="0" w:uiPriority="22" w:semiHidden="0" w:name="Strong"/>
    <w:lsdException w:qFormat="1" w:unhideWhenUsed="0" w:uiPriority="99" w:semiHidden="0" w:name="Emphasis"/>
    <w:lsdException w:qFormat="1" w:uiPriority="99"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sz w:val="24"/>
      <w:szCs w:val="24"/>
      <w:lang w:val="en-US" w:eastAsia="zh-CN" w:bidi="ar-SA"/>
    </w:rPr>
  </w:style>
  <w:style w:type="paragraph" w:styleId="3">
    <w:name w:val="heading 1"/>
    <w:basedOn w:val="1"/>
    <w:next w:val="1"/>
    <w:link w:val="63"/>
    <w:qFormat/>
    <w:uiPriority w:val="0"/>
    <w:pPr>
      <w:keepNext/>
      <w:keepLines/>
      <w:spacing w:before="340" w:after="330" w:line="360" w:lineRule="auto"/>
      <w:jc w:val="center"/>
      <w:outlineLvl w:val="0"/>
    </w:pPr>
    <w:rPr>
      <w:rFonts w:ascii="宋体" w:hAnsi="宋体"/>
      <w:b/>
      <w:bCs/>
      <w:kern w:val="44"/>
      <w:sz w:val="32"/>
      <w:szCs w:val="32"/>
    </w:rPr>
  </w:style>
  <w:style w:type="paragraph" w:styleId="4">
    <w:name w:val="heading 2"/>
    <w:basedOn w:val="1"/>
    <w:next w:val="1"/>
    <w:link w:val="97"/>
    <w:qFormat/>
    <w:uiPriority w:val="0"/>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5">
    <w:name w:val="heading 3"/>
    <w:basedOn w:val="1"/>
    <w:next w:val="1"/>
    <w:link w:val="99"/>
    <w:qFormat/>
    <w:uiPriority w:val="99"/>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6">
    <w:name w:val="heading 4"/>
    <w:basedOn w:val="1"/>
    <w:next w:val="1"/>
    <w:link w:val="95"/>
    <w:qFormat/>
    <w:uiPriority w:val="99"/>
    <w:pPr>
      <w:keepNext/>
      <w:keepLines/>
      <w:widowControl w:val="0"/>
      <w:tabs>
        <w:tab w:val="left" w:pos="851"/>
      </w:tabs>
      <w:spacing w:before="120" w:after="120" w:line="360" w:lineRule="auto"/>
      <w:ind w:left="-2" w:leftChars="-1" w:firstLine="1"/>
      <w:outlineLvl w:val="3"/>
    </w:pPr>
    <w:rPr>
      <w:rFonts w:ascii="宋体" w:hAnsi="宋体"/>
      <w:b/>
      <w:bCs/>
      <w:sz w:val="28"/>
      <w:szCs w:val="28"/>
    </w:rPr>
  </w:style>
  <w:style w:type="paragraph" w:styleId="7">
    <w:name w:val="heading 5"/>
    <w:basedOn w:val="1"/>
    <w:next w:val="1"/>
    <w:link w:val="89"/>
    <w:qFormat/>
    <w:uiPriority w:val="0"/>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8">
    <w:name w:val="heading 6"/>
    <w:basedOn w:val="1"/>
    <w:next w:val="1"/>
    <w:link w:val="87"/>
    <w:qFormat/>
    <w:uiPriority w:val="1"/>
    <w:pPr>
      <w:keepNext/>
      <w:keepLines/>
      <w:widowControl w:val="0"/>
      <w:tabs>
        <w:tab w:val="left" w:pos="1134"/>
      </w:tabs>
      <w:spacing w:before="240" w:after="64" w:line="320" w:lineRule="auto"/>
      <w:ind w:left="1134" w:hanging="1134"/>
      <w:jc w:val="both"/>
      <w:outlineLvl w:val="5"/>
    </w:pPr>
    <w:rPr>
      <w:rFonts w:ascii="Arial" w:hAnsi="Arial" w:eastAsia="黑体"/>
      <w:b/>
      <w:bCs/>
      <w:kern w:val="2"/>
    </w:rPr>
  </w:style>
  <w:style w:type="paragraph" w:styleId="9">
    <w:name w:val="heading 7"/>
    <w:basedOn w:val="1"/>
    <w:next w:val="1"/>
    <w:link w:val="79"/>
    <w:qFormat/>
    <w:uiPriority w:val="99"/>
    <w:pPr>
      <w:keepNext/>
      <w:tabs>
        <w:tab w:val="left" w:pos="3600"/>
      </w:tabs>
      <w:spacing w:after="120"/>
      <w:outlineLvl w:val="6"/>
    </w:pPr>
    <w:rPr>
      <w:rFonts w:ascii="Arial Narrow" w:hAnsi="Arial Narrow"/>
      <w:b/>
      <w:sz w:val="20"/>
      <w:szCs w:val="20"/>
      <w:lang w:eastAsia="en-US"/>
    </w:rPr>
  </w:style>
  <w:style w:type="paragraph" w:styleId="10">
    <w:name w:val="heading 8"/>
    <w:basedOn w:val="1"/>
    <w:next w:val="1"/>
    <w:link w:val="55"/>
    <w:qFormat/>
    <w:uiPriority w:val="99"/>
    <w:pPr>
      <w:keepNext/>
      <w:keepLines/>
      <w:widowControl w:val="0"/>
      <w:spacing w:before="240" w:after="64" w:line="317" w:lineRule="auto"/>
      <w:jc w:val="both"/>
      <w:outlineLvl w:val="7"/>
    </w:pPr>
    <w:rPr>
      <w:rFonts w:ascii="Arial" w:hAnsi="Arial" w:eastAsia="黑体"/>
      <w:kern w:val="2"/>
      <w:szCs w:val="20"/>
    </w:rPr>
  </w:style>
  <w:style w:type="paragraph" w:styleId="11">
    <w:name w:val="heading 9"/>
    <w:basedOn w:val="1"/>
    <w:next w:val="1"/>
    <w:link w:val="84"/>
    <w:qFormat/>
    <w:uiPriority w:val="99"/>
    <w:pPr>
      <w:keepNext/>
      <w:keepLines/>
      <w:widowControl w:val="0"/>
      <w:spacing w:before="240" w:after="64" w:line="317" w:lineRule="auto"/>
      <w:jc w:val="both"/>
      <w:outlineLvl w:val="8"/>
    </w:pPr>
    <w:rPr>
      <w:rFonts w:ascii="Arial" w:hAnsi="Arial" w:eastAsia="黑体"/>
      <w:kern w:val="2"/>
      <w:sz w:val="21"/>
      <w:szCs w:val="20"/>
    </w:rPr>
  </w:style>
  <w:style w:type="character" w:default="1" w:styleId="44">
    <w:name w:val="Default Paragraph Font"/>
    <w:unhideWhenUsed/>
    <w:qFormat/>
    <w:uiPriority w:val="1"/>
  </w:style>
  <w:style w:type="table" w:default="1" w:styleId="50">
    <w:name w:val="Normal Table"/>
    <w:unhideWhenUsed/>
    <w:qFormat/>
    <w:uiPriority w:val="99"/>
    <w:tblPr>
      <w:tblLayout w:type="fixed"/>
      <w:tblCellMar>
        <w:top w:w="0" w:type="dxa"/>
        <w:left w:w="108" w:type="dxa"/>
        <w:bottom w:w="0" w:type="dxa"/>
        <w:right w:w="108" w:type="dxa"/>
      </w:tblCellMar>
    </w:tblPr>
  </w:style>
  <w:style w:type="paragraph" w:styleId="2">
    <w:name w:val="Body Text"/>
    <w:basedOn w:val="1"/>
    <w:next w:val="1"/>
    <w:link w:val="85"/>
    <w:qFormat/>
    <w:uiPriority w:val="0"/>
    <w:pPr>
      <w:spacing w:after="120"/>
    </w:pPr>
  </w:style>
  <w:style w:type="paragraph" w:styleId="12">
    <w:name w:val="annotation subject"/>
    <w:basedOn w:val="13"/>
    <w:next w:val="13"/>
    <w:link w:val="54"/>
    <w:qFormat/>
    <w:uiPriority w:val="99"/>
    <w:rPr>
      <w:b/>
    </w:rPr>
  </w:style>
  <w:style w:type="paragraph" w:styleId="13">
    <w:name w:val="annotation text"/>
    <w:basedOn w:val="1"/>
    <w:link w:val="57"/>
    <w:qFormat/>
    <w:uiPriority w:val="0"/>
    <w:pPr>
      <w:widowControl w:val="0"/>
    </w:pPr>
    <w:rPr>
      <w:kern w:val="2"/>
      <w:sz w:val="18"/>
      <w:szCs w:val="20"/>
    </w:rPr>
  </w:style>
  <w:style w:type="paragraph" w:styleId="14">
    <w:name w:val="toc 7"/>
    <w:basedOn w:val="1"/>
    <w:next w:val="1"/>
    <w:qFormat/>
    <w:uiPriority w:val="99"/>
    <w:pPr>
      <w:widowControl w:val="0"/>
      <w:ind w:left="1080"/>
    </w:pPr>
    <w:rPr>
      <w:kern w:val="2"/>
      <w:sz w:val="18"/>
      <w:szCs w:val="20"/>
    </w:rPr>
  </w:style>
  <w:style w:type="paragraph" w:styleId="15">
    <w:name w:val="Body Text First Indent"/>
    <w:basedOn w:val="2"/>
    <w:link w:val="81"/>
    <w:qFormat/>
    <w:uiPriority w:val="0"/>
    <w:pPr>
      <w:widowControl w:val="0"/>
      <w:ind w:firstLine="420" w:firstLineChars="100"/>
      <w:jc w:val="both"/>
    </w:pPr>
    <w:rPr>
      <w:rFonts w:ascii="宋体" w:hAnsi="宋体"/>
      <w:kern w:val="2"/>
      <w:sz w:val="21"/>
    </w:rPr>
  </w:style>
  <w:style w:type="paragraph" w:styleId="16">
    <w:name w:val="Normal Indent"/>
    <w:basedOn w:val="1"/>
    <w:link w:val="82"/>
    <w:qFormat/>
    <w:uiPriority w:val="99"/>
    <w:pPr>
      <w:widowControl w:val="0"/>
      <w:spacing w:line="360" w:lineRule="auto"/>
      <w:ind w:firstLine="420" w:firstLineChars="200"/>
      <w:jc w:val="both"/>
    </w:pPr>
    <w:rPr>
      <w:kern w:val="2"/>
      <w:sz w:val="21"/>
    </w:rPr>
  </w:style>
  <w:style w:type="paragraph" w:styleId="17">
    <w:name w:val="caption"/>
    <w:basedOn w:val="1"/>
    <w:next w:val="1"/>
    <w:qFormat/>
    <w:uiPriority w:val="99"/>
    <w:pPr>
      <w:widowControl w:val="0"/>
      <w:spacing w:before="152" w:after="160" w:line="360" w:lineRule="auto"/>
      <w:jc w:val="both"/>
    </w:pPr>
    <w:rPr>
      <w:rFonts w:ascii="Arial" w:hAnsi="Arial" w:eastAsia="黑体"/>
      <w:kern w:val="2"/>
      <w:sz w:val="20"/>
      <w:szCs w:val="20"/>
    </w:rPr>
  </w:style>
  <w:style w:type="paragraph" w:styleId="18">
    <w:name w:val="Document Map"/>
    <w:basedOn w:val="1"/>
    <w:link w:val="74"/>
    <w:unhideWhenUsed/>
    <w:qFormat/>
    <w:uiPriority w:val="99"/>
    <w:rPr>
      <w:rFonts w:ascii="宋体"/>
      <w:sz w:val="18"/>
      <w:szCs w:val="18"/>
    </w:rPr>
  </w:style>
  <w:style w:type="paragraph" w:styleId="19">
    <w:name w:val="Salutation"/>
    <w:basedOn w:val="1"/>
    <w:next w:val="1"/>
    <w:link w:val="83"/>
    <w:qFormat/>
    <w:uiPriority w:val="0"/>
    <w:pPr>
      <w:widowControl w:val="0"/>
      <w:jc w:val="both"/>
    </w:pPr>
    <w:rPr>
      <w:rFonts w:eastAsia="黑体"/>
      <w:kern w:val="2"/>
      <w:szCs w:val="20"/>
    </w:rPr>
  </w:style>
  <w:style w:type="paragraph" w:styleId="20">
    <w:name w:val="Body Text 3"/>
    <w:basedOn w:val="1"/>
    <w:link w:val="96"/>
    <w:qFormat/>
    <w:uiPriority w:val="0"/>
    <w:pPr>
      <w:spacing w:after="120"/>
    </w:pPr>
    <w:rPr>
      <w:sz w:val="16"/>
      <w:szCs w:val="16"/>
    </w:rPr>
  </w:style>
  <w:style w:type="paragraph" w:styleId="21">
    <w:name w:val="Body Text Indent"/>
    <w:basedOn w:val="1"/>
    <w:link w:val="80"/>
    <w:qFormat/>
    <w:uiPriority w:val="99"/>
    <w:pPr>
      <w:widowControl w:val="0"/>
      <w:autoSpaceDE w:val="0"/>
      <w:autoSpaceDN w:val="0"/>
      <w:adjustRightInd w:val="0"/>
      <w:spacing w:line="360" w:lineRule="auto"/>
      <w:ind w:firstLine="540" w:firstLineChars="180"/>
      <w:jc w:val="both"/>
    </w:pPr>
    <w:rPr>
      <w:rFonts w:ascii="宋体"/>
      <w:sz w:val="30"/>
    </w:rPr>
  </w:style>
  <w:style w:type="paragraph" w:styleId="22">
    <w:name w:val="Block Text"/>
    <w:basedOn w:val="1"/>
    <w:qFormat/>
    <w:uiPriority w:val="0"/>
    <w:pPr>
      <w:widowControl w:val="0"/>
      <w:ind w:left="-540" w:leftChars="-257" w:right="-334" w:rightChars="-159" w:firstLine="540" w:firstLineChars="180"/>
      <w:jc w:val="both"/>
    </w:pPr>
    <w:rPr>
      <w:kern w:val="2"/>
      <w:sz w:val="30"/>
    </w:rPr>
  </w:style>
  <w:style w:type="paragraph" w:styleId="23">
    <w:name w:val="index 4"/>
    <w:basedOn w:val="1"/>
    <w:next w:val="1"/>
    <w:semiHidden/>
    <w:qFormat/>
    <w:uiPriority w:val="99"/>
    <w:pPr>
      <w:widowControl w:val="0"/>
      <w:ind w:left="600" w:leftChars="600"/>
      <w:jc w:val="both"/>
    </w:pPr>
    <w:rPr>
      <w:rFonts w:ascii="Calibri" w:hAnsi="Calibri"/>
      <w:kern w:val="2"/>
      <w:sz w:val="21"/>
      <w:szCs w:val="21"/>
    </w:rPr>
  </w:style>
  <w:style w:type="paragraph" w:styleId="24">
    <w:name w:val="toc 5"/>
    <w:basedOn w:val="1"/>
    <w:next w:val="1"/>
    <w:qFormat/>
    <w:uiPriority w:val="99"/>
    <w:pPr>
      <w:widowControl w:val="0"/>
      <w:ind w:left="720"/>
    </w:pPr>
    <w:rPr>
      <w:kern w:val="2"/>
      <w:sz w:val="18"/>
      <w:szCs w:val="20"/>
    </w:rPr>
  </w:style>
  <w:style w:type="paragraph" w:styleId="25">
    <w:name w:val="toc 3"/>
    <w:basedOn w:val="1"/>
    <w:next w:val="1"/>
    <w:qFormat/>
    <w:uiPriority w:val="99"/>
    <w:pPr>
      <w:widowControl w:val="0"/>
      <w:ind w:left="360"/>
    </w:pPr>
    <w:rPr>
      <w:i/>
      <w:kern w:val="2"/>
      <w:sz w:val="20"/>
      <w:szCs w:val="20"/>
    </w:rPr>
  </w:style>
  <w:style w:type="paragraph" w:styleId="26">
    <w:name w:val="Plain Text"/>
    <w:basedOn w:val="1"/>
    <w:link w:val="101"/>
    <w:qFormat/>
    <w:uiPriority w:val="99"/>
    <w:pPr>
      <w:widowControl w:val="0"/>
      <w:autoSpaceDE w:val="0"/>
      <w:autoSpaceDN w:val="0"/>
      <w:adjustRightInd w:val="0"/>
      <w:jc w:val="both"/>
    </w:pPr>
    <w:rPr>
      <w:rFonts w:ascii="宋体" w:hAnsi="Tms Rmn"/>
      <w:sz w:val="21"/>
      <w:szCs w:val="21"/>
    </w:rPr>
  </w:style>
  <w:style w:type="paragraph" w:styleId="27">
    <w:name w:val="toc 8"/>
    <w:basedOn w:val="1"/>
    <w:next w:val="1"/>
    <w:qFormat/>
    <w:uiPriority w:val="99"/>
    <w:pPr>
      <w:widowControl w:val="0"/>
      <w:ind w:left="1260"/>
    </w:pPr>
    <w:rPr>
      <w:kern w:val="2"/>
      <w:sz w:val="18"/>
      <w:szCs w:val="20"/>
    </w:rPr>
  </w:style>
  <w:style w:type="paragraph" w:styleId="28">
    <w:name w:val="Date"/>
    <w:basedOn w:val="1"/>
    <w:next w:val="1"/>
    <w:link w:val="75"/>
    <w:qFormat/>
    <w:uiPriority w:val="99"/>
    <w:pPr>
      <w:ind w:left="100" w:leftChars="2500"/>
    </w:pPr>
  </w:style>
  <w:style w:type="paragraph" w:styleId="29">
    <w:name w:val="Body Text Indent 2"/>
    <w:basedOn w:val="1"/>
    <w:link w:val="94"/>
    <w:qFormat/>
    <w:uiPriority w:val="99"/>
    <w:pPr>
      <w:widowControl w:val="0"/>
      <w:ind w:firstLine="540" w:firstLineChars="257"/>
      <w:jc w:val="both"/>
    </w:pPr>
    <w:rPr>
      <w:kern w:val="2"/>
      <w:sz w:val="21"/>
    </w:rPr>
  </w:style>
  <w:style w:type="paragraph" w:styleId="30">
    <w:name w:val="Balloon Text"/>
    <w:basedOn w:val="1"/>
    <w:link w:val="88"/>
    <w:semiHidden/>
    <w:qFormat/>
    <w:uiPriority w:val="99"/>
    <w:rPr>
      <w:sz w:val="18"/>
      <w:szCs w:val="18"/>
    </w:rPr>
  </w:style>
  <w:style w:type="paragraph" w:styleId="31">
    <w:name w:val="footer"/>
    <w:basedOn w:val="1"/>
    <w:link w:val="72"/>
    <w:qFormat/>
    <w:uiPriority w:val="99"/>
    <w:pPr>
      <w:tabs>
        <w:tab w:val="center" w:pos="4153"/>
        <w:tab w:val="right" w:pos="8306"/>
      </w:tabs>
      <w:snapToGrid w:val="0"/>
    </w:pPr>
    <w:rPr>
      <w:sz w:val="18"/>
      <w:szCs w:val="18"/>
    </w:rPr>
  </w:style>
  <w:style w:type="paragraph" w:styleId="32">
    <w:name w:val="header"/>
    <w:basedOn w:val="1"/>
    <w:link w:val="93"/>
    <w:qFormat/>
    <w:uiPriority w:val="0"/>
    <w:pPr>
      <w:pBdr>
        <w:bottom w:val="single" w:color="auto" w:sz="6" w:space="1"/>
      </w:pBdr>
      <w:tabs>
        <w:tab w:val="center" w:pos="4153"/>
        <w:tab w:val="right" w:pos="8306"/>
      </w:tabs>
      <w:snapToGrid w:val="0"/>
      <w:jc w:val="center"/>
    </w:pPr>
    <w:rPr>
      <w:sz w:val="18"/>
      <w:szCs w:val="18"/>
    </w:rPr>
  </w:style>
  <w:style w:type="paragraph" w:styleId="33">
    <w:name w:val="toc 1"/>
    <w:basedOn w:val="1"/>
    <w:next w:val="1"/>
    <w:qFormat/>
    <w:uiPriority w:val="39"/>
    <w:pPr>
      <w:tabs>
        <w:tab w:val="left" w:pos="840"/>
        <w:tab w:val="right" w:leader="dot" w:pos="9204"/>
      </w:tabs>
      <w:spacing w:before="120" w:after="120"/>
    </w:pPr>
    <w:rPr>
      <w:b/>
      <w:bCs/>
      <w:caps/>
      <w:szCs w:val="20"/>
    </w:rPr>
  </w:style>
  <w:style w:type="paragraph" w:styleId="34">
    <w:name w:val="toc 4"/>
    <w:basedOn w:val="1"/>
    <w:next w:val="1"/>
    <w:qFormat/>
    <w:uiPriority w:val="99"/>
    <w:pPr>
      <w:widowControl w:val="0"/>
      <w:ind w:left="540"/>
    </w:pPr>
    <w:rPr>
      <w:kern w:val="2"/>
      <w:sz w:val="18"/>
      <w:szCs w:val="20"/>
    </w:rPr>
  </w:style>
  <w:style w:type="paragraph" w:styleId="35">
    <w:name w:val="Subtitle"/>
    <w:basedOn w:val="1"/>
    <w:next w:val="1"/>
    <w:link w:val="234"/>
    <w:qFormat/>
    <w:uiPriority w:val="99"/>
    <w:pPr>
      <w:widowControl w:val="0"/>
      <w:spacing w:before="240" w:after="60" w:line="312" w:lineRule="auto"/>
      <w:jc w:val="center"/>
      <w:outlineLvl w:val="1"/>
    </w:pPr>
    <w:rPr>
      <w:rFonts w:ascii="Cambria" w:hAnsi="Cambria" w:cs="Cambria"/>
      <w:b/>
      <w:bCs/>
      <w:kern w:val="28"/>
      <w:sz w:val="32"/>
      <w:szCs w:val="32"/>
    </w:rPr>
  </w:style>
  <w:style w:type="paragraph" w:styleId="36">
    <w:name w:val="toc 6"/>
    <w:basedOn w:val="1"/>
    <w:next w:val="1"/>
    <w:semiHidden/>
    <w:qFormat/>
    <w:uiPriority w:val="99"/>
    <w:pPr>
      <w:ind w:left="1200"/>
    </w:pPr>
    <w:rPr>
      <w:sz w:val="18"/>
      <w:szCs w:val="18"/>
    </w:rPr>
  </w:style>
  <w:style w:type="paragraph" w:styleId="37">
    <w:name w:val="Body Text Indent 3"/>
    <w:basedOn w:val="1"/>
    <w:link w:val="78"/>
    <w:qFormat/>
    <w:uiPriority w:val="99"/>
    <w:pPr>
      <w:widowControl w:val="0"/>
      <w:spacing w:after="120"/>
      <w:ind w:left="420" w:leftChars="200"/>
      <w:jc w:val="both"/>
    </w:pPr>
    <w:rPr>
      <w:kern w:val="2"/>
      <w:sz w:val="16"/>
      <w:szCs w:val="16"/>
    </w:rPr>
  </w:style>
  <w:style w:type="paragraph" w:styleId="38">
    <w:name w:val="index 7"/>
    <w:basedOn w:val="1"/>
    <w:next w:val="1"/>
    <w:semiHidden/>
    <w:qFormat/>
    <w:uiPriority w:val="99"/>
    <w:pPr>
      <w:widowControl w:val="0"/>
      <w:ind w:left="1200" w:leftChars="1200"/>
      <w:jc w:val="both"/>
    </w:pPr>
    <w:rPr>
      <w:rFonts w:ascii="Calibri" w:hAnsi="Calibri"/>
      <w:kern w:val="2"/>
      <w:sz w:val="21"/>
      <w:szCs w:val="21"/>
    </w:rPr>
  </w:style>
  <w:style w:type="paragraph" w:styleId="39">
    <w:name w:val="toc 2"/>
    <w:basedOn w:val="1"/>
    <w:next w:val="1"/>
    <w:qFormat/>
    <w:uiPriority w:val="39"/>
    <w:pPr>
      <w:ind w:left="240"/>
    </w:pPr>
    <w:rPr>
      <w:smallCaps/>
      <w:szCs w:val="20"/>
    </w:rPr>
  </w:style>
  <w:style w:type="paragraph" w:styleId="40">
    <w:name w:val="toc 9"/>
    <w:basedOn w:val="1"/>
    <w:next w:val="1"/>
    <w:qFormat/>
    <w:uiPriority w:val="99"/>
    <w:pPr>
      <w:widowControl w:val="0"/>
      <w:ind w:left="1440"/>
    </w:pPr>
    <w:rPr>
      <w:kern w:val="2"/>
      <w:sz w:val="18"/>
      <w:szCs w:val="20"/>
    </w:rPr>
  </w:style>
  <w:style w:type="paragraph" w:styleId="41">
    <w:name w:val="Body Text 2"/>
    <w:basedOn w:val="1"/>
    <w:link w:val="68"/>
    <w:qFormat/>
    <w:uiPriority w:val="0"/>
    <w:pPr>
      <w:widowControl w:val="0"/>
      <w:autoSpaceDE w:val="0"/>
      <w:autoSpaceDN w:val="0"/>
      <w:adjustRightInd w:val="0"/>
      <w:spacing w:after="120" w:line="480" w:lineRule="auto"/>
      <w:jc w:val="both"/>
    </w:pPr>
    <w:rPr>
      <w:sz w:val="21"/>
      <w:szCs w:val="21"/>
    </w:rPr>
  </w:style>
  <w:style w:type="paragraph" w:styleId="42">
    <w:name w:val="Normal (Web)"/>
    <w:basedOn w:val="1"/>
    <w:qFormat/>
    <w:uiPriority w:val="99"/>
    <w:pPr>
      <w:spacing w:before="100" w:beforeAutospacing="1" w:after="100" w:afterAutospacing="1"/>
    </w:pPr>
    <w:rPr>
      <w:rFonts w:ascii="宋体" w:hAnsi="宋体"/>
    </w:rPr>
  </w:style>
  <w:style w:type="paragraph" w:styleId="43">
    <w:name w:val="Title"/>
    <w:basedOn w:val="1"/>
    <w:next w:val="1"/>
    <w:link w:val="100"/>
    <w:qFormat/>
    <w:uiPriority w:val="99"/>
    <w:pPr>
      <w:widowControl w:val="0"/>
      <w:spacing w:before="240" w:after="60"/>
      <w:jc w:val="center"/>
      <w:outlineLvl w:val="0"/>
    </w:pPr>
    <w:rPr>
      <w:rFonts w:ascii="Cambria" w:hAnsi="Cambria"/>
      <w:b/>
      <w:bCs/>
      <w:kern w:val="2"/>
      <w:sz w:val="32"/>
      <w:szCs w:val="32"/>
    </w:rPr>
  </w:style>
  <w:style w:type="character" w:styleId="45">
    <w:name w:val="Strong"/>
    <w:qFormat/>
    <w:uiPriority w:val="22"/>
    <w:rPr>
      <w:b/>
    </w:rPr>
  </w:style>
  <w:style w:type="character" w:styleId="46">
    <w:name w:val="page number"/>
    <w:basedOn w:val="44"/>
    <w:qFormat/>
    <w:uiPriority w:val="99"/>
  </w:style>
  <w:style w:type="character" w:styleId="47">
    <w:name w:val="Emphasis"/>
    <w:qFormat/>
    <w:uiPriority w:val="99"/>
    <w:rPr>
      <w:i/>
      <w:iCs/>
    </w:rPr>
  </w:style>
  <w:style w:type="character" w:styleId="48">
    <w:name w:val="Hyperlink"/>
    <w:qFormat/>
    <w:uiPriority w:val="99"/>
    <w:rPr>
      <w:color w:val="0000FF"/>
      <w:u w:val="single"/>
    </w:rPr>
  </w:style>
  <w:style w:type="character" w:styleId="49">
    <w:name w:val="annotation reference"/>
    <w:qFormat/>
    <w:uiPriority w:val="0"/>
    <w:rPr>
      <w:sz w:val="21"/>
    </w:rPr>
  </w:style>
  <w:style w:type="table" w:styleId="51">
    <w:name w:val="Table Grid"/>
    <w:basedOn w:val="50"/>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styleId="52">
    <w:name w:val="Table Elegant"/>
    <w:basedOn w:val="50"/>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blPr>
        <w:tblLayout w:type="fixed"/>
      </w:tblPr>
      <w:tcPr>
        <w:tcBorders>
          <w:top w:val="nil"/>
          <w:left w:val="nil"/>
          <w:bottom w:val="nil"/>
          <w:right w:val="nil"/>
          <w:insideH w:val="nil"/>
          <w:insideV w:val="nil"/>
          <w:tl2br w:val="nil"/>
          <w:tr2bl w:val="nil"/>
        </w:tcBorders>
      </w:tcPr>
    </w:tblStylePr>
  </w:style>
  <w:style w:type="paragraph" w:customStyle="1" w:styleId="53">
    <w:name w:val="Default"/>
    <w:next w:val="17"/>
    <w:qFormat/>
    <w:uiPriority w:val="0"/>
    <w:pPr>
      <w:widowControl w:val="0"/>
      <w:autoSpaceDE w:val="0"/>
      <w:autoSpaceDN w:val="0"/>
      <w:adjustRightInd w:val="0"/>
    </w:pPr>
    <w:rPr>
      <w:rFonts w:ascii="楷体à.ā" w:hAnsi="Times New Roman" w:eastAsia="楷体à.ā" w:cs="Times New Roman"/>
      <w:color w:val="000000"/>
      <w:sz w:val="24"/>
      <w:lang w:val="en-US" w:eastAsia="zh-CN" w:bidi="ar-SA"/>
    </w:rPr>
  </w:style>
  <w:style w:type="character" w:customStyle="1" w:styleId="54">
    <w:name w:val="批注主题 Char"/>
    <w:link w:val="12"/>
    <w:qFormat/>
    <w:uiPriority w:val="99"/>
    <w:rPr>
      <w:b/>
      <w:kern w:val="2"/>
      <w:sz w:val="18"/>
    </w:rPr>
  </w:style>
  <w:style w:type="character" w:customStyle="1" w:styleId="55">
    <w:name w:val="标题 8 Char"/>
    <w:link w:val="10"/>
    <w:qFormat/>
    <w:uiPriority w:val="99"/>
    <w:rPr>
      <w:rFonts w:ascii="Arial" w:hAnsi="Arial" w:eastAsia="黑体"/>
      <w:kern w:val="2"/>
      <w:sz w:val="24"/>
    </w:rPr>
  </w:style>
  <w:style w:type="character" w:customStyle="1" w:styleId="56">
    <w:name w:val="访问过的超链接1"/>
    <w:qFormat/>
    <w:uiPriority w:val="0"/>
    <w:rPr>
      <w:color w:val="800080"/>
      <w:u w:val="single"/>
    </w:rPr>
  </w:style>
  <w:style w:type="character" w:customStyle="1" w:styleId="57">
    <w:name w:val="批注文字 Char"/>
    <w:link w:val="13"/>
    <w:qFormat/>
    <w:uiPriority w:val="99"/>
    <w:rPr>
      <w:kern w:val="2"/>
      <w:sz w:val="18"/>
    </w:rPr>
  </w:style>
  <w:style w:type="character" w:customStyle="1" w:styleId="58">
    <w:name w:val="fontblank12"/>
    <w:basedOn w:val="44"/>
    <w:qFormat/>
    <w:uiPriority w:val="0"/>
  </w:style>
  <w:style w:type="character" w:customStyle="1" w:styleId="59">
    <w:name w:val="标书（正文） Char"/>
    <w:link w:val="60"/>
    <w:qFormat/>
    <w:uiPriority w:val="0"/>
    <w:rPr>
      <w:rFonts w:ascii="宋体" w:hAnsi="宋体"/>
      <w:b/>
      <w:kern w:val="10"/>
      <w:sz w:val="21"/>
    </w:rPr>
  </w:style>
  <w:style w:type="paragraph" w:customStyle="1" w:styleId="60">
    <w:name w:val="标书（正文）"/>
    <w:basedOn w:val="1"/>
    <w:link w:val="59"/>
    <w:qFormat/>
    <w:uiPriority w:val="0"/>
    <w:pPr>
      <w:widowControl w:val="0"/>
      <w:spacing w:line="360" w:lineRule="auto"/>
      <w:ind w:firstLine="560" w:firstLineChars="200"/>
      <w:jc w:val="both"/>
    </w:pPr>
    <w:rPr>
      <w:rFonts w:ascii="宋体" w:hAnsi="宋体"/>
      <w:b/>
      <w:kern w:val="10"/>
      <w:sz w:val="21"/>
      <w:szCs w:val="20"/>
    </w:rPr>
  </w:style>
  <w:style w:type="character" w:customStyle="1" w:styleId="61">
    <w:name w:val="Char Char4"/>
    <w:qFormat/>
    <w:uiPriority w:val="0"/>
    <w:rPr>
      <w:rFonts w:ascii="宋体" w:hAnsi="Courier New" w:eastAsia="宋体"/>
      <w:kern w:val="2"/>
      <w:sz w:val="21"/>
      <w:lang w:val="en-US" w:eastAsia="zh-CN"/>
    </w:rPr>
  </w:style>
  <w:style w:type="character" w:customStyle="1" w:styleId="62">
    <w:name w:val="textnormchn1"/>
    <w:basedOn w:val="44"/>
    <w:qFormat/>
    <w:uiPriority w:val="0"/>
  </w:style>
  <w:style w:type="character" w:customStyle="1" w:styleId="63">
    <w:name w:val="标题 1 Char"/>
    <w:link w:val="3"/>
    <w:qFormat/>
    <w:uiPriority w:val="99"/>
    <w:rPr>
      <w:rFonts w:ascii="宋体" w:hAnsi="宋体"/>
      <w:b/>
      <w:bCs/>
      <w:kern w:val="44"/>
      <w:sz w:val="32"/>
      <w:szCs w:val="32"/>
    </w:rPr>
  </w:style>
  <w:style w:type="character" w:customStyle="1" w:styleId="64">
    <w:name w:val="列出段落 Char"/>
    <w:link w:val="65"/>
    <w:qFormat/>
    <w:uiPriority w:val="0"/>
    <w:rPr>
      <w:sz w:val="24"/>
      <w:szCs w:val="24"/>
    </w:rPr>
  </w:style>
  <w:style w:type="paragraph" w:customStyle="1" w:styleId="65">
    <w:name w:val="List Paragraph"/>
    <w:basedOn w:val="1"/>
    <w:link w:val="64"/>
    <w:qFormat/>
    <w:uiPriority w:val="99"/>
    <w:pPr>
      <w:ind w:firstLine="420" w:firstLineChars="200"/>
    </w:pPr>
  </w:style>
  <w:style w:type="character" w:customStyle="1" w:styleId="66">
    <w:name w:val="CD正文 Char"/>
    <w:link w:val="67"/>
    <w:qFormat/>
    <w:uiPriority w:val="0"/>
    <w:rPr>
      <w:kern w:val="2"/>
      <w:sz w:val="30"/>
      <w:szCs w:val="28"/>
    </w:rPr>
  </w:style>
  <w:style w:type="paragraph" w:customStyle="1" w:styleId="67">
    <w:name w:val="CD正文"/>
    <w:basedOn w:val="1"/>
    <w:link w:val="66"/>
    <w:qFormat/>
    <w:uiPriority w:val="99"/>
    <w:pPr>
      <w:widowControl w:val="0"/>
      <w:spacing w:line="360" w:lineRule="auto"/>
      <w:ind w:firstLine="493"/>
      <w:jc w:val="both"/>
    </w:pPr>
    <w:rPr>
      <w:kern w:val="2"/>
      <w:sz w:val="30"/>
      <w:szCs w:val="28"/>
    </w:rPr>
  </w:style>
  <w:style w:type="character" w:customStyle="1" w:styleId="68">
    <w:name w:val="正文文本 2 Char"/>
    <w:link w:val="41"/>
    <w:qFormat/>
    <w:uiPriority w:val="0"/>
    <w:rPr>
      <w:sz w:val="21"/>
      <w:szCs w:val="21"/>
    </w:rPr>
  </w:style>
  <w:style w:type="character" w:customStyle="1" w:styleId="69">
    <w:name w:val="（符号）三标题1.1 Char Char"/>
    <w:link w:val="70"/>
    <w:qFormat/>
    <w:uiPriority w:val="0"/>
    <w:rPr>
      <w:rFonts w:ascii="宋体" w:hAnsi="宋体"/>
      <w:kern w:val="2"/>
      <w:sz w:val="24"/>
      <w:szCs w:val="24"/>
    </w:rPr>
  </w:style>
  <w:style w:type="paragraph" w:customStyle="1" w:styleId="70">
    <w:name w:val="（符号）三标题1.1"/>
    <w:basedOn w:val="1"/>
    <w:link w:val="69"/>
    <w:qFormat/>
    <w:uiPriority w:val="0"/>
    <w:pPr>
      <w:widowControl w:val="0"/>
      <w:tabs>
        <w:tab w:val="left" w:pos="700"/>
        <w:tab w:val="left" w:pos="840"/>
      </w:tabs>
      <w:spacing w:line="500" w:lineRule="exact"/>
      <w:ind w:left="431" w:hanging="431"/>
      <w:jc w:val="both"/>
    </w:pPr>
    <w:rPr>
      <w:rFonts w:ascii="宋体" w:hAnsi="宋体"/>
      <w:kern w:val="2"/>
    </w:rPr>
  </w:style>
  <w:style w:type="character" w:customStyle="1" w:styleId="71">
    <w:name w:val="grame"/>
    <w:basedOn w:val="44"/>
    <w:qFormat/>
    <w:uiPriority w:val="0"/>
  </w:style>
  <w:style w:type="character" w:customStyle="1" w:styleId="72">
    <w:name w:val="页脚 Char"/>
    <w:link w:val="31"/>
    <w:qFormat/>
    <w:uiPriority w:val="99"/>
    <w:rPr>
      <w:sz w:val="18"/>
      <w:szCs w:val="18"/>
    </w:rPr>
  </w:style>
  <w:style w:type="character" w:customStyle="1" w:styleId="73">
    <w:name w:val="keyword"/>
    <w:basedOn w:val="44"/>
    <w:qFormat/>
    <w:uiPriority w:val="0"/>
  </w:style>
  <w:style w:type="character" w:customStyle="1" w:styleId="74">
    <w:name w:val="文档结构图 Char"/>
    <w:link w:val="18"/>
    <w:qFormat/>
    <w:uiPriority w:val="99"/>
    <w:rPr>
      <w:rFonts w:ascii="宋体"/>
      <w:sz w:val="18"/>
      <w:szCs w:val="18"/>
    </w:rPr>
  </w:style>
  <w:style w:type="character" w:customStyle="1" w:styleId="75">
    <w:name w:val="日期 Char"/>
    <w:link w:val="28"/>
    <w:qFormat/>
    <w:uiPriority w:val="99"/>
    <w:rPr>
      <w:sz w:val="24"/>
      <w:szCs w:val="24"/>
    </w:rPr>
  </w:style>
  <w:style w:type="character" w:customStyle="1" w:styleId="76">
    <w:name w:val="文章正文 Char"/>
    <w:link w:val="77"/>
    <w:qFormat/>
    <w:uiPriority w:val="0"/>
    <w:rPr>
      <w:kern w:val="2"/>
      <w:sz w:val="24"/>
      <w:szCs w:val="24"/>
    </w:rPr>
  </w:style>
  <w:style w:type="paragraph" w:customStyle="1" w:styleId="77">
    <w:name w:val="文章正文"/>
    <w:basedOn w:val="1"/>
    <w:link w:val="76"/>
    <w:qFormat/>
    <w:uiPriority w:val="0"/>
    <w:pPr>
      <w:widowControl w:val="0"/>
      <w:spacing w:line="360" w:lineRule="auto"/>
      <w:ind w:firstLine="420"/>
      <w:jc w:val="both"/>
    </w:pPr>
    <w:rPr>
      <w:kern w:val="2"/>
    </w:rPr>
  </w:style>
  <w:style w:type="character" w:customStyle="1" w:styleId="78">
    <w:name w:val="正文文本缩进 3 Char"/>
    <w:link w:val="37"/>
    <w:qFormat/>
    <w:uiPriority w:val="99"/>
    <w:rPr>
      <w:kern w:val="2"/>
      <w:sz w:val="16"/>
      <w:szCs w:val="16"/>
    </w:rPr>
  </w:style>
  <w:style w:type="character" w:customStyle="1" w:styleId="79">
    <w:name w:val="标题 7 Char"/>
    <w:link w:val="9"/>
    <w:qFormat/>
    <w:uiPriority w:val="99"/>
    <w:rPr>
      <w:rFonts w:ascii="Arial Narrow" w:hAnsi="Arial Narrow"/>
      <w:b/>
      <w:lang w:eastAsia="en-US"/>
    </w:rPr>
  </w:style>
  <w:style w:type="character" w:customStyle="1" w:styleId="80">
    <w:name w:val="正文文本缩进 Char"/>
    <w:link w:val="21"/>
    <w:qFormat/>
    <w:uiPriority w:val="99"/>
    <w:rPr>
      <w:rFonts w:ascii="宋体"/>
      <w:sz w:val="30"/>
      <w:szCs w:val="24"/>
    </w:rPr>
  </w:style>
  <w:style w:type="character" w:customStyle="1" w:styleId="81">
    <w:name w:val="正文首行缩进 Char"/>
    <w:link w:val="15"/>
    <w:qFormat/>
    <w:uiPriority w:val="0"/>
    <w:rPr>
      <w:rFonts w:ascii="宋体" w:hAnsi="宋体"/>
      <w:kern w:val="2"/>
      <w:sz w:val="21"/>
      <w:szCs w:val="24"/>
    </w:rPr>
  </w:style>
  <w:style w:type="character" w:customStyle="1" w:styleId="82">
    <w:name w:val="正文缩进 Char"/>
    <w:link w:val="16"/>
    <w:qFormat/>
    <w:uiPriority w:val="99"/>
    <w:rPr>
      <w:kern w:val="2"/>
      <w:sz w:val="21"/>
      <w:szCs w:val="24"/>
    </w:rPr>
  </w:style>
  <w:style w:type="character" w:customStyle="1" w:styleId="83">
    <w:name w:val="称呼 Char"/>
    <w:link w:val="19"/>
    <w:qFormat/>
    <w:uiPriority w:val="0"/>
    <w:rPr>
      <w:rFonts w:eastAsia="黑体"/>
      <w:kern w:val="2"/>
      <w:sz w:val="24"/>
    </w:rPr>
  </w:style>
  <w:style w:type="character" w:customStyle="1" w:styleId="84">
    <w:name w:val="标题 9 Char"/>
    <w:link w:val="11"/>
    <w:qFormat/>
    <w:uiPriority w:val="99"/>
    <w:rPr>
      <w:rFonts w:ascii="Arial" w:hAnsi="Arial" w:eastAsia="黑体"/>
      <w:kern w:val="2"/>
      <w:sz w:val="21"/>
    </w:rPr>
  </w:style>
  <w:style w:type="character" w:customStyle="1" w:styleId="85">
    <w:name w:val="正文文本 Char"/>
    <w:link w:val="2"/>
    <w:qFormat/>
    <w:uiPriority w:val="0"/>
    <w:rPr>
      <w:sz w:val="24"/>
      <w:szCs w:val="24"/>
    </w:rPr>
  </w:style>
  <w:style w:type="character" w:customStyle="1" w:styleId="86">
    <w:name w:val="Char Char40"/>
    <w:qFormat/>
    <w:uiPriority w:val="0"/>
    <w:rPr>
      <w:kern w:val="2"/>
      <w:sz w:val="24"/>
      <w:szCs w:val="24"/>
    </w:rPr>
  </w:style>
  <w:style w:type="character" w:customStyle="1" w:styleId="87">
    <w:name w:val="标题 6 Char"/>
    <w:link w:val="8"/>
    <w:qFormat/>
    <w:uiPriority w:val="99"/>
    <w:rPr>
      <w:rFonts w:ascii="Arial" w:hAnsi="Arial" w:eastAsia="黑体"/>
      <w:b/>
      <w:bCs/>
      <w:kern w:val="2"/>
      <w:sz w:val="24"/>
      <w:szCs w:val="24"/>
    </w:rPr>
  </w:style>
  <w:style w:type="character" w:customStyle="1" w:styleId="88">
    <w:name w:val="批注框文本 Char"/>
    <w:link w:val="30"/>
    <w:qFormat/>
    <w:uiPriority w:val="99"/>
    <w:rPr>
      <w:sz w:val="18"/>
      <w:szCs w:val="18"/>
    </w:rPr>
  </w:style>
  <w:style w:type="character" w:customStyle="1" w:styleId="89">
    <w:name w:val="标题 5 Char"/>
    <w:link w:val="7"/>
    <w:qFormat/>
    <w:uiPriority w:val="99"/>
    <w:rPr>
      <w:b/>
      <w:bCs/>
      <w:sz w:val="28"/>
      <w:szCs w:val="28"/>
    </w:rPr>
  </w:style>
  <w:style w:type="character" w:customStyle="1" w:styleId="90">
    <w:name w:val="WW8Num9z0"/>
    <w:qFormat/>
    <w:uiPriority w:val="0"/>
    <w:rPr>
      <w:rFonts w:ascii="Wingdings" w:hAnsi="Wingdings"/>
    </w:rPr>
  </w:style>
  <w:style w:type="character" w:customStyle="1" w:styleId="91">
    <w:name w:val="magic-list1"/>
    <w:qFormat/>
    <w:uiPriority w:val="0"/>
    <w:rPr>
      <w:rFonts w:hint="default" w:ascii="ˎ̥" w:hAnsi="ˎ̥"/>
      <w:color w:val="000000"/>
      <w:sz w:val="20"/>
      <w:u w:val="none"/>
    </w:rPr>
  </w:style>
  <w:style w:type="character" w:customStyle="1" w:styleId="92">
    <w:name w:val="small"/>
    <w:basedOn w:val="44"/>
    <w:qFormat/>
    <w:uiPriority w:val="0"/>
  </w:style>
  <w:style w:type="character" w:customStyle="1" w:styleId="93">
    <w:name w:val="页眉 Char"/>
    <w:link w:val="32"/>
    <w:qFormat/>
    <w:uiPriority w:val="0"/>
    <w:rPr>
      <w:sz w:val="18"/>
      <w:szCs w:val="18"/>
    </w:rPr>
  </w:style>
  <w:style w:type="character" w:customStyle="1" w:styleId="94">
    <w:name w:val="正文文本缩进 2 Char"/>
    <w:link w:val="29"/>
    <w:qFormat/>
    <w:uiPriority w:val="99"/>
    <w:rPr>
      <w:kern w:val="2"/>
      <w:sz w:val="21"/>
      <w:szCs w:val="24"/>
    </w:rPr>
  </w:style>
  <w:style w:type="character" w:customStyle="1" w:styleId="95">
    <w:name w:val="标题 4 Char"/>
    <w:link w:val="6"/>
    <w:qFormat/>
    <w:uiPriority w:val="99"/>
    <w:rPr>
      <w:rFonts w:ascii="宋体" w:hAnsi="宋体"/>
      <w:b/>
      <w:bCs/>
      <w:sz w:val="28"/>
      <w:szCs w:val="28"/>
    </w:rPr>
  </w:style>
  <w:style w:type="character" w:customStyle="1" w:styleId="96">
    <w:name w:val="正文文本 3 Char"/>
    <w:link w:val="20"/>
    <w:qFormat/>
    <w:uiPriority w:val="0"/>
    <w:rPr>
      <w:sz w:val="16"/>
      <w:szCs w:val="16"/>
    </w:rPr>
  </w:style>
  <w:style w:type="character" w:customStyle="1" w:styleId="97">
    <w:name w:val="标题 2 Char"/>
    <w:link w:val="4"/>
    <w:qFormat/>
    <w:uiPriority w:val="0"/>
    <w:rPr>
      <w:rFonts w:ascii="宋体" w:hAnsi="宋体"/>
      <w:b/>
      <w:bCs/>
      <w:iCs/>
      <w:sz w:val="28"/>
      <w:szCs w:val="28"/>
    </w:rPr>
  </w:style>
  <w:style w:type="character" w:customStyle="1" w:styleId="98">
    <w:name w:val="纯文本 Char1"/>
    <w:unhideWhenUsed/>
    <w:qFormat/>
    <w:uiPriority w:val="99"/>
    <w:rPr>
      <w:rFonts w:hint="eastAsia" w:ascii="宋体" w:hAnsi="Tms Rmn" w:eastAsia="宋体"/>
      <w:sz w:val="21"/>
      <w:lang w:val="en-US" w:eastAsia="zh-CN"/>
    </w:rPr>
  </w:style>
  <w:style w:type="character" w:customStyle="1" w:styleId="99">
    <w:name w:val="标题 3 Char"/>
    <w:link w:val="5"/>
    <w:qFormat/>
    <w:uiPriority w:val="99"/>
    <w:rPr>
      <w:rFonts w:ascii="宋体" w:hAnsi="宋体"/>
      <w:b/>
      <w:bCs/>
      <w:color w:val="000000"/>
      <w:kern w:val="2"/>
      <w:sz w:val="28"/>
      <w:szCs w:val="28"/>
    </w:rPr>
  </w:style>
  <w:style w:type="character" w:customStyle="1" w:styleId="100">
    <w:name w:val="标题 Char"/>
    <w:link w:val="43"/>
    <w:qFormat/>
    <w:uiPriority w:val="99"/>
    <w:rPr>
      <w:rFonts w:ascii="Cambria" w:hAnsi="Cambria"/>
      <w:b/>
      <w:bCs/>
      <w:kern w:val="2"/>
      <w:sz w:val="32"/>
      <w:szCs w:val="32"/>
    </w:rPr>
  </w:style>
  <w:style w:type="character" w:customStyle="1" w:styleId="101">
    <w:name w:val="纯文本 Char"/>
    <w:link w:val="26"/>
    <w:qFormat/>
    <w:uiPriority w:val="99"/>
    <w:rPr>
      <w:rFonts w:ascii="宋体" w:hAnsi="Tms Rmn" w:cs="宋体"/>
      <w:sz w:val="21"/>
      <w:szCs w:val="21"/>
    </w:rPr>
  </w:style>
  <w:style w:type="character" w:customStyle="1" w:styleId="102">
    <w:name w:val="H4 Char"/>
    <w:qFormat/>
    <w:uiPriority w:val="0"/>
    <w:rPr>
      <w:rFonts w:ascii="Arial" w:hAnsi="Arial" w:eastAsia="宋体"/>
      <w:b/>
      <w:kern w:val="2"/>
      <w:sz w:val="28"/>
      <w:lang w:val="en-US" w:eastAsia="zh-CN"/>
    </w:rPr>
  </w:style>
  <w:style w:type="character" w:customStyle="1" w:styleId="103">
    <w:name w:val="正文缩进 Char1"/>
    <w:qFormat/>
    <w:uiPriority w:val="99"/>
    <w:rPr>
      <w:kern w:val="2"/>
      <w:sz w:val="21"/>
      <w:szCs w:val="24"/>
    </w:rPr>
  </w:style>
  <w:style w:type="paragraph" w:customStyle="1" w:styleId="104">
    <w:name w:val="MM Topic 9"/>
    <w:basedOn w:val="11"/>
    <w:qFormat/>
    <w:uiPriority w:val="0"/>
    <w:pPr>
      <w:tabs>
        <w:tab w:val="left" w:pos="5102"/>
      </w:tabs>
    </w:pPr>
  </w:style>
  <w:style w:type="paragraph" w:customStyle="1" w:styleId="105">
    <w:name w:val="默认段落字体 Para Char Char Char Char Char Char Char Char Char Char Char Char Char Char Char Char"/>
    <w:basedOn w:val="18"/>
    <w:qFormat/>
    <w:uiPriority w:val="0"/>
    <w:pPr>
      <w:widowControl w:val="0"/>
      <w:shd w:val="clear" w:color="auto" w:fill="000080"/>
      <w:adjustRightInd w:val="0"/>
      <w:spacing w:line="436" w:lineRule="exact"/>
      <w:ind w:left="357"/>
      <w:outlineLvl w:val="3"/>
    </w:pPr>
    <w:rPr>
      <w:rFonts w:ascii="Tahoma" w:hAnsi="Tahoma"/>
      <w:b/>
      <w:kern w:val="2"/>
      <w:sz w:val="24"/>
      <w:szCs w:val="24"/>
    </w:rPr>
  </w:style>
  <w:style w:type="paragraph" w:customStyle="1" w:styleId="106">
    <w:name w:val="强调2"/>
    <w:basedOn w:val="107"/>
    <w:qFormat/>
    <w:uiPriority w:val="0"/>
    <w:pPr>
      <w:tabs>
        <w:tab w:val="left" w:pos="360"/>
        <w:tab w:val="left" w:pos="1918"/>
      </w:tabs>
      <w:ind w:left="1918" w:hanging="420"/>
    </w:pPr>
  </w:style>
  <w:style w:type="paragraph" w:customStyle="1" w:styleId="107">
    <w:name w:val="强调1"/>
    <w:basedOn w:val="1"/>
    <w:qFormat/>
    <w:uiPriority w:val="0"/>
    <w:pPr>
      <w:widowControl w:val="0"/>
      <w:spacing w:line="360" w:lineRule="auto"/>
      <w:ind w:left="900"/>
      <w:jc w:val="both"/>
    </w:pPr>
    <w:rPr>
      <w:rFonts w:ascii="楷体_GB2312" w:hAnsi="仿宋" w:eastAsia="楷体_GB2312"/>
      <w:kern w:val="2"/>
      <w:sz w:val="28"/>
      <w:szCs w:val="28"/>
    </w:rPr>
  </w:style>
  <w:style w:type="paragraph" w:customStyle="1" w:styleId="108">
    <w:name w:val="Char Char Char Char"/>
    <w:basedOn w:val="1"/>
    <w:next w:val="1"/>
    <w:qFormat/>
    <w:uiPriority w:val="0"/>
    <w:pPr>
      <w:widowControl w:val="0"/>
      <w:spacing w:line="240" w:lineRule="atLeast"/>
      <w:ind w:left="420" w:firstLine="420"/>
    </w:pPr>
    <w:rPr>
      <w:sz w:val="21"/>
      <w:szCs w:val="21"/>
    </w:rPr>
  </w:style>
  <w:style w:type="paragraph" w:customStyle="1" w:styleId="109">
    <w:name w:val="Style Style4 + First line:  2 ch Before:  0.5 line After:  0.5 li..."/>
    <w:basedOn w:val="1"/>
    <w:qFormat/>
    <w:uiPriority w:val="0"/>
    <w:pPr>
      <w:widowControl w:val="0"/>
      <w:spacing w:beforeLines="50" w:afterLines="50" w:line="276" w:lineRule="auto"/>
      <w:ind w:firstLine="480" w:firstLineChars="200"/>
      <w:jc w:val="both"/>
    </w:pPr>
    <w:rPr>
      <w:rFonts w:ascii="Arial" w:hAnsi="Arial"/>
      <w:kern w:val="2"/>
      <w:szCs w:val="20"/>
    </w:rPr>
  </w:style>
  <w:style w:type="paragraph" w:customStyle="1" w:styleId="110">
    <w:name w:val="Char Char Char Char Char Char Char"/>
    <w:basedOn w:val="1"/>
    <w:qFormat/>
    <w:uiPriority w:val="99"/>
    <w:pPr>
      <w:snapToGrid w:val="0"/>
      <w:spacing w:line="240" w:lineRule="exact"/>
    </w:pPr>
    <w:rPr>
      <w:rFonts w:ascii="Verdana" w:hAnsi="Verdana"/>
      <w:sz w:val="20"/>
      <w:szCs w:val="20"/>
      <w:lang w:eastAsia="en-US"/>
    </w:rPr>
  </w:style>
  <w:style w:type="paragraph" w:customStyle="1" w:styleId="111">
    <w:name w:val="默认段落字体 Para Char Char Char Char"/>
    <w:basedOn w:val="1"/>
    <w:qFormat/>
    <w:uiPriority w:val="0"/>
    <w:pPr>
      <w:widowControl w:val="0"/>
      <w:jc w:val="both"/>
    </w:pPr>
    <w:rPr>
      <w:kern w:val="2"/>
      <w:sz w:val="21"/>
    </w:rPr>
  </w:style>
  <w:style w:type="paragraph" w:customStyle="1" w:styleId="112">
    <w:name w:val="WW-正文（首行缩进两字）"/>
    <w:basedOn w:val="1"/>
    <w:qFormat/>
    <w:uiPriority w:val="0"/>
    <w:pPr>
      <w:widowControl w:val="0"/>
      <w:autoSpaceDE w:val="0"/>
      <w:autoSpaceDN w:val="0"/>
      <w:adjustRightInd w:val="0"/>
      <w:ind w:firstLine="420"/>
      <w:jc w:val="both"/>
    </w:pPr>
    <w:rPr>
      <w:sz w:val="21"/>
      <w:szCs w:val="21"/>
    </w:rPr>
  </w:style>
  <w:style w:type="paragraph" w:customStyle="1" w:styleId="113">
    <w:name w:val="MM Topic 3"/>
    <w:basedOn w:val="5"/>
    <w:qFormat/>
    <w:uiPriority w:val="0"/>
    <w:pPr>
      <w:numPr>
        <w:ilvl w:val="0"/>
        <w:numId w:val="0"/>
      </w:numPr>
      <w:tabs>
        <w:tab w:val="left" w:pos="1418"/>
      </w:tabs>
    </w:pPr>
    <w:rPr>
      <w:rFonts w:ascii="Times New Roman" w:hAnsi="Times New Roman"/>
      <w:bCs w:val="0"/>
      <w:szCs w:val="20"/>
    </w:rPr>
  </w:style>
  <w:style w:type="paragraph" w:customStyle="1" w:styleId="114">
    <w:name w:val="标准正文"/>
    <w:basedOn w:val="1"/>
    <w:qFormat/>
    <w:uiPriority w:val="0"/>
    <w:pPr>
      <w:widowControl w:val="0"/>
      <w:adjustRightInd w:val="0"/>
      <w:spacing w:before="120" w:line="400" w:lineRule="atLeast"/>
      <w:ind w:firstLine="576"/>
      <w:textAlignment w:val="baseline"/>
    </w:pPr>
    <w:rPr>
      <w:rFonts w:eastAsia="楷体_GB2312"/>
      <w:sz w:val="28"/>
      <w:szCs w:val="20"/>
    </w:rPr>
  </w:style>
  <w:style w:type="paragraph" w:customStyle="1" w:styleId="115">
    <w:name w:val="样式 标题 2proj2proj21proj22proj23proj24proj25proj26proj27p...1"/>
    <w:basedOn w:val="4"/>
    <w:qFormat/>
    <w:uiPriority w:val="0"/>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116">
    <w:name w:val="MM Topic 4"/>
    <w:basedOn w:val="6"/>
    <w:qFormat/>
    <w:uiPriority w:val="0"/>
    <w:pPr>
      <w:tabs>
        <w:tab w:val="left" w:pos="1984"/>
      </w:tabs>
      <w:spacing w:before="280" w:after="290" w:line="372" w:lineRule="auto"/>
      <w:ind w:left="0" w:leftChars="0" w:firstLine="0"/>
      <w:jc w:val="both"/>
    </w:pPr>
    <w:rPr>
      <w:bCs w:val="0"/>
      <w:kern w:val="2"/>
      <w:szCs w:val="20"/>
    </w:rPr>
  </w:style>
  <w:style w:type="paragraph" w:customStyle="1" w:styleId="117">
    <w:name w:val="MM Topic 6"/>
    <w:basedOn w:val="8"/>
    <w:qFormat/>
    <w:uiPriority w:val="0"/>
    <w:pPr>
      <w:tabs>
        <w:tab w:val="left" w:pos="3260"/>
      </w:tabs>
      <w:spacing w:line="317" w:lineRule="auto"/>
      <w:ind w:left="0" w:firstLine="0"/>
    </w:pPr>
    <w:rPr>
      <w:bCs w:val="0"/>
      <w:sz w:val="28"/>
      <w:szCs w:val="20"/>
    </w:rPr>
  </w:style>
  <w:style w:type="paragraph" w:customStyle="1" w:styleId="118">
    <w:name w:val="标题样式"/>
    <w:basedOn w:val="1"/>
    <w:qFormat/>
    <w:uiPriority w:val="0"/>
    <w:pPr>
      <w:widowControl w:val="0"/>
      <w:tabs>
        <w:tab w:val="left" w:pos="420"/>
      </w:tabs>
      <w:spacing w:line="360" w:lineRule="auto"/>
      <w:jc w:val="both"/>
    </w:pPr>
    <w:rPr>
      <w:rFonts w:ascii="宋体" w:hAnsi="宋体"/>
      <w:kern w:val="2"/>
      <w:szCs w:val="20"/>
    </w:rPr>
  </w:style>
  <w:style w:type="paragraph" w:customStyle="1" w:styleId="119">
    <w:name w:val="Char Char Char Char Char Char Char Char Char"/>
    <w:basedOn w:val="1"/>
    <w:qFormat/>
    <w:uiPriority w:val="0"/>
    <w:pPr>
      <w:spacing w:after="160" w:line="240" w:lineRule="exact"/>
    </w:pPr>
    <w:rPr>
      <w:rFonts w:ascii="Verdana" w:hAnsi="Verdana" w:eastAsia="仿宋_GB2312"/>
      <w:szCs w:val="20"/>
      <w:lang w:eastAsia="en-US"/>
    </w:rPr>
  </w:style>
  <w:style w:type="paragraph" w:customStyle="1" w:styleId="120">
    <w:name w:val="标题 5 + 首行缩进:  2 字符"/>
    <w:basedOn w:val="7"/>
    <w:next w:val="21"/>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121">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22">
    <w:name w:val="样式"/>
    <w:qFormat/>
    <w:uiPriority w:val="99"/>
    <w:pPr>
      <w:widowControl w:val="0"/>
      <w:autoSpaceDE w:val="0"/>
      <w:autoSpaceDN w:val="0"/>
      <w:adjustRightInd w:val="0"/>
    </w:pPr>
    <w:rPr>
      <w:rFonts w:ascii="宋体" w:hAnsi="宋体" w:eastAsia="宋体" w:cs="宋体"/>
      <w:sz w:val="24"/>
      <w:szCs w:val="24"/>
      <w:lang w:val="en-US" w:eastAsia="zh-CN" w:bidi="ar-SA"/>
    </w:rPr>
  </w:style>
  <w:style w:type="paragraph" w:customStyle="1" w:styleId="123">
    <w:name w:val="Char11"/>
    <w:basedOn w:val="1"/>
    <w:next w:val="1"/>
    <w:qFormat/>
    <w:uiPriority w:val="0"/>
    <w:pPr>
      <w:widowControl w:val="0"/>
      <w:spacing w:line="240" w:lineRule="atLeast"/>
      <w:ind w:left="420" w:firstLine="420"/>
    </w:pPr>
    <w:rPr>
      <w:sz w:val="21"/>
      <w:szCs w:val="21"/>
    </w:rPr>
  </w:style>
  <w:style w:type="paragraph" w:customStyle="1" w:styleId="124">
    <w:name w:val="MM Topic 5"/>
    <w:basedOn w:val="7"/>
    <w:qFormat/>
    <w:uiPriority w:val="0"/>
    <w:pPr>
      <w:tabs>
        <w:tab w:val="left" w:pos="2551"/>
      </w:tabs>
      <w:autoSpaceDE/>
      <w:autoSpaceDN/>
      <w:adjustRightInd/>
      <w:spacing w:line="372" w:lineRule="auto"/>
    </w:pPr>
    <w:rPr>
      <w:bCs w:val="0"/>
      <w:kern w:val="2"/>
      <w:szCs w:val="20"/>
    </w:rPr>
  </w:style>
  <w:style w:type="paragraph" w:customStyle="1" w:styleId="125">
    <w:name w:val="默认段落字体 Para Char Char Char Char Char Char Char"/>
    <w:basedOn w:val="1"/>
    <w:qFormat/>
    <w:uiPriority w:val="0"/>
    <w:pPr>
      <w:widowControl w:val="0"/>
      <w:jc w:val="both"/>
    </w:pPr>
    <w:rPr>
      <w:rFonts w:ascii="Tahoma" w:hAnsi="Tahoma"/>
      <w:kern w:val="2"/>
      <w:szCs w:val="20"/>
    </w:rPr>
  </w:style>
  <w:style w:type="paragraph" w:customStyle="1" w:styleId="126">
    <w:name w:val="Item List"/>
    <w:qFormat/>
    <w:uiPriority w:val="0"/>
    <w:pPr>
      <w:widowControl w:val="0"/>
      <w:adjustRightInd w:val="0"/>
      <w:spacing w:line="360" w:lineRule="auto"/>
      <w:jc w:val="both"/>
      <w:textAlignment w:val="baseline"/>
    </w:pPr>
    <w:rPr>
      <w:rFonts w:ascii="Times New Roman" w:hAnsi="Times New Roman" w:eastAsia="宋体" w:cs="Times New Roman"/>
      <w:kern w:val="2"/>
      <w:sz w:val="24"/>
      <w:lang w:val="en-US" w:eastAsia="zh-CN" w:bidi="ar-SA"/>
    </w:rPr>
  </w:style>
  <w:style w:type="paragraph" w:customStyle="1" w:styleId="127">
    <w:name w:val="样式2"/>
    <w:basedOn w:val="1"/>
    <w:qFormat/>
    <w:uiPriority w:val="99"/>
    <w:pPr>
      <w:widowControl w:val="0"/>
      <w:adjustRightInd w:val="0"/>
      <w:spacing w:line="410" w:lineRule="atLeast"/>
      <w:jc w:val="both"/>
      <w:textAlignment w:val="baseline"/>
    </w:pPr>
    <w:rPr>
      <w:szCs w:val="20"/>
    </w:rPr>
  </w:style>
  <w:style w:type="paragraph" w:customStyle="1" w:styleId="128">
    <w:name w:val="列出段落1"/>
    <w:basedOn w:val="1"/>
    <w:qFormat/>
    <w:uiPriority w:val="0"/>
    <w:pPr>
      <w:ind w:firstLine="420" w:firstLineChars="200"/>
    </w:pPr>
    <w:rPr>
      <w:lang w:val="zh-CN"/>
    </w:rPr>
  </w:style>
  <w:style w:type="paragraph" w:customStyle="1" w:styleId="129">
    <w:name w:val="p4"/>
    <w:basedOn w:val="1"/>
    <w:qFormat/>
    <w:uiPriority w:val="0"/>
    <w:pPr>
      <w:spacing w:before="100" w:beforeAutospacing="1" w:after="100" w:afterAutospacing="1" w:line="360" w:lineRule="auto"/>
      <w:ind w:firstLine="360"/>
    </w:pPr>
    <w:rPr>
      <w:rFonts w:ascii="宋体" w:hAnsi="宋体"/>
    </w:rPr>
  </w:style>
  <w:style w:type="paragraph" w:customStyle="1" w:styleId="130">
    <w:name w:val="样式 首行缩进:  2 字符"/>
    <w:basedOn w:val="1"/>
    <w:qFormat/>
    <w:uiPriority w:val="99"/>
    <w:pPr>
      <w:widowControl w:val="0"/>
      <w:ind w:firstLine="420" w:firstLineChars="200"/>
      <w:jc w:val="both"/>
    </w:pPr>
    <w:rPr>
      <w:rFonts w:cs="宋体"/>
      <w:kern w:val="2"/>
      <w:sz w:val="21"/>
      <w:szCs w:val="20"/>
    </w:rPr>
  </w:style>
  <w:style w:type="paragraph" w:customStyle="1" w:styleId="131">
    <w:name w:val="默认段落字体 Para Char Char"/>
    <w:basedOn w:val="1"/>
    <w:qFormat/>
    <w:uiPriority w:val="0"/>
    <w:pPr>
      <w:widowControl w:val="0"/>
      <w:jc w:val="both"/>
    </w:pPr>
    <w:rPr>
      <w:kern w:val="2"/>
      <w:sz w:val="21"/>
      <w:szCs w:val="20"/>
    </w:rPr>
  </w:style>
  <w:style w:type="paragraph" w:customStyle="1" w:styleId="132">
    <w:name w:val="Char1 Char Char Char"/>
    <w:basedOn w:val="1"/>
    <w:next w:val="1"/>
    <w:qFormat/>
    <w:uiPriority w:val="99"/>
    <w:pPr>
      <w:widowControl w:val="0"/>
      <w:spacing w:line="240" w:lineRule="atLeast"/>
      <w:ind w:left="420" w:firstLine="420"/>
    </w:pPr>
    <w:rPr>
      <w:sz w:val="21"/>
      <w:szCs w:val="20"/>
    </w:rPr>
  </w:style>
  <w:style w:type="paragraph" w:customStyle="1" w:styleId="133">
    <w:name w:val="表格题注"/>
    <w:next w:val="1"/>
    <w:qFormat/>
    <w:uiPriority w:val="0"/>
    <w:pPr>
      <w:keepLines/>
      <w:tabs>
        <w:tab w:val="left" w:pos="1559"/>
      </w:tabs>
      <w:spacing w:beforeLines="100"/>
      <w:ind w:left="1559" w:hanging="1559"/>
      <w:jc w:val="center"/>
    </w:pPr>
    <w:rPr>
      <w:rFonts w:ascii="Arial" w:hAnsi="Arial" w:eastAsia="宋体" w:cs="Times New Roman"/>
      <w:sz w:val="18"/>
      <w:lang w:val="en-US" w:eastAsia="zh-CN" w:bidi="ar-SA"/>
    </w:rPr>
  </w:style>
  <w:style w:type="paragraph" w:customStyle="1" w:styleId="134">
    <w:name w:val="1 Char"/>
    <w:basedOn w:val="1"/>
    <w:qFormat/>
    <w:uiPriority w:val="0"/>
    <w:pPr>
      <w:spacing w:after="160" w:line="240" w:lineRule="exact"/>
    </w:pPr>
    <w:rPr>
      <w:rFonts w:ascii="Tahoma" w:hAnsi="Tahoma" w:eastAsia="Times New Roman"/>
      <w:lang w:eastAsia="en-US"/>
    </w:rPr>
  </w:style>
  <w:style w:type="paragraph" w:customStyle="1" w:styleId="135">
    <w:name w:val="MM Topic 8"/>
    <w:basedOn w:val="10"/>
    <w:qFormat/>
    <w:uiPriority w:val="0"/>
    <w:pPr>
      <w:tabs>
        <w:tab w:val="left" w:pos="4394"/>
      </w:tabs>
    </w:pPr>
  </w:style>
  <w:style w:type="paragraph" w:customStyle="1" w:styleId="136">
    <w:name w:val="MM Topic 7"/>
    <w:basedOn w:val="9"/>
    <w:qFormat/>
    <w:uiPriority w:val="0"/>
    <w:pPr>
      <w:keepLines/>
      <w:widowControl w:val="0"/>
      <w:tabs>
        <w:tab w:val="left" w:pos="3827"/>
        <w:tab w:val="clear" w:pos="3600"/>
      </w:tabs>
      <w:spacing w:before="240" w:after="64" w:line="317" w:lineRule="auto"/>
      <w:jc w:val="both"/>
    </w:pPr>
    <w:rPr>
      <w:rFonts w:ascii="Times New Roman" w:hAnsi="Times New Roman"/>
      <w:kern w:val="2"/>
      <w:sz w:val="24"/>
      <w:lang w:eastAsia="zh-CN"/>
    </w:rPr>
  </w:style>
  <w:style w:type="paragraph" w:customStyle="1" w:styleId="137">
    <w:name w:val="正文1"/>
    <w:qFormat/>
    <w:uiPriority w:val="99"/>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138">
    <w:name w:val="条目正文"/>
    <w:basedOn w:val="1"/>
    <w:qFormat/>
    <w:uiPriority w:val="0"/>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139">
    <w:name w:val="论文正文"/>
    <w:basedOn w:val="1"/>
    <w:qFormat/>
    <w:uiPriority w:val="0"/>
    <w:pPr>
      <w:widowControl w:val="0"/>
      <w:spacing w:line="300" w:lineRule="auto"/>
      <w:ind w:firstLine="200" w:firstLineChars="200"/>
      <w:jc w:val="both"/>
    </w:pPr>
    <w:rPr>
      <w:kern w:val="2"/>
    </w:rPr>
  </w:style>
  <w:style w:type="paragraph" w:customStyle="1" w:styleId="140">
    <w:name w:val="表格文字"/>
    <w:basedOn w:val="1"/>
    <w:qFormat/>
    <w:uiPriority w:val="0"/>
    <w:pPr>
      <w:widowControl w:val="0"/>
      <w:spacing w:beforeLines="25" w:afterLines="25"/>
      <w:jc w:val="both"/>
    </w:pPr>
    <w:rPr>
      <w:rFonts w:ascii="Times New (W1)" w:hAnsi="Times New (W1)"/>
      <w:spacing w:val="10"/>
      <w:kern w:val="2"/>
      <w:sz w:val="21"/>
      <w:szCs w:val="20"/>
    </w:rPr>
  </w:style>
  <w:style w:type="paragraph" w:customStyle="1" w:styleId="141">
    <w:name w:val="正文序号 3"/>
    <w:basedOn w:val="1"/>
    <w:qFormat/>
    <w:uiPriority w:val="0"/>
    <w:pPr>
      <w:widowControl w:val="0"/>
      <w:tabs>
        <w:tab w:val="left" w:pos="1259"/>
      </w:tabs>
      <w:spacing w:before="60"/>
      <w:ind w:left="431" w:hanging="431"/>
      <w:jc w:val="both"/>
    </w:pPr>
    <w:rPr>
      <w:kern w:val="2"/>
      <w:sz w:val="21"/>
      <w:szCs w:val="20"/>
    </w:rPr>
  </w:style>
  <w:style w:type="paragraph" w:customStyle="1" w:styleId="142">
    <w:name w:val="默认段落字体 Para Char Char Char1 Char"/>
    <w:basedOn w:val="1"/>
    <w:next w:val="1"/>
    <w:qFormat/>
    <w:uiPriority w:val="0"/>
    <w:pPr>
      <w:widowControl w:val="0"/>
      <w:spacing w:line="240" w:lineRule="atLeast"/>
      <w:ind w:left="420" w:firstLine="420"/>
    </w:pPr>
    <w:rPr>
      <w:sz w:val="21"/>
      <w:szCs w:val="21"/>
    </w:rPr>
  </w:style>
  <w:style w:type="paragraph" w:customStyle="1" w:styleId="143">
    <w:name w:val="正文段落"/>
    <w:basedOn w:val="1"/>
    <w:qFormat/>
    <w:uiPriority w:val="0"/>
    <w:pPr>
      <w:widowControl w:val="0"/>
      <w:spacing w:line="300" w:lineRule="auto"/>
      <w:ind w:firstLine="510"/>
      <w:jc w:val="both"/>
    </w:pPr>
    <w:rPr>
      <w:kern w:val="2"/>
      <w:szCs w:val="20"/>
    </w:rPr>
  </w:style>
  <w:style w:type="paragraph" w:customStyle="1" w:styleId="144">
    <w:name w:val="正文序号 2"/>
    <w:basedOn w:val="1"/>
    <w:qFormat/>
    <w:uiPriority w:val="0"/>
    <w:pPr>
      <w:widowControl w:val="0"/>
      <w:tabs>
        <w:tab w:val="left" w:pos="1049"/>
      </w:tabs>
      <w:spacing w:before="60"/>
      <w:ind w:left="431" w:hanging="431"/>
      <w:jc w:val="both"/>
    </w:pPr>
    <w:rPr>
      <w:kern w:val="2"/>
      <w:sz w:val="21"/>
      <w:szCs w:val="20"/>
    </w:rPr>
  </w:style>
  <w:style w:type="paragraph" w:customStyle="1" w:styleId="145">
    <w:name w:val="Char1 Char Char Char Char Char Char"/>
    <w:basedOn w:val="1"/>
    <w:qFormat/>
    <w:uiPriority w:val="0"/>
    <w:pPr>
      <w:widowControl w:val="0"/>
      <w:jc w:val="both"/>
    </w:pPr>
    <w:rPr>
      <w:rFonts w:ascii="Tahoma" w:hAnsi="Tahoma"/>
      <w:kern w:val="2"/>
      <w:szCs w:val="20"/>
    </w:rPr>
  </w:style>
  <w:style w:type="paragraph" w:customStyle="1" w:styleId="146">
    <w:name w:val="文章正文 Char Char1"/>
    <w:basedOn w:val="1"/>
    <w:qFormat/>
    <w:uiPriority w:val="0"/>
    <w:pPr>
      <w:widowControl w:val="0"/>
      <w:spacing w:line="360" w:lineRule="auto"/>
      <w:ind w:firstLine="420"/>
      <w:jc w:val="both"/>
    </w:pPr>
    <w:rPr>
      <w:kern w:val="2"/>
      <w:szCs w:val="20"/>
    </w:rPr>
  </w:style>
  <w:style w:type="paragraph" w:customStyle="1" w:styleId="147">
    <w:name w:val="Char"/>
    <w:basedOn w:val="1"/>
    <w:next w:val="1"/>
    <w:qFormat/>
    <w:uiPriority w:val="0"/>
    <w:pPr>
      <w:widowControl w:val="0"/>
      <w:spacing w:line="240" w:lineRule="atLeast"/>
      <w:ind w:left="420" w:firstLine="420"/>
    </w:pPr>
    <w:rPr>
      <w:sz w:val="21"/>
      <w:szCs w:val="21"/>
    </w:rPr>
  </w:style>
  <w:style w:type="paragraph" w:customStyle="1" w:styleId="148">
    <w:name w:val="样式 标题 1 + 宋体 居中 段前: 17 磅 段后: 16.5 磅"/>
    <w:basedOn w:val="3"/>
    <w:qFormat/>
    <w:uiPriority w:val="0"/>
    <w:pPr>
      <w:pageBreakBefore/>
      <w:tabs>
        <w:tab w:val="left" w:pos="840"/>
      </w:tabs>
      <w:ind w:left="840" w:hanging="420"/>
    </w:pPr>
    <w:rPr>
      <w:rFonts w:cs="宋体"/>
      <w:szCs w:val="20"/>
    </w:rPr>
  </w:style>
  <w:style w:type="paragraph" w:customStyle="1" w:styleId="149">
    <w:name w:val="文章正文 Char Char1 Char"/>
    <w:basedOn w:val="1"/>
    <w:qFormat/>
    <w:uiPriority w:val="0"/>
    <w:pPr>
      <w:widowControl w:val="0"/>
      <w:spacing w:line="360" w:lineRule="auto"/>
      <w:ind w:firstLine="420"/>
      <w:jc w:val="both"/>
    </w:pPr>
    <w:rPr>
      <w:kern w:val="2"/>
    </w:rPr>
  </w:style>
  <w:style w:type="paragraph" w:customStyle="1" w:styleId="150">
    <w:name w:val="正文 首行缩进:  2 字符 Char Char"/>
    <w:basedOn w:val="1"/>
    <w:qFormat/>
    <w:uiPriority w:val="0"/>
    <w:pPr>
      <w:widowControl w:val="0"/>
      <w:spacing w:line="360" w:lineRule="auto"/>
      <w:ind w:firstLine="480"/>
      <w:jc w:val="both"/>
    </w:pPr>
    <w:rPr>
      <w:kern w:val="2"/>
      <w:szCs w:val="20"/>
    </w:rPr>
  </w:style>
  <w:style w:type="paragraph" w:customStyle="1" w:styleId="151">
    <w:name w:val="xl26"/>
    <w:basedOn w:val="1"/>
    <w:qFormat/>
    <w:uiPriority w:val="0"/>
    <w:pPr>
      <w:pBdr>
        <w:top w:val="single" w:color="auto" w:sz="4" w:space="0"/>
        <w:left w:val="single" w:color="auto" w:sz="4" w:space="0"/>
        <w:right w:val="single" w:color="auto" w:sz="4" w:space="0"/>
      </w:pBdr>
      <w:spacing w:before="100" w:beforeAutospacing="1" w:after="100" w:afterAutospacing="1"/>
    </w:pPr>
    <w:rPr>
      <w:rFonts w:ascii="宋体" w:hAnsi="宋体"/>
      <w:sz w:val="22"/>
      <w:szCs w:val="22"/>
    </w:rPr>
  </w:style>
  <w:style w:type="paragraph" w:customStyle="1" w:styleId="152">
    <w:name w:val="标题 2 + 楷体_GB2312"/>
    <w:basedOn w:val="1"/>
    <w:qFormat/>
    <w:uiPriority w:val="0"/>
  </w:style>
  <w:style w:type="paragraph" w:customStyle="1" w:styleId="153">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54">
    <w:name w:val="Char12"/>
    <w:basedOn w:val="1"/>
    <w:link w:val="192"/>
    <w:qFormat/>
    <w:uiPriority w:val="99"/>
    <w:pPr>
      <w:spacing w:after="160" w:line="240" w:lineRule="exact"/>
    </w:pPr>
    <w:rPr>
      <w:rFonts w:ascii="Tahoma" w:hAnsi="Tahoma"/>
      <w:kern w:val="2"/>
      <w:lang w:eastAsia="en-US"/>
    </w:rPr>
  </w:style>
  <w:style w:type="paragraph" w:customStyle="1" w:styleId="155">
    <w:name w:val="p0"/>
    <w:basedOn w:val="1"/>
    <w:qFormat/>
    <w:uiPriority w:val="99"/>
    <w:pPr>
      <w:jc w:val="both"/>
    </w:pPr>
    <w:rPr>
      <w:sz w:val="21"/>
      <w:szCs w:val="20"/>
    </w:rPr>
  </w:style>
  <w:style w:type="paragraph" w:customStyle="1" w:styleId="156">
    <w:name w:val="gb_master正文"/>
    <w:basedOn w:val="1"/>
    <w:qFormat/>
    <w:uiPriority w:val="0"/>
    <w:pPr>
      <w:widowControl w:val="0"/>
      <w:ind w:firstLine="200" w:firstLineChars="200"/>
      <w:jc w:val="both"/>
    </w:pPr>
    <w:rPr>
      <w:kern w:val="2"/>
      <w:sz w:val="21"/>
    </w:rPr>
  </w:style>
  <w:style w:type="paragraph" w:customStyle="1" w:styleId="157">
    <w:name w:val="Char1"/>
    <w:basedOn w:val="1"/>
    <w:next w:val="1"/>
    <w:qFormat/>
    <w:uiPriority w:val="99"/>
    <w:pPr>
      <w:widowControl w:val="0"/>
      <w:spacing w:line="240" w:lineRule="atLeast"/>
      <w:ind w:left="420" w:firstLine="420"/>
    </w:pPr>
    <w:rPr>
      <w:sz w:val="21"/>
      <w:szCs w:val="21"/>
    </w:rPr>
  </w:style>
  <w:style w:type="paragraph" w:customStyle="1" w:styleId="158">
    <w:name w:val="Char Char1 Char Char Char Char Char Char Char Char Char Char Char Char Char Char"/>
    <w:basedOn w:val="1"/>
    <w:qFormat/>
    <w:uiPriority w:val="0"/>
    <w:pPr>
      <w:spacing w:after="160" w:line="240" w:lineRule="exact"/>
    </w:pPr>
    <w:rPr>
      <w:rFonts w:ascii="Verdana" w:hAnsi="Verdana"/>
      <w:sz w:val="20"/>
      <w:szCs w:val="20"/>
      <w:lang w:eastAsia="en-US"/>
    </w:rPr>
  </w:style>
  <w:style w:type="paragraph" w:customStyle="1" w:styleId="159">
    <w:name w:val="样式 仿宋_GB2312 小四 左侧:  0.63 厘米"/>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160">
    <w:name w:val="正文格式"/>
    <w:basedOn w:val="1"/>
    <w:qFormat/>
    <w:uiPriority w:val="0"/>
    <w:pPr>
      <w:adjustRightInd w:val="0"/>
      <w:snapToGrid w:val="0"/>
      <w:spacing w:beforeLines="25" w:line="360" w:lineRule="auto"/>
      <w:ind w:firstLine="480" w:firstLineChars="200"/>
      <w:jc w:val="both"/>
      <w:textAlignment w:val="baseline"/>
    </w:pPr>
    <w:rPr>
      <w:rFonts w:ascii="宋体" w:hAnsi="宋体"/>
      <w:color w:val="000000"/>
      <w:szCs w:val="20"/>
    </w:rPr>
  </w:style>
  <w:style w:type="paragraph" w:customStyle="1" w:styleId="161">
    <w:name w:val="MM Topic 1"/>
    <w:basedOn w:val="3"/>
    <w:qFormat/>
    <w:uiPriority w:val="0"/>
    <w:pPr>
      <w:widowControl w:val="0"/>
      <w:tabs>
        <w:tab w:val="left" w:pos="425"/>
      </w:tabs>
      <w:spacing w:line="576" w:lineRule="auto"/>
    </w:pPr>
    <w:rPr>
      <w:rFonts w:ascii="Times New Roman" w:hAnsi="Times New Roman"/>
      <w:bCs w:val="0"/>
      <w:sz w:val="44"/>
      <w:szCs w:val="20"/>
    </w:rPr>
  </w:style>
  <w:style w:type="paragraph" w:customStyle="1" w:styleId="162">
    <w:name w:val="样式 正文缩进 + (中文) 仿宋_GB2312 小四 Char"/>
    <w:basedOn w:val="16"/>
    <w:qFormat/>
    <w:uiPriority w:val="0"/>
    <w:pPr>
      <w:ind w:firstLine="480"/>
    </w:pPr>
    <w:rPr>
      <w:rFonts w:ascii="宋体" w:hAnsi="宋体"/>
      <w:sz w:val="24"/>
      <w:szCs w:val="20"/>
    </w:rPr>
  </w:style>
  <w:style w:type="paragraph" w:customStyle="1" w:styleId="163">
    <w:name w:val="样式 右侧:  1 字符1"/>
    <w:basedOn w:val="1"/>
    <w:qFormat/>
    <w:uiPriority w:val="0"/>
    <w:pPr>
      <w:widowControl w:val="0"/>
      <w:ind w:left="240" w:leftChars="100" w:right="100" w:rightChars="100"/>
      <w:jc w:val="both"/>
    </w:pPr>
    <w:rPr>
      <w:rFonts w:eastAsia="仿宋_GB2312"/>
      <w:kern w:val="2"/>
      <w:sz w:val="28"/>
      <w:szCs w:val="20"/>
    </w:rPr>
  </w:style>
  <w:style w:type="paragraph" w:customStyle="1" w:styleId="164">
    <w:name w:val="Char2 Char Char Char Char Char Char"/>
    <w:basedOn w:val="1"/>
    <w:qFormat/>
    <w:uiPriority w:val="0"/>
    <w:pPr>
      <w:widowControl w:val="0"/>
      <w:jc w:val="both"/>
    </w:pPr>
    <w:rPr>
      <w:rFonts w:ascii="仿宋_GB2312"/>
      <w:b/>
      <w:kern w:val="2"/>
      <w:sz w:val="30"/>
      <w:szCs w:val="20"/>
    </w:rPr>
  </w:style>
  <w:style w:type="paragraph" w:customStyle="1" w:styleId="165">
    <w:name w:val="项目符号：一级"/>
    <w:basedOn w:val="160"/>
    <w:next w:val="160"/>
    <w:qFormat/>
    <w:uiPriority w:val="0"/>
    <w:pPr>
      <w:tabs>
        <w:tab w:val="left" w:pos="700"/>
      </w:tabs>
      <w:spacing w:beforeLines="0"/>
      <w:ind w:left="630" w:hanging="290" w:firstLineChars="0"/>
    </w:pPr>
  </w:style>
  <w:style w:type="paragraph" w:customStyle="1" w:styleId="166">
    <w:name w:val="正文序号 4"/>
    <w:basedOn w:val="1"/>
    <w:qFormat/>
    <w:uiPriority w:val="0"/>
    <w:pPr>
      <w:widowControl w:val="0"/>
      <w:tabs>
        <w:tab w:val="left" w:pos="1469"/>
      </w:tabs>
      <w:spacing w:before="60"/>
      <w:ind w:left="431" w:hanging="431"/>
      <w:jc w:val="both"/>
    </w:pPr>
    <w:rPr>
      <w:kern w:val="2"/>
      <w:sz w:val="21"/>
      <w:szCs w:val="20"/>
    </w:rPr>
  </w:style>
  <w:style w:type="paragraph" w:customStyle="1" w:styleId="167">
    <w:name w:val="插图题注"/>
    <w:next w:val="1"/>
    <w:qFormat/>
    <w:uiPriority w:val="0"/>
    <w:pPr>
      <w:tabs>
        <w:tab w:val="left" w:pos="1418"/>
      </w:tabs>
      <w:spacing w:afterLines="100"/>
      <w:ind w:left="1418" w:hanging="1418"/>
      <w:jc w:val="center"/>
    </w:pPr>
    <w:rPr>
      <w:rFonts w:ascii="Arial" w:hAnsi="Arial" w:eastAsia="宋体" w:cs="Times New Roman"/>
      <w:sz w:val="18"/>
      <w:lang w:val="en-US" w:eastAsia="zh-CN" w:bidi="ar-SA"/>
    </w:rPr>
  </w:style>
  <w:style w:type="paragraph" w:customStyle="1" w:styleId="168">
    <w:name w:val="正文首行缩进两字符"/>
    <w:basedOn w:val="1"/>
    <w:qFormat/>
    <w:uiPriority w:val="0"/>
    <w:pPr>
      <w:widowControl w:val="0"/>
      <w:spacing w:line="360" w:lineRule="auto"/>
      <w:ind w:firstLine="200" w:firstLineChars="200"/>
      <w:jc w:val="both"/>
    </w:pPr>
    <w:rPr>
      <w:kern w:val="2"/>
      <w:sz w:val="21"/>
      <w:szCs w:val="20"/>
    </w:rPr>
  </w:style>
  <w:style w:type="paragraph" w:customStyle="1" w:styleId="169">
    <w:name w:val="Style8"/>
    <w:basedOn w:val="1"/>
    <w:qFormat/>
    <w:uiPriority w:val="0"/>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170">
    <w:name w:val="Char Char Char Char Char Char Char Char Char Char Char Char Char"/>
    <w:basedOn w:val="18"/>
    <w:qFormat/>
    <w:uiPriority w:val="99"/>
    <w:pPr>
      <w:widowControl w:val="0"/>
      <w:shd w:val="clear" w:color="auto" w:fill="000080"/>
      <w:jc w:val="both"/>
    </w:pPr>
    <w:rPr>
      <w:rFonts w:ascii="Tahoma" w:hAnsi="Tahoma"/>
      <w:kern w:val="2"/>
      <w:sz w:val="24"/>
      <w:szCs w:val="20"/>
    </w:rPr>
  </w:style>
  <w:style w:type="paragraph" w:customStyle="1" w:styleId="171">
    <w:name w:val="大纲正文"/>
    <w:basedOn w:val="1"/>
    <w:qFormat/>
    <w:uiPriority w:val="0"/>
    <w:pPr>
      <w:widowControl w:val="0"/>
      <w:spacing w:line="360" w:lineRule="auto"/>
      <w:ind w:firstLine="480" w:firstLineChars="200"/>
      <w:jc w:val="both"/>
    </w:pPr>
    <w:rPr>
      <w:kern w:val="2"/>
      <w:szCs w:val="20"/>
    </w:rPr>
  </w:style>
  <w:style w:type="paragraph" w:customStyle="1" w:styleId="172">
    <w:name w:val="正文序号 1"/>
    <w:basedOn w:val="1"/>
    <w:qFormat/>
    <w:uiPriority w:val="0"/>
    <w:pPr>
      <w:widowControl w:val="0"/>
      <w:tabs>
        <w:tab w:val="left" w:pos="839"/>
      </w:tabs>
      <w:spacing w:before="60"/>
      <w:ind w:left="431" w:hanging="431"/>
      <w:jc w:val="both"/>
    </w:pPr>
    <w:rPr>
      <w:kern w:val="2"/>
      <w:sz w:val="21"/>
      <w:szCs w:val="20"/>
    </w:rPr>
  </w:style>
  <w:style w:type="paragraph" w:customStyle="1" w:styleId="173">
    <w:name w:val="Char2"/>
    <w:basedOn w:val="1"/>
    <w:next w:val="1"/>
    <w:qFormat/>
    <w:uiPriority w:val="99"/>
    <w:pPr>
      <w:widowControl w:val="0"/>
      <w:spacing w:line="240" w:lineRule="atLeast"/>
      <w:ind w:left="420" w:firstLine="420"/>
    </w:pPr>
    <w:rPr>
      <w:kern w:val="2"/>
      <w:szCs w:val="20"/>
    </w:rPr>
  </w:style>
  <w:style w:type="paragraph" w:customStyle="1" w:styleId="174">
    <w:name w:val="MM Title"/>
    <w:basedOn w:val="1"/>
    <w:qFormat/>
    <w:uiPriority w:val="0"/>
    <w:pPr>
      <w:widowControl w:val="0"/>
      <w:spacing w:before="240" w:after="60"/>
      <w:jc w:val="center"/>
      <w:outlineLvl w:val="0"/>
    </w:pPr>
    <w:rPr>
      <w:rFonts w:ascii="Arial" w:hAnsi="Arial"/>
      <w:b/>
      <w:kern w:val="2"/>
      <w:sz w:val="32"/>
      <w:szCs w:val="20"/>
    </w:rPr>
  </w:style>
  <w:style w:type="paragraph" w:customStyle="1" w:styleId="175">
    <w:name w:val="Char2 Char Char Char"/>
    <w:basedOn w:val="1"/>
    <w:qFormat/>
    <w:uiPriority w:val="0"/>
    <w:pPr>
      <w:widowControl w:val="0"/>
      <w:jc w:val="both"/>
    </w:pPr>
    <w:rPr>
      <w:rFonts w:ascii="仿宋_GB2312"/>
      <w:b/>
      <w:kern w:val="2"/>
      <w:sz w:val="30"/>
      <w:szCs w:val="20"/>
    </w:rPr>
  </w:style>
  <w:style w:type="paragraph" w:customStyle="1" w:styleId="176">
    <w:name w:val="MM Topic 2"/>
    <w:basedOn w:val="4"/>
    <w:qFormat/>
    <w:uiPriority w:val="0"/>
    <w:pPr>
      <w:numPr>
        <w:ilvl w:val="0"/>
        <w:numId w:val="0"/>
      </w:numPr>
      <w:tabs>
        <w:tab w:val="left" w:pos="992"/>
      </w:tabs>
    </w:pPr>
    <w:rPr>
      <w:rFonts w:ascii="Arial"/>
      <w:bCs w:val="0"/>
      <w:iCs w:val="0"/>
      <w:color w:val="000000"/>
      <w:kern w:val="2"/>
      <w:szCs w:val="20"/>
    </w:rPr>
  </w:style>
  <w:style w:type="paragraph" w:customStyle="1" w:styleId="177">
    <w:name w:val="Char Char1"/>
    <w:basedOn w:val="1"/>
    <w:next w:val="1"/>
    <w:qFormat/>
    <w:uiPriority w:val="0"/>
    <w:pPr>
      <w:widowControl w:val="0"/>
      <w:spacing w:line="240" w:lineRule="atLeast"/>
      <w:ind w:left="420" w:firstLine="420"/>
    </w:pPr>
    <w:rPr>
      <w:rFonts w:ascii="楷体_GB2312" w:hAnsi="宋体" w:eastAsia="楷体_GB2312"/>
      <w:color w:val="000000"/>
      <w:sz w:val="28"/>
      <w:szCs w:val="20"/>
    </w:rPr>
  </w:style>
  <w:style w:type="paragraph" w:customStyle="1" w:styleId="178">
    <w:name w:val="我的正文"/>
    <w:basedOn w:val="1"/>
    <w:qFormat/>
    <w:uiPriority w:val="0"/>
    <w:pPr>
      <w:widowControl w:val="0"/>
      <w:spacing w:line="360" w:lineRule="auto"/>
      <w:ind w:firstLine="420" w:firstLineChars="200"/>
      <w:jc w:val="both"/>
    </w:pPr>
    <w:rPr>
      <w:rFonts w:ascii="宋体" w:hAnsi="宋体"/>
      <w:kern w:val="2"/>
      <w:sz w:val="21"/>
      <w:szCs w:val="20"/>
    </w:rPr>
  </w:style>
  <w:style w:type="paragraph" w:customStyle="1" w:styleId="179">
    <w:name w:val="列出段落2"/>
    <w:basedOn w:val="1"/>
    <w:qFormat/>
    <w:uiPriority w:val="34"/>
    <w:pPr>
      <w:widowControl w:val="0"/>
      <w:ind w:firstLine="420" w:firstLineChars="200"/>
      <w:jc w:val="both"/>
    </w:pPr>
    <w:rPr>
      <w:rFonts w:eastAsia="方正仿宋"/>
      <w:kern w:val="2"/>
      <w:sz w:val="32"/>
    </w:rPr>
  </w:style>
  <w:style w:type="paragraph" w:customStyle="1" w:styleId="180">
    <w:name w:val="文字"/>
    <w:basedOn w:val="1"/>
    <w:qFormat/>
    <w:uiPriority w:val="0"/>
    <w:pPr>
      <w:widowControl w:val="0"/>
      <w:tabs>
        <w:tab w:val="left" w:pos="8520"/>
      </w:tabs>
      <w:spacing w:line="312" w:lineRule="auto"/>
      <w:ind w:right="-210" w:firstLine="556"/>
      <w:jc w:val="both"/>
    </w:pPr>
    <w:rPr>
      <w:rFonts w:ascii="楷体_GB2312" w:eastAsia="楷体_GB2312"/>
      <w:kern w:val="2"/>
      <w:sz w:val="28"/>
      <w:szCs w:val="20"/>
    </w:rPr>
  </w:style>
  <w:style w:type="character" w:customStyle="1" w:styleId="181">
    <w:name w:val="彩色列表 - 强调文字颜色 1 Char"/>
    <w:link w:val="182"/>
    <w:qFormat/>
    <w:uiPriority w:val="0"/>
    <w:rPr>
      <w:rFonts w:ascii="Calibri" w:hAnsi="Calibri"/>
      <w:kern w:val="2"/>
      <w:sz w:val="21"/>
      <w:szCs w:val="22"/>
    </w:rPr>
  </w:style>
  <w:style w:type="paragraph" w:customStyle="1" w:styleId="182">
    <w:name w:val="彩色列表 - 强调文字颜色 11"/>
    <w:basedOn w:val="1"/>
    <w:link w:val="181"/>
    <w:qFormat/>
    <w:uiPriority w:val="0"/>
    <w:pPr>
      <w:widowControl w:val="0"/>
      <w:ind w:firstLine="420" w:firstLineChars="200"/>
      <w:jc w:val="both"/>
    </w:pPr>
    <w:rPr>
      <w:rFonts w:ascii="Calibri" w:hAnsi="Calibri"/>
      <w:kern w:val="2"/>
      <w:sz w:val="21"/>
      <w:szCs w:val="22"/>
    </w:rPr>
  </w:style>
  <w:style w:type="paragraph" w:customStyle="1" w:styleId="183">
    <w:name w:val="Revision"/>
    <w:hidden/>
    <w:unhideWhenUsed/>
    <w:qFormat/>
    <w:uiPriority w:val="99"/>
    <w:rPr>
      <w:rFonts w:ascii="Times New Roman" w:hAnsi="Times New Roman" w:eastAsia="宋体" w:cs="Times New Roman"/>
      <w:sz w:val="24"/>
      <w:szCs w:val="24"/>
      <w:lang w:val="en-US" w:eastAsia="zh-CN" w:bidi="ar-SA"/>
    </w:rPr>
  </w:style>
  <w:style w:type="paragraph" w:customStyle="1" w:styleId="184">
    <w:name w:val="彩色列表 - 强调文字颜色 12"/>
    <w:basedOn w:val="1"/>
    <w:qFormat/>
    <w:uiPriority w:val="0"/>
    <w:pPr>
      <w:widowControl w:val="0"/>
      <w:ind w:firstLine="420" w:firstLineChars="200"/>
      <w:jc w:val="both"/>
    </w:pPr>
    <w:rPr>
      <w:rFonts w:ascii="Calibri" w:hAnsi="Calibri"/>
      <w:kern w:val="2"/>
      <w:sz w:val="21"/>
      <w:szCs w:val="22"/>
    </w:rPr>
  </w:style>
  <w:style w:type="paragraph" w:customStyle="1" w:styleId="185">
    <w:name w:val="Char Char Char Char1"/>
    <w:basedOn w:val="1"/>
    <w:qFormat/>
    <w:uiPriority w:val="99"/>
    <w:pPr>
      <w:widowControl w:val="0"/>
      <w:spacing w:line="336" w:lineRule="auto"/>
      <w:ind w:left="100" w:hanging="100" w:hangingChars="100"/>
      <w:jc w:val="both"/>
    </w:pPr>
    <w:rPr>
      <w:rFonts w:ascii="Tahoma" w:hAnsi="Tahoma" w:cs="Tahoma"/>
      <w:color w:val="0D0D0D"/>
      <w:kern w:val="2"/>
      <w:szCs w:val="21"/>
    </w:rPr>
  </w:style>
  <w:style w:type="paragraph" w:customStyle="1" w:styleId="186">
    <w:name w:val="无间隔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187">
    <w:name w:val="列出段落3"/>
    <w:basedOn w:val="1"/>
    <w:qFormat/>
    <w:uiPriority w:val="99"/>
    <w:pPr>
      <w:widowControl w:val="0"/>
      <w:ind w:firstLine="420" w:firstLineChars="200"/>
      <w:jc w:val="both"/>
    </w:pPr>
    <w:rPr>
      <w:rFonts w:ascii="Calibri" w:hAnsi="Calibri"/>
      <w:kern w:val="2"/>
      <w:sz w:val="21"/>
      <w:szCs w:val="22"/>
    </w:rPr>
  </w:style>
  <w:style w:type="character" w:customStyle="1" w:styleId="188">
    <w:name w:val="批注文字 Char1"/>
    <w:qFormat/>
    <w:locked/>
    <w:uiPriority w:val="99"/>
    <w:rPr>
      <w:rFonts w:ascii="Times New Roman" w:hAnsi="Times New Roman" w:eastAsia="宋体" w:cs="Times New Roman"/>
      <w:sz w:val="24"/>
      <w:szCs w:val="24"/>
    </w:rPr>
  </w:style>
  <w:style w:type="character" w:customStyle="1" w:styleId="189">
    <w:name w:val="Intense Quote Char"/>
    <w:qFormat/>
    <w:locked/>
    <w:uiPriority w:val="99"/>
    <w:rPr>
      <w:b/>
      <w:bCs/>
      <w:i/>
      <w:iCs/>
      <w:color w:val="4F81BD"/>
      <w:kern w:val="2"/>
      <w:sz w:val="22"/>
      <w:szCs w:val="22"/>
    </w:rPr>
  </w:style>
  <w:style w:type="paragraph" w:customStyle="1" w:styleId="190">
    <w:name w:val="Plain Text1"/>
    <w:basedOn w:val="1"/>
    <w:qFormat/>
    <w:uiPriority w:val="99"/>
    <w:pPr>
      <w:widowControl w:val="0"/>
      <w:adjustRightInd w:val="0"/>
      <w:textAlignment w:val="baseline"/>
    </w:pPr>
    <w:rPr>
      <w:rFonts w:ascii="宋体" w:hAnsi="Courier New" w:cs="宋体"/>
      <w:kern w:val="2"/>
    </w:rPr>
  </w:style>
  <w:style w:type="character" w:customStyle="1" w:styleId="191">
    <w:name w:val="引用 Char1"/>
    <w:qFormat/>
    <w:uiPriority w:val="99"/>
    <w:rPr>
      <w:rFonts w:ascii="Times New Roman" w:hAnsi="Times New Roman" w:eastAsia="宋体" w:cs="Times New Roman"/>
      <w:i/>
      <w:iCs/>
      <w:color w:val="000000"/>
      <w:kern w:val="2"/>
      <w:sz w:val="24"/>
      <w:szCs w:val="24"/>
    </w:rPr>
  </w:style>
  <w:style w:type="character" w:customStyle="1" w:styleId="192">
    <w:name w:val="Char Char Char"/>
    <w:link w:val="154"/>
    <w:qFormat/>
    <w:locked/>
    <w:uiPriority w:val="99"/>
    <w:rPr>
      <w:rFonts w:ascii="Tahoma" w:hAnsi="Tahoma"/>
      <w:kern w:val="2"/>
      <w:sz w:val="24"/>
      <w:szCs w:val="24"/>
      <w:lang w:eastAsia="en-US"/>
    </w:rPr>
  </w:style>
  <w:style w:type="character" w:customStyle="1" w:styleId="193">
    <w:name w:val="Char Char9"/>
    <w:qFormat/>
    <w:uiPriority w:val="99"/>
    <w:rPr>
      <w:kern w:val="2"/>
      <w:sz w:val="21"/>
      <w:szCs w:val="21"/>
    </w:rPr>
  </w:style>
  <w:style w:type="character" w:customStyle="1" w:styleId="194">
    <w:name w:val="日期 Char1"/>
    <w:qFormat/>
    <w:uiPriority w:val="99"/>
    <w:rPr>
      <w:kern w:val="2"/>
      <w:sz w:val="22"/>
      <w:szCs w:val="22"/>
    </w:rPr>
  </w:style>
  <w:style w:type="character" w:customStyle="1" w:styleId="195">
    <w:name w:val="Subtle Emphasis1"/>
    <w:qFormat/>
    <w:uiPriority w:val="99"/>
    <w:rPr>
      <w:i/>
      <w:iCs/>
      <w:color w:val="808080"/>
    </w:rPr>
  </w:style>
  <w:style w:type="character" w:customStyle="1" w:styleId="196">
    <w:name w:val="Title Char"/>
    <w:qFormat/>
    <w:locked/>
    <w:uiPriority w:val="99"/>
    <w:rPr>
      <w:rFonts w:ascii="Cambria" w:hAnsi="Cambria" w:cs="Cambria"/>
      <w:b/>
      <w:bCs/>
      <w:kern w:val="2"/>
      <w:sz w:val="32"/>
      <w:szCs w:val="32"/>
    </w:rPr>
  </w:style>
  <w:style w:type="character" w:customStyle="1" w:styleId="197">
    <w:name w:val="正文文本 Char2"/>
    <w:semiHidden/>
    <w:qFormat/>
    <w:uiPriority w:val="99"/>
    <w:rPr>
      <w:kern w:val="2"/>
      <w:sz w:val="21"/>
      <w:szCs w:val="21"/>
    </w:rPr>
  </w:style>
  <w:style w:type="character" w:customStyle="1" w:styleId="198">
    <w:name w:val="批注框文本 Char1"/>
    <w:qFormat/>
    <w:uiPriority w:val="99"/>
    <w:rPr>
      <w:kern w:val="2"/>
      <w:sz w:val="18"/>
      <w:szCs w:val="18"/>
    </w:rPr>
  </w:style>
  <w:style w:type="character" w:customStyle="1" w:styleId="199">
    <w:name w:val="Book Title1"/>
    <w:qFormat/>
    <w:uiPriority w:val="99"/>
    <w:rPr>
      <w:b/>
      <w:bCs/>
      <w:smallCaps/>
      <w:spacing w:val="5"/>
    </w:rPr>
  </w:style>
  <w:style w:type="character" w:customStyle="1" w:styleId="200">
    <w:name w:val="无间距字符"/>
    <w:link w:val="201"/>
    <w:qFormat/>
    <w:locked/>
    <w:uiPriority w:val="99"/>
    <w:rPr>
      <w:rFonts w:ascii="Calibri" w:hAnsi="Calibri" w:cs="Calibri"/>
      <w:sz w:val="22"/>
      <w:szCs w:val="22"/>
    </w:rPr>
  </w:style>
  <w:style w:type="paragraph" w:customStyle="1" w:styleId="201">
    <w:name w:val="无间距"/>
    <w:link w:val="200"/>
    <w:qFormat/>
    <w:uiPriority w:val="99"/>
    <w:rPr>
      <w:rFonts w:ascii="Calibri" w:hAnsi="Calibri" w:eastAsia="宋体" w:cs="Calibri"/>
      <w:sz w:val="22"/>
      <w:szCs w:val="22"/>
      <w:lang w:val="en-US" w:eastAsia="zh-CN" w:bidi="ar-SA"/>
    </w:rPr>
  </w:style>
  <w:style w:type="character" w:customStyle="1" w:styleId="202">
    <w:name w:val="正文文本 Char1"/>
    <w:qFormat/>
    <w:uiPriority w:val="99"/>
    <w:rPr>
      <w:kern w:val="2"/>
      <w:sz w:val="22"/>
      <w:szCs w:val="22"/>
    </w:rPr>
  </w:style>
  <w:style w:type="character" w:customStyle="1" w:styleId="203">
    <w:name w:val="文档结构图 Char1"/>
    <w:qFormat/>
    <w:uiPriority w:val="99"/>
    <w:rPr>
      <w:rFonts w:ascii="宋体" w:cs="宋体"/>
      <w:kern w:val="2"/>
      <w:sz w:val="18"/>
      <w:szCs w:val="18"/>
    </w:rPr>
  </w:style>
  <w:style w:type="character" w:customStyle="1" w:styleId="204">
    <w:name w:val="明显引用 Char"/>
    <w:link w:val="205"/>
    <w:qFormat/>
    <w:locked/>
    <w:uiPriority w:val="99"/>
    <w:rPr>
      <w:b/>
      <w:bCs/>
      <w:i/>
      <w:iCs/>
      <w:color w:val="4F81BD"/>
      <w:sz w:val="21"/>
      <w:szCs w:val="21"/>
    </w:rPr>
  </w:style>
  <w:style w:type="paragraph" w:customStyle="1" w:styleId="205">
    <w:name w:val="Intense Quote"/>
    <w:basedOn w:val="1"/>
    <w:next w:val="1"/>
    <w:link w:val="204"/>
    <w:qFormat/>
    <w:uiPriority w:val="99"/>
    <w:pPr>
      <w:widowControl w:val="0"/>
      <w:pBdr>
        <w:bottom w:val="single" w:color="4F81BD" w:sz="4" w:space="4"/>
      </w:pBdr>
      <w:spacing w:before="200" w:after="280"/>
      <w:ind w:left="936" w:right="936"/>
      <w:jc w:val="both"/>
    </w:pPr>
    <w:rPr>
      <w:b/>
      <w:bCs/>
      <w:i/>
      <w:iCs/>
      <w:color w:val="4F81BD"/>
      <w:sz w:val="21"/>
      <w:szCs w:val="21"/>
    </w:rPr>
  </w:style>
  <w:style w:type="character" w:customStyle="1" w:styleId="206">
    <w:name w:val="Subtle Reference1"/>
    <w:qFormat/>
    <w:uiPriority w:val="99"/>
    <w:rPr>
      <w:smallCaps/>
      <w:color w:val="auto"/>
      <w:u w:val="single"/>
    </w:rPr>
  </w:style>
  <w:style w:type="character" w:customStyle="1" w:styleId="207">
    <w:name w:val="副标题 Char1"/>
    <w:qFormat/>
    <w:uiPriority w:val="99"/>
    <w:rPr>
      <w:rFonts w:ascii="Cambria" w:hAnsi="Cambria" w:eastAsia="宋体" w:cs="Cambria"/>
      <w:b/>
      <w:bCs/>
      <w:kern w:val="28"/>
      <w:sz w:val="32"/>
      <w:szCs w:val="32"/>
    </w:rPr>
  </w:style>
  <w:style w:type="character" w:customStyle="1" w:styleId="208">
    <w:name w:val="Char Char3"/>
    <w:qFormat/>
    <w:uiPriority w:val="99"/>
    <w:rPr>
      <w:rFonts w:ascii="Arial" w:hAnsi="Arial" w:eastAsia="黑体" w:cs="Arial"/>
      <w:b/>
      <w:bCs/>
      <w:kern w:val="2"/>
      <w:sz w:val="32"/>
      <w:szCs w:val="32"/>
      <w:lang w:val="en-US" w:eastAsia="zh-CN"/>
    </w:rPr>
  </w:style>
  <w:style w:type="character" w:customStyle="1" w:styleId="209">
    <w:name w:val="Quote Char"/>
    <w:qFormat/>
    <w:locked/>
    <w:uiPriority w:val="99"/>
    <w:rPr>
      <w:i/>
      <w:iCs/>
      <w:color w:val="000000"/>
      <w:kern w:val="2"/>
      <w:sz w:val="22"/>
      <w:szCs w:val="22"/>
    </w:rPr>
  </w:style>
  <w:style w:type="character" w:customStyle="1" w:styleId="210">
    <w:name w:val="日期 Char2"/>
    <w:semiHidden/>
    <w:qFormat/>
    <w:uiPriority w:val="99"/>
    <w:rPr>
      <w:kern w:val="2"/>
      <w:sz w:val="22"/>
      <w:szCs w:val="22"/>
    </w:rPr>
  </w:style>
  <w:style w:type="character" w:customStyle="1" w:styleId="211">
    <w:name w:val="批注主题 Char1"/>
    <w:qFormat/>
    <w:uiPriority w:val="99"/>
    <w:rPr>
      <w:rFonts w:ascii="Times New Roman" w:hAnsi="Times New Roman" w:eastAsia="宋体" w:cs="Times New Roman"/>
      <w:b/>
      <w:bCs/>
      <w:kern w:val="2"/>
      <w:sz w:val="24"/>
      <w:szCs w:val="24"/>
    </w:rPr>
  </w:style>
  <w:style w:type="character" w:customStyle="1" w:styleId="212">
    <w:name w:val="textcontents"/>
    <w:qFormat/>
    <w:uiPriority w:val="99"/>
  </w:style>
  <w:style w:type="character" w:customStyle="1" w:styleId="213">
    <w:name w:val="标题 Char1"/>
    <w:qFormat/>
    <w:uiPriority w:val="99"/>
    <w:rPr>
      <w:rFonts w:ascii="Cambria" w:hAnsi="Cambria" w:eastAsia="宋体" w:cs="Cambria"/>
      <w:b/>
      <w:bCs/>
      <w:kern w:val="2"/>
      <w:sz w:val="32"/>
      <w:szCs w:val="32"/>
    </w:rPr>
  </w:style>
  <w:style w:type="character" w:customStyle="1" w:styleId="214">
    <w:name w:val="批注框文本 Char2"/>
    <w:semiHidden/>
    <w:qFormat/>
    <w:uiPriority w:val="99"/>
    <w:rPr>
      <w:kern w:val="2"/>
      <w:sz w:val="18"/>
      <w:szCs w:val="18"/>
    </w:rPr>
  </w:style>
  <w:style w:type="character" w:customStyle="1" w:styleId="215">
    <w:name w:val="Intense Emphasis1"/>
    <w:qFormat/>
    <w:uiPriority w:val="99"/>
    <w:rPr>
      <w:b/>
      <w:bCs/>
      <w:i/>
      <w:iCs/>
      <w:color w:val="4F81BD"/>
    </w:rPr>
  </w:style>
  <w:style w:type="character" w:customStyle="1" w:styleId="216">
    <w:name w:val="tdrownotice1"/>
    <w:qFormat/>
    <w:uiPriority w:val="99"/>
    <w:rPr>
      <w:sz w:val="22"/>
      <w:szCs w:val="22"/>
    </w:rPr>
  </w:style>
  <w:style w:type="character" w:customStyle="1" w:styleId="217">
    <w:name w:val="标题4 Char Char"/>
    <w:qFormat/>
    <w:locked/>
    <w:uiPriority w:val="99"/>
    <w:rPr>
      <w:rFonts w:ascii="Arial" w:hAnsi="Arial" w:cs="Arial"/>
      <w:b/>
      <w:bCs/>
      <w:sz w:val="32"/>
      <w:szCs w:val="32"/>
    </w:rPr>
  </w:style>
  <w:style w:type="character" w:customStyle="1" w:styleId="218">
    <w:name w:val="明显引用 Char1"/>
    <w:qFormat/>
    <w:uiPriority w:val="99"/>
    <w:rPr>
      <w:rFonts w:ascii="Times New Roman" w:hAnsi="Times New Roman" w:eastAsia="宋体" w:cs="Times New Roman"/>
      <w:b/>
      <w:bCs/>
      <w:i/>
      <w:iCs/>
      <w:color w:val="4F81BD"/>
      <w:kern w:val="2"/>
      <w:sz w:val="24"/>
      <w:szCs w:val="24"/>
    </w:rPr>
  </w:style>
  <w:style w:type="character" w:customStyle="1" w:styleId="219">
    <w:name w:val="（符号）邀请函中一、"/>
    <w:qFormat/>
    <w:uiPriority w:val="99"/>
    <w:rPr>
      <w:rFonts w:ascii="黑体" w:hAnsi="黑体" w:eastAsia="黑体" w:cs="黑体"/>
      <w:b/>
      <w:bCs/>
      <w:sz w:val="24"/>
      <w:szCs w:val="24"/>
    </w:rPr>
  </w:style>
  <w:style w:type="character" w:customStyle="1" w:styleId="220">
    <w:name w:val="批注主题 Char2"/>
    <w:semiHidden/>
    <w:qFormat/>
    <w:uiPriority w:val="99"/>
    <w:rPr>
      <w:b/>
      <w:bCs/>
      <w:kern w:val="2"/>
      <w:sz w:val="22"/>
      <w:szCs w:val="22"/>
    </w:rPr>
  </w:style>
  <w:style w:type="character" w:customStyle="1" w:styleId="221">
    <w:name w:val="页眉 Char1"/>
    <w:semiHidden/>
    <w:qFormat/>
    <w:uiPriority w:val="99"/>
    <w:rPr>
      <w:kern w:val="2"/>
      <w:sz w:val="18"/>
      <w:szCs w:val="18"/>
    </w:rPr>
  </w:style>
  <w:style w:type="character" w:customStyle="1" w:styleId="222">
    <w:name w:val="页脚 Char1"/>
    <w:semiHidden/>
    <w:qFormat/>
    <w:uiPriority w:val="99"/>
    <w:rPr>
      <w:kern w:val="2"/>
      <w:sz w:val="18"/>
      <w:szCs w:val="18"/>
    </w:rPr>
  </w:style>
  <w:style w:type="character" w:customStyle="1" w:styleId="223">
    <w:name w:val="引用 Char"/>
    <w:link w:val="224"/>
    <w:qFormat/>
    <w:locked/>
    <w:uiPriority w:val="99"/>
    <w:rPr>
      <w:i/>
      <w:iCs/>
      <w:color w:val="000000"/>
      <w:sz w:val="21"/>
      <w:szCs w:val="21"/>
    </w:rPr>
  </w:style>
  <w:style w:type="paragraph" w:customStyle="1" w:styleId="224">
    <w:name w:val="Quote"/>
    <w:basedOn w:val="1"/>
    <w:next w:val="1"/>
    <w:link w:val="223"/>
    <w:qFormat/>
    <w:uiPriority w:val="99"/>
    <w:pPr>
      <w:widowControl w:val="0"/>
      <w:jc w:val="both"/>
    </w:pPr>
    <w:rPr>
      <w:i/>
      <w:iCs/>
      <w:color w:val="000000"/>
      <w:sz w:val="21"/>
      <w:szCs w:val="21"/>
    </w:rPr>
  </w:style>
  <w:style w:type="character" w:customStyle="1" w:styleId="225">
    <w:name w:val="文档结构图 Char2"/>
    <w:semiHidden/>
    <w:qFormat/>
    <w:uiPriority w:val="99"/>
    <w:rPr>
      <w:rFonts w:ascii="宋体" w:cs="宋体"/>
      <w:kern w:val="2"/>
      <w:sz w:val="18"/>
      <w:szCs w:val="18"/>
    </w:rPr>
  </w:style>
  <w:style w:type="character" w:customStyle="1" w:styleId="226">
    <w:name w:val="GW-正文 Char"/>
    <w:link w:val="227"/>
    <w:qFormat/>
    <w:locked/>
    <w:uiPriority w:val="99"/>
    <w:rPr>
      <w:rFonts w:eastAsia="仿宋_GB2312"/>
      <w:sz w:val="24"/>
      <w:szCs w:val="24"/>
    </w:rPr>
  </w:style>
  <w:style w:type="paragraph" w:customStyle="1" w:styleId="227">
    <w:name w:val="GW-正文"/>
    <w:basedOn w:val="1"/>
    <w:link w:val="226"/>
    <w:qFormat/>
    <w:uiPriority w:val="99"/>
    <w:pPr>
      <w:widowControl w:val="0"/>
      <w:spacing w:line="360" w:lineRule="auto"/>
      <w:ind w:firstLine="200" w:firstLineChars="200"/>
      <w:jc w:val="both"/>
    </w:pPr>
    <w:rPr>
      <w:rFonts w:eastAsia="仿宋_GB2312"/>
    </w:rPr>
  </w:style>
  <w:style w:type="character" w:customStyle="1" w:styleId="228">
    <w:name w:val="标题5 Char Char"/>
    <w:link w:val="229"/>
    <w:qFormat/>
    <w:locked/>
    <w:uiPriority w:val="99"/>
    <w:rPr>
      <w:rFonts w:ascii="Arial" w:hAnsi="Arial" w:cs="Arial"/>
      <w:b/>
      <w:bCs/>
      <w:sz w:val="32"/>
      <w:szCs w:val="32"/>
    </w:rPr>
  </w:style>
  <w:style w:type="paragraph" w:customStyle="1" w:styleId="229">
    <w:name w:val="标题5"/>
    <w:basedOn w:val="5"/>
    <w:link w:val="228"/>
    <w:qFormat/>
    <w:uiPriority w:val="99"/>
    <w:pPr>
      <w:numPr>
        <w:ilvl w:val="0"/>
        <w:numId w:val="0"/>
      </w:numPr>
      <w:spacing w:before="260" w:after="260" w:line="413" w:lineRule="auto"/>
    </w:pPr>
    <w:rPr>
      <w:rFonts w:ascii="Arial" w:hAnsi="Arial" w:cs="Arial"/>
      <w:color w:val="auto"/>
      <w:kern w:val="0"/>
      <w:sz w:val="32"/>
      <w:szCs w:val="32"/>
    </w:rPr>
  </w:style>
  <w:style w:type="character" w:customStyle="1" w:styleId="230">
    <w:name w:val="批注文字 Char Char"/>
    <w:qFormat/>
    <w:uiPriority w:val="99"/>
    <w:rPr>
      <w:rFonts w:ascii="宋体" w:hAnsi="Times New Roman" w:eastAsia="宋体" w:cs="宋体"/>
      <w:sz w:val="20"/>
      <w:szCs w:val="20"/>
    </w:rPr>
  </w:style>
  <w:style w:type="character" w:customStyle="1" w:styleId="231">
    <w:name w:val="Heading 2 Char"/>
    <w:semiHidden/>
    <w:qFormat/>
    <w:locked/>
    <w:uiPriority w:val="99"/>
    <w:rPr>
      <w:rFonts w:ascii="Cambria" w:hAnsi="Cambria" w:eastAsia="宋体" w:cs="Cambria"/>
      <w:b/>
      <w:bCs/>
      <w:sz w:val="32"/>
      <w:szCs w:val="32"/>
    </w:rPr>
  </w:style>
  <w:style w:type="character" w:customStyle="1" w:styleId="232">
    <w:name w:val="Subtitle Char"/>
    <w:qFormat/>
    <w:locked/>
    <w:uiPriority w:val="99"/>
    <w:rPr>
      <w:rFonts w:ascii="Cambria" w:hAnsi="Cambria" w:cs="Cambria"/>
      <w:b/>
      <w:bCs/>
      <w:kern w:val="28"/>
      <w:sz w:val="32"/>
      <w:szCs w:val="32"/>
    </w:rPr>
  </w:style>
  <w:style w:type="character" w:customStyle="1" w:styleId="233">
    <w:name w:val="正文文本缩进 Char1"/>
    <w:semiHidden/>
    <w:qFormat/>
    <w:uiPriority w:val="99"/>
    <w:rPr>
      <w:kern w:val="2"/>
      <w:sz w:val="21"/>
      <w:szCs w:val="21"/>
    </w:rPr>
  </w:style>
  <w:style w:type="character" w:customStyle="1" w:styleId="234">
    <w:name w:val="副标题 Char"/>
    <w:link w:val="35"/>
    <w:qFormat/>
    <w:locked/>
    <w:uiPriority w:val="99"/>
    <w:rPr>
      <w:rFonts w:ascii="Cambria" w:hAnsi="Cambria" w:cs="Cambria"/>
      <w:b/>
      <w:bCs/>
      <w:kern w:val="28"/>
      <w:sz w:val="32"/>
      <w:szCs w:val="32"/>
    </w:rPr>
  </w:style>
  <w:style w:type="character" w:customStyle="1" w:styleId="235">
    <w:name w:val="Intense Reference1"/>
    <w:qFormat/>
    <w:uiPriority w:val="99"/>
    <w:rPr>
      <w:b/>
      <w:bCs/>
      <w:smallCaps/>
      <w:color w:val="auto"/>
      <w:spacing w:val="5"/>
      <w:u w:val="single"/>
    </w:rPr>
  </w:style>
  <w:style w:type="character" w:customStyle="1" w:styleId="236">
    <w:name w:val="font31"/>
    <w:qFormat/>
    <w:uiPriority w:val="99"/>
    <w:rPr>
      <w:rFonts w:ascii="宋体" w:hAnsi="宋体" w:eastAsia="宋体" w:cs="宋体"/>
      <w:color w:val="000000"/>
      <w:sz w:val="21"/>
      <w:szCs w:val="21"/>
      <w:u w:val="none"/>
    </w:rPr>
  </w:style>
  <w:style w:type="character" w:customStyle="1" w:styleId="237">
    <w:name w:val="副标题 Char2"/>
    <w:basedOn w:val="44"/>
    <w:qFormat/>
    <w:uiPriority w:val="0"/>
    <w:rPr>
      <w:rFonts w:asciiTheme="majorHAnsi" w:hAnsiTheme="majorHAnsi" w:cstheme="majorBidi"/>
      <w:b/>
      <w:bCs/>
      <w:kern w:val="28"/>
      <w:sz w:val="32"/>
      <w:szCs w:val="32"/>
    </w:rPr>
  </w:style>
  <w:style w:type="paragraph" w:customStyle="1" w:styleId="238">
    <w:name w:val="第一章"/>
    <w:basedOn w:val="1"/>
    <w:next w:val="1"/>
    <w:qFormat/>
    <w:uiPriority w:val="99"/>
    <w:pPr>
      <w:widowControl w:val="0"/>
      <w:tabs>
        <w:tab w:val="left" w:pos="0"/>
      </w:tabs>
      <w:spacing w:line="360" w:lineRule="auto"/>
      <w:ind w:hanging="500" w:hangingChars="500"/>
      <w:jc w:val="both"/>
    </w:pPr>
    <w:rPr>
      <w:rFonts w:ascii="Calibri" w:hAnsi="Calibri" w:eastAsia="黑体"/>
      <w:kern w:val="2"/>
      <w:sz w:val="44"/>
      <w:szCs w:val="44"/>
    </w:rPr>
  </w:style>
  <w:style w:type="paragraph" w:customStyle="1" w:styleId="239">
    <w:name w:val="blockquote"/>
    <w:basedOn w:val="1"/>
    <w:qFormat/>
    <w:uiPriority w:val="99"/>
    <w:pPr>
      <w:spacing w:before="100" w:beforeAutospacing="1" w:after="100" w:afterAutospacing="1"/>
      <w:jc w:val="both"/>
    </w:pPr>
    <w:rPr>
      <w:rFonts w:ascii="宋体" w:hAnsi="宋体" w:cs="宋体"/>
    </w:rPr>
  </w:style>
  <w:style w:type="paragraph" w:customStyle="1" w:styleId="240">
    <w:name w:val="空半行"/>
    <w:basedOn w:val="1"/>
    <w:qFormat/>
    <w:uiPriority w:val="99"/>
    <w:pPr>
      <w:widowControl w:val="0"/>
      <w:adjustRightInd w:val="0"/>
      <w:spacing w:line="120" w:lineRule="exact"/>
      <w:jc w:val="both"/>
      <w:textAlignment w:val="baseline"/>
    </w:pPr>
    <w:rPr>
      <w:rFonts w:ascii="Calibri" w:hAnsi="Calibri" w:eastAsia="仿宋_GB2312"/>
      <w:color w:val="FFFFFF"/>
      <w:sz w:val="30"/>
      <w:szCs w:val="30"/>
    </w:rPr>
  </w:style>
  <w:style w:type="paragraph" w:customStyle="1" w:styleId="241">
    <w:name w:val="样式 首行缩进:  2 字符1"/>
    <w:basedOn w:val="1"/>
    <w:qFormat/>
    <w:uiPriority w:val="99"/>
    <w:pPr>
      <w:widowControl w:val="0"/>
      <w:spacing w:line="400" w:lineRule="exact"/>
      <w:ind w:firstLine="200" w:firstLineChars="200"/>
      <w:jc w:val="both"/>
    </w:pPr>
    <w:rPr>
      <w:rFonts w:ascii="Calibri" w:hAnsi="Calibri"/>
      <w:kern w:val="2"/>
    </w:rPr>
  </w:style>
  <w:style w:type="paragraph" w:customStyle="1" w:styleId="242">
    <w:name w:val="Char Char Char Char Char Char Char Char Char Char Char Char Char Char1 Char Char Char Char"/>
    <w:basedOn w:val="1"/>
    <w:qFormat/>
    <w:uiPriority w:val="99"/>
    <w:pPr>
      <w:widowControl w:val="0"/>
      <w:jc w:val="both"/>
    </w:pPr>
    <w:rPr>
      <w:rFonts w:ascii="Calibri" w:hAnsi="Calibri"/>
      <w:kern w:val="2"/>
      <w:sz w:val="21"/>
      <w:szCs w:val="21"/>
    </w:rPr>
  </w:style>
  <w:style w:type="paragraph" w:customStyle="1" w:styleId="243">
    <w:name w:val="样式1"/>
    <w:basedOn w:val="3"/>
    <w:qFormat/>
    <w:uiPriority w:val="99"/>
    <w:pPr>
      <w:widowControl w:val="0"/>
      <w:spacing w:line="576" w:lineRule="auto"/>
      <w:jc w:val="both"/>
    </w:pPr>
    <w:rPr>
      <w:rFonts w:ascii="Calibri" w:hAnsi="Calibri"/>
      <w:sz w:val="44"/>
      <w:szCs w:val="44"/>
    </w:rPr>
  </w:style>
  <w:style w:type="paragraph" w:customStyle="1" w:styleId="244">
    <w:name w:val="TOC Heading1"/>
    <w:basedOn w:val="3"/>
    <w:next w:val="1"/>
    <w:qFormat/>
    <w:uiPriority w:val="99"/>
    <w:pPr>
      <w:widowControl w:val="0"/>
      <w:spacing w:line="576" w:lineRule="auto"/>
      <w:jc w:val="both"/>
      <w:outlineLvl w:val="9"/>
    </w:pPr>
    <w:rPr>
      <w:rFonts w:ascii="Calibri" w:hAnsi="Calibri" w:cs="Calibri"/>
      <w:sz w:val="44"/>
      <w:szCs w:val="44"/>
    </w:rPr>
  </w:style>
  <w:style w:type="character" w:customStyle="1" w:styleId="245">
    <w:name w:val="引用 Char2"/>
    <w:basedOn w:val="44"/>
    <w:qFormat/>
    <w:uiPriority w:val="99"/>
    <w:rPr>
      <w:i/>
      <w:iCs/>
      <w:color w:val="000000" w:themeColor="text1"/>
      <w:sz w:val="24"/>
      <w:szCs w:val="24"/>
      <w14:textFill>
        <w14:solidFill>
          <w14:schemeClr w14:val="tx1"/>
        </w14:solidFill>
      </w14:textFill>
    </w:rPr>
  </w:style>
  <w:style w:type="paragraph" w:customStyle="1" w:styleId="246">
    <w:name w:val="表格"/>
    <w:basedOn w:val="1"/>
    <w:qFormat/>
    <w:uiPriority w:val="99"/>
    <w:pPr>
      <w:widowControl w:val="0"/>
      <w:spacing w:line="400" w:lineRule="exact"/>
      <w:jc w:val="both"/>
    </w:pPr>
    <w:rPr>
      <w:rFonts w:ascii="Calibri" w:hAnsi="Calibri"/>
      <w:kern w:val="2"/>
    </w:rPr>
  </w:style>
  <w:style w:type="paragraph" w:customStyle="1" w:styleId="247">
    <w:name w:val="修订1"/>
    <w:semiHidden/>
    <w:qFormat/>
    <w:uiPriority w:val="99"/>
    <w:rPr>
      <w:rFonts w:ascii="Calibri" w:hAnsi="Calibri" w:eastAsia="宋体" w:cs="Times New Roman"/>
      <w:kern w:val="2"/>
      <w:sz w:val="21"/>
      <w:szCs w:val="21"/>
      <w:lang w:val="en-US" w:eastAsia="zh-CN" w:bidi="ar-SA"/>
    </w:rPr>
  </w:style>
  <w:style w:type="paragraph" w:customStyle="1" w:styleId="248">
    <w:name w:val="样式 标题 3 + (中文) 黑体 小四 非加粗 段前: 7.8 磅 段后: 0 磅 行距: 固定值 20 磅"/>
    <w:basedOn w:val="5"/>
    <w:qFormat/>
    <w:uiPriority w:val="99"/>
    <w:pPr>
      <w:numPr>
        <w:ilvl w:val="0"/>
        <w:numId w:val="0"/>
      </w:numPr>
      <w:spacing w:line="400" w:lineRule="exact"/>
    </w:pPr>
    <w:rPr>
      <w:rFonts w:ascii="Calibri" w:hAnsi="Calibri" w:eastAsia="黑体"/>
      <w:b w:val="0"/>
      <w:bCs w:val="0"/>
      <w:color w:val="auto"/>
      <w:sz w:val="24"/>
      <w:szCs w:val="24"/>
    </w:rPr>
  </w:style>
  <w:style w:type="paragraph" w:customStyle="1" w:styleId="249">
    <w:name w:val="Revision1"/>
    <w:qFormat/>
    <w:uiPriority w:val="99"/>
    <w:rPr>
      <w:rFonts w:ascii="Calibri" w:hAnsi="Calibri" w:eastAsia="宋体" w:cs="Times New Roman"/>
      <w:kern w:val="2"/>
      <w:sz w:val="21"/>
      <w:szCs w:val="21"/>
      <w:lang w:val="en-US" w:eastAsia="zh-CN" w:bidi="ar-SA"/>
    </w:rPr>
  </w:style>
  <w:style w:type="paragraph" w:customStyle="1" w:styleId="250">
    <w:name w:val="flNote"/>
    <w:basedOn w:val="1"/>
    <w:qFormat/>
    <w:uiPriority w:val="99"/>
    <w:pPr>
      <w:widowControl w:val="0"/>
      <w:adjustRightInd w:val="0"/>
      <w:spacing w:before="320" w:after="160" w:line="360" w:lineRule="atLeast"/>
      <w:jc w:val="center"/>
      <w:textAlignment w:val="baseline"/>
    </w:pPr>
    <w:rPr>
      <w:rFonts w:ascii="Arial" w:hAnsi="Calibri" w:eastAsia="黑体" w:cs="Arial"/>
      <w:sz w:val="30"/>
      <w:szCs w:val="30"/>
    </w:rPr>
  </w:style>
  <w:style w:type="paragraph" w:customStyle="1" w:styleId="251">
    <w:name w:val="样式 标题 2 + Times New Roman 四号 非加粗 段前: 5 磅 段后: 0 磅 行距: 固定值 20..."/>
    <w:basedOn w:val="4"/>
    <w:qFormat/>
    <w:uiPriority w:val="99"/>
    <w:pPr>
      <w:numPr>
        <w:ilvl w:val="0"/>
        <w:numId w:val="0"/>
      </w:numPr>
      <w:tabs>
        <w:tab w:val="clear" w:pos="426"/>
        <w:tab w:val="clear" w:pos="567"/>
      </w:tabs>
      <w:spacing w:before="100" w:line="400" w:lineRule="exact"/>
    </w:pPr>
    <w:rPr>
      <w:rFonts w:ascii="Times New Roman" w:hAnsi="Times New Roman" w:eastAsia="黑体"/>
      <w:b w:val="0"/>
      <w:bCs w:val="0"/>
      <w:iCs w:val="0"/>
      <w:kern w:val="2"/>
    </w:rPr>
  </w:style>
  <w:style w:type="character" w:customStyle="1" w:styleId="252">
    <w:name w:val="明显引用 Char2"/>
    <w:basedOn w:val="44"/>
    <w:qFormat/>
    <w:uiPriority w:val="99"/>
    <w:rPr>
      <w:b/>
      <w:bCs/>
      <w:i/>
      <w:iCs/>
      <w:color w:val="4F81BD" w:themeColor="accent1"/>
      <w:sz w:val="24"/>
      <w:szCs w:val="24"/>
      <w14:textFill>
        <w14:solidFill>
          <w14:schemeClr w14:val="accent1"/>
        </w14:solidFill>
      </w14:textFill>
    </w:rPr>
  </w:style>
  <w:style w:type="paragraph" w:customStyle="1" w:styleId="253">
    <w:name w:val="bf.1"/>
    <w:basedOn w:val="16"/>
    <w:qFormat/>
    <w:uiPriority w:val="99"/>
    <w:pPr>
      <w:autoSpaceDE w:val="0"/>
      <w:autoSpaceDN w:val="0"/>
      <w:adjustRightInd w:val="0"/>
      <w:spacing w:before="50" w:after="100" w:line="500" w:lineRule="exact"/>
      <w:ind w:firstLine="0" w:firstLineChars="0"/>
    </w:pPr>
    <w:rPr>
      <w:rFonts w:ascii="仿宋_GB2312" w:hAnsi="宋体" w:eastAsia="仿宋_GB2312" w:cs="仿宋_GB2312"/>
      <w:color w:val="000000"/>
      <w:kern w:val="0"/>
      <w:sz w:val="24"/>
    </w:rPr>
  </w:style>
  <w:style w:type="paragraph" w:customStyle="1" w:styleId="254">
    <w:name w:val="No Spacing"/>
    <w:qFormat/>
    <w:uiPriority w:val="99"/>
    <w:pPr>
      <w:widowControl w:val="0"/>
      <w:jc w:val="both"/>
    </w:pPr>
    <w:rPr>
      <w:rFonts w:ascii="Calibri" w:hAnsi="Calibri" w:eastAsia="宋体" w:cs="Calibri"/>
      <w:kern w:val="2"/>
      <w:sz w:val="21"/>
      <w:szCs w:val="21"/>
      <w:lang w:val="en-US" w:eastAsia="zh-CN" w:bidi="ar-SA"/>
    </w:rPr>
  </w:style>
  <w:style w:type="paragraph" w:customStyle="1" w:styleId="255">
    <w:name w:val="Char Char1 Char"/>
    <w:basedOn w:val="1"/>
    <w:qFormat/>
    <w:uiPriority w:val="99"/>
    <w:pPr>
      <w:widowControl w:val="0"/>
      <w:jc w:val="both"/>
    </w:pPr>
    <w:rPr>
      <w:rFonts w:ascii="Calibri" w:hAnsi="Calibri"/>
      <w:kern w:val="2"/>
      <w:sz w:val="21"/>
      <w:szCs w:val="21"/>
    </w:rPr>
  </w:style>
  <w:style w:type="paragraph" w:customStyle="1" w:styleId="256">
    <w:name w:val="Blockquote"/>
    <w:basedOn w:val="1"/>
    <w:qFormat/>
    <w:uiPriority w:val="99"/>
    <w:pPr>
      <w:widowControl w:val="0"/>
      <w:autoSpaceDE w:val="0"/>
      <w:autoSpaceDN w:val="0"/>
      <w:adjustRightInd w:val="0"/>
      <w:spacing w:before="100" w:after="100"/>
      <w:ind w:left="360"/>
      <w:jc w:val="both"/>
    </w:pPr>
    <w:rPr>
      <w:rFonts w:ascii="Calibri" w:hAnsi="Calibri"/>
    </w:rPr>
  </w:style>
  <w:style w:type="table" w:customStyle="1" w:styleId="257">
    <w:name w:val="网格型1"/>
    <w:basedOn w:val="50"/>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258">
    <w:name w:val="样式 标题 5 + 倾斜"/>
    <w:basedOn w:val="7"/>
    <w:qFormat/>
    <w:uiPriority w:val="0"/>
    <w:pPr>
      <w:keepNext w:val="0"/>
      <w:keepLines w:val="0"/>
      <w:widowControl/>
      <w:tabs>
        <w:tab w:val="left" w:pos="992"/>
        <w:tab w:val="left" w:pos="1560"/>
        <w:tab w:val="clear" w:pos="709"/>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259">
    <w:name w:val="Table Paragraph"/>
    <w:basedOn w:val="1"/>
    <w:unhideWhenUsed/>
    <w:qFormat/>
    <w:uiPriority w:val="1"/>
    <w:rPr>
      <w:rFonts w:ascii="Times New Roman" w:hAnsi="Times New Roman" w:eastAsia="Times New Roman"/>
      <w:sz w:val="24"/>
    </w:rPr>
  </w:style>
  <w:style w:type="character" w:customStyle="1" w:styleId="260">
    <w:name w:val="qowt-font2"/>
    <w:basedOn w:val="44"/>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7" Type="http://schemas.openxmlformats.org/officeDocument/2006/relationships/fontTable" Target="fontTable.xml"/><Relationship Id="rId46" Type="http://schemas.openxmlformats.org/officeDocument/2006/relationships/customXml" Target="../customXml/item2.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29.png"/><Relationship Id="rId42" Type="http://schemas.openxmlformats.org/officeDocument/2006/relationships/image" Target="media/image28.png"/><Relationship Id="rId41" Type="http://schemas.openxmlformats.org/officeDocument/2006/relationships/image" Target="media/image27.png"/><Relationship Id="rId40" Type="http://schemas.openxmlformats.org/officeDocument/2006/relationships/image" Target="media/image26.png"/><Relationship Id="rId4" Type="http://schemas.openxmlformats.org/officeDocument/2006/relationships/footer" Target="footer1.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wmf"/><Relationship Id="rId2" Type="http://schemas.openxmlformats.org/officeDocument/2006/relationships/settings" Target="settings.xml"/><Relationship Id="rId19" Type="http://schemas.openxmlformats.org/officeDocument/2006/relationships/image" Target="media/image5.wmf"/><Relationship Id="rId18" Type="http://schemas.openxmlformats.org/officeDocument/2006/relationships/image" Target="media/image4.wmf"/><Relationship Id="rId17" Type="http://schemas.openxmlformats.org/officeDocument/2006/relationships/image" Target="media/image3.wmf"/><Relationship Id="rId16" Type="http://schemas.openxmlformats.org/officeDocument/2006/relationships/image" Target="media/image2.wmf"/><Relationship Id="rId15" Type="http://schemas.openxmlformats.org/officeDocument/2006/relationships/image" Target="media/image1.wmf"/><Relationship Id="rId14" Type="http://schemas.openxmlformats.org/officeDocument/2006/relationships/oleObject" Target="embeddings/oleObject1.bin"/><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DD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9030F8E-D6FA-4230-ACF9-DE88C640271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136</Pages>
  <Words>48335</Words>
  <Characters>50661</Characters>
  <Lines>326</Lines>
  <Paragraphs>91</Paragraphs>
  <ScaleCrop>false</ScaleCrop>
  <LinksUpToDate>false</LinksUpToDate>
  <CharactersWithSpaces>53606</CharactersWithSpaces>
  <Application>WPS Office_10.8.0.5715_F1E327BC-269C-435d-A152-05C5408002CA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2021-01-11T07:26:00Z</dcterms:created>
  <dc:creator>向晶</dc:creator>
  <cp:lastModifiedBy>郑晓惠</cp:lastModifiedBy>
  <cp:lastPrinted>2021-01-11T07:35:00Z</cp:lastPrinted>
  <dcterms:modified xsi:type="dcterms:W3CDTF">2021-07-29T06:25:39Z</dcterms:modified>
  <dc:title>成都市人民检察院物业管理采购项目竞争性谈判需求文件</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ies>
</file>