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olor w:val="auto"/>
          <w:spacing w:val="42"/>
          <w:sz w:val="84"/>
          <w:highlight w:val="none"/>
        </w:rPr>
      </w:pPr>
    </w:p>
    <w:p>
      <w:pPr>
        <w:spacing w:line="360" w:lineRule="auto"/>
        <w:jc w:val="center"/>
        <w:rPr>
          <w:rFonts w:ascii="华文中宋" w:hAnsi="华文中宋" w:eastAsia="华文中宋"/>
          <w:color w:val="auto"/>
          <w:spacing w:val="42"/>
          <w:sz w:val="130"/>
          <w:szCs w:val="130"/>
          <w:highlight w:val="none"/>
        </w:rPr>
      </w:pPr>
      <w:r>
        <w:rPr>
          <w:rFonts w:hint="eastAsia" w:ascii="华文中宋" w:hAnsi="华文中宋" w:eastAsia="华文中宋"/>
          <w:color w:val="auto"/>
          <w:spacing w:val="42"/>
          <w:sz w:val="130"/>
          <w:szCs w:val="130"/>
          <w:highlight w:val="none"/>
        </w:rPr>
        <w:t>招 标 文 件</w:t>
      </w:r>
    </w:p>
    <w:p>
      <w:pPr>
        <w:spacing w:line="360" w:lineRule="auto"/>
        <w:jc w:val="center"/>
        <w:rPr>
          <w:rFonts w:ascii="宋体" w:hAnsi="宋体"/>
          <w:color w:val="auto"/>
          <w:sz w:val="32"/>
          <w:szCs w:val="32"/>
          <w:highlight w:val="none"/>
        </w:rPr>
      </w:pPr>
    </w:p>
    <w:p>
      <w:pPr>
        <w:spacing w:line="360" w:lineRule="auto"/>
        <w:jc w:val="center"/>
        <w:rPr>
          <w:rFonts w:ascii="宋体" w:hAnsi="宋体"/>
          <w:color w:val="auto"/>
          <w:sz w:val="32"/>
          <w:szCs w:val="32"/>
          <w:highlight w:val="none"/>
        </w:rPr>
      </w:pPr>
    </w:p>
    <w:p>
      <w:pPr>
        <w:spacing w:line="360" w:lineRule="auto"/>
        <w:jc w:val="center"/>
        <w:rPr>
          <w:rFonts w:hint="eastAsia" w:ascii="华文中宋" w:hAnsi="华文中宋" w:eastAsia="华文中宋"/>
          <w:color w:val="auto"/>
          <w:sz w:val="32"/>
          <w:szCs w:val="32"/>
          <w:highlight w:val="none"/>
        </w:rPr>
      </w:pPr>
    </w:p>
    <w:p>
      <w:pPr>
        <w:spacing w:line="360" w:lineRule="auto"/>
        <w:jc w:val="left"/>
        <w:rPr>
          <w:rFonts w:hint="eastAsia" w:ascii="华文中宋" w:hAnsi="华文中宋" w:eastAsia="华文中宋"/>
          <w:color w:val="auto"/>
          <w:sz w:val="32"/>
          <w:szCs w:val="32"/>
          <w:highlight w:val="none"/>
          <w:lang w:val="en-US" w:eastAsia="zh-CN"/>
        </w:rPr>
      </w:pPr>
      <w:r>
        <w:rPr>
          <w:rFonts w:hint="eastAsia" w:ascii="华文中宋" w:hAnsi="华文中宋" w:eastAsia="华文中宋"/>
          <w:color w:val="auto"/>
          <w:sz w:val="32"/>
          <w:szCs w:val="32"/>
          <w:highlight w:val="none"/>
        </w:rPr>
        <w:t>项目名称：</w:t>
      </w:r>
      <w:r>
        <w:rPr>
          <w:rFonts w:hint="eastAsia" w:ascii="华文中宋" w:hAnsi="华文中宋" w:eastAsia="华文中宋"/>
          <w:color w:val="auto"/>
          <w:sz w:val="32"/>
          <w:szCs w:val="32"/>
          <w:highlight w:val="none"/>
          <w:lang w:eastAsia="zh-CN"/>
        </w:rPr>
        <w:t>成都市锦江区综合行政执法局2022—2024年锦江区环卫保洁、环卫公厕、绿化和河道管护一体化服务项目</w:t>
      </w:r>
    </w:p>
    <w:p>
      <w:pPr>
        <w:spacing w:line="360" w:lineRule="auto"/>
        <w:rPr>
          <w:rFonts w:hint="eastAsia" w:ascii="华文中宋" w:hAnsi="华文中宋" w:eastAsia="华文中宋"/>
          <w:color w:val="auto"/>
          <w:sz w:val="32"/>
          <w:szCs w:val="32"/>
          <w:highlight w:val="none"/>
          <w:lang w:eastAsia="zh-CN"/>
        </w:rPr>
      </w:pPr>
      <w:r>
        <w:rPr>
          <w:rFonts w:hint="eastAsia" w:ascii="华文中宋" w:hAnsi="华文中宋" w:eastAsia="华文中宋"/>
          <w:color w:val="auto"/>
          <w:sz w:val="32"/>
          <w:szCs w:val="32"/>
          <w:highlight w:val="none"/>
          <w:lang w:val="en-US" w:eastAsia="zh-CN"/>
        </w:rPr>
        <w:t>项目编号：</w:t>
      </w:r>
      <w:r>
        <w:rPr>
          <w:rFonts w:hint="eastAsia" w:ascii="华文中宋" w:hAnsi="华文中宋" w:eastAsia="华文中宋"/>
          <w:color w:val="auto"/>
          <w:sz w:val="32"/>
          <w:szCs w:val="32"/>
          <w:highlight w:val="none"/>
          <w:lang w:eastAsia="zh-CN"/>
        </w:rPr>
        <w:t>锦江政采（2021）A0028号</w:t>
      </w:r>
    </w:p>
    <w:p>
      <w:pPr>
        <w:spacing w:line="360" w:lineRule="auto"/>
        <w:ind w:firstLine="1280" w:firstLineChars="400"/>
        <w:rPr>
          <w:rFonts w:ascii="宋体" w:hAnsi="宋体"/>
          <w:color w:val="auto"/>
          <w:sz w:val="32"/>
          <w:szCs w:val="32"/>
          <w:highlight w:val="none"/>
        </w:rPr>
      </w:pPr>
    </w:p>
    <w:p>
      <w:pPr>
        <w:spacing w:line="360" w:lineRule="auto"/>
        <w:ind w:firstLine="1256" w:firstLineChars="349"/>
        <w:rPr>
          <w:rFonts w:ascii="宋体" w:hAnsi="宋体"/>
          <w:color w:val="auto"/>
          <w:spacing w:val="20"/>
          <w:sz w:val="32"/>
          <w:szCs w:val="32"/>
          <w:highlight w:val="none"/>
        </w:rPr>
      </w:pPr>
    </w:p>
    <w:p>
      <w:pPr>
        <w:spacing w:line="360" w:lineRule="auto"/>
        <w:rPr>
          <w:rFonts w:ascii="宋体" w:hAnsi="宋体"/>
          <w:color w:val="auto"/>
          <w:kern w:val="24"/>
          <w:sz w:val="32"/>
          <w:szCs w:val="32"/>
          <w:highlight w:val="none"/>
        </w:rPr>
      </w:pPr>
    </w:p>
    <w:p>
      <w:pPr>
        <w:pStyle w:val="2"/>
        <w:rPr>
          <w:color w:val="auto"/>
          <w:highlight w:val="none"/>
        </w:rPr>
      </w:pP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成都市锦江区综合行政执法局、成都市锦江区政府采购中心</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共同编制</w:t>
      </w:r>
    </w:p>
    <w:p>
      <w:pPr>
        <w:spacing w:line="360" w:lineRule="auto"/>
        <w:jc w:val="center"/>
        <w:rPr>
          <w:rFonts w:hint="eastAsia"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二〇二一年十</w:t>
      </w:r>
      <w:r>
        <w:rPr>
          <w:rFonts w:hint="eastAsia" w:ascii="华文中宋" w:hAnsi="华文中宋" w:eastAsia="华文中宋"/>
          <w:color w:val="auto"/>
          <w:sz w:val="32"/>
          <w:szCs w:val="32"/>
          <w:highlight w:val="none"/>
          <w:lang w:val="en-US" w:eastAsia="zh-CN"/>
        </w:rPr>
        <w:t>二</w:t>
      </w:r>
      <w:r>
        <w:rPr>
          <w:rFonts w:hint="eastAsia" w:ascii="华文中宋" w:hAnsi="华文中宋" w:eastAsia="华文中宋"/>
          <w:color w:val="auto"/>
          <w:sz w:val="32"/>
          <w:szCs w:val="32"/>
          <w:highlight w:val="none"/>
        </w:rPr>
        <w:t>月</w:t>
      </w:r>
    </w:p>
    <w:p>
      <w:pPr>
        <w:spacing w:line="360" w:lineRule="auto"/>
        <w:jc w:val="center"/>
        <w:rPr>
          <w:rFonts w:hint="eastAsia"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br w:type="page"/>
      </w:r>
    </w:p>
    <w:p>
      <w:pPr>
        <w:pStyle w:val="61"/>
        <w:rPr>
          <w:color w:val="auto"/>
          <w:highlight w:val="none"/>
        </w:rPr>
      </w:pPr>
    </w:p>
    <w:p>
      <w:pPr>
        <w:spacing w:line="360" w:lineRule="auto"/>
        <w:jc w:val="center"/>
        <w:rPr>
          <w:rFonts w:ascii="宋体" w:hAnsi="宋体"/>
          <w:b/>
          <w:color w:val="auto"/>
          <w:sz w:val="36"/>
          <w:highlight w:val="none"/>
        </w:rPr>
      </w:pPr>
      <w:bookmarkStart w:id="0" w:name="_Toc148505181"/>
      <w:bookmarkStart w:id="1" w:name="_Toc101328520"/>
      <w:bookmarkStart w:id="2" w:name="_Toc101234248"/>
      <w:bookmarkStart w:id="3" w:name="_Toc101247312"/>
      <w:r>
        <w:rPr>
          <w:rFonts w:hint="eastAsia" w:ascii="宋体" w:hAnsi="宋体"/>
          <w:b/>
          <w:color w:val="auto"/>
          <w:sz w:val="32"/>
          <w:szCs w:val="32"/>
          <w:highlight w:val="none"/>
        </w:rPr>
        <w:t>目 录</w:t>
      </w:r>
    </w:p>
    <w:p>
      <w:pPr>
        <w:pStyle w:val="33"/>
        <w:tabs>
          <w:tab w:val="right" w:leader="dot" w:pos="8306"/>
          <w:tab w:val="clear" w:pos="709"/>
          <w:tab w:val="clear" w:pos="8364"/>
        </w:tabs>
        <w:rPr>
          <w:rFonts w:ascii="Calibri" w:hAnsi="Calibri" w:eastAsia="宋体" w:cs="Times New Roman"/>
          <w:color w:val="auto"/>
          <w:kern w:val="2"/>
          <w:szCs w:val="22"/>
          <w:highlight w:val="none"/>
          <w:lang w:val="en-US" w:eastAsia="zh-CN" w:bidi="ar-SA"/>
        </w:rPr>
      </w:pPr>
      <w:r>
        <w:rPr>
          <w:rFonts w:hint="eastAsia"/>
          <w:color w:val="auto"/>
          <w:highlight w:val="none"/>
        </w:rPr>
        <w:fldChar w:fldCharType="begin"/>
      </w:r>
      <w:r>
        <w:rPr>
          <w:rFonts w:hint="eastAsia" w:ascii="宋体" w:hAnsi="宋体"/>
          <w:smallCaps/>
          <w:color w:val="auto"/>
          <w:highlight w:val="none"/>
        </w:rPr>
        <w:instrText xml:space="preserve"> TOC \o "1-2" \h \z \u </w:instrText>
      </w:r>
      <w:r>
        <w:rPr>
          <w:rFonts w:hint="eastAsia"/>
          <w:color w:val="auto"/>
          <w:highlight w:val="none"/>
        </w:rPr>
        <w:fldChar w:fldCharType="separate"/>
      </w: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_Toc24565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第</w:t>
      </w:r>
      <w:r>
        <w:rPr>
          <w:rFonts w:hint="default" w:ascii="Times New Roman" w:hAnsi="Times New Roman" w:eastAsia="宋体" w:cs="Times New Roman"/>
          <w:bCs/>
          <w:i w:val="0"/>
          <w:color w:val="auto"/>
          <w:spacing w:val="-20"/>
          <w:kern w:val="44"/>
          <w:szCs w:val="32"/>
          <w:highlight w:val="none"/>
          <w:lang w:val="en-US" w:eastAsia="zh-CN" w:bidi="ar-SA"/>
        </w:rPr>
        <w:t xml:space="preserve">1章 </w:t>
      </w:r>
      <w:r>
        <w:rPr>
          <w:rFonts w:hint="eastAsia" w:ascii="宋体" w:hAnsi="宋体" w:eastAsia="宋体" w:cs="Times New Roman"/>
          <w:bCs/>
          <w:color w:val="auto"/>
          <w:spacing w:val="-20"/>
          <w:kern w:val="44"/>
          <w:szCs w:val="32"/>
          <w:highlight w:val="none"/>
          <w:lang w:val="en-US" w:eastAsia="zh-CN" w:bidi="ar-SA"/>
        </w:rPr>
        <w:t>投标邀请</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_Toc24565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3</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spacing w:val="-20"/>
          <w:kern w:val="44"/>
          <w:szCs w:val="32"/>
          <w:highlight w:val="none"/>
          <w:lang w:val="en-US" w:eastAsia="zh-CN" w:bidi="ar-SA"/>
        </w:rPr>
        <w:fldChar w:fldCharType="end"/>
      </w:r>
    </w:p>
    <w:p>
      <w:pPr>
        <w:pStyle w:val="33"/>
        <w:tabs>
          <w:tab w:val="right" w:leader="dot" w:pos="8306"/>
          <w:tab w:val="clear" w:pos="709"/>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_Toc31465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第</w:t>
      </w:r>
      <w:r>
        <w:rPr>
          <w:rFonts w:hint="default" w:ascii="Times New Roman" w:hAnsi="Times New Roman" w:eastAsia="宋体" w:cs="Times New Roman"/>
          <w:bCs/>
          <w:i w:val="0"/>
          <w:color w:val="auto"/>
          <w:spacing w:val="-20"/>
          <w:kern w:val="44"/>
          <w:szCs w:val="32"/>
          <w:highlight w:val="none"/>
          <w:lang w:val="en-US" w:eastAsia="zh-CN" w:bidi="ar-SA"/>
        </w:rPr>
        <w:t xml:space="preserve">2章 </w:t>
      </w:r>
      <w:r>
        <w:rPr>
          <w:rFonts w:hint="eastAsia" w:ascii="宋体" w:hAnsi="宋体" w:eastAsia="宋体" w:cs="Times New Roman"/>
          <w:bCs/>
          <w:color w:val="auto"/>
          <w:spacing w:val="-20"/>
          <w:kern w:val="44"/>
          <w:szCs w:val="32"/>
          <w:highlight w:val="none"/>
          <w:lang w:val="en-US" w:eastAsia="zh-CN" w:bidi="ar-SA"/>
        </w:rPr>
        <w:t>投标人须知</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_Toc31465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8</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spacing w:val="-20"/>
          <w:kern w:val="44"/>
          <w:szCs w:val="32"/>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_Toc3410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w:t>
      </w:r>
      <w:r>
        <w:rPr>
          <w:rFonts w:hint="default" w:ascii="Times New Roman" w:hAnsi="Times New Roman" w:eastAsia="宋体" w:cs="Times New Roman"/>
          <w:bCs/>
          <w:i w:val="0"/>
          <w:color w:val="auto"/>
          <w:kern w:val="2"/>
          <w:szCs w:val="28"/>
          <w:highlight w:val="none"/>
          <w:lang w:val="en-US" w:eastAsia="zh-CN" w:bidi="ar-SA"/>
        </w:rPr>
        <w:t xml:space="preserve">.1 </w:t>
      </w:r>
      <w:r>
        <w:rPr>
          <w:rFonts w:hint="eastAsia" w:ascii="宋体" w:hAnsi="宋体" w:eastAsia="宋体" w:cs="Times New Roman"/>
          <w:bCs/>
          <w:color w:val="auto"/>
          <w:kern w:val="2"/>
          <w:szCs w:val="28"/>
          <w:highlight w:val="none"/>
          <w:lang w:val="en-US" w:eastAsia="zh-CN" w:bidi="ar-SA"/>
        </w:rPr>
        <w:t>投标人须知前附表</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_Toc3410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8</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_Toc22779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w:t>
      </w:r>
      <w:r>
        <w:rPr>
          <w:rFonts w:hint="default" w:ascii="Times New Roman" w:hAnsi="Times New Roman" w:eastAsia="宋体" w:cs="Times New Roman"/>
          <w:bCs/>
          <w:i w:val="0"/>
          <w:color w:val="auto"/>
          <w:kern w:val="2"/>
          <w:szCs w:val="28"/>
          <w:highlight w:val="none"/>
          <w:lang w:val="en-US" w:eastAsia="zh-CN" w:bidi="ar-SA"/>
        </w:rPr>
        <w:t xml:space="preserve">.2 </w:t>
      </w:r>
      <w:r>
        <w:rPr>
          <w:rFonts w:hint="eastAsia" w:ascii="宋体" w:hAnsi="宋体" w:eastAsia="宋体" w:cs="Times New Roman"/>
          <w:bCs/>
          <w:color w:val="auto"/>
          <w:kern w:val="2"/>
          <w:szCs w:val="28"/>
          <w:highlight w:val="none"/>
          <w:lang w:val="en-US" w:eastAsia="zh-CN" w:bidi="ar-SA"/>
        </w:rPr>
        <w:t>总则</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_Toc22779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11</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_Toc10048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w:t>
      </w:r>
      <w:r>
        <w:rPr>
          <w:rFonts w:hint="default" w:ascii="Times New Roman" w:hAnsi="Times New Roman" w:eastAsia="宋体" w:cs="Times New Roman"/>
          <w:bCs/>
          <w:i w:val="0"/>
          <w:color w:val="auto"/>
          <w:kern w:val="2"/>
          <w:szCs w:val="28"/>
          <w:highlight w:val="none"/>
          <w:lang w:val="en-US" w:eastAsia="zh-CN" w:bidi="ar-SA"/>
        </w:rPr>
        <w:t xml:space="preserve">.3 </w:t>
      </w:r>
      <w:r>
        <w:rPr>
          <w:rFonts w:hint="eastAsia" w:ascii="宋体" w:hAnsi="宋体" w:eastAsia="宋体" w:cs="Times New Roman"/>
          <w:bCs/>
          <w:color w:val="auto"/>
          <w:kern w:val="2"/>
          <w:szCs w:val="28"/>
          <w:highlight w:val="none"/>
          <w:lang w:val="en-US" w:eastAsia="zh-CN" w:bidi="ar-SA"/>
        </w:rPr>
        <w:t>招标文件</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_Toc10048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13</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_Toc15078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w:t>
      </w:r>
      <w:r>
        <w:rPr>
          <w:rFonts w:hint="default" w:ascii="Times New Roman" w:hAnsi="Times New Roman" w:eastAsia="宋体" w:cs="Times New Roman"/>
          <w:bCs/>
          <w:i w:val="0"/>
          <w:color w:val="auto"/>
          <w:kern w:val="2"/>
          <w:szCs w:val="28"/>
          <w:highlight w:val="none"/>
          <w:lang w:val="en-US" w:eastAsia="zh-CN" w:bidi="ar-SA"/>
        </w:rPr>
        <w:t xml:space="preserve">.4 </w:t>
      </w:r>
      <w:r>
        <w:rPr>
          <w:rFonts w:hint="eastAsia" w:ascii="宋体" w:hAnsi="宋体" w:eastAsia="宋体" w:cs="Times New Roman"/>
          <w:bCs/>
          <w:color w:val="auto"/>
          <w:kern w:val="2"/>
          <w:szCs w:val="28"/>
          <w:highlight w:val="none"/>
          <w:lang w:val="en-US" w:eastAsia="zh-CN" w:bidi="ar-SA"/>
        </w:rPr>
        <w:t>投标文件</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_Toc15078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14</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_Toc3592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w:t>
      </w:r>
      <w:r>
        <w:rPr>
          <w:rFonts w:hint="default" w:ascii="Times New Roman" w:hAnsi="Times New Roman" w:eastAsia="宋体" w:cs="Times New Roman"/>
          <w:bCs/>
          <w:i w:val="0"/>
          <w:color w:val="auto"/>
          <w:kern w:val="2"/>
          <w:szCs w:val="28"/>
          <w:highlight w:val="none"/>
          <w:lang w:val="en-US" w:eastAsia="zh-CN" w:bidi="ar-SA"/>
        </w:rPr>
        <w:t xml:space="preserve">.5 </w:t>
      </w:r>
      <w:r>
        <w:rPr>
          <w:rFonts w:hint="eastAsia" w:ascii="宋体" w:hAnsi="宋体" w:eastAsia="宋体" w:cs="Times New Roman"/>
          <w:bCs/>
          <w:color w:val="auto"/>
          <w:kern w:val="2"/>
          <w:szCs w:val="28"/>
          <w:highlight w:val="none"/>
          <w:lang w:val="en-US" w:eastAsia="zh-CN" w:bidi="ar-SA"/>
        </w:rPr>
        <w:t>开标、资格审查、评标和中标</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_Toc3592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19</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_Toc3602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w:t>
      </w:r>
      <w:r>
        <w:rPr>
          <w:rFonts w:hint="default" w:ascii="Times New Roman" w:hAnsi="Times New Roman" w:eastAsia="宋体" w:cs="Times New Roman"/>
          <w:bCs/>
          <w:i w:val="0"/>
          <w:color w:val="auto"/>
          <w:kern w:val="2"/>
          <w:szCs w:val="28"/>
          <w:highlight w:val="none"/>
          <w:lang w:val="en-US" w:eastAsia="zh-CN" w:bidi="ar-SA"/>
        </w:rPr>
        <w:t xml:space="preserve">.6 </w:t>
      </w:r>
      <w:r>
        <w:rPr>
          <w:rFonts w:hint="eastAsia" w:ascii="宋体" w:hAnsi="宋体" w:eastAsia="宋体" w:cs="Times New Roman"/>
          <w:bCs/>
          <w:color w:val="auto"/>
          <w:kern w:val="2"/>
          <w:szCs w:val="28"/>
          <w:highlight w:val="none"/>
          <w:lang w:val="en-US" w:eastAsia="zh-CN" w:bidi="ar-SA"/>
        </w:rPr>
        <w:t>签订及履行合同和验收</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_Toc3602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22</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_Toc30355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w:t>
      </w:r>
      <w:r>
        <w:rPr>
          <w:rFonts w:hint="default" w:ascii="Times New Roman" w:hAnsi="Times New Roman" w:eastAsia="宋体" w:cs="Times New Roman"/>
          <w:bCs/>
          <w:i w:val="0"/>
          <w:color w:val="auto"/>
          <w:kern w:val="2"/>
          <w:szCs w:val="28"/>
          <w:highlight w:val="none"/>
          <w:lang w:val="en-US" w:eastAsia="zh-CN" w:bidi="ar-SA"/>
        </w:rPr>
        <w:t xml:space="preserve">.7 </w:t>
      </w:r>
      <w:r>
        <w:rPr>
          <w:rFonts w:hint="eastAsia" w:ascii="宋体" w:hAnsi="宋体" w:eastAsia="宋体" w:cs="Times New Roman"/>
          <w:bCs/>
          <w:color w:val="auto"/>
          <w:kern w:val="2"/>
          <w:szCs w:val="28"/>
          <w:highlight w:val="none"/>
          <w:lang w:val="en-US" w:eastAsia="zh-CN" w:bidi="ar-SA"/>
        </w:rPr>
        <w:t>投标纪律要求</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_Toc30355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24</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_Toc17507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w:t>
      </w:r>
      <w:r>
        <w:rPr>
          <w:rFonts w:hint="default" w:ascii="Times New Roman" w:hAnsi="Times New Roman" w:eastAsia="宋体" w:cs="Times New Roman"/>
          <w:bCs/>
          <w:i w:val="0"/>
          <w:color w:val="auto"/>
          <w:kern w:val="2"/>
          <w:szCs w:val="28"/>
          <w:highlight w:val="none"/>
          <w:lang w:val="en-US" w:eastAsia="zh-CN" w:bidi="ar-SA"/>
        </w:rPr>
        <w:t xml:space="preserve">.8 </w:t>
      </w:r>
      <w:r>
        <w:rPr>
          <w:rFonts w:hint="eastAsia" w:ascii="宋体" w:hAnsi="宋体" w:eastAsia="宋体" w:cs="Times New Roman"/>
          <w:bCs/>
          <w:color w:val="auto"/>
          <w:kern w:val="2"/>
          <w:szCs w:val="28"/>
          <w:highlight w:val="none"/>
          <w:lang w:val="en-US" w:eastAsia="zh-CN" w:bidi="ar-SA"/>
        </w:rPr>
        <w:t>询问、质疑和投诉</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_Toc17507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26</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3"/>
        <w:tabs>
          <w:tab w:val="right" w:leader="dot" w:pos="8306"/>
          <w:tab w:val="clear" w:pos="709"/>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_Toc16744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第</w:t>
      </w:r>
      <w:r>
        <w:rPr>
          <w:rFonts w:hint="default" w:ascii="Times New Roman" w:hAnsi="Times New Roman" w:eastAsia="宋体" w:cs="Times New Roman"/>
          <w:bCs/>
          <w:i w:val="0"/>
          <w:color w:val="auto"/>
          <w:spacing w:val="-20"/>
          <w:kern w:val="44"/>
          <w:szCs w:val="32"/>
          <w:highlight w:val="none"/>
          <w:lang w:val="en-US" w:eastAsia="zh-CN" w:bidi="ar-SA"/>
        </w:rPr>
        <w:t xml:space="preserve">3章 </w:t>
      </w:r>
      <w:r>
        <w:rPr>
          <w:rFonts w:hint="eastAsia" w:ascii="宋体" w:hAnsi="宋体" w:eastAsia="宋体" w:cs="Times New Roman"/>
          <w:bCs/>
          <w:color w:val="auto"/>
          <w:spacing w:val="-20"/>
          <w:kern w:val="44"/>
          <w:szCs w:val="32"/>
          <w:highlight w:val="none"/>
          <w:lang w:val="en-US" w:eastAsia="zh-CN" w:bidi="ar-SA"/>
        </w:rPr>
        <w:t>投标文件格式</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_Toc16744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28</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spacing w:val="-20"/>
          <w:kern w:val="44"/>
          <w:szCs w:val="32"/>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_Toc25008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3</w:t>
      </w:r>
      <w:r>
        <w:rPr>
          <w:rFonts w:hint="default" w:ascii="Times New Roman" w:hAnsi="Times New Roman" w:eastAsia="宋体" w:cs="Times New Roman"/>
          <w:bCs/>
          <w:i w:val="0"/>
          <w:color w:val="auto"/>
          <w:kern w:val="2"/>
          <w:szCs w:val="28"/>
          <w:highlight w:val="none"/>
          <w:lang w:val="en-US" w:eastAsia="zh-CN" w:bidi="ar-SA"/>
        </w:rPr>
        <w:t xml:space="preserve">.1 </w:t>
      </w:r>
      <w:r>
        <w:rPr>
          <w:rFonts w:hint="eastAsia" w:ascii="宋体" w:hAnsi="宋体" w:eastAsia="宋体" w:cs="Times New Roman"/>
          <w:bCs/>
          <w:color w:val="auto"/>
          <w:kern w:val="2"/>
          <w:szCs w:val="28"/>
          <w:highlight w:val="none"/>
          <w:lang w:val="en-US" w:eastAsia="zh-CN" w:bidi="ar-SA"/>
        </w:rPr>
        <w:t>投标文件封面格式</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_Toc25008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28</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_Toc6850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3</w:t>
      </w:r>
      <w:r>
        <w:rPr>
          <w:rFonts w:hint="default" w:ascii="Times New Roman" w:hAnsi="Times New Roman" w:eastAsia="宋体" w:cs="Times New Roman"/>
          <w:bCs/>
          <w:i w:val="0"/>
          <w:color w:val="auto"/>
          <w:kern w:val="2"/>
          <w:szCs w:val="28"/>
          <w:highlight w:val="none"/>
          <w:lang w:val="en-US" w:eastAsia="zh-CN" w:bidi="ar-SA"/>
        </w:rPr>
        <w:t xml:space="preserve">.2 </w:t>
      </w:r>
      <w:r>
        <w:rPr>
          <w:rFonts w:hint="eastAsia" w:ascii="宋体" w:hAnsi="宋体" w:eastAsia="宋体" w:cs="Times New Roman"/>
          <w:bCs/>
          <w:color w:val="auto"/>
          <w:kern w:val="2"/>
          <w:szCs w:val="28"/>
          <w:highlight w:val="none"/>
          <w:lang w:val="en-US" w:eastAsia="zh-CN" w:bidi="ar-SA"/>
        </w:rPr>
        <w:t>资格响应文件</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_Toc6850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29</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_Toc16892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3</w:t>
      </w:r>
      <w:r>
        <w:rPr>
          <w:rFonts w:hint="default" w:ascii="Times New Roman" w:hAnsi="Times New Roman" w:eastAsia="宋体" w:cs="Times New Roman"/>
          <w:bCs/>
          <w:i w:val="0"/>
          <w:color w:val="auto"/>
          <w:kern w:val="2"/>
          <w:szCs w:val="28"/>
          <w:highlight w:val="none"/>
          <w:lang w:val="en-US" w:eastAsia="zh-CN" w:bidi="ar-SA"/>
        </w:rPr>
        <w:t xml:space="preserve">.3 </w:t>
      </w:r>
      <w:r>
        <w:rPr>
          <w:rFonts w:hint="eastAsia" w:ascii="宋体" w:hAnsi="宋体" w:eastAsia="宋体" w:cs="Times New Roman"/>
          <w:bCs/>
          <w:color w:val="auto"/>
          <w:kern w:val="2"/>
          <w:szCs w:val="28"/>
          <w:highlight w:val="none"/>
          <w:lang w:val="en-US" w:eastAsia="zh-CN" w:bidi="ar-SA"/>
        </w:rPr>
        <w:t>商务技术响应文件</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_Toc16892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36</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_Toc13418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3</w:t>
      </w:r>
      <w:r>
        <w:rPr>
          <w:rFonts w:hint="default" w:ascii="Times New Roman" w:hAnsi="Times New Roman" w:eastAsia="宋体" w:cs="Times New Roman"/>
          <w:i w:val="0"/>
          <w:color w:val="auto"/>
          <w:kern w:val="2"/>
          <w:szCs w:val="28"/>
          <w:highlight w:val="none"/>
          <w:lang w:val="en-US" w:eastAsia="zh-CN" w:bidi="ar-SA"/>
        </w:rPr>
        <w:t xml:space="preserve">.4 </w:t>
      </w:r>
      <w:r>
        <w:rPr>
          <w:rFonts w:hint="eastAsia" w:ascii="宋体" w:hAnsi="宋体" w:eastAsia="宋体" w:cs="Times New Roman"/>
          <w:color w:val="auto"/>
          <w:kern w:val="2"/>
          <w:szCs w:val="22"/>
          <w:highlight w:val="none"/>
          <w:lang w:val="en-US" w:eastAsia="zh-CN" w:bidi="ar-SA"/>
        </w:rPr>
        <w:t>报价</w:t>
      </w:r>
      <w:r>
        <w:rPr>
          <w:rFonts w:hint="eastAsia" w:ascii="宋体" w:hAnsi="宋体" w:eastAsia="宋体" w:cs="Times New Roman"/>
          <w:bCs/>
          <w:color w:val="auto"/>
          <w:kern w:val="2"/>
          <w:szCs w:val="28"/>
          <w:highlight w:val="none"/>
          <w:lang w:val="en-US" w:eastAsia="zh-CN" w:bidi="ar-SA"/>
        </w:rPr>
        <w:t>要求</w:t>
      </w:r>
      <w:r>
        <w:rPr>
          <w:rFonts w:hint="eastAsia" w:ascii="宋体" w:hAnsi="宋体" w:eastAsia="宋体" w:cs="Times New Roman"/>
          <w:color w:val="auto"/>
          <w:kern w:val="2"/>
          <w:szCs w:val="22"/>
          <w:highlight w:val="none"/>
          <w:lang w:val="en-US" w:eastAsia="zh-CN" w:bidi="ar-SA"/>
        </w:rPr>
        <w:t>响应文件</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_Toc13418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44</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i w:val="0"/>
          <w:color w:val="auto"/>
          <w:kern w:val="2"/>
          <w:szCs w:val="28"/>
          <w:highlight w:val="none"/>
          <w:lang w:val="en-US" w:eastAsia="zh-CN" w:bidi="ar-SA"/>
        </w:rPr>
        <w:fldChar w:fldCharType="end"/>
      </w:r>
    </w:p>
    <w:p>
      <w:pPr>
        <w:pStyle w:val="33"/>
        <w:tabs>
          <w:tab w:val="right" w:leader="dot" w:pos="8306"/>
          <w:tab w:val="clear" w:pos="709"/>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_Toc18042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第</w:t>
      </w:r>
      <w:r>
        <w:rPr>
          <w:rFonts w:hint="default" w:ascii="Times New Roman" w:hAnsi="Times New Roman" w:eastAsia="宋体" w:cs="Times New Roman"/>
          <w:bCs/>
          <w:i w:val="0"/>
          <w:color w:val="auto"/>
          <w:spacing w:val="-20"/>
          <w:kern w:val="44"/>
          <w:szCs w:val="32"/>
          <w:highlight w:val="none"/>
          <w:lang w:val="en-US" w:eastAsia="zh-CN" w:bidi="ar-SA"/>
        </w:rPr>
        <w:t xml:space="preserve">4章 </w:t>
      </w:r>
      <w:r>
        <w:rPr>
          <w:rFonts w:hint="eastAsia" w:ascii="宋体" w:hAnsi="宋体" w:eastAsia="宋体" w:cs="Times New Roman"/>
          <w:bCs/>
          <w:color w:val="auto"/>
          <w:spacing w:val="-20"/>
          <w:kern w:val="44"/>
          <w:szCs w:val="32"/>
          <w:highlight w:val="none"/>
          <w:lang w:val="en-US" w:eastAsia="zh-CN" w:bidi="ar-SA"/>
        </w:rPr>
        <w:t>招标项目技术、服务、商务及其他要求</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_Toc18042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47</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spacing w:val="-20"/>
          <w:kern w:val="44"/>
          <w:szCs w:val="32"/>
          <w:highlight w:val="none"/>
          <w:lang w:val="en-US" w:eastAsia="zh-CN" w:bidi="ar-SA"/>
        </w:rPr>
        <w:fldChar w:fldCharType="end"/>
      </w:r>
    </w:p>
    <w:p>
      <w:pPr>
        <w:pStyle w:val="33"/>
        <w:tabs>
          <w:tab w:val="right" w:leader="dot" w:pos="8306"/>
          <w:tab w:val="clear" w:pos="709"/>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_Toc18332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第</w:t>
      </w:r>
      <w:r>
        <w:rPr>
          <w:rFonts w:hint="default" w:ascii="Times New Roman" w:hAnsi="Times New Roman" w:eastAsia="宋体" w:cs="Times New Roman"/>
          <w:bCs/>
          <w:i w:val="0"/>
          <w:color w:val="auto"/>
          <w:spacing w:val="-20"/>
          <w:kern w:val="44"/>
          <w:szCs w:val="32"/>
          <w:highlight w:val="none"/>
          <w:lang w:val="en-US" w:eastAsia="zh-CN" w:bidi="ar-SA"/>
        </w:rPr>
        <w:t xml:space="preserve">5章 </w:t>
      </w:r>
      <w:r>
        <w:rPr>
          <w:rFonts w:hint="eastAsia" w:ascii="宋体" w:hAnsi="宋体" w:eastAsia="宋体" w:cs="Times New Roman"/>
          <w:bCs/>
          <w:color w:val="auto"/>
          <w:spacing w:val="-20"/>
          <w:kern w:val="44"/>
          <w:szCs w:val="32"/>
          <w:highlight w:val="none"/>
          <w:lang w:val="en-US" w:eastAsia="zh-CN" w:bidi="ar-SA"/>
        </w:rPr>
        <w:t>资格性审查</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_Toc18332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177</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spacing w:val="-20"/>
          <w:kern w:val="44"/>
          <w:szCs w:val="32"/>
          <w:highlight w:val="none"/>
          <w:lang w:val="en-US" w:eastAsia="zh-CN" w:bidi="ar-SA"/>
        </w:rPr>
        <w:fldChar w:fldCharType="end"/>
      </w:r>
    </w:p>
    <w:p>
      <w:pPr>
        <w:pStyle w:val="33"/>
        <w:tabs>
          <w:tab w:val="right" w:leader="dot" w:pos="8306"/>
          <w:tab w:val="clear" w:pos="709"/>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_Toc14629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第</w:t>
      </w:r>
      <w:r>
        <w:rPr>
          <w:rFonts w:hint="default" w:ascii="Times New Roman" w:hAnsi="Times New Roman" w:eastAsia="宋体" w:cs="Times New Roman"/>
          <w:bCs/>
          <w:i w:val="0"/>
          <w:color w:val="auto"/>
          <w:spacing w:val="-20"/>
          <w:kern w:val="44"/>
          <w:szCs w:val="32"/>
          <w:highlight w:val="none"/>
          <w:lang w:val="en-US" w:eastAsia="zh-CN" w:bidi="ar-SA"/>
        </w:rPr>
        <w:t xml:space="preserve">6章 </w:t>
      </w:r>
      <w:r>
        <w:rPr>
          <w:rFonts w:hint="eastAsia" w:ascii="宋体" w:hAnsi="宋体" w:eastAsia="宋体" w:cs="Times New Roman"/>
          <w:bCs/>
          <w:color w:val="auto"/>
          <w:spacing w:val="-20"/>
          <w:kern w:val="44"/>
          <w:szCs w:val="32"/>
          <w:highlight w:val="none"/>
          <w:lang w:val="en-US" w:eastAsia="zh-CN" w:bidi="ar-SA"/>
        </w:rPr>
        <w:t>评标办法</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_Toc14629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182</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spacing w:val="-20"/>
          <w:kern w:val="44"/>
          <w:szCs w:val="32"/>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_Toc23747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.1 </w:t>
      </w:r>
      <w:r>
        <w:rPr>
          <w:rFonts w:hint="eastAsia" w:ascii="宋体" w:hAnsi="宋体" w:eastAsia="宋体" w:cs="Times New Roman"/>
          <w:bCs/>
          <w:color w:val="auto"/>
          <w:kern w:val="2"/>
          <w:szCs w:val="28"/>
          <w:highlight w:val="none"/>
          <w:lang w:val="en-US" w:eastAsia="zh-CN" w:bidi="ar-SA"/>
        </w:rPr>
        <w:t>总则</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_Toc23747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182</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_Toc20270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.2 </w:t>
      </w:r>
      <w:r>
        <w:rPr>
          <w:rFonts w:hint="eastAsia" w:ascii="宋体" w:hAnsi="宋体" w:eastAsia="宋体" w:cs="Times New Roman"/>
          <w:bCs/>
          <w:color w:val="auto"/>
          <w:kern w:val="2"/>
          <w:szCs w:val="28"/>
          <w:highlight w:val="none"/>
          <w:lang w:val="en-US" w:eastAsia="zh-CN" w:bidi="ar-SA"/>
        </w:rPr>
        <w:t>评标方法</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_Toc20270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183</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_Toc20042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.3 </w:t>
      </w:r>
      <w:r>
        <w:rPr>
          <w:rFonts w:hint="eastAsia" w:ascii="宋体" w:hAnsi="宋体" w:eastAsia="宋体" w:cs="Times New Roman"/>
          <w:bCs/>
          <w:color w:val="auto"/>
          <w:kern w:val="2"/>
          <w:szCs w:val="28"/>
          <w:highlight w:val="none"/>
          <w:lang w:val="en-US" w:eastAsia="zh-CN" w:bidi="ar-SA"/>
        </w:rPr>
        <w:t>评标程序</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_Toc20042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183</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_Toc17226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.4 </w:t>
      </w:r>
      <w:r>
        <w:rPr>
          <w:rFonts w:hint="eastAsia" w:ascii="宋体" w:hAnsi="宋体" w:eastAsia="宋体" w:cs="Times New Roman"/>
          <w:bCs/>
          <w:color w:val="auto"/>
          <w:kern w:val="2"/>
          <w:szCs w:val="28"/>
          <w:highlight w:val="none"/>
          <w:lang w:val="en-US" w:eastAsia="zh-CN" w:bidi="ar-SA"/>
        </w:rPr>
        <w:t>评标争议处理规则</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_Toc17226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190</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_Toc27903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.5 </w:t>
      </w:r>
      <w:r>
        <w:rPr>
          <w:rFonts w:hint="eastAsia" w:ascii="宋体" w:hAnsi="宋体" w:eastAsia="宋体" w:cs="Times New Roman"/>
          <w:bCs/>
          <w:color w:val="auto"/>
          <w:kern w:val="2"/>
          <w:szCs w:val="28"/>
          <w:highlight w:val="none"/>
          <w:lang w:val="en-US" w:eastAsia="zh-CN" w:bidi="ar-SA"/>
        </w:rPr>
        <w:t>评标细则及标准</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_Toc27903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190</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_Toc30388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.6 </w:t>
      </w:r>
      <w:r>
        <w:rPr>
          <w:rFonts w:hint="eastAsia" w:ascii="宋体" w:hAnsi="宋体" w:eastAsia="宋体" w:cs="Times New Roman"/>
          <w:bCs/>
          <w:color w:val="auto"/>
          <w:kern w:val="2"/>
          <w:szCs w:val="28"/>
          <w:highlight w:val="none"/>
          <w:lang w:val="en-US" w:eastAsia="zh-CN" w:bidi="ar-SA"/>
        </w:rPr>
        <w:t>废标</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_Toc30388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201</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_Toc8774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.7 </w:t>
      </w:r>
      <w:r>
        <w:rPr>
          <w:rFonts w:hint="eastAsia" w:ascii="宋体" w:hAnsi="宋体" w:eastAsia="宋体" w:cs="Times New Roman"/>
          <w:bCs/>
          <w:color w:val="auto"/>
          <w:kern w:val="2"/>
          <w:szCs w:val="28"/>
          <w:highlight w:val="none"/>
          <w:lang w:val="en-US" w:eastAsia="zh-CN" w:bidi="ar-SA"/>
        </w:rPr>
        <w:t>定标</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_Toc8774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202</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_Toc28145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.8 </w:t>
      </w:r>
      <w:r>
        <w:rPr>
          <w:rFonts w:hint="eastAsia" w:ascii="宋体" w:hAnsi="宋体" w:eastAsia="宋体" w:cs="Times New Roman"/>
          <w:bCs/>
          <w:color w:val="auto"/>
          <w:kern w:val="2"/>
          <w:szCs w:val="28"/>
          <w:highlight w:val="none"/>
          <w:lang w:val="en-US" w:eastAsia="zh-CN" w:bidi="ar-SA"/>
        </w:rPr>
        <w:t>评审专家在政府采购活动中承担以下义务</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_Toc28145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203</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9"/>
        <w:tabs>
          <w:tab w:val="right" w:leader="dot" w:pos="8306"/>
          <w:tab w:val="clear" w:pos="620"/>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_Toc26235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6</w:t>
      </w:r>
      <w:r>
        <w:rPr>
          <w:rFonts w:hint="default" w:ascii="Times New Roman" w:hAnsi="Times New Roman" w:eastAsia="宋体" w:cs="Times New Roman"/>
          <w:bCs/>
          <w:i w:val="0"/>
          <w:color w:val="auto"/>
          <w:kern w:val="2"/>
          <w:szCs w:val="28"/>
          <w:highlight w:val="none"/>
          <w:lang w:val="en-US" w:eastAsia="zh-CN" w:bidi="ar-SA"/>
        </w:rPr>
        <w:t xml:space="preserve">.9 </w:t>
      </w:r>
      <w:r>
        <w:rPr>
          <w:rFonts w:hint="eastAsia" w:ascii="宋体" w:hAnsi="宋体" w:eastAsia="宋体" w:cs="Times New Roman"/>
          <w:bCs/>
          <w:color w:val="auto"/>
          <w:kern w:val="2"/>
          <w:szCs w:val="28"/>
          <w:highlight w:val="none"/>
          <w:lang w:val="en-US" w:eastAsia="zh-CN" w:bidi="ar-SA"/>
        </w:rPr>
        <w:t>评审专家在政府采购活动中应当遵守以下工作纪律</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_Toc26235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203</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kern w:val="2"/>
          <w:szCs w:val="28"/>
          <w:highlight w:val="none"/>
          <w:lang w:val="en-US" w:eastAsia="zh-CN" w:bidi="ar-SA"/>
        </w:rPr>
        <w:fldChar w:fldCharType="end"/>
      </w:r>
    </w:p>
    <w:p>
      <w:pPr>
        <w:pStyle w:val="33"/>
        <w:tabs>
          <w:tab w:val="right" w:leader="dot" w:pos="8306"/>
          <w:tab w:val="clear" w:pos="709"/>
          <w:tab w:val="clear" w:pos="8364"/>
        </w:tabs>
        <w:rPr>
          <w:rFonts w:ascii="Calibri" w:hAnsi="Calibri" w:eastAsia="宋体" w:cs="Times New Roman"/>
          <w:color w:val="auto"/>
          <w:kern w:val="2"/>
          <w:szCs w:val="22"/>
          <w:highlight w:val="none"/>
          <w:lang w:val="en-US" w:eastAsia="zh-CN" w:bidi="ar-SA"/>
        </w:rPr>
      </w:pPr>
      <w:r>
        <w:rPr>
          <w:rFonts w:hint="eastAsia" w:ascii="Calibri" w:hAnsi="Calibri" w:eastAsia="宋体" w:cs="Times New Roman"/>
          <w:color w:val="auto"/>
          <w:kern w:val="2"/>
          <w:szCs w:val="22"/>
          <w:highlight w:val="none"/>
          <w:lang w:val="en-US" w:eastAsia="zh-CN" w:bidi="ar-SA"/>
        </w:rPr>
        <w:fldChar w:fldCharType="begin"/>
      </w:r>
      <w:r>
        <w:rPr>
          <w:rFonts w:hint="eastAsia" w:ascii="Calibri" w:hAnsi="Calibri" w:eastAsia="宋体" w:cs="Times New Roman"/>
          <w:color w:val="auto"/>
          <w:kern w:val="2"/>
          <w:szCs w:val="22"/>
          <w:highlight w:val="none"/>
          <w:lang w:val="en-US" w:eastAsia="zh-CN" w:bidi="ar-SA"/>
        </w:rPr>
        <w:instrText xml:space="preserve"> HYPERLINK \l _Toc22061 </w:instrText>
      </w:r>
      <w:r>
        <w:rPr>
          <w:rFonts w:hint="eastAsia"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第</w:t>
      </w:r>
      <w:r>
        <w:rPr>
          <w:rFonts w:hint="default" w:ascii="Times New Roman" w:hAnsi="Times New Roman" w:eastAsia="宋体" w:cs="Times New Roman"/>
          <w:bCs/>
          <w:i w:val="0"/>
          <w:color w:val="auto"/>
          <w:spacing w:val="-20"/>
          <w:kern w:val="44"/>
          <w:szCs w:val="32"/>
          <w:highlight w:val="none"/>
          <w:lang w:val="en-US" w:eastAsia="zh-CN" w:bidi="ar-SA"/>
        </w:rPr>
        <w:t xml:space="preserve">7章 </w:t>
      </w:r>
      <w:r>
        <w:rPr>
          <w:rFonts w:hint="eastAsia" w:ascii="宋体" w:hAnsi="宋体" w:eastAsia="宋体" w:cs="Times New Roman"/>
          <w:bCs/>
          <w:color w:val="auto"/>
          <w:spacing w:val="-20"/>
          <w:kern w:val="44"/>
          <w:szCs w:val="32"/>
          <w:highlight w:val="none"/>
          <w:lang w:val="en-US" w:eastAsia="zh-CN" w:bidi="ar-SA"/>
        </w:rPr>
        <w:t>拟签订的合同文本</w:t>
      </w:r>
      <w:r>
        <w:rPr>
          <w:rFonts w:ascii="Calibri" w:hAnsi="Calibri" w:eastAsia="宋体" w:cs="Times New Roman"/>
          <w:color w:val="auto"/>
          <w:kern w:val="2"/>
          <w:szCs w:val="22"/>
          <w:highlight w:val="none"/>
          <w:lang w:val="en-US" w:eastAsia="zh-CN" w:bidi="ar-SA"/>
        </w:rPr>
        <w:tab/>
      </w:r>
      <w:r>
        <w:rPr>
          <w:rFonts w:ascii="Calibri" w:hAnsi="Calibri" w:eastAsia="宋体" w:cs="Times New Roman"/>
          <w:color w:val="auto"/>
          <w:kern w:val="2"/>
          <w:szCs w:val="22"/>
          <w:highlight w:val="none"/>
          <w:lang w:val="en-US" w:eastAsia="zh-CN" w:bidi="ar-SA"/>
        </w:rPr>
        <w:fldChar w:fldCharType="begin"/>
      </w:r>
      <w:r>
        <w:rPr>
          <w:rFonts w:ascii="Calibri" w:hAnsi="Calibri" w:eastAsia="宋体" w:cs="Times New Roman"/>
          <w:color w:val="auto"/>
          <w:kern w:val="2"/>
          <w:szCs w:val="22"/>
          <w:highlight w:val="none"/>
          <w:lang w:val="en-US" w:eastAsia="zh-CN" w:bidi="ar-SA"/>
        </w:rPr>
        <w:instrText xml:space="preserve"> PAGEREF _Toc22061 </w:instrText>
      </w:r>
      <w:r>
        <w:rPr>
          <w:rFonts w:ascii="Calibri" w:hAnsi="Calibri" w:eastAsia="宋体" w:cs="Times New Roman"/>
          <w:color w:val="auto"/>
          <w:kern w:val="2"/>
          <w:szCs w:val="22"/>
          <w:highlight w:val="none"/>
          <w:lang w:val="en-US" w:eastAsia="zh-CN" w:bidi="ar-SA"/>
        </w:rPr>
        <w:fldChar w:fldCharType="separate"/>
      </w:r>
      <w:r>
        <w:rPr>
          <w:rFonts w:ascii="Calibri" w:hAnsi="Calibri" w:eastAsia="宋体" w:cs="Times New Roman"/>
          <w:color w:val="auto"/>
          <w:kern w:val="2"/>
          <w:szCs w:val="22"/>
          <w:highlight w:val="none"/>
          <w:lang w:val="en-US" w:eastAsia="zh-CN" w:bidi="ar-SA"/>
        </w:rPr>
        <w:t>205</w:t>
      </w:r>
      <w:r>
        <w:rPr>
          <w:rFonts w:ascii="Calibri" w:hAnsi="Calibri" w:eastAsia="宋体" w:cs="Times New Roman"/>
          <w:color w:val="auto"/>
          <w:kern w:val="2"/>
          <w:szCs w:val="22"/>
          <w:highlight w:val="none"/>
          <w:lang w:val="en-US" w:eastAsia="zh-CN" w:bidi="ar-SA"/>
        </w:rPr>
        <w:fldChar w:fldCharType="end"/>
      </w:r>
      <w:r>
        <w:rPr>
          <w:rFonts w:hint="default" w:ascii="Times New Roman" w:hAnsi="Times New Roman" w:eastAsia="宋体" w:cs="Times New Roman"/>
          <w:bCs/>
          <w:i w:val="0"/>
          <w:color w:val="auto"/>
          <w:spacing w:val="-20"/>
          <w:kern w:val="44"/>
          <w:szCs w:val="32"/>
          <w:highlight w:val="none"/>
          <w:lang w:val="en-US" w:eastAsia="zh-CN" w:bidi="ar-SA"/>
        </w:rPr>
        <w:fldChar w:fldCharType="end"/>
      </w:r>
    </w:p>
    <w:p>
      <w:pPr>
        <w:tabs>
          <w:tab w:val="left" w:pos="620"/>
          <w:tab w:val="right" w:leader="dot" w:pos="8364"/>
        </w:tabs>
        <w:ind w:left="180"/>
        <w:rPr>
          <w:rFonts w:ascii="宋体" w:hAnsi="宋体"/>
          <w:b/>
          <w:bCs/>
          <w:caps/>
          <w:smallCaps/>
          <w:color w:val="auto"/>
          <w:sz w:val="20"/>
          <w:szCs w:val="20"/>
          <w:highlight w:val="none"/>
        </w:rPr>
      </w:pPr>
      <w:r>
        <w:rPr>
          <w:rFonts w:hint="eastAsia" w:ascii="Calibri" w:hAnsi="Calibri" w:eastAsia="宋体" w:cs="Times New Roman"/>
          <w:color w:val="auto"/>
          <w:kern w:val="2"/>
          <w:szCs w:val="22"/>
          <w:highlight w:val="none"/>
          <w:lang w:val="en-US" w:eastAsia="zh-CN" w:bidi="ar-SA"/>
        </w:rPr>
        <w:fldChar w:fldCharType="end"/>
      </w:r>
    </w:p>
    <w:p>
      <w:pPr>
        <w:rPr>
          <w:color w:val="auto"/>
          <w:highlight w:val="none"/>
        </w:rPr>
      </w:pPr>
    </w:p>
    <w:p>
      <w:pPr>
        <w:pStyle w:val="2"/>
        <w:rPr>
          <w:color w:val="auto"/>
          <w:highlight w:val="none"/>
        </w:rPr>
      </w:pPr>
    </w:p>
    <w:p>
      <w:pPr>
        <w:pStyle w:val="3"/>
        <w:ind w:firstLine="180"/>
        <w:rPr>
          <w:color w:val="auto"/>
          <w:highlight w:val="none"/>
        </w:rPr>
      </w:pPr>
    </w:p>
    <w:p>
      <w:pPr>
        <w:pStyle w:val="3"/>
        <w:ind w:firstLine="180"/>
        <w:rPr>
          <w:color w:val="auto"/>
          <w:highlight w:val="none"/>
        </w:rPr>
      </w:pPr>
    </w:p>
    <w:p>
      <w:pPr>
        <w:pStyle w:val="3"/>
        <w:ind w:firstLine="180"/>
        <w:rPr>
          <w:color w:val="auto"/>
          <w:highlight w:val="none"/>
        </w:rPr>
      </w:pPr>
    </w:p>
    <w:p>
      <w:pPr>
        <w:pStyle w:val="3"/>
        <w:ind w:firstLine="180"/>
        <w:rPr>
          <w:color w:val="auto"/>
          <w:highlight w:val="none"/>
        </w:rPr>
      </w:pPr>
    </w:p>
    <w:p>
      <w:pPr>
        <w:pStyle w:val="3"/>
        <w:ind w:firstLine="180"/>
        <w:rPr>
          <w:color w:val="auto"/>
          <w:highlight w:val="none"/>
        </w:rPr>
      </w:pPr>
    </w:p>
    <w:p>
      <w:pPr>
        <w:rPr>
          <w:color w:val="auto"/>
          <w:highlight w:val="none"/>
        </w:rPr>
      </w:pPr>
    </w:p>
    <w:p>
      <w:pPr>
        <w:pStyle w:val="2"/>
        <w:rPr>
          <w:color w:val="auto"/>
          <w:highlight w:val="none"/>
        </w:rPr>
      </w:pPr>
    </w:p>
    <w:p>
      <w:pPr>
        <w:keepNext/>
        <w:keepLines/>
        <w:numPr>
          <w:ilvl w:val="0"/>
          <w:numId w:val="5"/>
        </w:numPr>
        <w:spacing w:before="340" w:after="330" w:line="400" w:lineRule="exact"/>
        <w:jc w:val="center"/>
        <w:outlineLvl w:val="0"/>
        <w:rPr>
          <w:rFonts w:ascii="宋体" w:hAnsi="宋体"/>
          <w:b/>
          <w:bCs/>
          <w:color w:val="auto"/>
          <w:spacing w:val="-20"/>
          <w:kern w:val="44"/>
          <w:sz w:val="32"/>
          <w:szCs w:val="32"/>
          <w:highlight w:val="none"/>
        </w:rPr>
      </w:pPr>
      <w:bookmarkStart w:id="4" w:name="_Toc181591102"/>
      <w:bookmarkStart w:id="5" w:name="_Toc204575871"/>
      <w:bookmarkStart w:id="6" w:name="_Toc24565"/>
      <w:bookmarkStart w:id="7" w:name="_Toc181610856"/>
      <w:r>
        <w:rPr>
          <w:rFonts w:hint="eastAsia" w:ascii="宋体" w:hAnsi="宋体"/>
          <w:b/>
          <w:bCs/>
          <w:color w:val="auto"/>
          <w:spacing w:val="-20"/>
          <w:kern w:val="44"/>
          <w:sz w:val="32"/>
          <w:szCs w:val="32"/>
          <w:highlight w:val="none"/>
        </w:rPr>
        <w:t>投标邀请</w:t>
      </w:r>
      <w:bookmarkEnd w:id="4"/>
      <w:bookmarkEnd w:id="5"/>
      <w:bookmarkEnd w:id="6"/>
      <w:bookmarkEnd w:id="7"/>
    </w:p>
    <w:p>
      <w:pPr>
        <w:spacing w:line="48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成都市锦江区政府采购中心(以下简称“区采购中心”)受</w:t>
      </w:r>
      <w:r>
        <w:rPr>
          <w:rFonts w:hint="eastAsia" w:ascii="宋体" w:hAnsi="宋体"/>
          <w:b/>
          <w:bCs/>
          <w:color w:val="auto"/>
          <w:sz w:val="28"/>
          <w:szCs w:val="28"/>
          <w:highlight w:val="none"/>
        </w:rPr>
        <w:t>成都市锦江区综合行政执法局</w:t>
      </w:r>
      <w:r>
        <w:rPr>
          <w:rFonts w:hint="eastAsia" w:ascii="宋体" w:hAnsi="宋体"/>
          <w:color w:val="auto"/>
          <w:sz w:val="28"/>
          <w:szCs w:val="28"/>
          <w:highlight w:val="none"/>
        </w:rPr>
        <w:t>委托，拟对</w:t>
      </w:r>
      <w:r>
        <w:rPr>
          <w:rFonts w:hint="eastAsia" w:ascii="宋体" w:hAnsi="宋体"/>
          <w:b/>
          <w:bCs/>
          <w:color w:val="auto"/>
          <w:sz w:val="28"/>
          <w:szCs w:val="28"/>
          <w:highlight w:val="none"/>
          <w:lang w:eastAsia="zh-CN"/>
        </w:rPr>
        <w:t>成都市锦江区综合行政执法局2022—2024年锦江区环卫保洁、环卫公厕、绿化和河道管护一体化服务项目</w:t>
      </w:r>
      <w:r>
        <w:rPr>
          <w:rFonts w:hint="eastAsia" w:ascii="宋体" w:hAnsi="宋体"/>
          <w:color w:val="auto"/>
          <w:sz w:val="28"/>
          <w:szCs w:val="28"/>
          <w:highlight w:val="none"/>
        </w:rPr>
        <w:t>进行国内公开招标，兹邀请符合本次招标要求的供应商参加投标。</w:t>
      </w: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rPr>
        <w:t>项目编号：</w:t>
      </w:r>
      <w:r>
        <w:rPr>
          <w:rFonts w:hint="eastAsia" w:ascii="宋体" w:hAnsi="宋体"/>
          <w:b/>
          <w:color w:val="auto"/>
          <w:sz w:val="28"/>
          <w:szCs w:val="28"/>
          <w:highlight w:val="none"/>
          <w:lang w:eastAsia="zh-CN"/>
        </w:rPr>
        <w:t>锦江政采（2021）A0028号</w:t>
      </w:r>
    </w:p>
    <w:p>
      <w:pPr>
        <w:spacing w:line="360" w:lineRule="auto"/>
        <w:ind w:left="567" w:firstLine="281" w:firstLineChars="100"/>
        <w:rPr>
          <w:rFonts w:ascii="宋体" w:hAnsi="宋体"/>
          <w:b/>
          <w:color w:val="auto"/>
          <w:sz w:val="28"/>
          <w:szCs w:val="28"/>
          <w:highlight w:val="none"/>
        </w:rPr>
      </w:pPr>
      <w:r>
        <w:rPr>
          <w:rFonts w:hint="eastAsia" w:ascii="宋体" w:hAnsi="宋体"/>
          <w:b/>
          <w:color w:val="auto"/>
          <w:sz w:val="28"/>
          <w:szCs w:val="28"/>
          <w:highlight w:val="none"/>
        </w:rPr>
        <w:t>（采购项目编号：</w:t>
      </w:r>
      <w:r>
        <w:rPr>
          <w:rFonts w:hint="eastAsia" w:ascii="宋体" w:hAnsi="宋体"/>
          <w:color w:val="auto"/>
          <w:sz w:val="28"/>
          <w:szCs w:val="28"/>
          <w:highlight w:val="none"/>
        </w:rPr>
        <w:t>以四川省政府采购网采购公告中的项目编号为准</w:t>
      </w:r>
      <w:r>
        <w:rPr>
          <w:rFonts w:hint="eastAsia" w:ascii="宋体" w:hAnsi="宋体"/>
          <w:b/>
          <w:color w:val="auto"/>
          <w:sz w:val="28"/>
          <w:szCs w:val="28"/>
          <w:highlight w:val="none"/>
        </w:rPr>
        <w:t>）</w:t>
      </w: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lang w:eastAsia="zh-CN"/>
        </w:rPr>
        <w:t>成都市锦江区综合行政执法局2022—2024年锦江区环卫保洁、环卫公厕、绿化和河道管护一体化服务项目</w:t>
      </w:r>
    </w:p>
    <w:p>
      <w:pPr>
        <w:numPr>
          <w:ilvl w:val="0"/>
          <w:numId w:val="6"/>
        </w:numPr>
        <w:tabs>
          <w:tab w:val="left" w:pos="3780"/>
        </w:tabs>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资金来源、预算金额及最高限价：</w:t>
      </w:r>
      <w:r>
        <w:rPr>
          <w:rFonts w:hint="eastAsia" w:ascii="宋体" w:hAnsi="宋体"/>
          <w:color w:val="auto"/>
          <w:sz w:val="28"/>
          <w:szCs w:val="28"/>
          <w:highlight w:val="none"/>
        </w:rPr>
        <w:t>财政性资金，政府采购实施计划备案表号：(2021)0441号；预算品目：C1699其他环境治理服务；预算金额：19729.74万元/年；最高限价：19729.74万元/年。</w:t>
      </w:r>
      <w:r>
        <w:rPr>
          <w:rFonts w:hint="eastAsia" w:ascii="宋体" w:hAnsi="宋体"/>
          <w:color w:val="auto"/>
          <w:sz w:val="28"/>
          <w:szCs w:val="28"/>
          <w:highlight w:val="none"/>
          <w:lang w:val="en-US" w:eastAsia="zh-CN"/>
        </w:rPr>
        <w:t>共分为6个包件</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包件1预算金额及最高限价：</w:t>
      </w:r>
      <w:r>
        <w:rPr>
          <w:rFonts w:hint="eastAsia" w:ascii="宋体" w:hAnsi="宋体"/>
          <w:color w:val="auto"/>
          <w:sz w:val="28"/>
          <w:szCs w:val="28"/>
          <w:highlight w:val="none"/>
        </w:rPr>
        <w:t>春熙路街道办事处管辖区域，采购预算2680.01万元/年；包</w:t>
      </w:r>
      <w:r>
        <w:rPr>
          <w:rFonts w:hint="eastAsia" w:ascii="宋体" w:hAnsi="宋体"/>
          <w:color w:val="auto"/>
          <w:sz w:val="28"/>
          <w:szCs w:val="28"/>
          <w:highlight w:val="none"/>
          <w:lang w:val="en-US" w:eastAsia="zh-CN"/>
        </w:rPr>
        <w:t>件2预算金额及最高限价：</w:t>
      </w:r>
      <w:r>
        <w:rPr>
          <w:rFonts w:hint="eastAsia" w:ascii="宋体" w:hAnsi="宋体"/>
          <w:color w:val="auto"/>
          <w:sz w:val="28"/>
          <w:szCs w:val="28"/>
          <w:highlight w:val="none"/>
        </w:rPr>
        <w:t>锦官驿、锦华路街道办事处管辖区域，采购预算3551.17万元/年；包</w:t>
      </w:r>
      <w:r>
        <w:rPr>
          <w:rFonts w:hint="eastAsia" w:ascii="宋体" w:hAnsi="宋体"/>
          <w:color w:val="auto"/>
          <w:sz w:val="28"/>
          <w:szCs w:val="28"/>
          <w:highlight w:val="none"/>
          <w:lang w:val="en-US" w:eastAsia="zh-CN"/>
        </w:rPr>
        <w:t>件3预算金额及最高限价：</w:t>
      </w:r>
      <w:r>
        <w:rPr>
          <w:rFonts w:hint="eastAsia" w:ascii="宋体" w:hAnsi="宋体"/>
          <w:color w:val="auto"/>
          <w:sz w:val="28"/>
          <w:szCs w:val="28"/>
          <w:highlight w:val="none"/>
        </w:rPr>
        <w:t>成龙路、沙河街道办事处管辖区域，采购预算3645.13万元/年；包</w:t>
      </w:r>
      <w:r>
        <w:rPr>
          <w:rFonts w:hint="eastAsia" w:ascii="宋体" w:hAnsi="宋体"/>
          <w:color w:val="auto"/>
          <w:sz w:val="28"/>
          <w:szCs w:val="28"/>
          <w:highlight w:val="none"/>
          <w:lang w:val="en-US" w:eastAsia="zh-CN"/>
        </w:rPr>
        <w:t>件4预算金额及最高限价：</w:t>
      </w:r>
      <w:r>
        <w:rPr>
          <w:rFonts w:hint="eastAsia" w:ascii="宋体" w:hAnsi="宋体"/>
          <w:color w:val="auto"/>
          <w:sz w:val="28"/>
          <w:szCs w:val="28"/>
          <w:highlight w:val="none"/>
        </w:rPr>
        <w:t>牛市口、东湖街道办事处管辖区域，采购预算3277.13万元/年；包</w:t>
      </w:r>
      <w:r>
        <w:rPr>
          <w:rFonts w:hint="eastAsia" w:ascii="宋体" w:hAnsi="宋体"/>
          <w:color w:val="auto"/>
          <w:sz w:val="28"/>
          <w:szCs w:val="28"/>
          <w:highlight w:val="none"/>
          <w:lang w:val="en-US" w:eastAsia="zh-CN"/>
        </w:rPr>
        <w:t>件5预算金额及最高限价：</w:t>
      </w:r>
      <w:r>
        <w:rPr>
          <w:rFonts w:hint="eastAsia" w:ascii="宋体" w:hAnsi="宋体"/>
          <w:color w:val="auto"/>
          <w:sz w:val="28"/>
          <w:szCs w:val="28"/>
          <w:highlight w:val="none"/>
        </w:rPr>
        <w:t>三圣、狮子山街道办事处管辖区域，采购预算3299.26万元/年；包</w:t>
      </w:r>
      <w:r>
        <w:rPr>
          <w:rFonts w:hint="eastAsia" w:ascii="宋体" w:hAnsi="宋体"/>
          <w:color w:val="auto"/>
          <w:sz w:val="28"/>
          <w:szCs w:val="28"/>
          <w:highlight w:val="none"/>
          <w:lang w:val="en-US" w:eastAsia="zh-CN"/>
        </w:rPr>
        <w:t>件6预算金额及最高限价：</w:t>
      </w:r>
      <w:r>
        <w:rPr>
          <w:rFonts w:hint="eastAsia" w:ascii="宋体" w:hAnsi="宋体"/>
          <w:color w:val="auto"/>
          <w:sz w:val="28"/>
          <w:szCs w:val="28"/>
          <w:highlight w:val="none"/>
        </w:rPr>
        <w:t>书院、柳江街道办事处管辖区域，采购预算3277.04万元/年；采购标的：</w:t>
      </w:r>
      <w:r>
        <w:rPr>
          <w:rFonts w:hint="eastAsia" w:ascii="宋体" w:hAnsi="宋体"/>
          <w:color w:val="auto"/>
          <w:sz w:val="28"/>
          <w:szCs w:val="28"/>
          <w:highlight w:val="none"/>
          <w:lang w:val="en-US" w:eastAsia="zh-CN"/>
        </w:rPr>
        <w:t>成都市锦江区综合行政执法局2022—2024年锦江区环卫保洁、环卫公厕、绿化和河道管护一体化服务；</w:t>
      </w:r>
      <w:r>
        <w:rPr>
          <w:rFonts w:hint="eastAsia" w:ascii="宋体" w:hAnsi="宋体"/>
          <w:color w:val="auto"/>
          <w:sz w:val="28"/>
          <w:szCs w:val="28"/>
          <w:highlight w:val="none"/>
        </w:rPr>
        <w:t>所属行业：</w:t>
      </w:r>
      <w:r>
        <w:rPr>
          <w:rFonts w:hint="eastAsia" w:ascii="宋体" w:hAnsi="宋体"/>
          <w:color w:val="auto"/>
          <w:sz w:val="28"/>
          <w:szCs w:val="28"/>
          <w:highlight w:val="none"/>
          <w:lang w:eastAsia="zh-CN"/>
        </w:rPr>
        <w:t>其他未列明行业</w:t>
      </w:r>
      <w:r>
        <w:rPr>
          <w:rFonts w:hint="eastAsia" w:ascii="宋体" w:hAnsi="宋体"/>
          <w:color w:val="auto"/>
          <w:sz w:val="28"/>
          <w:szCs w:val="28"/>
          <w:highlight w:val="none"/>
        </w:rPr>
        <w:t>。</w:t>
      </w:r>
    </w:p>
    <w:p>
      <w:pPr>
        <w:numPr>
          <w:ilvl w:val="0"/>
          <w:numId w:val="6"/>
        </w:numPr>
        <w:spacing w:line="360" w:lineRule="auto"/>
        <w:ind w:left="0" w:firstLine="567"/>
        <w:rPr>
          <w:rFonts w:ascii="宋体" w:hAnsi="宋体"/>
          <w:color w:val="auto"/>
          <w:sz w:val="28"/>
          <w:highlight w:val="none"/>
        </w:rPr>
      </w:pPr>
      <w:r>
        <w:rPr>
          <w:rFonts w:hint="eastAsia" w:ascii="宋体" w:hAnsi="宋体"/>
          <w:b/>
          <w:color w:val="auto"/>
          <w:sz w:val="28"/>
          <w:szCs w:val="28"/>
          <w:highlight w:val="none"/>
        </w:rPr>
        <w:t>招标项目简介</w:t>
      </w:r>
      <w:r>
        <w:rPr>
          <w:rFonts w:hint="eastAsia" w:ascii="宋体" w:hAnsi="宋体"/>
          <w:b/>
          <w:color w:val="auto"/>
          <w:sz w:val="28"/>
          <w:szCs w:val="28"/>
          <w:highlight w:val="none"/>
        </w:rPr>
        <w:tab/>
      </w:r>
    </w:p>
    <w:p>
      <w:pPr>
        <w:spacing w:line="360" w:lineRule="auto"/>
        <w:ind w:firstLine="560" w:firstLineChars="200"/>
        <w:rPr>
          <w:rFonts w:hint="eastAsia" w:ascii="宋体" w:hAnsi="宋体" w:eastAsia="宋体"/>
          <w:color w:val="auto"/>
          <w:sz w:val="28"/>
          <w:szCs w:val="28"/>
          <w:highlight w:val="none"/>
          <w:lang w:eastAsia="zh-CN"/>
        </w:rPr>
      </w:pPr>
      <w:r>
        <w:rPr>
          <w:rFonts w:hint="eastAsia" w:ascii="宋体" w:hAnsi="宋体"/>
          <w:color w:val="auto"/>
          <w:sz w:val="28"/>
          <w:szCs w:val="28"/>
          <w:highlight w:val="none"/>
          <w:lang w:eastAsia="zh-CN"/>
        </w:rPr>
        <w:t>锦江区环卫保洁、环卫公厕、绿化和河道管护一体化服务。</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详细的技术、服务、商务及其他要求见招标文件第4章。</w:t>
      </w: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lang w:val="en-US" w:eastAsia="zh-CN"/>
        </w:rPr>
        <w:t>包件1—包件6</w:t>
      </w:r>
      <w:r>
        <w:rPr>
          <w:rFonts w:hint="eastAsia" w:ascii="宋体" w:hAnsi="宋体"/>
          <w:b/>
          <w:color w:val="auto"/>
          <w:sz w:val="28"/>
          <w:szCs w:val="28"/>
          <w:highlight w:val="none"/>
        </w:rPr>
        <w:t>供应商参加本次政府采购活动应具备的条件</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符合《政府采购法》第二十二条第一款规定的条件；</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在行贿犯罪信息查询期限内，投标人及其现任法定代表人、主要负责人没有行贿犯罪记录；</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未处于被行政部门禁止参与政府采购活动的期限内；</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不属于其他国家相关法律法规规定的禁止参加投标的供应商；</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本项目不接受联合体投标。</w:t>
      </w:r>
    </w:p>
    <w:p>
      <w:pPr>
        <w:numPr>
          <w:ilvl w:val="0"/>
          <w:numId w:val="6"/>
        </w:numPr>
        <w:spacing w:line="360" w:lineRule="auto"/>
        <w:ind w:left="0" w:firstLine="567"/>
        <w:rPr>
          <w:rFonts w:ascii="宋体" w:hAnsi="宋体"/>
          <w:b/>
          <w:i/>
          <w:color w:val="auto"/>
          <w:sz w:val="28"/>
          <w:highlight w:val="none"/>
        </w:rPr>
      </w:pPr>
      <w:r>
        <w:rPr>
          <w:rFonts w:hint="eastAsia" w:ascii="宋体" w:hAnsi="宋体"/>
          <w:b/>
          <w:color w:val="auto"/>
          <w:sz w:val="28"/>
          <w:szCs w:val="28"/>
          <w:highlight w:val="none"/>
        </w:rPr>
        <w:t>招标文件获取时间</w:t>
      </w:r>
    </w:p>
    <w:p>
      <w:pPr>
        <w:numPr>
          <w:ilvl w:val="0"/>
          <w:numId w:val="8"/>
        </w:numPr>
        <w:spacing w:line="360" w:lineRule="auto"/>
        <w:ind w:left="0" w:firstLine="567"/>
        <w:rPr>
          <w:rFonts w:hint="eastAsia" w:ascii="宋体" w:hAnsi="宋体"/>
          <w:b/>
          <w:bCs/>
          <w:color w:val="auto"/>
          <w:sz w:val="28"/>
          <w:szCs w:val="28"/>
          <w:highlight w:val="none"/>
        </w:rPr>
      </w:pPr>
      <w:r>
        <w:rPr>
          <w:rFonts w:hint="eastAsia" w:ascii="宋体" w:hAnsi="宋体"/>
          <w:b/>
          <w:bCs/>
          <w:color w:val="auto"/>
          <w:sz w:val="28"/>
          <w:szCs w:val="28"/>
          <w:highlight w:val="none"/>
        </w:rPr>
        <w:t>招标文件获取时间：202</w:t>
      </w:r>
      <w:r>
        <w:rPr>
          <w:rFonts w:hint="eastAsia" w:ascii="宋体" w:hAnsi="宋体"/>
          <w:b/>
          <w:bCs/>
          <w:color w:val="auto"/>
          <w:sz w:val="28"/>
          <w:szCs w:val="28"/>
          <w:highlight w:val="none"/>
          <w:lang w:val="en-US" w:eastAsia="zh-CN"/>
        </w:rPr>
        <w:t>1</w:t>
      </w:r>
      <w:r>
        <w:rPr>
          <w:rFonts w:hint="eastAsia" w:ascii="宋体" w:hAnsi="宋体"/>
          <w:b/>
          <w:bCs/>
          <w:color w:val="auto"/>
          <w:sz w:val="28"/>
          <w:szCs w:val="28"/>
          <w:highlight w:val="none"/>
        </w:rPr>
        <w:t>年</w:t>
      </w:r>
      <w:r>
        <w:rPr>
          <w:rFonts w:hint="eastAsia" w:ascii="宋体" w:hAnsi="宋体"/>
          <w:b/>
          <w:bCs/>
          <w:color w:val="auto"/>
          <w:sz w:val="28"/>
          <w:szCs w:val="28"/>
          <w:highlight w:val="none"/>
          <w:lang w:val="en-US" w:eastAsia="zh-CN"/>
        </w:rPr>
        <w:t>12</w:t>
      </w:r>
      <w:r>
        <w:rPr>
          <w:rFonts w:hint="eastAsia" w:ascii="宋体" w:hAnsi="宋体"/>
          <w:b/>
          <w:bCs/>
          <w:color w:val="auto"/>
          <w:sz w:val="28"/>
          <w:szCs w:val="28"/>
          <w:highlight w:val="none"/>
        </w:rPr>
        <w:t>月</w:t>
      </w:r>
      <w:r>
        <w:rPr>
          <w:rFonts w:hint="eastAsia" w:ascii="宋体" w:hAnsi="宋体"/>
          <w:b/>
          <w:bCs/>
          <w:color w:val="auto"/>
          <w:sz w:val="28"/>
          <w:szCs w:val="28"/>
          <w:highlight w:val="none"/>
          <w:lang w:val="en-US" w:eastAsia="zh-CN"/>
        </w:rPr>
        <w:t>1</w:t>
      </w:r>
      <w:r>
        <w:rPr>
          <w:rFonts w:hint="eastAsia" w:ascii="宋体" w:hAnsi="宋体"/>
          <w:b/>
          <w:bCs/>
          <w:color w:val="auto"/>
          <w:sz w:val="28"/>
          <w:szCs w:val="28"/>
          <w:highlight w:val="none"/>
        </w:rPr>
        <w:t>日至</w:t>
      </w:r>
      <w:r>
        <w:rPr>
          <w:rFonts w:hint="eastAsia" w:ascii="宋体" w:hAnsi="宋体"/>
          <w:b/>
          <w:bCs/>
          <w:color w:val="auto"/>
          <w:sz w:val="28"/>
          <w:szCs w:val="28"/>
          <w:highlight w:val="none"/>
          <w:lang w:val="en-US" w:eastAsia="zh-CN"/>
        </w:rPr>
        <w:t>12</w:t>
      </w:r>
      <w:r>
        <w:rPr>
          <w:rFonts w:hint="eastAsia" w:ascii="宋体" w:hAnsi="宋体"/>
          <w:b/>
          <w:bCs/>
          <w:color w:val="auto"/>
          <w:sz w:val="28"/>
          <w:szCs w:val="28"/>
          <w:highlight w:val="none"/>
        </w:rPr>
        <w:t>月</w:t>
      </w:r>
      <w:r>
        <w:rPr>
          <w:rFonts w:hint="eastAsia" w:ascii="宋体" w:hAnsi="宋体"/>
          <w:b/>
          <w:bCs/>
          <w:color w:val="auto"/>
          <w:sz w:val="28"/>
          <w:szCs w:val="28"/>
          <w:highlight w:val="none"/>
          <w:lang w:val="en-US" w:eastAsia="zh-CN"/>
        </w:rPr>
        <w:t>20</w:t>
      </w:r>
      <w:r>
        <w:rPr>
          <w:rFonts w:hint="eastAsia" w:ascii="宋体" w:hAnsi="宋体"/>
          <w:b/>
          <w:bCs/>
          <w:color w:val="auto"/>
          <w:sz w:val="28"/>
          <w:szCs w:val="28"/>
          <w:highlight w:val="none"/>
        </w:rPr>
        <w:t>日。</w:t>
      </w:r>
    </w:p>
    <w:p>
      <w:pPr>
        <w:numPr>
          <w:ilvl w:val="0"/>
          <w:numId w:val="8"/>
        </w:numPr>
        <w:spacing w:line="360" w:lineRule="auto"/>
        <w:ind w:left="0" w:firstLine="567"/>
        <w:rPr>
          <w:rFonts w:hint="eastAsia" w:ascii="宋体" w:hAnsi="宋体"/>
          <w:b/>
          <w:bCs/>
          <w:color w:val="auto"/>
          <w:sz w:val="28"/>
          <w:szCs w:val="28"/>
          <w:highlight w:val="none"/>
        </w:rPr>
      </w:pPr>
      <w:r>
        <w:rPr>
          <w:rFonts w:hint="eastAsia" w:ascii="宋体" w:hAnsi="宋体"/>
          <w:b/>
          <w:bCs/>
          <w:color w:val="auto"/>
          <w:sz w:val="28"/>
          <w:szCs w:val="28"/>
          <w:highlight w:val="none"/>
        </w:rPr>
        <w:t>公告期限：202</w:t>
      </w:r>
      <w:r>
        <w:rPr>
          <w:rFonts w:hint="eastAsia" w:ascii="宋体" w:hAnsi="宋体"/>
          <w:b/>
          <w:bCs/>
          <w:color w:val="auto"/>
          <w:sz w:val="28"/>
          <w:szCs w:val="28"/>
          <w:highlight w:val="none"/>
          <w:lang w:val="en-US" w:eastAsia="zh-CN"/>
        </w:rPr>
        <w:t>1</w:t>
      </w:r>
      <w:r>
        <w:rPr>
          <w:rFonts w:hint="eastAsia" w:ascii="宋体" w:hAnsi="宋体"/>
          <w:b/>
          <w:bCs/>
          <w:color w:val="auto"/>
          <w:sz w:val="28"/>
          <w:szCs w:val="28"/>
          <w:highlight w:val="none"/>
        </w:rPr>
        <w:t>年</w:t>
      </w:r>
      <w:r>
        <w:rPr>
          <w:rFonts w:hint="eastAsia" w:ascii="宋体" w:hAnsi="宋体"/>
          <w:b/>
          <w:bCs/>
          <w:color w:val="auto"/>
          <w:sz w:val="28"/>
          <w:szCs w:val="28"/>
          <w:highlight w:val="none"/>
          <w:lang w:val="en-US" w:eastAsia="zh-CN"/>
        </w:rPr>
        <w:t>12</w:t>
      </w:r>
      <w:r>
        <w:rPr>
          <w:rFonts w:hint="eastAsia" w:ascii="宋体" w:hAnsi="宋体"/>
          <w:b/>
          <w:bCs/>
          <w:color w:val="auto"/>
          <w:sz w:val="28"/>
          <w:szCs w:val="28"/>
          <w:highlight w:val="none"/>
        </w:rPr>
        <w:t>月</w:t>
      </w:r>
      <w:r>
        <w:rPr>
          <w:rFonts w:hint="eastAsia" w:ascii="宋体" w:hAnsi="宋体"/>
          <w:b/>
          <w:bCs/>
          <w:color w:val="auto"/>
          <w:sz w:val="28"/>
          <w:szCs w:val="28"/>
          <w:highlight w:val="none"/>
          <w:lang w:val="en-US" w:eastAsia="zh-CN"/>
        </w:rPr>
        <w:t>1</w:t>
      </w:r>
      <w:r>
        <w:rPr>
          <w:rFonts w:hint="eastAsia" w:ascii="宋体" w:hAnsi="宋体"/>
          <w:b/>
          <w:bCs/>
          <w:color w:val="auto"/>
          <w:sz w:val="28"/>
          <w:szCs w:val="28"/>
          <w:highlight w:val="none"/>
        </w:rPr>
        <w:t>日至</w:t>
      </w:r>
      <w:r>
        <w:rPr>
          <w:rFonts w:hint="eastAsia" w:ascii="宋体" w:hAnsi="宋体"/>
          <w:b/>
          <w:bCs/>
          <w:color w:val="auto"/>
          <w:sz w:val="28"/>
          <w:szCs w:val="28"/>
          <w:highlight w:val="none"/>
          <w:lang w:val="en-US" w:eastAsia="zh-CN"/>
        </w:rPr>
        <w:t>12</w:t>
      </w:r>
      <w:r>
        <w:rPr>
          <w:rFonts w:hint="eastAsia" w:ascii="宋体" w:hAnsi="宋体"/>
          <w:b/>
          <w:bCs/>
          <w:color w:val="auto"/>
          <w:sz w:val="28"/>
          <w:szCs w:val="28"/>
          <w:highlight w:val="none"/>
        </w:rPr>
        <w:t>月</w:t>
      </w:r>
      <w:r>
        <w:rPr>
          <w:rFonts w:hint="eastAsia" w:ascii="宋体" w:hAnsi="宋体"/>
          <w:b/>
          <w:bCs/>
          <w:color w:val="auto"/>
          <w:sz w:val="28"/>
          <w:szCs w:val="28"/>
          <w:highlight w:val="none"/>
          <w:lang w:val="en-US" w:eastAsia="zh-CN"/>
        </w:rPr>
        <w:t>7</w:t>
      </w:r>
      <w:r>
        <w:rPr>
          <w:rFonts w:hint="eastAsia" w:ascii="宋体" w:hAnsi="宋体"/>
          <w:b/>
          <w:bCs/>
          <w:color w:val="auto"/>
          <w:sz w:val="28"/>
          <w:szCs w:val="28"/>
          <w:highlight w:val="none"/>
        </w:rPr>
        <w:t>日。</w:t>
      </w:r>
    </w:p>
    <w:p>
      <w:pPr>
        <w:numPr>
          <w:ilvl w:val="0"/>
          <w:numId w:val="8"/>
        </w:numPr>
        <w:spacing w:line="360" w:lineRule="auto"/>
        <w:ind w:left="0" w:firstLine="567"/>
        <w:rPr>
          <w:rFonts w:hint="eastAsia" w:ascii="宋体" w:hAnsi="宋体"/>
          <w:color w:val="auto"/>
          <w:sz w:val="28"/>
          <w:szCs w:val="28"/>
          <w:highlight w:val="none"/>
        </w:rPr>
      </w:pPr>
      <w:r>
        <w:rPr>
          <w:rFonts w:hint="eastAsia" w:ascii="宋体" w:hAnsi="宋体"/>
          <w:color w:val="auto"/>
          <w:sz w:val="28"/>
          <w:szCs w:val="28"/>
          <w:highlight w:val="none"/>
        </w:rPr>
        <w:t>供应商如对招标文件有质疑的，应于自招标文件公告期限届满之日起七个工作日内以书面形式提出。</w:t>
      </w:r>
    </w:p>
    <w:p>
      <w:pPr>
        <w:pStyle w:val="2"/>
        <w:rPr>
          <w:color w:val="auto"/>
          <w:highlight w:val="none"/>
        </w:rPr>
      </w:pP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rPr>
        <w:t>招标文件获取方式</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投标人要参加投标，应在成都市锦江区政府采购中心“政府采购云平台（www.zcygov.cn）”获取采购文件。登录政府采购云平台(www.zcygov.cn)—我的工作台—用户中心—政府采购云平台—项目采购—获取采购文件—申请获取采购文件。</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提示：</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（1）本项目采购文件免费获取。</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（3）首次登录政府采购云平台(www.zcygov.cn)的新用户,</w:t>
      </w:r>
      <w:r>
        <w:rPr>
          <w:rFonts w:hint="eastAsia"/>
          <w:color w:val="auto"/>
          <w:highlight w:val="none"/>
        </w:rPr>
        <w:t xml:space="preserve"> </w:t>
      </w:r>
      <w:r>
        <w:rPr>
          <w:rFonts w:hint="eastAsia" w:ascii="宋体" w:hAnsi="宋体"/>
          <w:color w:val="auto"/>
          <w:sz w:val="28"/>
          <w:szCs w:val="28"/>
          <w:highlight w:val="none"/>
        </w:rPr>
        <w:t>应先点击网页左上角切换至“成都市本级”，再点击“供应商入驻”，注册成功后即可登录。。</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auto"/>
          <w:sz w:val="28"/>
          <w:szCs w:val="28"/>
          <w:highlight w:val="none"/>
        </w:rPr>
        <w:t>—</w:t>
      </w:r>
      <w:r>
        <w:rPr>
          <w:rFonts w:hint="eastAsia" w:ascii="宋体" w:hAnsi="宋体"/>
          <w:color w:val="auto"/>
          <w:sz w:val="28"/>
          <w:szCs w:val="28"/>
          <w:highlight w:val="none"/>
        </w:rPr>
        <w:t>操作指南</w:t>
      </w:r>
      <w:r>
        <w:rPr>
          <w:rFonts w:ascii="宋体" w:hAnsi="宋体"/>
          <w:color w:val="auto"/>
          <w:sz w:val="28"/>
          <w:szCs w:val="28"/>
          <w:highlight w:val="none"/>
        </w:rPr>
        <w:t>—</w:t>
      </w:r>
      <w:r>
        <w:rPr>
          <w:rFonts w:hint="eastAsia" w:ascii="宋体" w:hAnsi="宋体"/>
          <w:color w:val="auto"/>
          <w:sz w:val="28"/>
          <w:szCs w:val="28"/>
          <w:highlight w:val="none"/>
        </w:rPr>
        <w:t>供应商”处下载查看）。</w:t>
      </w: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rPr>
        <w:t>招标文件获取地点</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登录政府采购云平台（www.zcygov.cn）获取。</w:t>
      </w:r>
    </w:p>
    <w:p>
      <w:pPr>
        <w:numPr>
          <w:ilvl w:val="0"/>
          <w:numId w:val="6"/>
        </w:numPr>
        <w:spacing w:line="360" w:lineRule="auto"/>
        <w:ind w:left="0" w:firstLine="567"/>
        <w:rPr>
          <w:rFonts w:ascii="宋体" w:hAnsi="宋体"/>
          <w:b/>
          <w:color w:val="auto"/>
          <w:sz w:val="28"/>
          <w:szCs w:val="28"/>
          <w:highlight w:val="none"/>
        </w:rPr>
      </w:pPr>
      <w:bookmarkStart w:id="8" w:name="_Toc186274101"/>
      <w:bookmarkStart w:id="9" w:name="_Toc180051012"/>
      <w:bookmarkStart w:id="10" w:name="_Toc184023104"/>
      <w:bookmarkStart w:id="11" w:name="_Toc184013605"/>
      <w:bookmarkStart w:id="12" w:name="_Toc174185149"/>
      <w:r>
        <w:rPr>
          <w:rFonts w:hint="eastAsia" w:ascii="宋体" w:hAnsi="宋体"/>
          <w:b/>
          <w:color w:val="auto"/>
          <w:sz w:val="28"/>
          <w:szCs w:val="28"/>
          <w:highlight w:val="none"/>
        </w:rPr>
        <w:t>投标文件提交截止时间及开标时间</w:t>
      </w:r>
      <w:bookmarkEnd w:id="8"/>
      <w:bookmarkEnd w:id="9"/>
      <w:bookmarkEnd w:id="10"/>
      <w:bookmarkEnd w:id="11"/>
      <w:bookmarkEnd w:id="12"/>
      <w:r>
        <w:rPr>
          <w:rFonts w:hint="eastAsia" w:ascii="宋体" w:hAnsi="宋体"/>
          <w:b/>
          <w:color w:val="auto"/>
          <w:sz w:val="28"/>
          <w:szCs w:val="28"/>
          <w:highlight w:val="none"/>
        </w:rPr>
        <w:t>(北京时间)、地点、方式</w:t>
      </w:r>
    </w:p>
    <w:p>
      <w:pPr>
        <w:spacing w:line="560" w:lineRule="exact"/>
        <w:ind w:firstLine="568" w:firstLineChars="202"/>
        <w:rPr>
          <w:rFonts w:ascii="宋体" w:hAnsi="宋体"/>
          <w:b/>
          <w:color w:val="auto"/>
          <w:sz w:val="28"/>
          <w:szCs w:val="28"/>
          <w:highlight w:val="none"/>
        </w:rPr>
      </w:pPr>
      <w:r>
        <w:rPr>
          <w:rFonts w:hint="eastAsia" w:ascii="宋体" w:hAnsi="宋体"/>
          <w:b/>
          <w:color w:val="auto"/>
          <w:sz w:val="28"/>
          <w:szCs w:val="28"/>
          <w:highlight w:val="none"/>
        </w:rPr>
        <w:t>（一）投标文件提交截止时间及开标时间：202</w:t>
      </w:r>
      <w:r>
        <w:rPr>
          <w:rFonts w:hint="eastAsia" w:ascii="宋体" w:hAnsi="宋体"/>
          <w:b/>
          <w:color w:val="auto"/>
          <w:sz w:val="28"/>
          <w:szCs w:val="28"/>
          <w:highlight w:val="none"/>
          <w:lang w:val="en-US" w:eastAsia="zh-CN"/>
        </w:rPr>
        <w:t>1</w:t>
      </w:r>
      <w:r>
        <w:rPr>
          <w:rFonts w:hint="eastAsia" w:ascii="宋体" w:hAnsi="宋体"/>
          <w:b/>
          <w:color w:val="auto"/>
          <w:sz w:val="28"/>
          <w:szCs w:val="28"/>
          <w:highlight w:val="none"/>
        </w:rPr>
        <w:t>年</w:t>
      </w:r>
      <w:r>
        <w:rPr>
          <w:rFonts w:hint="eastAsia" w:ascii="宋体" w:hAnsi="宋体"/>
          <w:b/>
          <w:color w:val="auto"/>
          <w:sz w:val="28"/>
          <w:szCs w:val="28"/>
          <w:highlight w:val="none"/>
          <w:lang w:val="en-US" w:eastAsia="zh-CN"/>
        </w:rPr>
        <w:t>12</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21</w:t>
      </w:r>
      <w:r>
        <w:rPr>
          <w:rFonts w:hint="eastAsia" w:ascii="宋体" w:hAnsi="宋体"/>
          <w:b/>
          <w:color w:val="auto"/>
          <w:sz w:val="28"/>
          <w:szCs w:val="28"/>
          <w:highlight w:val="none"/>
        </w:rPr>
        <w:t>日上午09:30。</w:t>
      </w:r>
    </w:p>
    <w:p>
      <w:p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（二）投标文件提交方式、地点：投标截止时间前，投标人应将加密的电子投标文件提交至“政府采购云平台”对应项目（包件）。</w:t>
      </w: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rPr>
        <w:t>开标地点</w:t>
      </w:r>
    </w:p>
    <w:p>
      <w:pPr>
        <w:spacing w:line="530" w:lineRule="exact"/>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本项目为不见面开标项目。</w:t>
      </w:r>
    </w:p>
    <w:p>
      <w:pPr>
        <w:spacing w:line="530" w:lineRule="exact"/>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开标地点为：政府采购云平台（www.zcygov.cn）。</w:t>
      </w:r>
    </w:p>
    <w:p>
      <w:pPr>
        <w:spacing w:line="530" w:lineRule="exact"/>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本项目只接受投标人加密并递交至“政府采购云平台”的投标文件。</w:t>
      </w: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rPr>
        <w:t>政采中小企业政府采购信用融资</w:t>
      </w:r>
    </w:p>
    <w:p>
      <w:pPr>
        <w:spacing w:line="360" w:lineRule="auto"/>
        <w:ind w:firstLine="565" w:firstLineChars="202"/>
        <w:rPr>
          <w:rFonts w:ascii="宋体" w:hAnsi="宋体"/>
          <w:color w:val="auto"/>
          <w:sz w:val="28"/>
          <w:szCs w:val="28"/>
          <w:highlight w:val="none"/>
        </w:rPr>
      </w:pPr>
      <w:r>
        <w:rPr>
          <w:rFonts w:ascii="宋体" w:hAnsi="宋体"/>
          <w:color w:val="auto"/>
          <w:sz w:val="28"/>
          <w:szCs w:val="28"/>
          <w:highlight w:val="none"/>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w:t>
      </w:r>
      <w:r>
        <w:rPr>
          <w:rFonts w:hint="eastAsia" w:ascii="宋体" w:hAnsi="宋体"/>
          <w:color w:val="auto"/>
          <w:sz w:val="28"/>
          <w:szCs w:val="28"/>
          <w:highlight w:val="none"/>
          <w:lang w:eastAsia="zh-CN"/>
        </w:rPr>
        <w:t>成都市锦江区财政局</w:t>
      </w:r>
      <w:r>
        <w:rPr>
          <w:rFonts w:ascii="宋体" w:hAnsi="宋体"/>
          <w:color w:val="auto"/>
          <w:sz w:val="28"/>
          <w:szCs w:val="28"/>
          <w:highlight w:val="none"/>
        </w:rPr>
        <w:t>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highlight w:val="none"/>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spacing w:line="360" w:lineRule="auto"/>
        <w:ind w:left="567"/>
        <w:rPr>
          <w:rFonts w:ascii="宋体" w:hAnsi="宋体"/>
          <w:b/>
          <w:color w:val="auto"/>
          <w:sz w:val="28"/>
          <w:szCs w:val="28"/>
          <w:highlight w:val="none"/>
        </w:rPr>
      </w:pPr>
      <w:r>
        <w:rPr>
          <w:rFonts w:hint="eastAsia" w:ascii="宋体" w:hAnsi="宋体"/>
          <w:b/>
          <w:color w:val="auto"/>
          <w:sz w:val="28"/>
          <w:szCs w:val="28"/>
          <w:highlight w:val="none"/>
        </w:rPr>
        <w:t>本投标邀请在“四川政府采购网”和“成都市公共资源交易服务中心”网站上以公告形式发布</w:t>
      </w: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rPr>
        <w:t>联系方式</w:t>
      </w:r>
    </w:p>
    <w:p>
      <w:pPr>
        <w:spacing w:line="360" w:lineRule="auto"/>
        <w:ind w:firstLine="568" w:firstLineChars="202"/>
        <w:rPr>
          <w:rFonts w:ascii="宋体" w:hAnsi="宋体"/>
          <w:b/>
          <w:color w:val="auto"/>
          <w:sz w:val="28"/>
          <w:szCs w:val="28"/>
          <w:highlight w:val="none"/>
        </w:rPr>
      </w:pPr>
      <w:r>
        <w:rPr>
          <w:rFonts w:hint="eastAsia" w:ascii="宋体" w:hAnsi="宋体"/>
          <w:b/>
          <w:color w:val="auto"/>
          <w:sz w:val="28"/>
          <w:highlight w:val="none"/>
        </w:rPr>
        <w:t>采购人：</w:t>
      </w:r>
      <w:r>
        <w:rPr>
          <w:rFonts w:hint="eastAsia" w:ascii="宋体" w:hAnsi="宋体"/>
          <w:b/>
          <w:bCs/>
          <w:color w:val="auto"/>
          <w:sz w:val="28"/>
          <w:szCs w:val="28"/>
          <w:highlight w:val="none"/>
        </w:rPr>
        <w:t>成都市锦江区综合行政执法局</w:t>
      </w:r>
    </w:p>
    <w:p>
      <w:pPr>
        <w:spacing w:line="360" w:lineRule="auto"/>
        <w:ind w:firstLine="565" w:firstLineChars="202"/>
        <w:rPr>
          <w:rFonts w:hint="eastAsia" w:ascii="宋体" w:hAnsi="宋体"/>
          <w:color w:val="auto"/>
          <w:sz w:val="28"/>
          <w:highlight w:val="none"/>
        </w:rPr>
      </w:pPr>
      <w:r>
        <w:rPr>
          <w:rFonts w:hint="eastAsia" w:ascii="宋体" w:hAnsi="宋体"/>
          <w:color w:val="auto"/>
          <w:kern w:val="0"/>
          <w:sz w:val="28"/>
          <w:szCs w:val="22"/>
          <w:highlight w:val="none"/>
        </w:rPr>
        <w:t>地</w:t>
      </w:r>
      <w:r>
        <w:rPr>
          <w:rFonts w:hint="eastAsia" w:ascii="宋体" w:hAnsi="宋体" w:eastAsia="宋体" w:cs="Times New Roman"/>
          <w:color w:val="auto"/>
          <w:kern w:val="0"/>
          <w:sz w:val="28"/>
          <w:szCs w:val="28"/>
          <w:highlight w:val="none"/>
          <w:lang w:val="en-US" w:eastAsia="zh-CN" w:bidi="ar-SA"/>
        </w:rPr>
        <w:t xml:space="preserve">  址：成都市锦江区龙舟路54号</w:t>
      </w:r>
    </w:p>
    <w:p>
      <w:pPr>
        <w:pStyle w:val="160"/>
        <w:ind w:firstLine="560"/>
        <w:rPr>
          <w:rFonts w:ascii="宋体" w:hAnsi="宋体"/>
          <w:color w:val="auto"/>
          <w:sz w:val="28"/>
          <w:szCs w:val="28"/>
          <w:highlight w:val="none"/>
        </w:rPr>
      </w:pPr>
      <w:r>
        <w:rPr>
          <w:rFonts w:hint="eastAsia" w:ascii="宋体" w:hAnsi="宋体"/>
          <w:color w:val="auto"/>
          <w:kern w:val="0"/>
          <w:sz w:val="28"/>
          <w:szCs w:val="28"/>
          <w:highlight w:val="none"/>
        </w:rPr>
        <w:t>联系人：</w:t>
      </w:r>
      <w:r>
        <w:rPr>
          <w:rFonts w:hint="eastAsia" w:ascii="宋体" w:hAnsi="宋体"/>
          <w:color w:val="auto"/>
          <w:sz w:val="28"/>
          <w:szCs w:val="28"/>
          <w:highlight w:val="none"/>
        </w:rPr>
        <w:t>甘丽</w:t>
      </w:r>
    </w:p>
    <w:p>
      <w:pPr>
        <w:pStyle w:val="160"/>
        <w:ind w:firstLine="560"/>
        <w:rPr>
          <w:rFonts w:ascii="宋体" w:hAnsi="宋体"/>
          <w:color w:val="auto"/>
          <w:kern w:val="0"/>
          <w:sz w:val="28"/>
          <w:szCs w:val="28"/>
          <w:highlight w:val="none"/>
        </w:rPr>
      </w:pPr>
      <w:r>
        <w:rPr>
          <w:rFonts w:hint="eastAsia" w:ascii="宋体" w:hAnsi="宋体"/>
          <w:color w:val="auto"/>
          <w:sz w:val="28"/>
          <w:szCs w:val="28"/>
          <w:highlight w:val="none"/>
        </w:rPr>
        <w:t>邮编：610000</w:t>
      </w:r>
    </w:p>
    <w:p>
      <w:pPr>
        <w:spacing w:line="360" w:lineRule="auto"/>
        <w:ind w:firstLine="567"/>
        <w:rPr>
          <w:rFonts w:ascii="宋体" w:hAnsi="宋体"/>
          <w:b/>
          <w:bCs/>
          <w:color w:val="auto"/>
          <w:sz w:val="28"/>
          <w:szCs w:val="28"/>
          <w:highlight w:val="none"/>
        </w:rPr>
      </w:pPr>
      <w:r>
        <w:rPr>
          <w:rFonts w:hint="eastAsia" w:ascii="宋体" w:hAnsi="宋体"/>
          <w:color w:val="auto"/>
          <w:sz w:val="28"/>
          <w:highlight w:val="none"/>
        </w:rPr>
        <w:t>联系电话：</w:t>
      </w:r>
      <w:r>
        <w:rPr>
          <w:rFonts w:ascii="宋体" w:hAnsi="宋体"/>
          <w:color w:val="auto"/>
          <w:kern w:val="0"/>
          <w:sz w:val="28"/>
          <w:highlight w:val="none"/>
        </w:rPr>
        <w:t>17382980684</w:t>
      </w:r>
    </w:p>
    <w:p>
      <w:pPr>
        <w:spacing w:line="360" w:lineRule="auto"/>
        <w:ind w:firstLine="568" w:firstLineChars="202"/>
        <w:rPr>
          <w:rFonts w:ascii="宋体" w:hAnsi="宋体"/>
          <w:b/>
          <w:color w:val="auto"/>
          <w:sz w:val="28"/>
          <w:highlight w:val="none"/>
        </w:rPr>
      </w:pPr>
      <w:r>
        <w:rPr>
          <w:rFonts w:hint="eastAsia" w:ascii="宋体" w:hAnsi="宋体"/>
          <w:b/>
          <w:color w:val="auto"/>
          <w:sz w:val="28"/>
          <w:szCs w:val="28"/>
          <w:highlight w:val="none"/>
        </w:rPr>
        <w:t>集中</w:t>
      </w:r>
      <w:r>
        <w:rPr>
          <w:rFonts w:ascii="宋体" w:hAnsi="宋体"/>
          <w:b/>
          <w:color w:val="auto"/>
          <w:sz w:val="28"/>
          <w:szCs w:val="28"/>
          <w:highlight w:val="none"/>
        </w:rPr>
        <w:t>采购机构</w:t>
      </w:r>
      <w:r>
        <w:rPr>
          <w:rFonts w:hint="eastAsia" w:ascii="宋体" w:hAnsi="宋体"/>
          <w:b/>
          <w:color w:val="auto"/>
          <w:sz w:val="28"/>
          <w:szCs w:val="28"/>
          <w:highlight w:val="none"/>
        </w:rPr>
        <w:t>：</w:t>
      </w:r>
      <w:r>
        <w:rPr>
          <w:rFonts w:hint="eastAsia" w:ascii="宋体" w:hAnsi="宋体"/>
          <w:b/>
          <w:color w:val="auto"/>
          <w:sz w:val="28"/>
          <w:highlight w:val="none"/>
        </w:rPr>
        <w:t>成都市锦江区政府采购中心</w:t>
      </w:r>
    </w:p>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地  址：成都市南三环路二段</w:t>
      </w:r>
      <w:r>
        <w:rPr>
          <w:rFonts w:hint="eastAsia" w:ascii="宋体" w:hAnsi="宋体"/>
          <w:color w:val="auto"/>
          <w:sz w:val="28"/>
          <w:highlight w:val="none"/>
          <w:lang w:val="en-US" w:eastAsia="zh-CN"/>
        </w:rPr>
        <w:t>1</w:t>
      </w:r>
      <w:r>
        <w:rPr>
          <w:rFonts w:hint="eastAsia" w:ascii="宋体" w:hAnsi="宋体"/>
          <w:color w:val="auto"/>
          <w:sz w:val="28"/>
          <w:highlight w:val="none"/>
        </w:rPr>
        <w:t>号</w:t>
      </w:r>
    </w:p>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邮  编：610000</w:t>
      </w:r>
    </w:p>
    <w:p>
      <w:pPr>
        <w:spacing w:line="360" w:lineRule="auto"/>
        <w:ind w:firstLine="565" w:firstLineChars="202"/>
        <w:rPr>
          <w:rFonts w:ascii="宋体" w:hAnsi="宋体"/>
          <w:color w:val="auto"/>
          <w:kern w:val="0"/>
          <w:sz w:val="28"/>
          <w:highlight w:val="none"/>
        </w:rPr>
      </w:pPr>
      <w:r>
        <w:rPr>
          <w:rFonts w:hint="eastAsia" w:ascii="宋体" w:hAnsi="宋体"/>
          <w:color w:val="auto"/>
          <w:sz w:val="28"/>
          <w:highlight w:val="none"/>
        </w:rPr>
        <w:t>联系人：</w:t>
      </w:r>
      <w:r>
        <w:rPr>
          <w:rFonts w:hint="eastAsia" w:ascii="宋体" w:hAnsi="宋体"/>
          <w:color w:val="auto"/>
          <w:kern w:val="0"/>
          <w:sz w:val="28"/>
          <w:highlight w:val="none"/>
        </w:rPr>
        <w:t xml:space="preserve"> </w:t>
      </w:r>
      <w:r>
        <w:rPr>
          <w:rFonts w:hint="eastAsia" w:ascii="宋体" w:hAnsi="宋体"/>
          <w:color w:val="auto"/>
          <w:kern w:val="0"/>
          <w:sz w:val="28"/>
          <w:highlight w:val="none"/>
          <w:lang w:eastAsia="zh-CN"/>
        </w:rPr>
        <w:t>郑晓惠</w:t>
      </w:r>
    </w:p>
    <w:p>
      <w:pPr>
        <w:spacing w:line="360" w:lineRule="auto"/>
        <w:ind w:firstLine="565" w:firstLineChars="202"/>
        <w:rPr>
          <w:rFonts w:ascii="宋体" w:hAnsi="宋体"/>
          <w:color w:val="auto"/>
          <w:kern w:val="0"/>
          <w:sz w:val="28"/>
          <w:highlight w:val="none"/>
        </w:rPr>
      </w:pPr>
      <w:r>
        <w:rPr>
          <w:rFonts w:hint="eastAsia" w:ascii="宋体" w:hAnsi="宋体"/>
          <w:color w:val="auto"/>
          <w:sz w:val="28"/>
          <w:highlight w:val="none"/>
        </w:rPr>
        <w:t>联系电话：</w:t>
      </w:r>
      <w:r>
        <w:rPr>
          <w:rFonts w:hint="eastAsia" w:ascii="宋体" w:hAnsi="宋体"/>
          <w:color w:val="auto"/>
          <w:kern w:val="0"/>
          <w:sz w:val="28"/>
          <w:highlight w:val="none"/>
        </w:rPr>
        <w:t>028-86614055</w:t>
      </w:r>
    </w:p>
    <w:p>
      <w:pPr>
        <w:spacing w:line="360" w:lineRule="auto"/>
        <w:ind w:firstLine="568" w:firstLineChars="202"/>
        <w:rPr>
          <w:rFonts w:ascii="宋体" w:hAnsi="宋体"/>
          <w:color w:val="auto"/>
          <w:kern w:val="0"/>
          <w:sz w:val="28"/>
          <w:highlight w:val="none"/>
        </w:rPr>
      </w:pPr>
      <w:r>
        <w:rPr>
          <w:rFonts w:hint="eastAsia" w:ascii="宋体" w:hAnsi="宋体"/>
          <w:b/>
          <w:color w:val="auto"/>
          <w:sz w:val="28"/>
          <w:szCs w:val="28"/>
          <w:highlight w:val="none"/>
        </w:rPr>
        <w:t>技术支持联系电话：</w:t>
      </w:r>
      <w:r>
        <w:rPr>
          <w:rFonts w:hint="eastAsia" w:ascii="宋体" w:hAnsi="宋体"/>
          <w:color w:val="auto"/>
          <w:sz w:val="28"/>
          <w:szCs w:val="28"/>
          <w:highlight w:val="none"/>
        </w:rPr>
        <w:t>400-8817190</w:t>
      </w:r>
    </w:p>
    <w:p>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集中采购监督机构：成都市锦江区财政局</w:t>
      </w:r>
    </w:p>
    <w:p>
      <w:pPr>
        <w:spacing w:line="360" w:lineRule="auto"/>
        <w:ind w:firstLine="565" w:firstLineChars="202"/>
        <w:rPr>
          <w:rFonts w:hint="eastAsia" w:ascii="宋体" w:hAnsi="宋体"/>
          <w:color w:val="auto"/>
          <w:sz w:val="28"/>
          <w:highlight w:val="none"/>
        </w:rPr>
      </w:pPr>
      <w:r>
        <w:rPr>
          <w:rFonts w:hint="eastAsia" w:ascii="宋体" w:hAnsi="宋体"/>
          <w:color w:val="auto"/>
          <w:sz w:val="28"/>
          <w:highlight w:val="none"/>
        </w:rPr>
        <w:t>地 址：成都市锦江区大慈寺路38号</w:t>
      </w:r>
    </w:p>
    <w:p>
      <w:pPr>
        <w:spacing w:line="360" w:lineRule="auto"/>
        <w:ind w:firstLine="565" w:firstLineChars="202"/>
        <w:rPr>
          <w:rFonts w:hint="eastAsia" w:ascii="宋体" w:hAnsi="宋体"/>
          <w:color w:val="auto"/>
          <w:sz w:val="28"/>
          <w:highlight w:val="none"/>
        </w:rPr>
      </w:pPr>
      <w:r>
        <w:rPr>
          <w:rFonts w:hint="eastAsia" w:ascii="宋体" w:hAnsi="宋体"/>
          <w:color w:val="auto"/>
          <w:sz w:val="28"/>
          <w:highlight w:val="none"/>
        </w:rPr>
        <w:t>联系电话：028-86513373</w:t>
      </w:r>
    </w:p>
    <w:p>
      <w:pPr>
        <w:pStyle w:val="2"/>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r>
        <w:rPr>
          <w:color w:val="auto"/>
          <w:highlight w:val="none"/>
        </w:rPr>
        <w:br w:type="page"/>
      </w:r>
    </w:p>
    <w:p>
      <w:pPr>
        <w:keepNext/>
        <w:keepLines/>
        <w:numPr>
          <w:ilvl w:val="0"/>
          <w:numId w:val="5"/>
        </w:numPr>
        <w:spacing w:before="340" w:after="330" w:line="400" w:lineRule="exact"/>
        <w:ind w:left="0" w:firstLine="0"/>
        <w:jc w:val="center"/>
        <w:outlineLvl w:val="0"/>
        <w:rPr>
          <w:rFonts w:ascii="宋体" w:hAnsi="宋体"/>
          <w:b/>
          <w:bCs/>
          <w:color w:val="auto"/>
          <w:spacing w:val="-20"/>
          <w:kern w:val="44"/>
          <w:sz w:val="32"/>
          <w:szCs w:val="32"/>
          <w:highlight w:val="none"/>
        </w:rPr>
      </w:pPr>
      <w:bookmarkStart w:id="13" w:name="_Toc31465"/>
      <w:r>
        <w:rPr>
          <w:rFonts w:hint="eastAsia" w:ascii="宋体" w:hAnsi="宋体"/>
          <w:b/>
          <w:bCs/>
          <w:color w:val="auto"/>
          <w:spacing w:val="-20"/>
          <w:kern w:val="44"/>
          <w:sz w:val="32"/>
          <w:szCs w:val="32"/>
          <w:highlight w:val="none"/>
        </w:rPr>
        <w:t>投标人须知</w:t>
      </w:r>
      <w:bookmarkEnd w:id="13"/>
    </w:p>
    <w:p>
      <w:pPr>
        <w:keepNext/>
        <w:keepLines/>
        <w:numPr>
          <w:ilvl w:val="1"/>
          <w:numId w:val="9"/>
        </w:numPr>
        <w:spacing w:before="260" w:after="260" w:line="360" w:lineRule="auto"/>
        <w:ind w:left="567" w:leftChars="0" w:hanging="987" w:firstLineChars="0"/>
        <w:jc w:val="left"/>
        <w:outlineLvl w:val="1"/>
        <w:rPr>
          <w:rFonts w:ascii="宋体" w:hAnsi="宋体"/>
          <w:b/>
          <w:bCs/>
          <w:color w:val="auto"/>
          <w:sz w:val="28"/>
          <w:szCs w:val="28"/>
          <w:highlight w:val="none"/>
        </w:rPr>
      </w:pPr>
      <w:bookmarkStart w:id="14" w:name="_Toc217446032"/>
      <w:bookmarkStart w:id="15" w:name="_Toc213396946"/>
      <w:bookmarkStart w:id="16" w:name="_Toc316462344"/>
      <w:bookmarkStart w:id="17" w:name="_Toc3410"/>
      <w:bookmarkStart w:id="18" w:name="_Toc213396760"/>
      <w:bookmarkStart w:id="19" w:name="_Toc213397010"/>
      <w:bookmarkStart w:id="20" w:name="_Toc213496268"/>
      <w:bookmarkStart w:id="21" w:name="_Toc189727030"/>
      <w:r>
        <w:rPr>
          <w:rFonts w:hint="eastAsia" w:ascii="宋体" w:hAnsi="宋体"/>
          <w:b/>
          <w:bCs/>
          <w:color w:val="auto"/>
          <w:sz w:val="28"/>
          <w:szCs w:val="28"/>
          <w:highlight w:val="none"/>
        </w:rPr>
        <w:t>投标人须知前附表</w:t>
      </w:r>
      <w:bookmarkEnd w:id="14"/>
      <w:bookmarkEnd w:id="15"/>
      <w:bookmarkEnd w:id="16"/>
      <w:bookmarkEnd w:id="17"/>
      <w:bookmarkEnd w:id="18"/>
      <w:bookmarkEnd w:id="19"/>
      <w:bookmarkEnd w:id="20"/>
      <w:bookmarkEnd w:id="21"/>
    </w:p>
    <w:tbl>
      <w:tblPr>
        <w:tblStyle w:val="59"/>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highlight w:val="none"/>
              </w:rPr>
            </w:pPr>
            <w:r>
              <w:rPr>
                <w:rFonts w:hint="eastAsia" w:ascii="宋体" w:hAnsi="宋体"/>
                <w:b/>
                <w:color w:val="auto"/>
                <w:sz w:val="28"/>
                <w:szCs w:val="28"/>
                <w:highlight w:val="none"/>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auto"/>
                <w:highlight w:val="none"/>
                <w:lang w:val="zh-CN"/>
              </w:rPr>
            </w:pPr>
            <w:r>
              <w:rPr>
                <w:rFonts w:hint="eastAsia" w:ascii="宋体" w:hAnsi="宋体" w:cs="宋体"/>
                <w:b/>
                <w:color w:val="auto"/>
                <w:sz w:val="28"/>
                <w:szCs w:val="28"/>
                <w:highlight w:val="none"/>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auto"/>
                <w:highlight w:val="none"/>
              </w:rPr>
            </w:pPr>
            <w:r>
              <w:rPr>
                <w:rFonts w:hint="eastAsia" w:ascii="宋体" w:hAnsi="宋体"/>
                <w:color w:val="auto"/>
                <w:highlight w:val="none"/>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auto"/>
                <w:highlight w:val="none"/>
                <w:lang w:val="zh-CN"/>
              </w:rPr>
            </w:pPr>
            <w:r>
              <w:rPr>
                <w:rFonts w:hint="eastAsia" w:ascii="宋体" w:hAnsi="宋体" w:cs="宋体"/>
                <w:b/>
                <w:color w:val="auto"/>
                <w:highlight w:val="none"/>
                <w:lang w:val="zh-CN"/>
              </w:rPr>
              <w:t>19729.74万元/年，</w:t>
            </w:r>
            <w:r>
              <w:rPr>
                <w:rFonts w:hint="eastAsia" w:ascii="宋体" w:hAnsi="宋体" w:cs="宋体"/>
                <w:b/>
                <w:color w:val="auto"/>
                <w:highlight w:val="none"/>
                <w:lang w:val="en-US" w:eastAsia="zh-CN"/>
              </w:rPr>
              <w:t>共分为6个包件</w:t>
            </w:r>
            <w:r>
              <w:rPr>
                <w:rFonts w:hint="eastAsia" w:ascii="宋体" w:hAnsi="宋体" w:cs="宋体"/>
                <w:b/>
                <w:color w:val="auto"/>
                <w:highlight w:val="none"/>
                <w:lang w:val="zh-CN"/>
              </w:rPr>
              <w:t>。包</w:t>
            </w:r>
            <w:r>
              <w:rPr>
                <w:rFonts w:hint="eastAsia" w:ascii="宋体" w:hAnsi="宋体" w:cs="宋体"/>
                <w:b/>
                <w:color w:val="auto"/>
                <w:highlight w:val="none"/>
                <w:lang w:val="en-US" w:eastAsia="zh-CN"/>
              </w:rPr>
              <w:t>件</w:t>
            </w:r>
            <w:r>
              <w:rPr>
                <w:rFonts w:hint="eastAsia" w:ascii="宋体" w:hAnsi="宋体" w:cs="宋体"/>
                <w:b/>
                <w:color w:val="auto"/>
                <w:highlight w:val="none"/>
                <w:lang w:val="zh-CN"/>
              </w:rPr>
              <w:t>1：春熙路街道办事处管辖区域，采购预算2680.01万元/年；包</w:t>
            </w:r>
            <w:r>
              <w:rPr>
                <w:rFonts w:hint="eastAsia" w:ascii="宋体" w:hAnsi="宋体" w:cs="宋体"/>
                <w:b/>
                <w:color w:val="auto"/>
                <w:highlight w:val="none"/>
                <w:lang w:val="en-US" w:eastAsia="zh-CN"/>
              </w:rPr>
              <w:t>件</w:t>
            </w:r>
            <w:r>
              <w:rPr>
                <w:rFonts w:hint="eastAsia" w:ascii="宋体" w:hAnsi="宋体" w:cs="宋体"/>
                <w:b/>
                <w:color w:val="auto"/>
                <w:highlight w:val="none"/>
                <w:lang w:val="zh-CN"/>
              </w:rPr>
              <w:t>2：锦官驿、锦华路街道办事处管辖区域，采购预算3551.17万元/年；包</w:t>
            </w:r>
            <w:r>
              <w:rPr>
                <w:rFonts w:hint="eastAsia" w:ascii="宋体" w:hAnsi="宋体" w:cs="宋体"/>
                <w:b/>
                <w:color w:val="auto"/>
                <w:highlight w:val="none"/>
                <w:lang w:val="en-US" w:eastAsia="zh-CN"/>
              </w:rPr>
              <w:t>件</w:t>
            </w:r>
            <w:r>
              <w:rPr>
                <w:rFonts w:hint="eastAsia" w:ascii="宋体" w:hAnsi="宋体" w:cs="宋体"/>
                <w:b/>
                <w:color w:val="auto"/>
                <w:highlight w:val="none"/>
                <w:lang w:val="zh-CN"/>
              </w:rPr>
              <w:t>3：成龙路、沙河街道办事处管辖区域，采购预算3645.13万元/年；包</w:t>
            </w:r>
            <w:r>
              <w:rPr>
                <w:rFonts w:hint="eastAsia" w:ascii="宋体" w:hAnsi="宋体" w:cs="宋体"/>
                <w:b/>
                <w:color w:val="auto"/>
                <w:highlight w:val="none"/>
                <w:lang w:val="en-US" w:eastAsia="zh-CN"/>
              </w:rPr>
              <w:t>件</w:t>
            </w:r>
            <w:r>
              <w:rPr>
                <w:rFonts w:hint="eastAsia" w:ascii="宋体" w:hAnsi="宋体" w:cs="宋体"/>
                <w:b/>
                <w:color w:val="auto"/>
                <w:highlight w:val="none"/>
                <w:lang w:val="zh-CN"/>
              </w:rPr>
              <w:t>4：牛市口、东湖街道办事处管辖区域，采购预算3277.13万元/年；包</w:t>
            </w:r>
            <w:r>
              <w:rPr>
                <w:rFonts w:hint="eastAsia" w:ascii="宋体" w:hAnsi="宋体" w:cs="宋体"/>
                <w:b/>
                <w:color w:val="auto"/>
                <w:highlight w:val="none"/>
                <w:lang w:val="en-US" w:eastAsia="zh-CN"/>
              </w:rPr>
              <w:t>件</w:t>
            </w:r>
            <w:r>
              <w:rPr>
                <w:rFonts w:hint="eastAsia" w:ascii="宋体" w:hAnsi="宋体" w:cs="宋体"/>
                <w:b/>
                <w:color w:val="auto"/>
                <w:highlight w:val="none"/>
                <w:lang w:val="zh-CN"/>
              </w:rPr>
              <w:t>5：三圣、狮子山街道办事处管辖区域，采购预算3299.26万元/年；包</w:t>
            </w:r>
            <w:r>
              <w:rPr>
                <w:rFonts w:hint="eastAsia" w:ascii="宋体" w:hAnsi="宋体" w:cs="宋体"/>
                <w:b/>
                <w:color w:val="auto"/>
                <w:highlight w:val="none"/>
                <w:lang w:val="en-US" w:eastAsia="zh-CN"/>
              </w:rPr>
              <w:t>件</w:t>
            </w:r>
            <w:r>
              <w:rPr>
                <w:rFonts w:hint="eastAsia" w:ascii="宋体" w:hAnsi="宋体" w:cs="宋体"/>
                <w:b/>
                <w:color w:val="auto"/>
                <w:highlight w:val="none"/>
                <w:lang w:val="zh-CN"/>
              </w:rPr>
              <w:t>6：书院、柳江街道办事处管辖区域，采购预算3277.04万元/年。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552"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auto"/>
                <w:highlight w:val="none"/>
                <w:lang w:val="zh-CN"/>
              </w:rPr>
            </w:pPr>
            <w:r>
              <w:rPr>
                <w:rFonts w:hint="eastAsia" w:ascii="宋体" w:hAnsi="宋体" w:cs="宋体"/>
                <w:b/>
                <w:color w:val="auto"/>
                <w:highlight w:val="none"/>
                <w:lang w:val="zh-CN"/>
              </w:rPr>
              <w:t>本项目最</w:t>
            </w:r>
            <w:r>
              <w:rPr>
                <w:rFonts w:hint="eastAsia" w:ascii="宋体" w:hAnsi="宋体" w:cs="宋体"/>
                <w:b/>
                <w:bCs w:val="0"/>
                <w:color w:val="auto"/>
                <w:highlight w:val="none"/>
                <w:lang w:val="zh-CN"/>
              </w:rPr>
              <w:t>高限价：19729.74万元/年，</w:t>
            </w:r>
            <w:r>
              <w:rPr>
                <w:rFonts w:hint="eastAsia" w:ascii="宋体" w:hAnsi="宋体" w:cs="宋体"/>
                <w:b/>
                <w:bCs w:val="0"/>
                <w:color w:val="auto"/>
                <w:highlight w:val="none"/>
                <w:lang w:val="en-US" w:eastAsia="zh-CN"/>
              </w:rPr>
              <w:t>共分为6个包件</w:t>
            </w:r>
            <w:r>
              <w:rPr>
                <w:rFonts w:hint="eastAsia" w:ascii="宋体" w:hAnsi="宋体" w:cs="宋体"/>
                <w:b/>
                <w:bCs w:val="0"/>
                <w:color w:val="auto"/>
                <w:highlight w:val="none"/>
                <w:lang w:val="zh-CN"/>
              </w:rPr>
              <w:t>。包</w:t>
            </w:r>
            <w:r>
              <w:rPr>
                <w:rFonts w:hint="eastAsia" w:ascii="宋体" w:hAnsi="宋体" w:cs="宋体"/>
                <w:b/>
                <w:bCs w:val="0"/>
                <w:color w:val="auto"/>
                <w:highlight w:val="none"/>
                <w:lang w:val="en-US" w:eastAsia="zh-CN"/>
              </w:rPr>
              <w:t>件</w:t>
            </w:r>
            <w:r>
              <w:rPr>
                <w:rFonts w:hint="eastAsia" w:ascii="宋体" w:hAnsi="宋体" w:cs="宋体"/>
                <w:b/>
                <w:bCs w:val="0"/>
                <w:color w:val="auto"/>
                <w:highlight w:val="none"/>
                <w:lang w:val="zh-CN"/>
              </w:rPr>
              <w:t>1：春熙路街道办事处管辖区域，最高限价：2680.01万元/年；包</w:t>
            </w:r>
            <w:r>
              <w:rPr>
                <w:rFonts w:hint="eastAsia" w:ascii="宋体" w:hAnsi="宋体" w:cs="宋体"/>
                <w:b/>
                <w:bCs w:val="0"/>
                <w:color w:val="auto"/>
                <w:highlight w:val="none"/>
                <w:lang w:val="en-US" w:eastAsia="zh-CN"/>
              </w:rPr>
              <w:t>件</w:t>
            </w:r>
            <w:r>
              <w:rPr>
                <w:rFonts w:hint="eastAsia" w:ascii="宋体" w:hAnsi="宋体" w:cs="宋体"/>
                <w:b/>
                <w:bCs w:val="0"/>
                <w:color w:val="auto"/>
                <w:highlight w:val="none"/>
                <w:lang w:val="zh-CN"/>
              </w:rPr>
              <w:t>2：锦官驿、锦华路街道办事处管辖区域，最高限价：3551.17万元/年；包</w:t>
            </w:r>
            <w:r>
              <w:rPr>
                <w:rFonts w:hint="eastAsia" w:ascii="宋体" w:hAnsi="宋体" w:cs="宋体"/>
                <w:b/>
                <w:bCs w:val="0"/>
                <w:color w:val="auto"/>
                <w:highlight w:val="none"/>
                <w:lang w:val="en-US" w:eastAsia="zh-CN"/>
              </w:rPr>
              <w:t>件</w:t>
            </w:r>
            <w:r>
              <w:rPr>
                <w:rFonts w:hint="eastAsia" w:ascii="宋体" w:hAnsi="宋体" w:cs="宋体"/>
                <w:b/>
                <w:bCs w:val="0"/>
                <w:color w:val="auto"/>
                <w:highlight w:val="none"/>
                <w:lang w:val="zh-CN"/>
              </w:rPr>
              <w:t>3：成龙路、沙河街道办事处管辖区域，最高限价：3645.13万元/年；包</w:t>
            </w:r>
            <w:r>
              <w:rPr>
                <w:rFonts w:hint="eastAsia" w:ascii="宋体" w:hAnsi="宋体" w:cs="宋体"/>
                <w:b/>
                <w:bCs w:val="0"/>
                <w:color w:val="auto"/>
                <w:highlight w:val="none"/>
                <w:lang w:val="en-US" w:eastAsia="zh-CN"/>
              </w:rPr>
              <w:t>件</w:t>
            </w:r>
            <w:r>
              <w:rPr>
                <w:rFonts w:hint="eastAsia" w:ascii="宋体" w:hAnsi="宋体" w:cs="宋体"/>
                <w:b/>
                <w:bCs w:val="0"/>
                <w:color w:val="auto"/>
                <w:highlight w:val="none"/>
                <w:lang w:val="zh-CN"/>
              </w:rPr>
              <w:t>4：牛市口、东湖街道办事处管辖区域，最高限价：3277.13万元/年；包</w:t>
            </w:r>
            <w:r>
              <w:rPr>
                <w:rFonts w:hint="eastAsia" w:ascii="宋体" w:hAnsi="宋体" w:cs="宋体"/>
                <w:b/>
                <w:bCs w:val="0"/>
                <w:color w:val="auto"/>
                <w:highlight w:val="none"/>
                <w:lang w:val="en-US" w:eastAsia="zh-CN"/>
              </w:rPr>
              <w:t>件</w:t>
            </w:r>
            <w:r>
              <w:rPr>
                <w:rFonts w:hint="eastAsia" w:ascii="宋体" w:hAnsi="宋体" w:cs="宋体"/>
                <w:b/>
                <w:bCs w:val="0"/>
                <w:color w:val="auto"/>
                <w:highlight w:val="none"/>
                <w:lang w:val="zh-CN"/>
              </w:rPr>
              <w:t>5：三圣、狮子山街道办事处管辖区域，最高限价：3299.26万元/年；包</w:t>
            </w:r>
            <w:r>
              <w:rPr>
                <w:rFonts w:hint="eastAsia" w:ascii="宋体" w:hAnsi="宋体" w:cs="宋体"/>
                <w:b/>
                <w:bCs w:val="0"/>
                <w:color w:val="auto"/>
                <w:highlight w:val="none"/>
                <w:lang w:val="en-US" w:eastAsia="zh-CN"/>
              </w:rPr>
              <w:t>件</w:t>
            </w:r>
            <w:r>
              <w:rPr>
                <w:rFonts w:hint="eastAsia" w:ascii="宋体" w:hAnsi="宋体" w:cs="宋体"/>
                <w:b/>
                <w:bCs w:val="0"/>
                <w:color w:val="auto"/>
                <w:highlight w:val="none"/>
                <w:lang w:val="zh-CN"/>
              </w:rPr>
              <w:t>6：书院、柳江街道办事处管辖区域，最高限价：3277.04万元/年。</w:t>
            </w:r>
            <w:r>
              <w:rPr>
                <w:rFonts w:hint="eastAsia" w:ascii="宋体" w:hAnsi="宋体" w:cs="宋体"/>
                <w:b/>
                <w:color w:val="auto"/>
                <w:highlight w:val="none"/>
                <w:lang w:val="zh-CN"/>
              </w:rPr>
              <w:t>投标人投标报价高于投标</w:t>
            </w:r>
            <w:r>
              <w:rPr>
                <w:rFonts w:ascii="宋体" w:hAnsi="宋体" w:cs="宋体"/>
                <w:b/>
                <w:color w:val="auto"/>
                <w:highlight w:val="none"/>
                <w:lang w:val="zh-CN"/>
              </w:rPr>
              <w:t>报价</w:t>
            </w:r>
            <w:r>
              <w:rPr>
                <w:rFonts w:hint="eastAsia" w:ascii="宋体" w:hAnsi="宋体" w:cs="宋体"/>
                <w:b/>
                <w:color w:val="auto"/>
                <w:highlight w:val="none"/>
                <w:lang w:val="zh-CN"/>
              </w:rPr>
              <w:t>最高限价或</w:t>
            </w:r>
            <w:r>
              <w:rPr>
                <w:rFonts w:ascii="宋体" w:hAnsi="宋体" w:cs="宋体"/>
                <w:b/>
                <w:color w:val="auto"/>
                <w:highlight w:val="none"/>
                <w:lang w:val="zh-CN"/>
              </w:rPr>
              <w:t>其</w:t>
            </w:r>
            <w:r>
              <w:rPr>
                <w:rFonts w:hint="eastAsia" w:ascii="宋体" w:hAnsi="宋体" w:cs="宋体"/>
                <w:b/>
                <w:color w:val="auto"/>
                <w:highlight w:val="none"/>
                <w:lang w:val="zh-CN"/>
              </w:rPr>
              <w:t>任一</w:t>
            </w:r>
            <w:r>
              <w:rPr>
                <w:rFonts w:hint="eastAsia" w:ascii="宋体" w:hAnsi="宋体" w:cs="宋体"/>
                <w:b/>
                <w:color w:val="auto"/>
                <w:highlight w:val="none"/>
                <w:lang w:val="en-US" w:eastAsia="zh-CN"/>
              </w:rPr>
              <w:t>包件</w:t>
            </w:r>
            <w:r>
              <w:rPr>
                <w:rFonts w:ascii="宋体" w:hAnsi="宋体" w:cs="宋体"/>
                <w:b/>
                <w:color w:val="auto"/>
                <w:highlight w:val="none"/>
                <w:lang w:val="zh-CN"/>
              </w:rPr>
              <w:t>报价</w:t>
            </w:r>
            <w:r>
              <w:rPr>
                <w:rFonts w:hint="eastAsia" w:ascii="宋体" w:hAnsi="宋体" w:cs="宋体"/>
                <w:b/>
                <w:color w:val="auto"/>
                <w:highlight w:val="none"/>
                <w:lang w:val="zh-CN"/>
              </w:rPr>
              <w:t>高于对应</w:t>
            </w:r>
            <w:r>
              <w:rPr>
                <w:rFonts w:hint="eastAsia" w:ascii="宋体" w:hAnsi="宋体" w:cs="宋体"/>
                <w:b/>
                <w:color w:val="auto"/>
                <w:highlight w:val="none"/>
                <w:lang w:val="en-US" w:eastAsia="zh-CN"/>
              </w:rPr>
              <w:t>包件</w:t>
            </w:r>
            <w:r>
              <w:rPr>
                <w:rFonts w:hint="eastAsia" w:ascii="宋体" w:hAnsi="宋体" w:cs="宋体"/>
                <w:b/>
                <w:color w:val="auto"/>
                <w:highlight w:val="none"/>
                <w:lang w:val="zh-CN"/>
              </w:rPr>
              <w:t>最高</w:t>
            </w:r>
            <w:r>
              <w:rPr>
                <w:rFonts w:ascii="宋体" w:hAnsi="宋体" w:cs="宋体"/>
                <w:b/>
                <w:color w:val="auto"/>
                <w:highlight w:val="none"/>
                <w:lang w:val="zh-CN"/>
              </w:rPr>
              <w:t>限价</w:t>
            </w:r>
            <w:r>
              <w:rPr>
                <w:rFonts w:hint="eastAsia" w:ascii="宋体" w:hAnsi="宋体" w:cs="宋体"/>
                <w:b/>
                <w:color w:val="auto"/>
                <w:highlight w:val="none"/>
                <w:lang w:val="zh-CN"/>
              </w:rPr>
              <w:t>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auto"/>
                <w:highlight w:val="none"/>
                <w:lang w:val="zh-CN"/>
              </w:rPr>
            </w:pPr>
            <w:r>
              <w:rPr>
                <w:rFonts w:hint="eastAsia" w:ascii="宋体" w:hAnsi="宋体" w:cs="宋体"/>
                <w:color w:val="auto"/>
                <w:highlight w:val="none"/>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auto"/>
                <w:highlight w:val="none"/>
              </w:rPr>
            </w:pPr>
            <w:r>
              <w:rPr>
                <w:rFonts w:hint="eastAsia" w:ascii="宋体" w:hAnsi="宋体" w:cs="宋体"/>
                <w:color w:val="auto"/>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cs="宋体"/>
                <w:color w:val="auto"/>
                <w:highlight w:val="none"/>
                <w:lang w:val="zh-CN"/>
              </w:rPr>
            </w:pPr>
            <w:r>
              <w:rPr>
                <w:rFonts w:hint="eastAsia"/>
                <w:color w:val="auto"/>
                <w:highlight w:val="none"/>
                <w:lang w:val="zh-CN"/>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auto"/>
                <w:highlight w:val="none"/>
                <w:lang w:val="zh-CN"/>
              </w:rPr>
            </w:pPr>
            <w:r>
              <w:rPr>
                <w:rFonts w:hint="eastAsia" w:ascii="宋体" w:hAnsi="宋体" w:cs="宋体"/>
                <w:color w:val="auto"/>
                <w:highlight w:val="none"/>
                <w:lang w:val="zh-CN"/>
              </w:rPr>
              <w:t>1.根据《政府采购促进中小企业发展管理办法》（财库〔</w:t>
            </w:r>
            <w:r>
              <w:rPr>
                <w:rFonts w:ascii="宋体" w:hAnsi="宋体" w:cs="宋体"/>
                <w:color w:val="auto"/>
                <w:highlight w:val="none"/>
                <w:lang w:val="zh-CN"/>
              </w:rPr>
              <w:t>2020〕46号）的规定</w:t>
            </w:r>
            <w:r>
              <w:rPr>
                <w:rFonts w:hint="eastAsia" w:ascii="宋体" w:hAnsi="宋体" w:cs="宋体"/>
                <w:color w:val="auto"/>
                <w:highlight w:val="none"/>
                <w:lang w:val="zh-CN"/>
              </w:rPr>
              <w:t>，对小型和微型企业提供的服务价格给予10%的价格扣除，用扣除后的价格参与评标。</w:t>
            </w:r>
          </w:p>
          <w:p>
            <w:pPr>
              <w:autoSpaceDE w:val="0"/>
              <w:autoSpaceDN w:val="0"/>
              <w:adjustRightInd w:val="0"/>
              <w:spacing w:line="360" w:lineRule="auto"/>
              <w:ind w:right="210" w:rightChars="100"/>
              <w:rPr>
                <w:rFonts w:hint="eastAsia" w:ascii="宋体" w:hAnsi="宋体" w:cs="宋体"/>
                <w:color w:val="auto"/>
                <w:highlight w:val="none"/>
                <w:lang w:val="zh-CN"/>
              </w:rPr>
            </w:pPr>
            <w:r>
              <w:rPr>
                <w:rFonts w:hint="eastAsia" w:ascii="宋体" w:hAnsi="宋体" w:cs="宋体"/>
                <w:color w:val="auto"/>
                <w:highlight w:val="none"/>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cs="宋体"/>
                <w:color w:val="auto"/>
                <w:highlight w:val="none"/>
                <w:lang w:val="zh-CN"/>
              </w:rPr>
            </w:pPr>
            <w:r>
              <w:rPr>
                <w:rFonts w:hint="eastAsia"/>
                <w:color w:val="auto"/>
                <w:highlight w:val="none"/>
                <w:lang w:val="zh-CN"/>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auto"/>
                <w:highlight w:val="none"/>
                <w:lang w:val="zh-CN"/>
              </w:rPr>
            </w:pPr>
            <w:r>
              <w:rPr>
                <w:rFonts w:hint="eastAsia" w:ascii="宋体" w:hAnsi="宋体" w:cs="宋体"/>
                <w:color w:val="auto"/>
                <w:highlight w:val="none"/>
                <w:lang w:val="zh-CN"/>
              </w:rPr>
              <w:t>１.根据《关于政府采购支持监狱企业发展有关问题的通知》（财库〔</w:t>
            </w:r>
            <w:r>
              <w:rPr>
                <w:rFonts w:ascii="宋体" w:hAnsi="宋体" w:cs="宋体"/>
                <w:color w:val="auto"/>
                <w:highlight w:val="none"/>
                <w:lang w:val="zh-CN"/>
              </w:rPr>
              <w:t>20</w:t>
            </w:r>
            <w:r>
              <w:rPr>
                <w:rFonts w:hint="eastAsia" w:ascii="宋体" w:hAnsi="宋体" w:cs="宋体"/>
                <w:color w:val="auto"/>
                <w:highlight w:val="none"/>
                <w:lang w:val="zh-CN"/>
              </w:rPr>
              <w:t>14</w:t>
            </w:r>
            <w:r>
              <w:rPr>
                <w:rFonts w:ascii="宋体" w:hAnsi="宋体" w:cs="宋体"/>
                <w:color w:val="auto"/>
                <w:highlight w:val="none"/>
                <w:lang w:val="zh-CN"/>
              </w:rPr>
              <w:t>〕</w:t>
            </w:r>
            <w:r>
              <w:rPr>
                <w:rFonts w:hint="eastAsia" w:ascii="宋体" w:hAnsi="宋体" w:cs="宋体"/>
                <w:color w:val="auto"/>
                <w:highlight w:val="none"/>
                <w:lang w:val="zh-CN"/>
              </w:rPr>
              <w:t>68号）的规定，监狱企业视同小型、微型企业，对监狱企业提供的服务价格给予10%的价格扣除，用扣除后的价格参与评标。</w:t>
            </w:r>
          </w:p>
          <w:p>
            <w:pPr>
              <w:autoSpaceDE w:val="0"/>
              <w:autoSpaceDN w:val="0"/>
              <w:adjustRightInd w:val="0"/>
              <w:spacing w:line="360" w:lineRule="auto"/>
              <w:ind w:right="210" w:rightChars="100"/>
              <w:rPr>
                <w:rFonts w:hint="eastAsia" w:ascii="宋体" w:hAnsi="宋体" w:cs="宋体"/>
                <w:color w:val="auto"/>
                <w:highlight w:val="none"/>
                <w:lang w:val="zh-CN"/>
              </w:rPr>
            </w:pPr>
            <w:r>
              <w:rPr>
                <w:rFonts w:hint="eastAsia" w:ascii="宋体" w:hAnsi="宋体" w:cs="宋体"/>
                <w:color w:val="auto"/>
                <w:highlight w:val="none"/>
                <w:lang w:val="zh-CN"/>
              </w:rPr>
              <w:t>２.投标人为监狱企业的,应提供由省级以上监狱管理局、戒毒管理局（含新疆生产建设兵团）出具的投标人属于监狱企业的证明文件复印件。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cs="宋体"/>
                <w:color w:val="auto"/>
                <w:highlight w:val="none"/>
                <w:lang w:val="zh-CN"/>
              </w:rPr>
            </w:pPr>
            <w:r>
              <w:rPr>
                <w:rFonts w:hint="eastAsia"/>
                <w:color w:val="auto"/>
                <w:highlight w:val="none"/>
              </w:rPr>
              <w:t>残疾人福利性单位</w:t>
            </w:r>
            <w:r>
              <w:rPr>
                <w:rFonts w:hint="eastAsia"/>
                <w:color w:val="auto"/>
                <w:highlight w:val="none"/>
                <w:lang w:val="zh-CN"/>
              </w:rPr>
              <w:t>价格扣除</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auto"/>
                <w:highlight w:val="none"/>
                <w:lang w:val="zh-CN"/>
              </w:rPr>
            </w:pPr>
            <w:r>
              <w:rPr>
                <w:rFonts w:hint="eastAsia" w:ascii="宋体" w:hAnsi="宋体" w:cs="宋体"/>
                <w:color w:val="auto"/>
                <w:highlight w:val="none"/>
                <w:lang w:val="zh-CN"/>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pPr>
              <w:autoSpaceDE w:val="0"/>
              <w:autoSpaceDN w:val="0"/>
              <w:adjustRightInd w:val="0"/>
              <w:spacing w:line="360" w:lineRule="auto"/>
              <w:ind w:right="210" w:rightChars="100"/>
              <w:rPr>
                <w:rFonts w:hint="eastAsia" w:ascii="宋体" w:hAnsi="宋体" w:cs="宋体"/>
                <w:color w:val="auto"/>
                <w:highlight w:val="none"/>
                <w:lang w:val="zh-CN"/>
              </w:rPr>
            </w:pPr>
            <w:r>
              <w:rPr>
                <w:rFonts w:hint="eastAsia" w:ascii="宋体" w:hAnsi="宋体" w:cs="宋体"/>
                <w:color w:val="auto"/>
                <w:highlight w:val="none"/>
                <w:lang w:val="zh-CN"/>
              </w:rPr>
              <w:t>2.投标文件中应提供《残疾人福利性单位声明函》。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投标保证金</w:t>
            </w:r>
          </w:p>
        </w:tc>
        <w:tc>
          <w:tcPr>
            <w:tcW w:w="6910" w:type="dxa"/>
            <w:tcBorders>
              <w:top w:val="single" w:color="auto" w:sz="8" w:space="0"/>
              <w:left w:val="single" w:color="auto" w:sz="8" w:space="0"/>
              <w:bottom w:val="single" w:color="auto" w:sz="8" w:space="0"/>
              <w:right w:val="single" w:color="auto" w:sz="18" w:space="0"/>
            </w:tcBorders>
          </w:tcPr>
          <w:p>
            <w:pPr>
              <w:overflowPunct w:val="0"/>
              <w:spacing w:line="560" w:lineRule="exact"/>
              <w:rPr>
                <w:rFonts w:ascii="宋体" w:hAnsi="宋体" w:cs="宋体"/>
                <w:color w:val="auto"/>
                <w:highlight w:val="none"/>
                <w:lang w:val="zh-CN"/>
              </w:rPr>
            </w:pPr>
            <w:r>
              <w:rPr>
                <w:rFonts w:hint="eastAsia" w:ascii="宋体" w:hAnsi="宋体" w:cs="宋体"/>
                <w:color w:val="auto"/>
                <w:highlight w:val="none"/>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highlight w:val="none"/>
                <w:lang w:val="zh-CN"/>
              </w:rPr>
            </w:pPr>
            <w:r>
              <w:rPr>
                <w:rFonts w:hint="eastAsia" w:ascii="宋体" w:hAnsi="宋体" w:cs="宋体"/>
                <w:color w:val="auto"/>
                <w:highlight w:val="none"/>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highlight w:val="none"/>
                <w:lang w:val="zh-CN"/>
              </w:rPr>
            </w:pPr>
            <w:r>
              <w:rPr>
                <w:rFonts w:hint="eastAsia" w:ascii="宋体" w:hAnsi="宋体" w:cs="宋体"/>
                <w:color w:val="auto"/>
                <w:highlight w:val="none"/>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highlight w:val="none"/>
                <w:lang w:val="zh-CN"/>
              </w:rPr>
            </w:pPr>
            <w:r>
              <w:rPr>
                <w:rFonts w:hint="eastAsia" w:ascii="宋体" w:hAnsi="宋体" w:cs="宋体"/>
                <w:color w:val="auto"/>
                <w:highlight w:val="none"/>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highlight w:val="none"/>
                <w:lang w:val="zh-CN"/>
              </w:rPr>
            </w:pPr>
            <w:r>
              <w:rPr>
                <w:rFonts w:hint="eastAsia" w:ascii="宋体" w:hAnsi="宋体" w:cs="宋体"/>
                <w:color w:val="auto"/>
                <w:highlight w:val="none"/>
                <w:lang w:val="zh-CN"/>
              </w:rPr>
              <w:t>提交投标文件的截止之日起</w:t>
            </w:r>
            <w:r>
              <w:rPr>
                <w:rFonts w:hint="eastAsia" w:ascii="宋体" w:hAnsi="宋体" w:cs="宋体"/>
                <w:color w:val="auto"/>
                <w:highlight w:val="none"/>
                <w:u w:val="single"/>
                <w:lang w:val="zh-CN"/>
              </w:rPr>
              <w:t>120</w:t>
            </w:r>
            <w:r>
              <w:rPr>
                <w:rFonts w:hint="eastAsia" w:ascii="宋体" w:hAnsi="宋体" w:cs="宋体"/>
                <w:color w:val="auto"/>
                <w:highlight w:val="none"/>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095"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投标文件的提交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详见投标人须知2.4.12</w:t>
            </w:r>
          </w:p>
          <w:p>
            <w:pPr>
              <w:tabs>
                <w:tab w:val="left" w:pos="7665"/>
              </w:tabs>
              <w:snapToGrid w:val="0"/>
              <w:jc w:val="left"/>
              <w:rPr>
                <w:rFonts w:ascii="宋体" w:hAnsi="宋体"/>
                <w:color w:val="auto"/>
                <w:highlight w:val="none"/>
              </w:rPr>
            </w:pPr>
            <w:r>
              <w:rPr>
                <w:rFonts w:hint="eastAsia" w:ascii="宋体" w:hAnsi="宋体"/>
                <w:color w:val="auto"/>
                <w:highlight w:val="none"/>
              </w:rPr>
              <w:t>注：投标人使用</w:t>
            </w:r>
            <w:r>
              <w:rPr>
                <w:rFonts w:ascii="宋体" w:hAnsi="宋体"/>
                <w:color w:val="auto"/>
                <w:highlight w:val="none"/>
              </w:rPr>
              <w:t>CA证书在</w:t>
            </w:r>
            <w:r>
              <w:rPr>
                <w:rFonts w:hint="eastAsia" w:ascii="宋体" w:hAnsi="宋体"/>
                <w:color w:val="auto"/>
                <w:highlight w:val="none"/>
              </w:rPr>
              <w:t>投标截止时间前，将电子投标文件上传至政府</w:t>
            </w:r>
            <w:r>
              <w:rPr>
                <w:rFonts w:ascii="宋体" w:hAnsi="宋体"/>
                <w:color w:val="auto"/>
                <w:highlight w:val="none"/>
              </w:rPr>
              <w:t>采购</w:t>
            </w:r>
            <w:r>
              <w:rPr>
                <w:rFonts w:hint="eastAsia" w:ascii="宋体" w:hAnsi="宋体"/>
                <w:color w:val="auto"/>
                <w:highlight w:val="none"/>
              </w:rPr>
              <w:t>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highlight w:val="none"/>
              </w:rPr>
            </w:pPr>
            <w:r>
              <w:rPr>
                <w:rFonts w:hint="eastAsia"/>
                <w:b/>
                <w:color w:val="auto"/>
                <w:highlight w:val="none"/>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auto"/>
                <w:highlight w:val="none"/>
              </w:rPr>
            </w:pPr>
            <w:r>
              <w:rPr>
                <w:rFonts w:hint="eastAsia" w:ascii="宋体" w:hAnsi="宋体"/>
                <w:b/>
                <w:color w:val="auto"/>
                <w:highlight w:val="none"/>
              </w:rPr>
              <w:t>详见投标人须知2.5.1。</w:t>
            </w:r>
          </w:p>
          <w:p>
            <w:pPr>
              <w:snapToGrid w:val="0"/>
              <w:spacing w:line="360" w:lineRule="auto"/>
              <w:rPr>
                <w:rFonts w:ascii="宋体" w:hAnsi="宋体"/>
                <w:b/>
                <w:color w:val="auto"/>
                <w:highlight w:val="none"/>
              </w:rPr>
            </w:pPr>
            <w:r>
              <w:rPr>
                <w:rFonts w:hint="eastAsia" w:ascii="宋体" w:hAnsi="宋体"/>
                <w:b/>
                <w:color w:val="auto"/>
                <w:highlight w:val="none"/>
              </w:rPr>
              <w:t>投标文件解密：开启解密后，投标人应在系统提示的解密开始时间后</w:t>
            </w:r>
            <w:r>
              <w:rPr>
                <w:rFonts w:ascii="宋体" w:hAnsi="宋体"/>
                <w:b/>
                <w:color w:val="auto"/>
                <w:highlight w:val="none"/>
              </w:rPr>
              <w:t>60</w:t>
            </w:r>
            <w:r>
              <w:rPr>
                <w:rFonts w:hint="eastAsia" w:ascii="宋体" w:hAnsi="宋体"/>
                <w:b/>
                <w:color w:val="auto"/>
                <w:highlight w:val="none"/>
              </w:rPr>
              <w:t>分钟内，使用对投标文件进行加密的CA证书在线完成对投标人提交至政府采购云平台的投标文件的解密。</w:t>
            </w:r>
          </w:p>
          <w:p>
            <w:pPr>
              <w:snapToGrid w:val="0"/>
              <w:spacing w:line="360" w:lineRule="auto"/>
              <w:rPr>
                <w:rFonts w:ascii="宋体" w:hAnsi="宋体"/>
                <w:b/>
                <w:color w:val="auto"/>
                <w:highlight w:val="none"/>
              </w:rPr>
            </w:pPr>
            <w:r>
              <w:rPr>
                <w:rFonts w:hint="eastAsia" w:ascii="宋体" w:hAnsi="宋体"/>
                <w:b/>
                <w:color w:val="auto"/>
                <w:highlight w:val="none"/>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auto"/>
                <w:highlight w:val="none"/>
              </w:rPr>
            </w:pPr>
            <w:r>
              <w:rPr>
                <w:rFonts w:hint="eastAsia" w:ascii="宋体" w:hAnsi="宋体"/>
                <w:b/>
                <w:color w:val="auto"/>
                <w:highlight w:val="none"/>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highlight w:val="none"/>
              </w:rPr>
            </w:pPr>
            <w:r>
              <w:rPr>
                <w:rFonts w:hint="eastAsia" w:ascii="宋体" w:hAnsi="宋体"/>
                <w:color w:val="auto"/>
                <w:highlight w:val="none"/>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82"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highlight w:val="none"/>
              </w:rPr>
            </w:pPr>
            <w:r>
              <w:rPr>
                <w:rFonts w:hint="eastAsia" w:ascii="宋体" w:hAnsi="宋体"/>
                <w:color w:val="auto"/>
                <w:highlight w:val="none"/>
              </w:rPr>
              <w:t>向区采购中心提出，并由区采购中心按相关规定作出答复（详见投标人须知2.8）。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ind w:right="210"/>
              <w:rPr>
                <w:rFonts w:hint="eastAsia" w:ascii="宋体" w:hAnsi="宋体"/>
                <w:color w:val="auto"/>
                <w:highlight w:val="none"/>
              </w:rPr>
            </w:pPr>
            <w:r>
              <w:rPr>
                <w:rFonts w:hint="eastAsia" w:ascii="宋体" w:hAnsi="宋体"/>
                <w:color w:val="auto"/>
                <w:highlight w:val="none"/>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hint="eastAsia" w:ascii="宋体" w:hAnsi="宋体"/>
                <w:color w:val="auto"/>
                <w:highlight w:val="none"/>
              </w:rPr>
            </w:pPr>
            <w:r>
              <w:rPr>
                <w:rFonts w:hint="eastAsia" w:ascii="宋体" w:hAnsi="宋体"/>
                <w:color w:val="auto"/>
                <w:highlight w:val="none"/>
              </w:rPr>
              <w:t>投诉受理单位：成都市锦江区财政局。</w:t>
            </w:r>
          </w:p>
          <w:p>
            <w:pPr>
              <w:tabs>
                <w:tab w:val="left" w:pos="7665"/>
              </w:tabs>
              <w:snapToGrid w:val="0"/>
              <w:spacing w:line="360" w:lineRule="auto"/>
              <w:ind w:right="210"/>
              <w:rPr>
                <w:rFonts w:hint="eastAsia" w:ascii="宋体" w:hAnsi="宋体"/>
                <w:color w:val="auto"/>
                <w:highlight w:val="none"/>
              </w:rPr>
            </w:pPr>
            <w:r>
              <w:rPr>
                <w:rFonts w:hint="eastAsia" w:ascii="宋体" w:hAnsi="宋体"/>
                <w:color w:val="auto"/>
                <w:highlight w:val="none"/>
              </w:rPr>
              <w:t>联系电话：028-86513373。</w:t>
            </w:r>
          </w:p>
          <w:p>
            <w:pPr>
              <w:tabs>
                <w:tab w:val="left" w:pos="7665"/>
              </w:tabs>
              <w:snapToGrid w:val="0"/>
              <w:spacing w:line="360" w:lineRule="auto"/>
              <w:ind w:right="210"/>
              <w:rPr>
                <w:rFonts w:hint="eastAsia" w:ascii="宋体" w:hAnsi="宋体"/>
                <w:color w:val="auto"/>
                <w:highlight w:val="none"/>
              </w:rPr>
            </w:pPr>
            <w:r>
              <w:rPr>
                <w:rFonts w:hint="eastAsia" w:ascii="宋体" w:hAnsi="宋体"/>
                <w:color w:val="auto"/>
                <w:highlight w:val="none"/>
              </w:rPr>
              <w:t>地址：成都市锦江区大慈寺路38号。</w:t>
            </w:r>
          </w:p>
          <w:p>
            <w:pPr>
              <w:tabs>
                <w:tab w:val="left" w:pos="7665"/>
              </w:tabs>
              <w:snapToGrid w:val="0"/>
              <w:spacing w:line="360" w:lineRule="auto"/>
              <w:ind w:right="210"/>
              <w:rPr>
                <w:rFonts w:hint="eastAsia" w:ascii="宋体" w:hAnsi="宋体"/>
                <w:color w:val="auto"/>
                <w:highlight w:val="none"/>
              </w:rPr>
            </w:pPr>
            <w:r>
              <w:rPr>
                <w:rFonts w:hint="eastAsia" w:ascii="宋体" w:hAnsi="宋体"/>
                <w:color w:val="auto"/>
                <w:highlight w:val="none"/>
              </w:rPr>
              <w:t xml:space="preserve">邮编：610000。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highlight w:val="none"/>
                <w:lang w:val="zh-CN"/>
              </w:rPr>
            </w:pPr>
            <w:r>
              <w:rPr>
                <w:rFonts w:hint="eastAsia" w:ascii="宋体" w:hAnsi="宋体" w:cs="宋体"/>
                <w:color w:val="auto"/>
                <w:highlight w:val="none"/>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highlight w:val="none"/>
                <w:lang w:val="zh-CN"/>
              </w:rPr>
            </w:pPr>
            <w:r>
              <w:rPr>
                <w:rFonts w:hint="eastAsia" w:ascii="宋体" w:hAnsi="宋体" w:cs="宋体"/>
                <w:color w:val="auto"/>
                <w:highlight w:val="none"/>
                <w:lang w:val="zh-CN"/>
              </w:rPr>
              <w:t>所有</w:t>
            </w:r>
            <w:r>
              <w:rPr>
                <w:rFonts w:hint="eastAsia" w:ascii="宋体" w:hAnsi="宋体"/>
                <w:color w:val="auto"/>
                <w:highlight w:val="none"/>
              </w:rPr>
              <w:t>投标人</w:t>
            </w:r>
            <w:r>
              <w:rPr>
                <w:rFonts w:hint="eastAsia" w:ascii="宋体" w:hAnsi="宋体" w:cs="宋体"/>
                <w:color w:val="auto"/>
                <w:highlight w:val="none"/>
                <w:lang w:val="zh-CN"/>
              </w:rPr>
              <w:t>投标文件资格性、符合性审查情况、采用综合评分法时的得分情况、评标结果等将在成都市公共资源交易服务中心网、四川政府采购网上采购结果公告栏中予以公告。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s="宋体"/>
                <w:color w:val="auto"/>
                <w:highlight w:val="none"/>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s="宋体"/>
                <w:color w:val="auto"/>
                <w:highlight w:val="none"/>
                <w:lang w:val="zh-CN"/>
              </w:rPr>
              <w:t>中标公告在四川政府采购网上公告后，中标供应商自行登录政府</w:t>
            </w:r>
            <w:r>
              <w:rPr>
                <w:rFonts w:ascii="宋体" w:hAnsi="宋体" w:cs="宋体"/>
                <w:color w:val="auto"/>
                <w:highlight w:val="none"/>
                <w:lang w:val="zh-CN"/>
              </w:rPr>
              <w:t>采购</w:t>
            </w:r>
            <w:r>
              <w:rPr>
                <w:rFonts w:hint="eastAsia" w:ascii="宋体" w:hAnsi="宋体" w:cs="宋体"/>
                <w:color w:val="auto"/>
                <w:highlight w:val="none"/>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auto"/>
                <w:highlight w:val="none"/>
              </w:rPr>
            </w:pPr>
            <w:r>
              <w:rPr>
                <w:rFonts w:hint="eastAsia" w:ascii="宋体" w:hAnsi="宋体"/>
                <w:color w:val="auto"/>
                <w:highlight w:val="none"/>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olor w:val="auto"/>
                <w:highlight w:val="none"/>
              </w:rPr>
            </w:pPr>
            <w:r>
              <w:rPr>
                <w:rFonts w:hint="eastAsia" w:ascii="宋体"/>
                <w:color w:val="auto"/>
                <w:highlight w:val="none"/>
              </w:rPr>
              <w:t>政府采购合同签订之日起2个工作日内，采购人将在四川政府采购网公告政府采购合同；采购人在30日内与供应商签订政府采购合同及向本采购项目同级财政部门，即成都市锦江区财政局备案政府采购合同。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9"/>
        </w:numPr>
        <w:spacing w:before="260" w:after="260" w:line="360" w:lineRule="auto"/>
        <w:jc w:val="left"/>
        <w:outlineLvl w:val="1"/>
        <w:rPr>
          <w:rFonts w:ascii="宋体" w:hAnsi="宋体"/>
          <w:b/>
          <w:bCs/>
          <w:color w:val="auto"/>
          <w:sz w:val="28"/>
          <w:szCs w:val="28"/>
          <w:highlight w:val="none"/>
        </w:rPr>
      </w:pPr>
      <w:bookmarkStart w:id="22" w:name="_Toc22779"/>
      <w:r>
        <w:rPr>
          <w:rFonts w:hint="eastAsia" w:ascii="宋体" w:hAnsi="宋体"/>
          <w:b/>
          <w:bCs/>
          <w:color w:val="auto"/>
          <w:sz w:val="28"/>
          <w:szCs w:val="28"/>
          <w:highlight w:val="none"/>
        </w:rPr>
        <w:t>总则</w:t>
      </w:r>
      <w:bookmarkEnd w:id="22"/>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适用范围</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一、本招标文件仅适用于本次公开招标采购项目。</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本招标文件的最终解释权由采购人或区采购中心享有。对招标文件中供应商参加本次政府采购活动应当具备的条件，招标项目技术、服务、商务及其他要求，评标细则及标准由采购人负责解释。除上述招标文件内容，其他内容由区采购中心负责解释。</w:t>
      </w:r>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有关定义</w:t>
      </w:r>
    </w:p>
    <w:p>
      <w:pPr>
        <w:numPr>
          <w:ilvl w:val="0"/>
          <w:numId w:val="12"/>
        </w:numPr>
        <w:tabs>
          <w:tab w:val="left" w:pos="1134"/>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“采购人”和“甲方”系指依法进行政府采购的成都市级机关、事业单位、团体组织。本次招标的采购人</w:t>
      </w:r>
      <w:r>
        <w:rPr>
          <w:rFonts w:hint="eastAsia" w:ascii="宋体" w:hAnsi="宋体"/>
          <w:b/>
          <w:color w:val="auto"/>
          <w:sz w:val="28"/>
          <w:szCs w:val="28"/>
          <w:highlight w:val="none"/>
        </w:rPr>
        <w:t>成都市锦江区综合行政执法局</w:t>
      </w:r>
      <w:r>
        <w:rPr>
          <w:rFonts w:hint="eastAsia" w:ascii="宋体" w:hAnsi="宋体"/>
          <w:color w:val="auto"/>
          <w:sz w:val="28"/>
          <w:szCs w:val="28"/>
          <w:highlight w:val="none"/>
        </w:rPr>
        <w:t>。</w:t>
      </w:r>
    </w:p>
    <w:p>
      <w:pPr>
        <w:numPr>
          <w:ilvl w:val="0"/>
          <w:numId w:val="12"/>
        </w:numPr>
        <w:tabs>
          <w:tab w:val="left" w:pos="1134"/>
        </w:tabs>
        <w:spacing w:line="360" w:lineRule="auto"/>
        <w:ind w:left="0" w:firstLine="566"/>
        <w:rPr>
          <w:rFonts w:ascii="宋体" w:hAnsi="宋体"/>
          <w:color w:val="auto"/>
          <w:sz w:val="28"/>
          <w:szCs w:val="28"/>
          <w:highlight w:val="none"/>
        </w:rPr>
      </w:pPr>
      <w:r>
        <w:rPr>
          <w:rFonts w:hint="eastAsia" w:ascii="宋体" w:hAnsi="宋体"/>
          <w:color w:val="auto"/>
          <w:sz w:val="28"/>
          <w:szCs w:val="28"/>
          <w:highlight w:val="none"/>
        </w:rPr>
        <w:t xml:space="preserve"> “投标人”系指在按照招标文件“投标邀请”中第六、七、八条规定获取了招标文件，拟参加投标和向采购人提供服务的供应商。“乙方”是指本项目的中标供应商。</w:t>
      </w:r>
    </w:p>
    <w:p>
      <w:pPr>
        <w:numPr>
          <w:ilvl w:val="0"/>
          <w:numId w:val="1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本招标文件各部分规定的“以上”、“以下”、“内”、“以内”，包括本数；所称的“不足”，不包括本数。</w:t>
      </w:r>
    </w:p>
    <w:p>
      <w:pPr>
        <w:numPr>
          <w:ilvl w:val="0"/>
          <w:numId w:val="1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重大违法记录是指供应商因违法经营受到刑事处罚或者责令停产停业、吊销许可证或者执照、较大数额罚款等行政处罚。</w:t>
      </w:r>
    </w:p>
    <w:p>
      <w:pPr>
        <w:numPr>
          <w:ilvl w:val="0"/>
          <w:numId w:val="12"/>
        </w:numPr>
        <w:tabs>
          <w:tab w:val="left" w:pos="1200"/>
        </w:tabs>
        <w:spacing w:line="600" w:lineRule="exact"/>
        <w:ind w:left="0" w:firstLine="567"/>
        <w:rPr>
          <w:rFonts w:ascii="宋体" w:hAnsi="宋体"/>
          <w:color w:val="auto"/>
          <w:sz w:val="28"/>
          <w:szCs w:val="28"/>
          <w:highlight w:val="none"/>
        </w:rPr>
      </w:pPr>
      <w:r>
        <w:rPr>
          <w:rFonts w:hint="eastAsia" w:ascii="宋体" w:hAnsi="宋体"/>
          <w:color w:val="auto"/>
          <w:sz w:val="28"/>
          <w:szCs w:val="28"/>
          <w:highlight w:val="none"/>
        </w:rPr>
        <w:t>本</w:t>
      </w:r>
      <w:r>
        <w:rPr>
          <w:rFonts w:ascii="宋体" w:hAnsi="宋体"/>
          <w:color w:val="auto"/>
          <w:sz w:val="28"/>
          <w:szCs w:val="28"/>
          <w:highlight w:val="none"/>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2"/>
        </w:numPr>
        <w:tabs>
          <w:tab w:val="left" w:pos="1134"/>
        </w:tabs>
        <w:spacing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不见面开标是指，区采购中心依托政府采购云平台组织开标活动，供应商在线参与开标的一种组织形式。</w:t>
      </w:r>
    </w:p>
    <w:p>
      <w:pPr>
        <w:keepNext/>
        <w:keepLines/>
        <w:numPr>
          <w:ilvl w:val="2"/>
          <w:numId w:val="11"/>
        </w:numPr>
        <w:spacing w:line="360" w:lineRule="auto"/>
        <w:ind w:left="3119" w:hanging="3119"/>
        <w:outlineLvl w:val="2"/>
        <w:rPr>
          <w:rFonts w:ascii="宋体" w:hAnsi="宋体"/>
          <w:b/>
          <w:bCs/>
          <w:color w:val="auto"/>
          <w:sz w:val="28"/>
          <w:szCs w:val="28"/>
          <w:highlight w:val="none"/>
        </w:rPr>
      </w:pPr>
      <w:bookmarkStart w:id="23" w:name="_Toc183682344"/>
      <w:bookmarkStart w:id="24" w:name="_Toc217390843"/>
      <w:bookmarkStart w:id="25" w:name="_Toc183582207"/>
      <w:bookmarkStart w:id="26" w:name="_Toc217446036"/>
      <w:r>
        <w:rPr>
          <w:rFonts w:hint="eastAsia" w:ascii="宋体" w:hAnsi="宋体"/>
          <w:b/>
          <w:bCs/>
          <w:color w:val="auto"/>
          <w:sz w:val="28"/>
          <w:szCs w:val="28"/>
          <w:highlight w:val="none"/>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合格的投标人应具备以下条件：</w:t>
      </w:r>
    </w:p>
    <w:p>
      <w:pPr>
        <w:numPr>
          <w:ilvl w:val="0"/>
          <w:numId w:val="13"/>
        </w:numPr>
        <w:tabs>
          <w:tab w:val="left" w:pos="1134"/>
        </w:tabs>
        <w:spacing w:line="360" w:lineRule="auto"/>
        <w:rPr>
          <w:rFonts w:ascii="宋体" w:hAnsi="宋体"/>
          <w:color w:val="auto"/>
          <w:sz w:val="28"/>
          <w:szCs w:val="28"/>
          <w:highlight w:val="none"/>
        </w:rPr>
      </w:pPr>
      <w:r>
        <w:rPr>
          <w:rFonts w:hint="eastAsia" w:ascii="宋体" w:hAnsi="宋体"/>
          <w:color w:val="auto"/>
          <w:sz w:val="28"/>
          <w:szCs w:val="28"/>
          <w:highlight w:val="none"/>
        </w:rPr>
        <w:t>本招标文件“投标邀请”第五条规定的条件；</w:t>
      </w:r>
    </w:p>
    <w:p>
      <w:pPr>
        <w:numPr>
          <w:ilvl w:val="0"/>
          <w:numId w:val="13"/>
        </w:numPr>
        <w:tabs>
          <w:tab w:val="left" w:pos="1134"/>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按照招标文件“投标邀请”中第六、七、八条规定获取了招标文件。</w:t>
      </w:r>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投标费用</w:t>
      </w:r>
    </w:p>
    <w:p>
      <w:pPr>
        <w:spacing w:line="360" w:lineRule="auto"/>
        <w:ind w:firstLine="660" w:firstLineChars="236"/>
        <w:rPr>
          <w:rFonts w:ascii="宋体" w:hAnsi="宋体"/>
          <w:color w:val="auto"/>
          <w:sz w:val="28"/>
          <w:szCs w:val="28"/>
          <w:highlight w:val="none"/>
        </w:rPr>
      </w:pPr>
      <w:r>
        <w:rPr>
          <w:rFonts w:hint="eastAsia" w:ascii="宋体" w:hAnsi="宋体"/>
          <w:color w:val="auto"/>
          <w:sz w:val="28"/>
          <w:szCs w:val="28"/>
          <w:highlight w:val="none"/>
        </w:rPr>
        <w:t>投标人应自行承担参加投标的全部费用。</w:t>
      </w:r>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充分、公平竞争保障措施</w:t>
      </w:r>
    </w:p>
    <w:p>
      <w:pPr>
        <w:numPr>
          <w:ilvl w:val="0"/>
          <w:numId w:val="14"/>
        </w:numPr>
        <w:tabs>
          <w:tab w:val="left" w:pos="1134"/>
        </w:tabs>
        <w:adjustRightInd w:val="0"/>
        <w:spacing w:line="560" w:lineRule="exact"/>
        <w:ind w:left="0" w:firstLine="567"/>
        <w:rPr>
          <w:rFonts w:hint="eastAsia" w:ascii="宋体" w:hAnsi="宋体"/>
          <w:color w:val="auto"/>
          <w:sz w:val="28"/>
          <w:szCs w:val="28"/>
          <w:highlight w:val="none"/>
        </w:rPr>
      </w:pPr>
      <w:r>
        <w:rPr>
          <w:rFonts w:hint="eastAsia" w:ascii="宋体" w:hAnsi="宋体"/>
          <w:color w:val="auto"/>
          <w:sz w:val="28"/>
          <w:szCs w:val="28"/>
          <w:highlight w:val="none"/>
        </w:rPr>
        <w:t>单位负责人为同一人或者存在直接控股、管理关系的不同供应商，不得同时参加同一项目的投标。</w:t>
      </w:r>
    </w:p>
    <w:p>
      <w:pPr>
        <w:numPr>
          <w:ilvl w:val="0"/>
          <w:numId w:val="14"/>
        </w:numPr>
        <w:tabs>
          <w:tab w:val="left" w:pos="1134"/>
        </w:tabs>
        <w:adjustRightInd w:val="0"/>
        <w:spacing w:line="560" w:lineRule="exact"/>
        <w:ind w:left="0" w:firstLine="567"/>
        <w:rPr>
          <w:rFonts w:ascii="宋体" w:hAnsi="宋体"/>
          <w:b/>
          <w:color w:val="auto"/>
          <w:sz w:val="28"/>
          <w:szCs w:val="28"/>
          <w:highlight w:val="none"/>
        </w:rPr>
      </w:pPr>
      <w:r>
        <w:rPr>
          <w:rFonts w:hint="eastAsia" w:ascii="宋体" w:hAnsi="宋体"/>
          <w:color w:val="auto"/>
          <w:sz w:val="28"/>
          <w:szCs w:val="28"/>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auto"/>
          <w:sz w:val="28"/>
          <w:szCs w:val="28"/>
          <w:highlight w:val="none"/>
        </w:rPr>
        <w:t>（说明：晨越建设项目管理集团股份有限公司为本项目提供整体设计、规范编制或者项目管理、监理、检测等服务。）</w:t>
      </w:r>
    </w:p>
    <w:p>
      <w:pPr>
        <w:keepNext/>
        <w:keepLines/>
        <w:numPr>
          <w:ilvl w:val="1"/>
          <w:numId w:val="11"/>
        </w:numPr>
        <w:spacing w:line="360" w:lineRule="auto"/>
        <w:jc w:val="left"/>
        <w:outlineLvl w:val="1"/>
        <w:rPr>
          <w:rFonts w:ascii="宋体" w:hAnsi="宋体"/>
          <w:b/>
          <w:bCs/>
          <w:color w:val="auto"/>
          <w:sz w:val="28"/>
          <w:szCs w:val="28"/>
          <w:highlight w:val="none"/>
        </w:rPr>
      </w:pPr>
      <w:bookmarkStart w:id="27" w:name="_Toc217446039"/>
      <w:bookmarkStart w:id="28" w:name="_Toc183582210"/>
      <w:bookmarkStart w:id="29" w:name="_Toc10048"/>
      <w:bookmarkStart w:id="30" w:name="_Toc183682347"/>
      <w:r>
        <w:rPr>
          <w:rFonts w:hint="eastAsia" w:ascii="宋体" w:hAnsi="宋体"/>
          <w:b/>
          <w:bCs/>
          <w:color w:val="auto"/>
          <w:sz w:val="28"/>
          <w:szCs w:val="28"/>
          <w:highlight w:val="none"/>
        </w:rPr>
        <w:t>招标文件</w:t>
      </w:r>
      <w:bookmarkEnd w:id="27"/>
      <w:bookmarkEnd w:id="28"/>
      <w:bookmarkEnd w:id="29"/>
      <w:bookmarkEnd w:id="30"/>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招标文件的构成</w:t>
      </w:r>
    </w:p>
    <w:p>
      <w:pPr>
        <w:numPr>
          <w:ilvl w:val="0"/>
          <w:numId w:val="15"/>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投标邀请；</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投标人须知；</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投标文件格式；</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招标项目技术、服务、商务及其他要求；</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资格性审查；</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评标办法；</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拟签订合同文本。</w:t>
      </w:r>
    </w:p>
    <w:p>
      <w:pPr>
        <w:numPr>
          <w:ilvl w:val="0"/>
          <w:numId w:val="15"/>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投标人应认真阅读和充分理解招标文件中所有的事项、格式条款和规范要求。投标人没有对招标文件全面做出实质性响应所产生的风险由投标人承担。</w:t>
      </w:r>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31" w:name="_Toc183582211"/>
      <w:bookmarkStart w:id="32" w:name="_Toc183682348"/>
      <w:bookmarkStart w:id="33" w:name="_Toc217446040"/>
      <w:r>
        <w:rPr>
          <w:rFonts w:hint="eastAsia" w:ascii="宋体" w:hAnsi="宋体"/>
          <w:b/>
          <w:bCs/>
          <w:color w:val="auto"/>
          <w:sz w:val="28"/>
          <w:szCs w:val="28"/>
          <w:highlight w:val="none"/>
        </w:rPr>
        <w:t>招标文件的澄清</w:t>
      </w:r>
      <w:bookmarkEnd w:id="31"/>
      <w:bookmarkEnd w:id="32"/>
      <w:r>
        <w:rPr>
          <w:rFonts w:hint="eastAsia" w:ascii="宋体" w:hAnsi="宋体"/>
          <w:b/>
          <w:bCs/>
          <w:color w:val="auto"/>
          <w:sz w:val="28"/>
          <w:szCs w:val="28"/>
          <w:highlight w:val="none"/>
        </w:rPr>
        <w:t>和修改</w:t>
      </w:r>
      <w:bookmarkEnd w:id="33"/>
      <w:bookmarkStart w:id="34" w:name="_Toc217446042"/>
      <w:bookmarkStart w:id="35" w:name="_Toc89075876"/>
      <w:bookmarkStart w:id="36" w:name="_Toc183582214"/>
      <w:bookmarkStart w:id="37" w:name="_Toc183682351"/>
      <w:bookmarkStart w:id="38" w:name="_Toc77400780"/>
    </w:p>
    <w:p>
      <w:pPr>
        <w:numPr>
          <w:ilvl w:val="0"/>
          <w:numId w:val="17"/>
        </w:numPr>
        <w:tabs>
          <w:tab w:val="left" w:pos="142"/>
          <w:tab w:val="left" w:pos="1134"/>
        </w:tabs>
        <w:spacing w:after="200"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在投标截止时间前，采购人或者</w:t>
      </w:r>
      <w:r>
        <w:rPr>
          <w:rFonts w:hint="eastAsia" w:cs="Arial"/>
          <w:color w:val="auto"/>
          <w:sz w:val="28"/>
          <w:szCs w:val="28"/>
          <w:highlight w:val="none"/>
        </w:rPr>
        <w:t>区采购中心</w:t>
      </w:r>
      <w:r>
        <w:rPr>
          <w:rFonts w:hint="eastAsia" w:ascii="宋体" w:hAnsi="宋体"/>
          <w:color w:val="auto"/>
          <w:sz w:val="28"/>
          <w:szCs w:val="28"/>
          <w:highlight w:val="none"/>
        </w:rPr>
        <w:t>可以对已发出的招标文件进行必要的澄清或者修改。</w:t>
      </w:r>
    </w:p>
    <w:p>
      <w:pPr>
        <w:numPr>
          <w:ilvl w:val="0"/>
          <w:numId w:val="17"/>
        </w:numPr>
        <w:spacing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澄清或者修改的内容，区采购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7"/>
        </w:numPr>
        <w:tabs>
          <w:tab w:val="left" w:pos="142"/>
          <w:tab w:val="left" w:pos="1134"/>
        </w:tabs>
        <w:spacing w:after="200"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澄清或者修改的内容可能影响投标文件编制的，区采购中心应当在投标截止时间至少15日前，通过政府采购云平台通知所有已获取招标文件的潜在投标人；不足15日的，采购人或区采购中心应当顺延提交投标文件的截止时间。</w:t>
      </w:r>
    </w:p>
    <w:p>
      <w:pPr>
        <w:keepNext/>
        <w:keepLines/>
        <w:numPr>
          <w:ilvl w:val="1"/>
          <w:numId w:val="11"/>
        </w:numPr>
        <w:spacing w:line="360" w:lineRule="auto"/>
        <w:jc w:val="left"/>
        <w:outlineLvl w:val="1"/>
        <w:rPr>
          <w:rFonts w:ascii="宋体" w:hAnsi="宋体"/>
          <w:b/>
          <w:bCs/>
          <w:color w:val="auto"/>
          <w:sz w:val="28"/>
          <w:szCs w:val="28"/>
          <w:highlight w:val="none"/>
        </w:rPr>
      </w:pPr>
      <w:bookmarkStart w:id="39" w:name="_Toc15078"/>
      <w:r>
        <w:rPr>
          <w:rFonts w:hint="eastAsia" w:ascii="宋体" w:hAnsi="宋体"/>
          <w:b/>
          <w:bCs/>
          <w:color w:val="auto"/>
          <w:sz w:val="28"/>
          <w:szCs w:val="28"/>
          <w:highlight w:val="none"/>
        </w:rPr>
        <w:t>投标文件</w:t>
      </w:r>
      <w:bookmarkEnd w:id="34"/>
      <w:bookmarkEnd w:id="35"/>
      <w:bookmarkEnd w:id="36"/>
      <w:bookmarkEnd w:id="37"/>
      <w:bookmarkEnd w:id="38"/>
      <w:bookmarkEnd w:id="39"/>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40" w:name="_Toc217446043"/>
      <w:bookmarkStart w:id="41" w:name="_Toc183682352"/>
      <w:bookmarkStart w:id="42" w:name="_Toc183582215"/>
      <w:r>
        <w:rPr>
          <w:rFonts w:hint="eastAsia" w:ascii="宋体" w:hAnsi="宋体"/>
          <w:b/>
          <w:bCs/>
          <w:color w:val="auto"/>
          <w:sz w:val="28"/>
          <w:szCs w:val="28"/>
          <w:highlight w:val="none"/>
        </w:rPr>
        <w:t>投标文件的语言</w:t>
      </w:r>
      <w:bookmarkEnd w:id="40"/>
      <w:bookmarkEnd w:id="41"/>
      <w:bookmarkEnd w:id="42"/>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w:t>
      </w:r>
      <w:r>
        <w:rPr>
          <w:rFonts w:ascii="宋体" w:hAnsi="宋体"/>
          <w:color w:val="auto"/>
          <w:sz w:val="28"/>
          <w:szCs w:val="28"/>
          <w:highlight w:val="none"/>
        </w:rPr>
        <w:t>、</w:t>
      </w:r>
      <w:r>
        <w:rPr>
          <w:rFonts w:hint="eastAsia" w:ascii="宋体" w:hAnsi="宋体"/>
          <w:color w:val="auto"/>
          <w:sz w:val="28"/>
          <w:szCs w:val="28"/>
          <w:highlight w:val="none"/>
        </w:rPr>
        <w:t>投标人提交的投标文件以及投标人与采购人或</w:t>
      </w:r>
      <w:r>
        <w:rPr>
          <w:rFonts w:hint="eastAsia" w:cs="Arial"/>
          <w:color w:val="auto"/>
          <w:sz w:val="28"/>
          <w:szCs w:val="28"/>
          <w:highlight w:val="none"/>
        </w:rPr>
        <w:t>区采购中心</w:t>
      </w:r>
      <w:r>
        <w:rPr>
          <w:rFonts w:hint="eastAsia" w:ascii="宋体" w:hAnsi="宋体"/>
          <w:color w:val="auto"/>
          <w:sz w:val="28"/>
          <w:szCs w:val="28"/>
          <w:highlight w:val="none"/>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w:t>
      </w:r>
      <w:r>
        <w:rPr>
          <w:rFonts w:ascii="宋体" w:hAnsi="宋体"/>
          <w:color w:val="auto"/>
          <w:sz w:val="28"/>
          <w:szCs w:val="28"/>
          <w:highlight w:val="none"/>
        </w:rPr>
        <w:t>、</w:t>
      </w:r>
      <w:r>
        <w:rPr>
          <w:rFonts w:hint="eastAsia" w:ascii="宋体" w:hAnsi="宋体"/>
          <w:color w:val="auto"/>
          <w:sz w:val="28"/>
          <w:szCs w:val="28"/>
          <w:highlight w:val="none"/>
        </w:rPr>
        <w:t>翻译的中文资料与外文资料如果出现差异和矛盾时，以中文为准。涉嫌提供虚假材料的按照相关法律法规处理。</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三、如因未翻译而造成对供应商的不利后果，由供应商承担。</w:t>
      </w:r>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43" w:name="_Toc217446044"/>
      <w:bookmarkStart w:id="44" w:name="_Toc183582216"/>
      <w:bookmarkStart w:id="45" w:name="_Toc183682353"/>
      <w:r>
        <w:rPr>
          <w:rFonts w:hint="eastAsia" w:ascii="宋体" w:hAnsi="宋体"/>
          <w:b/>
          <w:bCs/>
          <w:color w:val="auto"/>
          <w:sz w:val="28"/>
          <w:szCs w:val="28"/>
          <w:highlight w:val="none"/>
        </w:rPr>
        <w:t>计量单位</w:t>
      </w:r>
      <w:bookmarkEnd w:id="43"/>
      <w:bookmarkEnd w:id="44"/>
      <w:bookmarkEnd w:id="45"/>
    </w:p>
    <w:p>
      <w:pPr>
        <w:tabs>
          <w:tab w:val="left" w:pos="7665"/>
        </w:tabs>
        <w:spacing w:line="360" w:lineRule="auto"/>
        <w:ind w:left="13" w:firstLine="554"/>
        <w:rPr>
          <w:rFonts w:ascii="宋体" w:hAnsi="宋体"/>
          <w:color w:val="auto"/>
          <w:sz w:val="28"/>
          <w:szCs w:val="28"/>
          <w:highlight w:val="none"/>
        </w:rPr>
      </w:pPr>
      <w:r>
        <w:rPr>
          <w:rFonts w:hint="eastAsia" w:ascii="宋体" w:hAnsi="宋体"/>
          <w:color w:val="auto"/>
          <w:sz w:val="28"/>
          <w:szCs w:val="28"/>
          <w:highlight w:val="none"/>
        </w:rPr>
        <w:t>除招标文件中另有规定外，本次采购项目所有合同项下的投标均采用国家法定的计量单位。</w:t>
      </w:r>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46" w:name="_Toc217446045"/>
      <w:r>
        <w:rPr>
          <w:rFonts w:hint="eastAsia" w:ascii="宋体" w:hAnsi="宋体"/>
          <w:b/>
          <w:bCs/>
          <w:color w:val="auto"/>
          <w:sz w:val="28"/>
          <w:szCs w:val="28"/>
          <w:highlight w:val="none"/>
        </w:rPr>
        <w:t>投标货币</w:t>
      </w:r>
      <w:bookmarkEnd w:id="46"/>
    </w:p>
    <w:p>
      <w:pPr>
        <w:tabs>
          <w:tab w:val="left" w:pos="7665"/>
        </w:tabs>
        <w:spacing w:line="360" w:lineRule="auto"/>
        <w:ind w:left="13" w:firstLine="554"/>
        <w:rPr>
          <w:rFonts w:ascii="宋体" w:hAnsi="宋体"/>
          <w:color w:val="auto"/>
          <w:sz w:val="28"/>
          <w:szCs w:val="28"/>
          <w:highlight w:val="none"/>
        </w:rPr>
      </w:pPr>
      <w:r>
        <w:rPr>
          <w:rFonts w:hint="eastAsia" w:ascii="宋体" w:hAnsi="宋体"/>
          <w:color w:val="auto"/>
          <w:sz w:val="28"/>
          <w:szCs w:val="28"/>
          <w:highlight w:val="none"/>
        </w:rPr>
        <w:t>本次招标项目的投标均以人民币报价。</w:t>
      </w:r>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47" w:name="_Toc217446046"/>
      <w:r>
        <w:rPr>
          <w:rFonts w:hint="eastAsia" w:ascii="宋体" w:hAnsi="宋体"/>
          <w:b/>
          <w:bCs/>
          <w:color w:val="auto"/>
          <w:sz w:val="28"/>
          <w:szCs w:val="28"/>
          <w:highlight w:val="none"/>
        </w:rPr>
        <w:t>联合体投标</w:t>
      </w:r>
      <w:bookmarkEnd w:id="47"/>
    </w:p>
    <w:p>
      <w:pPr>
        <w:tabs>
          <w:tab w:val="left" w:pos="1134"/>
        </w:tabs>
        <w:spacing w:line="360" w:lineRule="auto"/>
        <w:ind w:left="546"/>
        <w:rPr>
          <w:rFonts w:ascii="宋体" w:hAnsi="宋体"/>
          <w:color w:val="auto"/>
          <w:sz w:val="28"/>
          <w:szCs w:val="28"/>
          <w:highlight w:val="none"/>
        </w:rPr>
      </w:pPr>
      <w:r>
        <w:rPr>
          <w:rFonts w:hint="eastAsia" w:ascii="宋体" w:hAnsi="宋体"/>
          <w:color w:val="auto"/>
          <w:sz w:val="28"/>
          <w:szCs w:val="28"/>
          <w:highlight w:val="none"/>
        </w:rPr>
        <w:t>本次政府采购活动</w:t>
      </w:r>
      <w:r>
        <w:rPr>
          <w:rFonts w:hint="eastAsia" w:ascii="宋体" w:hAnsi="宋体"/>
          <w:b/>
          <w:color w:val="auto"/>
          <w:sz w:val="28"/>
          <w:szCs w:val="28"/>
          <w:highlight w:val="none"/>
        </w:rPr>
        <w:t>不接受</w:t>
      </w:r>
      <w:r>
        <w:rPr>
          <w:rFonts w:hint="eastAsia" w:ascii="宋体" w:hAnsi="宋体"/>
          <w:color w:val="auto"/>
          <w:sz w:val="28"/>
          <w:szCs w:val="28"/>
          <w:highlight w:val="none"/>
        </w:rPr>
        <w:t>联合体投标。</w:t>
      </w:r>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48" w:name="_Toc217446047"/>
      <w:r>
        <w:rPr>
          <w:rFonts w:hint="eastAsia" w:ascii="宋体" w:hAnsi="宋体"/>
          <w:b/>
          <w:bCs/>
          <w:color w:val="auto"/>
          <w:sz w:val="28"/>
          <w:szCs w:val="28"/>
          <w:highlight w:val="none"/>
        </w:rPr>
        <w:t>知识产权</w:t>
      </w:r>
      <w:bookmarkEnd w:id="48"/>
    </w:p>
    <w:p>
      <w:pPr>
        <w:pStyle w:val="131"/>
        <w:spacing w:line="360" w:lineRule="auto"/>
        <w:ind w:firstLine="560" w:firstLineChars="200"/>
        <w:jc w:val="both"/>
        <w:rPr>
          <w:rFonts w:cs="Times New Roman"/>
          <w:color w:val="auto"/>
          <w:kern w:val="2"/>
          <w:sz w:val="28"/>
          <w:szCs w:val="28"/>
          <w:highlight w:val="none"/>
        </w:rPr>
      </w:pPr>
      <w:r>
        <w:rPr>
          <w:rFonts w:hint="eastAsia" w:cs="Times New Roman"/>
          <w:color w:val="auto"/>
          <w:kern w:val="2"/>
          <w:sz w:val="28"/>
          <w:szCs w:val="28"/>
          <w:highlight w:val="none"/>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rFonts w:ascii="宋体" w:hAnsi="宋体"/>
          <w:color w:val="auto"/>
          <w:sz w:val="28"/>
          <w:szCs w:val="28"/>
          <w:highlight w:val="none"/>
        </w:rPr>
      </w:pPr>
      <w:r>
        <w:rPr>
          <w:rFonts w:hint="eastAsia"/>
          <w:color w:val="auto"/>
          <w:sz w:val="28"/>
          <w:szCs w:val="28"/>
          <w:highlight w:val="none"/>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r>
        <w:rPr>
          <w:rFonts w:hint="eastAsia" w:ascii="宋体" w:hAnsi="宋体"/>
          <w:color w:val="auto"/>
          <w:sz w:val="28"/>
          <w:szCs w:val="28"/>
          <w:highlight w:val="none"/>
        </w:rPr>
        <w:t>三</w:t>
      </w:r>
      <w:r>
        <w:rPr>
          <w:rFonts w:ascii="宋体" w:hAnsi="宋体"/>
          <w:color w:val="auto"/>
          <w:sz w:val="28"/>
          <w:szCs w:val="28"/>
          <w:highlight w:val="none"/>
        </w:rPr>
        <w:t>、</w:t>
      </w:r>
      <w:r>
        <w:rPr>
          <w:rFonts w:hint="eastAsia" w:ascii="宋体" w:hAnsi="宋体"/>
          <w:color w:val="auto"/>
          <w:sz w:val="28"/>
          <w:szCs w:val="28"/>
          <w:highlight w:val="none"/>
        </w:rPr>
        <w:t>如采用投标人所不拥有的知识产权，则在投标报价中必须包括合法获取该知识产权的相关费用。</w:t>
      </w:r>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49" w:name="_Toc183682354"/>
      <w:bookmarkStart w:id="50" w:name="_Toc217446048"/>
      <w:bookmarkStart w:id="51" w:name="_Toc183582217"/>
      <w:r>
        <w:rPr>
          <w:rFonts w:hint="eastAsia" w:ascii="宋体" w:hAnsi="宋体"/>
          <w:b/>
          <w:bCs/>
          <w:color w:val="auto"/>
          <w:sz w:val="28"/>
          <w:szCs w:val="28"/>
          <w:highlight w:val="none"/>
        </w:rPr>
        <w:t>投标文件的组成</w:t>
      </w:r>
      <w:bookmarkEnd w:id="49"/>
      <w:bookmarkEnd w:id="50"/>
      <w:bookmarkEnd w:id="51"/>
    </w:p>
    <w:p>
      <w:pPr>
        <w:spacing w:line="360" w:lineRule="auto"/>
        <w:ind w:firstLine="548" w:firstLineChars="196"/>
        <w:rPr>
          <w:rFonts w:ascii="宋体" w:hAnsi="宋体"/>
          <w:color w:val="auto"/>
          <w:sz w:val="28"/>
          <w:szCs w:val="28"/>
          <w:highlight w:val="none"/>
        </w:rPr>
      </w:pPr>
      <w:r>
        <w:rPr>
          <w:rFonts w:hint="eastAsia" w:ascii="宋体" w:hAnsi="宋体"/>
          <w:color w:val="auto"/>
          <w:sz w:val="28"/>
          <w:szCs w:val="28"/>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pStyle w:val="8"/>
        <w:ind w:hanging="2410"/>
        <w:rPr>
          <w:color w:val="auto"/>
          <w:highlight w:val="none"/>
        </w:rPr>
      </w:pPr>
      <w:r>
        <w:rPr>
          <w:rFonts w:hint="eastAsia"/>
          <w:color w:val="auto"/>
          <w:highlight w:val="none"/>
        </w:rPr>
        <w:t>资格响应文件</w:t>
      </w:r>
    </w:p>
    <w:p>
      <w:pPr>
        <w:pStyle w:val="161"/>
        <w:numPr>
          <w:ilvl w:val="0"/>
          <w:numId w:val="18"/>
        </w:numPr>
        <w:tabs>
          <w:tab w:val="left" w:pos="993"/>
        </w:tabs>
        <w:spacing w:after="200" w:line="360" w:lineRule="auto"/>
        <w:ind w:left="0" w:firstLine="420"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关于投标人资格申明的函；</w:t>
      </w:r>
    </w:p>
    <w:p>
      <w:pPr>
        <w:pStyle w:val="161"/>
        <w:numPr>
          <w:ilvl w:val="0"/>
          <w:numId w:val="18"/>
        </w:numPr>
        <w:tabs>
          <w:tab w:val="left" w:pos="993"/>
        </w:tabs>
        <w:spacing w:after="200" w:line="360" w:lineRule="auto"/>
        <w:ind w:left="0" w:firstLine="420"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声明；</w:t>
      </w:r>
    </w:p>
    <w:p>
      <w:pPr>
        <w:pStyle w:val="161"/>
        <w:numPr>
          <w:ilvl w:val="0"/>
          <w:numId w:val="18"/>
        </w:numPr>
        <w:tabs>
          <w:tab w:val="left" w:pos="993"/>
        </w:tabs>
        <w:spacing w:after="200" w:line="360" w:lineRule="auto"/>
        <w:ind w:left="0" w:firstLine="420"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投标人应提交的相关资格证明材料：</w:t>
      </w:r>
    </w:p>
    <w:p>
      <w:pPr>
        <w:pStyle w:val="161"/>
        <w:numPr>
          <w:ilvl w:val="0"/>
          <w:numId w:val="19"/>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营业执照复印件（正本或副本）或法人证书复印件（正本或副本）</w:t>
      </w:r>
      <w:r>
        <w:rPr>
          <w:rFonts w:hint="eastAsia" w:ascii="宋体" w:hAnsi="宋体"/>
          <w:b/>
          <w:color w:val="auto"/>
          <w:sz w:val="28"/>
          <w:szCs w:val="28"/>
          <w:highlight w:val="none"/>
        </w:rPr>
        <w:t>或其他能够证明</w:t>
      </w:r>
      <w:r>
        <w:rPr>
          <w:rFonts w:ascii="宋体" w:hAnsi="宋体"/>
          <w:b/>
          <w:color w:val="auto"/>
          <w:sz w:val="28"/>
          <w:szCs w:val="28"/>
          <w:highlight w:val="none"/>
        </w:rPr>
        <w:t>供应商具有独立承担民事责任能力的</w:t>
      </w:r>
      <w:r>
        <w:rPr>
          <w:rFonts w:hint="eastAsia" w:ascii="宋体" w:hAnsi="宋体"/>
          <w:b/>
          <w:color w:val="auto"/>
          <w:sz w:val="28"/>
          <w:szCs w:val="28"/>
          <w:highlight w:val="none"/>
        </w:rPr>
        <w:t>相关证明材料复印件</w:t>
      </w:r>
      <w:r>
        <w:rPr>
          <w:rFonts w:hint="eastAsia" w:ascii="宋体" w:hAnsi="宋体"/>
          <w:b/>
          <w:bCs/>
          <w:color w:val="auto"/>
          <w:kern w:val="0"/>
          <w:sz w:val="28"/>
          <w:szCs w:val="28"/>
          <w:highlight w:val="none"/>
        </w:rPr>
        <w:t>；</w:t>
      </w:r>
    </w:p>
    <w:p>
      <w:pPr>
        <w:pStyle w:val="161"/>
        <w:numPr>
          <w:ilvl w:val="0"/>
          <w:numId w:val="19"/>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采购人对投标人履行合同所必须的设备和专业技术能力无其他特殊要求，投标人可不提供证明材料；</w:t>
      </w:r>
    </w:p>
    <w:p>
      <w:pPr>
        <w:pStyle w:val="161"/>
        <w:numPr>
          <w:ilvl w:val="0"/>
          <w:numId w:val="19"/>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采购人对法律、行政法规规定的其他条件无其他特殊要求，投标人可不提供证明材料。</w:t>
      </w:r>
    </w:p>
    <w:p>
      <w:pPr>
        <w:pStyle w:val="8"/>
        <w:ind w:hanging="2410"/>
        <w:rPr>
          <w:color w:val="auto"/>
          <w:highlight w:val="none"/>
        </w:rPr>
      </w:pPr>
      <w:r>
        <w:rPr>
          <w:rFonts w:hint="eastAsia"/>
          <w:color w:val="auto"/>
          <w:highlight w:val="none"/>
        </w:rPr>
        <w:t>商务技术响应文件</w:t>
      </w:r>
    </w:p>
    <w:p>
      <w:pPr>
        <w:numPr>
          <w:ilvl w:val="0"/>
          <w:numId w:val="20"/>
        </w:numPr>
        <w:tabs>
          <w:tab w:val="left" w:pos="1134"/>
        </w:tabs>
        <w:spacing w:line="360" w:lineRule="auto"/>
        <w:ind w:left="0" w:firstLine="567"/>
        <w:jc w:val="left"/>
        <w:rPr>
          <w:rFonts w:hint="eastAsia" w:ascii="宋体" w:hAnsi="宋体"/>
          <w:b/>
          <w:color w:val="auto"/>
          <w:sz w:val="28"/>
          <w:szCs w:val="28"/>
          <w:highlight w:val="none"/>
        </w:rPr>
      </w:pPr>
      <w:r>
        <w:rPr>
          <w:rFonts w:hint="eastAsia" w:ascii="宋体" w:hAnsi="宋体"/>
          <w:b/>
          <w:color w:val="auto"/>
          <w:sz w:val="28"/>
          <w:szCs w:val="28"/>
          <w:highlight w:val="none"/>
        </w:rPr>
        <w:t>投标函；</w:t>
      </w:r>
    </w:p>
    <w:p>
      <w:pPr>
        <w:numPr>
          <w:ilvl w:val="0"/>
          <w:numId w:val="20"/>
        </w:numPr>
        <w:tabs>
          <w:tab w:val="left" w:pos="1134"/>
        </w:tabs>
        <w:spacing w:line="360" w:lineRule="auto"/>
        <w:ind w:left="0" w:firstLine="567"/>
        <w:jc w:val="left"/>
        <w:rPr>
          <w:rFonts w:hint="eastAsia" w:ascii="宋体" w:hAnsi="宋体"/>
          <w:b/>
          <w:color w:val="auto"/>
          <w:sz w:val="28"/>
          <w:szCs w:val="28"/>
          <w:highlight w:val="none"/>
        </w:rPr>
      </w:pPr>
      <w:r>
        <w:rPr>
          <w:rFonts w:hint="eastAsia" w:ascii="宋体" w:hAnsi="宋体"/>
          <w:b/>
          <w:color w:val="auto"/>
          <w:sz w:val="28"/>
          <w:szCs w:val="28"/>
          <w:highlight w:val="none"/>
        </w:rPr>
        <w:t>法定代表人或主要负责人身份证明书（说明：</w:t>
      </w:r>
      <w:r>
        <w:rPr>
          <w:rFonts w:hint="eastAsia" w:ascii="宋体" w:hAnsi="宋体"/>
          <w:b/>
          <w:color w:val="auto"/>
          <w:sz w:val="28"/>
          <w:szCs w:val="28"/>
          <w:highlight w:val="none"/>
          <w:lang w:val="zh-CN"/>
        </w:rPr>
        <w:t>主要负责人为供应商提供的其具有独立承担民事责任能力的证明材料中的主要负责人员</w:t>
      </w:r>
      <w:r>
        <w:rPr>
          <w:rFonts w:hint="eastAsia" w:ascii="宋体" w:hAnsi="宋体"/>
          <w:b/>
          <w:color w:val="auto"/>
          <w:sz w:val="28"/>
          <w:szCs w:val="28"/>
          <w:highlight w:val="none"/>
        </w:rPr>
        <w:t>。）</w:t>
      </w:r>
      <w:r>
        <w:rPr>
          <w:rFonts w:hint="eastAsia" w:ascii="宋体" w:hAnsi="宋体"/>
          <w:b/>
          <w:color w:val="auto"/>
          <w:sz w:val="28"/>
          <w:szCs w:val="28"/>
          <w:highlight w:val="none"/>
          <w:lang w:eastAsia="zh-CN"/>
        </w:rPr>
        <w:t>；</w:t>
      </w:r>
    </w:p>
    <w:p>
      <w:pPr>
        <w:numPr>
          <w:ilvl w:val="0"/>
          <w:numId w:val="20"/>
        </w:numPr>
        <w:tabs>
          <w:tab w:val="left" w:pos="1134"/>
        </w:tabs>
        <w:spacing w:line="360" w:lineRule="auto"/>
        <w:ind w:left="0" w:firstLine="567"/>
        <w:jc w:val="left"/>
        <w:rPr>
          <w:rFonts w:hint="eastAsia" w:ascii="宋体" w:hAnsi="宋体"/>
          <w:b/>
          <w:color w:val="auto"/>
          <w:sz w:val="28"/>
          <w:szCs w:val="28"/>
          <w:highlight w:val="none"/>
        </w:rPr>
      </w:pPr>
      <w:r>
        <w:rPr>
          <w:rFonts w:hint="eastAsia" w:ascii="宋体" w:hAnsi="宋体"/>
          <w:b/>
          <w:color w:val="auto"/>
          <w:sz w:val="28"/>
          <w:szCs w:val="28"/>
          <w:highlight w:val="none"/>
        </w:rPr>
        <w:t>中小企业申明函；</w:t>
      </w:r>
    </w:p>
    <w:p>
      <w:pPr>
        <w:numPr>
          <w:ilvl w:val="0"/>
          <w:numId w:val="20"/>
        </w:numPr>
        <w:tabs>
          <w:tab w:val="left" w:pos="1134"/>
        </w:tabs>
        <w:spacing w:line="360" w:lineRule="auto"/>
        <w:ind w:left="0" w:firstLine="567"/>
        <w:jc w:val="left"/>
        <w:rPr>
          <w:rFonts w:hint="eastAsia" w:ascii="宋体" w:hAnsi="宋体"/>
          <w:b/>
          <w:color w:val="auto"/>
          <w:sz w:val="28"/>
          <w:szCs w:val="28"/>
          <w:highlight w:val="none"/>
        </w:rPr>
      </w:pPr>
      <w:r>
        <w:rPr>
          <w:rFonts w:hint="eastAsia" w:ascii="宋体" w:hAnsi="宋体"/>
          <w:b/>
          <w:color w:val="auto"/>
          <w:sz w:val="28"/>
          <w:szCs w:val="28"/>
          <w:highlight w:val="none"/>
        </w:rPr>
        <w:t>残疾人福利性单位声明函；</w:t>
      </w:r>
    </w:p>
    <w:p>
      <w:pPr>
        <w:numPr>
          <w:ilvl w:val="0"/>
          <w:numId w:val="20"/>
        </w:numPr>
        <w:tabs>
          <w:tab w:val="left" w:pos="1134"/>
        </w:tabs>
        <w:spacing w:line="360" w:lineRule="auto"/>
        <w:ind w:left="0" w:firstLine="567"/>
        <w:jc w:val="left"/>
        <w:rPr>
          <w:rFonts w:hint="eastAsia" w:ascii="宋体" w:hAnsi="宋体"/>
          <w:b/>
          <w:color w:val="auto"/>
          <w:sz w:val="28"/>
          <w:szCs w:val="28"/>
          <w:highlight w:val="none"/>
        </w:rPr>
      </w:pPr>
      <w:r>
        <w:rPr>
          <w:rFonts w:hint="eastAsia" w:ascii="宋体" w:hAnsi="宋体"/>
          <w:b/>
          <w:color w:val="auto"/>
          <w:sz w:val="28"/>
          <w:szCs w:val="28"/>
          <w:highlight w:val="none"/>
        </w:rPr>
        <w:t>投标人基本情况表；</w:t>
      </w:r>
    </w:p>
    <w:p>
      <w:pPr>
        <w:numPr>
          <w:ilvl w:val="0"/>
          <w:numId w:val="20"/>
        </w:numPr>
        <w:tabs>
          <w:tab w:val="left" w:pos="1134"/>
        </w:tabs>
        <w:spacing w:line="360" w:lineRule="auto"/>
        <w:ind w:left="0" w:firstLine="567"/>
        <w:jc w:val="left"/>
        <w:rPr>
          <w:rFonts w:hint="eastAsia" w:ascii="宋体" w:hAnsi="宋体"/>
          <w:b/>
          <w:color w:val="auto"/>
          <w:sz w:val="28"/>
          <w:szCs w:val="28"/>
          <w:highlight w:val="none"/>
        </w:rPr>
      </w:pPr>
      <w:r>
        <w:rPr>
          <w:rFonts w:hint="eastAsia" w:ascii="宋体" w:hAnsi="宋体"/>
          <w:b/>
          <w:color w:val="auto"/>
          <w:sz w:val="28"/>
          <w:szCs w:val="28"/>
          <w:highlight w:val="none"/>
        </w:rPr>
        <w:t>服务方案及服务承诺；</w:t>
      </w:r>
    </w:p>
    <w:p>
      <w:pPr>
        <w:numPr>
          <w:ilvl w:val="0"/>
          <w:numId w:val="20"/>
        </w:numPr>
        <w:tabs>
          <w:tab w:val="left" w:pos="1134"/>
        </w:tabs>
        <w:spacing w:line="360" w:lineRule="auto"/>
        <w:ind w:left="0" w:firstLine="567"/>
        <w:jc w:val="left"/>
        <w:rPr>
          <w:rFonts w:hint="eastAsia" w:ascii="宋体" w:hAnsi="宋体"/>
          <w:b/>
          <w:color w:val="auto"/>
          <w:sz w:val="28"/>
          <w:szCs w:val="28"/>
          <w:highlight w:val="none"/>
        </w:rPr>
      </w:pPr>
      <w:r>
        <w:rPr>
          <w:rFonts w:hint="eastAsia" w:ascii="宋体" w:hAnsi="宋体"/>
          <w:b/>
          <w:color w:val="auto"/>
          <w:sz w:val="28"/>
          <w:szCs w:val="28"/>
          <w:highlight w:val="none"/>
        </w:rPr>
        <w:t>承诺函。</w:t>
      </w:r>
    </w:p>
    <w:p>
      <w:pPr>
        <w:pStyle w:val="8"/>
        <w:ind w:hanging="2410"/>
        <w:rPr>
          <w:color w:val="auto"/>
          <w:highlight w:val="none"/>
        </w:rPr>
      </w:pPr>
      <w:r>
        <w:rPr>
          <w:rFonts w:hint="eastAsia"/>
          <w:color w:val="auto"/>
          <w:highlight w:val="none"/>
        </w:rPr>
        <w:t>报价要求响应文件</w:t>
      </w:r>
    </w:p>
    <w:p>
      <w:pPr>
        <w:numPr>
          <w:ilvl w:val="0"/>
          <w:numId w:val="21"/>
        </w:numPr>
        <w:tabs>
          <w:tab w:val="left" w:pos="1134"/>
        </w:tabs>
        <w:spacing w:line="360" w:lineRule="auto"/>
        <w:ind w:left="0" w:firstLine="567"/>
        <w:jc w:val="left"/>
        <w:rPr>
          <w:rFonts w:ascii="宋体" w:hAnsi="宋体"/>
          <w:b/>
          <w:color w:val="auto"/>
          <w:sz w:val="28"/>
          <w:szCs w:val="28"/>
          <w:highlight w:val="none"/>
        </w:rPr>
      </w:pPr>
      <w:r>
        <w:rPr>
          <w:rFonts w:hint="eastAsia" w:ascii="宋体" w:hAnsi="宋体"/>
          <w:b/>
          <w:color w:val="auto"/>
          <w:sz w:val="28"/>
          <w:szCs w:val="28"/>
          <w:highlight w:val="none"/>
        </w:rPr>
        <w:t>开标一览表；</w:t>
      </w:r>
    </w:p>
    <w:p>
      <w:pPr>
        <w:numPr>
          <w:ilvl w:val="0"/>
          <w:numId w:val="21"/>
        </w:numPr>
        <w:tabs>
          <w:tab w:val="left" w:pos="1134"/>
        </w:tabs>
        <w:spacing w:line="360" w:lineRule="auto"/>
        <w:ind w:left="0" w:firstLine="567"/>
        <w:jc w:val="left"/>
        <w:rPr>
          <w:rFonts w:ascii="宋体" w:hAnsi="宋体"/>
          <w:b/>
          <w:color w:val="auto"/>
          <w:sz w:val="28"/>
          <w:szCs w:val="28"/>
          <w:highlight w:val="none"/>
        </w:rPr>
      </w:pPr>
      <w:r>
        <w:rPr>
          <w:rFonts w:hint="eastAsia" w:ascii="宋体" w:hAnsi="宋体"/>
          <w:b/>
          <w:color w:val="auto"/>
          <w:sz w:val="28"/>
          <w:szCs w:val="28"/>
          <w:highlight w:val="none"/>
        </w:rPr>
        <w:t>分项报价明细表。</w:t>
      </w:r>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52" w:name="_Toc316291396"/>
      <w:bookmarkEnd w:id="52"/>
      <w:bookmarkStart w:id="53" w:name="_Toc316291395"/>
      <w:bookmarkEnd w:id="53"/>
      <w:bookmarkStart w:id="54" w:name="_Toc316292020"/>
      <w:bookmarkEnd w:id="54"/>
      <w:bookmarkStart w:id="55" w:name="_Toc316292019"/>
      <w:bookmarkEnd w:id="55"/>
      <w:bookmarkStart w:id="56" w:name="_Toc217446049"/>
      <w:bookmarkStart w:id="57" w:name="_Toc183582218"/>
      <w:bookmarkStart w:id="58" w:name="_Toc183682355"/>
      <w:r>
        <w:rPr>
          <w:rFonts w:hint="eastAsia" w:ascii="宋体" w:hAnsi="宋体"/>
          <w:b/>
          <w:bCs/>
          <w:color w:val="auto"/>
          <w:sz w:val="28"/>
          <w:szCs w:val="28"/>
          <w:highlight w:val="none"/>
        </w:rPr>
        <w:t>投标文件格式</w:t>
      </w:r>
      <w:bookmarkEnd w:id="56"/>
      <w:bookmarkEnd w:id="57"/>
      <w:bookmarkEnd w:id="58"/>
      <w:r>
        <w:rPr>
          <w:rFonts w:hint="eastAsia" w:ascii="宋体" w:hAnsi="宋体"/>
          <w:b/>
          <w:bCs/>
          <w:color w:val="auto"/>
          <w:sz w:val="28"/>
          <w:szCs w:val="28"/>
          <w:highlight w:val="none"/>
        </w:rPr>
        <w:tab/>
      </w:r>
    </w:p>
    <w:p>
      <w:pPr>
        <w:numPr>
          <w:ilvl w:val="0"/>
          <w:numId w:val="2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对于没有格式要求的投标文件由投标人自行编写。</w:t>
      </w:r>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投标报价</w:t>
      </w:r>
    </w:p>
    <w:p>
      <w:pPr>
        <w:numPr>
          <w:ilvl w:val="0"/>
          <w:numId w:val="23"/>
        </w:numPr>
        <w:tabs>
          <w:tab w:val="left" w:pos="1134"/>
        </w:tabs>
        <w:spacing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auto"/>
          <w:sz w:val="28"/>
          <w:szCs w:val="28"/>
          <w:highlight w:val="none"/>
        </w:rPr>
      </w:pPr>
      <w:bookmarkStart w:id="59" w:name="_Toc183582223"/>
      <w:bookmarkStart w:id="60" w:name="_Toc183682360"/>
      <w:bookmarkStart w:id="61" w:name="_Toc217446050"/>
      <w:r>
        <w:rPr>
          <w:rFonts w:hint="eastAsia" w:ascii="宋体" w:hAnsi="宋体"/>
          <w:color w:val="auto"/>
          <w:sz w:val="28"/>
          <w:szCs w:val="28"/>
          <w:highlight w:val="none"/>
        </w:rPr>
        <w:t>三、投标文件报价出现前后不一致的，按照下列规定修正：（1）大写金额和小写金额不一致的，以大写金额为准，但大写金额出现文字错误，导致金额无法判断的除外；（</w:t>
      </w:r>
      <w:r>
        <w:rPr>
          <w:rFonts w:ascii="宋体" w:hAnsi="宋体"/>
          <w:color w:val="auto"/>
          <w:sz w:val="28"/>
          <w:szCs w:val="28"/>
          <w:highlight w:val="none"/>
        </w:rPr>
        <w:t>2</w:t>
      </w:r>
      <w:r>
        <w:rPr>
          <w:rFonts w:hint="eastAsia" w:ascii="宋体" w:hAnsi="宋体"/>
          <w:color w:val="auto"/>
          <w:sz w:val="28"/>
          <w:szCs w:val="28"/>
          <w:highlight w:val="none"/>
        </w:rPr>
        <w:t>）单价金额小数点或者百分比有明显错位的，应以总价为准，并修改单价；（</w:t>
      </w:r>
      <w:r>
        <w:rPr>
          <w:rFonts w:ascii="宋体" w:hAnsi="宋体"/>
          <w:color w:val="auto"/>
          <w:sz w:val="28"/>
          <w:szCs w:val="28"/>
          <w:highlight w:val="none"/>
        </w:rPr>
        <w:t>3</w:t>
      </w:r>
      <w:r>
        <w:rPr>
          <w:rFonts w:hint="eastAsia" w:ascii="宋体" w:hAnsi="宋体"/>
          <w:color w:val="auto"/>
          <w:sz w:val="28"/>
          <w:szCs w:val="28"/>
          <w:highlight w:val="none"/>
        </w:rPr>
        <w:t>）总价金额与按单价汇总金额不一致的，以单价金额计算结果为准。</w:t>
      </w:r>
    </w:p>
    <w:p>
      <w:pPr>
        <w:tabs>
          <w:tab w:val="left" w:pos="1134"/>
        </w:tabs>
        <w:spacing w:line="360" w:lineRule="auto"/>
        <w:ind w:firstLine="565" w:firstLineChars="202"/>
        <w:rPr>
          <w:rFonts w:ascii="宋体" w:hAnsi="宋体"/>
          <w:color w:val="auto"/>
          <w:sz w:val="28"/>
          <w:szCs w:val="28"/>
          <w:highlight w:val="none"/>
        </w:rPr>
      </w:pPr>
      <w:r>
        <w:rPr>
          <w:rFonts w:hint="eastAsia" w:cs="Arial"/>
          <w:color w:val="auto"/>
          <w:sz w:val="28"/>
          <w:szCs w:val="28"/>
          <w:highlight w:val="none"/>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auto"/>
          <w:sz w:val="28"/>
          <w:szCs w:val="28"/>
          <w:highlight w:val="none"/>
        </w:rPr>
        <w:t>如因断电、断网、系统故障或其他不可抗力等因素</w:t>
      </w:r>
      <w:r>
        <w:rPr>
          <w:rFonts w:hint="eastAsia" w:cs="Arial"/>
          <w:color w:val="auto"/>
          <w:sz w:val="28"/>
          <w:szCs w:val="28"/>
          <w:highlight w:val="none"/>
        </w:rPr>
        <w:t>，导致系统无法使用的，由投标人按评标委员会的要求进行澄清或者说明。</w:t>
      </w:r>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投标保证金</w:t>
      </w:r>
      <w:bookmarkEnd w:id="59"/>
      <w:bookmarkEnd w:id="60"/>
      <w:bookmarkEnd w:id="61"/>
    </w:p>
    <w:p>
      <w:pPr>
        <w:spacing w:line="360" w:lineRule="auto"/>
        <w:ind w:firstLine="560" w:firstLineChars="200"/>
        <w:rPr>
          <w:rFonts w:ascii="宋体" w:hAnsi="宋体"/>
          <w:color w:val="auto"/>
          <w:sz w:val="28"/>
          <w:szCs w:val="28"/>
          <w:highlight w:val="none"/>
        </w:rPr>
      </w:pPr>
      <w:r>
        <w:rPr>
          <w:rFonts w:hint="eastAsia" w:cs="Arial"/>
          <w:color w:val="auto"/>
          <w:sz w:val="28"/>
          <w:szCs w:val="28"/>
          <w:highlight w:val="none"/>
        </w:rPr>
        <w:t>本项目不收取投标保证金。</w:t>
      </w:r>
    </w:p>
    <w:p>
      <w:pPr>
        <w:keepNext/>
        <w:keepLines/>
        <w:numPr>
          <w:ilvl w:val="2"/>
          <w:numId w:val="11"/>
        </w:numPr>
        <w:tabs>
          <w:tab w:val="left" w:pos="851"/>
        </w:tabs>
        <w:spacing w:line="360" w:lineRule="auto"/>
        <w:ind w:left="0" w:firstLine="0"/>
        <w:outlineLvl w:val="2"/>
        <w:rPr>
          <w:rFonts w:ascii="宋体" w:hAnsi="宋体"/>
          <w:b/>
          <w:bCs/>
          <w:color w:val="auto"/>
          <w:sz w:val="28"/>
          <w:szCs w:val="28"/>
          <w:highlight w:val="none"/>
        </w:rPr>
      </w:pPr>
      <w:bookmarkStart w:id="62" w:name="_Toc316291400"/>
      <w:bookmarkEnd w:id="62"/>
      <w:bookmarkStart w:id="63" w:name="_Toc316292024"/>
      <w:bookmarkEnd w:id="63"/>
      <w:bookmarkStart w:id="64" w:name="_Toc217446051"/>
      <w:bookmarkStart w:id="65" w:name="_Toc183582224"/>
      <w:bookmarkStart w:id="66" w:name="_Toc183682361"/>
      <w:r>
        <w:rPr>
          <w:rFonts w:hint="eastAsia" w:ascii="宋体" w:hAnsi="宋体"/>
          <w:b/>
          <w:bCs/>
          <w:color w:val="auto"/>
          <w:sz w:val="28"/>
          <w:szCs w:val="28"/>
          <w:highlight w:val="none"/>
        </w:rPr>
        <w:t>投标有效期</w:t>
      </w:r>
      <w:bookmarkEnd w:id="64"/>
      <w:bookmarkEnd w:id="65"/>
      <w:bookmarkEnd w:id="66"/>
    </w:p>
    <w:p>
      <w:pPr>
        <w:numPr>
          <w:ilvl w:val="0"/>
          <w:numId w:val="24"/>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投标有效期为</w:t>
      </w:r>
      <w:r>
        <w:rPr>
          <w:rFonts w:hint="eastAsia" w:ascii="Helvetica" w:hAnsi="Helvetica" w:cs="Helvetica"/>
          <w:color w:val="auto"/>
          <w:sz w:val="28"/>
          <w:szCs w:val="28"/>
          <w:highlight w:val="none"/>
        </w:rPr>
        <w:t>提交投标文件的截止之日起</w:t>
      </w:r>
      <w:r>
        <w:rPr>
          <w:rFonts w:hint="eastAsia" w:ascii="宋体" w:hAnsi="宋体"/>
          <w:color w:val="auto"/>
          <w:sz w:val="28"/>
          <w:szCs w:val="28"/>
          <w:highlight w:val="none"/>
          <w:u w:val="single"/>
        </w:rPr>
        <w:t>120</w:t>
      </w:r>
      <w:r>
        <w:rPr>
          <w:rFonts w:hint="eastAsia" w:ascii="宋体" w:hAnsi="宋体"/>
          <w:color w:val="auto"/>
          <w:sz w:val="28"/>
          <w:szCs w:val="28"/>
          <w:highlight w:val="none"/>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7"/>
        <w:numPr>
          <w:ilvl w:val="2"/>
          <w:numId w:val="11"/>
        </w:numPr>
        <w:tabs>
          <w:tab w:val="left" w:pos="851"/>
        </w:tabs>
        <w:spacing w:after="200" w:line="240" w:lineRule="auto"/>
        <w:ind w:left="0" w:firstLine="0"/>
        <w:rPr>
          <w:color w:val="auto"/>
          <w:highlight w:val="none"/>
        </w:rPr>
      </w:pPr>
      <w:bookmarkStart w:id="67" w:name="_Toc183682364"/>
      <w:bookmarkStart w:id="68" w:name="_Toc217446054"/>
      <w:bookmarkStart w:id="69" w:name="_Toc183582227"/>
      <w:r>
        <w:rPr>
          <w:rFonts w:hint="eastAsia"/>
          <w:color w:val="auto"/>
          <w:highlight w:val="none"/>
        </w:rPr>
        <w:t>投标文件的制作和签章、加密</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二、投标文件制作详情：</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本项目实行电子投标。投标人应先安装“政采云投标客户端”（下载地址1：前往成都市锦江区政府采购中心门户网站（https://www.cdggzy.com/）—业务办理—下载专区—政府采购下载专区下载“政采云投标客户端”；下载地址2：</w:t>
      </w:r>
      <w:r>
        <w:rPr>
          <w:rFonts w:ascii="宋体" w:hAnsi="宋体"/>
          <w:color w:val="auto"/>
          <w:sz w:val="28"/>
          <w:szCs w:val="28"/>
          <w:highlight w:val="none"/>
        </w:rPr>
        <w:t>https://customer.zcygov.cn/CA-driver-download?utm=web-ca-front.3ddc8fbb.0.0.3a16b7402a4511ec900b6349b129e0db</w:t>
      </w:r>
      <w:r>
        <w:rPr>
          <w:rFonts w:hint="eastAsia" w:ascii="宋体" w:hAnsi="宋体"/>
          <w:color w:val="auto"/>
          <w:sz w:val="28"/>
          <w:szCs w:val="28"/>
          <w:highlight w:val="none"/>
        </w:rPr>
        <w:t>。投标人应按招标文件要求，通过“政采云投标客户端”制作、加密并提交投标文件。</w:t>
      </w:r>
    </w:p>
    <w:p>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3、投标人应使用本企业CA数字证书对投标文件进行加密。</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6、政府采购云平台所支持的CA证书及签章：四川CA及金格签章，天威CA（金润版）及金润签章，CFCA及金格签章。</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8、CA技术支持：四川CA：400-0281130；天威CA： 028-86694886、1592864708；CFCA：028-65785326、18033549468。</w:t>
      </w:r>
    </w:p>
    <w:p>
      <w:pPr>
        <w:pStyle w:val="7"/>
        <w:numPr>
          <w:ilvl w:val="2"/>
          <w:numId w:val="11"/>
        </w:numPr>
        <w:spacing w:after="200" w:line="240" w:lineRule="auto"/>
        <w:ind w:left="0" w:firstLine="0"/>
        <w:rPr>
          <w:color w:val="auto"/>
          <w:highlight w:val="none"/>
        </w:rPr>
      </w:pPr>
      <w:r>
        <w:rPr>
          <w:rFonts w:hint="eastAsia"/>
          <w:color w:val="auto"/>
          <w:highlight w:val="none"/>
        </w:rPr>
        <w:t>投标文件的</w:t>
      </w:r>
      <w:bookmarkEnd w:id="67"/>
      <w:bookmarkEnd w:id="68"/>
      <w:bookmarkEnd w:id="69"/>
      <w:r>
        <w:rPr>
          <w:rFonts w:hint="eastAsia"/>
          <w:color w:val="auto"/>
          <w:highlight w:val="none"/>
        </w:rPr>
        <w:t>提交</w:t>
      </w:r>
    </w:p>
    <w:p>
      <w:pPr>
        <w:tabs>
          <w:tab w:val="left" w:pos="0"/>
        </w:tabs>
        <w:spacing w:line="360" w:lineRule="auto"/>
        <w:ind w:firstLine="420" w:firstLineChars="150"/>
        <w:rPr>
          <w:rFonts w:ascii="宋体" w:hAnsi="宋体" w:eastAsiaTheme="minorEastAsia" w:cstheme="minorBidi"/>
          <w:bCs/>
          <w:color w:val="auto"/>
          <w:sz w:val="28"/>
          <w:szCs w:val="28"/>
          <w:highlight w:val="none"/>
        </w:rPr>
      </w:pPr>
      <w:bookmarkStart w:id="70" w:name="_Toc316475587"/>
      <w:bookmarkEnd w:id="70"/>
      <w:bookmarkStart w:id="71" w:name="_Toc316475586"/>
      <w:bookmarkEnd w:id="71"/>
      <w:bookmarkStart w:id="72" w:name="_Toc217446055"/>
      <w:bookmarkStart w:id="73" w:name="_Toc183582228"/>
      <w:bookmarkStart w:id="74" w:name="_Toc183682365"/>
      <w:r>
        <w:rPr>
          <w:rFonts w:hint="eastAsia" w:ascii="宋体" w:hAnsi="宋体" w:eastAsiaTheme="minorEastAsia" w:cstheme="minorBidi"/>
          <w:bCs/>
          <w:color w:val="auto"/>
          <w:sz w:val="28"/>
          <w:szCs w:val="28"/>
          <w:highlight w:val="none"/>
        </w:rPr>
        <w:t>一、投标人应当在投标文件提交截止时间前，将生成的已加密的电子投标文件成功提交至“政府采购云平台”。</w:t>
      </w:r>
    </w:p>
    <w:p>
      <w:pPr>
        <w:tabs>
          <w:tab w:val="left" w:pos="0"/>
        </w:tabs>
        <w:spacing w:line="360" w:lineRule="auto"/>
        <w:ind w:firstLine="420" w:firstLineChars="150"/>
        <w:rPr>
          <w:rFonts w:ascii="宋体" w:hAnsi="宋体" w:eastAsiaTheme="minorEastAsia" w:cstheme="minorBidi"/>
          <w:bCs/>
          <w:color w:val="auto"/>
          <w:sz w:val="28"/>
          <w:szCs w:val="28"/>
          <w:highlight w:val="none"/>
        </w:rPr>
      </w:pPr>
      <w:r>
        <w:rPr>
          <w:rFonts w:hint="eastAsia" w:ascii="宋体" w:hAnsi="宋体" w:eastAsiaTheme="minorEastAsia" w:cstheme="minorBidi"/>
          <w:bCs/>
          <w:color w:val="auto"/>
          <w:sz w:val="28"/>
          <w:szCs w:val="28"/>
          <w:highlight w:val="none"/>
        </w:rPr>
        <w:t>二、因招标文件的修改推迟投标截止日期的，投标人按区采购中心在“四川政府采购网”和“成都市公共资源交易服务中心”网站上发布的澄清公告中修改的时间提交投标文件。</w:t>
      </w:r>
    </w:p>
    <w:p>
      <w:pPr>
        <w:tabs>
          <w:tab w:val="left" w:pos="0"/>
        </w:tabs>
        <w:spacing w:line="360" w:lineRule="auto"/>
        <w:ind w:firstLine="420" w:firstLineChars="150"/>
        <w:rPr>
          <w:rFonts w:ascii="宋体" w:hAnsi="宋体"/>
          <w:bCs/>
          <w:color w:val="auto"/>
          <w:sz w:val="28"/>
          <w:szCs w:val="28"/>
          <w:highlight w:val="none"/>
        </w:rPr>
      </w:pPr>
      <w:r>
        <w:rPr>
          <w:rFonts w:hint="eastAsia" w:ascii="宋体" w:hAnsi="宋体" w:eastAsiaTheme="minorEastAsia" w:cstheme="minorBidi"/>
          <w:bCs/>
          <w:color w:val="auto"/>
          <w:sz w:val="28"/>
          <w:szCs w:val="28"/>
          <w:highlight w:val="none"/>
        </w:rPr>
        <w:t>三、投标人应充分考虑提交文件的不可预见因素，未在投标截止时间前完成提交的，在投标截止时间后将无法提交</w:t>
      </w:r>
      <w:r>
        <w:rPr>
          <w:rFonts w:hint="eastAsia" w:ascii="宋体" w:hAnsi="宋体"/>
          <w:bCs/>
          <w:color w:val="auto"/>
          <w:sz w:val="28"/>
          <w:szCs w:val="28"/>
          <w:highlight w:val="none"/>
        </w:rPr>
        <w:t>。</w:t>
      </w:r>
    </w:p>
    <w:p>
      <w:pPr>
        <w:pStyle w:val="7"/>
        <w:numPr>
          <w:ilvl w:val="2"/>
          <w:numId w:val="11"/>
        </w:numPr>
        <w:spacing w:after="200" w:line="276" w:lineRule="auto"/>
        <w:ind w:left="0" w:firstLine="0"/>
        <w:rPr>
          <w:color w:val="auto"/>
          <w:highlight w:val="none"/>
        </w:rPr>
      </w:pPr>
      <w:r>
        <w:rPr>
          <w:rFonts w:hint="eastAsia"/>
          <w:color w:val="auto"/>
          <w:highlight w:val="none"/>
        </w:rPr>
        <w:t>投标文件的</w:t>
      </w:r>
      <w:bookmarkEnd w:id="72"/>
      <w:bookmarkEnd w:id="73"/>
      <w:bookmarkEnd w:id="74"/>
      <w:r>
        <w:rPr>
          <w:rFonts w:hint="eastAsia"/>
          <w:color w:val="auto"/>
          <w:highlight w:val="none"/>
        </w:rPr>
        <w:t>补充、修改</w:t>
      </w:r>
    </w:p>
    <w:p>
      <w:pPr>
        <w:numPr>
          <w:ilvl w:val="0"/>
          <w:numId w:val="25"/>
        </w:numPr>
        <w:tabs>
          <w:tab w:val="left" w:pos="1134"/>
        </w:tabs>
        <w:spacing w:before="120"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5"/>
        </w:numPr>
        <w:tabs>
          <w:tab w:val="left" w:pos="1134"/>
        </w:tabs>
        <w:spacing w:before="120"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在投标截止时间之后，投标人不得对其提交的投标文件做任何补充、修改。</w:t>
      </w:r>
    </w:p>
    <w:p>
      <w:pPr>
        <w:pStyle w:val="7"/>
        <w:numPr>
          <w:ilvl w:val="2"/>
          <w:numId w:val="11"/>
        </w:numPr>
        <w:spacing w:after="200" w:line="276" w:lineRule="auto"/>
        <w:ind w:left="0" w:firstLine="0"/>
        <w:rPr>
          <w:color w:val="auto"/>
          <w:highlight w:val="none"/>
        </w:rPr>
      </w:pPr>
      <w:r>
        <w:rPr>
          <w:rFonts w:hint="eastAsia"/>
          <w:color w:val="auto"/>
          <w:highlight w:val="none"/>
        </w:rPr>
        <w:t>投标文件的撤回</w:t>
      </w:r>
    </w:p>
    <w:p>
      <w:pPr>
        <w:spacing w:before="120" w:after="200" w:line="360" w:lineRule="auto"/>
        <w:ind w:firstLine="565" w:firstLineChars="202"/>
        <w:rPr>
          <w:rFonts w:ascii="宋体" w:hAnsi="宋体"/>
          <w:bCs/>
          <w:color w:val="auto"/>
          <w:sz w:val="28"/>
          <w:szCs w:val="28"/>
          <w:highlight w:val="none"/>
        </w:rPr>
      </w:pPr>
      <w:bookmarkStart w:id="75" w:name="_Toc89075878"/>
      <w:bookmarkStart w:id="76" w:name="_Toc77400782"/>
      <w:bookmarkStart w:id="77" w:name="_Toc217446056"/>
      <w:bookmarkStart w:id="78" w:name="_Toc183582231"/>
      <w:bookmarkStart w:id="79" w:name="_Toc183682368"/>
      <w:r>
        <w:rPr>
          <w:rFonts w:hint="eastAsia" w:ascii="宋体" w:hAnsi="宋体"/>
          <w:bCs/>
          <w:color w:val="auto"/>
          <w:sz w:val="28"/>
          <w:szCs w:val="28"/>
          <w:highlight w:val="none"/>
        </w:rPr>
        <w:t>在投标截止时间之前，投标人可对已提交的投标文件进行撤回。在投标截止时间之后，投标人不得撤回投标文件。</w:t>
      </w:r>
    </w:p>
    <w:p>
      <w:pPr>
        <w:pStyle w:val="7"/>
        <w:numPr>
          <w:ilvl w:val="2"/>
          <w:numId w:val="11"/>
        </w:numPr>
        <w:spacing w:after="200" w:line="276" w:lineRule="auto"/>
        <w:ind w:left="0" w:firstLine="0"/>
        <w:rPr>
          <w:color w:val="auto"/>
          <w:highlight w:val="none"/>
        </w:rPr>
      </w:pPr>
      <w:r>
        <w:rPr>
          <w:rFonts w:hint="eastAsia"/>
          <w:color w:val="auto"/>
          <w:highlight w:val="none"/>
        </w:rPr>
        <w:t>投标文件的解密</w:t>
      </w:r>
    </w:p>
    <w:p>
      <w:pPr>
        <w:tabs>
          <w:tab w:val="left" w:pos="1134"/>
        </w:tabs>
        <w:spacing w:before="120" w:line="360" w:lineRule="auto"/>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投标人</w:t>
      </w:r>
      <w:r>
        <w:rPr>
          <w:rFonts w:hint="eastAsia" w:ascii="宋体" w:hAnsi="宋体"/>
          <w:color w:val="auto"/>
          <w:sz w:val="28"/>
          <w:szCs w:val="28"/>
          <w:highlight w:val="none"/>
        </w:rPr>
        <w:t>登录政府采购云平台，点击“项目采购—开标评标”模块，找到对应项目，进入“开标大厅”，等待区采购中心开启解密后，进行线上解密。</w:t>
      </w:r>
      <w:r>
        <w:rPr>
          <w:rFonts w:hint="eastAsia" w:ascii="宋体" w:hAnsi="宋体"/>
          <w:bCs/>
          <w:color w:val="auto"/>
          <w:sz w:val="28"/>
          <w:szCs w:val="28"/>
          <w:highlight w:val="none"/>
        </w:rPr>
        <w:t>除因</w:t>
      </w:r>
      <w:r>
        <w:rPr>
          <w:rFonts w:hint="eastAsia" w:ascii="宋体" w:hAnsi="宋体"/>
          <w:color w:val="auto"/>
          <w:sz w:val="28"/>
          <w:szCs w:val="28"/>
          <w:highlight w:val="none"/>
        </w:rPr>
        <w:t>区采购中心</w:t>
      </w:r>
      <w:r>
        <w:rPr>
          <w:rFonts w:hint="eastAsia" w:ascii="宋体" w:hAnsi="宋体"/>
          <w:bCs/>
          <w:color w:val="auto"/>
          <w:sz w:val="28"/>
          <w:szCs w:val="28"/>
          <w:highlight w:val="none"/>
        </w:rPr>
        <w:t>断电、断网、系统故障或其他不可抗力等因素，导致系统无法使用外，投标人在规定的解密时间内，未成功解密的投标文件将视为无效投标文件。</w:t>
      </w:r>
    </w:p>
    <w:p>
      <w:pPr>
        <w:keepNext/>
        <w:keepLines/>
        <w:numPr>
          <w:ilvl w:val="1"/>
          <w:numId w:val="11"/>
        </w:numPr>
        <w:spacing w:line="360" w:lineRule="auto"/>
        <w:jc w:val="left"/>
        <w:outlineLvl w:val="1"/>
        <w:rPr>
          <w:rFonts w:ascii="宋体" w:hAnsi="宋体"/>
          <w:b/>
          <w:bCs/>
          <w:color w:val="auto"/>
          <w:sz w:val="28"/>
          <w:szCs w:val="28"/>
          <w:highlight w:val="none"/>
        </w:rPr>
      </w:pPr>
      <w:bookmarkStart w:id="80" w:name="_Toc3592"/>
      <w:r>
        <w:rPr>
          <w:rFonts w:hint="eastAsia" w:ascii="宋体" w:hAnsi="宋体"/>
          <w:b/>
          <w:bCs/>
          <w:color w:val="auto"/>
          <w:sz w:val="28"/>
          <w:szCs w:val="28"/>
          <w:highlight w:val="none"/>
        </w:rPr>
        <w:t>开标、资格审查、评标和中标</w:t>
      </w:r>
      <w:bookmarkEnd w:id="75"/>
      <w:bookmarkEnd w:id="76"/>
      <w:bookmarkEnd w:id="77"/>
      <w:bookmarkEnd w:id="78"/>
      <w:bookmarkEnd w:id="79"/>
      <w:bookmarkEnd w:id="80"/>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81" w:name="_Toc183582232"/>
      <w:bookmarkStart w:id="82" w:name="_Toc183682369"/>
      <w:bookmarkStart w:id="83" w:name="_Toc217446057"/>
      <w:r>
        <w:rPr>
          <w:rFonts w:hint="eastAsia" w:ascii="宋体" w:hAnsi="宋体"/>
          <w:b/>
          <w:bCs/>
          <w:color w:val="auto"/>
          <w:sz w:val="28"/>
          <w:szCs w:val="28"/>
          <w:highlight w:val="none"/>
        </w:rPr>
        <w:t>开标</w:t>
      </w:r>
      <w:bookmarkEnd w:id="81"/>
      <w:bookmarkEnd w:id="82"/>
      <w:bookmarkEnd w:id="83"/>
      <w:r>
        <w:rPr>
          <w:rFonts w:hint="eastAsia" w:ascii="宋体" w:hAnsi="宋体"/>
          <w:b/>
          <w:bCs/>
          <w:color w:val="auto"/>
          <w:sz w:val="28"/>
          <w:szCs w:val="28"/>
          <w:highlight w:val="none"/>
        </w:rPr>
        <w:t>及开标程序</w:t>
      </w:r>
    </w:p>
    <w:p>
      <w:pPr>
        <w:pStyle w:val="91"/>
        <w:numPr>
          <w:ilvl w:val="0"/>
          <w:numId w:val="26"/>
        </w:numPr>
        <w:tabs>
          <w:tab w:val="left" w:pos="1134"/>
        </w:tabs>
        <w:spacing w:before="120" w:after="200" w:line="360" w:lineRule="auto"/>
        <w:ind w:left="0" w:right="21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本项目为不见面开标项目。提交电子投标文件的投标人不足3家的，不予开标。</w:t>
      </w:r>
    </w:p>
    <w:p>
      <w:pPr>
        <w:pStyle w:val="91"/>
        <w:numPr>
          <w:ilvl w:val="0"/>
          <w:numId w:val="26"/>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91"/>
        <w:numPr>
          <w:ilvl w:val="0"/>
          <w:numId w:val="26"/>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解密投标文件。等待区采购中心开启解密后，投标人进行线上解密。开启解密后，投标人应在60分钟内，使用加密该投标文件的CA数字证书在线完成投标文件的解密。除因区采购中心断电、断网、系统故障或其他不可抗力等因素，导致系统无法使用外，投标人在规定的解密时间内，未成功解密的投标文件将视为无效投标文件。</w:t>
      </w:r>
    </w:p>
    <w:p>
      <w:pPr>
        <w:pStyle w:val="91"/>
        <w:numPr>
          <w:ilvl w:val="0"/>
          <w:numId w:val="26"/>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91"/>
        <w:numPr>
          <w:ilvl w:val="0"/>
          <w:numId w:val="26"/>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对开标过程和开标记录有疑义，以及认为采购人、区采购中心相关工作人员有需要回避的情形的，及时向工作人员提出询问或者回避申请。采购人、区采购中心对投标人提出的询问或者回避申请应当及时处理。</w:t>
      </w:r>
    </w:p>
    <w:p>
      <w:pPr>
        <w:pStyle w:val="91"/>
        <w:numPr>
          <w:ilvl w:val="0"/>
          <w:numId w:val="26"/>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91"/>
        <w:numPr>
          <w:ilvl w:val="0"/>
          <w:numId w:val="26"/>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政府采购云平台运行基本环境要求：电脑应安装并顺利运行</w:t>
      </w:r>
      <w:r>
        <w:rPr>
          <w:rFonts w:ascii="宋体" w:hAnsi="宋体" w:eastAsia="宋体" w:cs="宋体"/>
          <w:b/>
          <w:color w:val="auto"/>
          <w:sz w:val="28"/>
          <w:szCs w:val="28"/>
          <w:highlight w:val="none"/>
        </w:rPr>
        <w:t>64位win7以上操作系统</w:t>
      </w:r>
      <w:r>
        <w:rPr>
          <w:rFonts w:hint="eastAsia" w:ascii="宋体" w:hAnsi="宋体" w:eastAsia="宋体" w:cs="宋体"/>
          <w:b/>
          <w:color w:val="auto"/>
          <w:sz w:val="28"/>
          <w:szCs w:val="28"/>
          <w:highlight w:val="none"/>
        </w:rPr>
        <w:t>，</w:t>
      </w:r>
      <w:r>
        <w:rPr>
          <w:rFonts w:ascii="宋体" w:hAnsi="宋体" w:eastAsia="宋体" w:cs="宋体"/>
          <w:b/>
          <w:color w:val="auto"/>
          <w:sz w:val="28"/>
          <w:szCs w:val="28"/>
          <w:highlight w:val="none"/>
        </w:rPr>
        <w:t>谷歌浏览器</w:t>
      </w:r>
      <w:r>
        <w:rPr>
          <w:rFonts w:hint="eastAsia" w:ascii="宋体" w:hAnsi="宋体" w:eastAsia="宋体" w:cs="宋体"/>
          <w:b/>
          <w:color w:val="auto"/>
          <w:sz w:val="28"/>
          <w:szCs w:val="28"/>
          <w:highlight w:val="none"/>
        </w:rPr>
        <w:t>；</w:t>
      </w:r>
      <w:r>
        <w:rPr>
          <w:rFonts w:ascii="宋体" w:hAnsi="宋体" w:eastAsia="宋体" w:cs="宋体"/>
          <w:b/>
          <w:color w:val="auto"/>
          <w:sz w:val="28"/>
          <w:szCs w:val="28"/>
          <w:highlight w:val="none"/>
        </w:rPr>
        <w:t>正确的CA及签章驱动</w:t>
      </w:r>
      <w:r>
        <w:rPr>
          <w:rFonts w:hint="eastAsia" w:ascii="宋体" w:hAnsi="宋体" w:eastAsia="宋体" w:cs="宋体"/>
          <w:b/>
          <w:color w:val="auto"/>
          <w:sz w:val="28"/>
          <w:szCs w:val="28"/>
          <w:highlight w:val="none"/>
        </w:rPr>
        <w:t>等</w:t>
      </w:r>
      <w:r>
        <w:rPr>
          <w:rFonts w:ascii="宋体" w:hAnsi="宋体" w:eastAsia="宋体" w:cs="宋体"/>
          <w:b/>
          <w:color w:val="auto"/>
          <w:sz w:val="28"/>
          <w:szCs w:val="28"/>
          <w:highlight w:val="none"/>
        </w:rPr>
        <w:t>；能流畅访问互联网</w:t>
      </w:r>
      <w:r>
        <w:rPr>
          <w:rFonts w:hint="eastAsia" w:ascii="宋体" w:hAnsi="宋体" w:eastAsia="宋体" w:cs="宋体"/>
          <w:b/>
          <w:color w:val="auto"/>
          <w:sz w:val="28"/>
          <w:szCs w:val="28"/>
          <w:highlight w:val="none"/>
        </w:rPr>
        <w:t>。</w:t>
      </w:r>
    </w:p>
    <w:p>
      <w:pPr>
        <w:pStyle w:val="91"/>
        <w:numPr>
          <w:ilvl w:val="0"/>
          <w:numId w:val="26"/>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因区采购中心断电、断网、系统故障或其他不可抗力等因素导致不见面开标系统无法正常运行的，开标活动中止或延迟，待系统恢复正常后继续进行开标活动。</w:t>
      </w:r>
    </w:p>
    <w:p>
      <w:pPr>
        <w:pStyle w:val="91"/>
        <w:numPr>
          <w:ilvl w:val="0"/>
          <w:numId w:val="26"/>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不见面开标过程中，各方主体均应遵守互联网有关规定，不得发表与交易活动无关的言论。</w:t>
      </w:r>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资格审查</w:t>
      </w:r>
    </w:p>
    <w:p>
      <w:pPr>
        <w:spacing w:line="360" w:lineRule="auto"/>
        <w:ind w:firstLine="495"/>
        <w:rPr>
          <w:rFonts w:ascii="宋体" w:hAnsi="宋体"/>
          <w:color w:val="auto"/>
          <w:sz w:val="28"/>
          <w:szCs w:val="28"/>
          <w:highlight w:val="none"/>
        </w:rPr>
      </w:pPr>
      <w:r>
        <w:rPr>
          <w:rFonts w:hint="eastAsia" w:ascii="宋体" w:hAnsi="宋体"/>
          <w:color w:val="auto"/>
          <w:sz w:val="28"/>
          <w:szCs w:val="28"/>
          <w:highlight w:val="none"/>
        </w:rPr>
        <w:t>详见招标文件第5章。</w:t>
      </w:r>
    </w:p>
    <w:p>
      <w:pPr>
        <w:keepNext/>
        <w:keepLines/>
        <w:numPr>
          <w:ilvl w:val="2"/>
          <w:numId w:val="11"/>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评标</w:t>
      </w:r>
    </w:p>
    <w:p>
      <w:pPr>
        <w:spacing w:line="360" w:lineRule="auto"/>
        <w:ind w:firstLine="495"/>
        <w:rPr>
          <w:rFonts w:ascii="宋体" w:hAnsi="宋体"/>
          <w:color w:val="auto"/>
          <w:sz w:val="28"/>
          <w:szCs w:val="28"/>
          <w:highlight w:val="none"/>
        </w:rPr>
      </w:pPr>
      <w:r>
        <w:rPr>
          <w:rFonts w:hint="eastAsia" w:ascii="宋体" w:hAnsi="宋体"/>
          <w:color w:val="auto"/>
          <w:sz w:val="28"/>
          <w:szCs w:val="28"/>
          <w:highlight w:val="none"/>
        </w:rPr>
        <w:t>详见招标文件第6章。</w:t>
      </w:r>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84" w:name="_Toc183682375"/>
      <w:bookmarkStart w:id="85" w:name="_Toc183582238"/>
      <w:bookmarkStart w:id="86" w:name="_Toc217446063"/>
      <w:r>
        <w:rPr>
          <w:rFonts w:hint="eastAsia" w:ascii="宋体" w:hAnsi="宋体"/>
          <w:b/>
          <w:bCs/>
          <w:color w:val="auto"/>
          <w:sz w:val="28"/>
          <w:szCs w:val="28"/>
          <w:highlight w:val="none"/>
        </w:rPr>
        <w:t>中标通知</w:t>
      </w:r>
      <w:bookmarkEnd w:id="84"/>
      <w:bookmarkEnd w:id="85"/>
      <w:r>
        <w:rPr>
          <w:rFonts w:hint="eastAsia" w:ascii="宋体" w:hAnsi="宋体"/>
          <w:b/>
          <w:bCs/>
          <w:color w:val="auto"/>
          <w:sz w:val="28"/>
          <w:szCs w:val="28"/>
          <w:highlight w:val="none"/>
        </w:rPr>
        <w:t>书</w:t>
      </w:r>
      <w:bookmarkEnd w:id="86"/>
    </w:p>
    <w:p>
      <w:pPr>
        <w:spacing w:line="580" w:lineRule="exact"/>
        <w:ind w:right="210" w:firstLine="560" w:firstLineChars="200"/>
        <w:rPr>
          <w:rFonts w:ascii="宋体" w:hAnsi="宋体"/>
          <w:color w:val="auto"/>
          <w:sz w:val="28"/>
          <w:szCs w:val="28"/>
          <w:highlight w:val="none"/>
        </w:rPr>
      </w:pPr>
      <w:bookmarkStart w:id="87" w:name="_Toc217446064"/>
      <w:bookmarkStart w:id="88" w:name="_Toc183682377"/>
      <w:bookmarkStart w:id="89" w:name="_Toc183582240"/>
      <w:r>
        <w:rPr>
          <w:rFonts w:hint="eastAsia" w:ascii="宋体" w:hAnsi="宋体"/>
          <w:color w:val="auto"/>
          <w:sz w:val="28"/>
          <w:szCs w:val="28"/>
          <w:highlight w:val="none"/>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三、中标公告在四川政府采购网上公告后，中标供应商自行登录政府</w:t>
      </w:r>
      <w:r>
        <w:rPr>
          <w:rFonts w:ascii="宋体" w:hAnsi="宋体"/>
          <w:color w:val="auto"/>
          <w:sz w:val="28"/>
          <w:szCs w:val="28"/>
          <w:highlight w:val="none"/>
        </w:rPr>
        <w:t>采购</w:t>
      </w:r>
      <w:r>
        <w:rPr>
          <w:rFonts w:hint="eastAsia" w:ascii="宋体" w:hAnsi="宋体"/>
          <w:color w:val="auto"/>
          <w:sz w:val="28"/>
          <w:szCs w:val="28"/>
          <w:highlight w:val="none"/>
        </w:rPr>
        <w:t>云平台下载中标通知书。</w:t>
      </w:r>
    </w:p>
    <w:p>
      <w:pPr>
        <w:keepNext/>
        <w:keepLines/>
        <w:numPr>
          <w:ilvl w:val="1"/>
          <w:numId w:val="11"/>
        </w:numPr>
        <w:spacing w:before="240" w:line="360" w:lineRule="auto"/>
        <w:jc w:val="left"/>
        <w:outlineLvl w:val="1"/>
        <w:rPr>
          <w:rFonts w:ascii="宋体" w:hAnsi="宋体"/>
          <w:b/>
          <w:bCs/>
          <w:color w:val="auto"/>
          <w:sz w:val="28"/>
          <w:szCs w:val="28"/>
          <w:highlight w:val="none"/>
        </w:rPr>
      </w:pPr>
      <w:bookmarkStart w:id="90" w:name="_Toc3602"/>
      <w:r>
        <w:rPr>
          <w:rFonts w:hint="eastAsia" w:ascii="宋体" w:hAnsi="宋体"/>
          <w:b/>
          <w:bCs/>
          <w:color w:val="auto"/>
          <w:sz w:val="28"/>
          <w:szCs w:val="28"/>
          <w:highlight w:val="none"/>
        </w:rPr>
        <w:t>签订及履行合同和验收</w:t>
      </w:r>
      <w:bookmarkEnd w:id="87"/>
      <w:bookmarkEnd w:id="90"/>
    </w:p>
    <w:p>
      <w:pPr>
        <w:keepNext/>
        <w:keepLines/>
        <w:numPr>
          <w:ilvl w:val="2"/>
          <w:numId w:val="11"/>
        </w:numPr>
        <w:spacing w:line="360" w:lineRule="auto"/>
        <w:ind w:left="0" w:firstLine="0"/>
        <w:outlineLvl w:val="2"/>
        <w:rPr>
          <w:rFonts w:ascii="宋体" w:hAnsi="宋体"/>
          <w:b/>
          <w:bCs/>
          <w:color w:val="auto"/>
          <w:sz w:val="28"/>
          <w:szCs w:val="28"/>
          <w:highlight w:val="none"/>
        </w:rPr>
      </w:pPr>
      <w:bookmarkStart w:id="91" w:name="_Toc217446065"/>
      <w:r>
        <w:rPr>
          <w:rFonts w:hint="eastAsia" w:ascii="宋体" w:hAnsi="宋体"/>
          <w:b/>
          <w:bCs/>
          <w:color w:val="auto"/>
          <w:sz w:val="28"/>
          <w:szCs w:val="28"/>
          <w:highlight w:val="none"/>
        </w:rPr>
        <w:t>签订合同</w:t>
      </w:r>
      <w:bookmarkEnd w:id="91"/>
    </w:p>
    <w:p>
      <w:pPr>
        <w:numPr>
          <w:ilvl w:val="0"/>
          <w:numId w:val="27"/>
        </w:num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采购人在中标通知书发出之日起30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四、询问或者质疑事项可能影响中标、成交结果的，采购人应当暂停签订合同，已经签订合同的，应当中止履行合同。</w:t>
      </w:r>
    </w:p>
    <w:p>
      <w:pPr>
        <w:keepNext/>
        <w:keepLines/>
        <w:numPr>
          <w:ilvl w:val="2"/>
          <w:numId w:val="11"/>
        </w:numPr>
        <w:spacing w:line="360" w:lineRule="auto"/>
        <w:ind w:left="3119" w:hanging="3119"/>
        <w:outlineLvl w:val="2"/>
        <w:rPr>
          <w:rFonts w:ascii="宋体" w:hAnsi="宋体"/>
          <w:b/>
          <w:bCs/>
          <w:color w:val="auto"/>
          <w:sz w:val="28"/>
          <w:szCs w:val="28"/>
          <w:highlight w:val="none"/>
        </w:rPr>
      </w:pPr>
      <w:bookmarkStart w:id="92" w:name="_Toc315871033"/>
      <w:bookmarkEnd w:id="92"/>
      <w:bookmarkStart w:id="93" w:name="_Toc217446066"/>
      <w:r>
        <w:rPr>
          <w:rFonts w:hint="eastAsia" w:ascii="宋体" w:hAnsi="宋体"/>
          <w:b/>
          <w:bCs/>
          <w:color w:val="auto"/>
          <w:sz w:val="28"/>
          <w:szCs w:val="28"/>
          <w:highlight w:val="none"/>
        </w:rPr>
        <w:t>合同分包</w:t>
      </w:r>
      <w:bookmarkEnd w:id="93"/>
      <w:r>
        <w:rPr>
          <w:rFonts w:hint="eastAsia" w:ascii="宋体" w:hAnsi="宋体"/>
          <w:b/>
          <w:bCs/>
          <w:color w:val="auto"/>
          <w:sz w:val="28"/>
          <w:szCs w:val="28"/>
          <w:highlight w:val="none"/>
        </w:rPr>
        <w:t>和转包</w:t>
      </w:r>
    </w:p>
    <w:p>
      <w:pPr>
        <w:keepNext/>
        <w:keepLines/>
        <w:numPr>
          <w:ilvl w:val="3"/>
          <w:numId w:val="28"/>
        </w:numPr>
        <w:spacing w:line="360" w:lineRule="auto"/>
        <w:ind w:left="1695" w:hanging="1275"/>
        <w:outlineLvl w:val="2"/>
        <w:rPr>
          <w:rFonts w:ascii="宋体" w:hAnsi="宋体"/>
          <w:b/>
          <w:bCs/>
          <w:color w:val="auto"/>
          <w:sz w:val="28"/>
          <w:szCs w:val="28"/>
          <w:highlight w:val="none"/>
        </w:rPr>
      </w:pPr>
      <w:r>
        <w:rPr>
          <w:rFonts w:hint="eastAsia" w:ascii="宋体" w:hAnsi="宋体"/>
          <w:b/>
          <w:bCs/>
          <w:color w:val="auto"/>
          <w:sz w:val="28"/>
          <w:szCs w:val="28"/>
          <w:highlight w:val="none"/>
        </w:rPr>
        <w:t>合同分包</w:t>
      </w:r>
    </w:p>
    <w:p>
      <w:pPr>
        <w:pStyle w:val="131"/>
        <w:spacing w:line="360" w:lineRule="auto"/>
        <w:ind w:firstLine="560" w:firstLineChars="200"/>
        <w:rPr>
          <w:rFonts w:cs="Times New Roman" w:eastAsiaTheme="minorEastAsia"/>
          <w:color w:val="auto"/>
          <w:sz w:val="28"/>
          <w:szCs w:val="28"/>
          <w:highlight w:val="none"/>
          <w:lang w:val="zh-CN"/>
        </w:rPr>
      </w:pPr>
      <w:r>
        <w:rPr>
          <w:rFonts w:hint="eastAsia" w:cs="Times New Roman"/>
          <w:color w:val="auto"/>
          <w:sz w:val="28"/>
          <w:szCs w:val="28"/>
          <w:highlight w:val="none"/>
          <w:lang w:val="zh-CN"/>
        </w:rPr>
        <w:t>本</w:t>
      </w:r>
      <w:r>
        <w:rPr>
          <w:rFonts w:cs="Times New Roman"/>
          <w:color w:val="auto"/>
          <w:sz w:val="28"/>
          <w:szCs w:val="28"/>
          <w:highlight w:val="none"/>
          <w:lang w:val="zh-CN"/>
        </w:rPr>
        <w:t>项目不允许分包</w:t>
      </w:r>
      <w:r>
        <w:rPr>
          <w:rFonts w:hint="eastAsia" w:cs="Times New Roman"/>
          <w:color w:val="auto"/>
          <w:sz w:val="28"/>
          <w:szCs w:val="28"/>
          <w:highlight w:val="none"/>
          <w:lang w:val="zh-CN"/>
        </w:rPr>
        <w:t>。</w:t>
      </w:r>
    </w:p>
    <w:p>
      <w:pPr>
        <w:keepNext/>
        <w:keepLines/>
        <w:numPr>
          <w:ilvl w:val="3"/>
          <w:numId w:val="28"/>
        </w:numPr>
        <w:spacing w:line="360" w:lineRule="auto"/>
        <w:ind w:left="1695" w:hanging="1275"/>
        <w:outlineLvl w:val="2"/>
        <w:rPr>
          <w:rFonts w:ascii="宋体" w:hAnsi="宋体"/>
          <w:b/>
          <w:bCs/>
          <w:color w:val="auto"/>
          <w:sz w:val="28"/>
          <w:szCs w:val="28"/>
          <w:highlight w:val="none"/>
        </w:rPr>
      </w:pPr>
      <w:r>
        <w:rPr>
          <w:rFonts w:hint="eastAsia" w:ascii="宋体" w:hAnsi="宋体"/>
          <w:b/>
          <w:bCs/>
          <w:color w:val="auto"/>
          <w:sz w:val="28"/>
          <w:szCs w:val="28"/>
          <w:highlight w:val="none"/>
        </w:rPr>
        <w:t>合同转包</w:t>
      </w:r>
    </w:p>
    <w:p>
      <w:pPr>
        <w:spacing w:line="360" w:lineRule="auto"/>
        <w:ind w:firstLine="560" w:firstLineChars="200"/>
        <w:rPr>
          <w:rFonts w:ascii="宋体" w:hAnsi="宋体" w:cs="宋体"/>
          <w:color w:val="auto"/>
          <w:sz w:val="28"/>
          <w:szCs w:val="28"/>
          <w:highlight w:val="none"/>
        </w:rPr>
      </w:pPr>
      <w:r>
        <w:rPr>
          <w:rFonts w:hint="eastAsia" w:ascii="宋体" w:hAnsi="宋体"/>
          <w:color w:val="auto"/>
          <w:sz w:val="28"/>
          <w:szCs w:val="28"/>
          <w:highlight w:val="none"/>
        </w:rPr>
        <w:t>一、严禁中标供应商将本项目转包。本项目所称转包，是指</w:t>
      </w:r>
      <w:r>
        <w:rPr>
          <w:rFonts w:hint="eastAsia" w:ascii="宋体" w:hAnsi="宋体" w:cs="宋体"/>
          <w:color w:val="auto"/>
          <w:sz w:val="28"/>
          <w:szCs w:val="28"/>
          <w:highlight w:val="none"/>
        </w:rPr>
        <w:t xml:space="preserve">将本项目转给他人或者将本项目全部肢解以后以分包的名义分别转给他人的行为。 </w:t>
      </w:r>
    </w:p>
    <w:p>
      <w:pPr>
        <w:spacing w:line="360" w:lineRule="auto"/>
        <w:ind w:firstLine="495"/>
        <w:rPr>
          <w:rFonts w:ascii="宋体" w:hAnsi="宋体"/>
          <w:color w:val="auto"/>
          <w:sz w:val="28"/>
          <w:szCs w:val="28"/>
          <w:highlight w:val="none"/>
        </w:rPr>
      </w:pPr>
      <w:r>
        <w:rPr>
          <w:rFonts w:hint="eastAsia" w:ascii="宋体" w:hAnsi="宋体"/>
          <w:color w:val="auto"/>
          <w:sz w:val="28"/>
          <w:szCs w:val="28"/>
          <w:highlight w:val="none"/>
        </w:rPr>
        <w:t>二、中标供应商转包的，视同拒绝履行政府采购合同，将依法追究法律责任。</w:t>
      </w:r>
    </w:p>
    <w:p>
      <w:pPr>
        <w:keepNext/>
        <w:keepLines/>
        <w:numPr>
          <w:ilvl w:val="2"/>
          <w:numId w:val="28"/>
        </w:numPr>
        <w:spacing w:before="240" w:line="360" w:lineRule="auto"/>
        <w:ind w:left="0" w:firstLine="0"/>
        <w:outlineLvl w:val="2"/>
        <w:rPr>
          <w:rFonts w:ascii="宋体" w:hAnsi="宋体"/>
          <w:b/>
          <w:bCs/>
          <w:color w:val="auto"/>
          <w:sz w:val="28"/>
          <w:szCs w:val="28"/>
          <w:highlight w:val="none"/>
        </w:rPr>
      </w:pPr>
      <w:bookmarkStart w:id="94" w:name="_Toc217446067"/>
      <w:r>
        <w:rPr>
          <w:rFonts w:hint="eastAsia" w:ascii="宋体" w:hAnsi="宋体"/>
          <w:b/>
          <w:bCs/>
          <w:color w:val="auto"/>
          <w:sz w:val="28"/>
          <w:szCs w:val="28"/>
          <w:highlight w:val="none"/>
        </w:rPr>
        <w:t>采购人增加合同标的的权</w:t>
      </w:r>
      <w:bookmarkEnd w:id="94"/>
      <w:r>
        <w:rPr>
          <w:rFonts w:hint="eastAsia" w:ascii="宋体" w:hAnsi="宋体"/>
          <w:b/>
          <w:bCs/>
          <w:color w:val="auto"/>
          <w:sz w:val="28"/>
          <w:szCs w:val="28"/>
          <w:highlight w:val="none"/>
        </w:rPr>
        <w:t>利</w:t>
      </w:r>
    </w:p>
    <w:p>
      <w:pPr>
        <w:spacing w:after="18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28"/>
        </w:numPr>
        <w:spacing w:line="360" w:lineRule="auto"/>
        <w:ind w:left="0" w:firstLine="0"/>
        <w:outlineLvl w:val="2"/>
        <w:rPr>
          <w:rFonts w:ascii="宋体" w:hAnsi="宋体"/>
          <w:b/>
          <w:bCs/>
          <w:color w:val="auto"/>
          <w:sz w:val="28"/>
          <w:szCs w:val="28"/>
          <w:highlight w:val="none"/>
        </w:rPr>
      </w:pPr>
      <w:bookmarkStart w:id="95" w:name="_Toc217446068"/>
      <w:r>
        <w:rPr>
          <w:rFonts w:hint="eastAsia" w:ascii="宋体" w:hAnsi="宋体"/>
          <w:b/>
          <w:bCs/>
          <w:color w:val="auto"/>
          <w:sz w:val="28"/>
          <w:szCs w:val="28"/>
          <w:highlight w:val="none"/>
        </w:rPr>
        <w:t>履约保证金</w:t>
      </w:r>
      <w:bookmarkEnd w:id="95"/>
    </w:p>
    <w:p>
      <w:pPr>
        <w:pStyle w:val="2"/>
        <w:rPr>
          <w:rFonts w:hint="eastAsia" w:ascii="宋体" w:hAnsi="宋体"/>
          <w:b/>
          <w:bCs/>
          <w:color w:val="auto"/>
          <w:sz w:val="28"/>
          <w:szCs w:val="28"/>
          <w:highlight w:val="none"/>
          <w:lang w:eastAsia="zh-CN"/>
        </w:rPr>
      </w:pPr>
      <w:r>
        <w:rPr>
          <w:rFonts w:hint="eastAsia" w:ascii="宋体" w:hAnsi="宋体"/>
          <w:color w:val="auto"/>
          <w:sz w:val="28"/>
          <w:szCs w:val="28"/>
          <w:highlight w:val="none"/>
          <w:lang w:val="en-US" w:eastAsia="zh-CN"/>
        </w:rPr>
        <w:t xml:space="preserve">   </w:t>
      </w:r>
      <w:r>
        <w:rPr>
          <w:rFonts w:hint="eastAsia" w:ascii="宋体" w:hAnsi="宋体"/>
          <w:b/>
          <w:bCs/>
          <w:color w:val="auto"/>
          <w:sz w:val="28"/>
          <w:szCs w:val="28"/>
          <w:highlight w:val="none"/>
          <w:lang w:eastAsia="zh-CN"/>
        </w:rPr>
        <w:t>一、</w:t>
      </w:r>
      <w:r>
        <w:rPr>
          <w:rFonts w:hint="eastAsia" w:ascii="宋体" w:hAnsi="宋体"/>
          <w:b/>
          <w:bCs/>
          <w:color w:val="auto"/>
          <w:sz w:val="28"/>
          <w:szCs w:val="28"/>
          <w:highlight w:val="none"/>
        </w:rPr>
        <w:t>履约保证金收取金额：</w:t>
      </w:r>
      <w:r>
        <w:rPr>
          <w:rFonts w:hint="eastAsia" w:ascii="宋体" w:hAnsi="宋体"/>
          <w:b/>
          <w:bCs/>
          <w:color w:val="auto"/>
          <w:sz w:val="28"/>
          <w:szCs w:val="28"/>
          <w:highlight w:val="none"/>
          <w:lang w:val="en-US" w:eastAsia="zh-CN"/>
        </w:rPr>
        <w:t>对应包件</w:t>
      </w:r>
      <w:r>
        <w:rPr>
          <w:rFonts w:hint="eastAsia" w:ascii="宋体" w:hAnsi="宋体"/>
          <w:b/>
          <w:bCs/>
          <w:color w:val="auto"/>
          <w:sz w:val="28"/>
          <w:szCs w:val="28"/>
          <w:highlight w:val="none"/>
        </w:rPr>
        <w:t>中标金额的5%</w:t>
      </w:r>
      <w:r>
        <w:rPr>
          <w:rFonts w:hint="eastAsia" w:ascii="宋体" w:hAnsi="宋体"/>
          <w:b/>
          <w:bCs/>
          <w:color w:val="auto"/>
          <w:sz w:val="28"/>
          <w:szCs w:val="28"/>
          <w:highlight w:val="none"/>
          <w:lang w:eastAsia="zh-CN"/>
        </w:rPr>
        <w:t>；</w:t>
      </w:r>
    </w:p>
    <w:p>
      <w:pPr>
        <w:pStyle w:val="2"/>
        <w:rPr>
          <w:rFonts w:hint="eastAsia" w:ascii="宋体" w:hAnsi="宋体"/>
          <w:color w:val="auto"/>
          <w:sz w:val="28"/>
          <w:szCs w:val="28"/>
          <w:highlight w:val="none"/>
        </w:rPr>
      </w:pPr>
      <w:r>
        <w:rPr>
          <w:rFonts w:hint="eastAsia" w:ascii="宋体" w:hAnsi="宋体"/>
          <w:color w:val="auto"/>
          <w:sz w:val="28"/>
          <w:szCs w:val="28"/>
          <w:highlight w:val="none"/>
          <w:lang w:val="en-US" w:eastAsia="zh-CN"/>
        </w:rPr>
        <w:t xml:space="preserve">   二、</w:t>
      </w:r>
      <w:r>
        <w:rPr>
          <w:rFonts w:hint="eastAsia" w:ascii="宋体" w:hAnsi="宋体"/>
          <w:color w:val="auto"/>
          <w:sz w:val="28"/>
          <w:szCs w:val="28"/>
          <w:highlight w:val="none"/>
        </w:rPr>
        <w:t>供应商交纳时间：供应商应当在中标通知书发出后20日内缴纳给采购人</w:t>
      </w:r>
      <w:r>
        <w:rPr>
          <w:rFonts w:hint="eastAsia" w:ascii="宋体" w:hAnsi="宋体"/>
          <w:color w:val="auto"/>
          <w:sz w:val="28"/>
          <w:szCs w:val="28"/>
          <w:highlight w:val="none"/>
          <w:lang w:eastAsia="zh-CN"/>
        </w:rPr>
        <w:t>；</w:t>
      </w:r>
    </w:p>
    <w:p>
      <w:pPr>
        <w:pStyle w:val="2"/>
        <w:rPr>
          <w:rFonts w:hint="eastAsia" w:ascii="宋体" w:hAnsi="宋体"/>
          <w:color w:val="auto"/>
          <w:sz w:val="28"/>
          <w:szCs w:val="28"/>
          <w:highlight w:val="none"/>
        </w:rPr>
      </w:pPr>
      <w:r>
        <w:rPr>
          <w:rFonts w:hint="eastAsia" w:ascii="宋体" w:hAnsi="宋体"/>
          <w:color w:val="auto"/>
          <w:sz w:val="28"/>
          <w:szCs w:val="28"/>
          <w:highlight w:val="none"/>
          <w:lang w:val="en-US" w:eastAsia="zh-CN"/>
        </w:rPr>
        <w:t xml:space="preserve">   三、</w:t>
      </w:r>
      <w:r>
        <w:rPr>
          <w:rFonts w:hint="eastAsia" w:ascii="宋体" w:hAnsi="宋体"/>
          <w:color w:val="auto"/>
          <w:sz w:val="28"/>
          <w:szCs w:val="28"/>
          <w:highlight w:val="none"/>
        </w:rPr>
        <w:t>采购人退还时间及条件</w:t>
      </w:r>
      <w:r>
        <w:rPr>
          <w:rFonts w:hint="eastAsia" w:ascii="宋体" w:hAnsi="宋体"/>
          <w:color w:val="auto"/>
          <w:sz w:val="28"/>
          <w:szCs w:val="28"/>
          <w:highlight w:val="none"/>
          <w:lang w:eastAsia="zh-CN"/>
        </w:rPr>
        <w:t>：</w:t>
      </w:r>
      <w:r>
        <w:rPr>
          <w:rFonts w:hint="eastAsia" w:ascii="宋体" w:hAnsi="宋体"/>
          <w:color w:val="auto"/>
          <w:sz w:val="28"/>
          <w:szCs w:val="28"/>
          <w:highlight w:val="none"/>
        </w:rPr>
        <w:t>服务期满，乙方作业质量达到标准并按照《劳动法》规定做好环卫工人善后处理工作，经甲方履约验收合格后，甲方一次性退还乙方履约保证金（无息），否则扣除乙方相应金额的保证金</w:t>
      </w:r>
      <w:r>
        <w:rPr>
          <w:rFonts w:hint="eastAsia" w:ascii="宋体" w:hAnsi="宋体"/>
          <w:color w:val="auto"/>
          <w:sz w:val="28"/>
          <w:szCs w:val="28"/>
          <w:highlight w:val="none"/>
          <w:lang w:eastAsia="zh-CN"/>
        </w:rPr>
        <w:t>；</w:t>
      </w:r>
    </w:p>
    <w:p>
      <w:pPr>
        <w:pStyle w:val="2"/>
        <w:rPr>
          <w:rFonts w:hint="eastAsia"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四、</w:t>
      </w:r>
      <w:r>
        <w:rPr>
          <w:rFonts w:hint="eastAsia" w:ascii="宋体" w:hAnsi="宋体"/>
          <w:color w:val="auto"/>
          <w:sz w:val="28"/>
          <w:szCs w:val="28"/>
          <w:highlight w:val="none"/>
        </w:rPr>
        <w:t>履约保证金接受保函形式（如供应商提供履约担保为保函形式的，保函期限应为自合同签订之日起至合同到期之日+1月）。</w:t>
      </w:r>
    </w:p>
    <w:p>
      <w:pPr>
        <w:pStyle w:val="3"/>
        <w:rPr>
          <w:color w:val="auto"/>
          <w:highlight w:val="none"/>
        </w:rPr>
      </w:pPr>
    </w:p>
    <w:p>
      <w:pPr>
        <w:pStyle w:val="2"/>
        <w:rPr>
          <w:rFonts w:hint="eastAsia" w:ascii="宋体" w:hAnsi="宋体"/>
          <w:color w:val="auto"/>
          <w:sz w:val="28"/>
          <w:szCs w:val="28"/>
          <w:highlight w:val="none"/>
          <w:lang w:eastAsia="zh-CN"/>
        </w:rPr>
      </w:pPr>
      <w:r>
        <w:rPr>
          <w:rFonts w:hint="eastAsia" w:ascii="宋体" w:hAnsi="宋体"/>
          <w:color w:val="auto"/>
          <w:sz w:val="28"/>
          <w:szCs w:val="28"/>
          <w:highlight w:val="none"/>
        </w:rPr>
        <w:t>收款单位：</w:t>
      </w:r>
      <w:r>
        <w:rPr>
          <w:rFonts w:hint="eastAsia" w:ascii="宋体" w:hAnsi="宋体"/>
          <w:color w:val="auto"/>
          <w:sz w:val="28"/>
          <w:szCs w:val="28"/>
          <w:highlight w:val="none"/>
          <w:lang w:eastAsia="zh-CN"/>
        </w:rPr>
        <w:t>成都市锦江区综合行政执法局</w:t>
      </w:r>
    </w:p>
    <w:p>
      <w:pPr>
        <w:pStyle w:val="2"/>
        <w:rPr>
          <w:rFonts w:hint="eastAsia" w:ascii="宋体" w:hAnsi="宋体"/>
          <w:color w:val="auto"/>
          <w:sz w:val="28"/>
          <w:szCs w:val="28"/>
          <w:highlight w:val="none"/>
          <w:lang w:eastAsia="zh-CN"/>
        </w:rPr>
      </w:pPr>
      <w:r>
        <w:rPr>
          <w:rFonts w:hint="eastAsia" w:ascii="宋体" w:hAnsi="宋体"/>
          <w:color w:val="auto"/>
          <w:sz w:val="28"/>
          <w:szCs w:val="28"/>
          <w:highlight w:val="none"/>
        </w:rPr>
        <w:t>开户银行：</w:t>
      </w:r>
      <w:r>
        <w:rPr>
          <w:rFonts w:hint="eastAsia" w:ascii="宋体" w:hAnsi="宋体"/>
          <w:color w:val="auto"/>
          <w:sz w:val="28"/>
          <w:szCs w:val="28"/>
          <w:highlight w:val="none"/>
          <w:lang w:eastAsia="zh-CN"/>
        </w:rPr>
        <w:t>建行成都大慈寺支行</w:t>
      </w:r>
    </w:p>
    <w:p>
      <w:pPr>
        <w:pStyle w:val="2"/>
        <w:rPr>
          <w:rFonts w:hint="eastAsia" w:ascii="宋体" w:hAnsi="宋体"/>
          <w:color w:val="auto"/>
          <w:sz w:val="28"/>
          <w:szCs w:val="28"/>
          <w:highlight w:val="none"/>
          <w:lang w:val="en-US" w:eastAsia="zh-CN"/>
        </w:rPr>
      </w:pPr>
      <w:r>
        <w:rPr>
          <w:rFonts w:hint="eastAsia" w:ascii="宋体" w:hAnsi="宋体"/>
          <w:color w:val="auto"/>
          <w:sz w:val="28"/>
          <w:szCs w:val="28"/>
          <w:highlight w:val="none"/>
        </w:rPr>
        <w:t>银行账号：</w:t>
      </w:r>
      <w:r>
        <w:rPr>
          <w:rFonts w:hint="eastAsia" w:ascii="宋体" w:hAnsi="宋体"/>
          <w:color w:val="auto"/>
          <w:sz w:val="28"/>
          <w:szCs w:val="28"/>
          <w:highlight w:val="none"/>
          <w:lang w:val="en-US" w:eastAsia="zh-CN"/>
        </w:rPr>
        <w:t>51001498436058000001</w:t>
      </w:r>
    </w:p>
    <w:p>
      <w:pPr>
        <w:pStyle w:val="3"/>
        <w:rPr>
          <w:rFonts w:hint="eastAsia"/>
          <w:color w:val="auto"/>
          <w:highlight w:val="none"/>
          <w:lang w:val="en-US" w:eastAsia="zh-CN"/>
        </w:rPr>
      </w:pPr>
    </w:p>
    <w:p>
      <w:pPr>
        <w:pStyle w:val="2"/>
        <w:rPr>
          <w:rFonts w:hint="eastAsia" w:ascii="宋体" w:hAnsi="宋体" w:eastAsia="宋体" w:cs="Times New Roman"/>
          <w:color w:val="auto"/>
          <w:kern w:val="2"/>
          <w:sz w:val="28"/>
          <w:szCs w:val="28"/>
          <w:highlight w:val="none"/>
          <w:lang w:val="en-US" w:eastAsia="zh-CN" w:bidi="ar-SA"/>
        </w:rPr>
      </w:pPr>
      <w:r>
        <w:rPr>
          <w:rFonts w:hint="eastAsia" w:ascii="宋体" w:hAnsi="宋体"/>
          <w:color w:val="auto"/>
          <w:sz w:val="28"/>
          <w:szCs w:val="28"/>
          <w:highlight w:val="none"/>
          <w:lang w:val="en-US" w:eastAsia="zh-CN"/>
        </w:rPr>
        <w:t xml:space="preserve">   五、</w:t>
      </w:r>
      <w:r>
        <w:rPr>
          <w:rFonts w:ascii="宋体" w:hAnsi="宋体"/>
          <w:color w:val="auto"/>
          <w:sz w:val="28"/>
          <w:szCs w:val="28"/>
          <w:highlight w:val="none"/>
        </w:rPr>
        <w:t>如</w:t>
      </w:r>
      <w:r>
        <w:rPr>
          <w:rFonts w:hint="eastAsia" w:ascii="宋体" w:hAnsi="宋体" w:eastAsia="宋体" w:cs="Times New Roman"/>
          <w:color w:val="auto"/>
          <w:kern w:val="2"/>
          <w:sz w:val="28"/>
          <w:szCs w:val="28"/>
          <w:highlight w:val="none"/>
          <w:lang w:val="en-US" w:eastAsia="zh-CN" w:bidi="ar-SA"/>
        </w:rPr>
        <w:t>中标人未按时足额向采购人交纳履约保证金，视为供应商拒绝签订合同，采购人有权按照评标报告确定的中标候选人名单顺序，确定下一候选人为中标供应商，或重新开展政府采购活动。</w:t>
      </w:r>
    </w:p>
    <w:p>
      <w:pPr>
        <w:keepNext/>
        <w:keepLines/>
        <w:numPr>
          <w:ilvl w:val="2"/>
          <w:numId w:val="28"/>
        </w:numPr>
        <w:spacing w:line="360" w:lineRule="auto"/>
        <w:ind w:left="0" w:firstLine="0"/>
        <w:outlineLvl w:val="2"/>
        <w:rPr>
          <w:rFonts w:ascii="宋体" w:hAnsi="宋体"/>
          <w:b/>
          <w:bCs/>
          <w:color w:val="auto"/>
          <w:sz w:val="28"/>
          <w:szCs w:val="28"/>
          <w:highlight w:val="none"/>
        </w:rPr>
      </w:pPr>
      <w:bookmarkStart w:id="96" w:name="_Toc217446069"/>
      <w:r>
        <w:rPr>
          <w:rFonts w:hint="eastAsia" w:ascii="宋体" w:hAnsi="宋体"/>
          <w:b/>
          <w:bCs/>
          <w:color w:val="auto"/>
          <w:sz w:val="28"/>
          <w:szCs w:val="28"/>
          <w:highlight w:val="none"/>
        </w:rPr>
        <w:t>合同公告</w:t>
      </w:r>
    </w:p>
    <w:p>
      <w:pPr>
        <w:spacing w:after="18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采购人应当自政府采购合同签订之日起2个工作日内，在四川政府采购网公告，但政府采购合同中涉及国家秘密、商业秘密的内容除外。</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合同备案</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采购人在30日内与供应商签订政府采购合同及按成都市锦江区财政局的要求完成合同备案工作。</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履行合同</w:t>
      </w:r>
      <w:bookmarkEnd w:id="96"/>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一、合同一经签订，双方应严格履行合同规定的义务。</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二、在合同履行过程中，如发生合同纠纷，合同双方应按照《中华人民共和国民法典》及合同条款的有关规定进行处理。</w:t>
      </w:r>
    </w:p>
    <w:p>
      <w:pPr>
        <w:keepNext/>
        <w:keepLines/>
        <w:numPr>
          <w:ilvl w:val="2"/>
          <w:numId w:val="28"/>
        </w:numPr>
        <w:spacing w:line="360" w:lineRule="auto"/>
        <w:ind w:left="0" w:firstLine="0"/>
        <w:outlineLvl w:val="2"/>
        <w:rPr>
          <w:rFonts w:ascii="宋体" w:hAnsi="宋体"/>
          <w:b/>
          <w:bCs/>
          <w:color w:val="auto"/>
          <w:sz w:val="28"/>
          <w:szCs w:val="28"/>
          <w:highlight w:val="none"/>
        </w:rPr>
      </w:pPr>
      <w:bookmarkStart w:id="97" w:name="_Toc217446070"/>
      <w:r>
        <w:rPr>
          <w:rFonts w:hint="eastAsia" w:ascii="宋体" w:hAnsi="宋体"/>
          <w:b/>
          <w:bCs/>
          <w:color w:val="auto"/>
          <w:sz w:val="28"/>
          <w:szCs w:val="28"/>
          <w:highlight w:val="none"/>
        </w:rPr>
        <w:t>验收</w:t>
      </w:r>
      <w:bookmarkEnd w:id="97"/>
      <w:r>
        <w:rPr>
          <w:rFonts w:hint="eastAsia" w:ascii="宋体" w:hAnsi="宋体"/>
          <w:b/>
          <w:bCs/>
          <w:color w:val="auto"/>
          <w:sz w:val="28"/>
          <w:szCs w:val="28"/>
          <w:highlight w:val="none"/>
        </w:rPr>
        <w:t>考核</w:t>
      </w:r>
    </w:p>
    <w:bookmarkEnd w:id="88"/>
    <w:bookmarkEnd w:id="89"/>
    <w:p>
      <w:pPr>
        <w:pStyle w:val="28"/>
        <w:spacing w:line="360" w:lineRule="auto"/>
        <w:ind w:left="0" w:leftChars="0" w:firstLine="565" w:firstLineChars="202"/>
        <w:rPr>
          <w:rFonts w:ascii="宋体" w:hAnsi="宋体"/>
          <w:color w:val="auto"/>
          <w:sz w:val="28"/>
          <w:szCs w:val="28"/>
          <w:highlight w:val="none"/>
        </w:rPr>
      </w:pPr>
      <w:bookmarkStart w:id="98" w:name="_Toc217446074"/>
      <w:bookmarkStart w:id="99" w:name="_Toc183582243"/>
      <w:bookmarkStart w:id="100" w:name="_Toc183682380"/>
      <w:r>
        <w:rPr>
          <w:rFonts w:hint="eastAsia" w:ascii="宋体" w:hAnsi="宋体"/>
          <w:color w:val="auto"/>
          <w:sz w:val="28"/>
          <w:szCs w:val="28"/>
          <w:highlight w:val="none"/>
        </w:rPr>
        <w:t>采购人严格按照国家相关法律法规的要求组织验收或考核，采购</w:t>
      </w:r>
      <w:r>
        <w:rPr>
          <w:rFonts w:ascii="宋体" w:hAnsi="宋体"/>
          <w:color w:val="auto"/>
          <w:sz w:val="28"/>
          <w:szCs w:val="28"/>
          <w:highlight w:val="none"/>
        </w:rPr>
        <w:t>预算金额大</w:t>
      </w:r>
      <w:r>
        <w:rPr>
          <w:rFonts w:hint="eastAsia" w:ascii="宋体" w:hAnsi="宋体"/>
          <w:color w:val="auto"/>
          <w:sz w:val="28"/>
          <w:szCs w:val="28"/>
          <w:highlight w:val="none"/>
        </w:rPr>
        <w:t>的采购</w:t>
      </w:r>
      <w:r>
        <w:rPr>
          <w:rFonts w:ascii="宋体" w:hAnsi="宋体"/>
          <w:color w:val="auto"/>
          <w:sz w:val="28"/>
          <w:szCs w:val="28"/>
          <w:highlight w:val="none"/>
        </w:rPr>
        <w:t>项目、政府</w:t>
      </w:r>
      <w:r>
        <w:rPr>
          <w:rFonts w:hint="eastAsia" w:ascii="宋体" w:hAnsi="宋体"/>
          <w:color w:val="auto"/>
          <w:sz w:val="28"/>
          <w:szCs w:val="28"/>
          <w:highlight w:val="none"/>
        </w:rPr>
        <w:t>向</w:t>
      </w:r>
      <w:r>
        <w:rPr>
          <w:rFonts w:ascii="宋体" w:hAnsi="宋体"/>
          <w:color w:val="auto"/>
          <w:sz w:val="28"/>
          <w:szCs w:val="28"/>
          <w:highlight w:val="none"/>
        </w:rPr>
        <w:t>社会公共提供的公共服务项目、采购人和实际使用人或者受益者分离、有质疑投诉举报的采购项目，</w:t>
      </w:r>
      <w:r>
        <w:rPr>
          <w:rFonts w:hint="eastAsia" w:ascii="宋体" w:hAnsi="宋体"/>
          <w:color w:val="auto"/>
          <w:sz w:val="28"/>
          <w:szCs w:val="28"/>
          <w:highlight w:val="none"/>
        </w:rPr>
        <w:t>可以</w:t>
      </w:r>
      <w:r>
        <w:rPr>
          <w:rFonts w:ascii="宋体" w:hAnsi="宋体"/>
          <w:color w:val="auto"/>
          <w:sz w:val="28"/>
          <w:szCs w:val="28"/>
          <w:highlight w:val="none"/>
        </w:rPr>
        <w:t>邀请国家认可的</w:t>
      </w:r>
      <w:r>
        <w:rPr>
          <w:rFonts w:hint="eastAsia" w:ascii="宋体" w:hAnsi="宋体"/>
          <w:color w:val="auto"/>
          <w:sz w:val="28"/>
          <w:szCs w:val="28"/>
          <w:highlight w:val="none"/>
        </w:rPr>
        <w:t>第三方</w:t>
      </w:r>
      <w:r>
        <w:rPr>
          <w:rFonts w:ascii="宋体" w:hAnsi="宋体"/>
          <w:color w:val="auto"/>
          <w:sz w:val="28"/>
          <w:szCs w:val="28"/>
          <w:highlight w:val="none"/>
        </w:rPr>
        <w:t>检测机构或者集采机构参与</w:t>
      </w:r>
      <w:r>
        <w:rPr>
          <w:rFonts w:hint="eastAsia" w:ascii="宋体" w:hAnsi="宋体"/>
          <w:color w:val="auto"/>
          <w:sz w:val="28"/>
          <w:szCs w:val="28"/>
          <w:highlight w:val="none"/>
        </w:rPr>
        <w:t>履约</w:t>
      </w:r>
      <w:r>
        <w:rPr>
          <w:rFonts w:ascii="宋体" w:hAnsi="宋体"/>
          <w:color w:val="auto"/>
          <w:sz w:val="28"/>
          <w:szCs w:val="28"/>
          <w:highlight w:val="none"/>
        </w:rPr>
        <w:t>验收工作</w:t>
      </w:r>
      <w:r>
        <w:rPr>
          <w:rFonts w:hint="eastAsia" w:ascii="宋体" w:hAnsi="宋体"/>
          <w:color w:val="auto"/>
          <w:sz w:val="28"/>
          <w:szCs w:val="28"/>
          <w:highlight w:val="none"/>
        </w:rPr>
        <w:t>。</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资金支付</w:t>
      </w:r>
    </w:p>
    <w:p>
      <w:pPr>
        <w:spacing w:after="180" w:line="360" w:lineRule="auto"/>
        <w:ind w:firstLine="567"/>
        <w:rPr>
          <w:rFonts w:hint="eastAsia" w:ascii="宋体" w:hAnsi="宋体"/>
          <w:color w:val="auto"/>
          <w:sz w:val="28"/>
          <w:szCs w:val="28"/>
          <w:highlight w:val="none"/>
        </w:rPr>
      </w:pPr>
      <w:r>
        <w:rPr>
          <w:rFonts w:hint="eastAsia" w:ascii="宋体" w:hAnsi="宋体"/>
          <w:color w:val="auto"/>
          <w:sz w:val="28"/>
          <w:szCs w:val="28"/>
          <w:highlight w:val="none"/>
        </w:rPr>
        <w:t>采购人按财政部门的相关规定及采购合同的约定进行支付。</w:t>
      </w:r>
    </w:p>
    <w:p>
      <w:pPr>
        <w:keepNext/>
        <w:keepLines/>
        <w:numPr>
          <w:ilvl w:val="1"/>
          <w:numId w:val="28"/>
        </w:numPr>
        <w:spacing w:line="360" w:lineRule="auto"/>
        <w:jc w:val="left"/>
        <w:outlineLvl w:val="1"/>
        <w:rPr>
          <w:rFonts w:ascii="宋体" w:hAnsi="宋体"/>
          <w:b/>
          <w:bCs/>
          <w:color w:val="auto"/>
          <w:sz w:val="28"/>
          <w:szCs w:val="28"/>
          <w:highlight w:val="none"/>
        </w:rPr>
      </w:pPr>
      <w:bookmarkStart w:id="101" w:name="_Toc30355"/>
      <w:r>
        <w:rPr>
          <w:rFonts w:hint="eastAsia" w:ascii="宋体" w:hAnsi="宋体"/>
          <w:b/>
          <w:bCs/>
          <w:color w:val="auto"/>
          <w:sz w:val="28"/>
          <w:szCs w:val="28"/>
          <w:highlight w:val="none"/>
        </w:rPr>
        <w:t>投标纪律要求</w:t>
      </w:r>
      <w:bookmarkEnd w:id="98"/>
      <w:bookmarkEnd w:id="101"/>
    </w:p>
    <w:p>
      <w:pPr>
        <w:keepNext/>
        <w:keepLines/>
        <w:numPr>
          <w:ilvl w:val="2"/>
          <w:numId w:val="28"/>
        </w:numPr>
        <w:spacing w:line="360" w:lineRule="auto"/>
        <w:ind w:left="0" w:firstLine="0"/>
        <w:outlineLvl w:val="2"/>
        <w:rPr>
          <w:rFonts w:ascii="宋体" w:hAnsi="宋体"/>
          <w:b/>
          <w:bCs/>
          <w:color w:val="auto"/>
          <w:sz w:val="28"/>
          <w:szCs w:val="28"/>
          <w:highlight w:val="none"/>
        </w:rPr>
      </w:pPr>
      <w:bookmarkStart w:id="102" w:name="_Toc217446075"/>
      <w:r>
        <w:rPr>
          <w:rFonts w:hint="eastAsia" w:ascii="宋体" w:hAnsi="宋体"/>
          <w:b/>
          <w:bCs/>
          <w:color w:val="auto"/>
          <w:sz w:val="28"/>
          <w:szCs w:val="28"/>
          <w:highlight w:val="none"/>
        </w:rPr>
        <w:t>投标人不得具有的情形</w:t>
      </w:r>
      <w:bookmarkEnd w:id="102"/>
    </w:p>
    <w:p>
      <w:pPr>
        <w:spacing w:after="180" w:line="360" w:lineRule="auto"/>
        <w:ind w:firstLine="567"/>
        <w:rPr>
          <w:rFonts w:ascii="宋体" w:hAnsi="宋体"/>
          <w:color w:val="auto"/>
          <w:sz w:val="28"/>
          <w:szCs w:val="28"/>
          <w:highlight w:val="none"/>
        </w:rPr>
      </w:pPr>
      <w:r>
        <w:rPr>
          <w:rFonts w:hint="eastAsia" w:ascii="宋体" w:hAnsi="宋体"/>
          <w:color w:val="auto"/>
          <w:sz w:val="28"/>
          <w:szCs w:val="28"/>
          <w:highlight w:val="none"/>
        </w:rPr>
        <w:t>投标人参加投标不得有下列情形：</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有下列情形之一的，视为投标人串通投标：</w:t>
      </w:r>
    </w:p>
    <w:p>
      <w:pPr>
        <w:tabs>
          <w:tab w:val="left" w:pos="1134"/>
        </w:tabs>
        <w:spacing w:line="360" w:lineRule="auto"/>
        <w:ind w:left="420"/>
        <w:rPr>
          <w:rFonts w:ascii="宋体" w:hAnsi="宋体"/>
          <w:color w:val="auto"/>
          <w:sz w:val="28"/>
          <w:szCs w:val="28"/>
          <w:highlight w:val="none"/>
        </w:rPr>
      </w:pPr>
      <w:r>
        <w:rPr>
          <w:rFonts w:hint="eastAsia" w:ascii="宋体" w:hAnsi="宋体"/>
          <w:color w:val="auto"/>
          <w:sz w:val="28"/>
          <w:szCs w:val="28"/>
          <w:highlight w:val="none"/>
        </w:rPr>
        <w:t>（一）不同投标人的投标文件由同一单位或者个人编制；</w:t>
      </w:r>
    </w:p>
    <w:p>
      <w:pPr>
        <w:tabs>
          <w:tab w:val="left" w:pos="1134"/>
        </w:tabs>
        <w:spacing w:line="360" w:lineRule="auto"/>
        <w:ind w:left="420"/>
        <w:rPr>
          <w:rFonts w:ascii="宋体" w:hAnsi="宋体"/>
          <w:color w:val="auto"/>
          <w:sz w:val="28"/>
          <w:szCs w:val="28"/>
          <w:highlight w:val="none"/>
        </w:rPr>
      </w:pPr>
      <w:r>
        <w:rPr>
          <w:rFonts w:hint="eastAsia" w:ascii="宋体" w:hAnsi="宋体"/>
          <w:color w:val="auto"/>
          <w:sz w:val="28"/>
          <w:szCs w:val="28"/>
          <w:highlight w:val="none"/>
        </w:rPr>
        <w:t>（二）不同投标人委托同一单位或者个人办理投标事宜；</w:t>
      </w:r>
    </w:p>
    <w:p>
      <w:pPr>
        <w:tabs>
          <w:tab w:val="left" w:pos="1134"/>
        </w:tabs>
        <w:spacing w:line="360" w:lineRule="auto"/>
        <w:ind w:left="420"/>
        <w:rPr>
          <w:rFonts w:ascii="宋体" w:hAnsi="宋体"/>
          <w:color w:val="auto"/>
          <w:sz w:val="28"/>
          <w:szCs w:val="28"/>
          <w:highlight w:val="none"/>
        </w:rPr>
      </w:pPr>
      <w:r>
        <w:rPr>
          <w:rFonts w:hint="eastAsia" w:ascii="宋体" w:hAnsi="宋体"/>
          <w:color w:val="auto"/>
          <w:sz w:val="28"/>
          <w:szCs w:val="28"/>
          <w:highlight w:val="none"/>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highlight w:val="none"/>
        </w:rPr>
      </w:pPr>
      <w:r>
        <w:rPr>
          <w:rFonts w:hint="eastAsia" w:ascii="宋体" w:hAnsi="宋体"/>
          <w:color w:val="auto"/>
          <w:sz w:val="28"/>
          <w:szCs w:val="28"/>
          <w:highlight w:val="none"/>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highlight w:val="none"/>
        </w:rPr>
      </w:pPr>
      <w:r>
        <w:rPr>
          <w:rFonts w:hint="eastAsia" w:ascii="宋体" w:hAnsi="宋体"/>
          <w:color w:val="auto"/>
          <w:sz w:val="28"/>
          <w:szCs w:val="28"/>
          <w:highlight w:val="none"/>
        </w:rPr>
        <w:t>（五）不同投标人的投标文件相互混装；</w:t>
      </w:r>
    </w:p>
    <w:p>
      <w:pPr>
        <w:tabs>
          <w:tab w:val="left" w:pos="1134"/>
        </w:tabs>
        <w:spacing w:line="360" w:lineRule="auto"/>
        <w:ind w:left="420"/>
        <w:rPr>
          <w:rFonts w:ascii="宋体" w:hAnsi="宋体"/>
          <w:color w:val="auto"/>
          <w:sz w:val="28"/>
          <w:szCs w:val="28"/>
          <w:highlight w:val="none"/>
        </w:rPr>
      </w:pPr>
      <w:r>
        <w:rPr>
          <w:rFonts w:hint="eastAsia" w:ascii="宋体" w:hAnsi="宋体"/>
          <w:color w:val="auto"/>
          <w:sz w:val="28"/>
          <w:szCs w:val="28"/>
          <w:highlight w:val="none"/>
        </w:rPr>
        <w:t>（六）不同投标人的投标保证金从同一单位或者个人的账户转出；</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提供虚假材料谋取中标；</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采取不正当手段诋毁、排挤其他投标人；</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与采购人或</w:t>
      </w:r>
      <w:r>
        <w:rPr>
          <w:rFonts w:hint="eastAsia" w:cs="Arial"/>
          <w:color w:val="auto"/>
          <w:sz w:val="28"/>
          <w:szCs w:val="28"/>
          <w:highlight w:val="none"/>
        </w:rPr>
        <w:t>区采购中心</w:t>
      </w:r>
      <w:r>
        <w:rPr>
          <w:rFonts w:hint="eastAsia" w:ascii="宋体" w:hAnsi="宋体"/>
          <w:color w:val="auto"/>
          <w:sz w:val="28"/>
          <w:szCs w:val="28"/>
          <w:highlight w:val="none"/>
        </w:rPr>
        <w:t>、其他投标人恶意串通；</w:t>
      </w:r>
    </w:p>
    <w:p>
      <w:pPr>
        <w:numPr>
          <w:ilvl w:val="1"/>
          <w:numId w:val="29"/>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向采购人或</w:t>
      </w:r>
      <w:r>
        <w:rPr>
          <w:rFonts w:hint="eastAsia" w:cs="Arial"/>
          <w:color w:val="auto"/>
          <w:sz w:val="28"/>
          <w:szCs w:val="28"/>
          <w:highlight w:val="none"/>
        </w:rPr>
        <w:t>区采购中心</w:t>
      </w:r>
      <w:r>
        <w:rPr>
          <w:rFonts w:hint="eastAsia" w:ascii="宋体" w:hAnsi="宋体"/>
          <w:color w:val="auto"/>
          <w:sz w:val="28"/>
          <w:szCs w:val="28"/>
          <w:highlight w:val="none"/>
        </w:rPr>
        <w:t>、评标委员会成员行贿或者提供其他不正当利益；</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在招标过程中与采购人或</w:t>
      </w:r>
      <w:r>
        <w:rPr>
          <w:rFonts w:hint="eastAsia" w:cs="Arial"/>
          <w:color w:val="auto"/>
          <w:sz w:val="28"/>
          <w:szCs w:val="28"/>
          <w:highlight w:val="none"/>
        </w:rPr>
        <w:t>区采购中心</w:t>
      </w:r>
      <w:r>
        <w:rPr>
          <w:rFonts w:hint="eastAsia" w:ascii="宋体" w:hAnsi="宋体"/>
          <w:color w:val="auto"/>
          <w:sz w:val="28"/>
          <w:szCs w:val="28"/>
          <w:highlight w:val="none"/>
        </w:rPr>
        <w:t>进行协商谈判；</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中标后无正当理由拒不与采购人签订政府采购合同；</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未按照采购文件确定的事项签订政府采购合同；</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将政府采购合同转包或者违规分包；</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提供假冒伪劣产品；</w:t>
      </w:r>
    </w:p>
    <w:p>
      <w:pPr>
        <w:numPr>
          <w:ilvl w:val="1"/>
          <w:numId w:val="29"/>
        </w:numPr>
        <w:tabs>
          <w:tab w:val="left" w:pos="1134"/>
          <w:tab w:val="left" w:pos="1418"/>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擅自变更、中止或者终止政府采购合同；</w:t>
      </w:r>
    </w:p>
    <w:p>
      <w:pPr>
        <w:tabs>
          <w:tab w:val="left" w:pos="1134"/>
        </w:tabs>
        <w:spacing w:line="360" w:lineRule="auto"/>
        <w:ind w:left="567"/>
        <w:rPr>
          <w:rFonts w:ascii="宋体" w:hAnsi="宋体"/>
          <w:color w:val="auto"/>
          <w:sz w:val="28"/>
          <w:szCs w:val="28"/>
          <w:highlight w:val="none"/>
        </w:rPr>
      </w:pPr>
      <w:r>
        <w:rPr>
          <w:rFonts w:hint="eastAsia" w:ascii="宋体" w:hAnsi="宋体"/>
          <w:color w:val="auto"/>
          <w:sz w:val="28"/>
          <w:szCs w:val="28"/>
          <w:highlight w:val="none"/>
        </w:rPr>
        <w:t>十二、拒绝有关部门的监督检查或者向监督检查部门提供虚假情况；</w:t>
      </w:r>
    </w:p>
    <w:p>
      <w:pPr>
        <w:spacing w:after="180"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十三、法律法规规定的其他禁止情形。</w:t>
      </w:r>
    </w:p>
    <w:p>
      <w:pPr>
        <w:spacing w:after="180" w:line="360" w:lineRule="auto"/>
        <w:ind w:firstLine="568" w:firstLineChars="202"/>
        <w:rPr>
          <w:rFonts w:ascii="宋体" w:hAnsi="宋体"/>
          <w:b/>
          <w:color w:val="auto"/>
          <w:sz w:val="28"/>
          <w:szCs w:val="28"/>
          <w:highlight w:val="none"/>
        </w:rPr>
      </w:pPr>
      <w:r>
        <w:rPr>
          <w:rFonts w:hint="eastAsia" w:ascii="宋体" w:hAnsi="宋体"/>
          <w:b/>
          <w:color w:val="auto"/>
          <w:sz w:val="28"/>
          <w:szCs w:val="28"/>
          <w:highlight w:val="none"/>
        </w:rPr>
        <w:t>投标人有上述情形的，按照规定追究法律责任，具备一至十</w:t>
      </w:r>
      <w:r>
        <w:rPr>
          <w:rFonts w:hint="eastAsia" w:ascii="宋体" w:hAnsi="宋体"/>
          <w:b/>
          <w:color w:val="auto"/>
          <w:sz w:val="28"/>
          <w:szCs w:val="28"/>
          <w:highlight w:val="none"/>
          <w:lang w:val="en-US" w:eastAsia="zh-CN"/>
        </w:rPr>
        <w:t>一</w:t>
      </w:r>
      <w:r>
        <w:rPr>
          <w:rFonts w:hint="eastAsia" w:ascii="宋体" w:hAnsi="宋体"/>
          <w:b/>
          <w:color w:val="auto"/>
          <w:sz w:val="28"/>
          <w:szCs w:val="28"/>
          <w:highlight w:val="none"/>
        </w:rPr>
        <w:t>条情形之一的，其</w:t>
      </w:r>
      <w:r>
        <w:rPr>
          <w:rFonts w:ascii="宋体" w:hAnsi="宋体"/>
          <w:b/>
          <w:color w:val="auto"/>
          <w:sz w:val="28"/>
          <w:szCs w:val="28"/>
          <w:highlight w:val="none"/>
        </w:rPr>
        <w:t>投标文件无效，</w:t>
      </w:r>
      <w:r>
        <w:rPr>
          <w:rFonts w:hint="eastAsia" w:ascii="宋体" w:hAnsi="宋体"/>
          <w:b/>
          <w:color w:val="auto"/>
          <w:sz w:val="28"/>
          <w:szCs w:val="28"/>
          <w:highlight w:val="none"/>
        </w:rPr>
        <w:t>或</w:t>
      </w:r>
      <w:r>
        <w:rPr>
          <w:rFonts w:ascii="宋体" w:hAnsi="宋体"/>
          <w:b/>
          <w:color w:val="auto"/>
          <w:sz w:val="28"/>
          <w:szCs w:val="28"/>
          <w:highlight w:val="none"/>
        </w:rPr>
        <w:t>取消被</w:t>
      </w:r>
      <w:r>
        <w:rPr>
          <w:rFonts w:hint="eastAsia" w:ascii="宋体" w:hAnsi="宋体"/>
          <w:b/>
          <w:color w:val="auto"/>
          <w:sz w:val="28"/>
          <w:szCs w:val="28"/>
          <w:highlight w:val="none"/>
        </w:rPr>
        <w:t>确认为中标</w:t>
      </w:r>
      <w:r>
        <w:rPr>
          <w:rFonts w:ascii="宋体" w:hAnsi="宋体"/>
          <w:b/>
          <w:color w:val="auto"/>
          <w:sz w:val="28"/>
          <w:szCs w:val="28"/>
          <w:highlight w:val="none"/>
        </w:rPr>
        <w:t>供应商的资格或认定</w:t>
      </w:r>
      <w:r>
        <w:rPr>
          <w:rFonts w:hint="eastAsia" w:ascii="宋体" w:hAnsi="宋体"/>
          <w:b/>
          <w:color w:val="auto"/>
          <w:sz w:val="28"/>
          <w:szCs w:val="28"/>
          <w:highlight w:val="none"/>
        </w:rPr>
        <w:t>中标</w:t>
      </w:r>
      <w:r>
        <w:rPr>
          <w:rFonts w:ascii="宋体" w:hAnsi="宋体"/>
          <w:b/>
          <w:color w:val="auto"/>
          <w:sz w:val="28"/>
          <w:szCs w:val="28"/>
          <w:highlight w:val="none"/>
        </w:rPr>
        <w:t>无效</w:t>
      </w:r>
      <w:r>
        <w:rPr>
          <w:rFonts w:hint="eastAsia" w:ascii="宋体" w:hAnsi="宋体"/>
          <w:b/>
          <w:color w:val="auto"/>
          <w:sz w:val="28"/>
          <w:szCs w:val="28"/>
          <w:highlight w:val="none"/>
        </w:rPr>
        <w:t>。</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回避</w:t>
      </w:r>
    </w:p>
    <w:p>
      <w:pPr>
        <w:shd w:val="clear" w:color="auto"/>
        <w:spacing w:line="360" w:lineRule="auto"/>
        <w:ind w:firstLine="560" w:firstLineChars="200"/>
        <w:rPr>
          <w:rFonts w:ascii="宋体" w:hAnsi="宋体" w:cs="Helvetica"/>
          <w:color w:val="auto"/>
          <w:sz w:val="28"/>
          <w:szCs w:val="28"/>
          <w:highlight w:val="none"/>
          <w:shd w:val="clear" w:color="auto" w:fill="auto"/>
        </w:rPr>
      </w:pPr>
      <w:r>
        <w:rPr>
          <w:rFonts w:hint="eastAsia" w:ascii="宋体" w:hAnsi="宋体" w:cs="Helvetica"/>
          <w:color w:val="auto"/>
          <w:sz w:val="28"/>
          <w:szCs w:val="28"/>
          <w:highlight w:val="none"/>
          <w:shd w:val="clear" w:color="auto" w:fill="auto"/>
        </w:rPr>
        <w:t>在政府采购活动中，采购人员</w:t>
      </w:r>
      <w:r>
        <w:rPr>
          <w:rFonts w:hint="eastAsia" w:cs="Helvetica"/>
          <w:color w:val="auto"/>
          <w:sz w:val="28"/>
          <w:szCs w:val="28"/>
          <w:highlight w:val="none"/>
          <w:shd w:val="clear" w:color="auto" w:fill="auto"/>
        </w:rPr>
        <w:t>（如</w:t>
      </w:r>
      <w:r>
        <w:rPr>
          <w:rFonts w:hint="eastAsia"/>
          <w:color w:val="auto"/>
          <w:sz w:val="28"/>
          <w:szCs w:val="28"/>
          <w:highlight w:val="none"/>
          <w:shd w:val="clear" w:color="auto" w:fill="auto"/>
        </w:rPr>
        <w:t>采购人内部负责采购项目的具体经办工作人员或直接分管采购项目的负责人、</w:t>
      </w:r>
      <w:r>
        <w:rPr>
          <w:rFonts w:hint="eastAsia" w:cs="Arial"/>
          <w:color w:val="auto"/>
          <w:sz w:val="28"/>
          <w:szCs w:val="28"/>
          <w:highlight w:val="none"/>
          <w:shd w:val="clear" w:color="auto" w:fill="auto"/>
        </w:rPr>
        <w:t>区采购中心</w:t>
      </w:r>
      <w:r>
        <w:rPr>
          <w:rFonts w:hint="eastAsia"/>
          <w:color w:val="auto"/>
          <w:sz w:val="28"/>
          <w:szCs w:val="28"/>
          <w:highlight w:val="none"/>
          <w:shd w:val="clear" w:color="auto" w:fill="auto"/>
        </w:rPr>
        <w:t>负责采购项目的具体经办工作人员或直接分管采购活动的负责人等</w:t>
      </w:r>
      <w:r>
        <w:rPr>
          <w:rFonts w:hint="eastAsia" w:cs="Helvetica"/>
          <w:color w:val="auto"/>
          <w:sz w:val="28"/>
          <w:szCs w:val="28"/>
          <w:highlight w:val="none"/>
          <w:shd w:val="clear" w:color="auto" w:fill="auto"/>
        </w:rPr>
        <w:t>）</w:t>
      </w:r>
      <w:r>
        <w:rPr>
          <w:rFonts w:hint="eastAsia" w:ascii="宋体" w:hAnsi="宋体" w:cs="Helvetica"/>
          <w:color w:val="auto"/>
          <w:sz w:val="28"/>
          <w:szCs w:val="28"/>
          <w:highlight w:val="none"/>
          <w:shd w:val="clear" w:color="auto" w:fill="auto"/>
        </w:rPr>
        <w:t>及相关人员（包括</w:t>
      </w:r>
      <w:r>
        <w:rPr>
          <w:rFonts w:ascii="宋体" w:hAnsi="宋体" w:cs="Helvetica"/>
          <w:color w:val="auto"/>
          <w:sz w:val="28"/>
          <w:szCs w:val="28"/>
          <w:highlight w:val="none"/>
          <w:shd w:val="clear" w:color="auto" w:fill="auto"/>
        </w:rPr>
        <w:t>评标委员会的组成人员</w:t>
      </w:r>
      <w:r>
        <w:rPr>
          <w:rFonts w:hint="eastAsia" w:ascii="宋体" w:hAnsi="宋体" w:cs="Helvetica"/>
          <w:color w:val="auto"/>
          <w:sz w:val="28"/>
          <w:szCs w:val="28"/>
          <w:highlight w:val="none"/>
          <w:shd w:val="clear" w:color="auto" w:fill="auto"/>
        </w:rPr>
        <w:t>）与</w:t>
      </w:r>
      <w:r>
        <w:rPr>
          <w:rFonts w:hint="eastAsia" w:ascii="宋体" w:hAnsi="宋体"/>
          <w:color w:val="auto"/>
          <w:sz w:val="28"/>
          <w:szCs w:val="28"/>
          <w:highlight w:val="none"/>
          <w:shd w:val="clear" w:color="auto" w:fill="auto"/>
        </w:rPr>
        <w:t>供应商</w:t>
      </w:r>
      <w:r>
        <w:rPr>
          <w:rFonts w:hint="eastAsia" w:ascii="宋体" w:hAnsi="宋体" w:cs="Helvetica"/>
          <w:color w:val="auto"/>
          <w:sz w:val="28"/>
          <w:szCs w:val="28"/>
          <w:highlight w:val="none"/>
          <w:shd w:val="clear" w:color="auto" w:fill="auto"/>
        </w:rPr>
        <w:t>有下列利害关系之一的，应当回避：</w:t>
      </w:r>
    </w:p>
    <w:p>
      <w:pPr>
        <w:shd w:val="clear" w:color="auto"/>
        <w:spacing w:line="360" w:lineRule="auto"/>
        <w:ind w:left="708" w:hanging="708" w:hangingChars="253"/>
        <w:rPr>
          <w:rFonts w:ascii="宋体" w:hAnsi="宋体" w:cs="Helvetica"/>
          <w:color w:val="auto"/>
          <w:sz w:val="28"/>
          <w:szCs w:val="28"/>
          <w:highlight w:val="none"/>
          <w:shd w:val="clear" w:color="auto" w:fill="auto"/>
        </w:rPr>
      </w:pPr>
      <w:r>
        <w:rPr>
          <w:rFonts w:hint="eastAsia" w:ascii="宋体" w:hAnsi="宋体" w:cs="Helvetica"/>
          <w:color w:val="auto"/>
          <w:sz w:val="28"/>
          <w:szCs w:val="28"/>
          <w:highlight w:val="none"/>
          <w:shd w:val="clear" w:color="auto" w:fill="auto"/>
        </w:rPr>
        <w:t>　　（一）参加采购活动前3年内与</w:t>
      </w:r>
      <w:r>
        <w:rPr>
          <w:rFonts w:hint="eastAsia" w:ascii="宋体" w:hAnsi="宋体"/>
          <w:color w:val="auto"/>
          <w:sz w:val="28"/>
          <w:szCs w:val="28"/>
          <w:highlight w:val="none"/>
          <w:shd w:val="clear" w:color="auto" w:fill="auto"/>
        </w:rPr>
        <w:t>供应商</w:t>
      </w:r>
      <w:r>
        <w:rPr>
          <w:rFonts w:hint="eastAsia" w:ascii="宋体" w:hAnsi="宋体" w:cs="Helvetica"/>
          <w:color w:val="auto"/>
          <w:sz w:val="28"/>
          <w:szCs w:val="28"/>
          <w:highlight w:val="none"/>
          <w:shd w:val="clear" w:color="auto" w:fill="auto"/>
        </w:rPr>
        <w:t>存在劳动关系；</w:t>
      </w:r>
    </w:p>
    <w:p>
      <w:pPr>
        <w:shd w:val="clear" w:color="auto"/>
        <w:spacing w:line="360" w:lineRule="auto"/>
        <w:rPr>
          <w:rFonts w:ascii="宋体" w:hAnsi="宋体" w:cs="Helvetica"/>
          <w:color w:val="auto"/>
          <w:sz w:val="28"/>
          <w:szCs w:val="28"/>
          <w:highlight w:val="none"/>
          <w:shd w:val="clear" w:color="auto" w:fill="auto"/>
        </w:rPr>
      </w:pPr>
      <w:r>
        <w:rPr>
          <w:rFonts w:hint="eastAsia" w:ascii="宋体" w:hAnsi="宋体" w:cs="Helvetica"/>
          <w:color w:val="auto"/>
          <w:sz w:val="28"/>
          <w:szCs w:val="28"/>
          <w:highlight w:val="none"/>
          <w:shd w:val="clear" w:color="auto" w:fill="auto"/>
        </w:rPr>
        <w:t>　　（二）参加采购活动前3年内担任</w:t>
      </w:r>
      <w:r>
        <w:rPr>
          <w:rFonts w:hint="eastAsia" w:ascii="宋体" w:hAnsi="宋体"/>
          <w:color w:val="auto"/>
          <w:sz w:val="28"/>
          <w:szCs w:val="28"/>
          <w:highlight w:val="none"/>
          <w:shd w:val="clear" w:color="auto" w:fill="auto"/>
        </w:rPr>
        <w:t>供应商</w:t>
      </w:r>
      <w:r>
        <w:rPr>
          <w:rFonts w:hint="eastAsia" w:ascii="宋体" w:hAnsi="宋体" w:cs="Helvetica"/>
          <w:color w:val="auto"/>
          <w:sz w:val="28"/>
          <w:szCs w:val="28"/>
          <w:highlight w:val="none"/>
          <w:shd w:val="clear" w:color="auto" w:fill="auto"/>
        </w:rPr>
        <w:t>的董事、监事；</w:t>
      </w:r>
    </w:p>
    <w:p>
      <w:pPr>
        <w:shd w:val="clear" w:color="auto"/>
        <w:spacing w:line="360" w:lineRule="auto"/>
        <w:ind w:firstLine="560" w:firstLineChars="200"/>
        <w:rPr>
          <w:rFonts w:ascii="宋体" w:hAnsi="宋体" w:cs="Helvetica"/>
          <w:color w:val="auto"/>
          <w:sz w:val="28"/>
          <w:szCs w:val="28"/>
          <w:highlight w:val="none"/>
          <w:shd w:val="clear" w:color="auto" w:fill="auto"/>
        </w:rPr>
      </w:pPr>
      <w:r>
        <w:rPr>
          <w:rFonts w:hint="eastAsia" w:ascii="宋体" w:hAnsi="宋体" w:cs="Helvetica"/>
          <w:color w:val="auto"/>
          <w:sz w:val="28"/>
          <w:szCs w:val="28"/>
          <w:highlight w:val="none"/>
          <w:shd w:val="clear" w:color="auto" w:fill="auto"/>
        </w:rPr>
        <w:t>（三）参加采购活动前3年内是</w:t>
      </w:r>
      <w:r>
        <w:rPr>
          <w:rFonts w:hint="eastAsia" w:ascii="宋体" w:hAnsi="宋体"/>
          <w:color w:val="auto"/>
          <w:sz w:val="28"/>
          <w:szCs w:val="28"/>
          <w:highlight w:val="none"/>
          <w:shd w:val="clear" w:color="auto" w:fill="auto"/>
        </w:rPr>
        <w:t>供应商</w:t>
      </w:r>
      <w:r>
        <w:rPr>
          <w:rFonts w:hint="eastAsia" w:ascii="宋体" w:hAnsi="宋体" w:cs="Helvetica"/>
          <w:color w:val="auto"/>
          <w:sz w:val="28"/>
          <w:szCs w:val="28"/>
          <w:highlight w:val="none"/>
          <w:shd w:val="clear" w:color="auto" w:fill="auto"/>
        </w:rPr>
        <w:t>的控股股东或者实际控制人；</w:t>
      </w:r>
    </w:p>
    <w:p>
      <w:pPr>
        <w:shd w:val="clear" w:color="auto"/>
        <w:spacing w:line="360" w:lineRule="auto"/>
        <w:ind w:firstLine="570"/>
        <w:rPr>
          <w:rFonts w:ascii="宋体" w:hAnsi="宋体" w:cs="Helvetica"/>
          <w:color w:val="auto"/>
          <w:sz w:val="28"/>
          <w:szCs w:val="28"/>
          <w:highlight w:val="none"/>
          <w:shd w:val="clear" w:color="auto" w:fill="auto"/>
        </w:rPr>
      </w:pPr>
      <w:r>
        <w:rPr>
          <w:rFonts w:hint="eastAsia" w:ascii="宋体" w:hAnsi="宋体" w:cs="Helvetica"/>
          <w:color w:val="auto"/>
          <w:sz w:val="28"/>
          <w:szCs w:val="28"/>
          <w:highlight w:val="none"/>
          <w:shd w:val="clear" w:color="auto" w:fill="auto"/>
        </w:rPr>
        <w:t>（四）与</w:t>
      </w:r>
      <w:r>
        <w:rPr>
          <w:rFonts w:hint="eastAsia" w:ascii="宋体" w:hAnsi="宋体"/>
          <w:color w:val="auto"/>
          <w:sz w:val="28"/>
          <w:szCs w:val="28"/>
          <w:highlight w:val="none"/>
          <w:shd w:val="clear" w:color="auto" w:fill="auto"/>
        </w:rPr>
        <w:t>供应商</w:t>
      </w:r>
      <w:r>
        <w:rPr>
          <w:rFonts w:hint="eastAsia" w:ascii="宋体" w:hAnsi="宋体" w:cs="Helvetica"/>
          <w:color w:val="auto"/>
          <w:sz w:val="28"/>
          <w:szCs w:val="28"/>
          <w:highlight w:val="none"/>
          <w:shd w:val="clear" w:color="auto" w:fill="auto"/>
        </w:rPr>
        <w:t>的法定代表人或者负责人有夫妻、直系血亲、三代以内旁系血亲或者近姻亲关系；</w:t>
      </w:r>
    </w:p>
    <w:p>
      <w:pPr>
        <w:shd w:val="clear" w:color="auto"/>
        <w:spacing w:line="360" w:lineRule="auto"/>
        <w:ind w:firstLine="570"/>
        <w:rPr>
          <w:rFonts w:ascii="宋体" w:hAnsi="宋体" w:cs="Helvetica"/>
          <w:color w:val="auto"/>
          <w:sz w:val="28"/>
          <w:szCs w:val="28"/>
          <w:highlight w:val="none"/>
          <w:shd w:val="clear" w:color="auto" w:fill="auto"/>
        </w:rPr>
      </w:pPr>
      <w:r>
        <w:rPr>
          <w:rFonts w:hint="eastAsia" w:ascii="宋体" w:hAnsi="宋体" w:cs="Helvetica"/>
          <w:color w:val="auto"/>
          <w:sz w:val="28"/>
          <w:szCs w:val="28"/>
          <w:highlight w:val="none"/>
          <w:shd w:val="clear" w:color="auto" w:fill="auto"/>
        </w:rPr>
        <w:t>（五）与</w:t>
      </w:r>
      <w:r>
        <w:rPr>
          <w:rFonts w:hint="eastAsia" w:ascii="宋体" w:hAnsi="宋体"/>
          <w:color w:val="auto"/>
          <w:sz w:val="28"/>
          <w:szCs w:val="28"/>
          <w:highlight w:val="none"/>
          <w:shd w:val="clear" w:color="auto" w:fill="auto"/>
        </w:rPr>
        <w:t>供应商</w:t>
      </w:r>
      <w:r>
        <w:rPr>
          <w:rFonts w:hint="eastAsia" w:ascii="宋体" w:hAnsi="宋体" w:cs="Helvetica"/>
          <w:color w:val="auto"/>
          <w:sz w:val="28"/>
          <w:szCs w:val="28"/>
          <w:highlight w:val="none"/>
          <w:shd w:val="clear" w:color="auto" w:fill="auto"/>
        </w:rPr>
        <w:t>有其他可能影响政府采购活动公平、公正进行的关系。</w:t>
      </w:r>
    </w:p>
    <w:p>
      <w:pPr>
        <w:shd w:val="clear" w:color="auto"/>
        <w:spacing w:line="360" w:lineRule="auto"/>
        <w:ind w:firstLine="570"/>
        <w:rPr>
          <w:rFonts w:ascii="宋体" w:hAnsi="宋体" w:cs="Helvetica"/>
          <w:color w:val="auto"/>
          <w:sz w:val="28"/>
          <w:szCs w:val="28"/>
          <w:highlight w:val="none"/>
          <w:shd w:val="clear" w:color="auto" w:fill="auto"/>
        </w:rPr>
      </w:pPr>
      <w:r>
        <w:rPr>
          <w:rFonts w:hint="eastAsia" w:ascii="宋体" w:hAnsi="宋体"/>
          <w:color w:val="auto"/>
          <w:sz w:val="28"/>
          <w:szCs w:val="28"/>
          <w:highlight w:val="none"/>
          <w:shd w:val="clear" w:color="auto" w:fill="auto"/>
        </w:rPr>
        <w:t>供应商</w:t>
      </w:r>
      <w:r>
        <w:rPr>
          <w:rFonts w:hint="eastAsia" w:ascii="宋体" w:hAnsi="宋体" w:cs="Helvetica"/>
          <w:color w:val="auto"/>
          <w:sz w:val="28"/>
          <w:szCs w:val="28"/>
          <w:highlight w:val="none"/>
          <w:shd w:val="clear" w:color="auto" w:fill="auto"/>
        </w:rPr>
        <w:t>认为采购人员及相关人员与其他</w:t>
      </w:r>
      <w:r>
        <w:rPr>
          <w:rFonts w:hint="eastAsia" w:ascii="宋体" w:hAnsi="宋体"/>
          <w:color w:val="auto"/>
          <w:sz w:val="28"/>
          <w:szCs w:val="28"/>
          <w:highlight w:val="none"/>
          <w:shd w:val="clear" w:color="auto" w:fill="auto"/>
        </w:rPr>
        <w:t>供应商</w:t>
      </w:r>
      <w:r>
        <w:rPr>
          <w:rFonts w:hint="eastAsia" w:ascii="宋体" w:hAnsi="宋体" w:cs="Helvetica"/>
          <w:color w:val="auto"/>
          <w:sz w:val="28"/>
          <w:szCs w:val="28"/>
          <w:highlight w:val="none"/>
          <w:shd w:val="clear" w:color="auto" w:fill="auto"/>
        </w:rPr>
        <w:t>有利害关系的，可以向采购人或者</w:t>
      </w:r>
      <w:r>
        <w:rPr>
          <w:rFonts w:hint="eastAsia" w:ascii="宋体" w:hAnsi="宋体" w:cs="Arial"/>
          <w:color w:val="auto"/>
          <w:sz w:val="28"/>
          <w:szCs w:val="28"/>
          <w:highlight w:val="none"/>
          <w:shd w:val="clear" w:color="auto" w:fill="auto"/>
        </w:rPr>
        <w:t>采购代理机构</w:t>
      </w:r>
      <w:r>
        <w:rPr>
          <w:rFonts w:hint="eastAsia" w:ascii="宋体" w:hAnsi="宋体" w:cs="Helvetica"/>
          <w:color w:val="auto"/>
          <w:sz w:val="28"/>
          <w:szCs w:val="28"/>
          <w:highlight w:val="none"/>
          <w:shd w:val="clear" w:color="auto" w:fill="auto"/>
        </w:rPr>
        <w:t>书面提出回避申请，并说明理由。采购人或者</w:t>
      </w:r>
      <w:r>
        <w:rPr>
          <w:rFonts w:hint="eastAsia" w:ascii="宋体" w:hAnsi="宋体" w:cs="Arial"/>
          <w:color w:val="auto"/>
          <w:sz w:val="28"/>
          <w:szCs w:val="28"/>
          <w:highlight w:val="none"/>
          <w:shd w:val="clear" w:color="auto" w:fill="auto"/>
        </w:rPr>
        <w:t>采购代理机构</w:t>
      </w:r>
      <w:r>
        <w:rPr>
          <w:rFonts w:hint="eastAsia" w:ascii="宋体" w:hAnsi="宋体" w:cs="Helvetica"/>
          <w:color w:val="auto"/>
          <w:sz w:val="28"/>
          <w:szCs w:val="28"/>
          <w:highlight w:val="none"/>
          <w:shd w:val="clear" w:color="auto" w:fill="auto"/>
        </w:rPr>
        <w:t>应当及时询问被申请回避人员，有利害关系的被申请回避人员应当回避。</w:t>
      </w:r>
    </w:p>
    <w:p>
      <w:pPr>
        <w:keepNext/>
        <w:keepLines/>
        <w:numPr>
          <w:ilvl w:val="1"/>
          <w:numId w:val="28"/>
        </w:numPr>
        <w:spacing w:line="360" w:lineRule="auto"/>
        <w:jc w:val="left"/>
        <w:outlineLvl w:val="1"/>
        <w:rPr>
          <w:rFonts w:ascii="宋体" w:hAnsi="宋体"/>
          <w:b/>
          <w:bCs/>
          <w:color w:val="auto"/>
          <w:sz w:val="28"/>
          <w:szCs w:val="28"/>
          <w:highlight w:val="none"/>
        </w:rPr>
      </w:pPr>
      <w:bookmarkStart w:id="103" w:name="_Toc17507"/>
      <w:bookmarkStart w:id="104" w:name="_Toc217446078"/>
      <w:r>
        <w:rPr>
          <w:rFonts w:hint="eastAsia" w:ascii="宋体" w:hAnsi="宋体"/>
          <w:b/>
          <w:bCs/>
          <w:color w:val="auto"/>
          <w:sz w:val="28"/>
          <w:szCs w:val="28"/>
          <w:highlight w:val="none"/>
        </w:rPr>
        <w:t>询问、质疑和投诉</w:t>
      </w:r>
      <w:bookmarkEnd w:id="103"/>
    </w:p>
    <w:p>
      <w:pPr>
        <w:numPr>
          <w:ilvl w:val="0"/>
          <w:numId w:val="30"/>
        </w:numPr>
        <w:spacing w:line="500" w:lineRule="exact"/>
        <w:ind w:left="0" w:firstLine="567"/>
        <w:jc w:val="left"/>
        <w:rPr>
          <w:color w:val="auto"/>
          <w:sz w:val="28"/>
          <w:szCs w:val="28"/>
          <w:highlight w:val="none"/>
        </w:rPr>
      </w:pPr>
      <w:r>
        <w:rPr>
          <w:rFonts w:hint="eastAsia"/>
          <w:color w:val="auto"/>
          <w:sz w:val="28"/>
          <w:szCs w:val="28"/>
          <w:highlight w:val="none"/>
        </w:rPr>
        <w:t>询问、质疑、投诉的接收和处理严格按照《中华人民共和国政府采购法》、《中华人民共和国政府采购法实施条例》《中华人民共和国财政部货物和服务招投标管理办法》（财政部第</w:t>
      </w:r>
      <w:r>
        <w:rPr>
          <w:color w:val="auto"/>
          <w:sz w:val="28"/>
          <w:szCs w:val="28"/>
          <w:highlight w:val="none"/>
        </w:rPr>
        <w:t>87</w:t>
      </w:r>
      <w:r>
        <w:rPr>
          <w:rFonts w:hint="eastAsia"/>
          <w:color w:val="auto"/>
          <w:sz w:val="28"/>
          <w:szCs w:val="28"/>
          <w:highlight w:val="none"/>
        </w:rPr>
        <w:t>号令）和《政府采购质疑和投诉办法》（财政部</w:t>
      </w:r>
      <w:r>
        <w:rPr>
          <w:color w:val="auto"/>
          <w:sz w:val="28"/>
          <w:szCs w:val="28"/>
          <w:highlight w:val="none"/>
        </w:rPr>
        <w:t>94</w:t>
      </w:r>
      <w:r>
        <w:rPr>
          <w:rFonts w:hint="eastAsia"/>
          <w:color w:val="auto"/>
          <w:sz w:val="28"/>
          <w:szCs w:val="28"/>
          <w:highlight w:val="none"/>
        </w:rPr>
        <w:t>号令）的规定办理。</w:t>
      </w:r>
    </w:p>
    <w:p>
      <w:pPr>
        <w:numPr>
          <w:ilvl w:val="0"/>
          <w:numId w:val="30"/>
        </w:numPr>
        <w:spacing w:line="500" w:lineRule="exact"/>
        <w:ind w:left="0" w:firstLine="567"/>
        <w:jc w:val="left"/>
        <w:rPr>
          <w:color w:val="auto"/>
          <w:sz w:val="28"/>
          <w:szCs w:val="28"/>
          <w:highlight w:val="none"/>
        </w:rPr>
      </w:pPr>
      <w:r>
        <w:rPr>
          <w:rFonts w:hint="eastAsia"/>
          <w:color w:val="auto"/>
          <w:sz w:val="28"/>
          <w:szCs w:val="28"/>
          <w:highlight w:val="none"/>
        </w:rPr>
        <w:t>供应商</w:t>
      </w:r>
      <w:r>
        <w:rPr>
          <w:rFonts w:hint="eastAsia" w:ascii="宋体" w:hAnsi="宋体"/>
          <w:color w:val="auto"/>
          <w:sz w:val="28"/>
          <w:szCs w:val="28"/>
          <w:highlight w:val="none"/>
        </w:rPr>
        <w:t>询问、质疑的对象</w:t>
      </w:r>
    </w:p>
    <w:p>
      <w:pPr>
        <w:numPr>
          <w:ilvl w:val="1"/>
          <w:numId w:val="31"/>
        </w:numPr>
        <w:tabs>
          <w:tab w:val="left" w:pos="0"/>
          <w:tab w:val="left" w:pos="1276"/>
        </w:tabs>
        <w:spacing w:after="120" w:line="500" w:lineRule="exact"/>
        <w:ind w:left="0" w:firstLine="567"/>
        <w:rPr>
          <w:rFonts w:ascii="宋体" w:hAnsi="宋体"/>
          <w:color w:val="auto"/>
          <w:sz w:val="28"/>
          <w:szCs w:val="28"/>
          <w:highlight w:val="none"/>
        </w:rPr>
      </w:pPr>
      <w:r>
        <w:rPr>
          <w:rFonts w:hint="eastAsia"/>
          <w:color w:val="auto"/>
          <w:sz w:val="28"/>
          <w:szCs w:val="28"/>
          <w:highlight w:val="none"/>
        </w:rPr>
        <w:t>供应商</w:t>
      </w:r>
      <w:r>
        <w:rPr>
          <w:rFonts w:hint="eastAsia" w:ascii="宋体" w:hAnsi="宋体"/>
          <w:color w:val="auto"/>
          <w:sz w:val="28"/>
          <w:szCs w:val="28"/>
          <w:highlight w:val="none"/>
        </w:rPr>
        <w:t>对招标文件中</w:t>
      </w:r>
      <w:r>
        <w:rPr>
          <w:rFonts w:hint="eastAsia"/>
          <w:color w:val="auto"/>
          <w:sz w:val="28"/>
          <w:szCs w:val="28"/>
          <w:highlight w:val="none"/>
        </w:rPr>
        <w:t>供应商</w:t>
      </w:r>
      <w:r>
        <w:rPr>
          <w:rFonts w:hint="eastAsia" w:ascii="宋体" w:hAnsi="宋体"/>
          <w:color w:val="auto"/>
          <w:sz w:val="28"/>
          <w:szCs w:val="28"/>
          <w:highlight w:val="none"/>
        </w:rPr>
        <w:t>参加本次政府采购活动应当具备的条件，招标项目技术、服务、商务及其他要求，评标细则及标准，和中标结果中关于资格审查提出询问或质疑的，向采购人提出；</w:t>
      </w:r>
    </w:p>
    <w:p>
      <w:pPr>
        <w:numPr>
          <w:ilvl w:val="1"/>
          <w:numId w:val="31"/>
        </w:numPr>
        <w:spacing w:after="120" w:line="500" w:lineRule="exact"/>
        <w:ind w:left="0" w:firstLine="567"/>
        <w:rPr>
          <w:rFonts w:ascii="宋体" w:hAnsi="宋体"/>
          <w:color w:val="auto"/>
          <w:sz w:val="28"/>
          <w:szCs w:val="28"/>
          <w:highlight w:val="none"/>
        </w:rPr>
      </w:pPr>
      <w:r>
        <w:rPr>
          <w:rFonts w:hint="eastAsia"/>
          <w:color w:val="auto"/>
          <w:sz w:val="28"/>
          <w:szCs w:val="28"/>
          <w:highlight w:val="none"/>
        </w:rPr>
        <w:t>供应商对除上述招标文件中的其他内容，采购过程及中标结果（除资格审查）提出询问或质疑的，向区采购中心提出</w:t>
      </w:r>
      <w:r>
        <w:rPr>
          <w:rFonts w:hint="eastAsia" w:ascii="宋体" w:hAnsi="宋体"/>
          <w:color w:val="auto"/>
          <w:sz w:val="28"/>
          <w:szCs w:val="28"/>
          <w:highlight w:val="none"/>
        </w:rPr>
        <w:t>。</w:t>
      </w:r>
    </w:p>
    <w:p>
      <w:pPr>
        <w:numPr>
          <w:ilvl w:val="0"/>
          <w:numId w:val="30"/>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供应商可通过“政府采购云平台”，或现场向采购人或区采购中心提交质疑资料。</w:t>
      </w:r>
    </w:p>
    <w:p>
      <w:pPr>
        <w:numPr>
          <w:ilvl w:val="0"/>
          <w:numId w:val="30"/>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供应商提出质疑时应当准备的资料</w:t>
      </w:r>
    </w:p>
    <w:p>
      <w:pPr>
        <w:pStyle w:val="43"/>
        <w:shd w:val="clear" w:color="auto"/>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（一）质疑书正本1份；</w:t>
      </w:r>
    </w:p>
    <w:p>
      <w:pPr>
        <w:pStyle w:val="43"/>
        <w:shd w:val="clear" w:color="auto"/>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（二）法定代表人或主要负责人授权委托书1份（委托代理人办理质疑事宜的需提供）；</w:t>
      </w:r>
    </w:p>
    <w:p>
      <w:pPr>
        <w:pStyle w:val="43"/>
        <w:shd w:val="clear" w:color="auto"/>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（三）法定代表人或主要负责人身份证复印件1份；</w:t>
      </w:r>
    </w:p>
    <w:p>
      <w:pPr>
        <w:pStyle w:val="43"/>
        <w:shd w:val="clear" w:color="auto"/>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（四）委托代理人身份证复印件1份（委托代理人办理质疑事宜的需提供）；</w:t>
      </w:r>
    </w:p>
    <w:p>
      <w:pPr>
        <w:pStyle w:val="43"/>
        <w:shd w:val="clear" w:color="auto"/>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（五）针对质疑事项必要的证明材料。</w:t>
      </w:r>
    </w:p>
    <w:p>
      <w:pPr>
        <w:numPr>
          <w:ilvl w:val="0"/>
          <w:numId w:val="30"/>
        </w:numPr>
        <w:shd w:val="clear"/>
        <w:tabs>
          <w:tab w:val="left" w:pos="1134"/>
        </w:tabs>
        <w:spacing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供应商对采购人</w:t>
      </w:r>
      <w:r>
        <w:rPr>
          <w:rFonts w:ascii="宋体" w:hAnsi="宋体"/>
          <w:color w:val="auto"/>
          <w:sz w:val="28"/>
          <w:szCs w:val="28"/>
          <w:highlight w:val="none"/>
        </w:rPr>
        <w:t>或</w:t>
      </w:r>
      <w:r>
        <w:rPr>
          <w:rFonts w:hint="eastAsia" w:ascii="宋体" w:hAnsi="宋体"/>
          <w:color w:val="auto"/>
          <w:sz w:val="28"/>
          <w:szCs w:val="28"/>
          <w:highlight w:val="none"/>
        </w:rPr>
        <w:t>区采购中心的质疑答复不满意，或者采购人</w:t>
      </w:r>
      <w:r>
        <w:rPr>
          <w:rFonts w:ascii="宋体" w:hAnsi="宋体"/>
          <w:color w:val="auto"/>
          <w:sz w:val="28"/>
          <w:szCs w:val="28"/>
          <w:highlight w:val="none"/>
        </w:rPr>
        <w:t>或</w:t>
      </w:r>
      <w:r>
        <w:rPr>
          <w:rFonts w:hint="eastAsia" w:ascii="宋体" w:hAnsi="宋体"/>
          <w:color w:val="auto"/>
          <w:sz w:val="28"/>
          <w:szCs w:val="28"/>
          <w:highlight w:val="none"/>
        </w:rPr>
        <w:t>区采购中心未在规定期限内作出答复的，供应商可以在答复期满后15个工作日内向同级财政部门提起投诉。</w:t>
      </w:r>
    </w:p>
    <w:p>
      <w:pPr>
        <w:pStyle w:val="2"/>
        <w:rPr>
          <w:color w:val="auto"/>
          <w:highlight w:val="none"/>
        </w:rPr>
      </w:pPr>
    </w:p>
    <w:bookmarkEnd w:id="99"/>
    <w:bookmarkEnd w:id="100"/>
    <w:bookmarkEnd w:id="104"/>
    <w:p>
      <w:pPr>
        <w:tabs>
          <w:tab w:val="left" w:pos="1276"/>
        </w:tabs>
        <w:spacing w:line="360" w:lineRule="auto"/>
        <w:rPr>
          <w:rFonts w:ascii="宋体" w:hAnsi="宋体"/>
          <w:color w:val="auto"/>
          <w:sz w:val="28"/>
          <w:szCs w:val="28"/>
          <w:highlight w:val="none"/>
        </w:rPr>
      </w:pPr>
    </w:p>
    <w:p>
      <w:pPr>
        <w:tabs>
          <w:tab w:val="left" w:pos="1276"/>
        </w:tabs>
        <w:spacing w:line="360" w:lineRule="auto"/>
        <w:rPr>
          <w:rFonts w:ascii="宋体" w:hAnsi="宋体"/>
          <w:color w:val="auto"/>
          <w:sz w:val="28"/>
          <w:szCs w:val="28"/>
          <w:highlight w:val="none"/>
        </w:rPr>
      </w:pPr>
    </w:p>
    <w:p>
      <w:pPr>
        <w:tabs>
          <w:tab w:val="left" w:pos="1276"/>
        </w:tabs>
        <w:spacing w:line="360" w:lineRule="auto"/>
        <w:rPr>
          <w:rFonts w:ascii="宋体" w:hAnsi="宋体"/>
          <w:color w:val="auto"/>
          <w:sz w:val="28"/>
          <w:szCs w:val="28"/>
          <w:highlight w:val="none"/>
        </w:rPr>
      </w:pPr>
    </w:p>
    <w:p>
      <w:pPr>
        <w:pStyle w:val="2"/>
        <w:rPr>
          <w:color w:val="auto"/>
          <w:highlight w:val="none"/>
        </w:rPr>
      </w:pPr>
      <w:r>
        <w:rPr>
          <w:color w:val="auto"/>
          <w:highlight w:val="none"/>
        </w:rPr>
        <w:br w:type="page"/>
      </w:r>
    </w:p>
    <w:p>
      <w:pPr>
        <w:pStyle w:val="2"/>
        <w:rPr>
          <w:color w:val="auto"/>
          <w:highlight w:val="none"/>
        </w:rPr>
      </w:pPr>
    </w:p>
    <w:p>
      <w:pPr>
        <w:keepNext/>
        <w:keepLines/>
        <w:numPr>
          <w:ilvl w:val="0"/>
          <w:numId w:val="28"/>
        </w:numPr>
        <w:spacing w:before="340" w:after="330" w:line="400" w:lineRule="exact"/>
        <w:jc w:val="center"/>
        <w:outlineLvl w:val="0"/>
        <w:rPr>
          <w:rFonts w:ascii="宋体" w:hAnsi="宋体"/>
          <w:b/>
          <w:bCs/>
          <w:color w:val="auto"/>
          <w:spacing w:val="-20"/>
          <w:kern w:val="44"/>
          <w:sz w:val="32"/>
          <w:szCs w:val="32"/>
          <w:highlight w:val="none"/>
        </w:rPr>
      </w:pPr>
      <w:bookmarkStart w:id="105" w:name="_Toc16744"/>
      <w:r>
        <w:rPr>
          <w:rFonts w:hint="eastAsia" w:ascii="宋体" w:hAnsi="宋体"/>
          <w:b/>
          <w:bCs/>
          <w:color w:val="auto"/>
          <w:spacing w:val="-20"/>
          <w:kern w:val="44"/>
          <w:sz w:val="32"/>
          <w:szCs w:val="32"/>
          <w:highlight w:val="none"/>
        </w:rPr>
        <w:t>投标文件格式</w:t>
      </w:r>
      <w:bookmarkEnd w:id="105"/>
    </w:p>
    <w:p>
      <w:pPr>
        <w:keepNext/>
        <w:keepLines/>
        <w:numPr>
          <w:ilvl w:val="1"/>
          <w:numId w:val="28"/>
        </w:numPr>
        <w:spacing w:before="260" w:after="260" w:line="360" w:lineRule="auto"/>
        <w:jc w:val="left"/>
        <w:outlineLvl w:val="1"/>
        <w:rPr>
          <w:rFonts w:ascii="宋体" w:hAnsi="宋体"/>
          <w:b/>
          <w:bCs/>
          <w:color w:val="auto"/>
          <w:sz w:val="28"/>
          <w:szCs w:val="28"/>
          <w:highlight w:val="none"/>
        </w:rPr>
      </w:pPr>
      <w:bookmarkStart w:id="106" w:name="_Toc25008"/>
      <w:r>
        <w:rPr>
          <w:rFonts w:hint="eastAsia" w:ascii="宋体" w:hAnsi="宋体"/>
          <w:b/>
          <w:bCs/>
          <w:color w:val="auto"/>
          <w:sz w:val="28"/>
          <w:szCs w:val="28"/>
          <w:highlight w:val="none"/>
        </w:rPr>
        <w:t>投标文件封面格式</w:t>
      </w:r>
      <w:bookmarkEnd w:id="106"/>
    </w:p>
    <w:p>
      <w:pPr>
        <w:spacing w:line="360" w:lineRule="auto"/>
        <w:rPr>
          <w:rFonts w:ascii="宋体" w:hAnsi="宋体"/>
          <w:bCs/>
          <w:color w:val="auto"/>
          <w:szCs w:val="21"/>
          <w:highlight w:val="none"/>
        </w:rPr>
      </w:pPr>
    </w:p>
    <w:p>
      <w:pPr>
        <w:spacing w:line="360" w:lineRule="auto"/>
        <w:rPr>
          <w:rFonts w:ascii="宋体" w:hAnsi="宋体"/>
          <w:bCs/>
          <w:color w:val="auto"/>
          <w:szCs w:val="21"/>
          <w:highlight w:val="none"/>
        </w:rPr>
      </w:pPr>
    </w:p>
    <w:p>
      <w:pPr>
        <w:spacing w:line="360" w:lineRule="auto"/>
        <w:jc w:val="right"/>
        <w:rPr>
          <w:rFonts w:ascii="宋体" w:hAnsi="宋体"/>
          <w:color w:val="auto"/>
          <w:highlight w:val="none"/>
        </w:rPr>
      </w:pPr>
    </w:p>
    <w:p>
      <w:pPr>
        <w:jc w:val="center"/>
        <w:rPr>
          <w:color w:val="auto"/>
          <w:sz w:val="96"/>
          <w:szCs w:val="96"/>
          <w:highlight w:val="none"/>
        </w:rPr>
      </w:pPr>
      <w:r>
        <w:rPr>
          <w:rFonts w:hint="eastAsia"/>
          <w:color w:val="auto"/>
          <w:sz w:val="96"/>
          <w:szCs w:val="96"/>
          <w:highlight w:val="none"/>
        </w:rPr>
        <w:t>投标文件</w:t>
      </w:r>
    </w:p>
    <w:p>
      <w:pPr>
        <w:spacing w:line="360" w:lineRule="auto"/>
        <w:jc w:val="center"/>
        <w:rPr>
          <w:rFonts w:ascii="宋体" w:hAnsi="宋体"/>
          <w:bCs/>
          <w:color w:val="auto"/>
          <w:sz w:val="36"/>
          <w:highlight w:val="none"/>
        </w:rPr>
      </w:pPr>
    </w:p>
    <w:p>
      <w:pPr>
        <w:spacing w:line="360" w:lineRule="auto"/>
        <w:jc w:val="center"/>
        <w:rPr>
          <w:rFonts w:ascii="宋体" w:hAnsi="宋体"/>
          <w:bCs/>
          <w:color w:val="auto"/>
          <w:sz w:val="36"/>
          <w:highlight w:val="none"/>
        </w:rPr>
      </w:pPr>
    </w:p>
    <w:p>
      <w:pPr>
        <w:rPr>
          <w:rFonts w:hint="eastAsia" w:ascii="宋体" w:hAnsi="宋体"/>
          <w:b/>
          <w:color w:val="auto"/>
          <w:sz w:val="32"/>
          <w:szCs w:val="32"/>
          <w:highlight w:val="none"/>
        </w:rPr>
      </w:pPr>
      <w:r>
        <w:rPr>
          <w:rFonts w:hint="eastAsia" w:ascii="宋体" w:hAnsi="宋体"/>
          <w:b/>
          <w:color w:val="auto"/>
          <w:sz w:val="32"/>
          <w:szCs w:val="32"/>
          <w:highlight w:val="none"/>
        </w:rPr>
        <w:t>项目名称：</w:t>
      </w:r>
      <w:r>
        <w:rPr>
          <w:rFonts w:hint="eastAsia" w:ascii="宋体" w:hAnsi="宋体"/>
          <w:b/>
          <w:color w:val="auto"/>
          <w:sz w:val="32"/>
          <w:szCs w:val="32"/>
          <w:highlight w:val="none"/>
          <w:lang w:eastAsia="zh-CN"/>
        </w:rPr>
        <w:t>成都市锦江区综合行政执法局2022—2024年锦江区环卫保洁、环卫公厕、绿化和河道管护一体化服务项目</w:t>
      </w:r>
    </w:p>
    <w:p>
      <w:pPr>
        <w:pStyle w:val="2"/>
        <w:rPr>
          <w:color w:val="auto"/>
          <w:highlight w:val="none"/>
        </w:rPr>
      </w:pPr>
    </w:p>
    <w:p>
      <w:pPr>
        <w:rPr>
          <w:rFonts w:hint="eastAsia" w:ascii="宋体" w:hAnsi="宋体"/>
          <w:b/>
          <w:color w:val="auto"/>
          <w:sz w:val="32"/>
          <w:szCs w:val="32"/>
          <w:highlight w:val="none"/>
          <w:lang w:eastAsia="zh-CN"/>
        </w:rPr>
      </w:pPr>
      <w:r>
        <w:rPr>
          <w:rFonts w:hint="eastAsia" w:ascii="宋体" w:hAnsi="宋体"/>
          <w:b/>
          <w:bCs/>
          <w:color w:val="auto"/>
          <w:sz w:val="32"/>
          <w:szCs w:val="32"/>
          <w:highlight w:val="none"/>
        </w:rPr>
        <w:t>项目编号</w:t>
      </w:r>
      <w:r>
        <w:rPr>
          <w:rFonts w:hint="eastAsia" w:ascii="宋体" w:hAnsi="宋体"/>
          <w:b/>
          <w:bCs/>
          <w:color w:val="auto"/>
          <w:sz w:val="32"/>
          <w:szCs w:val="32"/>
          <w:highlight w:val="none"/>
          <w:lang w:eastAsia="zh-CN"/>
        </w:rPr>
        <w:t>：</w:t>
      </w:r>
      <w:r>
        <w:rPr>
          <w:rFonts w:hint="eastAsia" w:ascii="宋体" w:hAnsi="宋体"/>
          <w:b/>
          <w:color w:val="auto"/>
          <w:sz w:val="32"/>
          <w:szCs w:val="32"/>
          <w:highlight w:val="none"/>
          <w:lang w:eastAsia="zh-CN"/>
        </w:rPr>
        <w:t>锦江政采（2021）A0028号</w:t>
      </w:r>
    </w:p>
    <w:p>
      <w:pPr>
        <w:pStyle w:val="3"/>
        <w:ind w:left="0" w:leftChars="0" w:firstLine="0" w:firstLineChars="0"/>
        <w:rPr>
          <w:rFonts w:hint="eastAsia" w:ascii="宋体" w:hAnsi="宋体"/>
          <w:b/>
          <w:color w:val="auto"/>
          <w:sz w:val="32"/>
          <w:szCs w:val="32"/>
          <w:highlight w:val="none"/>
          <w:lang w:val="en-US" w:eastAsia="zh-CN"/>
        </w:rPr>
      </w:pPr>
    </w:p>
    <w:p>
      <w:pPr>
        <w:pStyle w:val="3"/>
        <w:ind w:left="0" w:leftChars="0" w:firstLine="0" w:firstLineChars="0"/>
        <w:rPr>
          <w:rFonts w:hint="eastAsia"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包 件 号：</w:t>
      </w:r>
      <w:r>
        <w:rPr>
          <w:rFonts w:ascii="宋体" w:hAnsi="宋体"/>
          <w:b/>
          <w:color w:val="auto"/>
          <w:sz w:val="28"/>
          <w:szCs w:val="28"/>
          <w:highlight w:val="none"/>
          <w:u w:val="single"/>
        </w:rPr>
        <w:t>XX</w:t>
      </w:r>
    </w:p>
    <w:p>
      <w:pPr>
        <w:pStyle w:val="3"/>
        <w:ind w:left="0" w:leftChars="0" w:firstLine="0" w:firstLineChars="0"/>
        <w:rPr>
          <w:rFonts w:hint="eastAsia" w:ascii="宋体" w:hAnsi="宋体"/>
          <w:b/>
          <w:color w:val="auto"/>
          <w:sz w:val="32"/>
          <w:szCs w:val="32"/>
          <w:highlight w:val="none"/>
          <w:lang w:val="en-US" w:eastAsia="zh-CN"/>
        </w:rPr>
      </w:pPr>
    </w:p>
    <w:p>
      <w:pPr>
        <w:pStyle w:val="3"/>
        <w:ind w:left="0" w:leftChars="0" w:firstLine="0" w:firstLineChars="0"/>
        <w:rPr>
          <w:rFonts w:hint="eastAsia" w:ascii="宋体" w:hAnsi="宋体"/>
          <w:b/>
          <w:color w:val="auto"/>
          <w:sz w:val="32"/>
          <w:szCs w:val="32"/>
          <w:highlight w:val="none"/>
          <w:lang w:val="en-US" w:eastAsia="zh-CN"/>
        </w:rPr>
      </w:pPr>
    </w:p>
    <w:p>
      <w:pPr>
        <w:pStyle w:val="3"/>
        <w:ind w:left="0" w:leftChars="0" w:firstLine="0" w:firstLineChars="0"/>
        <w:rPr>
          <w:rFonts w:hint="eastAsia" w:ascii="宋体" w:hAnsi="宋体"/>
          <w:b/>
          <w:color w:val="auto"/>
          <w:sz w:val="32"/>
          <w:szCs w:val="32"/>
          <w:highlight w:val="none"/>
          <w:lang w:val="en-US" w:eastAsia="zh-CN"/>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rPr>
          <w:rFonts w:ascii="宋体" w:hAnsi="宋体"/>
          <w:b/>
          <w:color w:val="auto"/>
          <w:sz w:val="32"/>
          <w:szCs w:val="32"/>
          <w:highlight w:val="none"/>
        </w:rPr>
      </w:pPr>
      <w:r>
        <w:rPr>
          <w:rFonts w:hint="eastAsia" w:ascii="宋体" w:hAnsi="宋体"/>
          <w:b/>
          <w:color w:val="auto"/>
          <w:sz w:val="32"/>
          <w:szCs w:val="32"/>
          <w:highlight w:val="none"/>
        </w:rPr>
        <w:t>投标人名称：XXXX</w:t>
      </w:r>
    </w:p>
    <w:p>
      <w:pPr>
        <w:rPr>
          <w:rFonts w:ascii="宋体" w:hAnsi="宋体"/>
          <w:b/>
          <w:color w:val="auto"/>
          <w:sz w:val="32"/>
          <w:szCs w:val="32"/>
          <w:highlight w:val="none"/>
        </w:rPr>
      </w:pPr>
      <w:r>
        <w:rPr>
          <w:rFonts w:hint="eastAsia" w:ascii="宋体" w:hAnsi="宋体"/>
          <w:b/>
          <w:color w:val="auto"/>
          <w:sz w:val="32"/>
          <w:szCs w:val="32"/>
          <w:highlight w:val="none"/>
        </w:rPr>
        <w:t>日       期：202X年XX月XX日</w:t>
      </w:r>
    </w:p>
    <w:p>
      <w:pPr>
        <w:rPr>
          <w:rFonts w:ascii="宋体" w:hAnsi="宋体"/>
          <w:b/>
          <w:color w:val="auto"/>
          <w:sz w:val="32"/>
          <w:szCs w:val="32"/>
          <w:highlight w:val="none"/>
        </w:rPr>
      </w:pPr>
    </w:p>
    <w:p>
      <w:pPr>
        <w:spacing w:line="360" w:lineRule="auto"/>
        <w:ind w:firstLine="569" w:firstLineChars="177"/>
        <w:rPr>
          <w:rFonts w:ascii="宋体" w:hAnsi="宋体"/>
          <w:b/>
          <w:bCs/>
          <w:color w:val="auto"/>
          <w:sz w:val="32"/>
          <w:szCs w:val="32"/>
          <w:highlight w:val="none"/>
        </w:rPr>
      </w:pPr>
    </w:p>
    <w:p>
      <w:pPr>
        <w:keepNext/>
        <w:keepLines/>
        <w:numPr>
          <w:ilvl w:val="1"/>
          <w:numId w:val="28"/>
        </w:numPr>
        <w:spacing w:before="260" w:after="260" w:line="360" w:lineRule="auto"/>
        <w:jc w:val="left"/>
        <w:outlineLvl w:val="1"/>
        <w:rPr>
          <w:rFonts w:ascii="宋体" w:hAnsi="宋体"/>
          <w:b/>
          <w:bCs/>
          <w:color w:val="auto"/>
          <w:sz w:val="28"/>
          <w:szCs w:val="28"/>
          <w:highlight w:val="none"/>
        </w:rPr>
      </w:pPr>
      <w:bookmarkStart w:id="107" w:name="_Toc6850"/>
      <w:r>
        <w:rPr>
          <w:rFonts w:hint="eastAsia" w:ascii="宋体" w:hAnsi="宋体"/>
          <w:b/>
          <w:bCs/>
          <w:color w:val="auto"/>
          <w:sz w:val="28"/>
          <w:szCs w:val="28"/>
          <w:highlight w:val="none"/>
        </w:rPr>
        <w:t>资格响应文件</w:t>
      </w:r>
      <w:bookmarkEnd w:id="107"/>
    </w:p>
    <w:p>
      <w:pPr>
        <w:keepNext/>
        <w:keepLines/>
        <w:numPr>
          <w:ilvl w:val="2"/>
          <w:numId w:val="28"/>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关于投标人申明的函</w:t>
      </w:r>
    </w:p>
    <w:p>
      <w:pPr>
        <w:spacing w:line="360" w:lineRule="auto"/>
        <w:rPr>
          <w:rFonts w:ascii="宋体" w:hAnsi="宋体"/>
          <w:color w:val="auto"/>
          <w:sz w:val="28"/>
          <w:szCs w:val="28"/>
          <w:highlight w:val="none"/>
        </w:rPr>
      </w:pPr>
      <w:bookmarkStart w:id="108" w:name="_Toc238581782"/>
      <w:bookmarkStart w:id="109" w:name="_Toc52184753"/>
      <w:bookmarkStart w:id="110" w:name="_Toc119295087"/>
      <w:bookmarkStart w:id="111" w:name="_Toc119296788"/>
      <w:bookmarkStart w:id="112" w:name="_Toc146903609"/>
      <w:bookmarkStart w:id="113" w:name="_Toc119203988"/>
      <w:r>
        <w:rPr>
          <w:rFonts w:hint="eastAsia" w:ascii="宋体" w:hAnsi="宋体"/>
          <w:color w:val="auto"/>
          <w:sz w:val="28"/>
          <w:szCs w:val="28"/>
          <w:highlight w:val="none"/>
        </w:rPr>
        <w:t>致：</w:t>
      </w:r>
      <w:bookmarkEnd w:id="108"/>
      <w:r>
        <w:rPr>
          <w:rFonts w:hint="eastAsia" w:ascii="宋体" w:hAnsi="宋体"/>
          <w:color w:val="auto"/>
          <w:sz w:val="28"/>
          <w:szCs w:val="28"/>
          <w:highlight w:val="none"/>
        </w:rPr>
        <w:t>成都市锦江区政府采购中心</w:t>
      </w:r>
    </w:p>
    <w:p>
      <w:pPr>
        <w:spacing w:line="360" w:lineRule="auto"/>
        <w:ind w:firstLine="565" w:firstLineChars="202"/>
        <w:rPr>
          <w:rFonts w:ascii="宋体" w:hAnsi="宋体"/>
          <w:color w:val="auto"/>
          <w:sz w:val="28"/>
          <w:szCs w:val="28"/>
          <w:highlight w:val="none"/>
        </w:rPr>
      </w:pPr>
      <w:bookmarkStart w:id="114" w:name="_Toc238581783"/>
      <w:r>
        <w:rPr>
          <w:rFonts w:hint="eastAsia" w:ascii="宋体" w:hAnsi="宋体"/>
          <w:color w:val="auto"/>
          <w:sz w:val="28"/>
          <w:szCs w:val="28"/>
          <w:highlight w:val="none"/>
        </w:rPr>
        <w:t>关于我方对</w:t>
      </w:r>
      <w:r>
        <w:rPr>
          <w:rFonts w:hint="eastAsia" w:ascii="宋体" w:hAnsi="宋体"/>
          <w:b/>
          <w:color w:val="auto"/>
          <w:sz w:val="28"/>
          <w:szCs w:val="28"/>
          <w:highlight w:val="none"/>
          <w:u w:val="single"/>
          <w:lang w:eastAsia="zh-CN"/>
        </w:rPr>
        <w:t>成都市锦江区综合行政执法局2022—2024年锦江区环卫保洁、环卫公厕、绿化和河道管护一体化服务项目</w:t>
      </w:r>
      <w:r>
        <w:rPr>
          <w:rFonts w:hint="eastAsia" w:ascii="宋体" w:hAnsi="宋体"/>
          <w:b/>
          <w:color w:val="auto"/>
          <w:sz w:val="28"/>
          <w:szCs w:val="28"/>
          <w:highlight w:val="none"/>
          <w:u w:val="single"/>
        </w:rPr>
        <w:t>（</w:t>
      </w:r>
      <w:r>
        <w:rPr>
          <w:rFonts w:hint="eastAsia" w:ascii="宋体" w:hAnsi="宋体"/>
          <w:b/>
          <w:color w:val="auto"/>
          <w:sz w:val="28"/>
          <w:szCs w:val="28"/>
          <w:highlight w:val="none"/>
          <w:u w:val="single"/>
          <w:lang w:eastAsia="zh-CN"/>
        </w:rPr>
        <w:t>锦江政采（2021）A0028号</w:t>
      </w:r>
      <w:r>
        <w:rPr>
          <w:rFonts w:hint="eastAsia" w:ascii="宋体" w:hAnsi="宋体"/>
          <w:b/>
          <w:color w:val="auto"/>
          <w:sz w:val="28"/>
          <w:szCs w:val="28"/>
          <w:highlight w:val="none"/>
          <w:u w:val="single"/>
        </w:rPr>
        <w:t>）</w:t>
      </w:r>
      <w:r>
        <w:rPr>
          <w:rFonts w:hint="eastAsia" w:ascii="宋体" w:hAnsi="宋体"/>
          <w:b w:val="0"/>
          <w:bCs/>
          <w:color w:val="auto"/>
          <w:sz w:val="28"/>
          <w:szCs w:val="28"/>
          <w:highlight w:val="none"/>
          <w:lang w:val="en-US" w:eastAsia="zh-CN"/>
        </w:rPr>
        <w:t>包件</w:t>
      </w:r>
      <w:r>
        <w:rPr>
          <w:rFonts w:hint="eastAsia" w:ascii="宋体" w:hAnsi="宋体"/>
          <w:b w:val="0"/>
          <w:bCs/>
          <w:color w:val="auto"/>
          <w:sz w:val="28"/>
          <w:szCs w:val="28"/>
          <w:highlight w:val="none"/>
          <w:u w:val="single"/>
          <w:lang w:val="en-US" w:eastAsia="zh-CN"/>
        </w:rPr>
        <w:t>X</w:t>
      </w:r>
      <w:r>
        <w:rPr>
          <w:rFonts w:hint="eastAsia" w:ascii="宋体" w:hAnsi="宋体"/>
          <w:color w:val="auto"/>
          <w:sz w:val="28"/>
          <w:szCs w:val="28"/>
          <w:highlight w:val="none"/>
        </w:rPr>
        <w:t>的公开招标，提交的下列文件和说明是准确的和真实的。</w:t>
      </w:r>
      <w:bookmarkEnd w:id="114"/>
    </w:p>
    <w:p>
      <w:pPr>
        <w:widowControl/>
        <w:numPr>
          <w:ilvl w:val="2"/>
          <w:numId w:val="32"/>
        </w:numPr>
        <w:spacing w:line="360" w:lineRule="auto"/>
        <w:ind w:left="0" w:firstLine="560" w:firstLineChars="200"/>
        <w:rPr>
          <w:rFonts w:ascii="宋体" w:hAnsi="宋体"/>
          <w:color w:val="auto"/>
          <w:sz w:val="28"/>
          <w:szCs w:val="28"/>
          <w:highlight w:val="none"/>
        </w:rPr>
      </w:pPr>
      <w:bookmarkStart w:id="115" w:name="_Toc238581784"/>
      <w:r>
        <w:rPr>
          <w:rFonts w:hint="eastAsia" w:ascii="宋体" w:hAnsi="宋体"/>
          <w:color w:val="auto"/>
          <w:sz w:val="28"/>
          <w:szCs w:val="28"/>
          <w:highlight w:val="none"/>
        </w:rPr>
        <w:t>投标人名称及概况：</w:t>
      </w:r>
      <w:bookmarkEnd w:id="109"/>
      <w:bookmarkEnd w:id="110"/>
      <w:bookmarkEnd w:id="111"/>
      <w:bookmarkEnd w:id="112"/>
      <w:bookmarkEnd w:id="113"/>
      <w:bookmarkEnd w:id="115"/>
    </w:p>
    <w:p>
      <w:pPr>
        <w:widowControl/>
        <w:numPr>
          <w:ilvl w:val="0"/>
          <w:numId w:val="33"/>
        </w:numPr>
        <w:spacing w:line="360" w:lineRule="auto"/>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投标人名称：XXXX</w:t>
      </w:r>
    </w:p>
    <w:p>
      <w:pPr>
        <w:widowControl/>
        <w:numPr>
          <w:ilvl w:val="0"/>
          <w:numId w:val="33"/>
        </w:numPr>
        <w:spacing w:line="360" w:lineRule="auto"/>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地址：XXXX           邮编：XXXX</w:t>
      </w:r>
    </w:p>
    <w:p>
      <w:pPr>
        <w:spacing w:line="360" w:lineRule="auto"/>
        <w:ind w:firstLine="700" w:firstLineChars="250"/>
        <w:rPr>
          <w:rFonts w:ascii="宋体" w:hAnsi="宋体"/>
          <w:color w:val="auto"/>
          <w:sz w:val="28"/>
          <w:szCs w:val="28"/>
          <w:highlight w:val="none"/>
          <w:u w:val="single"/>
        </w:rPr>
      </w:pPr>
      <w:r>
        <w:rPr>
          <w:rFonts w:hint="eastAsia" w:ascii="宋体" w:hAnsi="宋体"/>
          <w:color w:val="auto"/>
          <w:sz w:val="28"/>
          <w:szCs w:val="28"/>
          <w:highlight w:val="none"/>
        </w:rPr>
        <w:t>传真/电话：XXXX</w:t>
      </w:r>
    </w:p>
    <w:p>
      <w:pPr>
        <w:widowControl/>
        <w:numPr>
          <w:ilvl w:val="0"/>
          <w:numId w:val="33"/>
        </w:numPr>
        <w:spacing w:line="360" w:lineRule="auto"/>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成立日期或注册日期：XXXX</w:t>
      </w:r>
    </w:p>
    <w:p>
      <w:pPr>
        <w:widowControl/>
        <w:numPr>
          <w:ilvl w:val="0"/>
          <w:numId w:val="33"/>
        </w:numPr>
        <w:spacing w:line="360" w:lineRule="auto"/>
        <w:ind w:left="0" w:firstLine="560" w:firstLineChars="200"/>
        <w:jc w:val="left"/>
        <w:rPr>
          <w:rFonts w:ascii="宋体" w:hAnsi="宋体"/>
          <w:color w:val="auto"/>
          <w:sz w:val="28"/>
          <w:szCs w:val="28"/>
          <w:highlight w:val="none"/>
          <w:u w:val="single"/>
        </w:rPr>
      </w:pPr>
      <w:r>
        <w:rPr>
          <w:rFonts w:hint="eastAsia" w:ascii="宋体" w:hAnsi="宋体"/>
          <w:color w:val="auto"/>
          <w:sz w:val="28"/>
          <w:szCs w:val="28"/>
          <w:highlight w:val="none"/>
        </w:rPr>
        <w:t>法定代表人或主要负责人姓名：XXXX</w:t>
      </w:r>
    </w:p>
    <w:p>
      <w:pPr>
        <w:widowControl/>
        <w:numPr>
          <w:ilvl w:val="2"/>
          <w:numId w:val="32"/>
        </w:numPr>
        <w:tabs>
          <w:tab w:val="left" w:pos="1276"/>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开户银行名称：XXXX</w:t>
      </w:r>
    </w:p>
    <w:p>
      <w:pPr>
        <w:spacing w:line="360" w:lineRule="auto"/>
        <w:ind w:firstLine="1260" w:firstLineChars="450"/>
        <w:rPr>
          <w:rFonts w:ascii="宋体" w:hAnsi="宋体"/>
          <w:color w:val="auto"/>
          <w:sz w:val="28"/>
          <w:szCs w:val="28"/>
          <w:highlight w:val="none"/>
          <w:u w:val="single"/>
        </w:rPr>
      </w:pPr>
      <w:r>
        <w:rPr>
          <w:rFonts w:hint="eastAsia" w:ascii="宋体" w:hAnsi="宋体"/>
          <w:color w:val="auto"/>
          <w:sz w:val="28"/>
          <w:szCs w:val="28"/>
          <w:highlight w:val="none"/>
        </w:rPr>
        <w:t>地址：XXXX</w:t>
      </w:r>
    </w:p>
    <w:p>
      <w:pPr>
        <w:spacing w:line="360" w:lineRule="auto"/>
        <w:ind w:firstLine="1260" w:firstLineChars="450"/>
        <w:rPr>
          <w:rFonts w:ascii="宋体" w:hAnsi="宋体"/>
          <w:color w:val="auto"/>
          <w:sz w:val="28"/>
          <w:szCs w:val="28"/>
          <w:highlight w:val="none"/>
        </w:rPr>
      </w:pPr>
      <w:r>
        <w:rPr>
          <w:rFonts w:hint="eastAsia" w:ascii="宋体" w:hAnsi="宋体"/>
          <w:color w:val="auto"/>
          <w:sz w:val="28"/>
          <w:szCs w:val="28"/>
          <w:highlight w:val="none"/>
        </w:rPr>
        <w:t>账号：XXXX</w:t>
      </w: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投标人名称：</w:t>
      </w:r>
      <w:r>
        <w:rPr>
          <w:rFonts w:hint="eastAsia" w:ascii="宋体" w:hAnsi="宋体"/>
          <w:color w:val="auto"/>
          <w:sz w:val="28"/>
          <w:szCs w:val="28"/>
          <w:highlight w:val="none"/>
          <w:u w:val="single"/>
        </w:rPr>
        <w:t>XXXX</w:t>
      </w:r>
    </w:p>
    <w:p>
      <w:pPr>
        <w:spacing w:line="360" w:lineRule="auto"/>
        <w:ind w:left="283" w:leftChars="135" w:firstLine="280" w:firstLineChars="100"/>
        <w:rPr>
          <w:rFonts w:ascii="宋体" w:hAnsi="宋体"/>
          <w:color w:val="auto"/>
          <w:sz w:val="28"/>
          <w:szCs w:val="28"/>
          <w:highlight w:val="none"/>
          <w:u w:val="single"/>
        </w:rPr>
      </w:pPr>
      <w:r>
        <w:rPr>
          <w:rFonts w:hint="eastAsia" w:ascii="宋体" w:hAnsi="宋体"/>
          <w:bCs/>
          <w:color w:val="auto"/>
          <w:sz w:val="28"/>
          <w:szCs w:val="28"/>
          <w:highlight w:val="none"/>
        </w:rPr>
        <w:t>日    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spacing w:line="380" w:lineRule="exact"/>
        <w:rPr>
          <w:rFonts w:ascii="宋体" w:hAnsi="宋体"/>
          <w:color w:val="auto"/>
          <w:sz w:val="28"/>
          <w:szCs w:val="28"/>
          <w:highlight w:val="none"/>
        </w:rPr>
      </w:pPr>
    </w:p>
    <w:p>
      <w:pPr>
        <w:spacing w:line="360" w:lineRule="auto"/>
        <w:rPr>
          <w:rFonts w:ascii="宋体" w:hAnsi="宋体"/>
          <w:b/>
          <w:bCs/>
          <w:color w:val="auto"/>
          <w:sz w:val="32"/>
          <w:szCs w:val="32"/>
          <w:highlight w:val="none"/>
        </w:rPr>
      </w:pP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声明</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致：成都市锦江区政府采购中心</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我单位作为</w:t>
      </w:r>
      <w:r>
        <w:rPr>
          <w:rFonts w:hint="eastAsia" w:ascii="宋体" w:hAnsi="宋体"/>
          <w:b/>
          <w:color w:val="auto"/>
          <w:sz w:val="28"/>
          <w:szCs w:val="28"/>
          <w:highlight w:val="none"/>
          <w:u w:val="single"/>
          <w:lang w:eastAsia="zh-CN"/>
        </w:rPr>
        <w:t>成都市锦江区综合行政执法局2022—2024年锦江区环卫保洁、环卫公厕、绿化和河道管护一体化服务项目</w:t>
      </w:r>
      <w:r>
        <w:rPr>
          <w:rFonts w:hint="eastAsia" w:ascii="宋体" w:hAnsi="宋体"/>
          <w:b/>
          <w:color w:val="auto"/>
          <w:sz w:val="28"/>
          <w:szCs w:val="28"/>
          <w:highlight w:val="none"/>
          <w:u w:val="single"/>
        </w:rPr>
        <w:t>（</w:t>
      </w:r>
      <w:r>
        <w:rPr>
          <w:rFonts w:hint="eastAsia" w:ascii="宋体" w:hAnsi="宋体"/>
          <w:b/>
          <w:color w:val="auto"/>
          <w:sz w:val="28"/>
          <w:szCs w:val="28"/>
          <w:highlight w:val="none"/>
          <w:u w:val="single"/>
          <w:lang w:eastAsia="zh-CN"/>
        </w:rPr>
        <w:t>锦江政采（2021）A0028号</w:t>
      </w:r>
      <w:r>
        <w:rPr>
          <w:rFonts w:hint="eastAsia" w:ascii="宋体" w:hAnsi="宋体"/>
          <w:b/>
          <w:color w:val="auto"/>
          <w:sz w:val="28"/>
          <w:szCs w:val="28"/>
          <w:highlight w:val="none"/>
          <w:u w:val="single"/>
        </w:rPr>
        <w:t>）</w:t>
      </w:r>
      <w:r>
        <w:rPr>
          <w:rFonts w:hint="eastAsia" w:ascii="宋体" w:hAnsi="宋体"/>
          <w:b w:val="0"/>
          <w:bCs/>
          <w:color w:val="auto"/>
          <w:sz w:val="28"/>
          <w:szCs w:val="28"/>
          <w:highlight w:val="none"/>
          <w:lang w:val="en-US" w:eastAsia="zh-CN"/>
        </w:rPr>
        <w:t>包件</w:t>
      </w:r>
      <w:r>
        <w:rPr>
          <w:rFonts w:hint="eastAsia" w:ascii="宋体" w:hAnsi="宋体"/>
          <w:b w:val="0"/>
          <w:bCs/>
          <w:color w:val="auto"/>
          <w:sz w:val="28"/>
          <w:szCs w:val="28"/>
          <w:highlight w:val="none"/>
          <w:u w:val="single"/>
          <w:lang w:val="en-US" w:eastAsia="zh-CN"/>
        </w:rPr>
        <w:t>X</w:t>
      </w:r>
      <w:r>
        <w:rPr>
          <w:rFonts w:hint="eastAsia" w:ascii="宋体" w:hAnsi="宋体"/>
          <w:color w:val="auto"/>
          <w:sz w:val="28"/>
          <w:szCs w:val="28"/>
          <w:highlight w:val="none"/>
        </w:rPr>
        <w:t>的投标人，在此郑重声明：</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一、我单位参加政府采购活动前三年内，在经营活动中</w:t>
      </w:r>
      <w:r>
        <w:rPr>
          <w:rFonts w:hint="eastAsia" w:ascii="宋体" w:hAnsi="宋体"/>
          <w:b/>
          <w:color w:val="auto"/>
          <w:sz w:val="28"/>
          <w:szCs w:val="28"/>
          <w:highlight w:val="none"/>
          <w:u w:val="single"/>
        </w:rPr>
        <w:t>（说明：填写“没有”或“有”）</w:t>
      </w:r>
      <w:r>
        <w:rPr>
          <w:rFonts w:hint="eastAsia" w:ascii="宋体" w:hAnsi="宋体"/>
          <w:color w:val="auto"/>
          <w:sz w:val="28"/>
          <w:szCs w:val="28"/>
          <w:highlight w:val="none"/>
        </w:rPr>
        <w:t>重大违法记录。</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二、我单位</w:t>
      </w:r>
      <w:r>
        <w:rPr>
          <w:rFonts w:hint="eastAsia" w:ascii="宋体" w:hAnsi="宋体"/>
          <w:b/>
          <w:color w:val="auto"/>
          <w:sz w:val="28"/>
          <w:szCs w:val="28"/>
          <w:highlight w:val="none"/>
          <w:u w:val="single"/>
        </w:rPr>
        <w:t>（说明：填写“具有”或“不具有”）</w:t>
      </w:r>
      <w:r>
        <w:rPr>
          <w:rFonts w:hint="eastAsia" w:ascii="宋体" w:hAnsi="宋体"/>
          <w:color w:val="auto"/>
          <w:sz w:val="28"/>
          <w:szCs w:val="28"/>
          <w:highlight w:val="none"/>
        </w:rPr>
        <w:t>良好的商业信誉。</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三、与我单位负责人为同一人或者存在直接控股、管理关系的不同供应商：</w:t>
      </w:r>
      <w:r>
        <w:rPr>
          <w:rFonts w:hint="eastAsia" w:ascii="宋体" w:hAnsi="宋体"/>
          <w:b/>
          <w:color w:val="auto"/>
          <w:sz w:val="28"/>
          <w:szCs w:val="28"/>
          <w:highlight w:val="none"/>
          <w:u w:val="single"/>
        </w:rPr>
        <w:t>（说明：填写“无”或“（一）供应商名称１；（二）供应商名称２；（三）……”）</w:t>
      </w:r>
      <w:r>
        <w:rPr>
          <w:rFonts w:hint="eastAsia" w:ascii="宋体" w:hAnsi="宋体"/>
          <w:b/>
          <w:color w:val="auto"/>
          <w:sz w:val="28"/>
          <w:szCs w:val="28"/>
          <w:highlight w:val="none"/>
        </w:rPr>
        <w:t xml:space="preserve"> </w:t>
      </w:r>
      <w:r>
        <w:rPr>
          <w:rFonts w:hint="eastAsia" w:ascii="宋体" w:hAnsi="宋体"/>
          <w:color w:val="auto"/>
          <w:sz w:val="28"/>
          <w:szCs w:val="28"/>
          <w:highlight w:val="none"/>
        </w:rPr>
        <w:t>。</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四、在行贿犯罪信息查询期限内，我单位及我单位现任法定代表人、主要负责人</w:t>
      </w:r>
      <w:r>
        <w:rPr>
          <w:rFonts w:hint="eastAsia" w:ascii="宋体" w:hAnsi="宋体"/>
          <w:b/>
          <w:color w:val="auto"/>
          <w:sz w:val="28"/>
          <w:szCs w:val="28"/>
          <w:highlight w:val="none"/>
          <w:u w:val="single"/>
        </w:rPr>
        <w:t>（说明：填写“没有”或“有”）</w:t>
      </w:r>
      <w:r>
        <w:rPr>
          <w:rFonts w:hint="eastAsia" w:ascii="宋体" w:hAnsi="宋体"/>
          <w:color w:val="auto"/>
          <w:sz w:val="28"/>
          <w:szCs w:val="28"/>
          <w:highlight w:val="none"/>
        </w:rPr>
        <w:t>行贿犯罪记录。</w:t>
      </w:r>
    </w:p>
    <w:p>
      <w:pPr>
        <w:tabs>
          <w:tab w:val="left" w:pos="1260"/>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五、我单位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rPr>
        <w:t>失信被执行人、重大税收违法案件当事人名单。</w:t>
      </w:r>
    </w:p>
    <w:p>
      <w:pPr>
        <w:tabs>
          <w:tab w:val="left" w:pos="1260"/>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rPr>
        <w:t>政府采购严重违法失信行为记录名单。</w:t>
      </w:r>
    </w:p>
    <w:p>
      <w:pPr>
        <w:tabs>
          <w:tab w:val="left" w:pos="1260"/>
        </w:tabs>
        <w:spacing w:line="360" w:lineRule="auto"/>
        <w:ind w:firstLine="560" w:firstLineChars="200"/>
        <w:rPr>
          <w:rFonts w:ascii="宋体" w:hAnsi="宋体"/>
          <w:bCs/>
          <w:color w:val="auto"/>
          <w:sz w:val="28"/>
          <w:szCs w:val="28"/>
          <w:highlight w:val="none"/>
        </w:rPr>
      </w:pPr>
      <w:r>
        <w:rPr>
          <w:rFonts w:hint="eastAsia" w:ascii="宋体" w:hAnsi="宋体"/>
          <w:color w:val="auto"/>
          <w:sz w:val="28"/>
          <w:szCs w:val="28"/>
          <w:highlight w:val="none"/>
        </w:rPr>
        <w:t>六、我单位</w:t>
      </w:r>
      <w:r>
        <w:rPr>
          <w:rFonts w:hint="eastAsia" w:ascii="宋体" w:hAnsi="宋体"/>
          <w:b/>
          <w:color w:val="auto"/>
          <w:sz w:val="28"/>
          <w:szCs w:val="28"/>
          <w:highlight w:val="none"/>
          <w:u w:val="single"/>
        </w:rPr>
        <w:t>（说明：填写“未处于”或“处于”）</w:t>
      </w:r>
      <w:r>
        <w:rPr>
          <w:rFonts w:hint="eastAsia" w:ascii="宋体" w:hAnsi="宋体"/>
          <w:bCs/>
          <w:color w:val="auto"/>
          <w:sz w:val="28"/>
          <w:szCs w:val="28"/>
          <w:highlight w:val="none"/>
        </w:rPr>
        <w:t>被行政部门禁止参与政府采购活动的期限内。</w:t>
      </w:r>
    </w:p>
    <w:p>
      <w:pPr>
        <w:tabs>
          <w:tab w:val="left" w:pos="1260"/>
        </w:tabs>
        <w:spacing w:line="360" w:lineRule="auto"/>
        <w:ind w:firstLine="560" w:firstLineChars="200"/>
        <w:rPr>
          <w:rFonts w:ascii="宋体" w:hAnsi="宋体"/>
          <w:color w:val="auto"/>
          <w:sz w:val="28"/>
          <w:highlight w:val="none"/>
        </w:rPr>
      </w:pPr>
      <w:r>
        <w:rPr>
          <w:rFonts w:hint="eastAsia" w:ascii="宋体" w:hAnsi="宋体"/>
          <w:color w:val="auto"/>
          <w:sz w:val="28"/>
          <w:highlight w:val="none"/>
        </w:rPr>
        <w:t>七</w:t>
      </w:r>
      <w:r>
        <w:rPr>
          <w:rFonts w:ascii="宋体" w:hAnsi="宋体"/>
          <w:color w:val="auto"/>
          <w:sz w:val="28"/>
          <w:highlight w:val="none"/>
        </w:rPr>
        <w:t>、</w:t>
      </w:r>
      <w:r>
        <w:rPr>
          <w:rFonts w:hint="eastAsia" w:ascii="宋体" w:hAnsi="宋体"/>
          <w:color w:val="auto"/>
          <w:sz w:val="28"/>
          <w:highlight w:val="none"/>
        </w:rPr>
        <w:t>我单位</w:t>
      </w:r>
      <w:r>
        <w:rPr>
          <w:rFonts w:hint="eastAsia" w:ascii="宋体" w:hAnsi="宋体"/>
          <w:b/>
          <w:color w:val="auto"/>
          <w:sz w:val="28"/>
          <w:highlight w:val="none"/>
          <w:u w:val="single"/>
        </w:rPr>
        <w:t>（说明：填写“具有”或“不具有”）</w:t>
      </w:r>
      <w:r>
        <w:rPr>
          <w:rFonts w:hint="eastAsia" w:ascii="宋体" w:hAnsi="宋体"/>
          <w:color w:val="auto"/>
          <w:sz w:val="28"/>
          <w:highlight w:val="none"/>
        </w:rPr>
        <w:t>健全的</w:t>
      </w:r>
      <w:r>
        <w:rPr>
          <w:rFonts w:ascii="宋体" w:hAnsi="宋体"/>
          <w:color w:val="auto"/>
          <w:sz w:val="28"/>
          <w:highlight w:val="none"/>
        </w:rPr>
        <w:t>财务会计制度</w:t>
      </w:r>
      <w:r>
        <w:rPr>
          <w:rFonts w:hint="eastAsia" w:ascii="宋体" w:hAnsi="宋体"/>
          <w:color w:val="auto"/>
          <w:sz w:val="28"/>
          <w:highlight w:val="none"/>
        </w:rPr>
        <w:t>。</w:t>
      </w:r>
    </w:p>
    <w:p>
      <w:pPr>
        <w:pStyle w:val="2"/>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八</w:t>
      </w:r>
      <w:r>
        <w:rPr>
          <w:rFonts w:ascii="宋体" w:hAnsi="宋体"/>
          <w:bCs/>
          <w:color w:val="auto"/>
          <w:sz w:val="28"/>
          <w:szCs w:val="28"/>
          <w:highlight w:val="none"/>
        </w:rPr>
        <w:t>、</w:t>
      </w:r>
      <w:r>
        <w:rPr>
          <w:rFonts w:hint="eastAsia" w:ascii="宋体" w:hAnsi="宋体"/>
          <w:bCs/>
          <w:color w:val="auto"/>
          <w:sz w:val="28"/>
          <w:szCs w:val="28"/>
          <w:highlight w:val="none"/>
        </w:rPr>
        <w:t>我单位</w:t>
      </w:r>
      <w:r>
        <w:rPr>
          <w:rFonts w:hint="eastAsia" w:ascii="宋体" w:hAnsi="宋体"/>
          <w:b/>
          <w:bCs/>
          <w:color w:val="auto"/>
          <w:sz w:val="28"/>
          <w:szCs w:val="28"/>
          <w:highlight w:val="none"/>
          <w:u w:val="single"/>
        </w:rPr>
        <w:t>（说明：填写“有”或“无”）</w:t>
      </w:r>
      <w:r>
        <w:rPr>
          <w:rFonts w:hint="eastAsia" w:ascii="宋体" w:hAnsi="宋体"/>
          <w:bCs/>
          <w:color w:val="auto"/>
          <w:sz w:val="28"/>
          <w:szCs w:val="28"/>
          <w:highlight w:val="none"/>
        </w:rPr>
        <w:t>依法缴纳社会</w:t>
      </w:r>
      <w:r>
        <w:rPr>
          <w:rFonts w:ascii="宋体" w:hAnsi="宋体"/>
          <w:bCs/>
          <w:color w:val="auto"/>
          <w:sz w:val="28"/>
          <w:szCs w:val="28"/>
          <w:highlight w:val="none"/>
        </w:rPr>
        <w:t>保障资金的良好记录。</w:t>
      </w:r>
    </w:p>
    <w:p>
      <w:pPr>
        <w:pStyle w:val="2"/>
        <w:ind w:firstLine="420"/>
        <w:rPr>
          <w:color w:val="auto"/>
          <w:highlight w:val="none"/>
        </w:rPr>
      </w:pPr>
      <w:r>
        <w:rPr>
          <w:rFonts w:hint="eastAsia" w:ascii="宋体" w:hAnsi="宋体"/>
          <w:bCs/>
          <w:color w:val="auto"/>
          <w:sz w:val="28"/>
          <w:szCs w:val="28"/>
          <w:highlight w:val="none"/>
        </w:rPr>
        <w:t>九</w:t>
      </w:r>
      <w:r>
        <w:rPr>
          <w:rFonts w:ascii="宋体" w:hAnsi="宋体"/>
          <w:bCs/>
          <w:color w:val="auto"/>
          <w:sz w:val="28"/>
          <w:szCs w:val="28"/>
          <w:highlight w:val="none"/>
        </w:rPr>
        <w:t>、我单位</w:t>
      </w:r>
      <w:r>
        <w:rPr>
          <w:rFonts w:hint="eastAsia" w:ascii="宋体" w:hAnsi="宋体"/>
          <w:b/>
          <w:bCs/>
          <w:color w:val="auto"/>
          <w:sz w:val="28"/>
          <w:szCs w:val="28"/>
          <w:highlight w:val="none"/>
          <w:u w:val="single"/>
        </w:rPr>
        <w:t>（说明：填写“有”或“无”）</w:t>
      </w:r>
      <w:r>
        <w:rPr>
          <w:rFonts w:hint="eastAsia" w:ascii="宋体" w:hAnsi="宋体"/>
          <w:bCs/>
          <w:color w:val="auto"/>
          <w:sz w:val="28"/>
          <w:szCs w:val="28"/>
          <w:highlight w:val="none"/>
        </w:rPr>
        <w:t>依法缴纳税收</w:t>
      </w:r>
      <w:r>
        <w:rPr>
          <w:rFonts w:ascii="宋体" w:hAnsi="宋体"/>
          <w:bCs/>
          <w:color w:val="auto"/>
          <w:sz w:val="28"/>
          <w:szCs w:val="28"/>
          <w:highlight w:val="none"/>
        </w:rPr>
        <w:t>的良好记录。</w:t>
      </w:r>
    </w:p>
    <w:p>
      <w:pPr>
        <w:tabs>
          <w:tab w:val="left" w:pos="1260"/>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特此声明。</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投标人名称：</w:t>
      </w:r>
      <w:r>
        <w:rPr>
          <w:rFonts w:hint="eastAsia" w:ascii="宋体" w:hAnsi="宋体"/>
          <w:color w:val="auto"/>
          <w:sz w:val="28"/>
          <w:szCs w:val="28"/>
          <w:highlight w:val="none"/>
          <w:u w:val="single"/>
        </w:rPr>
        <w:t>XXXX</w:t>
      </w:r>
    </w:p>
    <w:p>
      <w:pPr>
        <w:tabs>
          <w:tab w:val="left" w:pos="1260"/>
        </w:tabs>
        <w:spacing w:line="560" w:lineRule="exact"/>
        <w:ind w:firstLine="560" w:firstLineChars="200"/>
        <w:rPr>
          <w:rFonts w:ascii="宋体" w:hAnsi="宋体"/>
          <w:color w:val="auto"/>
          <w:sz w:val="28"/>
          <w:szCs w:val="28"/>
          <w:highlight w:val="none"/>
          <w:u w:val="single"/>
        </w:rPr>
      </w:pPr>
      <w:r>
        <w:rPr>
          <w:rFonts w:hint="eastAsia" w:ascii="宋体" w:hAnsi="宋体"/>
          <w:color w:val="auto"/>
          <w:sz w:val="28"/>
          <w:szCs w:val="28"/>
          <w:highlight w:val="none"/>
        </w:rPr>
        <w:t>日    期：202</w:t>
      </w:r>
      <w:r>
        <w:rPr>
          <w:rFonts w:hint="eastAsia" w:ascii="宋体" w:hAnsi="宋体"/>
          <w:color w:val="auto"/>
          <w:sz w:val="28"/>
          <w:szCs w:val="28"/>
          <w:highlight w:val="none"/>
          <w:u w:val="single"/>
        </w:rPr>
        <w:t>X</w:t>
      </w:r>
      <w:r>
        <w:rPr>
          <w:rFonts w:hint="eastAsia" w:ascii="宋体" w:hAnsi="宋体"/>
          <w:color w:val="auto"/>
          <w:sz w:val="28"/>
          <w:szCs w:val="28"/>
          <w:highlight w:val="none"/>
        </w:rPr>
        <w:t>年</w:t>
      </w:r>
      <w:r>
        <w:rPr>
          <w:rFonts w:hint="eastAsia" w:ascii="宋体" w:hAnsi="宋体"/>
          <w:color w:val="auto"/>
          <w:sz w:val="28"/>
          <w:szCs w:val="28"/>
          <w:highlight w:val="none"/>
          <w:u w:val="single"/>
        </w:rPr>
        <w:t>XX</w:t>
      </w:r>
      <w:r>
        <w:rPr>
          <w:rFonts w:hint="eastAsia" w:ascii="宋体" w:hAnsi="宋体"/>
          <w:color w:val="auto"/>
          <w:sz w:val="28"/>
          <w:szCs w:val="28"/>
          <w:highlight w:val="none"/>
        </w:rPr>
        <w:t>月</w:t>
      </w:r>
      <w:r>
        <w:rPr>
          <w:rFonts w:hint="eastAsia" w:ascii="宋体" w:hAnsi="宋体"/>
          <w:color w:val="auto"/>
          <w:sz w:val="28"/>
          <w:szCs w:val="28"/>
          <w:highlight w:val="none"/>
          <w:u w:val="single"/>
        </w:rPr>
        <w:t>XX</w:t>
      </w:r>
      <w:r>
        <w:rPr>
          <w:rFonts w:hint="eastAsia" w:ascii="宋体" w:hAnsi="宋体"/>
          <w:color w:val="auto"/>
          <w:sz w:val="28"/>
          <w:szCs w:val="28"/>
          <w:highlight w:val="none"/>
        </w:rPr>
        <w:t>日</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说明：</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6.</w:t>
      </w:r>
      <w:r>
        <w:rPr>
          <w:rFonts w:ascii="宋体" w:hAnsi="宋体"/>
          <w:color w:val="auto"/>
          <w:sz w:val="28"/>
          <w:szCs w:val="28"/>
          <w:highlight w:val="none"/>
        </w:rPr>
        <w:t>对声明中第七条的说明：</w:t>
      </w:r>
      <w:r>
        <w:rPr>
          <w:rFonts w:hint="eastAsia" w:ascii="宋体" w:hAnsi="宋体"/>
          <w:color w:val="auto"/>
          <w:sz w:val="28"/>
          <w:szCs w:val="28"/>
          <w:highlight w:val="none"/>
        </w:rPr>
        <w:t>投标人</w:t>
      </w:r>
      <w:r>
        <w:rPr>
          <w:rFonts w:ascii="宋体" w:hAnsi="宋体"/>
          <w:color w:val="auto"/>
          <w:sz w:val="28"/>
          <w:szCs w:val="28"/>
          <w:highlight w:val="none"/>
        </w:rPr>
        <w:t>不具有健全的财务会计制度的，应填写“</w:t>
      </w:r>
      <w:r>
        <w:rPr>
          <w:rFonts w:hint="eastAsia" w:ascii="宋体" w:hAnsi="宋体"/>
          <w:color w:val="auto"/>
          <w:sz w:val="28"/>
          <w:szCs w:val="28"/>
          <w:highlight w:val="none"/>
        </w:rPr>
        <w:t>不具有</w:t>
      </w:r>
      <w:r>
        <w:rPr>
          <w:rFonts w:ascii="宋体" w:hAnsi="宋体"/>
          <w:color w:val="auto"/>
          <w:sz w:val="28"/>
          <w:szCs w:val="28"/>
          <w:highlight w:val="none"/>
        </w:rPr>
        <w:t>”</w:t>
      </w:r>
      <w:r>
        <w:rPr>
          <w:rFonts w:hint="eastAsia" w:ascii="宋体" w:hAnsi="宋体"/>
          <w:color w:val="auto"/>
          <w:sz w:val="28"/>
          <w:szCs w:val="28"/>
          <w:highlight w:val="none"/>
        </w:rPr>
        <w:t>，投标人投标文件将被认定为无效；</w:t>
      </w:r>
    </w:p>
    <w:p>
      <w:pPr>
        <w:spacing w:line="360" w:lineRule="auto"/>
        <w:ind w:firstLine="560" w:firstLineChars="200"/>
        <w:rPr>
          <w:rFonts w:ascii="宋体" w:hAnsi="宋体"/>
          <w:color w:val="auto"/>
          <w:sz w:val="28"/>
          <w:szCs w:val="28"/>
          <w:highlight w:val="none"/>
        </w:rPr>
      </w:pPr>
      <w:r>
        <w:rPr>
          <w:rFonts w:ascii="宋体" w:hAnsi="宋体"/>
          <w:color w:val="auto"/>
          <w:sz w:val="28"/>
          <w:szCs w:val="28"/>
          <w:highlight w:val="none"/>
        </w:rPr>
        <w:t>7</w:t>
      </w:r>
      <w:r>
        <w:rPr>
          <w:rFonts w:hint="eastAsia" w:ascii="宋体" w:hAnsi="宋体"/>
          <w:color w:val="auto"/>
          <w:sz w:val="28"/>
          <w:szCs w:val="28"/>
          <w:highlight w:val="none"/>
        </w:rPr>
        <w:t>.</w:t>
      </w:r>
      <w:r>
        <w:rPr>
          <w:rFonts w:ascii="宋体" w:hAnsi="宋体"/>
          <w:color w:val="auto"/>
          <w:sz w:val="28"/>
          <w:szCs w:val="28"/>
          <w:highlight w:val="none"/>
        </w:rPr>
        <w:t>对声明中第八条的说明：如</w:t>
      </w:r>
      <w:r>
        <w:rPr>
          <w:rFonts w:hint="eastAsia" w:ascii="宋体" w:hAnsi="宋体"/>
          <w:color w:val="auto"/>
          <w:sz w:val="28"/>
          <w:szCs w:val="28"/>
          <w:highlight w:val="none"/>
        </w:rPr>
        <w:t>投标人无依法缴纳社会</w:t>
      </w:r>
      <w:r>
        <w:rPr>
          <w:rFonts w:ascii="宋体" w:hAnsi="宋体"/>
          <w:color w:val="auto"/>
          <w:sz w:val="28"/>
          <w:szCs w:val="28"/>
          <w:highlight w:val="none"/>
        </w:rPr>
        <w:t>保障资金的良好记录</w:t>
      </w:r>
      <w:r>
        <w:rPr>
          <w:rFonts w:hint="eastAsia" w:ascii="宋体" w:hAnsi="宋体"/>
          <w:color w:val="auto"/>
          <w:sz w:val="28"/>
          <w:szCs w:val="28"/>
          <w:highlight w:val="none"/>
        </w:rPr>
        <w:t>的，</w:t>
      </w:r>
      <w:r>
        <w:rPr>
          <w:rFonts w:ascii="宋体" w:hAnsi="宋体"/>
          <w:color w:val="auto"/>
          <w:sz w:val="28"/>
          <w:szCs w:val="28"/>
          <w:highlight w:val="none"/>
        </w:rPr>
        <w:t>应填写“</w:t>
      </w:r>
      <w:r>
        <w:rPr>
          <w:rFonts w:hint="eastAsia" w:ascii="宋体" w:hAnsi="宋体"/>
          <w:color w:val="auto"/>
          <w:sz w:val="28"/>
          <w:szCs w:val="28"/>
          <w:highlight w:val="none"/>
        </w:rPr>
        <w:t>无</w:t>
      </w:r>
      <w:r>
        <w:rPr>
          <w:rFonts w:ascii="宋体" w:hAnsi="宋体"/>
          <w:color w:val="auto"/>
          <w:sz w:val="28"/>
          <w:szCs w:val="28"/>
          <w:highlight w:val="none"/>
        </w:rPr>
        <w:t>”</w:t>
      </w:r>
      <w:r>
        <w:rPr>
          <w:rFonts w:hint="eastAsia" w:ascii="宋体" w:hAnsi="宋体"/>
          <w:color w:val="auto"/>
          <w:sz w:val="28"/>
          <w:szCs w:val="28"/>
          <w:highlight w:val="none"/>
        </w:rPr>
        <w:t>，投标人投标文件将被认定为</w:t>
      </w:r>
      <w:r>
        <w:rPr>
          <w:rFonts w:ascii="宋体" w:hAnsi="宋体"/>
          <w:color w:val="auto"/>
          <w:sz w:val="28"/>
          <w:szCs w:val="28"/>
          <w:highlight w:val="none"/>
        </w:rPr>
        <w:t>无效</w:t>
      </w:r>
      <w:r>
        <w:rPr>
          <w:rFonts w:hint="eastAsia" w:ascii="宋体" w:hAnsi="宋体"/>
          <w:color w:val="auto"/>
          <w:sz w:val="28"/>
          <w:szCs w:val="28"/>
          <w:highlight w:val="none"/>
        </w:rPr>
        <w:t>。</w:t>
      </w:r>
    </w:p>
    <w:p>
      <w:pPr>
        <w:tabs>
          <w:tab w:val="left" w:pos="1260"/>
        </w:tabs>
        <w:spacing w:line="560" w:lineRule="exact"/>
        <w:ind w:firstLine="560" w:firstLineChars="200"/>
        <w:rPr>
          <w:rFonts w:ascii="宋体" w:hAnsi="宋体"/>
          <w:color w:val="auto"/>
          <w:sz w:val="28"/>
          <w:szCs w:val="28"/>
          <w:highlight w:val="none"/>
        </w:rPr>
      </w:pPr>
      <w:r>
        <w:rPr>
          <w:rFonts w:ascii="宋体" w:hAnsi="宋体"/>
          <w:color w:val="auto"/>
          <w:sz w:val="28"/>
          <w:szCs w:val="28"/>
          <w:highlight w:val="none"/>
        </w:rPr>
        <w:t>8</w:t>
      </w:r>
      <w:r>
        <w:rPr>
          <w:rFonts w:hint="eastAsia" w:ascii="宋体" w:hAnsi="宋体"/>
          <w:color w:val="auto"/>
          <w:sz w:val="28"/>
          <w:szCs w:val="28"/>
          <w:highlight w:val="none"/>
        </w:rPr>
        <w:t>.</w:t>
      </w:r>
      <w:r>
        <w:rPr>
          <w:rFonts w:ascii="宋体" w:hAnsi="宋体"/>
          <w:color w:val="auto"/>
          <w:sz w:val="28"/>
          <w:szCs w:val="28"/>
          <w:highlight w:val="none"/>
        </w:rPr>
        <w:t>对声明中第九条的说明：如</w:t>
      </w:r>
      <w:r>
        <w:rPr>
          <w:rFonts w:hint="eastAsia" w:ascii="宋体" w:hAnsi="宋体"/>
          <w:color w:val="auto"/>
          <w:sz w:val="28"/>
          <w:szCs w:val="28"/>
          <w:highlight w:val="none"/>
        </w:rPr>
        <w:t>投标人无依法缴纳税收</w:t>
      </w:r>
      <w:r>
        <w:rPr>
          <w:rFonts w:ascii="宋体" w:hAnsi="宋体"/>
          <w:color w:val="auto"/>
          <w:sz w:val="28"/>
          <w:szCs w:val="28"/>
          <w:highlight w:val="none"/>
        </w:rPr>
        <w:t>的良好记录</w:t>
      </w:r>
      <w:r>
        <w:rPr>
          <w:rFonts w:hint="eastAsia" w:ascii="宋体" w:hAnsi="宋体"/>
          <w:color w:val="auto"/>
          <w:sz w:val="28"/>
          <w:szCs w:val="28"/>
          <w:highlight w:val="none"/>
        </w:rPr>
        <w:t>的，</w:t>
      </w:r>
      <w:r>
        <w:rPr>
          <w:rFonts w:ascii="宋体" w:hAnsi="宋体"/>
          <w:color w:val="auto"/>
          <w:sz w:val="28"/>
          <w:szCs w:val="28"/>
          <w:highlight w:val="none"/>
        </w:rPr>
        <w:t>应填写“</w:t>
      </w:r>
      <w:r>
        <w:rPr>
          <w:rFonts w:hint="eastAsia" w:ascii="宋体" w:hAnsi="宋体"/>
          <w:color w:val="auto"/>
          <w:sz w:val="28"/>
          <w:szCs w:val="28"/>
          <w:highlight w:val="none"/>
        </w:rPr>
        <w:t>无</w:t>
      </w:r>
      <w:r>
        <w:rPr>
          <w:rFonts w:ascii="宋体" w:hAnsi="宋体"/>
          <w:color w:val="auto"/>
          <w:sz w:val="28"/>
          <w:szCs w:val="28"/>
          <w:highlight w:val="none"/>
        </w:rPr>
        <w:t>”</w:t>
      </w:r>
      <w:r>
        <w:rPr>
          <w:rFonts w:hint="eastAsia" w:ascii="宋体" w:hAnsi="宋体"/>
          <w:color w:val="auto"/>
          <w:sz w:val="28"/>
          <w:szCs w:val="28"/>
          <w:highlight w:val="none"/>
        </w:rPr>
        <w:t>，投标人投标文件将被认定为</w:t>
      </w:r>
      <w:r>
        <w:rPr>
          <w:rFonts w:ascii="宋体" w:hAnsi="宋体"/>
          <w:color w:val="auto"/>
          <w:sz w:val="28"/>
          <w:szCs w:val="28"/>
          <w:highlight w:val="none"/>
        </w:rPr>
        <w:t>无效</w:t>
      </w:r>
      <w:r>
        <w:rPr>
          <w:rFonts w:hint="eastAsia" w:ascii="宋体" w:hAnsi="宋体"/>
          <w:color w:val="auto"/>
          <w:sz w:val="28"/>
          <w:szCs w:val="28"/>
          <w:highlight w:val="none"/>
        </w:rPr>
        <w:t>。</w:t>
      </w: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tabs>
          <w:tab w:val="left" w:pos="1260"/>
        </w:tabs>
        <w:spacing w:line="560" w:lineRule="exact"/>
        <w:ind w:firstLine="560" w:firstLineChars="200"/>
        <w:rPr>
          <w:rFonts w:ascii="宋体" w:hAnsi="宋体"/>
          <w:color w:val="auto"/>
          <w:sz w:val="28"/>
          <w:szCs w:val="28"/>
          <w:highlight w:val="none"/>
        </w:rPr>
      </w:pPr>
    </w:p>
    <w:p>
      <w:pPr>
        <w:widowControl/>
        <w:jc w:val="left"/>
        <w:rPr>
          <w:rFonts w:ascii="宋体" w:hAnsi="宋体" w:cs="宋体"/>
          <w:b/>
          <w:bCs/>
          <w:color w:val="auto"/>
          <w:kern w:val="0"/>
          <w:sz w:val="28"/>
          <w:szCs w:val="28"/>
          <w:highlight w:val="none"/>
        </w:rPr>
      </w:pPr>
    </w:p>
    <w:p>
      <w:pPr>
        <w:pStyle w:val="2"/>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投标人应提交的相关资格证明材料</w:t>
      </w:r>
    </w:p>
    <w:p>
      <w:pPr>
        <w:ind w:firstLine="560" w:firstLineChars="200"/>
        <w:rPr>
          <w:color w:val="auto"/>
          <w:sz w:val="28"/>
          <w:szCs w:val="28"/>
          <w:highlight w:val="none"/>
        </w:rPr>
      </w:pP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投标人按招标文件要求，应提供以下相关资格证明材料：</w:t>
      </w:r>
    </w:p>
    <w:p>
      <w:pPr>
        <w:ind w:firstLine="560" w:firstLineChars="200"/>
        <w:rPr>
          <w:color w:val="auto"/>
          <w:sz w:val="28"/>
          <w:szCs w:val="28"/>
          <w:highlight w:val="none"/>
        </w:rPr>
      </w:pPr>
    </w:p>
    <w:p>
      <w:pPr>
        <w:spacing w:line="360" w:lineRule="auto"/>
        <w:ind w:firstLine="560" w:firstLineChars="200"/>
        <w:rPr>
          <w:rFonts w:ascii="宋体" w:hAnsi="宋体" w:eastAsiaTheme="minorEastAsia" w:cstheme="minorBidi"/>
          <w:color w:val="auto"/>
          <w:kern w:val="0"/>
          <w:sz w:val="28"/>
          <w:szCs w:val="28"/>
          <w:highlight w:val="none"/>
        </w:rPr>
      </w:pPr>
      <w:r>
        <w:rPr>
          <w:rFonts w:hint="eastAsia" w:ascii="宋体" w:hAnsi="宋体" w:eastAsiaTheme="minorEastAsia" w:cstheme="minorBidi"/>
          <w:color w:val="auto"/>
          <w:kern w:val="0"/>
          <w:sz w:val="28"/>
          <w:szCs w:val="28"/>
          <w:highlight w:val="none"/>
        </w:rPr>
        <w:t>一</w:t>
      </w:r>
      <w:r>
        <w:rPr>
          <w:rFonts w:ascii="宋体" w:hAnsi="宋体" w:eastAsiaTheme="minorEastAsia" w:cstheme="minorBidi"/>
          <w:color w:val="auto"/>
          <w:kern w:val="0"/>
          <w:sz w:val="28"/>
          <w:szCs w:val="28"/>
          <w:highlight w:val="none"/>
        </w:rPr>
        <w:t>、</w:t>
      </w:r>
      <w:r>
        <w:rPr>
          <w:rFonts w:hint="eastAsia" w:ascii="宋体" w:hAnsi="宋体" w:eastAsiaTheme="minorEastAsia" w:cstheme="minorBidi"/>
          <w:color w:val="auto"/>
          <w:kern w:val="0"/>
          <w:sz w:val="28"/>
          <w:szCs w:val="28"/>
          <w:highlight w:val="none"/>
        </w:rPr>
        <w:t>营业执照复印件（正本或副本）或法人证书复印件（正本或副本）或其他能够证明供应商具有独立承担民事责任能力的相关证明材料复印件；</w:t>
      </w:r>
      <w:r>
        <w:rPr>
          <w:rFonts w:ascii="宋体" w:hAnsi="宋体" w:eastAsiaTheme="minorEastAsia" w:cstheme="minorBidi"/>
          <w:color w:val="auto"/>
          <w:kern w:val="0"/>
          <w:sz w:val="28"/>
          <w:szCs w:val="28"/>
          <w:highlight w:val="none"/>
        </w:rPr>
        <w:t xml:space="preserve"> </w:t>
      </w:r>
    </w:p>
    <w:p>
      <w:pPr>
        <w:spacing w:line="360" w:lineRule="auto"/>
        <w:ind w:firstLine="560" w:firstLineChars="200"/>
        <w:rPr>
          <w:rFonts w:ascii="宋体" w:hAnsi="宋体" w:eastAsiaTheme="minorEastAsia" w:cstheme="minorBidi"/>
          <w:color w:val="auto"/>
          <w:kern w:val="0"/>
          <w:sz w:val="28"/>
          <w:szCs w:val="28"/>
          <w:highlight w:val="none"/>
        </w:rPr>
      </w:pPr>
      <w:r>
        <w:rPr>
          <w:rFonts w:hint="eastAsia" w:ascii="宋体" w:hAnsi="宋体" w:eastAsiaTheme="minorEastAsia" w:cstheme="minorBidi"/>
          <w:color w:val="auto"/>
          <w:kern w:val="0"/>
          <w:sz w:val="28"/>
          <w:szCs w:val="28"/>
          <w:highlight w:val="none"/>
        </w:rPr>
        <w:t>二</w:t>
      </w:r>
      <w:r>
        <w:rPr>
          <w:rFonts w:ascii="宋体" w:hAnsi="宋体" w:eastAsiaTheme="minorEastAsia" w:cstheme="minorBidi"/>
          <w:color w:val="auto"/>
          <w:kern w:val="0"/>
          <w:sz w:val="28"/>
          <w:szCs w:val="28"/>
          <w:highlight w:val="none"/>
        </w:rPr>
        <w:t>、</w:t>
      </w:r>
      <w:r>
        <w:rPr>
          <w:rFonts w:hint="eastAsia" w:ascii="宋体" w:hAnsi="宋体" w:eastAsiaTheme="minorEastAsia" w:cstheme="minorBidi"/>
          <w:color w:val="auto"/>
          <w:kern w:val="0"/>
          <w:sz w:val="28"/>
          <w:szCs w:val="28"/>
          <w:highlight w:val="none"/>
        </w:rPr>
        <w:t>采购人对投标人履行合同所必须的设备和专业技术能力无其他特殊要求，投标人可不提供证明材料；</w:t>
      </w:r>
    </w:p>
    <w:p>
      <w:pPr>
        <w:spacing w:line="360" w:lineRule="auto"/>
        <w:ind w:firstLine="560" w:firstLineChars="200"/>
        <w:rPr>
          <w:rFonts w:ascii="宋体" w:hAnsi="宋体" w:eastAsiaTheme="minorEastAsia" w:cstheme="minorBidi"/>
          <w:color w:val="auto"/>
          <w:kern w:val="0"/>
          <w:sz w:val="28"/>
          <w:szCs w:val="28"/>
          <w:highlight w:val="none"/>
        </w:rPr>
      </w:pPr>
      <w:r>
        <w:rPr>
          <w:rFonts w:hint="eastAsia" w:ascii="宋体" w:hAnsi="宋体" w:eastAsiaTheme="minorEastAsia" w:cstheme="minorBidi"/>
          <w:color w:val="auto"/>
          <w:kern w:val="0"/>
          <w:sz w:val="28"/>
          <w:szCs w:val="28"/>
          <w:highlight w:val="none"/>
        </w:rPr>
        <w:t>三</w:t>
      </w:r>
      <w:r>
        <w:rPr>
          <w:rFonts w:ascii="宋体" w:hAnsi="宋体" w:eastAsiaTheme="minorEastAsia" w:cstheme="minorBidi"/>
          <w:color w:val="auto"/>
          <w:kern w:val="0"/>
          <w:sz w:val="28"/>
          <w:szCs w:val="28"/>
          <w:highlight w:val="none"/>
        </w:rPr>
        <w:t>、</w:t>
      </w:r>
      <w:r>
        <w:rPr>
          <w:rFonts w:hint="eastAsia" w:ascii="宋体" w:hAnsi="宋体" w:eastAsiaTheme="minorEastAsia" w:cstheme="minorBidi"/>
          <w:color w:val="auto"/>
          <w:kern w:val="0"/>
          <w:sz w:val="28"/>
          <w:szCs w:val="28"/>
          <w:highlight w:val="none"/>
        </w:rPr>
        <w:t>采购人对法律、行政法规规定的其他条件无其他特殊要求，投标人可不提供证明材料。</w:t>
      </w: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3"/>
        <w:rPr>
          <w:rFonts w:ascii="宋体" w:hAnsi="宋体" w:cs="宋体"/>
          <w:b/>
          <w:bCs/>
          <w:color w:val="auto"/>
          <w:kern w:val="0"/>
          <w:sz w:val="28"/>
          <w:szCs w:val="28"/>
          <w:highlight w:val="none"/>
        </w:rPr>
      </w:pPr>
    </w:p>
    <w:p>
      <w:pPr>
        <w:pStyle w:val="7"/>
        <w:numPr>
          <w:ilvl w:val="2"/>
          <w:numId w:val="28"/>
        </w:numPr>
        <w:spacing w:after="200" w:line="240" w:lineRule="auto"/>
        <w:ind w:left="851"/>
        <w:rPr>
          <w:color w:val="auto"/>
          <w:highlight w:val="none"/>
        </w:rPr>
      </w:pPr>
      <w:r>
        <w:rPr>
          <w:rFonts w:hint="eastAsia"/>
          <w:color w:val="auto"/>
          <w:highlight w:val="none"/>
        </w:rPr>
        <w:t>中小企业声明函</w:t>
      </w:r>
    </w:p>
    <w:p>
      <w:pPr>
        <w:spacing w:line="500" w:lineRule="exact"/>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中小企业声明函</w:t>
      </w:r>
    </w:p>
    <w:p>
      <w:pPr>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本公司郑重声明，根据《政府采购促进中小企业发展管理办法》（财库〔</w:t>
      </w:r>
      <w:r>
        <w:rPr>
          <w:rFonts w:ascii="宋体" w:hAnsi="宋体"/>
          <w:color w:val="auto"/>
          <w:spacing w:val="6"/>
          <w:sz w:val="28"/>
          <w:szCs w:val="28"/>
          <w:highlight w:val="none"/>
        </w:rPr>
        <w:t>2020〕46号）的规定，本公司参加</w:t>
      </w:r>
      <w:r>
        <w:rPr>
          <w:rFonts w:hint="eastAsia" w:ascii="宋体" w:hAnsi="宋体"/>
          <w:b/>
          <w:color w:val="auto"/>
          <w:sz w:val="28"/>
          <w:szCs w:val="28"/>
          <w:highlight w:val="none"/>
          <w:u w:val="single"/>
        </w:rPr>
        <w:t>成都市锦江区</w:t>
      </w:r>
      <w:r>
        <w:rPr>
          <w:rFonts w:hint="eastAsia" w:ascii="宋体" w:hAnsi="宋体"/>
          <w:color w:val="auto"/>
          <w:spacing w:val="6"/>
          <w:sz w:val="28"/>
          <w:szCs w:val="28"/>
          <w:highlight w:val="none"/>
        </w:rPr>
        <w:t>的</w:t>
      </w:r>
      <w:r>
        <w:rPr>
          <w:rFonts w:hint="eastAsia" w:ascii="宋体" w:hAnsi="宋体"/>
          <w:b/>
          <w:color w:val="auto"/>
          <w:sz w:val="28"/>
          <w:szCs w:val="28"/>
          <w:highlight w:val="none"/>
          <w:u w:val="single"/>
          <w:lang w:eastAsia="zh-CN"/>
        </w:rPr>
        <w:t>成都市锦江区综合行政执法局2022—2024年锦江区环卫保洁、环卫公厕、绿化和河道管护一体化服务项目</w:t>
      </w:r>
      <w:r>
        <w:rPr>
          <w:rFonts w:hint="eastAsia" w:ascii="宋体" w:hAnsi="宋体"/>
          <w:b/>
          <w:color w:val="auto"/>
          <w:sz w:val="28"/>
          <w:szCs w:val="28"/>
          <w:highlight w:val="none"/>
          <w:u w:val="single"/>
        </w:rPr>
        <w:t>（</w:t>
      </w:r>
      <w:r>
        <w:rPr>
          <w:rFonts w:hint="eastAsia" w:ascii="宋体" w:hAnsi="宋体"/>
          <w:b/>
          <w:color w:val="auto"/>
          <w:sz w:val="28"/>
          <w:szCs w:val="28"/>
          <w:highlight w:val="none"/>
          <w:u w:val="single"/>
          <w:lang w:eastAsia="zh-CN"/>
        </w:rPr>
        <w:t>锦江政采（2021）A0028号</w:t>
      </w:r>
      <w:r>
        <w:rPr>
          <w:rFonts w:hint="eastAsia" w:ascii="宋体" w:hAnsi="宋体"/>
          <w:b/>
          <w:color w:val="auto"/>
          <w:sz w:val="28"/>
          <w:szCs w:val="28"/>
          <w:highlight w:val="none"/>
          <w:u w:val="single"/>
        </w:rPr>
        <w:t>）</w:t>
      </w:r>
      <w:r>
        <w:rPr>
          <w:rFonts w:hint="eastAsia" w:ascii="宋体" w:hAnsi="宋体"/>
          <w:color w:val="auto"/>
          <w:spacing w:val="6"/>
          <w:sz w:val="28"/>
          <w:szCs w:val="28"/>
          <w:highlight w:val="none"/>
        </w:rPr>
        <w:t>采购活动，服务全部由符合政策要求的中小企业承接。相关企业的具体情况如下：</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u w:val="single"/>
        </w:rPr>
        <w:t>XXXX（标的名称）</w:t>
      </w:r>
      <w:r>
        <w:rPr>
          <w:rFonts w:hint="eastAsia" w:ascii="宋体" w:hAnsi="宋体"/>
          <w:color w:val="auto"/>
          <w:spacing w:val="6"/>
          <w:sz w:val="28"/>
          <w:szCs w:val="28"/>
          <w:highlight w:val="none"/>
        </w:rPr>
        <w:t>，属于</w:t>
      </w:r>
      <w:r>
        <w:rPr>
          <w:rFonts w:hint="eastAsia" w:ascii="宋体" w:hAnsi="宋体"/>
          <w:color w:val="auto"/>
          <w:spacing w:val="6"/>
          <w:sz w:val="28"/>
          <w:szCs w:val="28"/>
          <w:highlight w:val="none"/>
          <w:u w:val="single"/>
        </w:rPr>
        <w:t>XXXX（采购文件中明确的所属行业）</w:t>
      </w:r>
      <w:r>
        <w:rPr>
          <w:rFonts w:hint="eastAsia" w:ascii="宋体" w:hAnsi="宋体"/>
          <w:color w:val="auto"/>
          <w:spacing w:val="6"/>
          <w:sz w:val="28"/>
          <w:szCs w:val="28"/>
          <w:highlight w:val="none"/>
        </w:rPr>
        <w:t>；承接企业为</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X</w:t>
      </w:r>
      <w:r>
        <w:rPr>
          <w:rFonts w:ascii="宋体" w:hAnsi="宋体"/>
          <w:color w:val="auto"/>
          <w:spacing w:val="6"/>
          <w:sz w:val="28"/>
          <w:szCs w:val="28"/>
          <w:highlight w:val="none"/>
          <w:u w:val="single"/>
        </w:rPr>
        <w:t>（企业名称）</w:t>
      </w:r>
      <w:r>
        <w:rPr>
          <w:rFonts w:hint="eastAsia" w:ascii="宋体" w:hAnsi="宋体"/>
          <w:color w:val="auto"/>
          <w:spacing w:val="6"/>
          <w:sz w:val="28"/>
          <w:szCs w:val="28"/>
          <w:highlight w:val="none"/>
        </w:rPr>
        <w:t>，从业人员</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人，营业收入为</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万元，资产总额为</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万元，属于</w:t>
      </w:r>
      <w:r>
        <w:rPr>
          <w:rFonts w:ascii="宋体" w:hAnsi="宋体"/>
          <w:color w:val="auto"/>
          <w:spacing w:val="6"/>
          <w:sz w:val="28"/>
          <w:szCs w:val="28"/>
          <w:highlight w:val="none"/>
          <w:u w:val="single"/>
        </w:rPr>
        <w:t>XXXX（中型企业、小型企业、微型企业）</w:t>
      </w:r>
      <w:r>
        <w:rPr>
          <w:rFonts w:hint="eastAsia" w:ascii="宋体" w:hAnsi="宋体"/>
          <w:color w:val="auto"/>
          <w:spacing w:val="6"/>
          <w:sz w:val="28"/>
          <w:szCs w:val="28"/>
          <w:highlight w:val="none"/>
        </w:rPr>
        <w:t>。</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本企业对上述声明内容的真实性负责。如有虚假，将依法承担相应责任。</w:t>
      </w:r>
    </w:p>
    <w:p>
      <w:pPr>
        <w:spacing w:line="500" w:lineRule="exact"/>
        <w:ind w:firstLine="586" w:firstLineChars="200"/>
        <w:rPr>
          <w:rFonts w:ascii="宋体" w:hAnsi="宋体"/>
          <w:b/>
          <w:color w:val="auto"/>
          <w:spacing w:val="6"/>
          <w:sz w:val="28"/>
          <w:szCs w:val="28"/>
          <w:highlight w:val="none"/>
        </w:rPr>
      </w:pPr>
    </w:p>
    <w:p>
      <w:pPr>
        <w:spacing w:line="500" w:lineRule="exact"/>
        <w:ind w:firstLine="586" w:firstLineChars="200"/>
        <w:rPr>
          <w:rFonts w:ascii="宋体" w:hAnsi="宋体"/>
          <w:b/>
          <w:color w:val="auto"/>
          <w:spacing w:val="6"/>
          <w:sz w:val="28"/>
          <w:szCs w:val="28"/>
          <w:highlight w:val="none"/>
        </w:rPr>
      </w:pPr>
    </w:p>
    <w:p>
      <w:pPr>
        <w:spacing w:line="500" w:lineRule="exact"/>
        <w:ind w:firstLine="586" w:firstLineChars="200"/>
        <w:rPr>
          <w:rFonts w:ascii="宋体" w:hAnsi="宋体"/>
          <w:b/>
          <w:color w:val="auto"/>
          <w:spacing w:val="6"/>
          <w:sz w:val="28"/>
          <w:szCs w:val="28"/>
          <w:highlight w:val="none"/>
        </w:rPr>
      </w:pPr>
    </w:p>
    <w:p>
      <w:pPr>
        <w:tabs>
          <w:tab w:val="left" w:pos="3969"/>
        </w:tabs>
        <w:spacing w:line="500" w:lineRule="exact"/>
        <w:ind w:right="-58" w:firstLine="584" w:firstLineChars="200"/>
        <w:jc w:val="left"/>
        <w:rPr>
          <w:rFonts w:ascii="宋体" w:hAnsi="宋体"/>
          <w:color w:val="auto"/>
          <w:spacing w:val="6"/>
          <w:sz w:val="28"/>
          <w:szCs w:val="28"/>
          <w:highlight w:val="none"/>
        </w:rPr>
      </w:pPr>
      <w:r>
        <w:rPr>
          <w:rFonts w:hint="eastAsia" w:ascii="宋体" w:hAnsi="宋体"/>
          <w:color w:val="auto"/>
          <w:spacing w:val="6"/>
          <w:sz w:val="28"/>
          <w:szCs w:val="28"/>
          <w:highlight w:val="none"/>
        </w:rPr>
        <w:t>企业名称：</w:t>
      </w:r>
      <w:r>
        <w:rPr>
          <w:rFonts w:ascii="宋体" w:hAnsi="宋体"/>
          <w:color w:val="auto"/>
          <w:sz w:val="28"/>
          <w:szCs w:val="28"/>
          <w:highlight w:val="none"/>
          <w:u w:val="single"/>
        </w:rPr>
        <w:t>XXXX</w:t>
      </w:r>
      <w:r>
        <w:rPr>
          <w:rFonts w:ascii="宋体" w:hAnsi="宋体"/>
          <w:color w:val="auto"/>
          <w:spacing w:val="6"/>
          <w:sz w:val="28"/>
          <w:szCs w:val="28"/>
          <w:highlight w:val="none"/>
        </w:rPr>
        <w:t xml:space="preserve"> </w:t>
      </w:r>
    </w:p>
    <w:p>
      <w:pPr>
        <w:tabs>
          <w:tab w:val="left" w:pos="3969"/>
        </w:tabs>
        <w:spacing w:line="500" w:lineRule="exact"/>
        <w:ind w:right="-58" w:firstLine="584" w:firstLineChars="200"/>
        <w:jc w:val="left"/>
        <w:rPr>
          <w:color w:val="auto"/>
          <w:sz w:val="28"/>
          <w:szCs w:val="28"/>
          <w:highlight w:val="none"/>
        </w:rPr>
      </w:pPr>
      <w:r>
        <w:rPr>
          <w:rFonts w:hint="eastAsia" w:ascii="宋体" w:hAnsi="宋体"/>
          <w:color w:val="auto"/>
          <w:spacing w:val="6"/>
          <w:sz w:val="28"/>
          <w:szCs w:val="28"/>
          <w:highlight w:val="none"/>
        </w:rPr>
        <w:t>日</w:t>
      </w:r>
      <w:r>
        <w:rPr>
          <w:rFonts w:ascii="宋体" w:hAnsi="宋体"/>
          <w:color w:val="auto"/>
          <w:spacing w:val="6"/>
          <w:sz w:val="28"/>
          <w:szCs w:val="28"/>
          <w:highlight w:val="none"/>
        </w:rPr>
        <w:t xml:space="preserve">  </w:t>
      </w:r>
      <w:r>
        <w:rPr>
          <w:rFonts w:hint="eastAsia" w:ascii="宋体" w:hAnsi="宋体"/>
          <w:color w:val="auto"/>
          <w:spacing w:val="6"/>
          <w:sz w:val="28"/>
          <w:szCs w:val="28"/>
          <w:highlight w:val="none"/>
        </w:rPr>
        <w:t>期：</w:t>
      </w:r>
      <w:r>
        <w:rPr>
          <w:rFonts w:ascii="宋体" w:hAnsi="宋体"/>
          <w:color w:val="auto"/>
          <w:sz w:val="28"/>
          <w:szCs w:val="28"/>
          <w:highlight w:val="none"/>
        </w:rPr>
        <w:t>20</w:t>
      </w:r>
      <w:r>
        <w:rPr>
          <w:rFonts w:ascii="宋体" w:hAnsi="宋体"/>
          <w:color w:val="auto"/>
          <w:sz w:val="28"/>
          <w:szCs w:val="28"/>
          <w:highlight w:val="none"/>
          <w:u w:val="single"/>
        </w:rPr>
        <w:t>XX</w:t>
      </w:r>
      <w:r>
        <w:rPr>
          <w:rFonts w:ascii="宋体" w:hAnsi="宋体"/>
          <w:color w:val="auto"/>
          <w:sz w:val="28"/>
          <w:szCs w:val="28"/>
          <w:highlight w:val="none"/>
        </w:rPr>
        <w:t>年</w:t>
      </w:r>
      <w:r>
        <w:rPr>
          <w:rFonts w:ascii="宋体" w:hAnsi="宋体"/>
          <w:color w:val="auto"/>
          <w:sz w:val="28"/>
          <w:szCs w:val="28"/>
          <w:highlight w:val="none"/>
          <w:u w:val="single"/>
        </w:rPr>
        <w:t>XX</w:t>
      </w:r>
      <w:r>
        <w:rPr>
          <w:rFonts w:ascii="宋体" w:hAnsi="宋体"/>
          <w:color w:val="auto"/>
          <w:sz w:val="28"/>
          <w:szCs w:val="28"/>
          <w:highlight w:val="none"/>
        </w:rPr>
        <w:t>月</w:t>
      </w:r>
      <w:r>
        <w:rPr>
          <w:rFonts w:ascii="宋体" w:hAnsi="宋体"/>
          <w:color w:val="auto"/>
          <w:sz w:val="28"/>
          <w:szCs w:val="28"/>
          <w:highlight w:val="none"/>
          <w:u w:val="single"/>
        </w:rPr>
        <w:t>XX</w:t>
      </w:r>
      <w:r>
        <w:rPr>
          <w:rFonts w:ascii="宋体" w:hAnsi="宋体"/>
          <w:color w:val="auto"/>
          <w:sz w:val="28"/>
          <w:szCs w:val="28"/>
          <w:highlight w:val="none"/>
        </w:rPr>
        <w:t>日</w:t>
      </w:r>
    </w:p>
    <w:p>
      <w:pPr>
        <w:pStyle w:val="91"/>
        <w:tabs>
          <w:tab w:val="left" w:pos="567"/>
          <w:tab w:val="left" w:pos="709"/>
          <w:tab w:val="left" w:pos="851"/>
        </w:tabs>
        <w:spacing w:before="60" w:line="360" w:lineRule="auto"/>
        <w:ind w:firstLine="562"/>
        <w:rPr>
          <w:rFonts w:ascii="宋体" w:hAnsi="宋体"/>
          <w:b/>
          <w:color w:val="auto"/>
          <w:sz w:val="28"/>
          <w:szCs w:val="28"/>
          <w:highlight w:val="none"/>
        </w:rPr>
      </w:pPr>
      <w:r>
        <w:rPr>
          <w:rFonts w:hint="eastAsia" w:ascii="宋体" w:hAnsi="宋体"/>
          <w:b/>
          <w:color w:val="auto"/>
          <w:kern w:val="0"/>
          <w:sz w:val="28"/>
          <w:szCs w:val="28"/>
          <w:highlight w:val="none"/>
        </w:rPr>
        <w:t>说明：</w:t>
      </w:r>
      <w:r>
        <w:rPr>
          <w:rFonts w:hint="eastAsia" w:ascii="宋体" w:hAnsi="宋体"/>
          <w:b/>
          <w:color w:val="auto"/>
          <w:sz w:val="28"/>
          <w:szCs w:val="28"/>
          <w:highlight w:val="none"/>
        </w:rPr>
        <w:t>1. 提供了《残疾人福利性单位声明函》或监狱企业证明文件复印件的不需提供；</w:t>
      </w:r>
    </w:p>
    <w:p>
      <w:pPr>
        <w:pStyle w:val="91"/>
        <w:tabs>
          <w:tab w:val="left" w:pos="567"/>
          <w:tab w:val="left" w:pos="709"/>
          <w:tab w:val="left" w:pos="851"/>
        </w:tabs>
        <w:spacing w:before="60" w:line="360" w:lineRule="auto"/>
        <w:ind w:firstLine="1405" w:firstLineChars="500"/>
        <w:rPr>
          <w:rFonts w:ascii="宋体" w:hAnsi="宋体"/>
          <w:b/>
          <w:color w:val="auto"/>
          <w:sz w:val="28"/>
          <w:szCs w:val="28"/>
          <w:highlight w:val="none"/>
        </w:rPr>
      </w:pPr>
      <w:r>
        <w:rPr>
          <w:rFonts w:hint="eastAsia" w:ascii="宋体" w:hAnsi="宋体"/>
          <w:b/>
          <w:color w:val="auto"/>
          <w:sz w:val="28"/>
          <w:szCs w:val="28"/>
          <w:highlight w:val="none"/>
        </w:rPr>
        <w:t>2、</w:t>
      </w:r>
      <w:r>
        <w:rPr>
          <w:rFonts w:ascii="宋体" w:hAnsi="宋体"/>
          <w:b/>
          <w:color w:val="auto"/>
          <w:sz w:val="28"/>
          <w:szCs w:val="28"/>
          <w:highlight w:val="none"/>
        </w:rPr>
        <w:t xml:space="preserve"> </w:t>
      </w:r>
      <w:r>
        <w:rPr>
          <w:rFonts w:hint="eastAsia" w:ascii="宋体" w:hAnsi="宋体"/>
          <w:b/>
          <w:color w:val="auto"/>
          <w:sz w:val="28"/>
          <w:szCs w:val="28"/>
          <w:highlight w:val="none"/>
        </w:rPr>
        <w:t>从业人员、营业收入、资产总额填报上一年度数据，无上一年度数据的新成立企业可不填报。</w:t>
      </w:r>
    </w:p>
    <w:p>
      <w:pPr>
        <w:pStyle w:val="91"/>
        <w:tabs>
          <w:tab w:val="left" w:pos="567"/>
          <w:tab w:val="left" w:pos="709"/>
          <w:tab w:val="left" w:pos="851"/>
        </w:tabs>
        <w:spacing w:before="60" w:line="360" w:lineRule="auto"/>
        <w:ind w:firstLine="562"/>
        <w:rPr>
          <w:rFonts w:ascii="宋体" w:hAnsi="宋体"/>
          <w:b/>
          <w:color w:val="auto"/>
          <w:sz w:val="28"/>
          <w:szCs w:val="28"/>
          <w:highlight w:val="none"/>
        </w:rPr>
      </w:pPr>
    </w:p>
    <w:p>
      <w:pPr>
        <w:pStyle w:val="91"/>
        <w:tabs>
          <w:tab w:val="left" w:pos="567"/>
          <w:tab w:val="left" w:pos="709"/>
          <w:tab w:val="left" w:pos="851"/>
        </w:tabs>
        <w:spacing w:before="60" w:line="360" w:lineRule="auto"/>
        <w:ind w:firstLine="562"/>
        <w:rPr>
          <w:rFonts w:ascii="宋体" w:hAnsi="宋体"/>
          <w:b/>
          <w:color w:val="auto"/>
          <w:sz w:val="28"/>
          <w:szCs w:val="28"/>
          <w:highlight w:val="none"/>
        </w:rPr>
      </w:pPr>
    </w:p>
    <w:p>
      <w:pPr>
        <w:pStyle w:val="7"/>
        <w:numPr>
          <w:ilvl w:val="2"/>
          <w:numId w:val="28"/>
        </w:numPr>
        <w:spacing w:after="200" w:line="240" w:lineRule="auto"/>
        <w:ind w:left="851"/>
        <w:rPr>
          <w:color w:val="auto"/>
          <w:highlight w:val="none"/>
        </w:rPr>
      </w:pPr>
      <w:r>
        <w:rPr>
          <w:rFonts w:hint="eastAsia"/>
          <w:color w:val="auto"/>
          <w:highlight w:val="none"/>
        </w:rPr>
        <w:t>残疾人福利性单位声明函</w:t>
      </w:r>
    </w:p>
    <w:p>
      <w:pPr>
        <w:spacing w:line="500" w:lineRule="exact"/>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残疾人福利性单位声明函</w:t>
      </w:r>
    </w:p>
    <w:p>
      <w:pPr>
        <w:spacing w:line="440" w:lineRule="exact"/>
        <w:rPr>
          <w:rFonts w:ascii="仿宋_GB2312" w:eastAsia="仿宋_GB2312"/>
          <w:b/>
          <w:color w:val="auto"/>
          <w:spacing w:val="6"/>
          <w:sz w:val="30"/>
          <w:szCs w:val="30"/>
          <w:highlight w:val="none"/>
        </w:rPr>
      </w:pP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auto"/>
          <w:spacing w:val="6"/>
          <w:sz w:val="28"/>
          <w:szCs w:val="28"/>
          <w:highlight w:val="none"/>
          <w:u w:val="single"/>
        </w:rPr>
        <w:t>XXXX</w:t>
      </w:r>
      <w:r>
        <w:rPr>
          <w:rFonts w:hint="eastAsia" w:ascii="宋体" w:hAnsi="宋体"/>
          <w:color w:val="auto"/>
          <w:spacing w:val="6"/>
          <w:sz w:val="28"/>
          <w:szCs w:val="28"/>
          <w:highlight w:val="none"/>
        </w:rPr>
        <w:t>单位的</w:t>
      </w:r>
      <w:r>
        <w:rPr>
          <w:rFonts w:hint="eastAsia" w:ascii="宋体" w:hAnsi="宋体"/>
          <w:color w:val="auto"/>
          <w:spacing w:val="6"/>
          <w:sz w:val="28"/>
          <w:szCs w:val="28"/>
          <w:highlight w:val="none"/>
          <w:u w:val="single"/>
        </w:rPr>
        <w:t>XXXX</w:t>
      </w:r>
      <w:r>
        <w:rPr>
          <w:rFonts w:hint="eastAsia" w:ascii="宋体" w:hAnsi="宋体"/>
          <w:color w:val="auto"/>
          <w:spacing w:val="6"/>
          <w:sz w:val="28"/>
          <w:szCs w:val="28"/>
          <w:highlight w:val="none"/>
        </w:rPr>
        <w:t>项目采购活动由本单位提供服务。</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tabs>
          <w:tab w:val="left" w:pos="3969"/>
        </w:tabs>
        <w:spacing w:line="500" w:lineRule="exact"/>
        <w:ind w:right="-58" w:firstLine="584" w:firstLineChars="200"/>
        <w:jc w:val="left"/>
        <w:rPr>
          <w:rFonts w:ascii="宋体" w:hAnsi="宋体"/>
          <w:color w:val="auto"/>
          <w:spacing w:val="6"/>
          <w:sz w:val="28"/>
          <w:szCs w:val="28"/>
          <w:highlight w:val="none"/>
        </w:rPr>
      </w:pPr>
      <w:r>
        <w:rPr>
          <w:rFonts w:hint="eastAsia" w:ascii="宋体" w:hAnsi="宋体"/>
          <w:color w:val="auto"/>
          <w:spacing w:val="6"/>
          <w:sz w:val="28"/>
          <w:szCs w:val="28"/>
          <w:highlight w:val="none"/>
        </w:rPr>
        <w:t>单位名称：</w:t>
      </w:r>
      <w:r>
        <w:rPr>
          <w:rFonts w:ascii="宋体" w:hAnsi="宋体"/>
          <w:color w:val="auto"/>
          <w:sz w:val="28"/>
          <w:szCs w:val="28"/>
          <w:highlight w:val="none"/>
          <w:u w:val="single"/>
        </w:rPr>
        <w:t>XXXX</w:t>
      </w:r>
      <w:r>
        <w:rPr>
          <w:rFonts w:ascii="宋体" w:hAnsi="宋体"/>
          <w:color w:val="auto"/>
          <w:spacing w:val="6"/>
          <w:sz w:val="28"/>
          <w:szCs w:val="28"/>
          <w:highlight w:val="none"/>
        </w:rPr>
        <w:t xml:space="preserve"> </w:t>
      </w:r>
    </w:p>
    <w:p>
      <w:pPr>
        <w:tabs>
          <w:tab w:val="left" w:pos="3969"/>
        </w:tabs>
        <w:spacing w:line="500" w:lineRule="exact"/>
        <w:ind w:right="-58" w:firstLine="584" w:firstLineChars="200"/>
        <w:jc w:val="left"/>
        <w:rPr>
          <w:color w:val="auto"/>
          <w:sz w:val="28"/>
          <w:szCs w:val="28"/>
          <w:highlight w:val="none"/>
        </w:rPr>
      </w:pPr>
      <w:r>
        <w:rPr>
          <w:rFonts w:hint="eastAsia" w:ascii="宋体" w:hAnsi="宋体"/>
          <w:color w:val="auto"/>
          <w:spacing w:val="6"/>
          <w:sz w:val="28"/>
          <w:szCs w:val="28"/>
          <w:highlight w:val="none"/>
        </w:rPr>
        <w:t>日</w:t>
      </w:r>
      <w:r>
        <w:rPr>
          <w:rFonts w:ascii="宋体" w:hAnsi="宋体"/>
          <w:color w:val="auto"/>
          <w:spacing w:val="6"/>
          <w:sz w:val="28"/>
          <w:szCs w:val="28"/>
          <w:highlight w:val="none"/>
        </w:rPr>
        <w:t xml:space="preserve">  </w:t>
      </w:r>
      <w:r>
        <w:rPr>
          <w:rFonts w:hint="eastAsia" w:ascii="宋体" w:hAnsi="宋体"/>
          <w:color w:val="auto"/>
          <w:spacing w:val="6"/>
          <w:sz w:val="28"/>
          <w:szCs w:val="28"/>
          <w:highlight w:val="none"/>
        </w:rPr>
        <w:t>期：</w:t>
      </w:r>
      <w:r>
        <w:rPr>
          <w:rFonts w:ascii="宋体" w:hAnsi="宋体"/>
          <w:color w:val="auto"/>
          <w:sz w:val="28"/>
          <w:szCs w:val="28"/>
          <w:highlight w:val="none"/>
        </w:rPr>
        <w:t>20</w:t>
      </w:r>
      <w:r>
        <w:rPr>
          <w:rFonts w:ascii="宋体" w:hAnsi="宋体"/>
          <w:color w:val="auto"/>
          <w:sz w:val="28"/>
          <w:szCs w:val="28"/>
          <w:highlight w:val="none"/>
          <w:u w:val="single"/>
        </w:rPr>
        <w:t>XX</w:t>
      </w:r>
      <w:r>
        <w:rPr>
          <w:rFonts w:ascii="宋体" w:hAnsi="宋体"/>
          <w:color w:val="auto"/>
          <w:sz w:val="28"/>
          <w:szCs w:val="28"/>
          <w:highlight w:val="none"/>
        </w:rPr>
        <w:t>年</w:t>
      </w:r>
      <w:r>
        <w:rPr>
          <w:rFonts w:ascii="宋体" w:hAnsi="宋体"/>
          <w:color w:val="auto"/>
          <w:sz w:val="28"/>
          <w:szCs w:val="28"/>
          <w:highlight w:val="none"/>
          <w:u w:val="single"/>
        </w:rPr>
        <w:t>XX</w:t>
      </w:r>
      <w:r>
        <w:rPr>
          <w:rFonts w:ascii="宋体" w:hAnsi="宋体"/>
          <w:color w:val="auto"/>
          <w:sz w:val="28"/>
          <w:szCs w:val="28"/>
          <w:highlight w:val="none"/>
        </w:rPr>
        <w:t>月</w:t>
      </w:r>
      <w:r>
        <w:rPr>
          <w:rFonts w:ascii="宋体" w:hAnsi="宋体"/>
          <w:color w:val="auto"/>
          <w:sz w:val="28"/>
          <w:szCs w:val="28"/>
          <w:highlight w:val="none"/>
          <w:u w:val="single"/>
        </w:rPr>
        <w:t>XX</w:t>
      </w:r>
      <w:r>
        <w:rPr>
          <w:rFonts w:ascii="宋体" w:hAnsi="宋体"/>
          <w:color w:val="auto"/>
          <w:sz w:val="28"/>
          <w:szCs w:val="28"/>
          <w:highlight w:val="none"/>
        </w:rPr>
        <w:t>日</w:t>
      </w:r>
    </w:p>
    <w:p>
      <w:pPr>
        <w:ind w:firstLine="563"/>
        <w:rPr>
          <w:rFonts w:ascii="宋体" w:hAnsi="宋体"/>
          <w:b/>
          <w:color w:val="auto"/>
          <w:kern w:val="0"/>
          <w:sz w:val="28"/>
          <w:szCs w:val="28"/>
          <w:highlight w:val="none"/>
        </w:rPr>
      </w:pPr>
    </w:p>
    <w:p>
      <w:pPr>
        <w:tabs>
          <w:tab w:val="left" w:pos="1260"/>
        </w:tabs>
        <w:spacing w:line="560" w:lineRule="exact"/>
        <w:ind w:firstLine="420" w:firstLineChars="200"/>
        <w:rPr>
          <w:rFonts w:ascii="宋体" w:hAnsi="宋体"/>
          <w:color w:val="auto"/>
          <w:szCs w:val="28"/>
          <w:highlight w:val="none"/>
        </w:rPr>
      </w:pPr>
    </w:p>
    <w:p>
      <w:pPr>
        <w:tabs>
          <w:tab w:val="left" w:pos="1260"/>
        </w:tabs>
        <w:spacing w:line="560" w:lineRule="exact"/>
        <w:ind w:firstLine="420" w:firstLineChars="200"/>
        <w:rPr>
          <w:rFonts w:ascii="宋体" w:hAnsi="宋体"/>
          <w:color w:val="auto"/>
          <w:szCs w:val="28"/>
          <w:highlight w:val="none"/>
        </w:rPr>
      </w:pPr>
    </w:p>
    <w:p>
      <w:pPr>
        <w:tabs>
          <w:tab w:val="left" w:pos="1260"/>
        </w:tabs>
        <w:spacing w:line="560" w:lineRule="exact"/>
        <w:ind w:firstLine="562" w:firstLineChars="200"/>
        <w:rPr>
          <w:rFonts w:ascii="宋体" w:hAnsi="宋体"/>
          <w:color w:val="auto"/>
          <w:szCs w:val="28"/>
          <w:highlight w:val="none"/>
        </w:rPr>
      </w:pPr>
      <w:r>
        <w:rPr>
          <w:rFonts w:hint="eastAsia" w:ascii="宋体" w:hAnsi="宋体"/>
          <w:b/>
          <w:color w:val="auto"/>
          <w:sz w:val="28"/>
          <w:szCs w:val="28"/>
          <w:highlight w:val="none"/>
        </w:rPr>
        <w:t>说明</w:t>
      </w:r>
      <w:r>
        <w:rPr>
          <w:rFonts w:ascii="宋体" w:hAnsi="宋体"/>
          <w:b/>
          <w:color w:val="auto"/>
          <w:sz w:val="28"/>
          <w:szCs w:val="28"/>
          <w:highlight w:val="none"/>
        </w:rPr>
        <w:t>：</w:t>
      </w:r>
      <w:r>
        <w:rPr>
          <w:rFonts w:hint="eastAsia" w:ascii="宋体" w:hAnsi="宋体"/>
          <w:b/>
          <w:color w:val="auto"/>
          <w:sz w:val="28"/>
          <w:szCs w:val="28"/>
          <w:highlight w:val="none"/>
        </w:rPr>
        <w:t>提供了《中小</w:t>
      </w:r>
      <w:r>
        <w:rPr>
          <w:rFonts w:ascii="宋体" w:hAnsi="宋体"/>
          <w:b/>
          <w:color w:val="auto"/>
          <w:sz w:val="28"/>
          <w:szCs w:val="28"/>
          <w:highlight w:val="none"/>
        </w:rPr>
        <w:t>企业声明函</w:t>
      </w:r>
      <w:r>
        <w:rPr>
          <w:rFonts w:hint="eastAsia" w:ascii="宋体" w:hAnsi="宋体"/>
          <w:b/>
          <w:color w:val="auto"/>
          <w:sz w:val="28"/>
          <w:szCs w:val="28"/>
          <w:highlight w:val="none"/>
        </w:rPr>
        <w:t>》或监狱企业证明文件复印件的不需提供。</w:t>
      </w:r>
    </w:p>
    <w:p>
      <w:pPr>
        <w:rPr>
          <w:color w:val="auto"/>
          <w:highlight w:val="none"/>
        </w:rPr>
      </w:pPr>
    </w:p>
    <w:p>
      <w:pPr>
        <w:rPr>
          <w:color w:val="auto"/>
          <w:highlight w:val="none"/>
        </w:rPr>
      </w:pPr>
    </w:p>
    <w:p>
      <w:pPr>
        <w:widowControl/>
        <w:jc w:val="left"/>
        <w:rPr>
          <w:rFonts w:ascii="宋体" w:hAnsi="宋体"/>
          <w:b/>
          <w:bCs/>
          <w:color w:val="auto"/>
          <w:sz w:val="28"/>
          <w:szCs w:val="28"/>
          <w:highlight w:val="none"/>
        </w:rPr>
      </w:pPr>
      <w:r>
        <w:rPr>
          <w:rFonts w:ascii="宋体" w:hAnsi="宋体"/>
          <w:b/>
          <w:bCs/>
          <w:color w:val="auto"/>
          <w:sz w:val="28"/>
          <w:szCs w:val="28"/>
          <w:highlight w:val="none"/>
        </w:rPr>
        <w:br w:type="page"/>
      </w:r>
    </w:p>
    <w:p>
      <w:pPr>
        <w:keepNext/>
        <w:keepLines/>
        <w:numPr>
          <w:ilvl w:val="1"/>
          <w:numId w:val="28"/>
        </w:numPr>
        <w:spacing w:line="360" w:lineRule="auto"/>
        <w:jc w:val="left"/>
        <w:outlineLvl w:val="1"/>
        <w:rPr>
          <w:rFonts w:ascii="宋体" w:hAnsi="宋体"/>
          <w:b/>
          <w:bCs/>
          <w:color w:val="auto"/>
          <w:sz w:val="28"/>
          <w:szCs w:val="28"/>
          <w:highlight w:val="none"/>
        </w:rPr>
      </w:pPr>
      <w:bookmarkStart w:id="116" w:name="_Toc16892"/>
      <w:r>
        <w:rPr>
          <w:rFonts w:hint="eastAsia" w:ascii="宋体" w:hAnsi="宋体"/>
          <w:b/>
          <w:bCs/>
          <w:color w:val="auto"/>
          <w:sz w:val="28"/>
          <w:szCs w:val="28"/>
          <w:highlight w:val="none"/>
        </w:rPr>
        <w:t>商务技术响应文件</w:t>
      </w:r>
      <w:bookmarkEnd w:id="116"/>
    </w:p>
    <w:p>
      <w:pPr>
        <w:keepNext/>
        <w:keepLines/>
        <w:numPr>
          <w:ilvl w:val="2"/>
          <w:numId w:val="28"/>
        </w:numPr>
        <w:spacing w:line="360" w:lineRule="auto"/>
        <w:ind w:left="569" w:hanging="569"/>
        <w:outlineLvl w:val="2"/>
        <w:rPr>
          <w:rFonts w:ascii="宋体" w:hAnsi="宋体"/>
          <w:b/>
          <w:bCs/>
          <w:color w:val="auto"/>
          <w:sz w:val="28"/>
          <w:szCs w:val="28"/>
          <w:highlight w:val="none"/>
        </w:rPr>
      </w:pPr>
      <w:r>
        <w:rPr>
          <w:rFonts w:hint="eastAsia" w:ascii="宋体" w:hAnsi="宋体"/>
          <w:b/>
          <w:bCs/>
          <w:color w:val="auto"/>
          <w:sz w:val="28"/>
          <w:szCs w:val="28"/>
          <w:highlight w:val="none"/>
        </w:rPr>
        <w:t>投标函</w:t>
      </w:r>
    </w:p>
    <w:p>
      <w:pPr>
        <w:spacing w:line="560" w:lineRule="exact"/>
        <w:rPr>
          <w:rFonts w:ascii="宋体" w:hAnsi="宋体"/>
          <w:bCs/>
          <w:color w:val="auto"/>
          <w:sz w:val="28"/>
          <w:szCs w:val="28"/>
          <w:highlight w:val="none"/>
        </w:rPr>
      </w:pPr>
      <w:r>
        <w:rPr>
          <w:rFonts w:hint="eastAsia" w:ascii="宋体" w:hAnsi="宋体"/>
          <w:bCs/>
          <w:color w:val="auto"/>
          <w:sz w:val="28"/>
          <w:szCs w:val="28"/>
          <w:highlight w:val="none"/>
        </w:rPr>
        <w:t>成都市锦江区政府采购中心：</w:t>
      </w:r>
    </w:p>
    <w:p>
      <w:pPr>
        <w:spacing w:line="560" w:lineRule="exact"/>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我方全面研究了“</w:t>
      </w:r>
      <w:r>
        <w:rPr>
          <w:rFonts w:hint="eastAsia" w:ascii="宋体" w:hAnsi="宋体"/>
          <w:b/>
          <w:color w:val="auto"/>
          <w:sz w:val="28"/>
          <w:szCs w:val="28"/>
          <w:highlight w:val="none"/>
          <w:u w:val="single"/>
          <w:lang w:eastAsia="zh-CN"/>
        </w:rPr>
        <w:t>成都市锦江区综合行政执法局2022—2024年锦江区环卫保洁、环卫公厕、绿化和河道管护一体化服务项目</w:t>
      </w:r>
      <w:r>
        <w:rPr>
          <w:rFonts w:hint="eastAsia" w:ascii="宋体" w:hAnsi="宋体"/>
          <w:b/>
          <w:bCs/>
          <w:color w:val="auto"/>
          <w:sz w:val="28"/>
          <w:szCs w:val="28"/>
          <w:highlight w:val="none"/>
          <w:u w:val="single"/>
        </w:rPr>
        <w:t>”（</w:t>
      </w:r>
      <w:r>
        <w:rPr>
          <w:rFonts w:hint="eastAsia" w:ascii="宋体" w:hAnsi="宋体"/>
          <w:b/>
          <w:bCs/>
          <w:color w:val="auto"/>
          <w:sz w:val="28"/>
          <w:szCs w:val="28"/>
          <w:highlight w:val="none"/>
          <w:u w:val="single"/>
          <w:lang w:eastAsia="zh-CN"/>
        </w:rPr>
        <w:t>锦江政采（2021）A0028号</w:t>
      </w:r>
      <w:r>
        <w:rPr>
          <w:rFonts w:hint="eastAsia" w:ascii="宋体" w:hAnsi="宋体"/>
          <w:b/>
          <w:bCs/>
          <w:color w:val="auto"/>
          <w:sz w:val="28"/>
          <w:szCs w:val="28"/>
          <w:highlight w:val="none"/>
          <w:u w:val="single"/>
        </w:rPr>
        <w:t>）</w:t>
      </w:r>
      <w:r>
        <w:rPr>
          <w:rFonts w:hint="eastAsia" w:ascii="宋体" w:hAnsi="宋体"/>
          <w:bCs/>
          <w:color w:val="auto"/>
          <w:sz w:val="28"/>
          <w:szCs w:val="28"/>
          <w:highlight w:val="none"/>
        </w:rPr>
        <w:t>招标文件，决定参加贵单位组织的本项目</w:t>
      </w:r>
      <w:r>
        <w:rPr>
          <w:rFonts w:hint="eastAsia" w:ascii="宋体" w:hAnsi="宋体"/>
          <w:b w:val="0"/>
          <w:bCs/>
          <w:color w:val="auto"/>
          <w:sz w:val="28"/>
          <w:szCs w:val="28"/>
          <w:highlight w:val="none"/>
          <w:lang w:val="en-US" w:eastAsia="zh-CN"/>
        </w:rPr>
        <w:t>包件</w:t>
      </w:r>
      <w:r>
        <w:rPr>
          <w:rFonts w:hint="eastAsia" w:ascii="宋体" w:hAnsi="宋体"/>
          <w:b w:val="0"/>
          <w:bCs/>
          <w:color w:val="auto"/>
          <w:sz w:val="28"/>
          <w:szCs w:val="28"/>
          <w:highlight w:val="none"/>
          <w:u w:val="single"/>
          <w:lang w:val="en-US" w:eastAsia="zh-CN"/>
        </w:rPr>
        <w:t>X</w:t>
      </w:r>
      <w:r>
        <w:rPr>
          <w:rFonts w:hint="eastAsia" w:ascii="宋体" w:hAnsi="宋体"/>
          <w:bCs/>
          <w:color w:val="auto"/>
          <w:sz w:val="28"/>
          <w:szCs w:val="28"/>
          <w:highlight w:val="none"/>
        </w:rPr>
        <w:t>投标。</w:t>
      </w:r>
    </w:p>
    <w:p>
      <w:pPr>
        <w:numPr>
          <w:ilvl w:val="1"/>
          <w:numId w:val="34"/>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我方自愿按照招标文件规定的各项要求向采购人提供所需货物及服务，</w:t>
      </w:r>
      <w:r>
        <w:rPr>
          <w:rFonts w:hint="eastAsia" w:ascii="宋体" w:hAnsi="宋体"/>
          <w:b/>
          <w:color w:val="auto"/>
          <w:sz w:val="28"/>
          <w:szCs w:val="28"/>
          <w:highlight w:val="none"/>
        </w:rPr>
        <w:t>投标报价以《开标一览表》为准</w:t>
      </w:r>
      <w:r>
        <w:rPr>
          <w:rFonts w:hint="eastAsia" w:ascii="宋体" w:hAnsi="宋体"/>
          <w:color w:val="auto"/>
          <w:sz w:val="28"/>
          <w:szCs w:val="28"/>
          <w:highlight w:val="none"/>
        </w:rPr>
        <w:t>。</w:t>
      </w:r>
    </w:p>
    <w:p>
      <w:pPr>
        <w:numPr>
          <w:ilvl w:val="1"/>
          <w:numId w:val="34"/>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如果我方中标，我方将严格履行合同规定的责任和义务，否则将承担由此产生的一切责任。</w:t>
      </w:r>
    </w:p>
    <w:p>
      <w:pPr>
        <w:numPr>
          <w:ilvl w:val="1"/>
          <w:numId w:val="34"/>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我方已知晓全部招标文件的内容，包括修改文件（如有）以及全部相关资料和有关附件，并对上述文件均无异议。</w:t>
      </w:r>
    </w:p>
    <w:p>
      <w:pPr>
        <w:numPr>
          <w:ilvl w:val="1"/>
          <w:numId w:val="34"/>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投标有效期为从投标截止之日起120天。</w:t>
      </w:r>
    </w:p>
    <w:p>
      <w:pPr>
        <w:numPr>
          <w:ilvl w:val="1"/>
          <w:numId w:val="34"/>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我方愿意提供贵中心可能另外要求的，与投标有关的文件资料，并保证我方已提供和将要提供的文件资料是真实、准确的，并对此承担一切法律后果。</w:t>
      </w:r>
    </w:p>
    <w:p>
      <w:pPr>
        <w:numPr>
          <w:ilvl w:val="1"/>
          <w:numId w:val="34"/>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我单位联系方式：</w:t>
      </w:r>
      <w:r>
        <w:rPr>
          <w:rFonts w:hint="eastAsia" w:ascii="宋体" w:hAnsi="宋体"/>
          <w:color w:val="auto"/>
          <w:sz w:val="28"/>
          <w:szCs w:val="28"/>
          <w:highlight w:val="none"/>
          <w:u w:val="single"/>
        </w:rPr>
        <w:t>XXXX</w:t>
      </w:r>
    </w:p>
    <w:p>
      <w:pPr>
        <w:spacing w:line="360" w:lineRule="auto"/>
        <w:ind w:left="420"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地    址：</w:t>
      </w:r>
      <w:r>
        <w:rPr>
          <w:rFonts w:hint="eastAsia" w:ascii="宋体" w:hAnsi="宋体"/>
          <w:color w:val="auto"/>
          <w:sz w:val="28"/>
          <w:szCs w:val="28"/>
          <w:highlight w:val="none"/>
          <w:u w:val="single"/>
        </w:rPr>
        <w:t>XXXX</w:t>
      </w:r>
    </w:p>
    <w:p>
      <w:pPr>
        <w:spacing w:line="360" w:lineRule="auto"/>
        <w:ind w:left="420"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传    真：</w:t>
      </w:r>
      <w:r>
        <w:rPr>
          <w:rFonts w:hint="eastAsia" w:ascii="宋体" w:hAnsi="宋体"/>
          <w:color w:val="auto"/>
          <w:sz w:val="28"/>
          <w:szCs w:val="28"/>
          <w:highlight w:val="none"/>
          <w:u w:val="single"/>
        </w:rPr>
        <w:t>XXXX</w:t>
      </w:r>
    </w:p>
    <w:p>
      <w:pPr>
        <w:spacing w:line="360" w:lineRule="auto"/>
        <w:ind w:left="420"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邮政编码：</w:t>
      </w:r>
      <w:r>
        <w:rPr>
          <w:rFonts w:hint="eastAsia" w:ascii="宋体" w:hAnsi="宋体"/>
          <w:color w:val="auto"/>
          <w:sz w:val="28"/>
          <w:szCs w:val="28"/>
          <w:highlight w:val="none"/>
          <w:u w:val="single"/>
        </w:rPr>
        <w:t>XXXX</w:t>
      </w:r>
    </w:p>
    <w:p>
      <w:pPr>
        <w:spacing w:after="120" w:line="360" w:lineRule="auto"/>
        <w:ind w:left="420" w:leftChars="200" w:firstLine="560" w:firstLine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spacing w:line="360" w:lineRule="auto"/>
        <w:ind w:left="283" w:leftChars="135" w:firstLine="700" w:firstLineChars="250"/>
        <w:rPr>
          <w:rFonts w:ascii="宋体" w:hAnsi="宋体"/>
          <w:bCs/>
          <w:color w:val="auto"/>
          <w:sz w:val="28"/>
          <w:highlight w:val="none"/>
          <w:u w:val="single"/>
        </w:rPr>
      </w:pPr>
      <w:r>
        <w:rPr>
          <w:rFonts w:hint="eastAsia" w:ascii="宋体" w:hAnsi="宋体"/>
          <w:bCs/>
          <w:color w:val="auto"/>
          <w:sz w:val="28"/>
          <w:szCs w:val="28"/>
          <w:highlight w:val="none"/>
        </w:rPr>
        <w:t>日    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spacing w:line="360" w:lineRule="auto"/>
        <w:ind w:left="283" w:leftChars="135" w:firstLine="700" w:firstLineChars="250"/>
        <w:rPr>
          <w:rFonts w:ascii="宋体" w:hAnsi="宋体"/>
          <w:color w:val="auto"/>
          <w:sz w:val="28"/>
          <w:szCs w:val="28"/>
          <w:highlight w:val="none"/>
          <w:u w:val="single"/>
        </w:rPr>
      </w:pPr>
    </w:p>
    <w:p>
      <w:pPr>
        <w:tabs>
          <w:tab w:val="left" w:pos="630"/>
          <w:tab w:val="left" w:pos="7560"/>
        </w:tabs>
        <w:spacing w:line="360" w:lineRule="auto"/>
        <w:rPr>
          <w:rFonts w:ascii="宋体" w:hAnsi="宋体"/>
          <w:color w:val="auto"/>
          <w:sz w:val="28"/>
          <w:szCs w:val="28"/>
          <w:highlight w:val="none"/>
        </w:rPr>
      </w:pPr>
      <w:bookmarkStart w:id="117" w:name="_Toc240367172"/>
      <w:bookmarkStart w:id="118" w:name="_Toc239849853"/>
      <w:bookmarkStart w:id="119" w:name="_Toc231030275"/>
      <w:bookmarkStart w:id="120" w:name="_Toc314574804"/>
      <w:bookmarkStart w:id="121" w:name="_Toc229802674"/>
      <w:bookmarkStart w:id="122" w:name="_Toc240865266"/>
      <w:bookmarkStart w:id="123" w:name="_Toc265494342"/>
      <w:bookmarkStart w:id="124" w:name="_Toc239846734"/>
      <w:bookmarkStart w:id="125" w:name="_Toc237145395"/>
    </w:p>
    <w:p>
      <w:pPr>
        <w:pStyle w:val="2"/>
        <w:rPr>
          <w:color w:val="auto"/>
          <w:highlight w:val="none"/>
        </w:rPr>
      </w:pPr>
    </w:p>
    <w:p>
      <w:pPr>
        <w:keepNext/>
        <w:keepLines/>
        <w:numPr>
          <w:ilvl w:val="2"/>
          <w:numId w:val="28"/>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法定代表人或主要负责人身份证明书</w:t>
      </w:r>
    </w:p>
    <w:p>
      <w:pPr>
        <w:tabs>
          <w:tab w:val="left" w:pos="6300"/>
        </w:tabs>
        <w:spacing w:line="360" w:lineRule="auto"/>
        <w:ind w:firstLine="573"/>
        <w:rPr>
          <w:rFonts w:ascii="宋体" w:hAnsi="宋体"/>
          <w:color w:val="auto"/>
          <w:sz w:val="28"/>
          <w:highlight w:val="none"/>
          <w:u w:val="single"/>
          <w:lang w:val="zh-CN"/>
        </w:rPr>
      </w:pPr>
    </w:p>
    <w:p>
      <w:pPr>
        <w:tabs>
          <w:tab w:val="left" w:pos="6300"/>
        </w:tabs>
        <w:spacing w:line="360" w:lineRule="auto"/>
        <w:ind w:firstLine="573"/>
        <w:rPr>
          <w:rFonts w:ascii="宋体" w:hAnsi="宋体"/>
          <w:color w:val="auto"/>
          <w:sz w:val="28"/>
          <w:highlight w:val="none"/>
          <w:lang w:val="zh-CN"/>
        </w:rPr>
      </w:pPr>
      <w:r>
        <w:rPr>
          <w:rFonts w:hint="eastAsia" w:ascii="宋体" w:hAnsi="宋体"/>
          <w:color w:val="auto"/>
          <w:sz w:val="28"/>
          <w:highlight w:val="none"/>
          <w:u w:val="single"/>
          <w:lang w:val="zh-CN"/>
        </w:rPr>
        <w:t>XXXX（法定代表人</w:t>
      </w:r>
      <w:r>
        <w:rPr>
          <w:rFonts w:hint="eastAsia" w:ascii="宋体" w:hAnsi="宋体"/>
          <w:color w:val="auto"/>
          <w:sz w:val="28"/>
          <w:szCs w:val="28"/>
          <w:highlight w:val="none"/>
          <w:u w:val="single"/>
        </w:rPr>
        <w:t>或</w:t>
      </w:r>
      <w:r>
        <w:rPr>
          <w:rFonts w:ascii="宋体" w:hAnsi="宋体"/>
          <w:color w:val="auto"/>
          <w:sz w:val="28"/>
          <w:szCs w:val="28"/>
          <w:highlight w:val="none"/>
          <w:u w:val="single"/>
        </w:rPr>
        <w:t>主要负责人</w:t>
      </w:r>
      <w:r>
        <w:rPr>
          <w:rFonts w:hint="eastAsia" w:ascii="宋体" w:hAnsi="宋体"/>
          <w:color w:val="auto"/>
          <w:sz w:val="28"/>
          <w:highlight w:val="none"/>
          <w:u w:val="single"/>
          <w:lang w:val="zh-CN"/>
        </w:rPr>
        <w:t>姓名）</w:t>
      </w:r>
      <w:r>
        <w:rPr>
          <w:rFonts w:hint="eastAsia" w:ascii="宋体" w:hAnsi="宋体"/>
          <w:color w:val="auto"/>
          <w:sz w:val="28"/>
          <w:highlight w:val="none"/>
          <w:lang w:val="zh-CN"/>
        </w:rPr>
        <w:t>在</w:t>
      </w:r>
      <w:r>
        <w:rPr>
          <w:rFonts w:hint="eastAsia" w:ascii="宋体" w:hAnsi="宋体"/>
          <w:color w:val="auto"/>
          <w:sz w:val="28"/>
          <w:highlight w:val="none"/>
          <w:u w:val="single"/>
          <w:lang w:val="zh-CN"/>
        </w:rPr>
        <w:t>XXXX（投标人名称）</w:t>
      </w:r>
      <w:r>
        <w:rPr>
          <w:rFonts w:hint="eastAsia" w:ascii="宋体" w:hAnsi="宋体"/>
          <w:color w:val="auto"/>
          <w:sz w:val="28"/>
          <w:highlight w:val="none"/>
          <w:lang w:val="zh-CN"/>
        </w:rPr>
        <w:t>处 任</w:t>
      </w:r>
      <w:r>
        <w:rPr>
          <w:rFonts w:hint="eastAsia" w:ascii="宋体" w:hAnsi="宋体"/>
          <w:color w:val="auto"/>
          <w:sz w:val="28"/>
          <w:highlight w:val="none"/>
          <w:u w:val="single"/>
          <w:lang w:val="zh-CN"/>
        </w:rPr>
        <w:t>XXXX（职务名称）</w:t>
      </w:r>
      <w:r>
        <w:rPr>
          <w:rFonts w:hint="eastAsia" w:ascii="宋体" w:hAnsi="宋体"/>
          <w:color w:val="auto"/>
          <w:sz w:val="28"/>
          <w:highlight w:val="none"/>
          <w:lang w:val="zh-CN"/>
        </w:rPr>
        <w:t>职务，是</w:t>
      </w:r>
      <w:r>
        <w:rPr>
          <w:rFonts w:hint="eastAsia" w:ascii="宋体" w:hAnsi="宋体"/>
          <w:color w:val="auto"/>
          <w:sz w:val="28"/>
          <w:highlight w:val="none"/>
          <w:u w:val="single"/>
          <w:lang w:val="zh-CN"/>
        </w:rPr>
        <w:t>XXXX（投标人名称）</w:t>
      </w:r>
      <w:r>
        <w:rPr>
          <w:rFonts w:hint="eastAsia" w:ascii="宋体" w:hAnsi="宋体"/>
          <w:color w:val="auto"/>
          <w:sz w:val="28"/>
          <w:highlight w:val="none"/>
          <w:lang w:val="zh-CN"/>
        </w:rPr>
        <w:t>的法定代表人</w:t>
      </w:r>
      <w:r>
        <w:rPr>
          <w:rFonts w:hint="eastAsia" w:ascii="宋体" w:hAnsi="宋体"/>
          <w:color w:val="auto"/>
          <w:sz w:val="28"/>
          <w:szCs w:val="28"/>
          <w:highlight w:val="none"/>
          <w:u w:val="single"/>
        </w:rPr>
        <w:t>或</w:t>
      </w:r>
      <w:r>
        <w:rPr>
          <w:rFonts w:ascii="宋体" w:hAnsi="宋体"/>
          <w:color w:val="auto"/>
          <w:sz w:val="28"/>
          <w:szCs w:val="28"/>
          <w:highlight w:val="none"/>
          <w:u w:val="single"/>
        </w:rPr>
        <w:t>主要负责人</w:t>
      </w:r>
      <w:r>
        <w:rPr>
          <w:rFonts w:hint="eastAsia" w:ascii="宋体" w:hAnsi="宋体"/>
          <w:color w:val="auto"/>
          <w:sz w:val="28"/>
          <w:highlight w:val="none"/>
          <w:lang w:val="zh-CN"/>
        </w:rPr>
        <w:t>。</w:t>
      </w:r>
    </w:p>
    <w:p>
      <w:pPr>
        <w:tabs>
          <w:tab w:val="left" w:pos="6300"/>
        </w:tabs>
        <w:spacing w:line="360" w:lineRule="auto"/>
        <w:ind w:firstLine="573"/>
        <w:rPr>
          <w:rFonts w:ascii="宋体" w:hAnsi="宋体"/>
          <w:color w:val="auto"/>
          <w:sz w:val="28"/>
          <w:highlight w:val="none"/>
          <w:lang w:val="zh-CN"/>
        </w:rPr>
      </w:pPr>
      <w:bookmarkStart w:id="126" w:name="_Toc263768866"/>
      <w:r>
        <w:rPr>
          <w:rFonts w:hint="eastAsia" w:ascii="宋体" w:hAnsi="宋体"/>
          <w:color w:val="auto"/>
          <w:sz w:val="28"/>
          <w:highlight w:val="none"/>
          <w:lang w:val="zh-CN"/>
        </w:rPr>
        <w:t>特此证明。</w:t>
      </w:r>
      <w:bookmarkEnd w:id="126"/>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pStyle w:val="2"/>
        <w:rPr>
          <w:color w:val="auto"/>
          <w:highlight w:val="none"/>
          <w:lang w:val="zh-CN"/>
        </w:rPr>
      </w:pPr>
    </w:p>
    <w:p>
      <w:pPr>
        <w:pStyle w:val="2"/>
        <w:rPr>
          <w:color w:val="auto"/>
          <w:highlight w:val="none"/>
          <w:lang w:val="zh-CN"/>
        </w:rPr>
      </w:pPr>
    </w:p>
    <w:p>
      <w:pPr>
        <w:pStyle w:val="2"/>
        <w:rPr>
          <w:color w:val="auto"/>
          <w:highlight w:val="none"/>
          <w:lang w:val="zh-CN"/>
        </w:rPr>
      </w:pPr>
    </w:p>
    <w:p>
      <w:pPr>
        <w:pStyle w:val="2"/>
        <w:rPr>
          <w:color w:val="auto"/>
          <w:highlight w:val="none"/>
          <w:lang w:val="zh-CN"/>
        </w:rPr>
      </w:pPr>
    </w:p>
    <w:p>
      <w:pPr>
        <w:pStyle w:val="2"/>
        <w:rPr>
          <w:color w:val="auto"/>
          <w:highlight w:val="none"/>
          <w:lang w:val="zh-CN"/>
        </w:rPr>
      </w:pPr>
    </w:p>
    <w:p>
      <w:pPr>
        <w:pStyle w:val="2"/>
        <w:rPr>
          <w:color w:val="auto"/>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spacing w:line="360" w:lineRule="auto"/>
        <w:rPr>
          <w:rFonts w:ascii="宋体" w:hAnsi="宋体"/>
          <w:color w:val="auto"/>
          <w:sz w:val="28"/>
          <w:highlight w:val="none"/>
          <w:lang w:val="zh-CN"/>
        </w:rPr>
      </w:pPr>
      <w:r>
        <w:rPr>
          <w:rFonts w:hint="eastAsia" w:ascii="宋体" w:hAnsi="宋体"/>
          <w:color w:val="auto"/>
          <w:sz w:val="28"/>
          <w:highlight w:val="none"/>
          <w:lang w:val="zh-CN"/>
        </w:rPr>
        <w:t>投标人名称：</w:t>
      </w:r>
      <w:r>
        <w:rPr>
          <w:rFonts w:hint="eastAsia" w:ascii="宋体" w:hAnsi="宋体"/>
          <w:color w:val="auto"/>
          <w:sz w:val="28"/>
          <w:highlight w:val="none"/>
          <w:u w:val="single"/>
          <w:lang w:val="zh-CN"/>
        </w:rPr>
        <w:t>XXXX</w:t>
      </w:r>
    </w:p>
    <w:p>
      <w:pPr>
        <w:spacing w:line="360" w:lineRule="auto"/>
        <w:rPr>
          <w:rFonts w:ascii="宋体" w:hAnsi="宋体"/>
          <w:b/>
          <w:color w:val="auto"/>
          <w:sz w:val="28"/>
          <w:highlight w:val="none"/>
          <w:u w:val="single"/>
          <w:lang w:val="zh-CN"/>
        </w:rPr>
      </w:pPr>
      <w:r>
        <w:rPr>
          <w:rFonts w:hint="eastAsia" w:ascii="宋体" w:hAnsi="宋体"/>
          <w:color w:val="auto"/>
          <w:sz w:val="28"/>
          <w:highlight w:val="none"/>
        </w:rPr>
        <w:t>日期：</w:t>
      </w:r>
      <w:r>
        <w:rPr>
          <w:rFonts w:hint="eastAsia" w:ascii="宋体" w:hAnsi="宋体"/>
          <w:bCs/>
          <w:color w:val="auto"/>
          <w:sz w:val="28"/>
          <w:highlight w:val="none"/>
        </w:rPr>
        <w:t>20</w:t>
      </w:r>
      <w:r>
        <w:rPr>
          <w:rFonts w:hint="eastAsia" w:ascii="宋体" w:hAnsi="宋体"/>
          <w:color w:val="auto"/>
          <w:sz w:val="28"/>
          <w:highlight w:val="none"/>
          <w:lang w:val="zh-CN"/>
        </w:rPr>
        <w:t>2</w:t>
      </w:r>
      <w:r>
        <w:rPr>
          <w:rFonts w:hint="eastAsia" w:ascii="宋体" w:hAnsi="宋体"/>
          <w:color w:val="auto"/>
          <w:sz w:val="28"/>
          <w:highlight w:val="none"/>
          <w:u w:val="single"/>
          <w:lang w:val="zh-CN"/>
        </w:rPr>
        <w:t>X</w:t>
      </w:r>
      <w:r>
        <w:rPr>
          <w:rFonts w:hint="eastAsia" w:ascii="宋体" w:hAnsi="宋体"/>
          <w:bCs/>
          <w:color w:val="auto"/>
          <w:sz w:val="28"/>
          <w:highlight w:val="none"/>
        </w:rPr>
        <w:t>年</w:t>
      </w:r>
      <w:r>
        <w:rPr>
          <w:rFonts w:hint="eastAsia" w:ascii="宋体" w:hAnsi="宋体"/>
          <w:color w:val="auto"/>
          <w:sz w:val="28"/>
          <w:highlight w:val="none"/>
          <w:u w:val="single"/>
          <w:lang w:val="zh-CN"/>
        </w:rPr>
        <w:t>XX</w:t>
      </w:r>
      <w:r>
        <w:rPr>
          <w:rFonts w:hint="eastAsia" w:ascii="宋体" w:hAnsi="宋体"/>
          <w:bCs/>
          <w:color w:val="auto"/>
          <w:sz w:val="28"/>
          <w:highlight w:val="none"/>
        </w:rPr>
        <w:t>月</w:t>
      </w:r>
      <w:r>
        <w:rPr>
          <w:rFonts w:hint="eastAsia" w:ascii="宋体" w:hAnsi="宋体"/>
          <w:color w:val="auto"/>
          <w:sz w:val="28"/>
          <w:highlight w:val="none"/>
          <w:u w:val="single"/>
          <w:lang w:val="zh-CN"/>
        </w:rPr>
        <w:t>XX</w:t>
      </w:r>
      <w:r>
        <w:rPr>
          <w:rFonts w:hint="eastAsia" w:ascii="宋体" w:hAnsi="宋体"/>
          <w:bCs/>
          <w:color w:val="auto"/>
          <w:sz w:val="28"/>
          <w:highlight w:val="none"/>
        </w:rPr>
        <w:t>日</w:t>
      </w:r>
    </w:p>
    <w:p>
      <w:pPr>
        <w:spacing w:after="180" w:line="360" w:lineRule="auto"/>
        <w:ind w:firstLine="568" w:firstLineChars="202"/>
        <w:rPr>
          <w:rFonts w:ascii="宋体" w:hAnsi="宋体"/>
          <w:b/>
          <w:color w:val="auto"/>
          <w:sz w:val="28"/>
          <w:szCs w:val="28"/>
          <w:highlight w:val="none"/>
        </w:rPr>
      </w:pPr>
    </w:p>
    <w:p>
      <w:pPr>
        <w:spacing w:after="180" w:line="360" w:lineRule="auto"/>
        <w:ind w:firstLine="568" w:firstLineChars="202"/>
        <w:rPr>
          <w:rFonts w:ascii="宋体" w:hAnsi="宋体"/>
          <w:b/>
          <w:color w:val="auto"/>
          <w:sz w:val="28"/>
          <w:szCs w:val="28"/>
          <w:highlight w:val="none"/>
          <w:lang w:val="zh-CN"/>
        </w:rPr>
      </w:pPr>
      <w:r>
        <w:rPr>
          <w:rFonts w:hint="eastAsia" w:ascii="宋体" w:hAnsi="宋体"/>
          <w:b/>
          <w:color w:val="auto"/>
          <w:sz w:val="28"/>
          <w:szCs w:val="28"/>
          <w:highlight w:val="none"/>
        </w:rPr>
        <w:t>说明：（1）上述证明文件在投标文件中附有法定代表人</w:t>
      </w:r>
      <w:r>
        <w:rPr>
          <w:rFonts w:hint="eastAsia" w:ascii="宋体" w:hAnsi="宋体"/>
          <w:color w:val="auto"/>
          <w:sz w:val="28"/>
          <w:szCs w:val="28"/>
          <w:highlight w:val="none"/>
          <w:u w:val="single"/>
        </w:rPr>
        <w:t>或</w:t>
      </w:r>
      <w:r>
        <w:rPr>
          <w:rFonts w:ascii="宋体" w:hAnsi="宋体"/>
          <w:color w:val="auto"/>
          <w:sz w:val="28"/>
          <w:szCs w:val="28"/>
          <w:highlight w:val="none"/>
          <w:u w:val="single"/>
        </w:rPr>
        <w:t>主要负责人</w:t>
      </w:r>
      <w:r>
        <w:rPr>
          <w:rFonts w:hint="eastAsia" w:ascii="宋体" w:hAnsi="宋体"/>
          <w:b/>
          <w:color w:val="auto"/>
          <w:sz w:val="28"/>
          <w:szCs w:val="28"/>
          <w:highlight w:val="none"/>
        </w:rPr>
        <w:t>身份证复印件（身份证两面均应复印）或护照复印件（投标人的法定代表人</w:t>
      </w:r>
      <w:r>
        <w:rPr>
          <w:rFonts w:hint="eastAsia" w:ascii="宋体" w:hAnsi="宋体"/>
          <w:b/>
          <w:color w:val="auto"/>
          <w:sz w:val="28"/>
          <w:szCs w:val="28"/>
          <w:highlight w:val="none"/>
          <w:u w:val="single"/>
        </w:rPr>
        <w:t>或</w:t>
      </w:r>
      <w:r>
        <w:rPr>
          <w:rFonts w:ascii="宋体" w:hAnsi="宋体"/>
          <w:b/>
          <w:color w:val="auto"/>
          <w:sz w:val="28"/>
          <w:szCs w:val="28"/>
          <w:highlight w:val="none"/>
          <w:u w:val="single"/>
        </w:rPr>
        <w:t>主要负责人</w:t>
      </w:r>
      <w:r>
        <w:rPr>
          <w:rFonts w:hint="eastAsia" w:ascii="宋体" w:hAnsi="宋体"/>
          <w:b/>
          <w:color w:val="auto"/>
          <w:sz w:val="28"/>
          <w:szCs w:val="28"/>
          <w:highlight w:val="none"/>
        </w:rPr>
        <w:t>为外籍人士的，则提供护照复印件）时才能生效。</w:t>
      </w:r>
      <w:r>
        <w:rPr>
          <w:rFonts w:hint="eastAsia" w:ascii="宋体" w:hAnsi="宋体"/>
          <w:b/>
          <w:color w:val="auto"/>
          <w:sz w:val="28"/>
          <w:szCs w:val="28"/>
          <w:highlight w:val="none"/>
          <w:lang w:val="zh-CN"/>
        </w:rPr>
        <w:t>（</w:t>
      </w:r>
      <w:r>
        <w:rPr>
          <w:rFonts w:ascii="宋体" w:hAnsi="宋体"/>
          <w:b/>
          <w:color w:val="auto"/>
          <w:sz w:val="28"/>
          <w:szCs w:val="28"/>
          <w:highlight w:val="none"/>
          <w:lang w:val="zh-CN"/>
        </w:rPr>
        <w:t>2）主要负责人为</w:t>
      </w:r>
      <w:r>
        <w:rPr>
          <w:rFonts w:hint="eastAsia" w:ascii="宋体" w:hAnsi="宋体"/>
          <w:b/>
          <w:color w:val="auto"/>
          <w:sz w:val="28"/>
          <w:szCs w:val="28"/>
          <w:highlight w:val="none"/>
          <w:lang w:val="zh-CN"/>
        </w:rPr>
        <w:t>投标人</w:t>
      </w:r>
      <w:r>
        <w:rPr>
          <w:rFonts w:ascii="宋体" w:hAnsi="宋体"/>
          <w:b/>
          <w:color w:val="auto"/>
          <w:sz w:val="28"/>
          <w:szCs w:val="28"/>
          <w:highlight w:val="none"/>
          <w:lang w:val="zh-CN"/>
        </w:rPr>
        <w:t>提供的其</w:t>
      </w:r>
      <w:r>
        <w:rPr>
          <w:rFonts w:hint="eastAsia" w:ascii="宋体" w:hAnsi="宋体"/>
          <w:b/>
          <w:color w:val="auto"/>
          <w:sz w:val="28"/>
          <w:szCs w:val="28"/>
          <w:highlight w:val="none"/>
          <w:lang w:val="zh-CN"/>
        </w:rPr>
        <w:t>具有独立承担民事责任能力的</w:t>
      </w:r>
      <w:r>
        <w:rPr>
          <w:rFonts w:ascii="宋体" w:hAnsi="宋体"/>
          <w:b/>
          <w:color w:val="auto"/>
          <w:sz w:val="28"/>
          <w:szCs w:val="28"/>
          <w:highlight w:val="none"/>
          <w:lang w:val="zh-CN"/>
        </w:rPr>
        <w:t>证明材料中</w:t>
      </w:r>
      <w:r>
        <w:rPr>
          <w:rFonts w:hint="eastAsia" w:ascii="宋体" w:hAnsi="宋体"/>
          <w:b/>
          <w:color w:val="auto"/>
          <w:sz w:val="28"/>
          <w:szCs w:val="28"/>
          <w:highlight w:val="none"/>
          <w:lang w:val="zh-CN"/>
        </w:rPr>
        <w:t>的</w:t>
      </w:r>
      <w:r>
        <w:rPr>
          <w:rFonts w:ascii="宋体" w:hAnsi="宋体"/>
          <w:b/>
          <w:color w:val="auto"/>
          <w:sz w:val="28"/>
          <w:szCs w:val="28"/>
          <w:highlight w:val="none"/>
          <w:lang w:val="zh-CN"/>
        </w:rPr>
        <w:t>主要</w:t>
      </w:r>
      <w:r>
        <w:rPr>
          <w:rFonts w:hint="eastAsia" w:ascii="宋体" w:hAnsi="宋体"/>
          <w:b/>
          <w:color w:val="auto"/>
          <w:sz w:val="28"/>
          <w:szCs w:val="28"/>
          <w:highlight w:val="none"/>
          <w:lang w:val="zh-CN"/>
        </w:rPr>
        <w:t>负责</w:t>
      </w:r>
      <w:r>
        <w:rPr>
          <w:rFonts w:ascii="宋体" w:hAnsi="宋体"/>
          <w:b/>
          <w:color w:val="auto"/>
          <w:sz w:val="28"/>
          <w:szCs w:val="28"/>
          <w:highlight w:val="none"/>
          <w:lang w:val="zh-CN"/>
        </w:rPr>
        <w:t>人员。</w:t>
      </w:r>
    </w:p>
    <w:p>
      <w:pPr>
        <w:pStyle w:val="7"/>
        <w:numPr>
          <w:ilvl w:val="2"/>
          <w:numId w:val="28"/>
        </w:numPr>
        <w:spacing w:after="200" w:line="240" w:lineRule="auto"/>
        <w:ind w:left="851"/>
        <w:rPr>
          <w:color w:val="auto"/>
          <w:highlight w:val="none"/>
        </w:rPr>
      </w:pPr>
      <w:r>
        <w:rPr>
          <w:rFonts w:hint="eastAsia"/>
          <w:color w:val="auto"/>
          <w:highlight w:val="none"/>
        </w:rPr>
        <w:t>中小企业声明函</w:t>
      </w:r>
    </w:p>
    <w:p>
      <w:pPr>
        <w:spacing w:line="500" w:lineRule="exact"/>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中小企业声明函</w:t>
      </w:r>
    </w:p>
    <w:p>
      <w:pPr>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本公司郑重声明，根据《政府采购促进中小企业发展管理办法》（财库〔</w:t>
      </w:r>
      <w:r>
        <w:rPr>
          <w:rFonts w:ascii="宋体" w:hAnsi="宋体"/>
          <w:color w:val="auto"/>
          <w:spacing w:val="6"/>
          <w:sz w:val="28"/>
          <w:szCs w:val="28"/>
          <w:highlight w:val="none"/>
        </w:rPr>
        <w:t>2020〕46号）的规定，本公司参加</w:t>
      </w:r>
      <w:r>
        <w:rPr>
          <w:rFonts w:hint="eastAsia" w:ascii="宋体" w:hAnsi="宋体"/>
          <w:b/>
          <w:color w:val="auto"/>
          <w:sz w:val="28"/>
          <w:szCs w:val="28"/>
          <w:highlight w:val="none"/>
          <w:u w:val="single"/>
        </w:rPr>
        <w:t>成都市锦江区</w:t>
      </w:r>
      <w:r>
        <w:rPr>
          <w:rFonts w:hint="eastAsia" w:ascii="宋体" w:hAnsi="宋体"/>
          <w:color w:val="auto"/>
          <w:spacing w:val="6"/>
          <w:sz w:val="28"/>
          <w:szCs w:val="28"/>
          <w:highlight w:val="none"/>
        </w:rPr>
        <w:t>的</w:t>
      </w:r>
      <w:r>
        <w:rPr>
          <w:rFonts w:hint="eastAsia" w:ascii="宋体" w:hAnsi="宋体"/>
          <w:b/>
          <w:color w:val="auto"/>
          <w:sz w:val="28"/>
          <w:szCs w:val="28"/>
          <w:highlight w:val="none"/>
          <w:u w:val="single"/>
          <w:lang w:eastAsia="zh-CN"/>
        </w:rPr>
        <w:t>成都市锦江区综合行政执法局2022—2024年锦江区环卫保洁、环卫公厕、绿化和河道管护一体化服务项目</w:t>
      </w:r>
      <w:r>
        <w:rPr>
          <w:rFonts w:hint="eastAsia" w:ascii="宋体" w:hAnsi="宋体"/>
          <w:b/>
          <w:color w:val="auto"/>
          <w:sz w:val="28"/>
          <w:szCs w:val="28"/>
          <w:highlight w:val="none"/>
          <w:u w:val="single"/>
        </w:rPr>
        <w:t>（</w:t>
      </w:r>
      <w:r>
        <w:rPr>
          <w:rFonts w:hint="eastAsia" w:ascii="宋体" w:hAnsi="宋体"/>
          <w:b/>
          <w:color w:val="auto"/>
          <w:sz w:val="28"/>
          <w:szCs w:val="28"/>
          <w:highlight w:val="none"/>
          <w:u w:val="single"/>
          <w:lang w:eastAsia="zh-CN"/>
        </w:rPr>
        <w:t>锦江政采（2021）A0028号</w:t>
      </w:r>
      <w:r>
        <w:rPr>
          <w:rFonts w:hint="eastAsia" w:ascii="宋体" w:hAnsi="宋体"/>
          <w:b/>
          <w:color w:val="auto"/>
          <w:sz w:val="28"/>
          <w:szCs w:val="28"/>
          <w:highlight w:val="none"/>
          <w:u w:val="single"/>
        </w:rPr>
        <w:t>）</w:t>
      </w:r>
      <w:r>
        <w:rPr>
          <w:rFonts w:hint="eastAsia" w:ascii="宋体" w:hAnsi="宋体"/>
          <w:color w:val="auto"/>
          <w:spacing w:val="6"/>
          <w:sz w:val="28"/>
          <w:szCs w:val="28"/>
          <w:highlight w:val="none"/>
        </w:rPr>
        <w:t>采购活动，服务全部由符合政策要求的中小企业承接。相关企业的具体情况如下：</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u w:val="single"/>
        </w:rPr>
        <w:t>XXXX（标的名称）</w:t>
      </w:r>
      <w:r>
        <w:rPr>
          <w:rFonts w:hint="eastAsia" w:ascii="宋体" w:hAnsi="宋体"/>
          <w:color w:val="auto"/>
          <w:spacing w:val="6"/>
          <w:sz w:val="28"/>
          <w:szCs w:val="28"/>
          <w:highlight w:val="none"/>
        </w:rPr>
        <w:t>，属于</w:t>
      </w:r>
      <w:r>
        <w:rPr>
          <w:rFonts w:hint="eastAsia" w:ascii="宋体" w:hAnsi="宋体"/>
          <w:color w:val="auto"/>
          <w:spacing w:val="6"/>
          <w:sz w:val="28"/>
          <w:szCs w:val="28"/>
          <w:highlight w:val="none"/>
          <w:u w:val="single"/>
        </w:rPr>
        <w:t>XXXX（采购文件中明确的所属行业）</w:t>
      </w:r>
      <w:r>
        <w:rPr>
          <w:rFonts w:hint="eastAsia" w:ascii="宋体" w:hAnsi="宋体"/>
          <w:color w:val="auto"/>
          <w:spacing w:val="6"/>
          <w:sz w:val="28"/>
          <w:szCs w:val="28"/>
          <w:highlight w:val="none"/>
        </w:rPr>
        <w:t>；承接企业为</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X</w:t>
      </w:r>
      <w:r>
        <w:rPr>
          <w:rFonts w:ascii="宋体" w:hAnsi="宋体"/>
          <w:color w:val="auto"/>
          <w:spacing w:val="6"/>
          <w:sz w:val="28"/>
          <w:szCs w:val="28"/>
          <w:highlight w:val="none"/>
          <w:u w:val="single"/>
        </w:rPr>
        <w:t>（企业名称）</w:t>
      </w:r>
      <w:r>
        <w:rPr>
          <w:rFonts w:hint="eastAsia" w:ascii="宋体" w:hAnsi="宋体"/>
          <w:color w:val="auto"/>
          <w:spacing w:val="6"/>
          <w:sz w:val="28"/>
          <w:szCs w:val="28"/>
          <w:highlight w:val="none"/>
        </w:rPr>
        <w:t>，从业人员</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人，营业收入为</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万元，资产总额为</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万元，属于</w:t>
      </w:r>
      <w:r>
        <w:rPr>
          <w:rFonts w:ascii="宋体" w:hAnsi="宋体"/>
          <w:color w:val="auto"/>
          <w:spacing w:val="6"/>
          <w:sz w:val="28"/>
          <w:szCs w:val="28"/>
          <w:highlight w:val="none"/>
          <w:u w:val="single"/>
        </w:rPr>
        <w:t>XXXX（中型企业、小型企业、微型企业）</w:t>
      </w:r>
      <w:r>
        <w:rPr>
          <w:rFonts w:hint="eastAsia" w:ascii="宋体" w:hAnsi="宋体"/>
          <w:color w:val="auto"/>
          <w:spacing w:val="6"/>
          <w:sz w:val="28"/>
          <w:szCs w:val="28"/>
          <w:highlight w:val="none"/>
        </w:rPr>
        <w:t>。</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本企业对上述声明内容的真实性负责。如有虚假，将依法承担相应责任。</w:t>
      </w:r>
    </w:p>
    <w:p>
      <w:pPr>
        <w:spacing w:line="500" w:lineRule="exact"/>
        <w:ind w:firstLine="586" w:firstLineChars="200"/>
        <w:rPr>
          <w:rFonts w:ascii="宋体" w:hAnsi="宋体"/>
          <w:b/>
          <w:color w:val="auto"/>
          <w:spacing w:val="6"/>
          <w:sz w:val="28"/>
          <w:szCs w:val="28"/>
          <w:highlight w:val="none"/>
        </w:rPr>
      </w:pPr>
    </w:p>
    <w:p>
      <w:pPr>
        <w:spacing w:line="500" w:lineRule="exact"/>
        <w:ind w:firstLine="586" w:firstLineChars="200"/>
        <w:rPr>
          <w:rFonts w:ascii="宋体" w:hAnsi="宋体"/>
          <w:b/>
          <w:color w:val="auto"/>
          <w:spacing w:val="6"/>
          <w:sz w:val="28"/>
          <w:szCs w:val="28"/>
          <w:highlight w:val="none"/>
        </w:rPr>
      </w:pPr>
    </w:p>
    <w:p>
      <w:pPr>
        <w:spacing w:line="500" w:lineRule="exact"/>
        <w:ind w:firstLine="586" w:firstLineChars="200"/>
        <w:rPr>
          <w:rFonts w:ascii="宋体" w:hAnsi="宋体"/>
          <w:b/>
          <w:color w:val="auto"/>
          <w:spacing w:val="6"/>
          <w:sz w:val="28"/>
          <w:szCs w:val="28"/>
          <w:highlight w:val="none"/>
        </w:rPr>
      </w:pPr>
    </w:p>
    <w:p>
      <w:pPr>
        <w:tabs>
          <w:tab w:val="left" w:pos="3969"/>
        </w:tabs>
        <w:spacing w:line="500" w:lineRule="exact"/>
        <w:ind w:right="-58" w:firstLine="584" w:firstLineChars="200"/>
        <w:jc w:val="left"/>
        <w:rPr>
          <w:rFonts w:ascii="宋体" w:hAnsi="宋体"/>
          <w:color w:val="auto"/>
          <w:spacing w:val="6"/>
          <w:sz w:val="28"/>
          <w:szCs w:val="28"/>
          <w:highlight w:val="none"/>
        </w:rPr>
      </w:pPr>
      <w:r>
        <w:rPr>
          <w:rFonts w:hint="eastAsia" w:ascii="宋体" w:hAnsi="宋体"/>
          <w:color w:val="auto"/>
          <w:spacing w:val="6"/>
          <w:sz w:val="28"/>
          <w:szCs w:val="28"/>
          <w:highlight w:val="none"/>
        </w:rPr>
        <w:t>企业名称：</w:t>
      </w:r>
      <w:r>
        <w:rPr>
          <w:rFonts w:ascii="宋体" w:hAnsi="宋体"/>
          <w:color w:val="auto"/>
          <w:sz w:val="28"/>
          <w:szCs w:val="28"/>
          <w:highlight w:val="none"/>
          <w:u w:val="single"/>
        </w:rPr>
        <w:t>XXXX</w:t>
      </w:r>
      <w:r>
        <w:rPr>
          <w:rFonts w:ascii="宋体" w:hAnsi="宋体"/>
          <w:color w:val="auto"/>
          <w:spacing w:val="6"/>
          <w:sz w:val="28"/>
          <w:szCs w:val="28"/>
          <w:highlight w:val="none"/>
        </w:rPr>
        <w:t xml:space="preserve"> </w:t>
      </w:r>
    </w:p>
    <w:p>
      <w:pPr>
        <w:tabs>
          <w:tab w:val="left" w:pos="3969"/>
        </w:tabs>
        <w:spacing w:line="500" w:lineRule="exact"/>
        <w:ind w:right="-58" w:firstLine="584" w:firstLineChars="200"/>
        <w:jc w:val="left"/>
        <w:rPr>
          <w:color w:val="auto"/>
          <w:sz w:val="28"/>
          <w:szCs w:val="28"/>
          <w:highlight w:val="none"/>
        </w:rPr>
      </w:pPr>
      <w:r>
        <w:rPr>
          <w:rFonts w:hint="eastAsia" w:ascii="宋体" w:hAnsi="宋体"/>
          <w:color w:val="auto"/>
          <w:spacing w:val="6"/>
          <w:sz w:val="28"/>
          <w:szCs w:val="28"/>
          <w:highlight w:val="none"/>
        </w:rPr>
        <w:t>日</w:t>
      </w:r>
      <w:r>
        <w:rPr>
          <w:rFonts w:ascii="宋体" w:hAnsi="宋体"/>
          <w:color w:val="auto"/>
          <w:spacing w:val="6"/>
          <w:sz w:val="28"/>
          <w:szCs w:val="28"/>
          <w:highlight w:val="none"/>
        </w:rPr>
        <w:t xml:space="preserve">  </w:t>
      </w:r>
      <w:r>
        <w:rPr>
          <w:rFonts w:hint="eastAsia" w:ascii="宋体" w:hAnsi="宋体"/>
          <w:color w:val="auto"/>
          <w:spacing w:val="6"/>
          <w:sz w:val="28"/>
          <w:szCs w:val="28"/>
          <w:highlight w:val="none"/>
        </w:rPr>
        <w:t>期：</w:t>
      </w:r>
      <w:r>
        <w:rPr>
          <w:rFonts w:ascii="宋体" w:hAnsi="宋体"/>
          <w:color w:val="auto"/>
          <w:sz w:val="28"/>
          <w:szCs w:val="28"/>
          <w:highlight w:val="none"/>
        </w:rPr>
        <w:t>20</w:t>
      </w:r>
      <w:r>
        <w:rPr>
          <w:rFonts w:ascii="宋体" w:hAnsi="宋体"/>
          <w:color w:val="auto"/>
          <w:sz w:val="28"/>
          <w:szCs w:val="28"/>
          <w:highlight w:val="none"/>
          <w:u w:val="single"/>
        </w:rPr>
        <w:t>XX</w:t>
      </w:r>
      <w:r>
        <w:rPr>
          <w:rFonts w:ascii="宋体" w:hAnsi="宋体"/>
          <w:color w:val="auto"/>
          <w:sz w:val="28"/>
          <w:szCs w:val="28"/>
          <w:highlight w:val="none"/>
        </w:rPr>
        <w:t>年</w:t>
      </w:r>
      <w:r>
        <w:rPr>
          <w:rFonts w:ascii="宋体" w:hAnsi="宋体"/>
          <w:color w:val="auto"/>
          <w:sz w:val="28"/>
          <w:szCs w:val="28"/>
          <w:highlight w:val="none"/>
          <w:u w:val="single"/>
        </w:rPr>
        <w:t>XX</w:t>
      </w:r>
      <w:r>
        <w:rPr>
          <w:rFonts w:ascii="宋体" w:hAnsi="宋体"/>
          <w:color w:val="auto"/>
          <w:sz w:val="28"/>
          <w:szCs w:val="28"/>
          <w:highlight w:val="none"/>
        </w:rPr>
        <w:t>月</w:t>
      </w:r>
      <w:r>
        <w:rPr>
          <w:rFonts w:ascii="宋体" w:hAnsi="宋体"/>
          <w:color w:val="auto"/>
          <w:sz w:val="28"/>
          <w:szCs w:val="28"/>
          <w:highlight w:val="none"/>
          <w:u w:val="single"/>
        </w:rPr>
        <w:t>XX</w:t>
      </w:r>
      <w:r>
        <w:rPr>
          <w:rFonts w:ascii="宋体" w:hAnsi="宋体"/>
          <w:color w:val="auto"/>
          <w:sz w:val="28"/>
          <w:szCs w:val="28"/>
          <w:highlight w:val="none"/>
        </w:rPr>
        <w:t>日</w:t>
      </w:r>
    </w:p>
    <w:p>
      <w:pPr>
        <w:pStyle w:val="91"/>
        <w:tabs>
          <w:tab w:val="left" w:pos="567"/>
          <w:tab w:val="left" w:pos="709"/>
          <w:tab w:val="left" w:pos="851"/>
        </w:tabs>
        <w:spacing w:before="60" w:line="360" w:lineRule="auto"/>
        <w:ind w:firstLine="562"/>
        <w:rPr>
          <w:rFonts w:ascii="宋体" w:hAnsi="宋体"/>
          <w:b/>
          <w:color w:val="auto"/>
          <w:sz w:val="28"/>
          <w:szCs w:val="28"/>
          <w:highlight w:val="none"/>
        </w:rPr>
      </w:pPr>
      <w:r>
        <w:rPr>
          <w:rFonts w:hint="eastAsia" w:ascii="宋体" w:hAnsi="宋体"/>
          <w:b/>
          <w:color w:val="auto"/>
          <w:kern w:val="0"/>
          <w:sz w:val="28"/>
          <w:szCs w:val="28"/>
          <w:highlight w:val="none"/>
        </w:rPr>
        <w:t>说明：</w:t>
      </w:r>
      <w:r>
        <w:rPr>
          <w:rFonts w:hint="eastAsia" w:ascii="宋体" w:hAnsi="宋体"/>
          <w:b/>
          <w:color w:val="auto"/>
          <w:sz w:val="28"/>
          <w:szCs w:val="28"/>
          <w:highlight w:val="none"/>
        </w:rPr>
        <w:t>1. 提供了《残疾人福利性单位声明函》或监狱企业证明文件复印件的不需提供；</w:t>
      </w:r>
    </w:p>
    <w:p>
      <w:pPr>
        <w:pStyle w:val="91"/>
        <w:tabs>
          <w:tab w:val="left" w:pos="567"/>
          <w:tab w:val="left" w:pos="709"/>
          <w:tab w:val="left" w:pos="851"/>
        </w:tabs>
        <w:spacing w:before="60" w:line="360" w:lineRule="auto"/>
        <w:ind w:firstLine="1405" w:firstLineChars="500"/>
        <w:rPr>
          <w:rFonts w:ascii="宋体" w:hAnsi="宋体"/>
          <w:b/>
          <w:color w:val="auto"/>
          <w:sz w:val="28"/>
          <w:szCs w:val="28"/>
          <w:highlight w:val="none"/>
        </w:rPr>
      </w:pPr>
      <w:r>
        <w:rPr>
          <w:rFonts w:hint="eastAsia" w:ascii="宋体" w:hAnsi="宋体"/>
          <w:b/>
          <w:color w:val="auto"/>
          <w:sz w:val="28"/>
          <w:szCs w:val="28"/>
          <w:highlight w:val="none"/>
        </w:rPr>
        <w:t>2、</w:t>
      </w:r>
      <w:r>
        <w:rPr>
          <w:rFonts w:ascii="宋体" w:hAnsi="宋体"/>
          <w:b/>
          <w:color w:val="auto"/>
          <w:sz w:val="28"/>
          <w:szCs w:val="28"/>
          <w:highlight w:val="none"/>
        </w:rPr>
        <w:t xml:space="preserve"> </w:t>
      </w:r>
      <w:r>
        <w:rPr>
          <w:rFonts w:hint="eastAsia" w:ascii="宋体" w:hAnsi="宋体"/>
          <w:b/>
          <w:color w:val="auto"/>
          <w:sz w:val="28"/>
          <w:szCs w:val="28"/>
          <w:highlight w:val="none"/>
        </w:rPr>
        <w:t>从业人员、营业收入、资产总额填报上一年度数据，无上一年度数据的新成立企业可不填报。</w:t>
      </w:r>
    </w:p>
    <w:p>
      <w:pPr>
        <w:pStyle w:val="91"/>
        <w:tabs>
          <w:tab w:val="left" w:pos="567"/>
          <w:tab w:val="left" w:pos="709"/>
          <w:tab w:val="left" w:pos="851"/>
        </w:tabs>
        <w:spacing w:before="60" w:line="360" w:lineRule="auto"/>
        <w:ind w:firstLine="562"/>
        <w:rPr>
          <w:rFonts w:ascii="宋体" w:hAnsi="宋体"/>
          <w:b/>
          <w:color w:val="auto"/>
          <w:sz w:val="28"/>
          <w:szCs w:val="28"/>
          <w:highlight w:val="none"/>
        </w:rPr>
      </w:pPr>
    </w:p>
    <w:p>
      <w:pPr>
        <w:pStyle w:val="91"/>
        <w:tabs>
          <w:tab w:val="left" w:pos="567"/>
          <w:tab w:val="left" w:pos="709"/>
          <w:tab w:val="left" w:pos="851"/>
        </w:tabs>
        <w:spacing w:before="60" w:line="360" w:lineRule="auto"/>
        <w:ind w:firstLine="562"/>
        <w:rPr>
          <w:rFonts w:ascii="宋体" w:hAnsi="宋体"/>
          <w:b/>
          <w:color w:val="auto"/>
          <w:sz w:val="28"/>
          <w:szCs w:val="28"/>
          <w:highlight w:val="none"/>
        </w:rPr>
      </w:pPr>
    </w:p>
    <w:p>
      <w:pPr>
        <w:pStyle w:val="7"/>
        <w:numPr>
          <w:ilvl w:val="2"/>
          <w:numId w:val="28"/>
        </w:numPr>
        <w:spacing w:after="200" w:line="240" w:lineRule="auto"/>
        <w:ind w:left="851"/>
        <w:rPr>
          <w:color w:val="auto"/>
          <w:highlight w:val="none"/>
        </w:rPr>
      </w:pPr>
      <w:r>
        <w:rPr>
          <w:rFonts w:hint="eastAsia"/>
          <w:color w:val="auto"/>
          <w:highlight w:val="none"/>
        </w:rPr>
        <w:t>残疾人福利性单位声明函</w:t>
      </w:r>
    </w:p>
    <w:p>
      <w:pPr>
        <w:spacing w:line="500" w:lineRule="exact"/>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残疾人福利性单位声明函</w:t>
      </w:r>
    </w:p>
    <w:p>
      <w:pPr>
        <w:spacing w:line="440" w:lineRule="exact"/>
        <w:rPr>
          <w:rFonts w:ascii="仿宋_GB2312" w:eastAsia="仿宋_GB2312"/>
          <w:b/>
          <w:color w:val="auto"/>
          <w:spacing w:val="6"/>
          <w:sz w:val="30"/>
          <w:szCs w:val="30"/>
          <w:highlight w:val="none"/>
        </w:rPr>
      </w:pP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auto"/>
          <w:spacing w:val="6"/>
          <w:sz w:val="28"/>
          <w:szCs w:val="28"/>
          <w:highlight w:val="none"/>
          <w:u w:val="single"/>
        </w:rPr>
        <w:t>XXXX</w:t>
      </w:r>
      <w:r>
        <w:rPr>
          <w:rFonts w:hint="eastAsia" w:ascii="宋体" w:hAnsi="宋体"/>
          <w:color w:val="auto"/>
          <w:spacing w:val="6"/>
          <w:sz w:val="28"/>
          <w:szCs w:val="28"/>
          <w:highlight w:val="none"/>
        </w:rPr>
        <w:t>单位的</w:t>
      </w:r>
      <w:r>
        <w:rPr>
          <w:rFonts w:hint="eastAsia" w:ascii="宋体" w:hAnsi="宋体"/>
          <w:color w:val="auto"/>
          <w:spacing w:val="6"/>
          <w:sz w:val="28"/>
          <w:szCs w:val="28"/>
          <w:highlight w:val="none"/>
          <w:u w:val="single"/>
        </w:rPr>
        <w:t>XXXX</w:t>
      </w:r>
      <w:r>
        <w:rPr>
          <w:rFonts w:hint="eastAsia" w:ascii="宋体" w:hAnsi="宋体"/>
          <w:color w:val="auto"/>
          <w:spacing w:val="6"/>
          <w:sz w:val="28"/>
          <w:szCs w:val="28"/>
          <w:highlight w:val="none"/>
        </w:rPr>
        <w:t>项目采购活动由本单位提供服务。</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tabs>
          <w:tab w:val="left" w:pos="3969"/>
        </w:tabs>
        <w:spacing w:line="500" w:lineRule="exact"/>
        <w:ind w:right="-58" w:firstLine="584" w:firstLineChars="200"/>
        <w:jc w:val="left"/>
        <w:rPr>
          <w:rFonts w:ascii="宋体" w:hAnsi="宋体"/>
          <w:color w:val="auto"/>
          <w:spacing w:val="6"/>
          <w:sz w:val="28"/>
          <w:szCs w:val="28"/>
          <w:highlight w:val="none"/>
        </w:rPr>
      </w:pPr>
      <w:r>
        <w:rPr>
          <w:rFonts w:hint="eastAsia" w:ascii="宋体" w:hAnsi="宋体"/>
          <w:color w:val="auto"/>
          <w:spacing w:val="6"/>
          <w:sz w:val="28"/>
          <w:szCs w:val="28"/>
          <w:highlight w:val="none"/>
        </w:rPr>
        <w:t>单位名称：</w:t>
      </w:r>
      <w:r>
        <w:rPr>
          <w:rFonts w:ascii="宋体" w:hAnsi="宋体"/>
          <w:color w:val="auto"/>
          <w:sz w:val="28"/>
          <w:szCs w:val="28"/>
          <w:highlight w:val="none"/>
          <w:u w:val="single"/>
        </w:rPr>
        <w:t>XXXX</w:t>
      </w:r>
      <w:r>
        <w:rPr>
          <w:rFonts w:ascii="宋体" w:hAnsi="宋体"/>
          <w:color w:val="auto"/>
          <w:spacing w:val="6"/>
          <w:sz w:val="28"/>
          <w:szCs w:val="28"/>
          <w:highlight w:val="none"/>
        </w:rPr>
        <w:t xml:space="preserve"> </w:t>
      </w:r>
    </w:p>
    <w:p>
      <w:pPr>
        <w:tabs>
          <w:tab w:val="left" w:pos="3969"/>
        </w:tabs>
        <w:spacing w:line="500" w:lineRule="exact"/>
        <w:ind w:right="-58" w:firstLine="584" w:firstLineChars="200"/>
        <w:jc w:val="left"/>
        <w:rPr>
          <w:color w:val="auto"/>
          <w:sz w:val="28"/>
          <w:szCs w:val="28"/>
          <w:highlight w:val="none"/>
        </w:rPr>
      </w:pPr>
      <w:r>
        <w:rPr>
          <w:rFonts w:hint="eastAsia" w:ascii="宋体" w:hAnsi="宋体"/>
          <w:color w:val="auto"/>
          <w:spacing w:val="6"/>
          <w:sz w:val="28"/>
          <w:szCs w:val="28"/>
          <w:highlight w:val="none"/>
        </w:rPr>
        <w:t>日</w:t>
      </w:r>
      <w:r>
        <w:rPr>
          <w:rFonts w:ascii="宋体" w:hAnsi="宋体"/>
          <w:color w:val="auto"/>
          <w:spacing w:val="6"/>
          <w:sz w:val="28"/>
          <w:szCs w:val="28"/>
          <w:highlight w:val="none"/>
        </w:rPr>
        <w:t xml:space="preserve">  </w:t>
      </w:r>
      <w:r>
        <w:rPr>
          <w:rFonts w:hint="eastAsia" w:ascii="宋体" w:hAnsi="宋体"/>
          <w:color w:val="auto"/>
          <w:spacing w:val="6"/>
          <w:sz w:val="28"/>
          <w:szCs w:val="28"/>
          <w:highlight w:val="none"/>
        </w:rPr>
        <w:t>期：</w:t>
      </w:r>
      <w:r>
        <w:rPr>
          <w:rFonts w:ascii="宋体" w:hAnsi="宋体"/>
          <w:color w:val="auto"/>
          <w:sz w:val="28"/>
          <w:szCs w:val="28"/>
          <w:highlight w:val="none"/>
        </w:rPr>
        <w:t>20</w:t>
      </w:r>
      <w:r>
        <w:rPr>
          <w:rFonts w:ascii="宋体" w:hAnsi="宋体"/>
          <w:color w:val="auto"/>
          <w:sz w:val="28"/>
          <w:szCs w:val="28"/>
          <w:highlight w:val="none"/>
          <w:u w:val="single"/>
        </w:rPr>
        <w:t>XX</w:t>
      </w:r>
      <w:r>
        <w:rPr>
          <w:rFonts w:ascii="宋体" w:hAnsi="宋体"/>
          <w:color w:val="auto"/>
          <w:sz w:val="28"/>
          <w:szCs w:val="28"/>
          <w:highlight w:val="none"/>
        </w:rPr>
        <w:t>年</w:t>
      </w:r>
      <w:r>
        <w:rPr>
          <w:rFonts w:ascii="宋体" w:hAnsi="宋体"/>
          <w:color w:val="auto"/>
          <w:sz w:val="28"/>
          <w:szCs w:val="28"/>
          <w:highlight w:val="none"/>
          <w:u w:val="single"/>
        </w:rPr>
        <w:t>XX</w:t>
      </w:r>
      <w:r>
        <w:rPr>
          <w:rFonts w:ascii="宋体" w:hAnsi="宋体"/>
          <w:color w:val="auto"/>
          <w:sz w:val="28"/>
          <w:szCs w:val="28"/>
          <w:highlight w:val="none"/>
        </w:rPr>
        <w:t>月</w:t>
      </w:r>
      <w:r>
        <w:rPr>
          <w:rFonts w:ascii="宋体" w:hAnsi="宋体"/>
          <w:color w:val="auto"/>
          <w:sz w:val="28"/>
          <w:szCs w:val="28"/>
          <w:highlight w:val="none"/>
          <w:u w:val="single"/>
        </w:rPr>
        <w:t>XX</w:t>
      </w:r>
      <w:r>
        <w:rPr>
          <w:rFonts w:ascii="宋体" w:hAnsi="宋体"/>
          <w:color w:val="auto"/>
          <w:sz w:val="28"/>
          <w:szCs w:val="28"/>
          <w:highlight w:val="none"/>
        </w:rPr>
        <w:t>日</w:t>
      </w:r>
    </w:p>
    <w:p>
      <w:pPr>
        <w:ind w:firstLine="563"/>
        <w:rPr>
          <w:rFonts w:ascii="宋体" w:hAnsi="宋体"/>
          <w:b/>
          <w:color w:val="auto"/>
          <w:kern w:val="0"/>
          <w:sz w:val="28"/>
          <w:szCs w:val="28"/>
          <w:highlight w:val="none"/>
        </w:rPr>
      </w:pPr>
    </w:p>
    <w:p>
      <w:pPr>
        <w:tabs>
          <w:tab w:val="left" w:pos="1260"/>
        </w:tabs>
        <w:spacing w:line="560" w:lineRule="exact"/>
        <w:ind w:firstLine="420" w:firstLineChars="200"/>
        <w:rPr>
          <w:rFonts w:ascii="宋体" w:hAnsi="宋体"/>
          <w:color w:val="auto"/>
          <w:szCs w:val="28"/>
          <w:highlight w:val="none"/>
        </w:rPr>
      </w:pPr>
    </w:p>
    <w:p>
      <w:pPr>
        <w:tabs>
          <w:tab w:val="left" w:pos="1260"/>
        </w:tabs>
        <w:spacing w:line="560" w:lineRule="exact"/>
        <w:ind w:firstLine="420" w:firstLineChars="200"/>
        <w:rPr>
          <w:rFonts w:ascii="宋体" w:hAnsi="宋体"/>
          <w:color w:val="auto"/>
          <w:szCs w:val="28"/>
          <w:highlight w:val="none"/>
        </w:rPr>
      </w:pPr>
    </w:p>
    <w:p>
      <w:pPr>
        <w:tabs>
          <w:tab w:val="left" w:pos="1260"/>
        </w:tabs>
        <w:spacing w:line="560" w:lineRule="exact"/>
        <w:ind w:firstLine="562" w:firstLineChars="200"/>
        <w:rPr>
          <w:rFonts w:ascii="宋体" w:hAnsi="宋体"/>
          <w:color w:val="auto"/>
          <w:szCs w:val="28"/>
          <w:highlight w:val="none"/>
        </w:rPr>
      </w:pPr>
      <w:r>
        <w:rPr>
          <w:rFonts w:hint="eastAsia" w:ascii="宋体" w:hAnsi="宋体"/>
          <w:b/>
          <w:color w:val="auto"/>
          <w:sz w:val="28"/>
          <w:szCs w:val="28"/>
          <w:highlight w:val="none"/>
        </w:rPr>
        <w:t>说明</w:t>
      </w:r>
      <w:r>
        <w:rPr>
          <w:rFonts w:ascii="宋体" w:hAnsi="宋体"/>
          <w:b/>
          <w:color w:val="auto"/>
          <w:sz w:val="28"/>
          <w:szCs w:val="28"/>
          <w:highlight w:val="none"/>
        </w:rPr>
        <w:t>：</w:t>
      </w:r>
      <w:r>
        <w:rPr>
          <w:rFonts w:hint="eastAsia" w:ascii="宋体" w:hAnsi="宋体"/>
          <w:b/>
          <w:color w:val="auto"/>
          <w:sz w:val="28"/>
          <w:szCs w:val="28"/>
          <w:highlight w:val="none"/>
        </w:rPr>
        <w:t>提供了《中小</w:t>
      </w:r>
      <w:r>
        <w:rPr>
          <w:rFonts w:ascii="宋体" w:hAnsi="宋体"/>
          <w:b/>
          <w:color w:val="auto"/>
          <w:sz w:val="28"/>
          <w:szCs w:val="28"/>
          <w:highlight w:val="none"/>
        </w:rPr>
        <w:t>企业声明函</w:t>
      </w:r>
      <w:r>
        <w:rPr>
          <w:rFonts w:hint="eastAsia" w:ascii="宋体" w:hAnsi="宋体"/>
          <w:b/>
          <w:color w:val="auto"/>
          <w:sz w:val="28"/>
          <w:szCs w:val="28"/>
          <w:highlight w:val="none"/>
        </w:rPr>
        <w:t>》或监狱企业证明文件复印件的不需提供。</w:t>
      </w:r>
    </w:p>
    <w:p>
      <w:pPr>
        <w:pStyle w:val="2"/>
        <w:rPr>
          <w:color w:val="auto"/>
          <w:highlight w:val="none"/>
        </w:rPr>
      </w:pPr>
    </w:p>
    <w:p>
      <w:pPr>
        <w:spacing w:after="180" w:line="300" w:lineRule="auto"/>
        <w:rPr>
          <w:rFonts w:ascii="宋体" w:hAnsi="宋体"/>
          <w:b/>
          <w:color w:val="auto"/>
          <w:sz w:val="28"/>
          <w:szCs w:val="28"/>
          <w:highlight w:val="none"/>
        </w:rPr>
      </w:pPr>
    </w:p>
    <w:bookmarkEnd w:id="117"/>
    <w:bookmarkEnd w:id="118"/>
    <w:bookmarkEnd w:id="119"/>
    <w:bookmarkEnd w:id="120"/>
    <w:bookmarkEnd w:id="121"/>
    <w:bookmarkEnd w:id="122"/>
    <w:bookmarkEnd w:id="123"/>
    <w:bookmarkEnd w:id="124"/>
    <w:bookmarkEnd w:id="125"/>
    <w:p>
      <w:pPr>
        <w:keepNext/>
        <w:keepLines/>
        <w:numPr>
          <w:ilvl w:val="2"/>
          <w:numId w:val="28"/>
        </w:numPr>
        <w:spacing w:line="360" w:lineRule="auto"/>
        <w:ind w:left="3119" w:hanging="3119"/>
        <w:outlineLvl w:val="2"/>
        <w:rPr>
          <w:rFonts w:ascii="宋体" w:hAnsi="宋体"/>
          <w:b/>
          <w:bCs/>
          <w:color w:val="auto"/>
          <w:sz w:val="28"/>
          <w:szCs w:val="28"/>
          <w:highlight w:val="none"/>
        </w:rPr>
      </w:pPr>
      <w:bookmarkStart w:id="127" w:name="_Toc315871054"/>
      <w:bookmarkEnd w:id="127"/>
      <w:bookmarkStart w:id="128" w:name="_Toc302997926"/>
      <w:bookmarkStart w:id="129" w:name="_Toc220299393"/>
      <w:bookmarkStart w:id="130" w:name="_Toc217446083"/>
      <w:bookmarkStart w:id="131" w:name="_Toc263753605"/>
      <w:bookmarkStart w:id="132" w:name="_Toc263768870"/>
      <w:r>
        <w:rPr>
          <w:rFonts w:hint="eastAsia" w:ascii="宋体" w:hAnsi="宋体"/>
          <w:b/>
          <w:bCs/>
          <w:color w:val="auto"/>
          <w:sz w:val="28"/>
          <w:szCs w:val="28"/>
          <w:highlight w:val="none"/>
        </w:rPr>
        <w:t>投标人基本情况表</w:t>
      </w:r>
      <w:bookmarkEnd w:id="128"/>
    </w:p>
    <w:tbl>
      <w:tblPr>
        <w:tblStyle w:val="59"/>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color w:val="auto"/>
                <w:szCs w:val="21"/>
                <w:highlight w:val="none"/>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法定代表人或主要负责人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color w:val="auto"/>
                <w:szCs w:val="21"/>
                <w:highlight w:val="none"/>
              </w:rPr>
            </w:pPr>
            <w:r>
              <w:rPr>
                <w:rFonts w:hint="eastAsia" w:ascii="宋体" w:hAnsi="宋体"/>
                <w:color w:val="auto"/>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统一社会信用代码</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olor w:val="auto"/>
                <w:szCs w:val="21"/>
                <w:highlight w:val="none"/>
              </w:rPr>
            </w:pPr>
          </w:p>
        </w:tc>
      </w:tr>
    </w:tbl>
    <w:p>
      <w:pPr>
        <w:adjustRightInd w:val="0"/>
        <w:spacing w:line="400" w:lineRule="exact"/>
        <w:rPr>
          <w:rFonts w:ascii="宋体" w:hAnsi="宋体"/>
          <w:bCs/>
          <w:color w:val="auto"/>
          <w:sz w:val="28"/>
          <w:szCs w:val="28"/>
          <w:highlight w:val="none"/>
        </w:rPr>
      </w:pPr>
    </w:p>
    <w:p>
      <w:pPr>
        <w:spacing w:after="120" w:line="360" w:lineRule="auto"/>
        <w:ind w:left="420" w:leftChars="200" w:firstLine="288" w:firstLineChars="103"/>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ab/>
      </w:r>
      <w:r>
        <w:rPr>
          <w:rFonts w:hint="eastAsia" w:ascii="宋体" w:hAnsi="宋体"/>
          <w:bCs/>
          <w:color w:val="auto"/>
          <w:sz w:val="28"/>
          <w:szCs w:val="28"/>
          <w:highlight w:val="none"/>
          <w:u w:val="single"/>
        </w:rPr>
        <w:t>XXXX</w:t>
      </w:r>
    </w:p>
    <w:p>
      <w:pPr>
        <w:adjustRightInd w:val="0"/>
        <w:spacing w:line="400" w:lineRule="exact"/>
        <w:ind w:firstLine="700" w:firstLineChars="250"/>
        <w:rPr>
          <w:rFonts w:ascii="宋体" w:hAnsi="宋体"/>
          <w:bCs/>
          <w:color w:val="auto"/>
          <w:sz w:val="28"/>
          <w:highlight w:val="none"/>
          <w:u w:val="single"/>
        </w:rPr>
      </w:pPr>
      <w:r>
        <w:rPr>
          <w:rFonts w:hint="eastAsia" w:ascii="宋体" w:hAnsi="宋体"/>
          <w:color w:val="auto"/>
          <w:sz w:val="28"/>
          <w:highlight w:val="none"/>
        </w:rPr>
        <w:t>日期：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adjustRightInd w:val="0"/>
        <w:spacing w:line="400" w:lineRule="exact"/>
        <w:ind w:firstLine="700" w:firstLineChars="250"/>
        <w:rPr>
          <w:rFonts w:ascii="宋体" w:hAnsi="宋体"/>
          <w:bCs/>
          <w:color w:val="auto"/>
          <w:sz w:val="28"/>
          <w:highlight w:val="none"/>
        </w:rPr>
      </w:pPr>
    </w:p>
    <w:p>
      <w:pPr>
        <w:adjustRightInd w:val="0"/>
        <w:spacing w:line="400" w:lineRule="exact"/>
        <w:ind w:firstLine="700" w:firstLineChars="250"/>
        <w:rPr>
          <w:rFonts w:ascii="宋体" w:hAnsi="宋体"/>
          <w:bCs/>
          <w:color w:val="auto"/>
          <w:sz w:val="28"/>
          <w:szCs w:val="28"/>
          <w:highlight w:val="none"/>
        </w:rPr>
      </w:pPr>
    </w:p>
    <w:bookmarkEnd w:id="129"/>
    <w:bookmarkEnd w:id="130"/>
    <w:bookmarkEnd w:id="131"/>
    <w:bookmarkEnd w:id="132"/>
    <w:p>
      <w:pPr>
        <w:pStyle w:val="7"/>
        <w:numPr>
          <w:ilvl w:val="2"/>
          <w:numId w:val="28"/>
        </w:numPr>
        <w:spacing w:after="200" w:line="240" w:lineRule="auto"/>
        <w:ind w:left="851"/>
        <w:rPr>
          <w:color w:val="auto"/>
          <w:highlight w:val="none"/>
        </w:rPr>
      </w:pPr>
      <w:bookmarkStart w:id="133" w:name="_Toc316475719"/>
      <w:r>
        <w:rPr>
          <w:rFonts w:hint="eastAsia"/>
          <w:color w:val="auto"/>
          <w:highlight w:val="none"/>
        </w:rPr>
        <w:t>服务方案及服务承诺</w:t>
      </w:r>
    </w:p>
    <w:p>
      <w:pPr>
        <w:snapToGrid w:val="0"/>
        <w:spacing w:line="360" w:lineRule="auto"/>
        <w:rPr>
          <w:rFonts w:hint="eastAsia" w:ascii="宋体" w:hAnsi="宋体"/>
          <w:b/>
          <w:color w:val="auto"/>
          <w:sz w:val="28"/>
          <w:szCs w:val="28"/>
          <w:highlight w:val="none"/>
          <w:u w:val="single"/>
        </w:rPr>
      </w:pPr>
      <w:r>
        <w:rPr>
          <w:rFonts w:hint="eastAsia" w:ascii="宋体" w:hAnsi="宋体"/>
          <w:b/>
          <w:color w:val="auto"/>
          <w:sz w:val="28"/>
          <w:szCs w:val="28"/>
          <w:highlight w:val="none"/>
        </w:rPr>
        <w:t>项目名称：</w:t>
      </w:r>
      <w:r>
        <w:rPr>
          <w:rFonts w:hint="eastAsia" w:ascii="宋体" w:hAnsi="宋体"/>
          <w:b/>
          <w:color w:val="auto"/>
          <w:sz w:val="28"/>
          <w:szCs w:val="28"/>
          <w:highlight w:val="none"/>
          <w:u w:val="single"/>
          <w:lang w:eastAsia="zh-CN"/>
        </w:rPr>
        <w:t>成都市锦江区综合行政执法局2022—2024年锦江区环卫保洁、环卫公厕、绿化和河道管护一体化服务项目</w:t>
      </w:r>
    </w:p>
    <w:p>
      <w:pPr>
        <w:snapToGrid w:val="0"/>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项目编号：</w:t>
      </w:r>
      <w:r>
        <w:rPr>
          <w:rFonts w:hint="eastAsia" w:ascii="宋体" w:hAnsi="宋体"/>
          <w:b/>
          <w:color w:val="auto"/>
          <w:sz w:val="28"/>
          <w:szCs w:val="28"/>
          <w:highlight w:val="none"/>
          <w:lang w:eastAsia="zh-CN"/>
        </w:rPr>
        <w:t>锦江政采（2021）A0028号</w:t>
      </w:r>
    </w:p>
    <w:p>
      <w:pPr>
        <w:snapToGrid w:val="0"/>
        <w:spacing w:line="360" w:lineRule="auto"/>
        <w:rPr>
          <w:rFonts w:ascii="宋体" w:hAnsi="宋体"/>
          <w:b/>
          <w:color w:val="auto"/>
          <w:sz w:val="28"/>
          <w:szCs w:val="28"/>
          <w:highlight w:val="none"/>
        </w:rPr>
      </w:pPr>
      <w:r>
        <w:rPr>
          <w:rFonts w:hint="eastAsia" w:ascii="宋体" w:hAnsi="宋体"/>
          <w:b/>
          <w:bCs/>
          <w:color w:val="auto"/>
          <w:sz w:val="28"/>
          <w:szCs w:val="28"/>
          <w:highlight w:val="none"/>
        </w:rPr>
        <w:t>包件号：</w:t>
      </w:r>
      <w:r>
        <w:rPr>
          <w:rFonts w:ascii="宋体" w:hAnsi="宋体"/>
          <w:bCs/>
          <w:color w:val="auto"/>
          <w:sz w:val="28"/>
          <w:szCs w:val="28"/>
          <w:highlight w:val="none"/>
          <w:u w:val="single"/>
        </w:rPr>
        <w:t>XX</w:t>
      </w: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pacing w:after="120" w:line="360" w:lineRule="auto"/>
        <w:ind w:left="420" w:left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adjustRightInd w:val="0"/>
        <w:spacing w:line="400" w:lineRule="exact"/>
        <w:ind w:firstLine="420" w:firstLineChars="150"/>
        <w:rPr>
          <w:rFonts w:ascii="宋体" w:hAnsi="宋体"/>
          <w:bCs/>
          <w:color w:val="auto"/>
          <w:sz w:val="28"/>
          <w:highlight w:val="none"/>
          <w:u w:val="single"/>
        </w:rPr>
      </w:pPr>
      <w:r>
        <w:rPr>
          <w:rFonts w:hint="eastAsia" w:ascii="宋体" w:hAnsi="宋体"/>
          <w:color w:val="auto"/>
          <w:sz w:val="28"/>
          <w:highlight w:val="none"/>
        </w:rPr>
        <w:t>日期：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widowControl/>
        <w:spacing w:line="360" w:lineRule="auto"/>
        <w:jc w:val="left"/>
        <w:rPr>
          <w:rFonts w:ascii="宋体" w:hAnsi="宋体"/>
          <w:color w:val="auto"/>
          <w:kern w:val="0"/>
          <w:sz w:val="28"/>
          <w:highlight w:val="none"/>
        </w:rPr>
        <w:sectPr>
          <w:footerReference r:id="rId3" w:type="default"/>
          <w:pgSz w:w="11906" w:h="16838"/>
          <w:pgMar w:top="1440" w:right="1800" w:bottom="1440" w:left="1800" w:header="851" w:footer="992" w:gutter="0"/>
          <w:cols w:space="720" w:num="1"/>
        </w:sectPr>
      </w:pPr>
    </w:p>
    <w:p>
      <w:pPr>
        <w:keepNext/>
        <w:keepLines/>
        <w:numPr>
          <w:ilvl w:val="2"/>
          <w:numId w:val="28"/>
        </w:numPr>
        <w:spacing w:line="360" w:lineRule="auto"/>
        <w:ind w:hanging="3260"/>
        <w:outlineLvl w:val="2"/>
        <w:rPr>
          <w:rFonts w:ascii="宋体" w:hAnsi="宋体"/>
          <w:b/>
          <w:color w:val="auto"/>
          <w:sz w:val="28"/>
          <w:szCs w:val="28"/>
          <w:highlight w:val="none"/>
        </w:rPr>
      </w:pPr>
      <w:r>
        <w:rPr>
          <w:rFonts w:hint="eastAsia" w:ascii="宋体" w:hAnsi="宋体"/>
          <w:b/>
          <w:color w:val="auto"/>
          <w:sz w:val="28"/>
          <w:szCs w:val="28"/>
          <w:highlight w:val="none"/>
        </w:rPr>
        <w:t>承诺函</w:t>
      </w:r>
    </w:p>
    <w:p>
      <w:pPr>
        <w:snapToGrid w:val="0"/>
        <w:spacing w:line="360" w:lineRule="auto"/>
        <w:rPr>
          <w:rFonts w:hint="eastAsia" w:ascii="宋体" w:hAnsi="宋体"/>
          <w:b/>
          <w:color w:val="auto"/>
          <w:sz w:val="28"/>
          <w:szCs w:val="28"/>
          <w:highlight w:val="none"/>
          <w:u w:val="single"/>
        </w:rPr>
      </w:pPr>
      <w:r>
        <w:rPr>
          <w:rFonts w:hint="eastAsia" w:ascii="宋体" w:hAnsi="宋体"/>
          <w:b/>
          <w:color w:val="auto"/>
          <w:sz w:val="28"/>
          <w:szCs w:val="28"/>
          <w:highlight w:val="none"/>
        </w:rPr>
        <w:t>项目名称：</w:t>
      </w:r>
      <w:r>
        <w:rPr>
          <w:rFonts w:hint="eastAsia" w:ascii="宋体" w:hAnsi="宋体"/>
          <w:b/>
          <w:color w:val="auto"/>
          <w:sz w:val="28"/>
          <w:szCs w:val="28"/>
          <w:highlight w:val="none"/>
          <w:u w:val="single"/>
          <w:lang w:eastAsia="zh-CN"/>
        </w:rPr>
        <w:t>成都市锦江区综合行政执法局2022—2024年锦江区环卫保洁、环卫公厕、绿化和河道管护一体化服务项目</w:t>
      </w:r>
    </w:p>
    <w:p>
      <w:pPr>
        <w:snapToGrid w:val="0"/>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项目编号：</w:t>
      </w:r>
      <w:r>
        <w:rPr>
          <w:rFonts w:hint="eastAsia" w:ascii="宋体" w:hAnsi="宋体"/>
          <w:b/>
          <w:color w:val="auto"/>
          <w:sz w:val="28"/>
          <w:szCs w:val="28"/>
          <w:highlight w:val="none"/>
          <w:lang w:eastAsia="zh-CN"/>
        </w:rPr>
        <w:t>锦江政采（2021）A0028号</w:t>
      </w:r>
    </w:p>
    <w:p>
      <w:pPr>
        <w:snapToGrid w:val="0"/>
        <w:spacing w:line="360" w:lineRule="auto"/>
        <w:ind w:firstLine="560" w:firstLineChars="200"/>
        <w:rPr>
          <w:rFonts w:ascii="宋体" w:hAnsi="宋体"/>
          <w:color w:val="auto"/>
          <w:highlight w:val="none"/>
        </w:rPr>
      </w:pPr>
      <w:r>
        <w:rPr>
          <w:rFonts w:hint="eastAsia" w:ascii="宋体" w:hAnsi="宋体"/>
          <w:color w:val="auto"/>
          <w:sz w:val="28"/>
          <w:highlight w:val="none"/>
        </w:rPr>
        <w:t>我单位作为参加本</w:t>
      </w:r>
      <w:r>
        <w:rPr>
          <w:rFonts w:hint="eastAsia" w:ascii="宋体" w:hAnsi="宋体"/>
          <w:color w:val="auto"/>
          <w:sz w:val="28"/>
          <w:szCs w:val="28"/>
          <w:highlight w:val="none"/>
        </w:rPr>
        <w:t>项目</w:t>
      </w:r>
      <w:r>
        <w:rPr>
          <w:rFonts w:hint="eastAsia" w:ascii="宋体" w:hAnsi="宋体"/>
          <w:b/>
          <w:bCs/>
          <w:color w:val="auto"/>
          <w:sz w:val="28"/>
          <w:szCs w:val="28"/>
          <w:highlight w:val="none"/>
        </w:rPr>
        <w:t>包件：</w:t>
      </w:r>
      <w:r>
        <w:rPr>
          <w:rFonts w:ascii="宋体" w:hAnsi="宋体"/>
          <w:bCs/>
          <w:color w:val="auto"/>
          <w:sz w:val="28"/>
          <w:szCs w:val="28"/>
          <w:highlight w:val="none"/>
          <w:u w:val="single"/>
        </w:rPr>
        <w:t>XX</w:t>
      </w:r>
      <w:r>
        <w:rPr>
          <w:rFonts w:hint="eastAsia" w:ascii="宋体" w:hAnsi="宋体"/>
          <w:color w:val="auto"/>
          <w:sz w:val="28"/>
          <w:highlight w:val="none"/>
        </w:rPr>
        <w:t>的投标人，在此郑重承诺：</w:t>
      </w:r>
    </w:p>
    <w:p>
      <w:pPr>
        <w:pStyle w:val="2"/>
        <w:spacing w:line="500" w:lineRule="exact"/>
        <w:rPr>
          <w:rFonts w:ascii="宋体" w:hAnsi="宋体"/>
          <w:color w:val="auto"/>
          <w:sz w:val="24"/>
          <w:szCs w:val="24"/>
          <w:highlight w:val="none"/>
        </w:rPr>
      </w:pPr>
      <w:r>
        <w:rPr>
          <w:rFonts w:hint="eastAsia" w:ascii="宋体" w:hAnsi="宋体"/>
          <w:color w:val="auto"/>
          <w:sz w:val="24"/>
          <w:szCs w:val="24"/>
          <w:highlight w:val="none"/>
        </w:rPr>
        <w:t>一、为本项目提供的所有服务符合现行的强制性国家相关标准、行业标准。</w:t>
      </w:r>
    </w:p>
    <w:p>
      <w:pPr>
        <w:pStyle w:val="2"/>
        <w:spacing w:line="500" w:lineRule="exact"/>
        <w:rPr>
          <w:rFonts w:hint="eastAsia" w:ascii="宋体" w:hAnsi="宋体"/>
          <w:color w:val="auto"/>
          <w:sz w:val="24"/>
          <w:szCs w:val="24"/>
          <w:highlight w:val="none"/>
          <w:lang w:val="en-US" w:eastAsia="zh-CN"/>
        </w:rPr>
      </w:pPr>
      <w:r>
        <w:rPr>
          <w:rFonts w:hint="eastAsia" w:ascii="宋体" w:hAnsi="宋体"/>
          <w:color w:val="auto"/>
          <w:sz w:val="24"/>
          <w:szCs w:val="24"/>
          <w:highlight w:val="none"/>
        </w:rPr>
        <w:t>二、</w:t>
      </w:r>
      <w:r>
        <w:rPr>
          <w:rFonts w:hint="eastAsia" w:ascii="宋体" w:hAnsi="宋体"/>
          <w:color w:val="auto"/>
          <w:sz w:val="24"/>
          <w:szCs w:val="24"/>
          <w:highlight w:val="none"/>
          <w:lang w:val="en-US" w:eastAsia="zh-CN"/>
        </w:rPr>
        <w:t>完全满足</w:t>
      </w:r>
      <w:r>
        <w:rPr>
          <w:rFonts w:hint="eastAsia" w:ascii="宋体" w:hAnsi="宋体"/>
          <w:color w:val="auto"/>
          <w:sz w:val="24"/>
          <w:szCs w:val="24"/>
          <w:highlight w:val="none"/>
        </w:rPr>
        <w:t>招标文件第四章</w:t>
      </w:r>
      <w:r>
        <w:rPr>
          <w:rFonts w:hint="eastAsia" w:ascii="宋体" w:hAnsi="宋体"/>
          <w:color w:val="auto"/>
          <w:sz w:val="24"/>
          <w:szCs w:val="24"/>
          <w:highlight w:val="none"/>
          <w:lang w:val="en-US" w:eastAsia="zh-CN"/>
        </w:rPr>
        <w:t>标注</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内容如下：</w:t>
      </w:r>
    </w:p>
    <w:p>
      <w:pPr>
        <w:pStyle w:val="3"/>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1、......</w:t>
      </w:r>
    </w:p>
    <w:p>
      <w:pPr>
        <w:pStyle w:val="3"/>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w:t>
      </w:r>
    </w:p>
    <w:p>
      <w:pPr>
        <w:pStyle w:val="3"/>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w:t>
      </w:r>
    </w:p>
    <w:p>
      <w:pPr>
        <w:pStyle w:val="2"/>
        <w:spacing w:line="500" w:lineRule="exact"/>
        <w:rPr>
          <w:rFonts w:ascii="宋体" w:hAnsi="宋体"/>
          <w:color w:val="auto"/>
          <w:sz w:val="24"/>
          <w:szCs w:val="24"/>
          <w:highlight w:val="none"/>
        </w:rPr>
      </w:pPr>
      <w:r>
        <w:rPr>
          <w:rFonts w:hint="eastAsia" w:ascii="宋体" w:hAnsi="宋体"/>
          <w:color w:val="auto"/>
          <w:sz w:val="24"/>
          <w:szCs w:val="24"/>
          <w:highlight w:val="none"/>
        </w:rPr>
        <w:t>三、本项目人员工作期间的疾病和人身安全、安全责任事故、劳务纠纷等都由投标人自行负责，采购人对此不承担任何的责任和义务。</w:t>
      </w:r>
    </w:p>
    <w:p>
      <w:pPr>
        <w:pStyle w:val="2"/>
        <w:spacing w:line="500" w:lineRule="exact"/>
        <w:rPr>
          <w:rFonts w:ascii="宋体" w:hAnsi="宋体"/>
          <w:color w:val="auto"/>
          <w:sz w:val="24"/>
          <w:szCs w:val="24"/>
          <w:highlight w:val="none"/>
        </w:rPr>
      </w:pPr>
      <w:r>
        <w:rPr>
          <w:rFonts w:hint="eastAsia" w:ascii="宋体" w:hAnsi="宋体"/>
          <w:color w:val="auto"/>
          <w:sz w:val="24"/>
          <w:szCs w:val="24"/>
          <w:highlight w:val="none"/>
        </w:rPr>
        <w:t>四、本项目人员薪资不得低于成都市最低薪酬标准，在职期间为其购买劳动法规定的各项保险，其人员工资标准、劳保、福利等应执行国家和地方政府的相关法律、法规和部门规章。</w:t>
      </w:r>
    </w:p>
    <w:p>
      <w:pPr>
        <w:pStyle w:val="2"/>
        <w:spacing w:line="500" w:lineRule="exact"/>
        <w:rPr>
          <w:rFonts w:ascii="宋体" w:hAnsi="宋体"/>
          <w:color w:val="auto"/>
          <w:sz w:val="24"/>
          <w:szCs w:val="24"/>
          <w:highlight w:val="none"/>
        </w:rPr>
      </w:pPr>
      <w:r>
        <w:rPr>
          <w:rFonts w:hint="eastAsia" w:ascii="宋体" w:hAnsi="宋体"/>
          <w:color w:val="auto"/>
          <w:sz w:val="24"/>
          <w:szCs w:val="24"/>
          <w:highlight w:val="none"/>
        </w:rPr>
        <w:t>五、项目实际结算金额不超过预算金额。</w:t>
      </w:r>
    </w:p>
    <w:p>
      <w:pPr>
        <w:pStyle w:val="2"/>
        <w:spacing w:line="500" w:lineRule="exact"/>
        <w:rPr>
          <w:rFonts w:ascii="宋体" w:hAnsi="宋体"/>
          <w:color w:val="auto"/>
          <w:sz w:val="24"/>
          <w:szCs w:val="24"/>
          <w:highlight w:val="none"/>
        </w:rPr>
      </w:pPr>
      <w:r>
        <w:rPr>
          <w:rFonts w:hint="eastAsia" w:ascii="宋体" w:hAnsi="宋体"/>
          <w:color w:val="auto"/>
          <w:sz w:val="24"/>
          <w:szCs w:val="24"/>
          <w:highlight w:val="none"/>
        </w:rPr>
        <w:t>六、我单位已认真阅读并接受完全接受和满足本项目招标文件中规定的实质性要求（如进口产品、投标费用、充分、公平竞争保障措施、投标文件的语言、计量单位、投标货币、联合体投标、知识产权、投标保证金、投标有效期、合同分包、合同转包、行贿犯罪相关要求等实质性要求），如对招标文件有异议，已依法进行维权救济，不存在对招标文件有异议的同时又参加投标以求侥幸中标或者为实现其他非法目的的行为。</w:t>
      </w:r>
    </w:p>
    <w:p>
      <w:pPr>
        <w:pStyle w:val="2"/>
        <w:spacing w:line="500" w:lineRule="exact"/>
        <w:rPr>
          <w:rFonts w:ascii="宋体" w:hAnsi="宋体"/>
          <w:color w:val="auto"/>
          <w:sz w:val="24"/>
          <w:szCs w:val="24"/>
          <w:highlight w:val="none"/>
        </w:rPr>
      </w:pPr>
      <w:r>
        <w:rPr>
          <w:rFonts w:hint="eastAsia" w:ascii="宋体" w:hAnsi="宋体"/>
          <w:color w:val="auto"/>
          <w:sz w:val="24"/>
          <w:szCs w:val="24"/>
          <w:highlight w:val="none"/>
        </w:rPr>
        <w:t>七、参加本次招标采购活动，我单位没有为本项目提供整体设计、规范编制或者项目管理、监理、检测等服务。</w:t>
      </w:r>
    </w:p>
    <w:p>
      <w:pPr>
        <w:pStyle w:val="2"/>
        <w:spacing w:line="500" w:lineRule="exact"/>
        <w:rPr>
          <w:color w:val="auto"/>
          <w:sz w:val="24"/>
          <w:szCs w:val="24"/>
          <w:highlight w:val="none"/>
        </w:rPr>
      </w:pPr>
      <w:r>
        <w:rPr>
          <w:rFonts w:hint="eastAsia" w:ascii="宋体" w:hAnsi="宋体"/>
          <w:color w:val="auto"/>
          <w:sz w:val="24"/>
          <w:szCs w:val="24"/>
          <w:highlight w:val="none"/>
        </w:rPr>
        <w:t>本单位对上述承诺的内容事项真实性负责。如经查实上述承诺的内容事项存在虚假，我单位愿意接受以提供虚假材料谋取中标追究法律责任。</w:t>
      </w:r>
    </w:p>
    <w:p>
      <w:pPr>
        <w:snapToGrid w:val="0"/>
        <w:spacing w:line="360" w:lineRule="auto"/>
        <w:ind w:firstLine="560" w:firstLineChars="200"/>
        <w:rPr>
          <w:color w:val="auto"/>
          <w:highlight w:val="none"/>
        </w:rPr>
      </w:pPr>
      <w:r>
        <w:rPr>
          <w:rFonts w:hint="eastAsia" w:ascii="宋体" w:hAnsi="宋体"/>
          <w:color w:val="auto"/>
          <w:sz w:val="28"/>
          <w:szCs w:val="28"/>
          <w:highlight w:val="none"/>
        </w:rPr>
        <w:t>特此承诺。</w:t>
      </w:r>
    </w:p>
    <w:p>
      <w:pPr>
        <w:spacing w:after="120" w:line="360" w:lineRule="auto"/>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adjustRightInd w:val="0"/>
        <w:spacing w:line="400" w:lineRule="exact"/>
        <w:ind w:firstLine="420" w:firstLineChars="150"/>
        <w:rPr>
          <w:rFonts w:hint="eastAsia" w:ascii="宋体" w:hAnsi="宋体"/>
          <w:bCs/>
          <w:color w:val="auto"/>
          <w:sz w:val="28"/>
          <w:highlight w:val="none"/>
        </w:rPr>
      </w:pPr>
      <w:r>
        <w:rPr>
          <w:rFonts w:hint="eastAsia" w:ascii="宋体" w:hAnsi="宋体"/>
          <w:color w:val="auto"/>
          <w:sz w:val="28"/>
          <w:highlight w:val="none"/>
        </w:rPr>
        <w:t>日期：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pStyle w:val="2"/>
        <w:rPr>
          <w:color w:val="auto"/>
          <w:highlight w:val="none"/>
        </w:rPr>
      </w:pPr>
      <w:r>
        <w:rPr>
          <w:color w:val="auto"/>
          <w:highlight w:val="none"/>
        </w:rPr>
        <w:br w:type="page"/>
      </w:r>
    </w:p>
    <w:p>
      <w:pPr>
        <w:keepNext/>
        <w:keepLines/>
        <w:numPr>
          <w:ilvl w:val="1"/>
          <w:numId w:val="28"/>
        </w:numPr>
        <w:spacing w:before="260" w:after="260" w:line="360" w:lineRule="auto"/>
        <w:jc w:val="left"/>
        <w:outlineLvl w:val="1"/>
        <w:rPr>
          <w:rFonts w:ascii="宋体" w:hAnsi="宋体"/>
          <w:b/>
          <w:color w:val="auto"/>
          <w:sz w:val="28"/>
          <w:highlight w:val="none"/>
        </w:rPr>
      </w:pPr>
      <w:bookmarkStart w:id="134" w:name="_Toc13418"/>
      <w:r>
        <w:rPr>
          <w:rFonts w:hint="eastAsia" w:ascii="宋体" w:hAnsi="宋体"/>
          <w:b/>
          <w:color w:val="auto"/>
          <w:sz w:val="28"/>
          <w:highlight w:val="none"/>
        </w:rPr>
        <w:t>报价</w:t>
      </w:r>
      <w:r>
        <w:rPr>
          <w:rFonts w:hint="eastAsia" w:ascii="宋体" w:hAnsi="宋体"/>
          <w:b/>
          <w:bCs/>
          <w:color w:val="auto"/>
          <w:sz w:val="28"/>
          <w:szCs w:val="28"/>
          <w:highlight w:val="none"/>
        </w:rPr>
        <w:t>要求</w:t>
      </w:r>
      <w:r>
        <w:rPr>
          <w:rFonts w:hint="eastAsia" w:ascii="宋体" w:hAnsi="宋体"/>
          <w:b/>
          <w:color w:val="auto"/>
          <w:sz w:val="28"/>
          <w:highlight w:val="none"/>
        </w:rPr>
        <w:t>响应文件</w:t>
      </w:r>
      <w:bookmarkEnd w:id="134"/>
    </w:p>
    <w:p>
      <w:pPr>
        <w:keepNext/>
        <w:keepLines/>
        <w:numPr>
          <w:ilvl w:val="2"/>
          <w:numId w:val="28"/>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kern w:val="0"/>
          <w:sz w:val="28"/>
          <w:szCs w:val="28"/>
          <w:highlight w:val="none"/>
        </w:rPr>
        <w:t>开标一览表</w:t>
      </w:r>
    </w:p>
    <w:p>
      <w:pPr>
        <w:tabs>
          <w:tab w:val="left" w:pos="1134"/>
        </w:tabs>
        <w:spacing w:line="560" w:lineRule="exact"/>
        <w:ind w:firstLine="427" w:firstLineChars="152"/>
        <w:rPr>
          <w:rFonts w:hint="eastAsia" w:ascii="宋体" w:hAnsi="宋体"/>
          <w:b/>
          <w:bCs/>
          <w:color w:val="auto"/>
          <w:sz w:val="28"/>
          <w:szCs w:val="28"/>
          <w:highlight w:val="none"/>
        </w:rPr>
      </w:pPr>
      <w:r>
        <w:rPr>
          <w:rFonts w:hint="eastAsia" w:ascii="宋体" w:hAnsi="宋体"/>
          <w:b/>
          <w:bCs/>
          <w:color w:val="auto"/>
          <w:sz w:val="28"/>
          <w:szCs w:val="28"/>
          <w:highlight w:val="none"/>
        </w:rPr>
        <w:t>项目名称：</w:t>
      </w:r>
      <w:r>
        <w:rPr>
          <w:rFonts w:hint="eastAsia" w:ascii="宋体" w:hAnsi="宋体"/>
          <w:b/>
          <w:bCs/>
          <w:color w:val="auto"/>
          <w:sz w:val="28"/>
          <w:szCs w:val="28"/>
          <w:highlight w:val="none"/>
          <w:lang w:eastAsia="zh-CN"/>
        </w:rPr>
        <w:t>成都市锦江区综合行政执法局2022—2024年锦江区环卫保洁、环卫公厕、绿化和河道管护一体化服务项目</w:t>
      </w:r>
      <w:r>
        <w:rPr>
          <w:rFonts w:hint="eastAsia" w:ascii="宋体" w:hAnsi="宋体"/>
          <w:b/>
          <w:bCs/>
          <w:color w:val="auto"/>
          <w:sz w:val="28"/>
          <w:szCs w:val="28"/>
          <w:highlight w:val="none"/>
        </w:rPr>
        <w:t xml:space="preserve"> </w:t>
      </w:r>
    </w:p>
    <w:p>
      <w:pPr>
        <w:snapToGrid w:val="0"/>
        <w:spacing w:line="360" w:lineRule="auto"/>
        <w:rPr>
          <w:rFonts w:hint="eastAsia" w:ascii="宋体" w:hAnsi="宋体"/>
          <w:b/>
          <w:color w:val="auto"/>
          <w:sz w:val="28"/>
          <w:szCs w:val="28"/>
          <w:highlight w:val="none"/>
          <w:lang w:eastAsia="zh-CN"/>
        </w:rPr>
      </w:pPr>
      <w:r>
        <w:rPr>
          <w:rFonts w:hint="eastAsia" w:ascii="宋体" w:hAnsi="宋体"/>
          <w:b/>
          <w:color w:val="auto"/>
          <w:sz w:val="28"/>
          <w:szCs w:val="28"/>
          <w:highlight w:val="none"/>
        </w:rPr>
        <w:t>项目编号：</w:t>
      </w:r>
      <w:r>
        <w:rPr>
          <w:rFonts w:hint="eastAsia" w:ascii="宋体" w:hAnsi="宋体"/>
          <w:b/>
          <w:color w:val="auto"/>
          <w:sz w:val="28"/>
          <w:szCs w:val="28"/>
          <w:highlight w:val="none"/>
          <w:lang w:eastAsia="zh-CN"/>
        </w:rPr>
        <w:t>锦江政采（2021）A0028号</w:t>
      </w:r>
    </w:p>
    <w:p>
      <w:pPr>
        <w:pStyle w:val="2"/>
        <w:rPr>
          <w:rFonts w:hint="eastAsia"/>
          <w:color w:val="auto"/>
          <w:highlight w:val="none"/>
          <w:lang w:val="en-US" w:eastAsia="zh-CN"/>
        </w:rPr>
      </w:pPr>
      <w:r>
        <w:rPr>
          <w:rFonts w:hint="eastAsia" w:ascii="宋体" w:hAnsi="宋体"/>
          <w:b/>
          <w:color w:val="auto"/>
          <w:sz w:val="28"/>
          <w:szCs w:val="28"/>
          <w:highlight w:val="none"/>
          <w:lang w:val="en-US" w:eastAsia="zh-CN"/>
        </w:rPr>
        <w:t>包件X：</w:t>
      </w:r>
    </w:p>
    <w:tbl>
      <w:tblPr>
        <w:tblStyle w:val="60"/>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auto"/>
                <w:kern w:val="0"/>
                <w:sz w:val="28"/>
                <w:szCs w:val="28"/>
                <w:highlight w:val="none"/>
              </w:rPr>
            </w:pPr>
            <w:r>
              <w:rPr>
                <w:rFonts w:hint="eastAsia" w:ascii="宋体" w:hAnsi="宋体"/>
                <w:color w:val="auto"/>
                <w:kern w:val="0"/>
                <w:sz w:val="28"/>
                <w:szCs w:val="28"/>
                <w:highlight w:val="none"/>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auto"/>
                <w:kern w:val="0"/>
                <w:sz w:val="28"/>
                <w:szCs w:val="28"/>
                <w:highlight w:val="none"/>
              </w:rPr>
            </w:pPr>
          </w:p>
        </w:tc>
      </w:tr>
    </w:tbl>
    <w:p>
      <w:pPr>
        <w:pStyle w:val="2"/>
        <w:rPr>
          <w:rFonts w:hint="eastAsia"/>
          <w:color w:val="auto"/>
          <w:highlight w:val="none"/>
          <w:lang w:val="en-US" w:eastAsia="zh-CN"/>
        </w:rPr>
      </w:pPr>
    </w:p>
    <w:p>
      <w:pPr>
        <w:tabs>
          <w:tab w:val="left" w:pos="1134"/>
        </w:tabs>
        <w:spacing w:line="560" w:lineRule="exact"/>
        <w:ind w:firstLine="427" w:firstLineChars="152"/>
        <w:rPr>
          <w:rFonts w:ascii="宋体" w:hAnsi="宋体"/>
          <w:b/>
          <w:color w:val="auto"/>
          <w:sz w:val="28"/>
          <w:szCs w:val="28"/>
          <w:highlight w:val="none"/>
        </w:rPr>
      </w:pPr>
      <w:r>
        <w:rPr>
          <w:rFonts w:hint="eastAsia" w:ascii="宋体" w:hAnsi="宋体"/>
          <w:b/>
          <w:color w:val="auto"/>
          <w:sz w:val="28"/>
          <w:szCs w:val="28"/>
          <w:highlight w:val="none"/>
        </w:rPr>
        <w:t>投标报价以投标人在政府采购云平台开标一览表中填写的报价为准。</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keepNext/>
        <w:keepLines/>
        <w:numPr>
          <w:ilvl w:val="2"/>
          <w:numId w:val="28"/>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分项报价明细表</w:t>
      </w:r>
    </w:p>
    <w:p>
      <w:pPr>
        <w:snapToGrid w:val="0"/>
        <w:spacing w:line="440" w:lineRule="exact"/>
        <w:ind w:right="-624" w:rightChars="-297"/>
        <w:rPr>
          <w:rFonts w:ascii="宋体" w:hAnsi="宋体"/>
          <w:b/>
          <w:color w:val="auto"/>
          <w:sz w:val="28"/>
          <w:highlight w:val="none"/>
        </w:rPr>
      </w:pPr>
      <w:r>
        <w:rPr>
          <w:rFonts w:hint="eastAsia" w:ascii="宋体" w:hAnsi="宋体"/>
          <w:b/>
          <w:color w:val="auto"/>
          <w:sz w:val="28"/>
          <w:highlight w:val="none"/>
        </w:rPr>
        <w:t>项目名称：</w:t>
      </w:r>
      <w:r>
        <w:rPr>
          <w:rFonts w:hint="eastAsia" w:ascii="宋体" w:hAnsi="宋体"/>
          <w:b/>
          <w:color w:val="auto"/>
          <w:sz w:val="28"/>
          <w:szCs w:val="28"/>
          <w:highlight w:val="none"/>
          <w:u w:val="single"/>
          <w:lang w:eastAsia="zh-CN"/>
        </w:rPr>
        <w:t>成都市锦江区综合行政执法局2022—2024年锦江区环卫保洁、环卫公厕、绿化和河道管护一体化服务项目</w:t>
      </w:r>
    </w:p>
    <w:p>
      <w:pPr>
        <w:tabs>
          <w:tab w:val="left" w:pos="7560"/>
        </w:tabs>
        <w:spacing w:after="180" w:line="440" w:lineRule="exact"/>
        <w:rPr>
          <w:rFonts w:hint="eastAsia" w:ascii="宋体" w:hAnsi="宋体"/>
          <w:b/>
          <w:color w:val="auto"/>
          <w:sz w:val="28"/>
          <w:szCs w:val="20"/>
          <w:highlight w:val="none"/>
          <w:lang w:eastAsia="zh-CN"/>
        </w:rPr>
      </w:pPr>
      <w:r>
        <w:rPr>
          <w:rFonts w:hint="eastAsia" w:ascii="宋体" w:hAnsi="宋体"/>
          <w:b/>
          <w:color w:val="auto"/>
          <w:sz w:val="28"/>
          <w:szCs w:val="20"/>
          <w:highlight w:val="none"/>
          <w:lang w:eastAsia="zh-CN"/>
        </w:rPr>
        <w:t>項目</w:t>
      </w:r>
      <w:r>
        <w:rPr>
          <w:rFonts w:hint="eastAsia" w:ascii="宋体" w:hAnsi="宋体"/>
          <w:b/>
          <w:color w:val="auto"/>
          <w:sz w:val="28"/>
          <w:szCs w:val="28"/>
          <w:highlight w:val="none"/>
        </w:rPr>
        <w:t>编号</w:t>
      </w:r>
      <w:r>
        <w:rPr>
          <w:rFonts w:hint="eastAsia" w:ascii="宋体" w:hAnsi="宋体"/>
          <w:b/>
          <w:color w:val="auto"/>
          <w:sz w:val="28"/>
          <w:szCs w:val="28"/>
          <w:highlight w:val="none"/>
          <w:lang w:eastAsia="zh-CN"/>
        </w:rPr>
        <w:t>：</w:t>
      </w:r>
      <w:r>
        <w:rPr>
          <w:rFonts w:hint="eastAsia" w:ascii="宋体" w:hAnsi="宋体"/>
          <w:b/>
          <w:color w:val="auto"/>
          <w:sz w:val="28"/>
          <w:szCs w:val="20"/>
          <w:highlight w:val="none"/>
          <w:lang w:eastAsia="zh-CN"/>
        </w:rPr>
        <w:t>锦江政采（2021）A0028</w:t>
      </w:r>
    </w:p>
    <w:p>
      <w:pPr>
        <w:tabs>
          <w:tab w:val="left" w:pos="7560"/>
        </w:tabs>
        <w:spacing w:after="180" w:line="440" w:lineRule="exact"/>
        <w:rPr>
          <w:rFonts w:hint="default" w:ascii="宋体" w:hAnsi="宋体" w:eastAsia="宋体"/>
          <w:b/>
          <w:color w:val="auto"/>
          <w:sz w:val="28"/>
          <w:szCs w:val="20"/>
          <w:highlight w:val="none"/>
          <w:u w:val="single"/>
          <w:lang w:val="en-US" w:eastAsia="zh-CN"/>
        </w:rPr>
      </w:pPr>
      <w:r>
        <w:rPr>
          <w:rFonts w:hint="eastAsia" w:ascii="宋体" w:hAnsi="宋体"/>
          <w:b/>
          <w:color w:val="auto"/>
          <w:sz w:val="28"/>
          <w:szCs w:val="20"/>
          <w:highlight w:val="none"/>
          <w:lang w:val="en-US" w:eastAsia="zh-CN"/>
        </w:rPr>
        <w:t>包件</w:t>
      </w:r>
      <w:r>
        <w:rPr>
          <w:rFonts w:hint="eastAsia" w:ascii="宋体" w:hAnsi="宋体"/>
          <w:b/>
          <w:color w:val="auto"/>
          <w:sz w:val="28"/>
          <w:szCs w:val="20"/>
          <w:highlight w:val="none"/>
          <w:u w:val="single"/>
          <w:lang w:val="en-US" w:eastAsia="zh-CN"/>
        </w:rPr>
        <w:t>X</w:t>
      </w:r>
      <w:r>
        <w:rPr>
          <w:rFonts w:hint="eastAsia" w:ascii="宋体" w:hAnsi="宋体"/>
          <w:b/>
          <w:color w:val="auto"/>
          <w:sz w:val="28"/>
          <w:szCs w:val="20"/>
          <w:highlight w:val="none"/>
          <w:u w:val="none"/>
          <w:lang w:val="en-US" w:eastAsia="zh-CN"/>
        </w:rPr>
        <w:t>总报价：</w:t>
      </w:r>
      <w:r>
        <w:rPr>
          <w:rFonts w:hint="eastAsia" w:ascii="宋体" w:hAnsi="宋体"/>
          <w:b/>
          <w:color w:val="auto"/>
          <w:sz w:val="28"/>
          <w:szCs w:val="20"/>
          <w:highlight w:val="none"/>
          <w:u w:val="single"/>
          <w:lang w:val="en-US" w:eastAsia="zh-CN"/>
        </w:rPr>
        <w:t xml:space="preserve">                 </w:t>
      </w:r>
    </w:p>
    <w:p>
      <w:pPr>
        <w:tabs>
          <w:tab w:val="left" w:pos="7560"/>
        </w:tabs>
        <w:spacing w:after="180" w:line="440" w:lineRule="exact"/>
        <w:rPr>
          <w:rFonts w:ascii="宋体" w:hAnsi="宋体"/>
          <w:b/>
          <w:color w:val="auto"/>
          <w:sz w:val="28"/>
          <w:szCs w:val="20"/>
          <w:highlight w:val="none"/>
          <w:u w:val="single"/>
        </w:rPr>
      </w:pPr>
      <w:r>
        <w:rPr>
          <w:rFonts w:hint="eastAsia" w:ascii="宋体" w:hAnsi="宋体"/>
          <w:b/>
          <w:color w:val="auto"/>
          <w:sz w:val="28"/>
          <w:szCs w:val="20"/>
          <w:highlight w:val="none"/>
        </w:rPr>
        <w:t>街道办事处：</w:t>
      </w:r>
      <w:r>
        <w:rPr>
          <w:rFonts w:hint="eastAsia" w:ascii="宋体" w:hAnsi="宋体"/>
          <w:b/>
          <w:color w:val="auto"/>
          <w:sz w:val="28"/>
          <w:szCs w:val="20"/>
          <w:highlight w:val="none"/>
          <w:u w:val="single"/>
        </w:rPr>
        <w:t xml:space="preserve">  XX街道办事处</w:t>
      </w:r>
      <w:r>
        <w:rPr>
          <w:rFonts w:hint="eastAsia" w:ascii="宋体" w:hAnsi="宋体"/>
          <w:b/>
          <w:color w:val="auto"/>
          <w:sz w:val="28"/>
          <w:szCs w:val="20"/>
          <w:highlight w:val="none"/>
          <w:u w:val="single"/>
          <w:lang w:val="en-US" w:eastAsia="zh-CN"/>
        </w:rPr>
        <w:t>1</w:t>
      </w:r>
      <w:r>
        <w:rPr>
          <w:rFonts w:hint="eastAsia" w:ascii="宋体" w:hAnsi="宋体"/>
          <w:b/>
          <w:color w:val="auto"/>
          <w:sz w:val="28"/>
          <w:szCs w:val="20"/>
          <w:highlight w:val="none"/>
          <w:u w:val="single"/>
        </w:rPr>
        <w:t xml:space="preserve">        </w:t>
      </w:r>
    </w:p>
    <w:tbl>
      <w:tblPr>
        <w:tblStyle w:val="59"/>
        <w:tblW w:w="8733" w:type="dxa"/>
        <w:tblInd w:w="93" w:type="dxa"/>
        <w:tblLayout w:type="fixed"/>
        <w:tblCellMar>
          <w:top w:w="0" w:type="dxa"/>
          <w:left w:w="108" w:type="dxa"/>
          <w:bottom w:w="0" w:type="dxa"/>
          <w:right w:w="108" w:type="dxa"/>
        </w:tblCellMar>
      </w:tblPr>
      <w:tblGrid>
        <w:gridCol w:w="2135"/>
        <w:gridCol w:w="2986"/>
        <w:gridCol w:w="1372"/>
        <w:gridCol w:w="1322"/>
        <w:gridCol w:w="918"/>
      </w:tblGrid>
      <w:tr>
        <w:tblPrEx>
          <w:tblLayout w:type="fixed"/>
          <w:tblCellMar>
            <w:top w:w="0" w:type="dxa"/>
            <w:left w:w="108" w:type="dxa"/>
            <w:bottom w:w="0" w:type="dxa"/>
            <w:right w:w="108" w:type="dxa"/>
          </w:tblCellMar>
        </w:tblPrEx>
        <w:trPr>
          <w:trHeight w:val="270" w:hRule="atLeast"/>
        </w:trPr>
        <w:tc>
          <w:tcPr>
            <w:tcW w:w="5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种类</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数量</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单价</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金额</w:t>
            </w:r>
          </w:p>
        </w:tc>
      </w:tr>
      <w:tr>
        <w:tblPrEx>
          <w:tblLayout w:type="fixed"/>
          <w:tblCellMar>
            <w:top w:w="0" w:type="dxa"/>
            <w:left w:w="108" w:type="dxa"/>
            <w:bottom w:w="0" w:type="dxa"/>
            <w:right w:w="108" w:type="dxa"/>
          </w:tblCellMar>
        </w:tblPrEx>
        <w:trPr>
          <w:trHeight w:val="90" w:hRule="atLeast"/>
        </w:trPr>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环卫保洁</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cs="宋体" w:asciiTheme="majorEastAsia" w:hAnsiTheme="majorEastAsia" w:eastAsiaTheme="majorEastAsia"/>
                <w:color w:val="auto"/>
                <w:sz w:val="24"/>
                <w:szCs w:val="24"/>
                <w:highlight w:val="none"/>
                <w:lang w:eastAsia="zh-CN"/>
              </w:rPr>
            </w:pPr>
            <w:r>
              <w:rPr>
                <w:rFonts w:hint="eastAsia" w:cs="宋体" w:asciiTheme="majorEastAsia" w:hAnsiTheme="majorEastAsia" w:eastAsiaTheme="majorEastAsia"/>
                <w:color w:val="auto"/>
                <w:sz w:val="24"/>
                <w:szCs w:val="24"/>
                <w:highlight w:val="none"/>
                <w:lang w:eastAsia="zh-CN"/>
              </w:rPr>
              <w:t>步行街道（若有）</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9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特级道路（含栏杆</w:t>
            </w:r>
            <w:r>
              <w:rPr>
                <w:rFonts w:hint="eastAsia" w:cs="宋体" w:asciiTheme="majorEastAsia" w:hAnsiTheme="majorEastAsia" w:eastAsiaTheme="majorEastAsia"/>
                <w:color w:val="auto"/>
                <w:kern w:val="0"/>
                <w:sz w:val="24"/>
                <w:szCs w:val="24"/>
                <w:highlight w:val="none"/>
                <w:lang w:eastAsia="zh-CN" w:bidi="ar"/>
              </w:rPr>
              <w:t>保洁</w:t>
            </w:r>
            <w:r>
              <w:rPr>
                <w:rFonts w:hint="eastAsia" w:cs="宋体" w:asciiTheme="majorEastAsia" w:hAnsiTheme="majorEastAsia" w:eastAsiaTheme="majorEastAsia"/>
                <w:color w:val="auto"/>
                <w:kern w:val="0"/>
                <w:sz w:val="24"/>
                <w:szCs w:val="24"/>
                <w:highlight w:val="none"/>
                <w:lang w:bidi="ar"/>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一级道路（含栏杆</w:t>
            </w:r>
            <w:r>
              <w:rPr>
                <w:rFonts w:hint="eastAsia" w:cs="宋体" w:asciiTheme="majorEastAsia" w:hAnsiTheme="majorEastAsia" w:eastAsiaTheme="majorEastAsia"/>
                <w:color w:val="auto"/>
                <w:kern w:val="0"/>
                <w:sz w:val="24"/>
                <w:szCs w:val="24"/>
                <w:highlight w:val="none"/>
                <w:lang w:eastAsia="zh-CN" w:bidi="ar"/>
              </w:rPr>
              <w:t>保洁</w:t>
            </w:r>
            <w:r>
              <w:rPr>
                <w:rFonts w:hint="eastAsia" w:cs="宋体" w:asciiTheme="majorEastAsia" w:hAnsiTheme="majorEastAsia" w:eastAsiaTheme="majorEastAsia"/>
                <w:color w:val="auto"/>
                <w:kern w:val="0"/>
                <w:sz w:val="24"/>
                <w:szCs w:val="24"/>
                <w:highlight w:val="none"/>
                <w:lang w:bidi="ar"/>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二级道路（含栏杆</w:t>
            </w:r>
            <w:r>
              <w:rPr>
                <w:rFonts w:hint="eastAsia" w:cs="宋体" w:asciiTheme="majorEastAsia" w:hAnsiTheme="majorEastAsia" w:eastAsiaTheme="majorEastAsia"/>
                <w:color w:val="auto"/>
                <w:kern w:val="0"/>
                <w:sz w:val="24"/>
                <w:szCs w:val="24"/>
                <w:highlight w:val="none"/>
                <w:lang w:eastAsia="zh-CN" w:bidi="ar"/>
              </w:rPr>
              <w:t>保洁</w:t>
            </w:r>
            <w:r>
              <w:rPr>
                <w:rFonts w:hint="eastAsia" w:cs="宋体" w:asciiTheme="majorEastAsia" w:hAnsiTheme="majorEastAsia" w:eastAsiaTheme="majorEastAsia"/>
                <w:color w:val="auto"/>
                <w:kern w:val="0"/>
                <w:sz w:val="24"/>
                <w:szCs w:val="24"/>
                <w:highlight w:val="none"/>
                <w:lang w:bidi="ar"/>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cs="宋体" w:asciiTheme="majorEastAsia" w:hAnsiTheme="majorEastAsia" w:eastAsiaTheme="majorEastAsia"/>
                <w:color w:val="auto"/>
                <w:kern w:val="0"/>
                <w:sz w:val="24"/>
                <w:szCs w:val="24"/>
                <w:highlight w:val="none"/>
                <w:lang w:eastAsia="zh-CN" w:bidi="ar"/>
              </w:rPr>
            </w:pPr>
            <w:r>
              <w:rPr>
                <w:rFonts w:hint="eastAsia" w:cs="宋体" w:asciiTheme="majorEastAsia" w:hAnsiTheme="majorEastAsia" w:eastAsiaTheme="majorEastAsia"/>
                <w:color w:val="auto"/>
                <w:kern w:val="0"/>
                <w:sz w:val="24"/>
                <w:szCs w:val="24"/>
                <w:highlight w:val="none"/>
                <w:lang w:bidi="ar"/>
              </w:rPr>
              <w:t>三级道路（含栏杆</w:t>
            </w:r>
            <w:r>
              <w:rPr>
                <w:rFonts w:hint="eastAsia" w:cs="宋体" w:asciiTheme="majorEastAsia" w:hAnsiTheme="majorEastAsia" w:eastAsiaTheme="majorEastAsia"/>
                <w:color w:val="auto"/>
                <w:kern w:val="0"/>
                <w:sz w:val="24"/>
                <w:szCs w:val="24"/>
                <w:highlight w:val="none"/>
                <w:lang w:eastAsia="zh-CN" w:bidi="ar"/>
              </w:rPr>
              <w:t>保洁</w:t>
            </w:r>
            <w:r>
              <w:rPr>
                <w:rFonts w:hint="eastAsia" w:cs="宋体" w:asciiTheme="majorEastAsia" w:hAnsiTheme="majorEastAsia" w:eastAsiaTheme="majorEastAsia"/>
                <w:color w:val="auto"/>
                <w:kern w:val="0"/>
                <w:sz w:val="24"/>
                <w:szCs w:val="24"/>
                <w:highlight w:val="none"/>
                <w:lang w:bidi="ar"/>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其他垃圾</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厨余垃圾</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市管绿化</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小计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环卫公厕</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定时开放公厕</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24小时开放公厕</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小计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绿化管护</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绿地</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广场游园</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地栽花</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小计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河道管护（若有）</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小计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合计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bl>
    <w:p>
      <w:pPr>
        <w:pStyle w:val="2"/>
        <w:rPr>
          <w:color w:val="auto"/>
          <w:highlight w:val="none"/>
        </w:rPr>
      </w:pPr>
    </w:p>
    <w:p>
      <w:pPr>
        <w:tabs>
          <w:tab w:val="left" w:pos="7560"/>
        </w:tabs>
        <w:spacing w:after="180" w:line="440" w:lineRule="exact"/>
        <w:rPr>
          <w:rFonts w:ascii="宋体" w:hAnsi="宋体"/>
          <w:b/>
          <w:color w:val="auto"/>
          <w:sz w:val="28"/>
          <w:szCs w:val="20"/>
          <w:highlight w:val="none"/>
          <w:u w:val="single"/>
        </w:rPr>
      </w:pPr>
      <w:r>
        <w:rPr>
          <w:rFonts w:hint="eastAsia" w:ascii="宋体" w:hAnsi="宋体"/>
          <w:b/>
          <w:color w:val="auto"/>
          <w:sz w:val="28"/>
          <w:szCs w:val="20"/>
          <w:highlight w:val="none"/>
        </w:rPr>
        <w:t>街道办事处：</w:t>
      </w:r>
      <w:r>
        <w:rPr>
          <w:rFonts w:hint="eastAsia" w:ascii="宋体" w:hAnsi="宋体"/>
          <w:b/>
          <w:color w:val="auto"/>
          <w:sz w:val="28"/>
          <w:szCs w:val="20"/>
          <w:highlight w:val="none"/>
          <w:u w:val="single"/>
        </w:rPr>
        <w:t xml:space="preserve">  XX街道办事处</w:t>
      </w:r>
      <w:r>
        <w:rPr>
          <w:rFonts w:hint="eastAsia" w:ascii="宋体" w:hAnsi="宋体"/>
          <w:b/>
          <w:color w:val="auto"/>
          <w:sz w:val="28"/>
          <w:szCs w:val="20"/>
          <w:highlight w:val="none"/>
          <w:u w:val="single"/>
          <w:lang w:val="en-US" w:eastAsia="zh-CN"/>
        </w:rPr>
        <w:t>2</w:t>
      </w:r>
      <w:r>
        <w:rPr>
          <w:rFonts w:hint="eastAsia" w:ascii="宋体" w:hAnsi="宋体"/>
          <w:b/>
          <w:color w:val="auto"/>
          <w:sz w:val="28"/>
          <w:szCs w:val="20"/>
          <w:highlight w:val="none"/>
          <w:u w:val="single"/>
        </w:rPr>
        <w:t xml:space="preserve">        </w:t>
      </w:r>
    </w:p>
    <w:p>
      <w:pPr>
        <w:pStyle w:val="2"/>
        <w:rPr>
          <w:color w:val="auto"/>
          <w:highlight w:val="none"/>
        </w:rPr>
      </w:pPr>
    </w:p>
    <w:tbl>
      <w:tblPr>
        <w:tblStyle w:val="59"/>
        <w:tblW w:w="8733" w:type="dxa"/>
        <w:tblInd w:w="93" w:type="dxa"/>
        <w:tblLayout w:type="fixed"/>
        <w:tblCellMar>
          <w:top w:w="0" w:type="dxa"/>
          <w:left w:w="108" w:type="dxa"/>
          <w:bottom w:w="0" w:type="dxa"/>
          <w:right w:w="108" w:type="dxa"/>
        </w:tblCellMar>
      </w:tblPr>
      <w:tblGrid>
        <w:gridCol w:w="2135"/>
        <w:gridCol w:w="2986"/>
        <w:gridCol w:w="1372"/>
        <w:gridCol w:w="1322"/>
        <w:gridCol w:w="918"/>
      </w:tblGrid>
      <w:tr>
        <w:tblPrEx>
          <w:tblLayout w:type="fixed"/>
          <w:tblCellMar>
            <w:top w:w="0" w:type="dxa"/>
            <w:left w:w="108" w:type="dxa"/>
            <w:bottom w:w="0" w:type="dxa"/>
            <w:right w:w="108" w:type="dxa"/>
          </w:tblCellMar>
        </w:tblPrEx>
        <w:trPr>
          <w:trHeight w:val="270" w:hRule="atLeast"/>
        </w:trPr>
        <w:tc>
          <w:tcPr>
            <w:tcW w:w="5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种类</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数量</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单价</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金额</w:t>
            </w:r>
          </w:p>
        </w:tc>
      </w:tr>
      <w:tr>
        <w:tblPrEx>
          <w:tblLayout w:type="fixed"/>
          <w:tblCellMar>
            <w:top w:w="0" w:type="dxa"/>
            <w:left w:w="108" w:type="dxa"/>
            <w:bottom w:w="0" w:type="dxa"/>
            <w:right w:w="108" w:type="dxa"/>
          </w:tblCellMar>
        </w:tblPrEx>
        <w:trPr>
          <w:trHeight w:val="270" w:hRule="atLeast"/>
        </w:trPr>
        <w:tc>
          <w:tcPr>
            <w:tcW w:w="213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环卫保洁</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cs="宋体" w:asciiTheme="majorEastAsia" w:hAnsiTheme="majorEastAsia" w:eastAsiaTheme="majorEastAsia"/>
                <w:color w:val="auto"/>
                <w:kern w:val="0"/>
                <w:sz w:val="24"/>
                <w:szCs w:val="24"/>
                <w:highlight w:val="none"/>
                <w:lang w:eastAsia="zh-CN" w:bidi="ar"/>
              </w:rPr>
            </w:pPr>
            <w:r>
              <w:rPr>
                <w:rFonts w:hint="eastAsia" w:cs="宋体" w:asciiTheme="majorEastAsia" w:hAnsiTheme="majorEastAsia" w:eastAsiaTheme="majorEastAsia"/>
                <w:color w:val="auto"/>
                <w:kern w:val="0"/>
                <w:sz w:val="24"/>
                <w:szCs w:val="24"/>
                <w:highlight w:val="none"/>
                <w:lang w:eastAsia="zh-CN" w:bidi="ar"/>
              </w:rPr>
              <w:t>步行街道（若有）</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left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cs="宋体" w:asciiTheme="majorEastAsia" w:hAnsiTheme="majorEastAsia" w:eastAsiaTheme="majorEastAsia"/>
                <w:color w:val="auto"/>
                <w:sz w:val="24"/>
                <w:szCs w:val="24"/>
                <w:highlight w:val="none"/>
                <w:lang w:eastAsia="zh-CN"/>
              </w:rPr>
            </w:pPr>
            <w:r>
              <w:rPr>
                <w:rFonts w:hint="eastAsia" w:cs="宋体" w:asciiTheme="majorEastAsia" w:hAnsiTheme="majorEastAsia" w:eastAsiaTheme="majorEastAsia"/>
                <w:color w:val="auto"/>
                <w:kern w:val="0"/>
                <w:sz w:val="24"/>
                <w:szCs w:val="24"/>
                <w:highlight w:val="none"/>
                <w:lang w:bidi="ar"/>
              </w:rPr>
              <w:t>特级道路</w:t>
            </w:r>
            <w:r>
              <w:rPr>
                <w:rFonts w:hint="eastAsia" w:cs="宋体" w:asciiTheme="majorEastAsia" w:hAnsiTheme="majorEastAsia" w:eastAsiaTheme="majorEastAsia"/>
                <w:color w:val="auto"/>
                <w:kern w:val="0"/>
                <w:sz w:val="24"/>
                <w:szCs w:val="24"/>
                <w:highlight w:val="none"/>
                <w:lang w:eastAsia="zh-CN" w:bidi="ar"/>
              </w:rPr>
              <w:t>（含栏杆保洁）</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left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cs="宋体" w:asciiTheme="majorEastAsia" w:hAnsiTheme="majorEastAsia" w:eastAsiaTheme="majorEastAsia"/>
                <w:color w:val="auto"/>
                <w:sz w:val="24"/>
                <w:szCs w:val="24"/>
                <w:highlight w:val="none"/>
                <w:lang w:eastAsia="zh-CN"/>
              </w:rPr>
            </w:pPr>
            <w:r>
              <w:rPr>
                <w:rFonts w:hint="eastAsia" w:cs="宋体" w:asciiTheme="majorEastAsia" w:hAnsiTheme="majorEastAsia" w:eastAsiaTheme="majorEastAsia"/>
                <w:color w:val="auto"/>
                <w:kern w:val="0"/>
                <w:sz w:val="24"/>
                <w:szCs w:val="24"/>
                <w:highlight w:val="none"/>
                <w:lang w:bidi="ar"/>
              </w:rPr>
              <w:t>一级道路</w:t>
            </w:r>
            <w:r>
              <w:rPr>
                <w:rFonts w:hint="eastAsia" w:cs="宋体" w:asciiTheme="majorEastAsia" w:hAnsiTheme="majorEastAsia" w:eastAsiaTheme="majorEastAsia"/>
                <w:color w:val="auto"/>
                <w:kern w:val="0"/>
                <w:sz w:val="24"/>
                <w:szCs w:val="24"/>
                <w:highlight w:val="none"/>
                <w:lang w:eastAsia="zh-CN" w:bidi="ar"/>
              </w:rPr>
              <w:t>（含栏杆保洁）</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left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cs="宋体" w:asciiTheme="majorEastAsia" w:hAnsiTheme="majorEastAsia" w:eastAsiaTheme="majorEastAsia"/>
                <w:color w:val="auto"/>
                <w:sz w:val="24"/>
                <w:szCs w:val="24"/>
                <w:highlight w:val="none"/>
                <w:lang w:eastAsia="zh-CN"/>
              </w:rPr>
            </w:pPr>
            <w:r>
              <w:rPr>
                <w:rFonts w:hint="eastAsia" w:cs="宋体" w:asciiTheme="majorEastAsia" w:hAnsiTheme="majorEastAsia" w:eastAsiaTheme="majorEastAsia"/>
                <w:color w:val="auto"/>
                <w:kern w:val="0"/>
                <w:sz w:val="24"/>
                <w:szCs w:val="24"/>
                <w:highlight w:val="none"/>
                <w:lang w:bidi="ar"/>
              </w:rPr>
              <w:t>二级道路</w:t>
            </w:r>
            <w:r>
              <w:rPr>
                <w:rFonts w:hint="eastAsia" w:cs="宋体" w:asciiTheme="majorEastAsia" w:hAnsiTheme="majorEastAsia" w:eastAsiaTheme="majorEastAsia"/>
                <w:color w:val="auto"/>
                <w:kern w:val="0"/>
                <w:sz w:val="24"/>
                <w:szCs w:val="24"/>
                <w:highlight w:val="none"/>
                <w:lang w:eastAsia="zh-CN" w:bidi="ar"/>
              </w:rPr>
              <w:t>（含栏杆保洁）</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left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cs="宋体" w:asciiTheme="majorEastAsia" w:hAnsiTheme="majorEastAsia" w:eastAsiaTheme="majorEastAsia"/>
                <w:color w:val="auto"/>
                <w:sz w:val="24"/>
                <w:szCs w:val="24"/>
                <w:highlight w:val="none"/>
                <w:lang w:eastAsia="zh-CN"/>
              </w:rPr>
            </w:pPr>
            <w:r>
              <w:rPr>
                <w:rFonts w:hint="eastAsia" w:cs="宋体" w:asciiTheme="majorEastAsia" w:hAnsiTheme="majorEastAsia" w:eastAsiaTheme="majorEastAsia"/>
                <w:color w:val="auto"/>
                <w:kern w:val="0"/>
                <w:sz w:val="24"/>
                <w:szCs w:val="24"/>
                <w:highlight w:val="none"/>
                <w:lang w:bidi="ar"/>
              </w:rPr>
              <w:t>三级道路</w:t>
            </w:r>
            <w:r>
              <w:rPr>
                <w:rFonts w:hint="eastAsia" w:cs="宋体" w:asciiTheme="majorEastAsia" w:hAnsiTheme="majorEastAsia" w:eastAsiaTheme="majorEastAsia"/>
                <w:color w:val="auto"/>
                <w:kern w:val="0"/>
                <w:sz w:val="24"/>
                <w:szCs w:val="24"/>
                <w:highlight w:val="none"/>
                <w:lang w:eastAsia="zh-CN" w:bidi="ar"/>
              </w:rPr>
              <w:t>（含栏杆保洁）</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left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其他垃圾</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left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厨余垃圾</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市管绿化</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小计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环卫公厕</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定时开放公厕</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24小时开放公厕</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小计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绿化管护</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绿地</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广场游园</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asciiTheme="majorEastAsia" w:hAnsiTheme="majorEastAsia" w:eastAsiaTheme="majorEastAsia"/>
                <w:color w:val="auto"/>
                <w:sz w:val="24"/>
                <w:szCs w:val="24"/>
                <w:highlight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地栽花</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小计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河道管护（若有）</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小计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r>
        <w:tblPrEx>
          <w:tblLayout w:type="fixed"/>
          <w:tblCellMar>
            <w:top w:w="0" w:type="dxa"/>
            <w:left w:w="108" w:type="dxa"/>
            <w:bottom w:w="0" w:type="dxa"/>
            <w:right w:w="108" w:type="dxa"/>
          </w:tblCellMar>
        </w:tblPrEx>
        <w:trPr>
          <w:trHeight w:val="270" w:hRule="atLeast"/>
        </w:trPr>
        <w:tc>
          <w:tcPr>
            <w:tcW w:w="78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kern w:val="0"/>
                <w:sz w:val="24"/>
                <w:szCs w:val="24"/>
                <w:highlight w:val="none"/>
                <w:lang w:bidi="ar"/>
              </w:rPr>
              <w:t>合计</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cs="宋体" w:asciiTheme="majorEastAsia" w:hAnsiTheme="majorEastAsia" w:eastAsiaTheme="majorEastAsia"/>
                <w:color w:val="auto"/>
                <w:sz w:val="24"/>
                <w:szCs w:val="24"/>
                <w:highlight w:val="none"/>
              </w:rPr>
            </w:pPr>
          </w:p>
        </w:tc>
      </w:tr>
    </w:tbl>
    <w:p>
      <w:pPr>
        <w:ind w:firstLine="700" w:firstLineChars="250"/>
        <w:rPr>
          <w:rFonts w:ascii="宋体" w:hAnsi="宋体"/>
          <w:color w:val="auto"/>
          <w:sz w:val="28"/>
          <w:highlight w:val="none"/>
          <w:lang w:val="zh-CN"/>
        </w:rPr>
      </w:pPr>
      <w:r>
        <w:rPr>
          <w:rFonts w:hint="eastAsia" w:ascii="宋体" w:hAnsi="宋体"/>
          <w:color w:val="auto"/>
          <w:sz w:val="28"/>
          <w:highlight w:val="none"/>
          <w:lang w:val="zh-CN"/>
        </w:rPr>
        <w:t>投标人名称：XXXX</w:t>
      </w:r>
    </w:p>
    <w:p>
      <w:pPr>
        <w:ind w:firstLine="700" w:firstLineChars="250"/>
        <w:rPr>
          <w:rFonts w:ascii="宋体" w:hAnsi="宋体"/>
          <w:bCs/>
          <w:color w:val="auto"/>
          <w:sz w:val="28"/>
          <w:szCs w:val="28"/>
          <w:highlight w:val="none"/>
        </w:rPr>
      </w:pPr>
      <w:r>
        <w:rPr>
          <w:rFonts w:hint="eastAsia" w:ascii="宋体" w:hAnsi="宋体"/>
          <w:color w:val="auto"/>
          <w:sz w:val="28"/>
          <w:highlight w:val="none"/>
        </w:rPr>
        <w:t>日期：</w:t>
      </w:r>
      <w:r>
        <w:rPr>
          <w:rFonts w:hint="eastAsia" w:ascii="宋体" w:hAnsi="宋体"/>
          <w:bCs/>
          <w:color w:val="auto"/>
          <w:sz w:val="28"/>
          <w:highlight w:val="none"/>
        </w:rPr>
        <w:t>20XX年XX月XX日</w:t>
      </w:r>
    </w:p>
    <w:p>
      <w:pPr>
        <w:pStyle w:val="17"/>
        <w:spacing w:after="0" w:line="240" w:lineRule="auto"/>
        <w:ind w:firstLine="0"/>
        <w:rPr>
          <w:rFonts w:ascii="宋体" w:hAnsi="宋体"/>
          <w:b/>
          <w:color w:val="auto"/>
          <w:sz w:val="28"/>
          <w:highlight w:val="none"/>
        </w:rPr>
      </w:pPr>
      <w:r>
        <w:rPr>
          <w:rFonts w:hint="eastAsia" w:ascii="宋体" w:hAnsi="宋体"/>
          <w:b/>
          <w:color w:val="auto"/>
          <w:sz w:val="28"/>
          <w:highlight w:val="none"/>
        </w:rPr>
        <w:t>说明：1.投标人应根据以上表格格式填写分项报价，报价合计应包括投标人完成本项目所需的一切费用</w:t>
      </w:r>
      <w:r>
        <w:rPr>
          <w:rFonts w:hint="eastAsia" w:ascii="宋体" w:hAnsi="宋体"/>
          <w:b/>
          <w:color w:val="auto"/>
          <w:sz w:val="28"/>
          <w:highlight w:val="none"/>
          <w:lang w:eastAsia="zh-CN"/>
        </w:rPr>
        <w:t>；</w:t>
      </w:r>
      <w:r>
        <w:rPr>
          <w:rFonts w:hint="eastAsia" w:ascii="宋体" w:hAnsi="宋体"/>
          <w:b/>
          <w:color w:val="auto"/>
          <w:sz w:val="28"/>
          <w:highlight w:val="none"/>
        </w:rPr>
        <w:t>2.每个街道办事处应分别报价（</w:t>
      </w:r>
      <w:r>
        <w:rPr>
          <w:rFonts w:hint="eastAsia" w:ascii="宋体" w:hAnsi="宋体"/>
          <w:b/>
          <w:color w:val="auto"/>
          <w:sz w:val="28"/>
          <w:highlight w:val="none"/>
          <w:lang w:eastAsia="zh-CN"/>
        </w:rPr>
        <w:t>包件1</w:t>
      </w:r>
      <w:r>
        <w:rPr>
          <w:rFonts w:hint="eastAsia" w:ascii="宋体" w:hAnsi="宋体"/>
          <w:b/>
          <w:color w:val="auto"/>
          <w:sz w:val="28"/>
          <w:highlight w:val="none"/>
        </w:rPr>
        <w:t>除外），且报价不超过该街道办事处的采购预算</w:t>
      </w:r>
      <w:r>
        <w:rPr>
          <w:rFonts w:hint="eastAsia" w:ascii="宋体" w:hAnsi="宋体"/>
          <w:b/>
          <w:color w:val="auto"/>
          <w:sz w:val="28"/>
          <w:highlight w:val="none"/>
          <w:lang w:eastAsia="zh-CN"/>
        </w:rPr>
        <w:t>；</w:t>
      </w:r>
      <w:r>
        <w:rPr>
          <w:rFonts w:hint="eastAsia" w:ascii="宋体" w:hAnsi="宋体"/>
          <w:b/>
          <w:color w:val="auto"/>
          <w:sz w:val="28"/>
          <w:highlight w:val="none"/>
          <w:lang w:val="en-US" w:eastAsia="zh-CN"/>
        </w:rPr>
        <w:t>3.包件1仅需填写</w:t>
      </w:r>
      <w:r>
        <w:rPr>
          <w:rFonts w:hint="eastAsia" w:ascii="宋体" w:hAnsi="宋体"/>
          <w:b/>
          <w:color w:val="auto"/>
          <w:sz w:val="28"/>
          <w:highlight w:val="none"/>
          <w:u w:val="single"/>
          <w:lang w:val="en-US" w:eastAsia="zh-CN"/>
        </w:rPr>
        <w:t>XX街道办事处1</w:t>
      </w:r>
      <w:r>
        <w:rPr>
          <w:rFonts w:hint="eastAsia" w:ascii="宋体" w:hAnsi="宋体"/>
          <w:b/>
          <w:color w:val="auto"/>
          <w:sz w:val="28"/>
          <w:highlight w:val="none"/>
          <w:lang w:val="en-US" w:eastAsia="zh-CN"/>
        </w:rPr>
        <w:t>；4.分项报价明细表包含但不限于以上内容。</w:t>
      </w:r>
    </w:p>
    <w:p>
      <w:pPr>
        <w:pStyle w:val="17"/>
        <w:spacing w:after="0" w:line="240" w:lineRule="auto"/>
        <w:ind w:firstLine="0"/>
        <w:rPr>
          <w:rFonts w:ascii="宋体" w:hAnsi="宋体"/>
          <w:b/>
          <w:color w:val="auto"/>
          <w:sz w:val="28"/>
          <w:highlight w:val="none"/>
        </w:rPr>
      </w:pPr>
    </w:p>
    <w:p>
      <w:pPr>
        <w:pStyle w:val="17"/>
        <w:spacing w:after="0" w:line="240" w:lineRule="auto"/>
        <w:ind w:firstLine="0"/>
        <w:rPr>
          <w:rFonts w:ascii="宋体" w:hAnsi="宋体"/>
          <w:b/>
          <w:color w:val="auto"/>
          <w:sz w:val="28"/>
          <w:highlight w:val="none"/>
        </w:rPr>
      </w:pPr>
    </w:p>
    <w:p>
      <w:pPr>
        <w:pStyle w:val="17"/>
        <w:spacing w:after="0" w:line="240" w:lineRule="auto"/>
        <w:ind w:firstLine="0"/>
        <w:rPr>
          <w:rFonts w:ascii="宋体" w:hAnsi="宋体"/>
          <w:b/>
          <w:color w:val="auto"/>
          <w:sz w:val="28"/>
          <w:highlight w:val="none"/>
        </w:rPr>
      </w:pPr>
    </w:p>
    <w:p>
      <w:pPr>
        <w:pStyle w:val="17"/>
        <w:spacing w:after="0" w:line="240" w:lineRule="auto"/>
        <w:ind w:firstLine="0"/>
        <w:rPr>
          <w:rFonts w:ascii="宋体" w:hAnsi="宋体"/>
          <w:b/>
          <w:color w:val="auto"/>
          <w:sz w:val="28"/>
          <w:highlight w:val="none"/>
        </w:rPr>
      </w:pPr>
    </w:p>
    <w:p>
      <w:pPr>
        <w:pStyle w:val="17"/>
        <w:spacing w:after="0" w:line="240" w:lineRule="auto"/>
        <w:ind w:firstLine="0"/>
        <w:rPr>
          <w:rFonts w:ascii="宋体" w:hAnsi="宋体"/>
          <w:b/>
          <w:color w:val="auto"/>
          <w:sz w:val="28"/>
          <w:highlight w:val="none"/>
        </w:rPr>
      </w:pPr>
    </w:p>
    <w:p>
      <w:pPr>
        <w:widowControl/>
        <w:jc w:val="left"/>
        <w:rPr>
          <w:rFonts w:ascii="宋体" w:hAnsi="宋体" w:eastAsiaTheme="minorEastAsia" w:cstheme="minorBidi"/>
          <w:b/>
          <w:color w:val="auto"/>
          <w:sz w:val="28"/>
          <w:highlight w:val="none"/>
        </w:rPr>
      </w:pPr>
      <w:r>
        <w:rPr>
          <w:rFonts w:ascii="宋体" w:hAnsi="宋体"/>
          <w:b/>
          <w:color w:val="auto"/>
          <w:sz w:val="28"/>
          <w:highlight w:val="none"/>
        </w:rPr>
        <w:br w:type="page"/>
      </w:r>
    </w:p>
    <w:bookmarkEnd w:id="133"/>
    <w:p>
      <w:pPr>
        <w:keepNext/>
        <w:keepLines/>
        <w:numPr>
          <w:ilvl w:val="0"/>
          <w:numId w:val="28"/>
        </w:numPr>
        <w:spacing w:line="360" w:lineRule="auto"/>
        <w:ind w:left="0" w:firstLine="0"/>
        <w:jc w:val="center"/>
        <w:outlineLvl w:val="0"/>
        <w:rPr>
          <w:rFonts w:ascii="宋体" w:hAnsi="宋体"/>
          <w:b/>
          <w:bCs/>
          <w:color w:val="auto"/>
          <w:spacing w:val="-20"/>
          <w:kern w:val="44"/>
          <w:sz w:val="32"/>
          <w:szCs w:val="32"/>
          <w:highlight w:val="none"/>
        </w:rPr>
      </w:pPr>
      <w:bookmarkStart w:id="135" w:name="_Toc18042"/>
      <w:bookmarkStart w:id="136" w:name="_Toc217446093"/>
      <w:bookmarkStart w:id="137" w:name="_Toc321382057"/>
      <w:bookmarkStart w:id="138" w:name="_Toc316292231"/>
      <w:r>
        <w:rPr>
          <w:rFonts w:hint="eastAsia" w:ascii="宋体" w:hAnsi="宋体"/>
          <w:b/>
          <w:bCs/>
          <w:color w:val="auto"/>
          <w:spacing w:val="-20"/>
          <w:kern w:val="44"/>
          <w:sz w:val="32"/>
          <w:szCs w:val="32"/>
          <w:highlight w:val="none"/>
        </w:rPr>
        <w:t>招标项目技术、服务、商务及其他要求</w:t>
      </w:r>
      <w:bookmarkEnd w:id="135"/>
      <w:bookmarkEnd w:id="136"/>
    </w:p>
    <w:p>
      <w:pPr>
        <w:rPr>
          <w:color w:val="auto"/>
          <w:highlight w:val="none"/>
        </w:rPr>
      </w:pPr>
      <w:bookmarkStart w:id="139" w:name="_Toc533672602"/>
      <w:bookmarkStart w:id="140" w:name="_Toc513796936"/>
      <w:bookmarkStart w:id="141" w:name="_Toc529173741"/>
    </w:p>
    <w:p>
      <w:pP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rPr>
        <w:t>包</w:t>
      </w:r>
      <w:r>
        <w:rPr>
          <w:rFonts w:hint="eastAsia" w:ascii="黑体" w:hAnsi="黑体" w:eastAsia="黑体" w:cs="黑体"/>
          <w:b/>
          <w:bCs/>
          <w:color w:val="auto"/>
          <w:sz w:val="36"/>
          <w:szCs w:val="36"/>
          <w:highlight w:val="none"/>
          <w:lang w:val="en-US" w:eastAsia="zh-CN"/>
        </w:rPr>
        <w:t>件</w:t>
      </w:r>
      <w:r>
        <w:rPr>
          <w:rFonts w:hint="eastAsia" w:ascii="黑体" w:hAnsi="黑体" w:eastAsia="黑体" w:cs="黑体"/>
          <w:b/>
          <w:bCs/>
          <w:color w:val="auto"/>
          <w:sz w:val="36"/>
          <w:szCs w:val="36"/>
          <w:highlight w:val="none"/>
        </w:rPr>
        <w:t>1：春熙路街道办事处</w:t>
      </w:r>
      <w:r>
        <w:rPr>
          <w:rFonts w:hint="eastAsia" w:ascii="黑体" w:hAnsi="黑体" w:eastAsia="黑体" w:cs="黑体"/>
          <w:b/>
          <w:bCs/>
          <w:color w:val="auto"/>
          <w:sz w:val="36"/>
          <w:szCs w:val="36"/>
          <w:highlight w:val="none"/>
          <w:lang w:val="zh-CN"/>
        </w:rPr>
        <w:t>管辖区域</w:t>
      </w:r>
    </w:p>
    <w:p>
      <w:pPr>
        <w:numPr>
          <w:ilvl w:val="0"/>
          <w:numId w:val="35"/>
        </w:numPr>
        <w:spacing w:before="312" w:beforeLines="100" w:after="312" w:afterLines="100"/>
        <w:rPr>
          <w:rFonts w:ascii="Times New Roman" w:hAnsi="Times New Roman"/>
          <w:b/>
          <w:color w:val="auto"/>
          <w:sz w:val="28"/>
          <w:szCs w:val="28"/>
          <w:highlight w:val="none"/>
        </w:rPr>
      </w:pPr>
      <w:bookmarkStart w:id="142" w:name="_Toc217446094"/>
      <w:r>
        <w:rPr>
          <w:rFonts w:hint="eastAsia" w:ascii="Times New Roman" w:hAnsi="Times New Roman"/>
          <w:b/>
          <w:color w:val="auto"/>
          <w:sz w:val="28"/>
          <w:szCs w:val="28"/>
          <w:highlight w:val="none"/>
        </w:rPr>
        <w:t>项目</w:t>
      </w:r>
      <w:bookmarkEnd w:id="142"/>
      <w:r>
        <w:rPr>
          <w:rFonts w:hint="eastAsia" w:ascii="Times New Roman" w:hAnsi="Times New Roman"/>
          <w:b/>
          <w:color w:val="auto"/>
          <w:sz w:val="28"/>
          <w:szCs w:val="28"/>
          <w:highlight w:val="none"/>
        </w:rPr>
        <w:t>概况</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（一）成都市锦江区综合行政执法局2022—2024年环卫保洁、环卫公厕、绿化和河道管护一体化服务项目</w:t>
      </w:r>
      <w:r>
        <w:rPr>
          <w:rFonts w:hint="eastAsia" w:ascii="宋体" w:hAnsi="宋体" w:cs="宋体"/>
          <w:bCs/>
          <w:color w:val="auto"/>
          <w:sz w:val="24"/>
          <w:szCs w:val="24"/>
          <w:highlight w:val="none"/>
        </w:rPr>
        <w:t>，招标工作由区综合执法局作为业主负责统一招标，街道办事处作为综合管理单位负责与中标供应商签订合同。区综合执法局和街道办事处共同履行日常监督责任。</w:t>
      </w:r>
    </w:p>
    <w:p>
      <w:pPr>
        <w:spacing w:after="120"/>
        <w:rPr>
          <w:rFonts w:ascii="Times New Roman" w:hAnsi="Times New Roman"/>
          <w:b/>
          <w:color w:val="auto"/>
          <w:sz w:val="28"/>
          <w:szCs w:val="28"/>
          <w:highlight w:val="none"/>
        </w:rPr>
      </w:pPr>
      <w:r>
        <w:rPr>
          <w:rFonts w:hint="eastAsia" w:ascii="Times New Roman" w:hAnsi="Times New Roman"/>
          <w:b/>
          <w:color w:val="auto"/>
          <w:sz w:val="28"/>
          <w:szCs w:val="28"/>
          <w:highlight w:val="none"/>
        </w:rPr>
        <w:t>二、作业规范、标准及内容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（一）</w:t>
      </w:r>
      <w:r>
        <w:rPr>
          <w:rFonts w:ascii="宋体" w:hAnsi="宋体" w:cs="宋体"/>
          <w:bCs/>
          <w:color w:val="auto"/>
          <w:sz w:val="24"/>
          <w:szCs w:val="24"/>
          <w:highlight w:val="none"/>
        </w:rPr>
        <w:t>作业规范。</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（1）环卫保洁：</w:t>
      </w:r>
      <w:r>
        <w:rPr>
          <w:rFonts w:hint="eastAsia" w:ascii="宋体" w:hAnsi="宋体" w:cs="宋体"/>
          <w:bCs/>
          <w:color w:val="auto"/>
          <w:sz w:val="24"/>
          <w:szCs w:val="24"/>
          <w:highlight w:val="none"/>
        </w:rPr>
        <w:t>按照成都市城市管理委员会</w:t>
      </w:r>
      <w:r>
        <w:rPr>
          <w:rFonts w:ascii="宋体" w:hAnsi="宋体" w:cs="宋体"/>
          <w:bCs/>
          <w:color w:val="auto"/>
          <w:sz w:val="24"/>
          <w:szCs w:val="24"/>
          <w:highlight w:val="none"/>
        </w:rPr>
        <w:t>《关于印发〈成都市环卫清扫保洁精细化监督管理办法〉的通知》（成城发〔2019〕48号）、《关于印发〈成都市环卫清扫保洁精细化作业规则〉的通知》（成城发〔2019〕47号）、</w:t>
      </w:r>
      <w:r>
        <w:rPr>
          <w:rFonts w:hint="eastAsia" w:ascii="宋体" w:hAnsi="宋体" w:cs="宋体"/>
          <w:bCs/>
          <w:color w:val="auto"/>
          <w:sz w:val="24"/>
          <w:szCs w:val="24"/>
          <w:highlight w:val="none"/>
        </w:rPr>
        <w:t>《关于印发&lt;关于统一规范成都市环卫作业机动车、小型机具自编号及外观、涂装工作实施方案&gt;&lt;成都市环卫作业机动车、小型车自编号及外观、涂装原则&gt;的通知》、《生活垃圾分类标准》（GB/T19095-2019）、《成都市锦江区环境卫生监督管理办法》（锦综执【2019】70号）</w:t>
      </w:r>
      <w:r>
        <w:rPr>
          <w:rFonts w:ascii="宋体" w:hAnsi="宋体" w:cs="宋体"/>
          <w:bCs/>
          <w:color w:val="auto"/>
          <w:sz w:val="24"/>
          <w:szCs w:val="24"/>
          <w:highlight w:val="none"/>
        </w:rPr>
        <w:t>要求作业；</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（2）环卫公厕管护：按照</w:t>
      </w:r>
      <w:r>
        <w:rPr>
          <w:rFonts w:hint="eastAsia" w:ascii="宋体" w:hAnsi="宋体" w:cs="宋体"/>
          <w:bCs/>
          <w:color w:val="auto"/>
          <w:sz w:val="24"/>
          <w:szCs w:val="24"/>
          <w:highlight w:val="none"/>
        </w:rPr>
        <w:t>《成都市环卫公厕管理规范》（成城函【2017】205号）</w:t>
      </w:r>
      <w:r>
        <w:rPr>
          <w:rFonts w:ascii="宋体" w:hAnsi="宋体" w:cs="宋体"/>
          <w:bCs/>
          <w:color w:val="auto"/>
          <w:sz w:val="24"/>
          <w:szCs w:val="24"/>
          <w:highlight w:val="none"/>
        </w:rPr>
        <w:t>、《锦江区环卫公厕管理规范（试行）》要求作业；</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（3）绿化管护：按照</w:t>
      </w:r>
      <w:r>
        <w:rPr>
          <w:rFonts w:hint="eastAsia" w:ascii="宋体" w:hAnsi="宋体" w:cs="宋体"/>
          <w:bCs/>
          <w:color w:val="auto"/>
          <w:sz w:val="24"/>
          <w:szCs w:val="24"/>
          <w:highlight w:val="none"/>
        </w:rPr>
        <w:t>《四川省城市园林绿化技术操作规程》DB51/50016-1998</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《成都市城市绿化养护技术规程》（DB510100/T 238-2017）、《成都市城市绿化养护质量等级划分》(DB510100/T 239-2017)</w:t>
      </w:r>
      <w:r>
        <w:rPr>
          <w:rFonts w:ascii="宋体" w:hAnsi="宋体" w:cs="宋体"/>
          <w:bCs/>
          <w:color w:val="auto"/>
          <w:sz w:val="24"/>
          <w:szCs w:val="24"/>
          <w:highlight w:val="none"/>
        </w:rPr>
        <w:t>、《成都市锦江区园林绿化管护标准》要求作业；</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（二）作业标准。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（1）环卫保洁：作业流程规范，保洁质量达到精细化管理标准，能实施机械化清扫作业的城市城区道路全部实施机械化清扫作业，机械化清扫率达到市、区规定标准。生活垃圾日产日清。</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环卫公厕管理应达到“四净三无二通一明”要求，即：地面净、墙壁净、厕位净、周边净，无溢流、无蚊蝇、无臭味，水通、电通，灯明。环卫公共厕所内采光、照明和通风良好，无异味，无蚊蝇。厕所内地面洁净，无积水，无烟头，无纸屑，无痰迹和其他杂物。墙面、天花板、门窗和隔断板洁净，无积灰，无污迹，无蛛网，无乱涂乱画，无破损；卫生洁具整洁，无积存物，无粪便痕迹，无积尿积水，管道畅通无堵塞。公厕标志牌、公示牌洁净，无积尘。</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每年对乔木进行大修一次，每年对现有地被、灌木更新率不低于20%；时令鲜花的更换次数每年不少于8次、花境的更换次数每年不少于4次、立体绿化根据植物品种适时更换；设施设备的检修、翻新、更换等，翻新、刷漆每年不得少于1次；所有垃圾（绿化垃圾、生活垃圾等）均做无害化处理。</w:t>
      </w:r>
    </w:p>
    <w:p>
      <w:pPr>
        <w:rPr>
          <w:rFonts w:ascii="Times New Roman" w:hAnsi="Times New Roman"/>
          <w:color w:val="auto"/>
          <w:szCs w:val="24"/>
          <w:highlight w:val="none"/>
        </w:rPr>
      </w:pPr>
      <w:r>
        <w:rPr>
          <w:rFonts w:hint="eastAsia" w:ascii="宋体" w:hAnsi="宋体" w:cs="宋体"/>
          <w:bCs/>
          <w:color w:val="auto"/>
          <w:sz w:val="24"/>
          <w:szCs w:val="24"/>
          <w:highlight w:val="none"/>
        </w:rPr>
        <w:t>（三）作业内容。</w:t>
      </w:r>
    </w:p>
    <w:p>
      <w:pPr>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1）环卫保洁。1．道路清扫保洁(含市政公用道路，涉农街道办事处村社道路)和市管绿化带的白色垃圾清理，清除道路上粪渣粪袋、狗粪、建渣等污染物。2．铁路控制线（单侧铁轨至坡脚8米，坡脚向外延伸12米，12米向外延伸2米界桩，共22米）以外属地管理区域的清扫保洁。3．清理雨水篦子下面的落叶及垃圾。4．道路冲洗降尘，定期冲洗道路（按规范标准）及路沿石、人行道方砖、公交站台、人行天桥和雨水篦子，清洗道路标识标线，道路污染突击保洁。5．生活垃圾分类收集和运输，其中其他垃圾运输至锦江区垃圾压缩站，厨余垃圾运输至市级餐厨垃圾处置厂，可回收物运输至再生资源回收站点，有害垃圾运输至区环卫清运中心暂存点。6．小区内（具体范围详见附表）及街面丢弃的大件垃圾清理。7．对果屑箱、垃圾桶等环卫设施接受管理及使用，并进行日常维修维护，保证功能使用。道路施工时果屑箱的收集保管、果屑箱箱体固定，果屑箱内箱的垃圾清掏和箱体的内、外清洗，每日垃圾袋更换和垃圾桶清洗，室外城市家具的保洁。8．环卫工人工作服装按适时标准要求配置和更新。9．垃圾桶、垃圾中转房、垃圾池、垃圾转运点和垃圾转运车等环卫设施和中转站（点）现场的日常管理、冲洗、维护。各类环卫车辆日常管理及维修，环卫车辆喷涂统一的外观、颜色和标志。10．非法张贴、书写的地面及2米以下立面各类广告及卡片的清除清理。11．道路护栏、隔离墩、隔离桩、桥梁中央分隔带、防撞墙内侧、人行道栏杆、人行天桥栏杆、声屏障内侧保洁。12.环卫工人休息室日常管理和维护。13．做好环卫作业安全生产工作，落实安全责任制和各项规章制度。14．各类检查、接待及突发事件，环卫作业的应急保障工作。15．在辖区主街干道、重要路段或出入城通道实施精品示范街道环卫作业。16．完成省、市、区等各级部门和街道交办的各项突击整治任务。17.按作业辖区落实疫情防控和消防工作。18.在中央商务区、特色街区开展智能扫地机器人等人工智能环卫作业试点示范。</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作业范围包括辖区内环卫公厕内地面、墙面、天花板、门窗、设施设备等，室外周边10米。内容包括环卫公厕保洁服务管理（环卫公厕整体提档升级除外所有维护内容）、周边或者附属绿化维护管护、环卫公厕维护管理、清掏公厕化粪池，水电费缴纳。</w:t>
      </w:r>
      <w:r>
        <w:rPr>
          <w:rFonts w:hint="eastAsia" w:ascii="宋体" w:hAnsi="宋体" w:cs="宋体"/>
          <w:bCs/>
          <w:color w:val="auto"/>
          <w:sz w:val="24"/>
          <w:szCs w:val="24"/>
          <w:highlight w:val="none"/>
          <w:lang w:eastAsia="zh-CN"/>
        </w:rPr>
        <w:t>按采购人统一的标准和材质要求购买、更换和安装环卫公厕相关标识、标牌、公示牌，提供环卫公厕厕纸、洗手液日常耗材等（环卫公厕厕纸以清风、心相印、维达等同类品质的，且符合国家相关标准的为标准。洗手液以蓝月亮、滴露、威露士等同类品质的，且符合国家相关标准的为标准），</w:t>
      </w:r>
      <w:r>
        <w:rPr>
          <w:rFonts w:hint="eastAsia" w:ascii="宋体" w:hAnsi="宋体" w:cs="宋体"/>
          <w:bCs/>
          <w:color w:val="auto"/>
          <w:sz w:val="24"/>
          <w:szCs w:val="24"/>
          <w:highlight w:val="none"/>
        </w:rPr>
        <w:t>新增或维修维护公厕内所有窗户纱窗。设施设备的维修保养。对易损耗材料、照明设施、防水、供水及排水设施、电力设施、护栏、便池、水龙头、马桶、脚踏器等设施设备的检修、翻新、</w:t>
      </w:r>
      <w:r>
        <w:rPr>
          <w:rFonts w:hint="eastAsia" w:ascii="宋体" w:hAnsi="宋体" w:cs="宋体"/>
          <w:bCs/>
          <w:color w:val="auto"/>
          <w:sz w:val="24"/>
          <w:szCs w:val="24"/>
          <w:highlight w:val="none"/>
          <w:lang w:eastAsia="zh-CN"/>
        </w:rPr>
        <w:t>更换（所需耗材质量标准均不能低于原有耗材标准），按照实际需求配备移动厕所，并负责运输和管理</w:t>
      </w:r>
      <w:r>
        <w:rPr>
          <w:rFonts w:hint="eastAsia" w:ascii="宋体" w:hAnsi="宋体" w:cs="宋体"/>
          <w:bCs/>
          <w:color w:val="auto"/>
          <w:sz w:val="24"/>
          <w:szCs w:val="24"/>
          <w:highlight w:val="none"/>
        </w:rPr>
        <w:t>。公共秩序及公共安全管理。积极配合相关部门检查、考察、参观；做好文明指数测评等相关工作，必要时按实际需要自行租赁移动公厕；按作业辖区落实疫情防控和消防工作；积极配合主管部门，完成临时交办的管护工作和其他任务等。</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区管绿地乔木、灌木、地被的养护（除草、修剪、浇水、施肥、防病虫害等）、复壮、更换、降尘；时令鲜花及花境、立体绿化管护，包括购置、种植、更换及管护等；清扫保洁服务：包括绿地、游步道、绿道、设施设备的清扫保洁，以及园林绿化垃圾的集中处理、收集转运等。设施设备的维修保养：对易损耗材料、灯杆、照明设施、供水及排水设施、电力设施健身设施、小品雕塑、花箱、廊架、坐凳、树池盖板、树木支撑、绿化护栏等设施设备的检修、翻新、更换等（所需耗材质量标准均不能低于原有耗材标准）。</w:t>
      </w:r>
      <w:r>
        <w:rPr>
          <w:rFonts w:hint="eastAsia" w:ascii="宋体" w:hAnsi="宋体" w:cs="宋体"/>
          <w:bCs/>
          <w:color w:val="auto"/>
          <w:sz w:val="24"/>
          <w:szCs w:val="24"/>
          <w:highlight w:val="none"/>
          <w:lang w:eastAsia="zh-CN"/>
        </w:rPr>
        <w:t>绿化作业安全生产管理，绿化垃圾分类运输并送至专业机构处理</w:t>
      </w:r>
      <w:r>
        <w:rPr>
          <w:rFonts w:hint="eastAsia" w:ascii="宋体" w:hAnsi="宋体" w:cs="宋体"/>
          <w:bCs/>
          <w:color w:val="auto"/>
          <w:sz w:val="24"/>
          <w:szCs w:val="24"/>
          <w:highlight w:val="none"/>
        </w:rPr>
        <w:t>。按作业辖区落实疫情防控和消防工作。</w:t>
      </w:r>
    </w:p>
    <w:p>
      <w:pPr>
        <w:autoSpaceDE w:val="0"/>
        <w:autoSpaceDN w:val="0"/>
        <w:adjustRightInd w:val="0"/>
        <w:ind w:firstLine="480" w:firstLineChars="200"/>
        <w:jc w:val="left"/>
        <w:rPr>
          <w:rFonts w:ascii="宋体" w:hAnsi="Times New Roman" w:cs="宋体"/>
          <w:color w:val="auto"/>
          <w:kern w:val="0"/>
          <w:sz w:val="24"/>
          <w:szCs w:val="24"/>
          <w:highlight w:val="none"/>
        </w:rPr>
      </w:pPr>
      <w:r>
        <w:rPr>
          <w:rFonts w:hint="eastAsia" w:ascii="宋体" w:hAnsi="Times New Roman" w:cs="宋体"/>
          <w:color w:val="auto"/>
          <w:kern w:val="0"/>
          <w:sz w:val="24"/>
          <w:szCs w:val="24"/>
          <w:highlight w:val="none"/>
        </w:rPr>
        <w:t>（4）共享单车规范停放。协助规范共享单车停放，并清除共享单车货架框内垃圾。</w:t>
      </w:r>
    </w:p>
    <w:p>
      <w:pPr>
        <w:spacing w:before="312" w:beforeLines="100" w:after="312" w:afterLines="100"/>
        <w:rPr>
          <w:rFonts w:ascii="Times New Roman" w:hAnsi="Times New Roman"/>
          <w:b/>
          <w:color w:val="auto"/>
          <w:sz w:val="28"/>
          <w:szCs w:val="28"/>
          <w:highlight w:val="none"/>
        </w:rPr>
      </w:pPr>
      <w:r>
        <w:rPr>
          <w:rFonts w:hint="eastAsia" w:ascii="Times New Roman" w:hAnsi="Times New Roman"/>
          <w:b/>
          <w:color w:val="auto"/>
          <w:sz w:val="28"/>
          <w:szCs w:val="28"/>
          <w:highlight w:val="none"/>
        </w:rPr>
        <w:t>三、作业范围及配备人员设备数量</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道路清扫保洁面积640081.33㎡</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其中步行街保洁面积51939.06</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特级道路保洁面积117875.6</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一级道路保洁面积427843.26</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二级道路保洁面积33183.57</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三级道路保洁面积9239.84</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rPr>
        <w:t>市管绿化保洁面积</w:t>
      </w:r>
      <w:r>
        <w:rPr>
          <w:rFonts w:ascii="宋体" w:hAnsi="宋体"/>
          <w:color w:val="auto"/>
          <w:sz w:val="24"/>
          <w:szCs w:val="24"/>
          <w:highlight w:val="none"/>
        </w:rPr>
        <w:t>41290.65㎡</w:t>
      </w:r>
      <w:r>
        <w:rPr>
          <w:rFonts w:hint="eastAsia" w:ascii="宋体" w:hAnsi="宋体"/>
          <w:color w:val="auto"/>
          <w:sz w:val="24"/>
          <w:szCs w:val="24"/>
          <w:highlight w:val="none"/>
        </w:rPr>
        <w:t>；其他垃圾日清运量</w:t>
      </w:r>
      <w:r>
        <w:rPr>
          <w:rFonts w:ascii="宋体" w:hAnsi="宋体"/>
          <w:color w:val="auto"/>
          <w:sz w:val="24"/>
          <w:szCs w:val="24"/>
          <w:highlight w:val="none"/>
        </w:rPr>
        <w:t>126.24</w:t>
      </w:r>
      <w:r>
        <w:rPr>
          <w:rFonts w:hint="eastAsia" w:ascii="宋体" w:hAnsi="宋体"/>
          <w:color w:val="auto"/>
          <w:sz w:val="24"/>
          <w:szCs w:val="24"/>
          <w:highlight w:val="none"/>
        </w:rPr>
        <w:t>吨；厨余垃圾日清运量</w:t>
      </w:r>
      <w:r>
        <w:rPr>
          <w:rFonts w:ascii="宋体" w:hAnsi="宋体"/>
          <w:color w:val="auto"/>
          <w:sz w:val="24"/>
          <w:szCs w:val="24"/>
          <w:highlight w:val="none"/>
        </w:rPr>
        <w:t>10.23</w:t>
      </w:r>
      <w:r>
        <w:rPr>
          <w:rFonts w:hint="eastAsia" w:ascii="宋体" w:hAnsi="宋体"/>
          <w:color w:val="auto"/>
          <w:sz w:val="24"/>
          <w:szCs w:val="24"/>
          <w:highlight w:val="none"/>
        </w:rPr>
        <w:t>吨</w:t>
      </w:r>
      <w:r>
        <w:rPr>
          <w:rFonts w:hint="eastAsia" w:ascii="宋体" w:hAnsi="宋体"/>
          <w:color w:val="auto"/>
          <w:sz w:val="24"/>
          <w:szCs w:val="24"/>
          <w:highlight w:val="none"/>
          <w:lang w:eastAsia="zh-CN"/>
        </w:rPr>
        <w:t>。</w:t>
      </w:r>
    </w:p>
    <w:p>
      <w:pPr>
        <w:pStyle w:val="2"/>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道路明细表</w:t>
      </w:r>
    </w:p>
    <w:tbl>
      <w:tblPr>
        <w:tblStyle w:val="59"/>
        <w:tblW w:w="8719" w:type="dxa"/>
        <w:tblInd w:w="96" w:type="dxa"/>
        <w:shd w:val="clear" w:color="auto" w:fill="auto"/>
        <w:tblLayout w:type="fixed"/>
        <w:tblCellMar>
          <w:top w:w="0" w:type="dxa"/>
          <w:left w:w="108" w:type="dxa"/>
          <w:bottom w:w="0" w:type="dxa"/>
          <w:right w:w="108" w:type="dxa"/>
        </w:tblCellMar>
      </w:tblPr>
      <w:tblGrid>
        <w:gridCol w:w="808"/>
        <w:gridCol w:w="1958"/>
        <w:gridCol w:w="4228"/>
        <w:gridCol w:w="1725"/>
      </w:tblGrid>
      <w:tr>
        <w:tblPrEx>
          <w:shd w:val="clear" w:color="auto" w:fill="auto"/>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序号</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道路名称</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起止街道</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道路类型</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横九龙巷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公厕门前——四季香餐馆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青年里</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群丽婚纱--佑曼妮</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交通路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新世界百货——快三秒</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暑袜南街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香港华伦天奴——南街口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青年路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治安亭-太平洋电影院口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青年路口-顺城街口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九龙侧门</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暑袜中街、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爱心金店--香港华伦天奴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三圣祠街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停车场-童装城</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荔枝巷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春熙路西段岗亭--北新接口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尚都侧门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署袜中街--尚都停车场</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三益宫</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北段口-新街后巷子</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13</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春熙路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大科甲巷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14</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小科甲巷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15</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正科甲巷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16</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联升巷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17</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城守街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18</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锦华馆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19</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春熙路北段</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20</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中山广场</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21</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春熙路西段</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22</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后巷子</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23</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春熙路南段</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尚都-锦贸大厦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无名巷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中新街-新街后巷子</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正兴堂</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中新街口-新街后巷子口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中新横街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联升巷-春熙路中段口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步行街</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督院街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红星路四段—走马街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走马街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督院街—东大街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人民南路二段</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红照壁街口—滨江路口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锦兴路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新光华街东口—红星路四段</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锦兴路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横丁字街----大塘坎街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锦兴路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横丁字街----大塘坎街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锦兴路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财富中心坝子及街沿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锦兴路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阳光365物管街沿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走马街街沿</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西南书城-海恒劳保厂</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总府路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北新街农业银行——地下商场口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天府广场东单行道</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摩尔百盛——中国电信钟楼</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人民东路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人民东路62号——人民商场南大门</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上东大街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西南书城——大业路口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蜀都大厦跨线</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爱心金店--蜀都大厦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署袜南街跨线</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署袜南街口--青石桥北街口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人民南路一段</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人民南路一段</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特级道路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上、中、下南大街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红照壁街口— 滨江西路</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城守东大街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走马街口—红星路口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红星路四段(街沿)</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打金街口—滨江中路口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滨江中路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锦江大桥—劳改局口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滨江西路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老南门大桥（人行道东侧）—人南二段（人行红绿灯处）</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滨江西路（靠河小路）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老南门大桥（人行道东侧）—人南二段（人行红绿灯处）</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大业路人行道</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红照壁</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人南一段—南大街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锦江大桥（另加坝子）</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滨江西路南侧红绿灯—锦江大桥南桥头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锦江大桥下面的辅路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老南门大桥（含坝子）</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南大街高架桥</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高架桥北口—高架桥下南门大桥止</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人南二段</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美美丽城、LV街沿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人南二段</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红照壁---锦江大桥</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滨江中路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新南门大桥--锦江大桥</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滨江西路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锦江大桥---南门大桥</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东大街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滨江西路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大连银行街沿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滨江西路、下南大街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 xml:space="preserve"> 工商银行街沿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滨江中路、西路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新南门大桥--南门大桥</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滨江中路、西路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新南门大桥--南门大桥</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滨江西路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锦江大桥---南门大桥</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金盾路路口</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南大街北侧路口—金盾路路牌</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大业路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染房街口——梨花街口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顺城大街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人民商场东大门——染房街东口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东御街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东御街西口——东御街东口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天桥</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1、顺城街过桥天桥</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2、人民东路过桥</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百货大楼人行道</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染房街口--东御街口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顺城大道、东御街地下商城通道口</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75</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红星路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红星路三段西侧街沿以西人行道区域</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76</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城守东大街与红星路三段人行道脱裙区域</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总府路（总府人行天桥）</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金骊大厦—成都同仁堂</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城守东大街北侧</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红星路南口—龙抄手</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上东大街北侧</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春熙路南口—南新街口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总府路（快车道）</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一级道路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学道街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古卧龙桥8号—学道街十字路口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古卧龙桥</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大业路—青石桥中街8号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青石桥南街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海鲜市场门口—向阳街路口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青石桥中街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向阳街路口—锦兴路口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向荣桥</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向荣桥16号—向荣桥市场门口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向阳街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大业路客管处口—青石桥中街口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指挥街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指挥街公厕标牌处—西丁字街口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烟袋巷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状元街十字路口—光华街十字口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学道街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学道街中电大厦—向荣桥路口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光华街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人民南路—大业路</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西丁字街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状元街十字路口—新开街路口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盐道街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盐道街3号附1号—盐道街建行口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南府街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新开街路口—横丁字街路口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东府街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横丁字街路口—东府街7号门口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新开街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锦兴路口—金竹大厦路口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原大塘坎街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地税大厦对面入口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新开街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包商银行坝子及街沿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青石桥中街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格莱美坝子及街沿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烟袋巷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烟袋巷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LV街沿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光华街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学道街街沿</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海恒劳保厂-学道街76号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古卧龙桥街沿</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中国农业银行-路牌下</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青石桥北街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上东大街口——中国农业银行</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宾隆街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宾隆街南口——宾隆街北口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下西顺城街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人民商场东大门——东华正街美克美</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梨花街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梨花街路牌下——玉泉大酒店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东华门街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东华门路牌——东华大厦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光华街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学道街社区-魏老五文具店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西沟头巷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路牌下-西沟头巷37号附1号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金开小巷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九龙停车场--署袜中街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北新街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北新街路牌-与总府交界处</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二级道路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新半边街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青石桥盐市口小学—向荣桥市场路口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老半边街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向荣桥市场路口—督院街西侧</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光大巷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向荣桥市场入口—热盆景北测</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公平巷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公平巷23号门口—公平巷公厕后</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西龙须巷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省政府大门对面—建行宿舍门口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东丁字街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新开街路口—横丁字街路口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119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横丁字街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横丁字街路口—南府街十字路口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120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纯化街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中南大街缺口—省人大后门</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中南大街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西昌成办入口—锦宾后门</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中莲池横街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川粮宾馆入口—自强路公厕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自强路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公厕生产组门口—罗莎蛋糕口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青石桥南街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弘邦物管坝子及街沿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西丁字街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川剧院街沿</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东华正街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东华正街西口-东华正街东口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新光华街人行道</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顺美服装-学道街文化墙</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产院东侧巷子</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新光华街11号1幢-办事处门口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南沟头巷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土耳其烤肉串-路牌下</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大有巷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大有巷东口--大有巷西口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131</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染房街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染房街东口--染房街西口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132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紫金宾馆小巷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九龙停车场--署袜中街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133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万紫小巷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九龙停车场--署袜中街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134</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横九龙支巷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垃圾中转点--九龙自行车广场</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31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135</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九龙停车场（自行车）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横九龙支巷--青年路</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136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九龙停车场（汽车）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名都大厦--垃圾中转点</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137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染房街支巷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染房街--美高美停车场</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138</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染房后街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染房街--梨花街</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139</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南新街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港澳购物城-南新街路牌</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140</w:t>
            </w:r>
          </w:p>
        </w:tc>
        <w:tc>
          <w:tcPr>
            <w:tcW w:w="195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中新街（三圣祠-喇叭口）</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春熙路西段-中新街交界路口</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141</w:t>
            </w:r>
          </w:p>
        </w:tc>
        <w:tc>
          <w:tcPr>
            <w:tcW w:w="195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春熙路西段-中新街交界路口两边</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r>
        <w:tblPrEx>
          <w:tblLayout w:type="fixed"/>
          <w:tblCellMar>
            <w:top w:w="0" w:type="dxa"/>
            <w:left w:w="108" w:type="dxa"/>
            <w:bottom w:w="0" w:type="dxa"/>
            <w:right w:w="108" w:type="dxa"/>
          </w:tblCellMar>
        </w:tblPrEx>
        <w:trPr>
          <w:trHeight w:val="2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142</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北三街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爱心金店--香港华伦天奴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方正仿宋简体" w:hAnsi="方正仿宋简体" w:eastAsia="方正仿宋简体" w:cs="方正仿宋简体"/>
                <w:i w:val="0"/>
                <w:color w:val="auto"/>
                <w:kern w:val="0"/>
                <w:sz w:val="20"/>
                <w:szCs w:val="20"/>
                <w:highlight w:val="none"/>
                <w:u w:val="none"/>
                <w:lang w:val="en-US" w:eastAsia="zh-CN" w:bidi="ar"/>
              </w:rPr>
              <w:t>三级道路</w:t>
            </w:r>
          </w:p>
        </w:tc>
      </w:tr>
    </w:tbl>
    <w:p>
      <w:pPr>
        <w:autoSpaceDE w:val="0"/>
        <w:autoSpaceDN w:val="0"/>
        <w:adjustRightInd w:val="0"/>
        <w:jc w:val="left"/>
        <w:rPr>
          <w:rFonts w:ascii="宋体" w:hAnsi="宋体" w:cs="宋体"/>
          <w:color w:val="auto"/>
          <w:kern w:val="0"/>
          <w:sz w:val="24"/>
          <w:szCs w:val="24"/>
          <w:highlight w:val="none"/>
        </w:rPr>
      </w:pPr>
    </w:p>
    <w:p>
      <w:pPr>
        <w:autoSpaceDE w:val="0"/>
        <w:autoSpaceDN w:val="0"/>
        <w:adjustRightInd w:val="0"/>
        <w:jc w:val="left"/>
        <w:rPr>
          <w:rFonts w:ascii="宋体" w:hAnsi="宋体" w:cs="宋体"/>
          <w:color w:val="auto"/>
          <w:kern w:val="0"/>
          <w:sz w:val="24"/>
          <w:szCs w:val="24"/>
          <w:highlight w:val="none"/>
        </w:rPr>
      </w:pPr>
    </w:p>
    <w:p>
      <w:pPr>
        <w:autoSpaceDE w:val="0"/>
        <w:autoSpaceDN w:val="0"/>
        <w:adjustRightInd w:val="0"/>
        <w:jc w:val="left"/>
        <w:rPr>
          <w:rFonts w:ascii="宋体" w:hAnsi="宋体" w:cs="宋体"/>
          <w:color w:val="auto"/>
          <w:kern w:val="0"/>
          <w:sz w:val="24"/>
          <w:szCs w:val="24"/>
          <w:highlight w:val="none"/>
        </w:rPr>
      </w:pPr>
    </w:p>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w:t>
      </w:r>
      <w:r>
        <w:rPr>
          <w:rFonts w:ascii="宋体" w:hAnsi="宋体"/>
          <w:color w:val="auto"/>
          <w:sz w:val="24"/>
          <w:szCs w:val="24"/>
          <w:highlight w:val="none"/>
        </w:rPr>
        <w:t>11</w:t>
      </w:r>
      <w:r>
        <w:rPr>
          <w:rFonts w:hint="eastAsia" w:ascii="宋体" w:hAnsi="宋体"/>
          <w:color w:val="auto"/>
          <w:sz w:val="24"/>
          <w:szCs w:val="24"/>
          <w:highlight w:val="none"/>
        </w:rPr>
        <w:t>座（滨江路社区公厕、青石桥市场二楼公厕、横丁字街公厕、省政府北侧公厕、滨江中路公厕、滨江一段、滨江二段、公平巷公厕、横九龙巷北口公厕、学道街公厕、群光大陆广场公厕）；定时开放公厕6座（自强路公厕、光大巷公厕、航天科技大厦公厕、暑袜北三街公厕、远东百货公厕、春熙广场公厕）。</w:t>
      </w:r>
    </w:p>
    <w:p>
      <w:pPr>
        <w:spacing w:line="360" w:lineRule="auto"/>
        <w:rPr>
          <w:color w:val="auto"/>
          <w:highlight w:val="none"/>
        </w:rPr>
      </w:pPr>
      <w:r>
        <w:rPr>
          <w:rFonts w:hint="eastAsia"/>
          <w:b/>
          <w:color w:val="auto"/>
          <w:sz w:val="28"/>
          <w:szCs w:val="28"/>
          <w:highlight w:val="none"/>
        </w:rPr>
        <w:t>（二）园林绿化</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8472㎡</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广场游园面积11141㎡</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地栽花面积3267㎡</w:t>
      </w:r>
      <w:r>
        <w:rPr>
          <w:rFonts w:hint="eastAsia" w:ascii="宋体" w:hAnsi="宋体"/>
          <w:color w:val="auto"/>
          <w:kern w:val="0"/>
          <w:sz w:val="24"/>
          <w:szCs w:val="24"/>
          <w:highlight w:val="none"/>
          <w:lang w:bidi="ar"/>
        </w:rPr>
        <w:t>。</w:t>
      </w:r>
    </w:p>
    <w:p>
      <w:pPr>
        <w:autoSpaceDE w:val="0"/>
        <w:autoSpaceDN w:val="0"/>
        <w:adjustRightInd w:val="0"/>
        <w:jc w:val="left"/>
        <w:rPr>
          <w:rFonts w:ascii="宋体" w:hAnsi="Times New Roman" w:cs="宋体"/>
          <w:color w:val="auto"/>
          <w:kern w:val="0"/>
          <w:sz w:val="24"/>
          <w:szCs w:val="24"/>
          <w:highlight w:val="none"/>
          <w:lang w:bidi="ar"/>
        </w:rPr>
      </w:pPr>
    </w:p>
    <w:tbl>
      <w:tblPr>
        <w:tblStyle w:val="59"/>
        <w:tblpPr w:leftFromText="180" w:rightFromText="180" w:vertAnchor="text" w:horzAnchor="page" w:tblpX="1606" w:tblpY="370"/>
        <w:tblOverlap w:val="never"/>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2942"/>
        <w:gridCol w:w="1417"/>
        <w:gridCol w:w="1276"/>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457"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2942"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4961" w:type="dxa"/>
            <w:gridSpan w:val="4"/>
            <w:vAlign w:val="center"/>
          </w:tcPr>
          <w:p>
            <w:pPr>
              <w:widowControl/>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招标面积（㎡）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457"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2942"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1417" w:type="dxa"/>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eastAsia="zh-CN"/>
              </w:rPr>
              <w:t>小计</w:t>
            </w:r>
            <w:r>
              <w:rPr>
                <w:rFonts w:hint="eastAsia" w:ascii="宋体" w:hAnsi="宋体" w:cs="宋体"/>
                <w:b/>
                <w:bCs/>
                <w:color w:val="auto"/>
                <w:kern w:val="0"/>
                <w:sz w:val="24"/>
                <w:szCs w:val="24"/>
                <w:highlight w:val="none"/>
              </w:rPr>
              <w:t>（㎡）</w:t>
            </w:r>
          </w:p>
        </w:tc>
        <w:tc>
          <w:tcPr>
            <w:tcW w:w="1276"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w:t>
            </w:r>
          </w:p>
        </w:tc>
        <w:tc>
          <w:tcPr>
            <w:tcW w:w="1276"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c>
          <w:tcPr>
            <w:tcW w:w="992"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地栽花（㎡）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南大街（含桥下绿化）</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753</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753</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新光华街沿线 </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500</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350</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锦兴路三角绿地及沿线分车绿带</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2569</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1439</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新开街绿地 </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135</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135</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滨江社区广场</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1839</w:t>
            </w:r>
          </w:p>
        </w:tc>
        <w:tc>
          <w:tcPr>
            <w:tcW w:w="1276" w:type="dxa"/>
            <w:vAlign w:val="center"/>
          </w:tcPr>
          <w:p>
            <w:pPr>
              <w:widowControl/>
              <w:jc w:val="center"/>
              <w:rPr>
                <w:rFonts w:ascii="宋体" w:hAnsi="宋体" w:cs="宋体"/>
                <w:color w:val="auto"/>
                <w:kern w:val="0"/>
                <w:sz w:val="24"/>
                <w:szCs w:val="24"/>
                <w:highlight w:val="none"/>
              </w:rPr>
            </w:pP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1809</w:t>
            </w:r>
          </w:p>
        </w:tc>
        <w:tc>
          <w:tcPr>
            <w:tcW w:w="992"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6</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督院公共绿地 （省政府）             </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7440</w:t>
            </w:r>
          </w:p>
        </w:tc>
        <w:tc>
          <w:tcPr>
            <w:tcW w:w="1276" w:type="dxa"/>
            <w:vAlign w:val="center"/>
          </w:tcPr>
          <w:p>
            <w:pPr>
              <w:widowControl/>
              <w:jc w:val="center"/>
              <w:rPr>
                <w:rFonts w:ascii="宋体" w:hAnsi="宋体" w:cs="宋体"/>
                <w:color w:val="auto"/>
                <w:kern w:val="0"/>
                <w:sz w:val="24"/>
                <w:szCs w:val="24"/>
                <w:highlight w:val="none"/>
              </w:rPr>
            </w:pP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7400</w:t>
            </w:r>
          </w:p>
        </w:tc>
        <w:tc>
          <w:tcPr>
            <w:tcW w:w="992"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7</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锦兴路与向荣桥交汇处</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299</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299</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8</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新开街与东丁字街交汇处</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75</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75</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9</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南大街与滨江路交汇处</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49</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49</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10</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红照壁沿线</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1579</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1579</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仁恒门口绿地</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100</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100</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12</w:t>
            </w:r>
          </w:p>
        </w:tc>
        <w:tc>
          <w:tcPr>
            <w:tcW w:w="2942" w:type="dxa"/>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锦兴路小游园改造</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2472</w:t>
            </w:r>
          </w:p>
        </w:tc>
        <w:tc>
          <w:tcPr>
            <w:tcW w:w="1276" w:type="dxa"/>
            <w:vAlign w:val="center"/>
          </w:tcPr>
          <w:p>
            <w:pPr>
              <w:widowControl/>
              <w:jc w:val="center"/>
              <w:rPr>
                <w:rFonts w:ascii="宋体" w:hAnsi="宋体" w:cs="宋体"/>
                <w:color w:val="auto"/>
                <w:kern w:val="0"/>
                <w:sz w:val="24"/>
                <w:szCs w:val="24"/>
                <w:highlight w:val="none"/>
              </w:rPr>
            </w:pP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1932</w:t>
            </w:r>
          </w:p>
        </w:tc>
        <w:tc>
          <w:tcPr>
            <w:tcW w:w="992"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13</w:t>
            </w:r>
          </w:p>
        </w:tc>
        <w:tc>
          <w:tcPr>
            <w:tcW w:w="2942" w:type="dxa"/>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新开街与烟袋巷交汇处</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95</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95</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14</w:t>
            </w:r>
          </w:p>
        </w:tc>
        <w:tc>
          <w:tcPr>
            <w:tcW w:w="2942" w:type="dxa"/>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锦兴路春天花坊</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69</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69</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15</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锦江区滨江中路与人民南路交汇处以东滨江路5号地块、上南大街红照壁等</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467</w:t>
            </w:r>
          </w:p>
        </w:tc>
        <w:tc>
          <w:tcPr>
            <w:tcW w:w="1276" w:type="dxa"/>
            <w:vAlign w:val="center"/>
          </w:tcPr>
          <w:p>
            <w:pPr>
              <w:widowControl/>
              <w:jc w:val="center"/>
              <w:rPr>
                <w:rFonts w:ascii="宋体" w:hAnsi="宋体" w:cs="宋体"/>
                <w:color w:val="auto"/>
                <w:kern w:val="0"/>
                <w:sz w:val="24"/>
                <w:szCs w:val="24"/>
                <w:highlight w:val="none"/>
              </w:rPr>
            </w:pP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16</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天府广场两侧绿化</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430</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430</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17</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东御街绿化</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1635</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1635</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18</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顺城街二段绿化</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1301</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1301</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19</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沟头巷绿化</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113</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113</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20</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宾隆街绿化</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50</w:t>
            </w:r>
          </w:p>
        </w:tc>
        <w:tc>
          <w:tcPr>
            <w:tcW w:w="1276"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50</w:t>
            </w: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5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21</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省人大花台</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360</w:t>
            </w:r>
          </w:p>
        </w:tc>
        <w:tc>
          <w:tcPr>
            <w:tcW w:w="1276" w:type="dxa"/>
            <w:vAlign w:val="center"/>
          </w:tcPr>
          <w:p>
            <w:pPr>
              <w:widowControl/>
              <w:jc w:val="center"/>
              <w:rPr>
                <w:rFonts w:ascii="宋体" w:hAnsi="宋体" w:cs="宋体"/>
                <w:color w:val="auto"/>
                <w:kern w:val="0"/>
                <w:sz w:val="24"/>
                <w:szCs w:val="24"/>
                <w:highlight w:val="none"/>
              </w:rPr>
            </w:pP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457"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22</w:t>
            </w:r>
          </w:p>
        </w:tc>
        <w:tc>
          <w:tcPr>
            <w:tcW w:w="2942" w:type="dxa"/>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人民南路（锦江宾馆）立体绿化</w:t>
            </w:r>
          </w:p>
        </w:tc>
        <w:tc>
          <w:tcPr>
            <w:tcW w:w="1417"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550</w:t>
            </w:r>
          </w:p>
        </w:tc>
        <w:tc>
          <w:tcPr>
            <w:tcW w:w="1276" w:type="dxa"/>
            <w:vAlign w:val="center"/>
          </w:tcPr>
          <w:p>
            <w:pPr>
              <w:widowControl/>
              <w:jc w:val="center"/>
              <w:rPr>
                <w:rFonts w:ascii="宋体" w:hAnsi="宋体" w:cs="宋体"/>
                <w:color w:val="auto"/>
                <w:kern w:val="0"/>
                <w:sz w:val="24"/>
                <w:szCs w:val="24"/>
                <w:highlight w:val="none"/>
              </w:rPr>
            </w:pPr>
          </w:p>
        </w:tc>
        <w:tc>
          <w:tcPr>
            <w:tcW w:w="1276" w:type="dxa"/>
            <w:vAlign w:val="center"/>
          </w:tcPr>
          <w:p>
            <w:pPr>
              <w:widowControl/>
              <w:jc w:val="center"/>
              <w:rPr>
                <w:rFonts w:ascii="宋体" w:hAnsi="宋体" w:cs="宋体"/>
                <w:color w:val="auto"/>
                <w:kern w:val="0"/>
                <w:sz w:val="24"/>
                <w:szCs w:val="24"/>
                <w:highlight w:val="none"/>
              </w:rPr>
            </w:pPr>
          </w:p>
        </w:tc>
        <w:tc>
          <w:tcPr>
            <w:tcW w:w="992" w:type="dxa"/>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3399" w:type="dxa"/>
            <w:gridSpan w:val="2"/>
            <w:vAlign w:val="center"/>
          </w:tcPr>
          <w:p>
            <w:pPr>
              <w:widowControl/>
              <w:jc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合计</w:t>
            </w:r>
          </w:p>
        </w:tc>
        <w:tc>
          <w:tcPr>
            <w:tcW w:w="1417" w:type="dxa"/>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22880</w:t>
            </w:r>
          </w:p>
        </w:tc>
        <w:tc>
          <w:tcPr>
            <w:tcW w:w="1276" w:type="dxa"/>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8472</w:t>
            </w:r>
          </w:p>
        </w:tc>
        <w:tc>
          <w:tcPr>
            <w:tcW w:w="1276" w:type="dxa"/>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11141</w:t>
            </w:r>
          </w:p>
        </w:tc>
        <w:tc>
          <w:tcPr>
            <w:tcW w:w="992" w:type="dxa"/>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3267</w:t>
            </w:r>
          </w:p>
        </w:tc>
      </w:tr>
    </w:tbl>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（三）设施设备</w:t>
      </w:r>
      <w:r>
        <w:rPr>
          <w:rFonts w:hint="eastAsia"/>
          <w:b/>
          <w:color w:val="auto"/>
          <w:sz w:val="28"/>
          <w:szCs w:val="28"/>
          <w:highlight w:val="none"/>
          <w:lang w:eastAsia="zh-CN"/>
        </w:rPr>
        <w:t>需求</w:t>
      </w:r>
      <w:r>
        <w:rPr>
          <w:rFonts w:hint="eastAsia"/>
          <w:b/>
          <w:color w:val="auto"/>
          <w:sz w:val="28"/>
          <w:szCs w:val="28"/>
          <w:highlight w:val="none"/>
        </w:rPr>
        <w:t>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8辆；洒水车（核定载质量≥8吨）5辆；多功能洗扫车（核定载质量≥4吨）5辆；雾炮车（核定载质量≥5吨）1辆；护栏清洗车（核定载质量≥3吨）1辆；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hint="eastAsia" w:ascii="宋体" w:hAnsi="宋体" w:eastAsia="宋体"/>
          <w:color w:val="auto"/>
          <w:kern w:val="0"/>
          <w:sz w:val="24"/>
          <w:szCs w:val="24"/>
          <w:highlight w:val="none"/>
          <w:lang w:eastAsia="zh-CN"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收集车20辆；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val="en-US" w:eastAsia="zh-CN" w:bidi="ar"/>
        </w:rPr>
        <w:t>26</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8辆；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w:t>
      </w:r>
      <w:r>
        <w:rPr>
          <w:rFonts w:hint="eastAsia" w:ascii="宋体" w:hAnsi="宋体" w:eastAsia="宋体" w:cs="Times New Roman"/>
          <w:color w:val="auto"/>
          <w:szCs w:val="21"/>
          <w:highlight w:val="none"/>
          <w:lang w:eastAsia="zh-CN"/>
        </w:rPr>
        <w:t>小型分类收集</w:t>
      </w:r>
      <w:r>
        <w:rPr>
          <w:rFonts w:hint="eastAsia" w:ascii="宋体" w:hAnsi="宋体" w:cs="Times New Roman"/>
          <w:color w:val="auto"/>
          <w:szCs w:val="21"/>
          <w:highlight w:val="none"/>
          <w:lang w:eastAsia="zh-CN"/>
        </w:rPr>
        <w:t>车</w:t>
      </w:r>
      <w:r>
        <w:rPr>
          <w:rFonts w:hint="eastAsia" w:ascii="宋体" w:hAnsi="宋体" w:cs="Times New Roman"/>
          <w:color w:val="auto"/>
          <w:szCs w:val="21"/>
          <w:highlight w:val="none"/>
          <w:lang w:val="en-US" w:eastAsia="zh-CN"/>
        </w:rPr>
        <w:t>5辆</w:t>
      </w:r>
      <w:r>
        <w:rPr>
          <w:rFonts w:hint="eastAsia" w:ascii="宋体" w:hAnsi="宋体"/>
          <w:color w:val="auto"/>
          <w:kern w:val="0"/>
          <w:sz w:val="24"/>
          <w:szCs w:val="24"/>
          <w:highlight w:val="none"/>
          <w:lang w:eastAsia="zh-CN" w:bidi="ar"/>
        </w:rPr>
        <w:t>；</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（四）人员数量</w:t>
      </w:r>
    </w:p>
    <w:p>
      <w:pPr>
        <w:widowControl/>
        <w:spacing w:line="440" w:lineRule="exact"/>
        <w:ind w:firstLine="480" w:firstLineChars="200"/>
        <w:textAlignment w:val="center"/>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项目经理1人，绿化管护项目负责人1人，绿化管护技术负责人1人，时令鲜花（含花镜）专职管理技术人员1人，辖区公厕质量管理人员1人，公厕维修维护人员2人，环卫工人409人，绿化管护工人45人，环卫公厕管护</w:t>
      </w:r>
      <w:r>
        <w:rPr>
          <w:rFonts w:hint="eastAsia" w:ascii="宋体" w:hAnsi="宋体"/>
          <w:color w:val="auto"/>
          <w:kern w:val="0"/>
          <w:sz w:val="24"/>
          <w:szCs w:val="24"/>
          <w:highlight w:val="none"/>
          <w:lang w:eastAsia="zh-CN" w:bidi="ar"/>
        </w:rPr>
        <w:t>工人数量按实际数量配备（春熙广场公厕</w:t>
      </w:r>
      <w:r>
        <w:rPr>
          <w:rFonts w:hint="eastAsia" w:ascii="宋体" w:hAnsi="宋体"/>
          <w:color w:val="auto"/>
          <w:kern w:val="0"/>
          <w:sz w:val="24"/>
          <w:szCs w:val="24"/>
          <w:highlight w:val="none"/>
          <w:lang w:val="en-US" w:eastAsia="zh-CN" w:bidi="ar"/>
        </w:rPr>
        <w:t>3人；其余</w:t>
      </w:r>
      <w:r>
        <w:rPr>
          <w:rFonts w:hint="eastAsia" w:ascii="宋体" w:hAnsi="宋体"/>
          <w:color w:val="auto"/>
          <w:kern w:val="0"/>
          <w:sz w:val="24"/>
          <w:szCs w:val="24"/>
          <w:highlight w:val="none"/>
          <w:lang w:eastAsia="zh-CN" w:bidi="ar"/>
        </w:rPr>
        <w:t>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；驾驶人员不做具体要求，根据车辆数量配备。</w:t>
      </w:r>
    </w:p>
    <w:p>
      <w:pPr>
        <w:widowControl/>
        <w:jc w:val="left"/>
        <w:rPr>
          <w:rFonts w:ascii="Times New Roman" w:hAnsi="Times New Roman"/>
          <w:b/>
          <w:color w:val="auto"/>
          <w:sz w:val="24"/>
          <w:szCs w:val="24"/>
          <w:highlight w:val="none"/>
        </w:rPr>
      </w:pPr>
      <w:r>
        <w:rPr>
          <w:rFonts w:hint="eastAsia" w:ascii="Times New Roman" w:hAnsi="Times New Roman"/>
          <w:b/>
          <w:color w:val="auto"/>
          <w:sz w:val="24"/>
          <w:szCs w:val="24"/>
          <w:highlight w:val="none"/>
        </w:rPr>
        <w:t>四、</w:t>
      </w:r>
      <w:r>
        <w:rPr>
          <w:rFonts w:hint="eastAsia" w:ascii="宋体" w:hAnsi="宋体" w:eastAsia="宋体"/>
          <w:b/>
          <w:color w:val="auto"/>
          <w:sz w:val="28"/>
          <w:szCs w:val="28"/>
          <w:highlight w:val="none"/>
        </w:rPr>
        <w:t>★</w:t>
      </w:r>
      <w:r>
        <w:rPr>
          <w:rFonts w:hint="eastAsia"/>
          <w:b/>
          <w:color w:val="auto"/>
          <w:sz w:val="28"/>
          <w:szCs w:val="28"/>
          <w:highlight w:val="none"/>
        </w:rPr>
        <w:t>商务要求</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1、项目服务期限为3年（2022年1月1日至2024年12月31日），合同一年一签。</w:t>
      </w:r>
    </w:p>
    <w:p>
      <w:pPr>
        <w:spacing w:after="120"/>
        <w:ind w:firstLine="480" w:firstLineChars="200"/>
        <w:rPr>
          <w:rFonts w:hint="eastAsia" w:ascii="Times New Roman" w:hAnsi="Times New Roman" w:eastAsia="宋体"/>
          <w:color w:val="auto"/>
          <w:szCs w:val="24"/>
          <w:highlight w:val="none"/>
          <w:lang w:eastAsia="zh-CN"/>
        </w:rPr>
      </w:pPr>
      <w:r>
        <w:rPr>
          <w:rFonts w:hint="eastAsia" w:ascii="宋体" w:hAnsi="宋体" w:cs="宋体"/>
          <w:bCs/>
          <w:color w:val="auto"/>
          <w:sz w:val="24"/>
          <w:szCs w:val="24"/>
          <w:highlight w:val="none"/>
        </w:rPr>
        <w:t>2、采购预算2680.01万元/年</w:t>
      </w:r>
      <w:r>
        <w:rPr>
          <w:rFonts w:hint="eastAsia" w:ascii="宋体" w:hAnsi="宋体" w:cs="宋体"/>
          <w:bCs/>
          <w:color w:val="auto"/>
          <w:sz w:val="24"/>
          <w:szCs w:val="24"/>
          <w:highlight w:val="none"/>
          <w:lang w:eastAsia="zh-CN"/>
        </w:rPr>
        <w:t>。</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3、服务地点：春熙路街道办事处管辖区。</w:t>
      </w:r>
    </w:p>
    <w:p>
      <w:pPr>
        <w:spacing w:line="360" w:lineRule="auto"/>
        <w:ind w:firstLine="480" w:firstLineChars="200"/>
        <w:rPr>
          <w:rFonts w:ascii="宋体" w:hAnsi="宋体" w:cs="宋体"/>
          <w:b/>
          <w:bCs/>
          <w:color w:val="auto"/>
          <w:sz w:val="24"/>
          <w:szCs w:val="24"/>
          <w:highlight w:val="none"/>
        </w:rPr>
      </w:pPr>
      <w:r>
        <w:rPr>
          <w:rFonts w:hint="eastAsia" w:ascii="宋体" w:hAnsi="宋体" w:cs="宋体"/>
          <w:bCs/>
          <w:color w:val="auto"/>
          <w:sz w:val="24"/>
          <w:szCs w:val="24"/>
          <w:highlight w:val="none"/>
        </w:rPr>
        <w:t>4、</w:t>
      </w:r>
      <w:r>
        <w:rPr>
          <w:rFonts w:hint="eastAsia" w:ascii="宋体" w:hAnsi="宋体" w:cs="宋体"/>
          <w:color w:val="auto"/>
          <w:sz w:val="24"/>
          <w:szCs w:val="24"/>
          <w:highlight w:val="none"/>
        </w:rPr>
        <w:t>报价要求：所有报价一律以人民币报价。采购人不接受任何非人民币币种的报价。投标人的报价是其响应本项目要求的全部工作内容的价格体现，采购人将不再支付其他额外费用。</w:t>
      </w:r>
    </w:p>
    <w:p>
      <w:pPr>
        <w:pStyle w:val="61"/>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5.结算时间及结算方式：</w:t>
      </w:r>
      <w:r>
        <w:rPr>
          <w:rFonts w:hint="default" w:ascii="宋体" w:hAnsi="宋体" w:eastAsia="宋体" w:cs="宋体"/>
          <w:color w:val="auto"/>
          <w:sz w:val="24"/>
          <w:szCs w:val="24"/>
          <w:highlight w:val="none"/>
          <w:lang w:val="en-US" w:eastAsia="zh-CN"/>
        </w:rPr>
        <w:t>考核结果作为拨付经费的依据。（一）月实际拨付经费=月考核经费－日常巡查扣减经费。（二）月考核经费=月作业经费×A(考核得分）%。（三）月作业经费根据每月实际作业内容、作业面积和相应单价等确定</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结算时间：依据相应合同条款。</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6.履约验收：按《财政部关于进一步加强政府采购需求和履约验收管理的指导意见》（财库〔2016〕205号）的要求以及采购文件要求进行验收。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7.考核方式：</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区综合执法局是全区环卫保洁、环卫公厕和河道管护的行政主管部门，以属地街道办事处一体化服务作业范围作为受考对象，参照相关文件要求</w:t>
      </w:r>
      <w:r>
        <w:rPr>
          <w:rFonts w:hint="eastAsia" w:ascii="宋体" w:hAnsi="宋体" w:cs="宋体"/>
          <w:color w:val="auto"/>
          <w:sz w:val="24"/>
          <w:szCs w:val="24"/>
          <w:highlight w:val="none"/>
          <w:lang w:eastAsia="zh-CN"/>
        </w:rPr>
        <w:t>进</w:t>
      </w:r>
      <w:r>
        <w:rPr>
          <w:rFonts w:hint="eastAsia" w:ascii="宋体" w:hAnsi="宋体" w:cs="宋体"/>
          <w:color w:val="auto"/>
          <w:sz w:val="24"/>
          <w:szCs w:val="24"/>
          <w:highlight w:val="none"/>
        </w:rPr>
        <w:t>行考核。</w:t>
      </w:r>
      <w:r>
        <w:rPr>
          <w:rFonts w:hint="eastAsia" w:ascii="宋体" w:hAnsi="宋体" w:cs="宋体"/>
          <w:color w:val="auto"/>
          <w:sz w:val="24"/>
          <w:szCs w:val="24"/>
          <w:highlight w:val="none"/>
          <w:lang w:eastAsia="zh-CN"/>
        </w:rPr>
        <w:t>详见《</w:t>
      </w:r>
      <w:r>
        <w:rPr>
          <w:rFonts w:hint="default" w:ascii="宋体" w:hAnsi="宋体" w:eastAsia="宋体" w:cs="宋体"/>
          <w:color w:val="auto"/>
          <w:sz w:val="24"/>
          <w:szCs w:val="24"/>
          <w:highlight w:val="none"/>
          <w:lang w:val="en-US" w:eastAsia="zh-CN"/>
        </w:rPr>
        <w:t>锦江区综合行政执法局2022-2024年锦江区环卫保洁、环卫公厕、绿化和河道管护一体化服务项目监督考核办法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spacing w:line="360" w:lineRule="auto"/>
        <w:rPr>
          <w:rFonts w:ascii="Times New Roman" w:hAnsi="Times New Roman"/>
          <w:b/>
          <w:color w:val="auto"/>
          <w:sz w:val="24"/>
          <w:szCs w:val="24"/>
          <w:highlight w:val="none"/>
        </w:rPr>
      </w:pPr>
      <w:r>
        <w:rPr>
          <w:rFonts w:hint="eastAsia" w:ascii="Times New Roman" w:hAnsi="Times New Roman"/>
          <w:b/>
          <w:color w:val="auto"/>
          <w:sz w:val="24"/>
          <w:szCs w:val="24"/>
          <w:highlight w:val="none"/>
        </w:rPr>
        <w:t>五、其他要求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1.管护期间，若有新增环卫保洁、环卫公厕、绿化内容，参照此轮招标相关经费标准计算管护费用，并由片区中标供应商负责管护。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机动车辆为中标供应商自有或租赁，租赁期限应覆盖服务期限。全区统一安装GPS</w:t>
      </w:r>
      <w:r>
        <w:rPr>
          <w:rFonts w:hint="eastAsia" w:ascii="宋体" w:hAnsi="宋体" w:cs="宋体"/>
          <w:color w:val="auto"/>
          <w:sz w:val="24"/>
          <w:szCs w:val="24"/>
          <w:highlight w:val="none"/>
        </w:rPr>
        <w:t>、实时监控，360度摄像头，实行动态跟踪管理。</w:t>
      </w:r>
      <w:bookmarkStart w:id="143" w:name="OLE_LINK8"/>
      <w:r>
        <w:rPr>
          <w:rFonts w:hint="eastAsia" w:ascii="宋体" w:hAnsi="宋体" w:cs="宋体"/>
          <w:color w:val="auto"/>
          <w:sz w:val="24"/>
          <w:szCs w:val="24"/>
          <w:highlight w:val="none"/>
        </w:rPr>
        <w:t>中标供应商配合区综合执法局和辖区街道办事处完成环卫固废智慧监管平台建设（实现视频实时可视、可回放、轨迹可追踪、</w:t>
      </w:r>
      <w:bookmarkStart w:id="144" w:name="OLE_LINK10"/>
      <w:r>
        <w:rPr>
          <w:rFonts w:hint="eastAsia" w:ascii="宋体" w:hAnsi="宋体" w:cs="宋体"/>
          <w:color w:val="auto"/>
          <w:sz w:val="24"/>
          <w:szCs w:val="24"/>
          <w:highlight w:val="none"/>
          <w:lang w:eastAsia="zh-CN"/>
        </w:rPr>
        <w:t>数据可调用）</w:t>
      </w:r>
      <w:bookmarkEnd w:id="143"/>
      <w:bookmarkEnd w:id="144"/>
      <w:r>
        <w:rPr>
          <w:rFonts w:hint="eastAsia" w:ascii="宋体" w:hAnsi="宋体" w:cs="宋体"/>
          <w:color w:val="auto"/>
          <w:sz w:val="24"/>
          <w:szCs w:val="24"/>
          <w:highlight w:val="none"/>
          <w:lang w:eastAsia="zh-CN"/>
        </w:rPr>
        <w:t>，所需经费由中标供应商承担。（提供承诺函）</w:t>
      </w:r>
    </w:p>
    <w:p>
      <w:pPr>
        <w:spacing w:line="360" w:lineRule="auto"/>
        <w:ind w:firstLine="480" w:firstLineChars="200"/>
        <w:rPr>
          <w:rFonts w:hint="eastAsia"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3.街道办事处现有四轮电动厨余垃圾收集车，提供给中标供应商使用，不收取任何费用，</w:t>
      </w:r>
      <w:r>
        <w:rPr>
          <w:rFonts w:hint="eastAsia" w:ascii="宋体" w:hAnsi="宋体" w:cs="宋体"/>
          <w:color w:val="auto"/>
          <w:sz w:val="24"/>
          <w:szCs w:val="24"/>
          <w:highlight w:val="none"/>
          <w:lang w:eastAsia="zh-CN"/>
        </w:rPr>
        <w:t>使用期内的日常运营、保险、安全、事故、毁损、被盗等全部责任均由</w:t>
      </w:r>
      <w:bookmarkStart w:id="145" w:name="OLE_LINK4"/>
      <w:r>
        <w:rPr>
          <w:rFonts w:hint="eastAsia" w:ascii="宋体" w:hAnsi="宋体" w:cs="宋体"/>
          <w:color w:val="auto"/>
          <w:sz w:val="24"/>
          <w:szCs w:val="24"/>
          <w:highlight w:val="none"/>
          <w:lang w:eastAsia="zh-CN"/>
        </w:rPr>
        <w:t>中标供应商全权负责，服务期完后应在设施设备完好的前提下交还相应街道办事处应街道办事处</w:t>
      </w:r>
      <w:bookmarkEnd w:id="145"/>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4.中标供应商协助街道办事处负责做好新、老作业公司交接工作。妥善处置可能涉及公司、人员和经费等相关纠纷，做好善后工作，确保辖区社会稳定和作业平稳过渡。</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5.中标供应商按照《劳动合同法》、参照《成都市环卫工人健康安全关爱办法》等相应行业相关规定，落实工人的工资和福利待遇（包括：基础工资、岗位津贴、加班工资、社保（商保）、酷暑寒冬补助和劳保用品等）。服务期间如遇成都市工人最低工资标准刚性政策调整等增资情况，由中标供应商自行承担，不再另行申请资金。中标供应商每年至少组织一次本项目服务人员职业健康体检。</w:t>
      </w:r>
    </w:p>
    <w:p>
      <w:pPr>
        <w:spacing w:line="360" w:lineRule="auto"/>
        <w:ind w:firstLine="480" w:firstLineChars="200"/>
        <w:rPr>
          <w:rFonts w:hint="eastAsia" w:ascii="宋体" w:hAnsi="宋体" w:eastAsia="宋体" w:cs="宋体"/>
          <w:color w:val="auto"/>
          <w:sz w:val="24"/>
          <w:szCs w:val="24"/>
          <w:highlight w:val="none"/>
          <w:lang w:eastAsia="zh-CN"/>
        </w:rPr>
      </w:pPr>
      <w:bookmarkStart w:id="146" w:name="OLE_LINK1"/>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6.</w:t>
      </w:r>
      <w:bookmarkEnd w:id="146"/>
      <w:r>
        <w:rPr>
          <w:rFonts w:hint="eastAsia" w:ascii="宋体" w:hAnsi="宋体" w:cs="宋体"/>
          <w:color w:val="auto"/>
          <w:sz w:val="24"/>
          <w:szCs w:val="24"/>
          <w:highlight w:val="none"/>
        </w:rPr>
        <w:t>投标人须同意“2022-2024年锦江区环卫保洁、环卫公厕、绿化和河道管护一体化服务项目监督考核办法”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rPr>
      </w:pPr>
      <w:r>
        <w:rPr>
          <w:rFonts w:hint="eastAsia" w:ascii="宋体" w:hAnsi="宋体" w:cs="宋体"/>
          <w:color w:val="auto"/>
          <w:sz w:val="24"/>
          <w:szCs w:val="24"/>
          <w:lang w:val="en-US" w:eastAsia="zh-CN"/>
        </w:rPr>
        <w:t>7.中标供应商提供承诺函承诺：无特殊情况时，所有设施设备在中标通知书发出之日起25日内全部到位。在承诺时间内未全部到位又无特殊情况的，采购人有权取消其中标资格，并扣减履约保证金。★</w:t>
      </w:r>
    </w:p>
    <w:p>
      <w:pPr>
        <w:rPr>
          <w:rFonts w:hint="eastAsia" w:ascii="Times New Roman" w:hAnsi="Times New Roman"/>
          <w:color w:val="auto"/>
          <w:sz w:val="36"/>
          <w:szCs w:val="36"/>
          <w:highlight w:val="none"/>
        </w:rPr>
      </w:pPr>
      <w:r>
        <w:rPr>
          <w:rFonts w:hint="eastAsia" w:ascii="黑体" w:hAnsi="黑体" w:eastAsia="黑体" w:cs="黑体"/>
          <w:b/>
          <w:bCs/>
          <w:color w:val="auto"/>
          <w:sz w:val="36"/>
          <w:szCs w:val="36"/>
          <w:highlight w:val="none"/>
          <w:lang w:val="zh-CN"/>
        </w:rPr>
        <w:t>包</w:t>
      </w:r>
      <w:r>
        <w:rPr>
          <w:rFonts w:hint="eastAsia" w:ascii="黑体" w:hAnsi="黑体" w:eastAsia="黑体" w:cs="黑体"/>
          <w:b/>
          <w:bCs/>
          <w:color w:val="auto"/>
          <w:sz w:val="36"/>
          <w:szCs w:val="36"/>
          <w:highlight w:val="none"/>
          <w:lang w:val="en-US" w:eastAsia="zh-CN"/>
        </w:rPr>
        <w:t>件</w:t>
      </w:r>
      <w:r>
        <w:rPr>
          <w:rFonts w:hint="eastAsia" w:ascii="黑体" w:hAnsi="黑体" w:eastAsia="黑体" w:cs="黑体"/>
          <w:b/>
          <w:bCs/>
          <w:color w:val="auto"/>
          <w:sz w:val="36"/>
          <w:szCs w:val="36"/>
          <w:highlight w:val="none"/>
          <w:lang w:val="zh-CN"/>
        </w:rPr>
        <w:t>2：锦官驿街道办事处、锦华路街道办事处管辖区域</w:t>
      </w:r>
    </w:p>
    <w:p>
      <w:pPr>
        <w:autoSpaceDE w:val="0"/>
        <w:autoSpaceDN w:val="0"/>
        <w:adjustRightInd w:val="0"/>
        <w:jc w:val="left"/>
        <w:rPr>
          <w:rFonts w:ascii="宋体" w:hAnsi="Times New Roman" w:cs="宋体"/>
          <w:color w:val="auto"/>
          <w:kern w:val="0"/>
          <w:sz w:val="24"/>
          <w:szCs w:val="24"/>
          <w:highlight w:val="none"/>
        </w:rPr>
      </w:pPr>
    </w:p>
    <w:p>
      <w:pPr>
        <w:numPr>
          <w:ilvl w:val="0"/>
          <w:numId w:val="36"/>
        </w:numPr>
        <w:ind w:left="964" w:hanging="964" w:hangingChars="343"/>
        <w:rPr>
          <w:rFonts w:ascii="Times New Roman" w:hAnsi="Times New Roman"/>
          <w:b/>
          <w:color w:val="auto"/>
          <w:sz w:val="28"/>
          <w:szCs w:val="28"/>
          <w:highlight w:val="none"/>
        </w:rPr>
      </w:pPr>
      <w:r>
        <w:rPr>
          <w:rFonts w:hint="eastAsia" w:ascii="Times New Roman" w:hAnsi="Times New Roman"/>
          <w:b/>
          <w:color w:val="auto"/>
          <w:sz w:val="28"/>
          <w:szCs w:val="28"/>
          <w:highlight w:val="none"/>
        </w:rPr>
        <w:t>项目概况</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（一）成都市锦江区综合行政执法局2022—2024年环卫保洁、环卫公厕、绿化和河道管护一体化服务项目</w:t>
      </w:r>
      <w:r>
        <w:rPr>
          <w:rFonts w:hint="eastAsia" w:ascii="宋体" w:hAnsi="宋体" w:cs="宋体"/>
          <w:bCs/>
          <w:color w:val="auto"/>
          <w:sz w:val="24"/>
          <w:szCs w:val="24"/>
          <w:highlight w:val="none"/>
        </w:rPr>
        <w:t>，招标工作由区综合执法局作为业主负责统一招标，街道办事处作为综合管理单位负责与中标供应商签订合同。区综合执法局和街道办事处共同履行日常监督责任。</w:t>
      </w:r>
    </w:p>
    <w:p>
      <w:pPr>
        <w:spacing w:after="120"/>
        <w:rPr>
          <w:rFonts w:ascii="Times New Roman" w:hAnsi="Times New Roman"/>
          <w:b/>
          <w:color w:val="auto"/>
          <w:sz w:val="28"/>
          <w:szCs w:val="28"/>
          <w:highlight w:val="none"/>
        </w:rPr>
      </w:pPr>
      <w:r>
        <w:rPr>
          <w:rFonts w:hint="eastAsia" w:ascii="Times New Roman" w:hAnsi="Times New Roman"/>
          <w:b/>
          <w:color w:val="auto"/>
          <w:sz w:val="28"/>
          <w:szCs w:val="28"/>
          <w:highlight w:val="none"/>
        </w:rPr>
        <w:t>二、作业规范、标准及内容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（一）</w:t>
      </w:r>
      <w:r>
        <w:rPr>
          <w:rFonts w:ascii="宋体" w:hAnsi="宋体" w:cs="宋体"/>
          <w:bCs/>
          <w:color w:val="auto"/>
          <w:sz w:val="24"/>
          <w:szCs w:val="24"/>
          <w:highlight w:val="none"/>
        </w:rPr>
        <w:t xml:space="preserve"> 作业规范。</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rPr>
        <w:t>环卫保洁：按照成都市城市管理委员会《关于印发〈成都市环卫清扫保洁精细化监督管理办法〉的通知》（成城发〔2019〕48号）、《关于印发〈成都市环卫清扫保洁精细化作业规则〉的通知》（成城发〔2019〕47号）、《关于印发&lt;关于统一规范成都市环卫作业机动车、小型机具自编号及外观、涂装工作实施方案&gt;&lt;成都市环卫作业机动车、小型车自编号及外观、涂装原则&gt;的通知》《生活垃圾分类标准》（GB/T19095-2019）《成都市锦江区环境卫生监督管理办法》（锦综执【2019】70号）要求作业</w:t>
      </w:r>
      <w:r>
        <w:rPr>
          <w:rFonts w:ascii="宋体" w:hAnsi="宋体" w:cs="宋体"/>
          <w:bCs/>
          <w:color w:val="auto"/>
          <w:sz w:val="24"/>
          <w:szCs w:val="24"/>
          <w:highlight w:val="none"/>
        </w:rPr>
        <w:t>；</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（2）环卫公厕管护：按照</w:t>
      </w:r>
      <w:r>
        <w:rPr>
          <w:rFonts w:hint="eastAsia" w:ascii="宋体" w:hAnsi="宋体" w:cs="宋体"/>
          <w:bCs/>
          <w:color w:val="auto"/>
          <w:sz w:val="24"/>
          <w:szCs w:val="24"/>
          <w:highlight w:val="none"/>
        </w:rPr>
        <w:t>《成都市环卫公厕管理规范》（成城函【2017】205号）</w:t>
      </w:r>
      <w:r>
        <w:rPr>
          <w:rFonts w:ascii="宋体" w:hAnsi="宋体" w:cs="宋体"/>
          <w:bCs/>
          <w:color w:val="auto"/>
          <w:sz w:val="24"/>
          <w:szCs w:val="24"/>
          <w:highlight w:val="none"/>
        </w:rPr>
        <w:t>、《锦江区环卫公厕管理规范（试行）》要求作业；</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（3）绿化管护：按照</w:t>
      </w:r>
      <w:r>
        <w:rPr>
          <w:rFonts w:hint="eastAsia" w:ascii="宋体" w:hAnsi="宋体" w:cs="宋体"/>
          <w:bCs/>
          <w:color w:val="auto"/>
          <w:sz w:val="24"/>
          <w:szCs w:val="24"/>
          <w:highlight w:val="none"/>
        </w:rPr>
        <w:t>《四川省城市园林绿化技术操作规程》DB51/50016-1998</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《成都市城市绿化养护技术规程》（DB510100/T 238-2017）</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《成都市城市绿化养护质量等级划分》(DB510100/T 239-2017)</w:t>
      </w:r>
      <w:r>
        <w:rPr>
          <w:rFonts w:ascii="宋体" w:hAnsi="宋体" w:cs="宋体"/>
          <w:bCs/>
          <w:color w:val="auto"/>
          <w:sz w:val="24"/>
          <w:szCs w:val="24"/>
          <w:highlight w:val="none"/>
        </w:rPr>
        <w:t>、《成都市锦江区园林绿化管护标准》要求作业；</w:t>
      </w:r>
    </w:p>
    <w:p>
      <w:pPr>
        <w:autoSpaceDE w:val="0"/>
        <w:autoSpaceDN w:val="0"/>
        <w:adjustRightInd w:val="0"/>
        <w:ind w:firstLine="480" w:firstLineChars="200"/>
        <w:jc w:val="left"/>
        <w:rPr>
          <w:rFonts w:ascii="宋体" w:hAnsi="Times New Roman" w:cs="宋体"/>
          <w:color w:val="auto"/>
          <w:kern w:val="0"/>
          <w:sz w:val="24"/>
          <w:szCs w:val="24"/>
          <w:highlight w:val="none"/>
        </w:rPr>
      </w:pPr>
      <w:r>
        <w:rPr>
          <w:rFonts w:ascii="宋体" w:hAnsi="宋体" w:cs="宋体"/>
          <w:bCs/>
          <w:color w:val="auto"/>
          <w:kern w:val="0"/>
          <w:sz w:val="24"/>
          <w:szCs w:val="24"/>
          <w:highlight w:val="none"/>
        </w:rPr>
        <w:t>（4）河道管护：按照《中心城区河道管护经费标准（试行）》等要求作业。</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（二）作业标准。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（1）环卫保洁：作业流程规范，保洁质量达到精细化管理标准，能实施机械化清扫作业的城市城区道路全部实施机械化清扫作业，机械化清扫率达到市、区规定标准。生活垃圾日产日清。</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环卫公厕管理应达到“四净三无二通一明”要求，即：地面净、墙壁净、厕位净、周边净，无溢流、无蚊蝇、无臭味，水通、电通，灯明。环卫公共厕所内采光、照明和通风良好，无异味，无蚊蝇。厕所内地面洁净，无积水，无烟头，无纸屑，无痰迹和其他杂物。墙面、天花板、门窗和隔断板洁净，无积灰，无污迹，无蛛网，无乱涂乱画，无破损；卫生洁具整洁，无积存物，无粪便痕迹，无积尿积水，管道畅通无堵塞。公厕标志牌、公示牌洁净，无积尘。</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每年对乔木进行大修一次，每年对现有地被、灌木更新率不低于20%；时令鲜花的更换次数每年不少于8次、花境的更换次数每年不少于4次、立体绿化根据植物品种适时更换；设施设备的检修、翻新、更换等，翻新、刷漆每年不得少于1次；所有垃圾（绿化垃圾、生活垃圾等）均做无害化处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（4）河道管护：每天巡查河道一遍；每100米河道零星垃圾不超过3处；河道栏杆及时擦拭、清理；每100米河渍、侵蚀不超过5处；每日上报排口情况；每500米河堤零星垃圾不超过3处。</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（三）作业内容。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1．道路清扫保洁(含市政公用道路，涉农街道办事处村社道路)和市管绿化带的白色垃圾清理，清除道路上粪渣粪袋、狗粪、建渣等污染物。2．铁路控制线（单侧铁轨至坡脚8米，坡脚向外延伸12米，12米向外延伸2米界桩，共22米）以外属地管理区域的清扫保洁。3．清理雨水篦子下面的落叶及垃圾。4．道路冲洗降尘，定期冲洗道路（按规范标准）及路沿石、人行道方砖、公交站台、人行天桥和雨水篦子，清洗道路标识标线，道路污染突击保洁。5．生活垃圾分类收集和运输，其中其他垃圾运输至锦江区垃圾压缩站，厨余垃圾运输至市级餐厨垃圾处置厂，可回收物运输至再生资源回收站点，有害垃圾运输至区环卫清运中心暂存点。6．小区内（具体范围详见附表）及街面丢弃的大件垃圾清理。7．对果屑箱、垃圾桶等环卫设施接受管理及使用，并进行日常维修维护，保证功能使用。道路施工时果屑箱的收集保管、果屑箱箱体固定，果屑箱内箱的垃圾清掏和箱体的内、外清洗，每日垃圾袋更换和垃圾桶清洗，室外城市家具的保洁。8．环卫工人工作服装按适时标准要求配置和更新。9．垃圾桶、垃圾中转房、垃圾池、垃圾转运点和垃圾转运车等环卫设施和中转站（点）现场的日常管理、冲洗、维护。各类环卫车辆日常管理及维修，环卫车辆喷涂统一的外观、颜色和标志。10．非法张贴、书写的地面及2米以下立面各类广告及卡片的清除清理。11．道路护栏、隔离墩、隔离桩、桥梁中央分隔带、防撞墙内侧、人行道栏杆、人行天桥栏杆、声屏障内侧保洁。12.环卫工人休息室日常管理和维护。13．做好环卫作业安全生产工作，落实安全责任制和各项规章制度。14．各类检查、接待及突发事件，环卫作业的应急保障工作。15．在辖区主街干道、重要路段或出入城通道实施精品示范街道环卫作业。16．完成省、市、区等各级部门和街道交办的各项突击整治任务。17.按作业辖区落实疫情防控和消防工作。18.在中央商务区、特色街区开展智能扫地机器人等人工智能环卫作业试点示范。</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作业范围包括辖区内环卫公厕内地面、墙面、天花板、门窗、设施设备等，室外周边10米。内容包括环卫公厕保洁服务管理（环卫公厕整体提档升级除外所有维护内容）、周边或者附属绿化维护管护、环卫公厕维护管理、清掏公厕化粪池，水电费缴纳。</w:t>
      </w:r>
      <w:r>
        <w:rPr>
          <w:rFonts w:hint="eastAsia" w:ascii="宋体" w:hAnsi="宋体" w:cs="宋体"/>
          <w:bCs/>
          <w:color w:val="auto"/>
          <w:sz w:val="24"/>
          <w:szCs w:val="24"/>
          <w:highlight w:val="none"/>
          <w:lang w:eastAsia="zh-CN"/>
        </w:rPr>
        <w:t>按采购人统一的标准和材质要求购买、更换和安装环卫公厕相关标识、标牌、公示牌，提供环卫公厕厕纸、洗手液日常耗材等（环卫公厕厕纸以清风、心相印、维达等同类品质的，且符合国家相关标准的为标准。洗手液以蓝月亮、滴露、威露士等同类品质的，且符合国家相关标准的为标准），</w:t>
      </w:r>
      <w:r>
        <w:rPr>
          <w:rFonts w:hint="eastAsia" w:ascii="宋体" w:hAnsi="宋体" w:cs="宋体"/>
          <w:bCs/>
          <w:color w:val="auto"/>
          <w:sz w:val="24"/>
          <w:szCs w:val="24"/>
          <w:highlight w:val="none"/>
        </w:rPr>
        <w:t>新增或维修维护公厕内所有窗户纱窗。设施设备的维修保养。对易损耗材料、照明设施、防水、供水及排水设施、电力设施、护栏、便池、水龙头、马桶、脚踏器等设施设备的检修、翻新、</w:t>
      </w:r>
      <w:r>
        <w:rPr>
          <w:rFonts w:hint="eastAsia" w:ascii="宋体" w:hAnsi="宋体" w:cs="宋体"/>
          <w:bCs/>
          <w:color w:val="auto"/>
          <w:sz w:val="24"/>
          <w:szCs w:val="24"/>
          <w:highlight w:val="none"/>
          <w:lang w:eastAsia="zh-CN"/>
        </w:rPr>
        <w:t>更换（所需耗材质量标准均不能低于原有耗材标准），按照实际需求配备移动厕所，并负责运输和管理</w:t>
      </w:r>
      <w:r>
        <w:rPr>
          <w:rFonts w:hint="eastAsia" w:ascii="宋体" w:hAnsi="宋体" w:cs="宋体"/>
          <w:bCs/>
          <w:color w:val="auto"/>
          <w:sz w:val="24"/>
          <w:szCs w:val="24"/>
          <w:highlight w:val="none"/>
        </w:rPr>
        <w:t>。公共秩序及公共安全管理。积极配合相关部门检查、考察、参观；做好文明指数测评等相关工作，必要时按实际需要自行租赁移动公厕；按作业辖区落实疫情防控和消防工作；积极配合主管部门，完成临时交办的管护工作和其他任务等。</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区管绿地乔木、灌木、地被的养护（除草、修剪、浇水、施肥、防病虫害等）、复壮、更换、降尘；时令鲜花及花境、立体绿化管护，包括购置、种植、更换及管护等；清扫保洁服务：包括绿地、游步道、绿道、设施设备的清扫保洁，以及园林绿化垃圾的集中处理、收集转运等。设施设备的维修保养：对易损耗材料、灯杆、照明设施、供水及排水设施、电力设施健身设施、小品雕塑、花箱、廊架、坐凳、树池盖板、树木支撑、绿化护栏等设施设备的检修、翻新、更换等（所需耗材质量标准均不能低于原有耗材标准）。</w:t>
      </w:r>
      <w:r>
        <w:rPr>
          <w:rFonts w:hint="eastAsia" w:ascii="宋体" w:hAnsi="宋体" w:cs="宋体"/>
          <w:bCs/>
          <w:color w:val="auto"/>
          <w:sz w:val="24"/>
          <w:szCs w:val="24"/>
          <w:highlight w:val="none"/>
          <w:lang w:eastAsia="zh-CN"/>
        </w:rPr>
        <w:t>绿化作业安全生产管理，绿化垃圾分类运输并送至专业机构处理</w:t>
      </w:r>
      <w:r>
        <w:rPr>
          <w:rFonts w:hint="eastAsia" w:ascii="宋体" w:hAnsi="宋体" w:cs="宋体"/>
          <w:bCs/>
          <w:color w:val="auto"/>
          <w:sz w:val="24"/>
          <w:szCs w:val="24"/>
          <w:highlight w:val="none"/>
        </w:rPr>
        <w:t>。按作业辖区落实疫情防控和消防工作。</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河道管护。区管河道河床打漂及清理：打捞河面漂浮物，清理河床堆积的垃圾、挡水障碍物等；巡查河道：对河道基础设施、河道水质、下河口排污、河长公示牌破损、涉河乱挖乱占乱建等情况进行巡查，栏杆破损等安全隐患应及时上报巡查发现的问题；河道管护范围内清扫保洁：对河道管护范围内人行步道清扫保洁，对河堤栏杆、河长公示牌、排水口标识牌等进行清洗维护，对滨河绿化带进行管护保洁。配合做好排口治理、水质监测、公示牌更换等河道管护工作。省、市管河道应对步行道实施日常管护。按作业辖区落实疫情防控和消防工作。</w:t>
      </w:r>
    </w:p>
    <w:p>
      <w:pPr>
        <w:autoSpaceDE w:val="0"/>
        <w:autoSpaceDN w:val="0"/>
        <w:adjustRightInd w:val="0"/>
        <w:ind w:firstLine="480" w:firstLineChars="200"/>
        <w:jc w:val="left"/>
        <w:rPr>
          <w:rFonts w:ascii="宋体" w:hAnsi="Times New Roman" w:cs="宋体"/>
          <w:color w:val="auto"/>
          <w:kern w:val="0"/>
          <w:sz w:val="24"/>
          <w:szCs w:val="24"/>
          <w:highlight w:val="none"/>
        </w:rPr>
      </w:pPr>
      <w:r>
        <w:rPr>
          <w:rFonts w:hint="eastAsia" w:ascii="宋体" w:hAnsi="Times New Roman" w:cs="宋体"/>
          <w:color w:val="auto"/>
          <w:kern w:val="0"/>
          <w:sz w:val="24"/>
          <w:szCs w:val="24"/>
          <w:highlight w:val="none"/>
        </w:rPr>
        <w:t>（5）共享单车规范停放。协助规范共享单车停放，并清除共享单车货架框内垃圾。</w:t>
      </w:r>
    </w:p>
    <w:p>
      <w:pPr>
        <w:spacing w:before="312" w:beforeLines="100" w:after="312" w:afterLines="100"/>
        <w:rPr>
          <w:rFonts w:ascii="Times New Roman" w:hAnsi="Times New Roman"/>
          <w:b/>
          <w:color w:val="auto"/>
          <w:sz w:val="28"/>
          <w:szCs w:val="28"/>
          <w:highlight w:val="none"/>
        </w:rPr>
      </w:pPr>
      <w:r>
        <w:rPr>
          <w:rFonts w:hint="eastAsia" w:ascii="Times New Roman" w:hAnsi="Times New Roman"/>
          <w:b/>
          <w:color w:val="auto"/>
          <w:sz w:val="28"/>
          <w:szCs w:val="28"/>
          <w:highlight w:val="none"/>
        </w:rPr>
        <w:t>三、作业范围及配备人员设备数量</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锦官驿街道办事处：</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道路清扫保洁面积703182.98㎡</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其中特级道路保洁面积74674.33</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一级道路保洁面积423894.57</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二级道路保洁面积172595.68</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三级道路保洁面积32018.4</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rPr>
        <w:t>；其他垃圾日清运量</w:t>
      </w:r>
      <w:r>
        <w:rPr>
          <w:rFonts w:ascii="宋体" w:hAnsi="宋体"/>
          <w:color w:val="auto"/>
          <w:sz w:val="24"/>
          <w:szCs w:val="24"/>
          <w:highlight w:val="none"/>
        </w:rPr>
        <w:t>170</w:t>
      </w:r>
      <w:r>
        <w:rPr>
          <w:rFonts w:hint="eastAsia" w:ascii="宋体" w:hAnsi="宋体"/>
          <w:color w:val="auto"/>
          <w:sz w:val="24"/>
          <w:szCs w:val="24"/>
          <w:highlight w:val="none"/>
        </w:rPr>
        <w:t>吨；厨余垃圾日清运量</w:t>
      </w:r>
      <w:r>
        <w:rPr>
          <w:rFonts w:ascii="宋体" w:hAnsi="宋体"/>
          <w:color w:val="auto"/>
          <w:sz w:val="24"/>
          <w:szCs w:val="24"/>
          <w:highlight w:val="none"/>
        </w:rPr>
        <w:t>10</w:t>
      </w:r>
      <w:r>
        <w:rPr>
          <w:rFonts w:hint="eastAsia" w:ascii="宋体" w:hAnsi="宋体"/>
          <w:color w:val="auto"/>
          <w:sz w:val="24"/>
          <w:szCs w:val="24"/>
          <w:highlight w:val="none"/>
        </w:rPr>
        <w:t>吨。</w:t>
      </w:r>
    </w:p>
    <w:p>
      <w:pPr>
        <w:spacing w:line="360" w:lineRule="auto"/>
        <w:jc w:val="center"/>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道路明细表</w:t>
      </w:r>
    </w:p>
    <w:tbl>
      <w:tblPr>
        <w:tblStyle w:val="59"/>
        <w:tblpPr w:leftFromText="180" w:rightFromText="180" w:vertAnchor="text" w:horzAnchor="page" w:tblpX="1705" w:tblpY="261"/>
        <w:tblOverlap w:val="never"/>
        <w:tblW w:w="8593" w:type="dxa"/>
        <w:tblInd w:w="0" w:type="dxa"/>
        <w:tblLayout w:type="fixed"/>
        <w:tblCellMar>
          <w:top w:w="0" w:type="dxa"/>
          <w:left w:w="0" w:type="dxa"/>
          <w:bottom w:w="0" w:type="dxa"/>
          <w:right w:w="0" w:type="dxa"/>
        </w:tblCellMar>
      </w:tblPr>
      <w:tblGrid>
        <w:gridCol w:w="953"/>
        <w:gridCol w:w="2107"/>
        <w:gridCol w:w="3902"/>
        <w:gridCol w:w="1631"/>
      </w:tblGrid>
      <w:tr>
        <w:tblPrEx>
          <w:tblLayout w:type="fixed"/>
          <w:tblCellMar>
            <w:top w:w="0" w:type="dxa"/>
            <w:left w:w="0" w:type="dxa"/>
            <w:bottom w:w="0" w:type="dxa"/>
            <w:right w:w="0" w:type="dxa"/>
          </w:tblCellMar>
        </w:tblPrEx>
        <w:trPr>
          <w:trHeight w:val="312" w:hRule="atLeast"/>
        </w:trPr>
        <w:tc>
          <w:tcPr>
            <w:tcW w:w="9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序号</w:t>
            </w:r>
          </w:p>
        </w:tc>
        <w:tc>
          <w:tcPr>
            <w:tcW w:w="210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街道名称</w:t>
            </w:r>
          </w:p>
        </w:tc>
        <w:tc>
          <w:tcPr>
            <w:tcW w:w="390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起止点</w:t>
            </w:r>
          </w:p>
        </w:tc>
        <w:tc>
          <w:tcPr>
            <w:tcW w:w="163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道路</w:t>
            </w:r>
            <w:r>
              <w:rPr>
                <w:rFonts w:hint="eastAsia" w:ascii="宋体" w:hAnsi="宋体" w:cs="宋体"/>
                <w:color w:val="auto"/>
                <w:kern w:val="0"/>
                <w:sz w:val="22"/>
                <w:szCs w:val="22"/>
                <w:highlight w:val="none"/>
                <w:lang w:val="en-US" w:eastAsia="zh-CN" w:bidi="ar"/>
              </w:rPr>
              <w:t>类型</w:t>
            </w:r>
          </w:p>
        </w:tc>
      </w:tr>
      <w:tr>
        <w:tblPrEx>
          <w:tblLayout w:type="fixed"/>
          <w:tblCellMar>
            <w:top w:w="0" w:type="dxa"/>
            <w:left w:w="0" w:type="dxa"/>
            <w:bottom w:w="0" w:type="dxa"/>
            <w:right w:w="0" w:type="dxa"/>
          </w:tblCellMar>
        </w:tblPrEx>
        <w:trPr>
          <w:trHeight w:val="312" w:hRule="atLeast"/>
        </w:trPr>
        <w:tc>
          <w:tcPr>
            <w:tcW w:w="9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46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w:t>
            </w:r>
          </w:p>
        </w:tc>
        <w:tc>
          <w:tcPr>
            <w:tcW w:w="210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红星路步行街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总府路——红星路北</w:t>
            </w:r>
          </w:p>
        </w:tc>
        <w:tc>
          <w:tcPr>
            <w:tcW w:w="1631"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特级道路</w:t>
            </w:r>
          </w:p>
        </w:tc>
      </w:tr>
      <w:tr>
        <w:tblPrEx>
          <w:tblLayout w:type="fixed"/>
          <w:tblCellMar>
            <w:top w:w="0" w:type="dxa"/>
            <w:left w:w="0" w:type="dxa"/>
            <w:bottom w:w="0" w:type="dxa"/>
            <w:right w:w="0" w:type="dxa"/>
          </w:tblCellMar>
        </w:tblPrEx>
        <w:trPr>
          <w:trHeight w:val="46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红星路广场南——东大街</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46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红星路广场</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46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香槟广场</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地铁站</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银石广场</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银石广场与香槟广场通道</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银石广场北口——九龙广场南口</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9</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银石广场东——银石广场西</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太古里绿化广场与IFS通道</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w:t>
            </w:r>
          </w:p>
        </w:tc>
        <w:tc>
          <w:tcPr>
            <w:tcW w:w="21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红星路步行街中央广场</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42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12</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水津街沿线</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滨江东路兰桂坊入口-东大街东门大桥出口</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13</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水井街沿线</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星桥街-金泉街-双槐树街-镗水桥</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14</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黄伞巷</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水井街-水晶塘-锦官驿街</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15</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兰桂坊小游园</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水井街-水津街</w:t>
            </w:r>
          </w:p>
        </w:tc>
        <w:tc>
          <w:tcPr>
            <w:tcW w:w="163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16</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大慈寺路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红星路步行街北口——东风大桥</w:t>
            </w:r>
          </w:p>
        </w:tc>
        <w:tc>
          <w:tcPr>
            <w:tcW w:w="163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一级道路</w:t>
            </w: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17</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天仙桥北路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东风大桥——东门大桥</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18</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天仙桥南路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东门大桥——合江亭思蜀园</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19</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红星路步行街北口——东风大桥</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20</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红星路四段</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东大街北口——新南门桥</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21</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滨江东路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合江亭——新南门大桥</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42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22</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南河移交段面（含亲水平台）</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合江亭——南门大桥</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23</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府河移交段面</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东风大桥——合江亭思蜀园</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24</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纱帽街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东大街口——大慈寺路</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42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25</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镗钯街（含通道、台阶）</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天仙桥——崇德里</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26</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三圣街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27</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红石柱横街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28</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红石柱正街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29</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安顺桥</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30</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新南门大桥</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31</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新南门隧道</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32</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红星路人行天桥</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33</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东升广场</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34</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滨江路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九眼桥-合江亭桥</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42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35</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锦官驿街（香格里拉环形道路）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滨江路-兰桂坊</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36</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滨江路亲水平台</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滨江路二麻酒馆旁</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37</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一环路东五段</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九眼桥-牛王庙路口</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38</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一环路东四段</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牛王庙路口-水碾河路口</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39</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东门大桥-牛王庙路口</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40</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东风路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东风大桥-水碾河</w:t>
            </w: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41</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蜀都大道天桥</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42</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九眼桥天桥</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43</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大川巷</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青莲街口——天仙桥口</w:t>
            </w:r>
          </w:p>
        </w:tc>
        <w:tc>
          <w:tcPr>
            <w:tcW w:w="1631" w:type="dxa"/>
            <w:vMerge w:val="restar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二级道路</w:t>
            </w: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44</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大安街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天仙桥（检查院）——青莲街口</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45</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青安街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东大街口——镋钯街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46</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青莲街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镋钯街口——滨江东路</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47</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东升街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红星路四段——耿家巷</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48</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耿家巷</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东升街——龙王庙街口</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49</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下莲池</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龙王庙街口——滨江东路</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50</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磨坊街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镋钯街——红布正街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51</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滨河路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天仙桥路口——广播电视网络</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52</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滨河路口B（含通道）</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博爱医院——阳光歌城</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53</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西糠市街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南糠市北口——纱帽街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54</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南糠市街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东大街口——西糠市街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55</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东糠市街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东顺城南街——南糠市街北口</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56</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油篓街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东顺城南街——东大街口</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57</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火巷子</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天仙桥北路——东顺城南街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58</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东顺城南街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大慈寺路——油篓街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59</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玉成街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大慈寺路——税局宿舍后门</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60</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王家坝正街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下莲池街——遂宁宾馆</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61</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王家坝后街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王家坝后街——红星路四段</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62</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崇德里</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镋钯街——崇德里</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63</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龙王庙正街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龙王庙公厕——耿家巷</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64</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龙王庙南街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铜井巷——龙王庙正街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65</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铜井巷</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龙王庙街——王家坝街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66</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义学巷</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东大街——镋钯街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67</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红布正街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义学巷——磨坊街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68</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东南里</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拱背桥——都会风尚通道</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69</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拱背桥</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下莲池街口——东南里</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70</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下莲池支路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下莲池公厕——王家坝街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71</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都会风尚通道</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青莲街——东南里支路</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72</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香巷子</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水井街-东大街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73</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青龙正街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香巷子-紫东正街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74</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青龙横街沿线</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紫东正街-双槐树街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75</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光明路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一环路东四段-牛王庙巷子</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76</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牛王庙巷</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东大街-较场坝东街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77</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较场坝东街沿线</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东大街-较场坝东街-较场坝街-均隆街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42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78</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点将台街沿线(含较场坝东五街)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东风路-点将台街-较场坝中街-东大街</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79</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均隆街</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东大街-东风路</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80</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均隆滨河路</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东大街-东风路</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81</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点将台西街沿线</w:t>
            </w:r>
          </w:p>
        </w:tc>
        <w:tc>
          <w:tcPr>
            <w:tcW w:w="39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较场坝正街-牛王庙北巷</w:t>
            </w:r>
          </w:p>
        </w:tc>
        <w:tc>
          <w:tcPr>
            <w:tcW w:w="1631"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82</w:t>
            </w:r>
          </w:p>
        </w:tc>
        <w:tc>
          <w:tcPr>
            <w:tcW w:w="21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年丰巷</w:t>
            </w:r>
          </w:p>
        </w:tc>
        <w:tc>
          <w:tcPr>
            <w:tcW w:w="3902"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东大街-青和里北段</w:t>
            </w:r>
          </w:p>
        </w:tc>
        <w:tc>
          <w:tcPr>
            <w:tcW w:w="1631" w:type="dxa"/>
            <w:vMerge w:val="continue"/>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83</w:t>
            </w:r>
          </w:p>
        </w:tc>
        <w:tc>
          <w:tcPr>
            <w:tcW w:w="2107" w:type="dxa"/>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蓉上坊广场</w:t>
            </w:r>
          </w:p>
        </w:tc>
        <w:tc>
          <w:tcPr>
            <w:tcW w:w="39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84</w:t>
            </w:r>
          </w:p>
        </w:tc>
        <w:tc>
          <w:tcPr>
            <w:tcW w:w="210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存古巷</w:t>
            </w:r>
          </w:p>
        </w:tc>
        <w:tc>
          <w:tcPr>
            <w:tcW w:w="39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金泉街-锦官驿街</w:t>
            </w:r>
          </w:p>
        </w:tc>
        <w:tc>
          <w:tcPr>
            <w:tcW w:w="1631"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三级</w:t>
            </w:r>
            <w:r>
              <w:rPr>
                <w:rFonts w:hint="eastAsia" w:ascii="宋体" w:hAnsi="宋体" w:cs="宋体"/>
                <w:color w:val="auto"/>
                <w:kern w:val="0"/>
                <w:sz w:val="22"/>
                <w:szCs w:val="22"/>
                <w:highlight w:val="none"/>
                <w:lang w:val="en-US" w:eastAsia="zh-CN" w:bidi="ar"/>
              </w:rPr>
              <w:t>道路</w:t>
            </w:r>
          </w:p>
        </w:tc>
      </w:tr>
      <w:tr>
        <w:tblPrEx>
          <w:tblLayout w:type="fixed"/>
          <w:tblCellMar>
            <w:top w:w="0" w:type="dxa"/>
            <w:left w:w="0" w:type="dxa"/>
            <w:bottom w:w="0" w:type="dxa"/>
            <w:right w:w="0" w:type="dxa"/>
          </w:tblCellMar>
        </w:tblPrEx>
        <w:trPr>
          <w:trHeight w:val="270" w:hRule="atLeast"/>
        </w:trPr>
        <w:tc>
          <w:tcPr>
            <w:tcW w:w="9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85</w:t>
            </w:r>
          </w:p>
        </w:tc>
        <w:tc>
          <w:tcPr>
            <w:tcW w:w="210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青和里北段沿线</w:t>
            </w:r>
          </w:p>
        </w:tc>
        <w:tc>
          <w:tcPr>
            <w:tcW w:w="39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青龙横街-一环路东五段</w:t>
            </w:r>
          </w:p>
        </w:tc>
        <w:tc>
          <w:tcPr>
            <w:tcW w:w="16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86</w:t>
            </w:r>
          </w:p>
        </w:tc>
        <w:tc>
          <w:tcPr>
            <w:tcW w:w="210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青和里南段沿线</w:t>
            </w:r>
          </w:p>
        </w:tc>
        <w:tc>
          <w:tcPr>
            <w:tcW w:w="39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青龙横街-一环路东五段</w:t>
            </w:r>
          </w:p>
        </w:tc>
        <w:tc>
          <w:tcPr>
            <w:tcW w:w="16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87</w:t>
            </w:r>
          </w:p>
        </w:tc>
        <w:tc>
          <w:tcPr>
            <w:tcW w:w="210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牛王庙后街</w:t>
            </w:r>
          </w:p>
        </w:tc>
        <w:tc>
          <w:tcPr>
            <w:tcW w:w="39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一环路东四段-光明巷子-光明路</w:t>
            </w:r>
          </w:p>
        </w:tc>
        <w:tc>
          <w:tcPr>
            <w:tcW w:w="16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88</w:t>
            </w:r>
          </w:p>
        </w:tc>
        <w:tc>
          <w:tcPr>
            <w:tcW w:w="210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牛王庙北街</w:t>
            </w:r>
          </w:p>
        </w:tc>
        <w:tc>
          <w:tcPr>
            <w:tcW w:w="39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东风路-牛王庙巷</w:t>
            </w:r>
          </w:p>
        </w:tc>
        <w:tc>
          <w:tcPr>
            <w:tcW w:w="16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89</w:t>
            </w:r>
          </w:p>
        </w:tc>
        <w:tc>
          <w:tcPr>
            <w:tcW w:w="210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时代1号8号之间通道</w:t>
            </w:r>
          </w:p>
        </w:tc>
        <w:tc>
          <w:tcPr>
            <w:tcW w:w="39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c>
          <w:tcPr>
            <w:tcW w:w="16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r>
        <w:tblPrEx>
          <w:tblLayout w:type="fixed"/>
          <w:tblCellMar>
            <w:top w:w="0" w:type="dxa"/>
            <w:left w:w="0" w:type="dxa"/>
            <w:bottom w:w="0" w:type="dxa"/>
            <w:right w:w="0" w:type="dxa"/>
          </w:tblCellMar>
        </w:tblPrEx>
        <w:trPr>
          <w:trHeight w:val="270" w:hRule="atLeast"/>
        </w:trPr>
        <w:tc>
          <w:tcPr>
            <w:tcW w:w="9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90</w:t>
            </w:r>
          </w:p>
        </w:tc>
        <w:tc>
          <w:tcPr>
            <w:tcW w:w="210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时代豪庭通道</w:t>
            </w:r>
          </w:p>
        </w:tc>
        <w:tc>
          <w:tcPr>
            <w:tcW w:w="39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香巷子-水津街</w:t>
            </w:r>
          </w:p>
        </w:tc>
        <w:tc>
          <w:tcPr>
            <w:tcW w:w="16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color w:val="auto"/>
                <w:sz w:val="22"/>
                <w:szCs w:val="22"/>
                <w:highlight w:val="none"/>
              </w:rPr>
            </w:pPr>
          </w:p>
        </w:tc>
      </w:tr>
    </w:tbl>
    <w:p>
      <w:pPr>
        <w:autoSpaceDE w:val="0"/>
        <w:autoSpaceDN w:val="0"/>
        <w:adjustRightInd w:val="0"/>
        <w:jc w:val="left"/>
        <w:rPr>
          <w:rFonts w:ascii="宋体" w:hAnsi="宋体" w:cs="宋体"/>
          <w:color w:val="auto"/>
          <w:kern w:val="0"/>
          <w:sz w:val="24"/>
          <w:szCs w:val="24"/>
          <w:highlight w:val="none"/>
        </w:rPr>
      </w:pPr>
    </w:p>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w:t>
      </w:r>
      <w:r>
        <w:rPr>
          <w:rFonts w:ascii="宋体" w:hAnsi="宋体"/>
          <w:color w:val="auto"/>
          <w:sz w:val="24"/>
          <w:szCs w:val="24"/>
          <w:highlight w:val="none"/>
        </w:rPr>
        <w:t>15</w:t>
      </w:r>
      <w:r>
        <w:rPr>
          <w:rFonts w:hint="eastAsia" w:ascii="宋体" w:hAnsi="宋体"/>
          <w:color w:val="auto"/>
          <w:sz w:val="24"/>
          <w:szCs w:val="24"/>
          <w:highlight w:val="none"/>
        </w:rPr>
        <w:t>座（下莲池街口公厕、镋钯街公厕、铜井巷公厕、龙王庙正街公厕、东升广场公厕、东顺城南街公厕、合江亭思蜀园公厕、兰桂坊公厕、廊桥公厕、上行汇锦公厕、阳光新业公厕、太古里1号公厕、太古里2号公厕、太古里3号公厕、太古里4号公厕）；定时开放公厕8座（青莲下街公厕、睿东中心公厕、国际金融中心公厕、锦界公厕、双槐树公厕、青和里南段公厕、时代广场公厕、青龙正街公厕）。</w:t>
      </w:r>
    </w:p>
    <w:p>
      <w:pPr>
        <w:numPr>
          <w:ilvl w:val="0"/>
          <w:numId w:val="37"/>
        </w:numPr>
        <w:spacing w:line="360" w:lineRule="auto"/>
        <w:rPr>
          <w:rFonts w:hint="eastAsia"/>
          <w:b/>
          <w:color w:val="auto"/>
          <w:sz w:val="28"/>
          <w:szCs w:val="28"/>
          <w:highlight w:val="none"/>
        </w:rPr>
      </w:pPr>
      <w:r>
        <w:rPr>
          <w:rFonts w:hint="eastAsia"/>
          <w:b/>
          <w:color w:val="auto"/>
          <w:sz w:val="28"/>
          <w:szCs w:val="28"/>
          <w:highlight w:val="none"/>
        </w:rPr>
        <w:t>园林绿化</w:t>
      </w:r>
    </w:p>
    <w:p>
      <w:pPr>
        <w:spacing w:line="360" w:lineRule="auto"/>
        <w:ind w:firstLine="480" w:firstLineChars="200"/>
        <w:rPr>
          <w:color w:val="auto"/>
          <w:highlight w:val="none"/>
        </w:rPr>
      </w:pPr>
      <w:r>
        <w:rPr>
          <w:rFonts w:hint="eastAsia" w:ascii="宋体" w:hAnsi="宋体"/>
          <w:color w:val="auto"/>
          <w:kern w:val="0"/>
          <w:sz w:val="24"/>
          <w:szCs w:val="24"/>
          <w:highlight w:val="none"/>
          <w:lang w:bidi="ar"/>
        </w:rPr>
        <w:t>绿地面积10518</w:t>
      </w:r>
      <w:r>
        <w:rPr>
          <w:rFonts w:ascii="宋体" w:hAnsi="宋体"/>
          <w:color w:val="auto"/>
          <w:kern w:val="0"/>
          <w:sz w:val="24"/>
          <w:szCs w:val="24"/>
          <w:highlight w:val="none"/>
          <w:lang w:bidi="ar"/>
        </w:rPr>
        <w:t>㎡</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广场游园面积16313㎡</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地栽花面积2768㎡</w:t>
      </w:r>
      <w:r>
        <w:rPr>
          <w:rFonts w:hint="eastAsia" w:ascii="宋体" w:hAnsi="宋体"/>
          <w:color w:val="auto"/>
          <w:kern w:val="0"/>
          <w:sz w:val="24"/>
          <w:szCs w:val="24"/>
          <w:highlight w:val="none"/>
          <w:lang w:bidi="ar"/>
        </w:rPr>
        <w:t>。</w:t>
      </w:r>
    </w:p>
    <w:tbl>
      <w:tblPr>
        <w:tblStyle w:val="59"/>
        <w:tblpPr w:leftFromText="180" w:rightFromText="180" w:vertAnchor="text" w:horzAnchor="page" w:tblpX="1376" w:tblpY="620"/>
        <w:tblW w:w="7480" w:type="dxa"/>
        <w:tblInd w:w="0" w:type="dxa"/>
        <w:tblLayout w:type="fixed"/>
        <w:tblCellMar>
          <w:top w:w="0" w:type="dxa"/>
          <w:left w:w="108" w:type="dxa"/>
          <w:bottom w:w="0" w:type="dxa"/>
          <w:right w:w="108" w:type="dxa"/>
        </w:tblCellMar>
      </w:tblPr>
      <w:tblGrid>
        <w:gridCol w:w="720"/>
        <w:gridCol w:w="2340"/>
        <w:gridCol w:w="1180"/>
        <w:gridCol w:w="1080"/>
        <w:gridCol w:w="1080"/>
        <w:gridCol w:w="1080"/>
      </w:tblGrid>
      <w:tr>
        <w:tblPrEx>
          <w:tblLayout w:type="fixed"/>
          <w:tblCellMar>
            <w:top w:w="0" w:type="dxa"/>
            <w:left w:w="108" w:type="dxa"/>
            <w:bottom w:w="0" w:type="dxa"/>
            <w:right w:w="108" w:type="dxa"/>
          </w:tblCellMar>
        </w:tblPrEx>
        <w:trPr>
          <w:trHeight w:val="1140" w:hRule="atLeast"/>
        </w:trPr>
        <w:tc>
          <w:tcPr>
            <w:tcW w:w="720" w:type="dxa"/>
            <w:vMerge w:val="restart"/>
            <w:tcBorders>
              <w:top w:val="single" w:color="auto" w:sz="4" w:space="0"/>
              <w:left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2340" w:type="dxa"/>
            <w:vMerge w:val="restart"/>
            <w:tcBorders>
              <w:top w:val="single" w:color="auto" w:sz="4" w:space="0"/>
              <w:left w:val="nil"/>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4420" w:type="dxa"/>
            <w:gridSpan w:val="4"/>
            <w:tcBorders>
              <w:top w:val="single" w:color="auto" w:sz="4" w:space="0"/>
              <w:left w:val="nil"/>
              <w:bottom w:val="single" w:color="auto" w:sz="4" w:space="0"/>
              <w:right w:val="single" w:color="auto" w:sz="4" w:space="0"/>
            </w:tcBorders>
            <w:vAlign w:val="center"/>
          </w:tcPr>
          <w:p>
            <w:pPr>
              <w:widowControl/>
              <w:jc w:val="center"/>
              <w:rPr>
                <w:rFonts w:hint="eastAsia"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招标面积（㎡）</w:t>
            </w:r>
          </w:p>
        </w:tc>
      </w:tr>
      <w:tr>
        <w:tblPrEx>
          <w:tblLayout w:type="fixed"/>
          <w:tblCellMar>
            <w:top w:w="0" w:type="dxa"/>
            <w:left w:w="108" w:type="dxa"/>
            <w:bottom w:w="0" w:type="dxa"/>
            <w:right w:w="108" w:type="dxa"/>
          </w:tblCellMar>
        </w:tblPrEx>
        <w:trPr>
          <w:trHeight w:val="1140" w:hRule="atLeast"/>
        </w:trPr>
        <w:tc>
          <w:tcPr>
            <w:tcW w:w="720" w:type="dxa"/>
            <w:vMerge w:val="continue"/>
            <w:tcBorders>
              <w:left w:val="single" w:color="auto" w:sz="4" w:space="0"/>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p>
        </w:tc>
        <w:tc>
          <w:tcPr>
            <w:tcW w:w="2340" w:type="dxa"/>
            <w:vMerge w:val="continue"/>
            <w:tcBorders>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p>
        </w:tc>
        <w:tc>
          <w:tcPr>
            <w:tcW w:w="1180"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lang w:eastAsia="zh-CN"/>
              </w:rPr>
              <w:t>小计</w:t>
            </w:r>
            <w:r>
              <w:rPr>
                <w:rFonts w:hint="eastAsia" w:ascii="华文黑体" w:hAnsi="宋体" w:eastAsia="华文黑体" w:cs="宋体"/>
                <w:b/>
                <w:bCs/>
                <w:color w:val="auto"/>
                <w:kern w:val="0"/>
                <w:sz w:val="24"/>
                <w:szCs w:val="24"/>
                <w:highlight w:val="none"/>
              </w:rPr>
              <w:t>（㎡）</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绿地面积（㎡）实测</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地栽花（㎡）</w:t>
            </w: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下莲池街绿化</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102</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102</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东升广场</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3500</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3200</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300</w:t>
            </w: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都会风尚绿地</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2650</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2650</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东门大桥桥头花台</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315</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315</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下莲池街12号绿化</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165</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165</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6</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青安古城墙绿地</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675</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675</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7</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残联门前绿地</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250</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250</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8</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镗钯街活字广场 </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518</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518</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48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9</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礼仪职中及镗钯街花台和围墙绿化</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658</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658</w:t>
            </w: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10</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青和里游园</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953</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953</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新世纪门后</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200</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200</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48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12</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一环路东五段工商银行花台</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168</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168</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48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13</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一环路东五段万源大厦花台（含一环路花台）</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428</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428</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14</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均隆街口 </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146</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146</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15</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较场坝东街102号对面</w:t>
            </w:r>
          </w:p>
        </w:tc>
        <w:tc>
          <w:tcPr>
            <w:tcW w:w="1180" w:type="dxa"/>
            <w:tcBorders>
              <w:top w:val="nil"/>
              <w:left w:val="nil"/>
              <w:bottom w:val="nil"/>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118</w:t>
            </w:r>
          </w:p>
        </w:tc>
        <w:tc>
          <w:tcPr>
            <w:tcW w:w="1080" w:type="dxa"/>
            <w:tcBorders>
              <w:top w:val="nil"/>
              <w:left w:val="single" w:color="auto" w:sz="4" w:space="0"/>
              <w:bottom w:val="nil"/>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118</w:t>
            </w:r>
          </w:p>
        </w:tc>
        <w:tc>
          <w:tcPr>
            <w:tcW w:w="1080" w:type="dxa"/>
            <w:tcBorders>
              <w:top w:val="nil"/>
              <w:left w:val="single" w:color="auto" w:sz="4" w:space="0"/>
              <w:bottom w:val="nil"/>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16</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蓉上坊周边街头绿地</w:t>
            </w:r>
          </w:p>
        </w:tc>
        <w:tc>
          <w:tcPr>
            <w:tcW w:w="1180" w:type="dxa"/>
            <w:tcBorders>
              <w:top w:val="single" w:color="auto" w:sz="4" w:space="0"/>
              <w:left w:val="nil"/>
              <w:bottom w:val="single" w:color="auto" w:sz="4" w:space="0"/>
              <w:right w:val="nil"/>
            </w:tcBorders>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4846</w:t>
            </w:r>
          </w:p>
        </w:tc>
        <w:tc>
          <w:tcPr>
            <w:tcW w:w="1080" w:type="dxa"/>
            <w:tcBorders>
              <w:top w:val="single" w:color="auto" w:sz="4" w:space="0"/>
              <w:left w:val="single" w:color="auto" w:sz="4" w:space="0"/>
              <w:bottom w:val="single" w:color="auto" w:sz="4" w:space="0"/>
              <w:right w:val="nil"/>
            </w:tcBorders>
          </w:tcPr>
          <w:p>
            <w:pPr>
              <w:widowControl/>
              <w:jc w:val="center"/>
              <w:rPr>
                <w:rFonts w:ascii="宋体" w:hAnsi="宋体" w:cs="宋体"/>
                <w:color w:val="auto"/>
                <w:kern w:val="0"/>
                <w:sz w:val="24"/>
                <w:szCs w:val="24"/>
                <w:highlight w:val="none"/>
              </w:rPr>
            </w:pPr>
          </w:p>
        </w:tc>
        <w:tc>
          <w:tcPr>
            <w:tcW w:w="1080" w:type="dxa"/>
            <w:tcBorders>
              <w:top w:val="single" w:color="auto" w:sz="4" w:space="0"/>
              <w:left w:val="single" w:color="auto" w:sz="4" w:space="0"/>
              <w:bottom w:val="single" w:color="auto" w:sz="4" w:space="0"/>
              <w:right w:val="nil"/>
            </w:tcBorders>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4846</w:t>
            </w: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17</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紫东正街（咔诺迪门前）</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880</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880</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18</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水井街化工宿舍门口</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125</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125</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19</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水津街七中围栏花台 </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265</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265</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21</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“九眼桥”小游园</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2148</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1948</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200</w:t>
            </w: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22</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点将台东街</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1100</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1100</w:t>
            </w:r>
          </w:p>
        </w:tc>
        <w:tc>
          <w:tcPr>
            <w:tcW w:w="1080"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23</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水井街小游园</w:t>
            </w:r>
          </w:p>
        </w:tc>
        <w:tc>
          <w:tcPr>
            <w:tcW w:w="11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3391</w:t>
            </w: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3151</w:t>
            </w: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240</w:t>
            </w:r>
          </w:p>
        </w:tc>
      </w:tr>
      <w:tr>
        <w:tblPrEx>
          <w:tblLayout w:type="fixed"/>
          <w:tblCellMar>
            <w:top w:w="0" w:type="dxa"/>
            <w:left w:w="108" w:type="dxa"/>
            <w:bottom w:w="0" w:type="dxa"/>
            <w:right w:w="108" w:type="dxa"/>
          </w:tblCellMar>
        </w:tblPrEx>
        <w:trPr>
          <w:trHeight w:val="270" w:hRule="atLeast"/>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24</w:t>
            </w:r>
          </w:p>
        </w:tc>
        <w:tc>
          <w:tcPr>
            <w:tcW w:w="2340" w:type="dxa"/>
            <w:tcBorders>
              <w:top w:val="nil"/>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水井街花箱</w:t>
            </w:r>
          </w:p>
        </w:tc>
        <w:tc>
          <w:tcPr>
            <w:tcW w:w="11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170</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1080" w:type="dxa"/>
            <w:tcBorders>
              <w:top w:val="nil"/>
              <w:left w:val="nil"/>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170</w:t>
            </w:r>
          </w:p>
        </w:tc>
      </w:tr>
      <w:tr>
        <w:tblPrEx>
          <w:tblLayout w:type="fixed"/>
          <w:tblCellMar>
            <w:top w:w="0" w:type="dxa"/>
            <w:left w:w="108" w:type="dxa"/>
            <w:bottom w:w="0" w:type="dxa"/>
            <w:right w:w="108" w:type="dxa"/>
          </w:tblCellMar>
        </w:tblPrEx>
        <w:trPr>
          <w:trHeight w:val="480" w:hRule="atLeast"/>
        </w:trPr>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25</w:t>
            </w:r>
          </w:p>
        </w:tc>
        <w:tc>
          <w:tcPr>
            <w:tcW w:w="2340" w:type="dxa"/>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 w:val="24"/>
                <w:szCs w:val="24"/>
                <w:highlight w:val="none"/>
              </w:rPr>
            </w:pPr>
            <w:r>
              <w:rPr>
                <w:rFonts w:hint="eastAsia" w:ascii="宋体" w:hAnsi="宋体" w:cs="宋体"/>
                <w:color w:val="auto"/>
                <w:kern w:val="0"/>
                <w:sz w:val="24"/>
                <w:szCs w:val="24"/>
                <w:highlight w:val="none"/>
              </w:rPr>
              <w:t>牛王庙明宇停车场“两拆一增”</w:t>
            </w:r>
          </w:p>
        </w:tc>
        <w:tc>
          <w:tcPr>
            <w:tcW w:w="118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5828</w:t>
            </w:r>
          </w:p>
        </w:tc>
        <w:tc>
          <w:tcPr>
            <w:tcW w:w="1080" w:type="dxa"/>
            <w:tcBorders>
              <w:top w:val="single" w:color="auto" w:sz="4" w:space="0"/>
              <w:left w:val="nil"/>
              <w:bottom w:val="single" w:color="auto" w:sz="4" w:space="0"/>
              <w:right w:val="nil"/>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4628</w:t>
            </w:r>
          </w:p>
        </w:tc>
        <w:tc>
          <w:tcPr>
            <w:tcW w:w="1080" w:type="dxa"/>
            <w:tcBorders>
              <w:top w:val="single" w:color="auto" w:sz="4" w:space="0"/>
              <w:left w:val="single" w:color="auto" w:sz="4" w:space="0"/>
              <w:bottom w:val="single" w:color="auto" w:sz="4" w:space="0"/>
              <w:right w:val="nil"/>
            </w:tcBorders>
            <w:vAlign w:val="center"/>
          </w:tcPr>
          <w:p>
            <w:pPr>
              <w:widowControl/>
              <w:jc w:val="center"/>
              <w:rPr>
                <w:rFonts w:ascii="宋体" w:hAnsi="宋体" w:cs="宋体"/>
                <w:color w:val="auto"/>
                <w:kern w:val="0"/>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1200</w:t>
            </w:r>
          </w:p>
        </w:tc>
      </w:tr>
      <w:tr>
        <w:tblPrEx>
          <w:tblLayout w:type="fixed"/>
          <w:tblCellMar>
            <w:top w:w="0" w:type="dxa"/>
            <w:left w:w="108" w:type="dxa"/>
            <w:bottom w:w="0" w:type="dxa"/>
            <w:right w:w="108" w:type="dxa"/>
          </w:tblCellMar>
        </w:tblPrEx>
        <w:trPr>
          <w:trHeight w:val="480" w:hRule="atLeast"/>
        </w:trPr>
        <w:tc>
          <w:tcPr>
            <w:tcW w:w="30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合计</w:t>
            </w:r>
          </w:p>
        </w:tc>
        <w:tc>
          <w:tcPr>
            <w:tcW w:w="1180"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29599</w:t>
            </w:r>
          </w:p>
        </w:tc>
        <w:tc>
          <w:tcPr>
            <w:tcW w:w="1080" w:type="dxa"/>
            <w:tcBorders>
              <w:top w:val="single" w:color="auto" w:sz="4" w:space="0"/>
              <w:left w:val="nil"/>
              <w:bottom w:val="single" w:color="auto" w:sz="4" w:space="0"/>
              <w:right w:val="nil"/>
            </w:tcBorders>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10518</w:t>
            </w:r>
          </w:p>
        </w:tc>
        <w:tc>
          <w:tcPr>
            <w:tcW w:w="1080" w:type="dxa"/>
            <w:tcBorders>
              <w:top w:val="single" w:color="auto" w:sz="4" w:space="0"/>
              <w:left w:val="single" w:color="auto" w:sz="4" w:space="0"/>
              <w:bottom w:val="single" w:color="auto" w:sz="4" w:space="0"/>
              <w:right w:val="nil"/>
            </w:tcBorders>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16313</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2768</w:t>
            </w:r>
          </w:p>
        </w:tc>
      </w:tr>
    </w:tbl>
    <w:p>
      <w:pPr>
        <w:autoSpaceDE w:val="0"/>
        <w:autoSpaceDN w:val="0"/>
        <w:adjustRightInd w:val="0"/>
        <w:jc w:val="left"/>
        <w:rPr>
          <w:rFonts w:ascii="宋体" w:hAnsi="Times New Roman" w:cs="宋体"/>
          <w:color w:val="auto"/>
          <w:kern w:val="0"/>
          <w:sz w:val="24"/>
          <w:szCs w:val="24"/>
          <w:highlight w:val="none"/>
          <w:lang w:bidi="ar"/>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（三）设施设备需求数量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8辆；洒水车（核定载质量≥8吨）4辆；多功能洗扫车（核定载质量≥4吨）4辆；雾炮车（核定载质量≥5吨）1辆；护栏清洗车（核定载质量≥3吨）1辆；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w:t>
      </w:r>
      <w:r>
        <w:rPr>
          <w:rFonts w:hint="eastAsia" w:ascii="宋体" w:hAnsi="宋体"/>
          <w:color w:val="auto"/>
          <w:szCs w:val="21"/>
          <w:highlight w:val="none"/>
        </w:rPr>
        <w:t>垃圾收集车（箱式货车）：</w:t>
      </w:r>
      <w:r>
        <w:rPr>
          <w:rFonts w:hint="eastAsia" w:ascii="宋体" w:hAnsi="宋体"/>
          <w:color w:val="auto"/>
          <w:kern w:val="0"/>
          <w:sz w:val="24"/>
          <w:szCs w:val="24"/>
          <w:highlight w:val="none"/>
          <w:lang w:bidi="ar"/>
        </w:rPr>
        <w:t>可回收物箱式货车（核定载质量≥1吨）2辆，有害垃圾箱式货车（核定载质量≥0.5吨）1辆；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收集车17辆；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bidi="ar"/>
        </w:rPr>
        <w:t>2</w:t>
      </w:r>
      <w:r>
        <w:rPr>
          <w:rFonts w:hint="eastAsia" w:ascii="宋体" w:hAnsi="宋体"/>
          <w:color w:val="auto"/>
          <w:kern w:val="0"/>
          <w:sz w:val="24"/>
          <w:szCs w:val="24"/>
          <w:highlight w:val="none"/>
          <w:lang w:val="en-US" w:eastAsia="zh-CN" w:bidi="ar"/>
        </w:rPr>
        <w:t>4</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8辆；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，小型分类收集车</w:t>
      </w:r>
      <w:r>
        <w:rPr>
          <w:rFonts w:hint="eastAsia" w:ascii="宋体" w:hAnsi="宋体"/>
          <w:color w:val="auto"/>
          <w:kern w:val="0"/>
          <w:sz w:val="24"/>
          <w:szCs w:val="24"/>
          <w:highlight w:val="none"/>
          <w:lang w:val="en-US" w:eastAsia="zh-CN" w:bidi="ar"/>
        </w:rPr>
        <w:t>5辆</w:t>
      </w:r>
      <w:r>
        <w:rPr>
          <w:rFonts w:hint="eastAsia" w:ascii="宋体" w:hAnsi="宋体"/>
          <w:color w:val="auto"/>
          <w:kern w:val="0"/>
          <w:sz w:val="24"/>
          <w:szCs w:val="24"/>
          <w:highlight w:val="none"/>
          <w:lang w:bidi="ar"/>
        </w:rPr>
        <w:t>。</w:t>
      </w:r>
    </w:p>
    <w:p>
      <w:pPr>
        <w:tabs>
          <w:tab w:val="left" w:pos="562"/>
        </w:tabs>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（四）人员数量</w:t>
      </w:r>
    </w:p>
    <w:p>
      <w:pPr>
        <w:rPr>
          <w:color w:val="auto"/>
          <w:highlight w:val="none"/>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项目经理1人，绿化管护项目负责人1人，绿化管护技术负责人1人，时令鲜花（含花镜）专职管理技术人员1人，辖区公厕质量管理人员2人，公厕维修维护人员2人，环卫工人261人，绿化管护工人30人，环卫公厕管护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。驾驶人员不做具体要求，根据车辆数量配备。</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锦华路街道办事处：</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道路清扫保洁面积775300㎡</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其中一级道路保洁面积414887</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二级道路保洁面积64766</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三级道路保洁面积295647</w:t>
      </w:r>
      <w:r>
        <w:rPr>
          <w:rFonts w:ascii="宋体" w:hAnsi="宋体"/>
          <w:color w:val="auto"/>
          <w:sz w:val="24"/>
          <w:szCs w:val="24"/>
          <w:highlight w:val="none"/>
        </w:rPr>
        <w:t>㎡</w:t>
      </w:r>
      <w:r>
        <w:rPr>
          <w:rFonts w:hint="eastAsia" w:ascii="宋体" w:hAnsi="宋体"/>
          <w:color w:val="auto"/>
          <w:sz w:val="24"/>
          <w:szCs w:val="24"/>
          <w:highlight w:val="none"/>
        </w:rPr>
        <w:t>；其他垃圾日清运量71吨；厨余垃圾日清运量4吨</w:t>
      </w:r>
      <w:r>
        <w:rPr>
          <w:rFonts w:hint="eastAsia" w:ascii="宋体" w:hAnsi="宋体"/>
          <w:color w:val="auto"/>
          <w:sz w:val="24"/>
          <w:szCs w:val="24"/>
          <w:highlight w:val="none"/>
          <w:lang w:eastAsia="zh-CN"/>
        </w:rPr>
        <w:t>。</w:t>
      </w:r>
    </w:p>
    <w:p>
      <w:pPr>
        <w:pStyle w:val="2"/>
        <w:jc w:val="center"/>
        <w:rPr>
          <w:rFonts w:hint="default"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道路明细表</w:t>
      </w:r>
    </w:p>
    <w:tbl>
      <w:tblPr>
        <w:tblStyle w:val="59"/>
        <w:tblpPr w:leftFromText="180" w:rightFromText="180" w:vertAnchor="text" w:horzAnchor="page" w:tblpX="1605" w:tblpY="239"/>
        <w:tblOverlap w:val="never"/>
        <w:tblW w:w="8610" w:type="dxa"/>
        <w:tblInd w:w="0" w:type="dxa"/>
        <w:tblLayout w:type="fixed"/>
        <w:tblCellMar>
          <w:top w:w="0" w:type="dxa"/>
          <w:left w:w="0" w:type="dxa"/>
          <w:bottom w:w="0" w:type="dxa"/>
          <w:right w:w="0" w:type="dxa"/>
        </w:tblCellMar>
      </w:tblPr>
      <w:tblGrid>
        <w:gridCol w:w="925"/>
        <w:gridCol w:w="1942"/>
        <w:gridCol w:w="4186"/>
        <w:gridCol w:w="1557"/>
      </w:tblGrid>
      <w:tr>
        <w:tblPrEx>
          <w:tblLayout w:type="fixed"/>
          <w:tblCellMar>
            <w:top w:w="0" w:type="dxa"/>
            <w:left w:w="0" w:type="dxa"/>
            <w:bottom w:w="0" w:type="dxa"/>
            <w:right w:w="0" w:type="dxa"/>
          </w:tblCellMar>
        </w:tblPrEx>
        <w:trPr>
          <w:trHeight w:val="446" w:hRule="atLeast"/>
        </w:trPr>
        <w:tc>
          <w:tcPr>
            <w:tcW w:w="9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方正黑体简体" w:hAnsi="方正黑体简体" w:eastAsia="方正黑体简体" w:cs="方正黑体简体"/>
                <w:color w:val="auto"/>
                <w:sz w:val="20"/>
                <w:szCs w:val="20"/>
                <w:highlight w:val="none"/>
              </w:rPr>
            </w:pPr>
            <w:r>
              <w:rPr>
                <w:rFonts w:ascii="方正黑体简体" w:hAnsi="方正黑体简体" w:eastAsia="方正黑体简体" w:cs="方正黑体简体"/>
                <w:color w:val="auto"/>
                <w:kern w:val="0"/>
                <w:sz w:val="20"/>
                <w:szCs w:val="20"/>
                <w:highlight w:val="none"/>
                <w:lang w:bidi="ar"/>
              </w:rPr>
              <w:t>序号</w:t>
            </w:r>
          </w:p>
        </w:tc>
        <w:tc>
          <w:tcPr>
            <w:tcW w:w="194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方正黑体简体" w:hAnsi="方正黑体简体" w:eastAsia="方正黑体简体" w:cs="方正黑体简体"/>
                <w:color w:val="auto"/>
                <w:sz w:val="20"/>
                <w:szCs w:val="20"/>
                <w:highlight w:val="none"/>
              </w:rPr>
            </w:pPr>
            <w:r>
              <w:rPr>
                <w:rFonts w:ascii="方正黑体简体" w:hAnsi="方正黑体简体" w:eastAsia="方正黑体简体" w:cs="方正黑体简体"/>
                <w:color w:val="auto"/>
                <w:kern w:val="0"/>
                <w:sz w:val="20"/>
                <w:szCs w:val="20"/>
                <w:highlight w:val="none"/>
                <w:lang w:bidi="ar"/>
              </w:rPr>
              <w:t>街道名称</w:t>
            </w:r>
          </w:p>
        </w:tc>
        <w:tc>
          <w:tcPr>
            <w:tcW w:w="418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方正黑体简体" w:hAnsi="方正黑体简体" w:eastAsia="方正黑体简体" w:cs="方正黑体简体"/>
                <w:color w:val="auto"/>
                <w:sz w:val="20"/>
                <w:szCs w:val="20"/>
                <w:highlight w:val="none"/>
              </w:rPr>
            </w:pPr>
            <w:r>
              <w:rPr>
                <w:rFonts w:ascii="方正黑体简体" w:hAnsi="方正黑体简体" w:eastAsia="方正黑体简体" w:cs="方正黑体简体"/>
                <w:color w:val="auto"/>
                <w:kern w:val="0"/>
                <w:sz w:val="20"/>
                <w:szCs w:val="20"/>
                <w:highlight w:val="none"/>
                <w:lang w:bidi="ar"/>
              </w:rPr>
              <w:t>起止点</w:t>
            </w:r>
          </w:p>
        </w:tc>
        <w:tc>
          <w:tcPr>
            <w:tcW w:w="155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方正黑体简体" w:hAnsi="方正黑体简体" w:eastAsia="方正黑体简体" w:cs="方正黑体简体"/>
                <w:color w:val="auto"/>
                <w:sz w:val="20"/>
                <w:szCs w:val="20"/>
                <w:highlight w:val="none"/>
                <w:lang w:val="en-US" w:eastAsia="zh-CN"/>
              </w:rPr>
            </w:pPr>
            <w:r>
              <w:rPr>
                <w:rFonts w:ascii="方正黑体简体" w:hAnsi="方正黑体简体" w:eastAsia="方正黑体简体" w:cs="方正黑体简体"/>
                <w:color w:val="auto"/>
                <w:kern w:val="0"/>
                <w:sz w:val="20"/>
                <w:szCs w:val="20"/>
                <w:highlight w:val="none"/>
                <w:lang w:bidi="ar"/>
              </w:rPr>
              <w:t>道路</w:t>
            </w:r>
            <w:r>
              <w:rPr>
                <w:rFonts w:hint="eastAsia" w:ascii="方正黑体简体" w:hAnsi="方正黑体简体" w:eastAsia="方正黑体简体" w:cs="方正黑体简体"/>
                <w:color w:val="auto"/>
                <w:kern w:val="0"/>
                <w:sz w:val="20"/>
                <w:szCs w:val="20"/>
                <w:highlight w:val="none"/>
                <w:lang w:val="en-US" w:eastAsia="zh-CN" w:bidi="ar"/>
              </w:rPr>
              <w:t>类型</w:t>
            </w:r>
          </w:p>
        </w:tc>
      </w:tr>
      <w:tr>
        <w:tblPrEx>
          <w:tblLayout w:type="fixed"/>
          <w:tblCellMar>
            <w:top w:w="0" w:type="dxa"/>
            <w:left w:w="0" w:type="dxa"/>
            <w:bottom w:w="0" w:type="dxa"/>
            <w:right w:w="0" w:type="dxa"/>
          </w:tblCellMar>
        </w:tblPrEx>
        <w:trPr>
          <w:trHeight w:val="312" w:hRule="atLeast"/>
        </w:trPr>
        <w:tc>
          <w:tcPr>
            <w:tcW w:w="9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方正黑体简体" w:hAnsi="方正黑体简体" w:eastAsia="方正黑体简体" w:cs="方正黑体简体"/>
                <w:color w:val="auto"/>
                <w:sz w:val="20"/>
                <w:szCs w:val="20"/>
                <w:highlight w:val="none"/>
              </w:rPr>
            </w:pPr>
          </w:p>
        </w:tc>
        <w:tc>
          <w:tcPr>
            <w:tcW w:w="194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方正黑体简体" w:hAnsi="方正黑体简体" w:eastAsia="方正黑体简体" w:cs="方正黑体简体"/>
                <w:color w:val="auto"/>
                <w:sz w:val="20"/>
                <w:szCs w:val="20"/>
                <w:highlight w:val="none"/>
              </w:rPr>
            </w:pPr>
          </w:p>
        </w:tc>
        <w:tc>
          <w:tcPr>
            <w:tcW w:w="41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方正黑体简体" w:hAnsi="方正黑体简体" w:eastAsia="方正黑体简体" w:cs="方正黑体简体"/>
                <w:color w:val="auto"/>
                <w:sz w:val="20"/>
                <w:szCs w:val="20"/>
                <w:highlight w:val="none"/>
              </w:rPr>
            </w:pPr>
          </w:p>
        </w:tc>
        <w:tc>
          <w:tcPr>
            <w:tcW w:w="15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方正黑体简体" w:hAnsi="方正黑体简体" w:eastAsia="方正黑体简体" w:cs="方正黑体简体"/>
                <w:color w:val="auto"/>
                <w:sz w:val="20"/>
                <w:szCs w:val="20"/>
                <w:highlight w:val="none"/>
              </w:rPr>
            </w:pPr>
          </w:p>
        </w:tc>
      </w:tr>
      <w:tr>
        <w:tblPrEx>
          <w:tblLayout w:type="fixed"/>
          <w:tblCellMar>
            <w:top w:w="0" w:type="dxa"/>
            <w:left w:w="0" w:type="dxa"/>
            <w:bottom w:w="0" w:type="dxa"/>
            <w:right w:w="0" w:type="dxa"/>
          </w:tblCellMar>
        </w:tblPrEx>
        <w:trPr>
          <w:trHeight w:val="682"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锦华路二段</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2.5环新红砖桥-三环路琉璃立交（出城方向）</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460"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锦绣大道</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琉璃路十字路口-高攀路大桥</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460"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柳翠路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琉璃路-翠风路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460"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科创路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琉璃路-三环路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洗瓦堰路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科创路-柳翠路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柳河路1</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琉璃路-科创路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天悦龙庭（柳河路2）</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科创路-洗瓦堰河边</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老红砖桥-三环路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翠柳柳湾路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三环路桥下-翠柳湾支路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翠柳湾支路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科创路-柳翠湾路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琉璃一街</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锦华路二段-琉璃路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琉璃二街</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锦华路二段-琉璃路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琉璃三街</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锦华路二段-琉璃路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小二街</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琉璃中街-琉璃路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琉璃小一街</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锦华路二段-琉璃路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琉璃四街</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锦华路二段-琉璃路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琉璃中街</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琉璃一街小一街-琉璃四街</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翠风路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科创路-柳翠路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洗瓦堰河边路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柳翠路-科创路</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洗瓦堰河边路2</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科创路-麻柳湾一组</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金具厂路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科创路-金具厂</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19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针织厂路</w:t>
            </w:r>
          </w:p>
        </w:tc>
        <w:tc>
          <w:tcPr>
            <w:tcW w:w="4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琉璃路-针织厂</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23</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琉璃一街内侧</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铺面人行道</w:t>
            </w:r>
          </w:p>
        </w:tc>
        <w:tc>
          <w:tcPr>
            <w:tcW w:w="1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24</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锦华路二段</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锦华路铁路桥-三环路左侧</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25</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锦绣大道二段</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锦华路-成龙路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26</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锦华路（成龙段）</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铁路桥-沙河桥（含半桥）</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27</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锦绣大道一段</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琉璃路-锦华路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28</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晨辉北路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锦华路-锦绣大道</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29</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晨辉路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锦华路-农科院</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30</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经天路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锦华路口-经天东路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经天路2号</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经天路-仁居路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32</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经天西路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三环路-经天路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33</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琉璃路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铁路桥-沙河桥（含半桥）</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34</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经天二街</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经天东路-经天西路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经天东路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三环路-经天路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经天一街</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经天东路-经天中路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仁居路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锦华路-经天西路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经天东路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2.5环路口-经天里</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晨辉东路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锦华路-金苹果幼儿园</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晨辉一街</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锦沙路-晨辉路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经天中路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三环路-经天路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琉三路（皇经段）</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经天西路-锦华路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晨辉二街</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锦沙路-晨辉路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44</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耀辉路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晨辉西路到锦华路三段</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45</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人人乐路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人人乐周边</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46</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梵木艺术馆路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风机厂-乐器厂门口</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47</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育才小筑路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金像嘉园周边</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48</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经天东路西侧小区辅道</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经天路口-经天三街</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49</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皇经市场路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经天路-皇经市场</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金像嘉园小区道路A</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金像农贸市场（半圈）</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51</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金像步行街</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晨辉北路-锦华路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52</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锦沙路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锦华路-晨辉二街</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53</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金像嘉园小区道路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晨辉北路-高压走廊</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54</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康郡小区道路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锦华路-琉璃路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55</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启明小区道路6</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琉三路-东晶丽苑</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56</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经天三街</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经天东路-经天西路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57</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阳光城步行街</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经天西路-锦华路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58</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经天里</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经天一街-经天路</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59</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上东花园小区道路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经天路-经天二街</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60</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狮子山路</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农科院-观音菜市</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61</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致瑞雅苑</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东光五组-金象寺四组</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308"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62</w:t>
            </w:r>
          </w:p>
        </w:tc>
        <w:tc>
          <w:tcPr>
            <w:tcW w:w="1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致瑞雅苑</w:t>
            </w:r>
          </w:p>
        </w:tc>
        <w:tc>
          <w:tcPr>
            <w:tcW w:w="4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街沿</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三级道路</w:t>
            </w:r>
          </w:p>
        </w:tc>
      </w:tr>
    </w:tbl>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环卫公厕：24小时公厕4座（锦华路二段公厕、景观寺公厕、琉璃一街公厕、凯丽香江公厕）；定时开放公厕9座（观音桥公厕、小沙河公厕、翠风路公厕、琉</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三路口公厕、康郡小游园、沙河左岸公厕、康郡城公厕、琉璃三街公厕、包江桥村一组公厕）。</w:t>
      </w:r>
    </w:p>
    <w:p>
      <w:pPr>
        <w:numPr>
          <w:ilvl w:val="0"/>
          <w:numId w:val="38"/>
        </w:numPr>
        <w:spacing w:line="360" w:lineRule="auto"/>
        <w:rPr>
          <w:b/>
          <w:color w:val="auto"/>
          <w:sz w:val="28"/>
          <w:szCs w:val="28"/>
          <w:highlight w:val="none"/>
        </w:rPr>
      </w:pPr>
      <w:r>
        <w:rPr>
          <w:rFonts w:hint="eastAsia"/>
          <w:b/>
          <w:color w:val="auto"/>
          <w:sz w:val="28"/>
          <w:szCs w:val="28"/>
          <w:highlight w:val="none"/>
        </w:rPr>
        <w:t>园林绿化</w:t>
      </w:r>
    </w:p>
    <w:p>
      <w:pPr>
        <w:spacing w:line="360" w:lineRule="auto"/>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142466㎡</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广场游园面积46863㎡</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地栽花面积200㎡</w:t>
      </w:r>
      <w:r>
        <w:rPr>
          <w:rFonts w:hint="eastAsia" w:ascii="宋体" w:hAnsi="宋体"/>
          <w:color w:val="auto"/>
          <w:kern w:val="0"/>
          <w:sz w:val="24"/>
          <w:szCs w:val="24"/>
          <w:highlight w:val="none"/>
          <w:lang w:bidi="ar"/>
        </w:rPr>
        <w:t>。</w:t>
      </w:r>
    </w:p>
    <w:p>
      <w:pPr>
        <w:pStyle w:val="2"/>
        <w:rPr>
          <w:color w:val="auto"/>
          <w:highlight w:val="none"/>
        </w:rPr>
      </w:pPr>
    </w:p>
    <w:p>
      <w:pPr>
        <w:pStyle w:val="2"/>
        <w:rPr>
          <w:color w:val="auto"/>
          <w:highlight w:val="none"/>
        </w:rPr>
      </w:pPr>
    </w:p>
    <w:p>
      <w:pPr>
        <w:pStyle w:val="3"/>
        <w:rPr>
          <w:color w:val="auto"/>
          <w:highlight w:val="none"/>
        </w:rPr>
      </w:pPr>
    </w:p>
    <w:p>
      <w:pPr>
        <w:pStyle w:val="3"/>
        <w:rPr>
          <w:color w:val="auto"/>
          <w:highlight w:val="none"/>
        </w:rPr>
      </w:pPr>
    </w:p>
    <w:tbl>
      <w:tblPr>
        <w:tblStyle w:val="59"/>
        <w:tblpPr w:leftFromText="180" w:rightFromText="180" w:vertAnchor="page" w:horzAnchor="page" w:tblpX="1908" w:tblpY="10899"/>
        <w:tblW w:w="8259" w:type="dxa"/>
        <w:tblInd w:w="0" w:type="dxa"/>
        <w:tblLayout w:type="fixed"/>
        <w:tblCellMar>
          <w:top w:w="0" w:type="dxa"/>
          <w:left w:w="108" w:type="dxa"/>
          <w:bottom w:w="0" w:type="dxa"/>
          <w:right w:w="108" w:type="dxa"/>
        </w:tblCellMar>
      </w:tblPr>
      <w:tblGrid>
        <w:gridCol w:w="534"/>
        <w:gridCol w:w="2976"/>
        <w:gridCol w:w="851"/>
        <w:gridCol w:w="850"/>
        <w:gridCol w:w="851"/>
        <w:gridCol w:w="2197"/>
      </w:tblGrid>
      <w:tr>
        <w:tblPrEx>
          <w:tblLayout w:type="fixed"/>
          <w:tblCellMar>
            <w:top w:w="0" w:type="dxa"/>
            <w:left w:w="108" w:type="dxa"/>
            <w:bottom w:w="0" w:type="dxa"/>
            <w:right w:w="108" w:type="dxa"/>
          </w:tblCellMar>
        </w:tblPrEx>
        <w:trPr>
          <w:trHeight w:val="855" w:hRule="atLeast"/>
        </w:trPr>
        <w:tc>
          <w:tcPr>
            <w:tcW w:w="534"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序号</w:t>
            </w:r>
          </w:p>
        </w:tc>
        <w:tc>
          <w:tcPr>
            <w:tcW w:w="2976" w:type="dxa"/>
            <w:vMerge w:val="restart"/>
            <w:tcBorders>
              <w:top w:val="single" w:color="auto" w:sz="4" w:space="0"/>
              <w:left w:val="nil"/>
              <w:right w:val="single" w:color="auto" w:sz="4" w:space="0"/>
            </w:tcBorders>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园林绿化点位</w:t>
            </w:r>
          </w:p>
        </w:tc>
        <w:tc>
          <w:tcPr>
            <w:tcW w:w="4749" w:type="dxa"/>
            <w:gridSpan w:val="4"/>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auto"/>
                <w:kern w:val="0"/>
                <w:sz w:val="24"/>
                <w:szCs w:val="24"/>
                <w:highlight w:val="none"/>
                <w:lang w:eastAsia="zh-CN"/>
              </w:rPr>
            </w:pPr>
            <w:r>
              <w:rPr>
                <w:rFonts w:hint="eastAsia" w:ascii="宋体" w:hAnsi="宋体" w:cs="宋体"/>
                <w:b/>
                <w:bCs/>
                <w:color w:val="auto"/>
                <w:kern w:val="0"/>
                <w:sz w:val="24"/>
                <w:szCs w:val="24"/>
                <w:highlight w:val="none"/>
                <w:lang w:eastAsia="zh-CN"/>
              </w:rPr>
              <w:t>招标面积（㎡）</w:t>
            </w:r>
          </w:p>
        </w:tc>
      </w:tr>
      <w:tr>
        <w:tblPrEx>
          <w:tblLayout w:type="fixed"/>
          <w:tblCellMar>
            <w:top w:w="0" w:type="dxa"/>
            <w:left w:w="108" w:type="dxa"/>
            <w:bottom w:w="0" w:type="dxa"/>
            <w:right w:w="108" w:type="dxa"/>
          </w:tblCellMar>
        </w:tblPrEx>
        <w:trPr>
          <w:trHeight w:val="855" w:hRule="atLeast"/>
        </w:trPr>
        <w:tc>
          <w:tcPr>
            <w:tcW w:w="534"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b/>
                <w:bCs/>
                <w:color w:val="auto"/>
                <w:kern w:val="0"/>
                <w:sz w:val="24"/>
                <w:szCs w:val="24"/>
                <w:highlight w:val="none"/>
              </w:rPr>
            </w:pPr>
          </w:p>
        </w:tc>
        <w:tc>
          <w:tcPr>
            <w:tcW w:w="2976" w:type="dxa"/>
            <w:vMerge w:val="continue"/>
            <w:tcBorders>
              <w:left w:val="nil"/>
              <w:bottom w:val="single" w:color="auto" w:sz="4" w:space="0"/>
              <w:right w:val="single" w:color="auto" w:sz="4" w:space="0"/>
            </w:tcBorders>
            <w:vAlign w:val="center"/>
          </w:tcPr>
          <w:p>
            <w:pPr>
              <w:widowControl/>
              <w:jc w:val="center"/>
              <w:rPr>
                <w:rFonts w:ascii="宋体" w:hAnsi="宋体" w:cs="宋体"/>
                <w:b/>
                <w:bCs/>
                <w:color w:val="auto"/>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eastAsia="zh-CN"/>
              </w:rPr>
              <w:t>小计</w:t>
            </w:r>
            <w:r>
              <w:rPr>
                <w:rFonts w:hint="eastAsia" w:ascii="宋体" w:hAnsi="宋体" w:cs="宋体"/>
                <w:b/>
                <w:bCs/>
                <w:color w:val="auto"/>
                <w:kern w:val="0"/>
                <w:sz w:val="24"/>
                <w:szCs w:val="24"/>
                <w:highlight w:val="none"/>
              </w:rPr>
              <w:t>（㎡）</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绿地面积（㎡）</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广场游园面积（㎡）</w:t>
            </w:r>
          </w:p>
        </w:tc>
        <w:tc>
          <w:tcPr>
            <w:tcW w:w="219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地栽花面积（㎡）</w:t>
            </w:r>
          </w:p>
        </w:tc>
      </w:tr>
      <w:tr>
        <w:tblPrEx>
          <w:tblLayout w:type="fixed"/>
          <w:tblCellMar>
            <w:top w:w="0" w:type="dxa"/>
            <w:left w:w="108" w:type="dxa"/>
            <w:bottom w:w="0" w:type="dxa"/>
            <w:right w:w="108" w:type="dxa"/>
          </w:tblCellMar>
        </w:tblPrEx>
        <w:trPr>
          <w:trHeight w:val="99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97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中环（柳江段），面积9547㎡，临府河边交投未打造面积5408㎡、桥上分车带410㎡）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15365</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15365</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科创路“柳江新居”五期绿化（柳江新居集中绿化广场）及桥边绿化带</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3665</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3665</w:t>
            </w: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4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科创路沿线</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4202</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4202</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4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凯丽香江外绿地（2012.8新增）</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38078</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38078</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85"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广场：府河文化体育广场</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12796</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12796</w:t>
            </w: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60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洗瓦堰河边</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8419</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8419</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沙河锦江入口至三环段绿道（2012.11新增）</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16666</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16666</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“科创路”微绿地</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689</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689</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皇经嘉园公建配套绿地</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7721</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7721</w:t>
            </w: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嘉翔外国语学校墙边绿化</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1120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1120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新成仁路快速通道（40米）B线工程绿化（锦华路二段分车带）</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1860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1860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锦江区“新居工程”皇经楼公服楼集中绿化（皇经楼西街路边绿地）</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3673</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3673</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皇经楼周边道路绿化及景观工程</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2807</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2807</w:t>
            </w:r>
          </w:p>
        </w:tc>
        <w:tc>
          <w:tcPr>
            <w:tcW w:w="851" w:type="dxa"/>
            <w:tcBorders>
              <w:top w:val="nil"/>
              <w:left w:val="nil"/>
              <w:bottom w:val="single" w:color="auto" w:sz="4" w:space="0"/>
              <w:right w:val="single" w:color="auto" w:sz="4" w:space="0"/>
            </w:tcBorders>
            <w:vAlign w:val="center"/>
          </w:tcPr>
          <w:p>
            <w:pPr>
              <w:widowControl/>
              <w:jc w:val="both"/>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皇经小区Ⅰ、Ⅱ标道路、排水及绿化工程（招标时采用1228平方米，建交局修路占用）</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1228</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1228</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1104"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29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皇经社区游园</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5602</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5602</w:t>
            </w:r>
          </w:p>
        </w:tc>
        <w:tc>
          <w:tcPr>
            <w:tcW w:w="219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29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彩蝶花园游园</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5200</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5200</w:t>
            </w:r>
          </w:p>
        </w:tc>
        <w:tc>
          <w:tcPr>
            <w:tcW w:w="219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武海阳光广场原为6800㎡，地铁占用6234㎡</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566</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566</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创业广场</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4800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4800</w:t>
            </w: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经天路绿地</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5600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5600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东晶丽苑绿化</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5300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5300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2.5环锦绣路琉璃路-经天东路</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24520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24520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经天西路分车带绿化</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1815</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1815</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720"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中环金像寺五组违法建设</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3400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3400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35"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晨辉东路</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609"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经天路</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2000</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2000</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57" w:hRule="atLeast"/>
        </w:trPr>
        <w:tc>
          <w:tcPr>
            <w:tcW w:w="53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w:t>
            </w:r>
          </w:p>
        </w:tc>
        <w:tc>
          <w:tcPr>
            <w:tcW w:w="2976"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沙河苑康郡小游园</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7279</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7079</w:t>
            </w:r>
          </w:p>
        </w:tc>
        <w:tc>
          <w:tcPr>
            <w:tcW w:w="2197"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w:t>
            </w:r>
          </w:p>
        </w:tc>
      </w:tr>
      <w:tr>
        <w:tblPrEx>
          <w:tblLayout w:type="fixed"/>
          <w:tblCellMar>
            <w:top w:w="0" w:type="dxa"/>
            <w:left w:w="108" w:type="dxa"/>
            <w:bottom w:w="0" w:type="dxa"/>
            <w:right w:w="108" w:type="dxa"/>
          </w:tblCellMar>
        </w:tblPrEx>
        <w:trPr>
          <w:trHeight w:val="551" w:hRule="atLeast"/>
        </w:trPr>
        <w:tc>
          <w:tcPr>
            <w:tcW w:w="534" w:type="dxa"/>
            <w:vMerge w:val="restart"/>
            <w:tcBorders>
              <w:top w:val="single" w:color="auto" w:sz="4" w:space="0"/>
              <w:left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27</w:t>
            </w:r>
          </w:p>
        </w:tc>
        <w:tc>
          <w:tcPr>
            <w:tcW w:w="2976" w:type="dxa"/>
            <w:vMerge w:val="restart"/>
            <w:tcBorders>
              <w:top w:val="single" w:color="auto" w:sz="4" w:space="0"/>
              <w:left w:val="nil"/>
              <w:right w:val="single" w:color="auto" w:sz="4" w:space="0"/>
            </w:tcBorders>
            <w:vAlign w:val="center"/>
          </w:tcPr>
          <w:p>
            <w:pPr>
              <w:jc w:val="left"/>
              <w:rPr>
                <w:rFonts w:ascii="宋体" w:hAnsi="宋体" w:cs="宋体"/>
                <w:color w:val="auto"/>
                <w:kern w:val="0"/>
                <w:szCs w:val="21"/>
                <w:highlight w:val="none"/>
              </w:rPr>
            </w:pPr>
            <w:r>
              <w:rPr>
                <w:rFonts w:hint="eastAsia" w:ascii="宋体" w:hAnsi="宋体" w:cs="宋体"/>
                <w:color w:val="auto"/>
                <w:kern w:val="0"/>
                <w:szCs w:val="21"/>
                <w:highlight w:val="none"/>
              </w:rPr>
              <w:t>琉璃一街</w:t>
            </w:r>
          </w:p>
        </w:tc>
        <w:tc>
          <w:tcPr>
            <w:tcW w:w="851" w:type="dxa"/>
            <w:vMerge w:val="restart"/>
            <w:tcBorders>
              <w:top w:val="single" w:color="auto" w:sz="4" w:space="0"/>
              <w:left w:val="nil"/>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3158</w:t>
            </w:r>
          </w:p>
        </w:tc>
        <w:tc>
          <w:tcPr>
            <w:tcW w:w="850" w:type="dxa"/>
            <w:vMerge w:val="restart"/>
            <w:tcBorders>
              <w:top w:val="single" w:color="auto" w:sz="4" w:space="0"/>
              <w:left w:val="nil"/>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3158</w:t>
            </w:r>
          </w:p>
        </w:tc>
        <w:tc>
          <w:tcPr>
            <w:tcW w:w="851" w:type="dxa"/>
            <w:vMerge w:val="restart"/>
            <w:tcBorders>
              <w:top w:val="single" w:color="auto" w:sz="4" w:space="0"/>
              <w:left w:val="nil"/>
              <w:right w:val="single" w:color="auto" w:sz="4" w:space="0"/>
            </w:tcBorders>
            <w:vAlign w:val="center"/>
          </w:tcPr>
          <w:p>
            <w:pPr>
              <w:jc w:val="center"/>
              <w:rPr>
                <w:rFonts w:ascii="宋体" w:hAnsi="宋体" w:cs="宋体"/>
                <w:color w:val="auto"/>
                <w:kern w:val="0"/>
                <w:szCs w:val="21"/>
                <w:highlight w:val="none"/>
              </w:rPr>
            </w:pPr>
          </w:p>
        </w:tc>
        <w:tc>
          <w:tcPr>
            <w:tcW w:w="2197" w:type="dxa"/>
            <w:vMerge w:val="restart"/>
            <w:tcBorders>
              <w:top w:val="single" w:color="auto" w:sz="4" w:space="0"/>
              <w:left w:val="nil"/>
              <w:right w:val="single" w:color="auto" w:sz="4" w:space="0"/>
            </w:tcBorders>
            <w:vAlign w:val="center"/>
          </w:tcPr>
          <w:p>
            <w:pPr>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312" w:hRule="atLeast"/>
        </w:trPr>
        <w:tc>
          <w:tcPr>
            <w:tcW w:w="534" w:type="dxa"/>
            <w:vMerge w:val="continue"/>
            <w:tcBorders>
              <w:left w:val="single" w:color="auto" w:sz="4" w:space="0"/>
              <w:bottom w:val="single" w:color="auto" w:sz="4" w:space="0"/>
              <w:right w:val="single" w:color="auto" w:sz="4" w:space="0"/>
            </w:tcBorders>
            <w:vAlign w:val="center"/>
          </w:tcPr>
          <w:p>
            <w:pPr>
              <w:widowControl/>
              <w:rPr>
                <w:rFonts w:ascii="宋体" w:hAnsi="宋体" w:cs="宋体"/>
                <w:color w:val="auto"/>
                <w:kern w:val="0"/>
                <w:szCs w:val="21"/>
                <w:highlight w:val="none"/>
              </w:rPr>
            </w:pPr>
          </w:p>
        </w:tc>
        <w:tc>
          <w:tcPr>
            <w:tcW w:w="2976" w:type="dxa"/>
            <w:vMerge w:val="continue"/>
            <w:tcBorders>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p>
        </w:tc>
        <w:tc>
          <w:tcPr>
            <w:tcW w:w="851" w:type="dxa"/>
            <w:vMerge w:val="continue"/>
            <w:tcBorders>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0" w:type="dxa"/>
            <w:vMerge w:val="continue"/>
            <w:tcBorders>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851" w:type="dxa"/>
            <w:vMerge w:val="continue"/>
            <w:tcBorders>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2197" w:type="dxa"/>
            <w:vMerge w:val="continue"/>
            <w:tcBorders>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312" w:hRule="atLeast"/>
        </w:trPr>
        <w:tc>
          <w:tcPr>
            <w:tcW w:w="35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合计</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189529</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142466</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46863</w:t>
            </w:r>
          </w:p>
        </w:tc>
        <w:tc>
          <w:tcPr>
            <w:tcW w:w="2197"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200</w:t>
            </w:r>
          </w:p>
        </w:tc>
      </w:tr>
    </w:tbl>
    <w:p>
      <w:pPr>
        <w:spacing w:line="360" w:lineRule="auto"/>
        <w:rPr>
          <w:rFonts w:hint="eastAsia" w:ascii="宋体" w:hAnsi="宋体"/>
          <w:color w:val="auto"/>
          <w:kern w:val="0"/>
          <w:sz w:val="24"/>
          <w:szCs w:val="24"/>
          <w:highlight w:val="none"/>
          <w:lang w:bidi="ar"/>
        </w:rPr>
      </w:pPr>
    </w:p>
    <w:p>
      <w:pPr>
        <w:spacing w:line="360" w:lineRule="auto"/>
        <w:rPr>
          <w:rFonts w:hint="eastAsia" w:ascii="宋体" w:hAnsi="宋体"/>
          <w:color w:val="auto"/>
          <w:kern w:val="0"/>
          <w:sz w:val="24"/>
          <w:szCs w:val="24"/>
          <w:highlight w:val="none"/>
          <w:lang w:bidi="ar"/>
        </w:rPr>
      </w:pPr>
    </w:p>
    <w:p>
      <w:pPr>
        <w:spacing w:line="360" w:lineRule="auto"/>
        <w:rPr>
          <w:rFonts w:hint="eastAsia" w:ascii="宋体" w:hAnsi="宋体"/>
          <w:color w:val="auto"/>
          <w:kern w:val="0"/>
          <w:sz w:val="24"/>
          <w:szCs w:val="24"/>
          <w:highlight w:val="none"/>
          <w:lang w:bidi="ar"/>
        </w:rPr>
      </w:pPr>
    </w:p>
    <w:p>
      <w:pPr>
        <w:spacing w:line="360" w:lineRule="auto"/>
        <w:rPr>
          <w:rFonts w:hint="eastAsia" w:ascii="宋体" w:hAnsi="宋体"/>
          <w:color w:val="auto"/>
          <w:kern w:val="0"/>
          <w:sz w:val="24"/>
          <w:szCs w:val="24"/>
          <w:highlight w:val="none"/>
          <w:lang w:bidi="ar"/>
        </w:rPr>
      </w:pPr>
    </w:p>
    <w:p>
      <w:pPr>
        <w:spacing w:line="360" w:lineRule="auto"/>
        <w:rPr>
          <w:rFonts w:hint="eastAsia" w:ascii="宋体" w:hAnsi="宋体"/>
          <w:color w:val="auto"/>
          <w:kern w:val="0"/>
          <w:sz w:val="24"/>
          <w:szCs w:val="24"/>
          <w:highlight w:val="none"/>
          <w:lang w:bidi="ar"/>
        </w:rPr>
      </w:pPr>
    </w:p>
    <w:p>
      <w:pPr>
        <w:spacing w:line="360" w:lineRule="auto"/>
        <w:rPr>
          <w:rFonts w:hint="eastAsia" w:ascii="宋体" w:hAnsi="宋体"/>
          <w:color w:val="auto"/>
          <w:kern w:val="0"/>
          <w:sz w:val="24"/>
          <w:szCs w:val="24"/>
          <w:highlight w:val="none"/>
          <w:lang w:bidi="ar"/>
        </w:rPr>
      </w:pPr>
    </w:p>
    <w:p>
      <w:pPr>
        <w:spacing w:line="360" w:lineRule="auto"/>
        <w:rPr>
          <w:rFonts w:hint="eastAsia" w:ascii="宋体" w:hAnsi="宋体"/>
          <w:color w:val="auto"/>
          <w:kern w:val="0"/>
          <w:sz w:val="24"/>
          <w:szCs w:val="24"/>
          <w:highlight w:val="none"/>
          <w:lang w:bidi="ar"/>
        </w:rPr>
      </w:pPr>
    </w:p>
    <w:p>
      <w:pPr>
        <w:spacing w:line="360" w:lineRule="auto"/>
        <w:rPr>
          <w:rFonts w:hint="eastAsia" w:ascii="宋体" w:hAnsi="宋体"/>
          <w:color w:val="auto"/>
          <w:kern w:val="0"/>
          <w:sz w:val="24"/>
          <w:szCs w:val="24"/>
          <w:highlight w:val="none"/>
          <w:lang w:bidi="ar"/>
        </w:rPr>
      </w:pPr>
    </w:p>
    <w:p>
      <w:pPr>
        <w:autoSpaceDE w:val="0"/>
        <w:autoSpaceDN w:val="0"/>
        <w:adjustRightInd w:val="0"/>
        <w:jc w:val="left"/>
        <w:rPr>
          <w:rFonts w:ascii="宋体" w:hAnsi="Times New Roman" w:cs="宋体"/>
          <w:color w:val="auto"/>
          <w:kern w:val="0"/>
          <w:sz w:val="24"/>
          <w:szCs w:val="24"/>
          <w:highlight w:val="none"/>
          <w:lang w:bidi="ar"/>
        </w:rPr>
      </w:pPr>
    </w:p>
    <w:p>
      <w:pPr>
        <w:autoSpaceDE w:val="0"/>
        <w:autoSpaceDN w:val="0"/>
        <w:adjustRightInd w:val="0"/>
        <w:jc w:val="left"/>
        <w:rPr>
          <w:rFonts w:hint="default" w:ascii="宋体" w:hAnsi="Times New Roman" w:eastAsia="宋体" w:cs="宋体"/>
          <w:color w:val="auto"/>
          <w:kern w:val="0"/>
          <w:sz w:val="24"/>
          <w:szCs w:val="24"/>
          <w:highlight w:val="none"/>
          <w:lang w:val="en-US" w:eastAsia="zh-CN" w:bidi="ar"/>
        </w:rPr>
      </w:pPr>
      <w:r>
        <w:rPr>
          <w:rFonts w:hint="eastAsia" w:ascii="宋体" w:hAnsi="Times New Roman" w:cs="宋体"/>
          <w:color w:val="auto"/>
          <w:kern w:val="0"/>
          <w:sz w:val="24"/>
          <w:szCs w:val="24"/>
          <w:highlight w:val="none"/>
          <w:lang w:eastAsia="zh-CN" w:bidi="ar"/>
        </w:rPr>
        <w:t xml:space="preserve"> </w:t>
      </w:r>
      <w:r>
        <w:rPr>
          <w:rFonts w:hint="eastAsia" w:ascii="宋体" w:hAnsi="Times New Roman" w:cs="宋体"/>
          <w:color w:val="auto"/>
          <w:kern w:val="0"/>
          <w:sz w:val="24"/>
          <w:szCs w:val="24"/>
          <w:highlight w:val="none"/>
          <w:lang w:val="en-US" w:eastAsia="zh-CN" w:bidi="ar"/>
        </w:rPr>
        <w:t xml:space="preserve">      </w:t>
      </w:r>
      <w:r>
        <w:rPr>
          <w:rFonts w:hint="eastAsia" w:ascii="宋体" w:hAnsi="Times New Roman" w:cs="宋体"/>
          <w:color w:val="auto"/>
          <w:kern w:val="0"/>
          <w:sz w:val="24"/>
          <w:szCs w:val="24"/>
          <w:highlight w:val="none"/>
          <w:lang w:eastAsia="zh-CN" w:bidi="ar"/>
        </w:rPr>
        <w:t xml:space="preserve"> </w:t>
      </w:r>
      <w:r>
        <w:rPr>
          <w:rFonts w:hint="eastAsia" w:ascii="宋体" w:hAnsi="Times New Roman" w:cs="宋体"/>
          <w:color w:val="auto"/>
          <w:kern w:val="0"/>
          <w:sz w:val="24"/>
          <w:szCs w:val="24"/>
          <w:highlight w:val="none"/>
          <w:lang w:val="en-US" w:eastAsia="zh-CN" w:bidi="ar"/>
        </w:rPr>
        <w:t xml:space="preserve">                                          </w:t>
      </w:r>
    </w:p>
    <w:p>
      <w:pPr>
        <w:numPr>
          <w:ilvl w:val="0"/>
          <w:numId w:val="0"/>
        </w:numPr>
        <w:spacing w:line="360" w:lineRule="auto"/>
        <w:rPr>
          <w:b/>
          <w:color w:val="auto"/>
          <w:sz w:val="28"/>
          <w:szCs w:val="28"/>
          <w:highlight w:val="none"/>
        </w:rPr>
      </w:pPr>
    </w:p>
    <w:p>
      <w:pPr>
        <w:numPr>
          <w:ilvl w:val="0"/>
          <w:numId w:val="39"/>
        </w:numPr>
        <w:spacing w:line="360" w:lineRule="auto"/>
        <w:rPr>
          <w:b/>
          <w:color w:val="auto"/>
          <w:sz w:val="28"/>
          <w:szCs w:val="28"/>
          <w:highlight w:val="none"/>
        </w:rPr>
      </w:pPr>
      <w:r>
        <w:rPr>
          <w:rFonts w:hint="eastAsia"/>
          <w:b/>
          <w:color w:val="auto"/>
          <w:sz w:val="28"/>
          <w:szCs w:val="28"/>
          <w:highlight w:val="none"/>
        </w:rPr>
        <w:t>河道管护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河床面积16800平方米，河道栏杆长度1200米，河道绿化面积15400平方米。</w:t>
      </w: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（四）设施设备需求数量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3辆；洒水车（核定载质量≥8吨）3辆；多功能洗扫车（核定载质量≥4吨）4辆；雾炮车（核定载质量≥5吨）1辆；护栏清洗车（核定载质量≥3吨）1辆；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收集车15辆；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bidi="ar"/>
        </w:rPr>
        <w:t>1</w:t>
      </w:r>
      <w:r>
        <w:rPr>
          <w:rFonts w:hint="eastAsia" w:ascii="宋体" w:hAnsi="宋体"/>
          <w:color w:val="auto"/>
          <w:kern w:val="0"/>
          <w:sz w:val="24"/>
          <w:szCs w:val="24"/>
          <w:highlight w:val="none"/>
          <w:lang w:val="en-US" w:eastAsia="zh-CN" w:bidi="ar"/>
        </w:rPr>
        <w:t>1</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8辆；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，小型分类收集车</w:t>
      </w:r>
      <w:r>
        <w:rPr>
          <w:rFonts w:hint="eastAsia" w:ascii="宋体" w:hAnsi="宋体"/>
          <w:color w:val="auto"/>
          <w:kern w:val="0"/>
          <w:sz w:val="24"/>
          <w:szCs w:val="24"/>
          <w:highlight w:val="none"/>
          <w:lang w:val="en-US" w:eastAsia="zh-CN" w:bidi="ar"/>
        </w:rPr>
        <w:t>5辆</w:t>
      </w:r>
      <w:r>
        <w:rPr>
          <w:rFonts w:hint="eastAsia" w:ascii="宋体" w:hAnsi="宋体"/>
          <w:color w:val="auto"/>
          <w:kern w:val="0"/>
          <w:sz w:val="24"/>
          <w:szCs w:val="24"/>
          <w:highlight w:val="none"/>
          <w:lang w:bidi="ar"/>
        </w:rPr>
        <w:t>。</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3. 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需配备河道打捞的基本设施及器具。</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（五）人员数量</w:t>
      </w:r>
    </w:p>
    <w:p>
      <w:pPr>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项目经理1人，绿化管护项目负责人1人，绿化管护技术负责人1人，时令鲜花（含花镜）专职管理技术人员1人，辖区公厕质量管理人员1人，公厕维修维护人员1人，环卫工人140人，绿化管护工人10人，环卫公厕管护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w:t>
      </w:r>
      <w:r>
        <w:rPr>
          <w:rFonts w:hint="eastAsia" w:ascii="宋体" w:hAnsi="宋体"/>
          <w:color w:val="auto"/>
          <w:kern w:val="0"/>
          <w:sz w:val="24"/>
          <w:szCs w:val="24"/>
          <w:highlight w:val="none"/>
          <w:lang w:eastAsia="zh-CN" w:bidi="ar"/>
        </w:rPr>
        <w:t>河道管护工人</w:t>
      </w:r>
      <w:r>
        <w:rPr>
          <w:rFonts w:hint="eastAsia" w:ascii="宋体" w:hAnsi="宋体"/>
          <w:color w:val="auto"/>
          <w:kern w:val="0"/>
          <w:sz w:val="24"/>
          <w:szCs w:val="24"/>
          <w:highlight w:val="none"/>
          <w:lang w:val="en-US" w:eastAsia="zh-CN" w:bidi="ar"/>
        </w:rPr>
        <w:t>3人；</w:t>
      </w:r>
      <w:r>
        <w:rPr>
          <w:rFonts w:hint="eastAsia" w:ascii="宋体" w:hAnsi="宋体"/>
          <w:color w:val="auto"/>
          <w:kern w:val="0"/>
          <w:sz w:val="24"/>
          <w:szCs w:val="24"/>
          <w:highlight w:val="none"/>
          <w:lang w:bidi="ar"/>
        </w:rPr>
        <w:t>驾驶人员不做具体要求，根据车辆数量配备。</w:t>
      </w:r>
    </w:p>
    <w:p>
      <w:pPr>
        <w:widowControl/>
        <w:jc w:val="left"/>
        <w:rPr>
          <w:rFonts w:ascii="Times New Roman" w:hAnsi="Times New Roman"/>
          <w:b/>
          <w:color w:val="auto"/>
          <w:sz w:val="24"/>
          <w:szCs w:val="24"/>
          <w:highlight w:val="none"/>
        </w:rPr>
      </w:pPr>
      <w:r>
        <w:rPr>
          <w:rFonts w:hint="eastAsia" w:ascii="Times New Roman" w:hAnsi="Times New Roman"/>
          <w:b/>
          <w:color w:val="auto"/>
          <w:sz w:val="24"/>
          <w:szCs w:val="24"/>
          <w:highlight w:val="none"/>
        </w:rPr>
        <w:t>四、</w:t>
      </w:r>
      <w:r>
        <w:rPr>
          <w:rFonts w:hint="eastAsia" w:ascii="宋体" w:hAnsi="宋体" w:eastAsia="宋体"/>
          <w:b/>
          <w:color w:val="auto"/>
          <w:sz w:val="28"/>
          <w:szCs w:val="28"/>
          <w:highlight w:val="none"/>
        </w:rPr>
        <w:t>★</w:t>
      </w:r>
      <w:r>
        <w:rPr>
          <w:rFonts w:hint="eastAsia"/>
          <w:b/>
          <w:color w:val="auto"/>
          <w:sz w:val="28"/>
          <w:szCs w:val="28"/>
          <w:highlight w:val="none"/>
        </w:rPr>
        <w:t>商务要求</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1、项目服务期限为3年（2022年1月1日至2024年12月31日），合同一年一签。</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2、采购预算：锦官驿街道办事处</w:t>
      </w:r>
      <w:r>
        <w:rPr>
          <w:rFonts w:ascii="宋体" w:hAnsi="宋体" w:cs="宋体"/>
          <w:bCs/>
          <w:color w:val="auto"/>
          <w:sz w:val="24"/>
          <w:szCs w:val="24"/>
          <w:highlight w:val="none"/>
        </w:rPr>
        <w:t>2373.67</w:t>
      </w:r>
      <w:r>
        <w:rPr>
          <w:rFonts w:hint="eastAsia" w:ascii="宋体" w:hAnsi="宋体" w:cs="宋体"/>
          <w:bCs/>
          <w:color w:val="auto"/>
          <w:sz w:val="24"/>
          <w:szCs w:val="24"/>
          <w:highlight w:val="none"/>
        </w:rPr>
        <w:t>万元/年、锦华路街道办事处</w:t>
      </w:r>
      <w:r>
        <w:rPr>
          <w:rFonts w:ascii="宋体" w:hAnsi="宋体" w:cs="宋体"/>
          <w:bCs/>
          <w:color w:val="auto"/>
          <w:sz w:val="24"/>
          <w:szCs w:val="24"/>
          <w:highlight w:val="none"/>
        </w:rPr>
        <w:t>1177.50</w:t>
      </w:r>
      <w:r>
        <w:rPr>
          <w:rFonts w:hint="eastAsia" w:ascii="宋体" w:hAnsi="宋体" w:cs="宋体"/>
          <w:bCs/>
          <w:color w:val="auto"/>
          <w:sz w:val="24"/>
          <w:szCs w:val="24"/>
          <w:highlight w:val="none"/>
        </w:rPr>
        <w:t>万元/年；合计：3551.17万元/年。</w:t>
      </w:r>
      <w:r>
        <w:rPr>
          <w:rFonts w:hint="eastAsia" w:ascii="宋体" w:hAnsi="宋体" w:cs="宋体"/>
          <w:b/>
          <w:bCs/>
          <w:color w:val="auto"/>
          <w:sz w:val="24"/>
          <w:szCs w:val="24"/>
          <w:highlight w:val="none"/>
        </w:rPr>
        <w:t>（每个街道办事处应分别报价，且报价不超过该街道办事处的采购预算。）</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3、服务地点：锦官驿街道办事处、锦华路街道办事处管辖区域。</w:t>
      </w:r>
    </w:p>
    <w:p>
      <w:pPr>
        <w:spacing w:line="360" w:lineRule="auto"/>
        <w:ind w:firstLine="480" w:firstLineChars="200"/>
        <w:rPr>
          <w:rFonts w:ascii="宋体" w:hAnsi="宋体" w:cs="宋体"/>
          <w:b/>
          <w:bCs/>
          <w:color w:val="auto"/>
          <w:sz w:val="24"/>
          <w:szCs w:val="24"/>
          <w:highlight w:val="none"/>
        </w:rPr>
      </w:pPr>
      <w:r>
        <w:rPr>
          <w:rFonts w:hint="eastAsia" w:ascii="宋体" w:hAnsi="宋体" w:cs="宋体"/>
          <w:bCs/>
          <w:color w:val="auto"/>
          <w:sz w:val="24"/>
          <w:szCs w:val="24"/>
          <w:highlight w:val="none"/>
        </w:rPr>
        <w:t>4、</w:t>
      </w:r>
      <w:r>
        <w:rPr>
          <w:rFonts w:hint="eastAsia" w:ascii="宋体" w:hAnsi="宋体" w:cs="宋体"/>
          <w:color w:val="auto"/>
          <w:sz w:val="24"/>
          <w:szCs w:val="24"/>
          <w:highlight w:val="none"/>
        </w:rPr>
        <w:t>报价要求：所有报价一律以人民币报价。采购人不接受任何非人民币币种的报价。投标人的报价是其响应本项目要求的全部工作内容的价格体现，采购人将不再支付其他额外费用。</w:t>
      </w:r>
    </w:p>
    <w:p>
      <w:pPr>
        <w:pStyle w:val="61"/>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5.结算时间及结算方式：</w:t>
      </w:r>
      <w:r>
        <w:rPr>
          <w:rFonts w:hint="default" w:ascii="宋体" w:hAnsi="宋体" w:eastAsia="宋体" w:cs="宋体"/>
          <w:color w:val="auto"/>
          <w:sz w:val="24"/>
          <w:szCs w:val="24"/>
          <w:highlight w:val="none"/>
          <w:lang w:val="en-US" w:eastAsia="zh-CN"/>
        </w:rPr>
        <w:t>考核结果作为拨付经费的依据。（一）月实际拨付经费=月考核经费－日常巡查扣减经费。（二）月考核经费=月作业经费×A(考核得分）%。（三）月作业经费根据每月实际作业内容、作业面积和相应单价等确定</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结算时间：依据相应合同条款。</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6.履约验收：按《财政部关于进一步加强政府采购需求和履约验收管理的指导意见》（财库〔2016〕205号）的要求以及采购文件要求进行验收。</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7.考核方式：</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80" w:firstLineChars="200"/>
        <w:jc w:val="both"/>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区综合执法局是全区环卫保洁、环卫公厕和河道管护的行政主管部门，以属地街道办事处一体化服务作业范围作为受考对象，参照相关文件要求</w:t>
      </w:r>
      <w:r>
        <w:rPr>
          <w:rFonts w:hint="eastAsia" w:ascii="宋体" w:hAnsi="宋体" w:cs="宋体"/>
          <w:color w:val="auto"/>
          <w:sz w:val="24"/>
          <w:szCs w:val="24"/>
          <w:highlight w:val="none"/>
          <w:lang w:eastAsia="zh-CN"/>
        </w:rPr>
        <w:t>进</w:t>
      </w:r>
      <w:r>
        <w:rPr>
          <w:rFonts w:hint="eastAsia" w:ascii="宋体" w:hAnsi="宋体" w:cs="宋体"/>
          <w:color w:val="auto"/>
          <w:sz w:val="24"/>
          <w:szCs w:val="24"/>
          <w:highlight w:val="none"/>
        </w:rPr>
        <w:t>行考核。</w:t>
      </w:r>
      <w:r>
        <w:rPr>
          <w:rFonts w:hint="eastAsia" w:ascii="宋体" w:hAnsi="宋体" w:cs="宋体"/>
          <w:color w:val="auto"/>
          <w:sz w:val="24"/>
          <w:szCs w:val="24"/>
          <w:highlight w:val="none"/>
          <w:lang w:eastAsia="zh-CN"/>
        </w:rPr>
        <w:t>详见《</w:t>
      </w:r>
      <w:r>
        <w:rPr>
          <w:rFonts w:hint="default" w:ascii="宋体" w:hAnsi="宋体" w:eastAsia="宋体" w:cs="宋体"/>
          <w:color w:val="auto"/>
          <w:sz w:val="24"/>
          <w:szCs w:val="24"/>
          <w:highlight w:val="none"/>
          <w:lang w:val="en-US" w:eastAsia="zh-CN"/>
        </w:rPr>
        <w:t>锦江区综合行政执法局2022-2024年锦江区环卫保洁、环卫公厕、绿化和河道管护一体化服务项目监督考核办法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spacing w:line="360" w:lineRule="auto"/>
        <w:rPr>
          <w:rFonts w:ascii="Times New Roman" w:hAnsi="Times New Roman"/>
          <w:b/>
          <w:color w:val="auto"/>
          <w:sz w:val="24"/>
          <w:szCs w:val="24"/>
          <w:highlight w:val="none"/>
        </w:rPr>
      </w:pPr>
      <w:r>
        <w:rPr>
          <w:rFonts w:hint="eastAsia" w:ascii="Times New Roman" w:hAnsi="Times New Roman"/>
          <w:b/>
          <w:color w:val="auto"/>
          <w:sz w:val="24"/>
          <w:szCs w:val="24"/>
          <w:highlight w:val="none"/>
        </w:rPr>
        <w:t>五、其他要求</w:t>
      </w:r>
    </w:p>
    <w:p>
      <w:pPr>
        <w:spacing w:line="360" w:lineRule="auto"/>
        <w:ind w:firstLine="480" w:firstLineChars="200"/>
        <w:rPr>
          <w:rFonts w:ascii="宋体" w:hAnsi="宋体" w:cs="宋体"/>
          <w:color w:val="auto"/>
          <w:sz w:val="24"/>
          <w:szCs w:val="24"/>
          <w:highlight w:val="none"/>
        </w:rPr>
      </w:pPr>
      <w:bookmarkStart w:id="147" w:name="OLE_LINK3"/>
      <w:r>
        <w:rPr>
          <w:rFonts w:hint="eastAsia" w:ascii="宋体" w:hAnsi="宋体" w:cs="宋体"/>
          <w:color w:val="auto"/>
          <w:sz w:val="24"/>
          <w:szCs w:val="24"/>
          <w:highlight w:val="none"/>
        </w:rPr>
        <w:t>1.管护期间，若有新增环卫保洁、环卫公厕、绿化内容，参照此轮招标相关经费标准计算管护费用，并由片区中标供应商负责管护。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机动车辆为中标供应商自有或租赁，租赁期限应覆盖服务期限。全区统一安装GPS</w:t>
      </w:r>
      <w:r>
        <w:rPr>
          <w:rFonts w:hint="eastAsia" w:ascii="宋体" w:hAnsi="宋体" w:cs="宋体"/>
          <w:color w:val="auto"/>
          <w:sz w:val="24"/>
          <w:szCs w:val="24"/>
          <w:highlight w:val="none"/>
        </w:rPr>
        <w:t>、实时监控，360度摄像头，实行动态跟踪管理。中标供应商配合区综合执法局和辖区街道办事处完成环卫固废智慧监管平台建设（实现视频实时可视、可回放、轨迹可追踪、</w:t>
      </w:r>
      <w:r>
        <w:rPr>
          <w:rFonts w:hint="eastAsia" w:ascii="宋体" w:hAnsi="宋体" w:cs="宋体"/>
          <w:color w:val="auto"/>
          <w:sz w:val="24"/>
          <w:szCs w:val="24"/>
          <w:highlight w:val="none"/>
          <w:lang w:eastAsia="zh-CN"/>
        </w:rPr>
        <w:t>数据可调用），所需经费由中标供应商承担。（提供承诺函）</w:t>
      </w:r>
    </w:p>
    <w:p>
      <w:pPr>
        <w:spacing w:line="360" w:lineRule="auto"/>
        <w:ind w:firstLine="480" w:firstLineChars="200"/>
        <w:rPr>
          <w:rFonts w:hint="eastAsia"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3.街道办事处现有四轮电动厨余垃圾收集车，提供给中标供应商使用，不收取任何费用，</w:t>
      </w:r>
      <w:r>
        <w:rPr>
          <w:rFonts w:hint="eastAsia" w:ascii="宋体" w:hAnsi="宋体" w:cs="宋体"/>
          <w:color w:val="auto"/>
          <w:sz w:val="24"/>
          <w:szCs w:val="24"/>
          <w:highlight w:val="none"/>
          <w:lang w:eastAsia="zh-CN"/>
        </w:rPr>
        <w:t>使用期内的日常运营、保险、安全、事故、毁损、被盗等全部责任均由中标供应商全权负责，服务期完后应在设施设备完好的前提下交还相应街道办事处应街道办事处</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4.中标供应商协助街道办事处负责做好新、老作业公司交接工作。妥善处置可能涉及公司、人员和经费等相关纠纷，做好善后工作，确保辖区社会稳定和作业平稳过渡。</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5.中标供应商按照《劳动合同法》、参照《成都市环卫工人健康安全关爱办法》等相应行业相关规定，落实工人的工资和福利待遇（包括：基础工资、岗位津贴、加班工资、社保（商保）、酷暑寒冬补助和劳保用品等）。服务期间如遇成都市工人最低工资标准刚性政策调整等增资情况，由中标供应商自行承担，不再另行申请资金。中标供应商每年至少组织一次本项目服务人员职业健康体检。</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6.投标人须同意“2022-2024年锦江区环卫保洁、环卫公厕、绿化和河道管护一体化服务项目监督考核办法”</w:t>
      </w:r>
      <w:r>
        <w:rPr>
          <w:rFonts w:hint="eastAsia" w:ascii="宋体" w:hAnsi="宋体" w:cs="宋体"/>
          <w:color w:val="auto"/>
          <w:sz w:val="24"/>
          <w:szCs w:val="24"/>
          <w:highlight w:val="none"/>
          <w:lang w:eastAsia="zh-CN"/>
        </w:rPr>
        <w:t>。</w:t>
      </w:r>
    </w:p>
    <w:bookmarkEnd w:id="147"/>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rPr>
      </w:pPr>
      <w:r>
        <w:rPr>
          <w:rFonts w:hint="eastAsia" w:ascii="宋体" w:hAnsi="宋体" w:cs="宋体"/>
          <w:color w:val="auto"/>
          <w:sz w:val="24"/>
          <w:szCs w:val="24"/>
          <w:lang w:val="en-US" w:eastAsia="zh-CN"/>
        </w:rPr>
        <w:t>7.中标供应商提供承诺函承诺：无特殊情况时，所有设施设备在中标通知书发出之日起25日内全部到位。在承诺时间内未全部到位又无特殊情况的，采购人有权取消其中标资格，并扣减履约保证金。★</w:t>
      </w:r>
    </w:p>
    <w:p>
      <w:pP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lang w:eastAsia="zh-CN"/>
        </w:rPr>
        <w:t>包件3</w:t>
      </w:r>
      <w:r>
        <w:rPr>
          <w:rFonts w:hint="eastAsia" w:ascii="黑体" w:hAnsi="黑体" w:eastAsia="黑体" w:cs="黑体"/>
          <w:b/>
          <w:bCs/>
          <w:color w:val="auto"/>
          <w:sz w:val="36"/>
          <w:szCs w:val="36"/>
          <w:highlight w:val="none"/>
        </w:rPr>
        <w:t>：成龙路街道办事处、沙河街道办事处</w:t>
      </w:r>
      <w:r>
        <w:rPr>
          <w:rFonts w:hint="eastAsia" w:ascii="黑体" w:hAnsi="黑体" w:eastAsia="黑体" w:cs="黑体"/>
          <w:b/>
          <w:bCs/>
          <w:color w:val="auto"/>
          <w:sz w:val="36"/>
          <w:szCs w:val="36"/>
          <w:highlight w:val="none"/>
          <w:lang w:val="en-US" w:eastAsia="zh-CN"/>
        </w:rPr>
        <w:t>管辖区域</w:t>
      </w:r>
    </w:p>
    <w:p>
      <w:pPr>
        <w:autoSpaceDE w:val="0"/>
        <w:autoSpaceDN w:val="0"/>
        <w:adjustRightInd w:val="0"/>
        <w:jc w:val="left"/>
        <w:rPr>
          <w:rFonts w:ascii="宋体" w:hAnsi="Times New Roman" w:cs="宋体"/>
          <w:color w:val="auto"/>
          <w:kern w:val="0"/>
          <w:sz w:val="24"/>
          <w:szCs w:val="24"/>
          <w:highlight w:val="none"/>
        </w:rPr>
      </w:pPr>
    </w:p>
    <w:p>
      <w:pPr>
        <w:numPr>
          <w:ilvl w:val="0"/>
          <w:numId w:val="40"/>
        </w:numPr>
        <w:rPr>
          <w:rFonts w:ascii="Times New Roman" w:hAnsi="Times New Roman"/>
          <w:b/>
          <w:color w:val="auto"/>
          <w:sz w:val="28"/>
          <w:szCs w:val="28"/>
          <w:highlight w:val="none"/>
        </w:rPr>
      </w:pPr>
      <w:r>
        <w:rPr>
          <w:rFonts w:hint="eastAsia" w:ascii="Times New Roman" w:hAnsi="Times New Roman"/>
          <w:b/>
          <w:color w:val="auto"/>
          <w:sz w:val="28"/>
          <w:szCs w:val="28"/>
          <w:highlight w:val="none"/>
        </w:rPr>
        <w:t>项目概况</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（一）成都市锦江区综合行政执法局2022—2024年环卫保洁、环卫公厕、绿化和河道管护一体化服务项目</w:t>
      </w:r>
      <w:r>
        <w:rPr>
          <w:rFonts w:hint="eastAsia" w:ascii="宋体" w:hAnsi="宋体" w:cs="宋体"/>
          <w:bCs/>
          <w:color w:val="auto"/>
          <w:sz w:val="24"/>
          <w:szCs w:val="24"/>
          <w:highlight w:val="none"/>
        </w:rPr>
        <w:t>，招标工作由区综合执法局作为业主负责统一招标，街道办事处作为综合管理单位负责与中标供应商签订合同。区综合执法局和街道办事处共同履行日常监督责任。</w:t>
      </w:r>
    </w:p>
    <w:p>
      <w:pPr>
        <w:spacing w:after="120"/>
        <w:rPr>
          <w:rFonts w:ascii="Times New Roman" w:hAnsi="Times New Roman"/>
          <w:b/>
          <w:color w:val="auto"/>
          <w:sz w:val="28"/>
          <w:szCs w:val="28"/>
          <w:highlight w:val="none"/>
        </w:rPr>
      </w:pPr>
      <w:r>
        <w:rPr>
          <w:rFonts w:hint="eastAsia" w:ascii="Times New Roman" w:hAnsi="Times New Roman"/>
          <w:b/>
          <w:color w:val="auto"/>
          <w:sz w:val="28"/>
          <w:szCs w:val="28"/>
          <w:highlight w:val="none"/>
        </w:rPr>
        <w:t>二、作业规范、标准及内容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（一）</w:t>
      </w:r>
      <w:r>
        <w:rPr>
          <w:rFonts w:ascii="宋体" w:hAnsi="宋体" w:cs="宋体"/>
          <w:bCs/>
          <w:color w:val="auto"/>
          <w:sz w:val="24"/>
          <w:szCs w:val="24"/>
          <w:highlight w:val="none"/>
        </w:rPr>
        <w:t xml:space="preserve"> 作业规范。</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rPr>
        <w:t>环卫保洁：按照成都市城市管理委员会《关于印发〈成都市环卫清扫保洁精细化监督管理办法〉的通知》（成城发〔2019〕48号）、《关于印发〈成都市环卫清扫保洁精细化作业规则〉的通知》（成城发〔2019〕47号）、《关于印发&lt;关于统一规范成都市环卫作业机动车、小型机具自编号及外观、涂装工作实施方案&gt;&lt;成都市环卫作业机动车、小型车自编号及外观、涂装原则&gt;的通知》《生活垃圾分类标准》（GB/T19095-2019）《成都市锦江区环境卫生监督管理办法》（锦综执【2019】70号）要求作业</w:t>
      </w:r>
      <w:r>
        <w:rPr>
          <w:rFonts w:ascii="宋体" w:hAnsi="宋体" w:cs="宋体"/>
          <w:bCs/>
          <w:color w:val="auto"/>
          <w:sz w:val="24"/>
          <w:szCs w:val="24"/>
          <w:highlight w:val="none"/>
        </w:rPr>
        <w:t>；</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（2）环卫公厕管护：按照</w:t>
      </w:r>
      <w:r>
        <w:rPr>
          <w:rFonts w:hint="eastAsia" w:ascii="宋体" w:hAnsi="宋体" w:cs="宋体"/>
          <w:bCs/>
          <w:color w:val="auto"/>
          <w:sz w:val="24"/>
          <w:szCs w:val="24"/>
          <w:highlight w:val="none"/>
        </w:rPr>
        <w:t>《成都市环卫公厕管理规范》（成城函【2017】205号）</w:t>
      </w:r>
      <w:r>
        <w:rPr>
          <w:rFonts w:ascii="宋体" w:hAnsi="宋体" w:cs="宋体"/>
          <w:bCs/>
          <w:color w:val="auto"/>
          <w:sz w:val="24"/>
          <w:szCs w:val="24"/>
          <w:highlight w:val="none"/>
        </w:rPr>
        <w:t>、《锦江区环卫公厕管理规范（试行）》要求作业；</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（3）绿化管护：按照</w:t>
      </w:r>
      <w:r>
        <w:rPr>
          <w:rFonts w:hint="eastAsia" w:ascii="宋体" w:hAnsi="宋体" w:cs="宋体"/>
          <w:bCs/>
          <w:color w:val="auto"/>
          <w:sz w:val="24"/>
          <w:szCs w:val="24"/>
          <w:highlight w:val="none"/>
        </w:rPr>
        <w:t>《四川省城市园林绿化技术操作规程》DB51/50016-1998</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《成都市城市绿化养护技术规程》（DB510100/T 238-2017）</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《成都市城市绿化养护质量等级划分》(DB510100/T 239-2017)</w:t>
      </w:r>
      <w:r>
        <w:rPr>
          <w:rFonts w:ascii="宋体" w:hAnsi="宋体" w:cs="宋体"/>
          <w:bCs/>
          <w:color w:val="auto"/>
          <w:sz w:val="24"/>
          <w:szCs w:val="24"/>
          <w:highlight w:val="none"/>
        </w:rPr>
        <w:t>、《成都市锦江区园林绿化管护标准》要求作业；</w:t>
      </w:r>
    </w:p>
    <w:p>
      <w:pPr>
        <w:autoSpaceDE w:val="0"/>
        <w:autoSpaceDN w:val="0"/>
        <w:adjustRightInd w:val="0"/>
        <w:ind w:firstLine="480" w:firstLineChars="200"/>
        <w:jc w:val="left"/>
        <w:rPr>
          <w:rFonts w:ascii="宋体" w:hAnsi="Times New Roman" w:cs="宋体"/>
          <w:color w:val="auto"/>
          <w:kern w:val="0"/>
          <w:sz w:val="24"/>
          <w:szCs w:val="24"/>
          <w:highlight w:val="none"/>
        </w:rPr>
      </w:pPr>
      <w:r>
        <w:rPr>
          <w:rFonts w:ascii="宋体" w:hAnsi="宋体" w:cs="宋体"/>
          <w:bCs/>
          <w:color w:val="auto"/>
          <w:kern w:val="0"/>
          <w:sz w:val="24"/>
          <w:szCs w:val="24"/>
          <w:highlight w:val="none"/>
        </w:rPr>
        <w:t>（4）河道管护：按照《中心城区河道管护经费标准（试行）》等要求作业。</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（二）作业标准。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（1）环卫保洁：作业流程规范，保洁质量达到精细化管理标准，能实施机械化清扫作业的城市城区道路全部实施机械化清扫作业，机械化清扫率达到市、区规定标准。生活垃圾日产日清。</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环卫公厕管理应达到“四净三无二通一明”要求，即：地面净、墙壁净、厕位净、周边净，无溢流、无蚊蝇、无臭味，水通、电通，灯明。环卫公共厕所内采光、照明和通风良好，无异味，无蚊蝇。厕所内地面洁净，无积水，无烟头，无纸屑，无痰迹和其他杂物。墙面、天花板、门窗和隔断板洁净，无积灰，无污迹，无蛛网，无乱涂乱画，无破损；卫生洁具整洁，无积存物，无粪便痕迹，无积尿积水，管道畅通无堵塞。公厕标志牌、公示牌洁净，无积尘。</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每年对乔木进行大修一次，每年对现有地被、灌木更新率不低于20%；时令鲜花的更换次数每年不少于8次、花境的更换次数每年不少于4次、立体绿化根据植物品种适时更换；设施设备的检修、翻新、更换等，翻新、刷漆每年不得少于1次；所有垃圾（绿化垃圾、生活垃圾等）均做无害化处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（4）河道管护：每天巡查河道一遍；每100米河道零星垃圾不超过3处；河道栏杆及时擦拭、清理；每100米河渍、侵蚀不超过5处；每日上报排口情况；每500米河堤零星垃圾不超过3处。</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（三）作业内容。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1．道路清扫保洁(含市政公用道路，涉农街道办事处村社道路)和市管绿化带的白色垃圾清理，清除道路上粪渣粪袋、狗粪、建渣等污染物。2．铁路控制线（单侧铁轨至坡脚8米，坡脚向外延伸12米，12米向外延伸2米界桩，共22米）以外属地管理区域的清扫保洁。3．清理雨水篦子下面的落叶及垃圾。4．道路冲洗降尘，定期冲洗道路（按规范标准）及路沿石、人行道方砖、公交站台、人行天桥和雨水篦子，清洗道路标识标线，道路污染突击保洁。5．生活垃圾分类收集和运输，其中其他垃圾运输至锦江区垃圾压缩站，厨余垃圾运输至市级餐厨垃圾处置厂，可回收物运输至再生资源回收站点，有害垃圾运输至区环卫清运中心暂存点。6．小区内（具体范围详见附表）及街面丢弃的大件垃圾清理。7．对果屑箱、垃圾桶等环卫设施接受管理及使用，并进行日常维修维护，保证功能使用。道路施工时果屑箱的收集保管、果屑箱箱体固定，果屑箱内箱的垃圾清掏和箱体的内、外清洗，每日垃圾袋更换和垃圾桶清洗，室外城市家具的保洁。8．环卫工人工作服装按适时标准要求配置和更新。9．垃圾桶、垃圾中转房、垃圾池、垃圾转运点和垃圾转运车等环卫设施和中转站（点）现场的日常管理、冲洗、维护。各类环卫车辆日常管理及维修，环卫车辆喷涂统一的外观、颜色和标志。10．非法张贴、书写的地面及2米以下立面各类广告及卡片的清除清理。11．道路护栏、隔离墩、隔离桩、桥梁中央分隔带、防撞墙内侧、人行道栏杆、人行天桥栏杆、声屏障内侧保洁。12.环卫工人休息室日常管理和维护。13．做好环卫作业安全生产工作，落实安全责任制和各项规章制度。14．各类检查、接待及突发事件，环卫作业的应急保障工作。15．在辖区主街干道、重要路段或出入城通道实施精品示范街道环卫作业。16．完成省、市、区等各级部门和街道交办的各项突击整治任务。17.按作业辖区落实疫情防控和消防工作。18.在中央商务区、特色街区开展智能扫地机器人等人工智能环卫作业试点示范。</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作业范围包括辖区内环卫公厕内地面、墙面、天花板、门窗、设施设备等，室外周边10米。内容包括环卫公厕保洁服务管理（环卫公厕整体提档升级除外所有维护内容）、周边或者附属绿化维护管护、环卫公厕维护管理、清掏公厕化粪池，水电费缴纳。</w:t>
      </w:r>
      <w:r>
        <w:rPr>
          <w:rFonts w:hint="eastAsia" w:ascii="宋体" w:hAnsi="宋体" w:cs="宋体"/>
          <w:bCs/>
          <w:color w:val="auto"/>
          <w:sz w:val="24"/>
          <w:szCs w:val="24"/>
          <w:highlight w:val="none"/>
          <w:lang w:eastAsia="zh-CN"/>
        </w:rPr>
        <w:t>按采购人统一的标准和材质要求购买、更换和安装环卫公厕相关标识、标牌、公示牌，提供环卫公厕厕纸、洗手液日常耗材等（环卫公厕厕纸以清风、心相印、维达等同类品质的，且符合国家相关标准的为标准。洗手液以蓝月亮、滴露、威露士等同类品质的，且符合国家相关标准的为标准），</w:t>
      </w:r>
      <w:r>
        <w:rPr>
          <w:rFonts w:hint="eastAsia" w:ascii="宋体" w:hAnsi="宋体" w:cs="宋体"/>
          <w:bCs/>
          <w:color w:val="auto"/>
          <w:sz w:val="24"/>
          <w:szCs w:val="24"/>
          <w:highlight w:val="none"/>
        </w:rPr>
        <w:t>新增或维修维护公厕内所有窗户纱窗。设施设备的维修保养。对易损耗材料、照明设施、防水、供水及排水设施、电力设施、护栏、便池、水龙头、马桶、脚踏器等设施设备的检修、翻新、</w:t>
      </w:r>
      <w:r>
        <w:rPr>
          <w:rFonts w:hint="eastAsia" w:ascii="宋体" w:hAnsi="宋体" w:cs="宋体"/>
          <w:bCs/>
          <w:color w:val="auto"/>
          <w:sz w:val="24"/>
          <w:szCs w:val="24"/>
          <w:highlight w:val="none"/>
          <w:lang w:eastAsia="zh-CN"/>
        </w:rPr>
        <w:t>更换（所需耗材质量标准均不能低于原有耗材标准），按照实际需求配备移动厕所，并负责运输和管理</w:t>
      </w:r>
      <w:r>
        <w:rPr>
          <w:rFonts w:hint="eastAsia" w:ascii="宋体" w:hAnsi="宋体" w:cs="宋体"/>
          <w:bCs/>
          <w:color w:val="auto"/>
          <w:sz w:val="24"/>
          <w:szCs w:val="24"/>
          <w:highlight w:val="none"/>
        </w:rPr>
        <w:t>。公共秩序及公共安全管理。积极配合相关部门检查、考察、参观；做好文明指数测评等相关工作，必要时按实际需要自行租赁移动公厕；按作业辖区落实疫情防控和消防工作；积极配合主管部门，完成临时交办的管护工作和其他任务等。</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区管绿地乔木、灌木、地被的养护（除草、修剪、浇水、施肥、防病虫害等）、复壮、更换、降尘；时令鲜花及花境、立体绿化管护，包括购置、种植、更换及管护等；清扫保洁服务：包括绿地、游步道、绿道、设施设备的清扫保洁，以及园林绿化垃圾的集中处理、收集转运等。设施设备的维修保养：对易损耗材料、灯杆、照明设施、供水及排水设施、电力设施健身设施、小品雕塑、花箱、廊架、坐凳、树池盖板、树木支撑、绿化护栏等设施设备的检修、翻新、更换等（所需耗材质量标准均不能低于原有耗材标准）。</w:t>
      </w:r>
      <w:r>
        <w:rPr>
          <w:rFonts w:hint="eastAsia" w:ascii="宋体" w:hAnsi="宋体" w:cs="宋体"/>
          <w:bCs/>
          <w:color w:val="auto"/>
          <w:sz w:val="24"/>
          <w:szCs w:val="24"/>
          <w:highlight w:val="none"/>
          <w:lang w:eastAsia="zh-CN"/>
        </w:rPr>
        <w:t>绿化作业安全生产管理，绿化垃圾分类运输并送至专业机构处理</w:t>
      </w:r>
      <w:r>
        <w:rPr>
          <w:rFonts w:hint="eastAsia" w:ascii="宋体" w:hAnsi="宋体" w:cs="宋体"/>
          <w:bCs/>
          <w:color w:val="auto"/>
          <w:sz w:val="24"/>
          <w:szCs w:val="24"/>
          <w:highlight w:val="none"/>
        </w:rPr>
        <w:t>。按作业辖区落实疫情防控和消防工作。</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河道管护。区管河道河床打漂及清理：打捞河面漂浮物，清理河床堆积的垃圾、挡水障碍物等；巡查河道：对河道基础设施、河道水质、下河口排污、河长公示牌破损、涉河乱挖乱占乱建等情况进行巡查，栏杆破损等安全隐患应及时上报巡查发现的问题；河道管护范围内清扫保洁：对河道管护范围内人行步道清扫保洁，对河堤栏杆、河长公示牌、排水口标识牌等进行清洗维护，对滨河绿化带进行管护保洁。配合做好排口治理、水质监测、公示牌更换等河道管护工作。省、市管河道应对步行道实施日常管护。按作业辖区落实疫情防控和消防工作。</w:t>
      </w:r>
    </w:p>
    <w:p>
      <w:pPr>
        <w:autoSpaceDE w:val="0"/>
        <w:autoSpaceDN w:val="0"/>
        <w:adjustRightInd w:val="0"/>
        <w:ind w:firstLine="480" w:firstLineChars="200"/>
        <w:jc w:val="left"/>
        <w:rPr>
          <w:rFonts w:ascii="宋体" w:hAnsi="Times New Roman" w:cs="宋体"/>
          <w:color w:val="auto"/>
          <w:kern w:val="0"/>
          <w:sz w:val="24"/>
          <w:szCs w:val="24"/>
          <w:highlight w:val="none"/>
        </w:rPr>
      </w:pPr>
      <w:r>
        <w:rPr>
          <w:rFonts w:hint="eastAsia" w:ascii="宋体" w:hAnsi="Times New Roman" w:cs="宋体"/>
          <w:color w:val="auto"/>
          <w:kern w:val="0"/>
          <w:sz w:val="24"/>
          <w:szCs w:val="24"/>
          <w:highlight w:val="none"/>
        </w:rPr>
        <w:t>（5）共享单车规范停放。协助规范共享单车停放，并清除共享单车货架框内垃圾。</w:t>
      </w:r>
    </w:p>
    <w:p>
      <w:pPr>
        <w:spacing w:before="312" w:beforeLines="100" w:after="312" w:afterLines="100"/>
        <w:rPr>
          <w:rFonts w:ascii="Times New Roman" w:hAnsi="Times New Roman"/>
          <w:b/>
          <w:color w:val="auto"/>
          <w:sz w:val="28"/>
          <w:szCs w:val="28"/>
          <w:highlight w:val="none"/>
        </w:rPr>
      </w:pPr>
      <w:r>
        <w:rPr>
          <w:rFonts w:hint="eastAsia" w:ascii="Times New Roman" w:hAnsi="Times New Roman"/>
          <w:b/>
          <w:color w:val="auto"/>
          <w:sz w:val="28"/>
          <w:szCs w:val="28"/>
          <w:highlight w:val="none"/>
        </w:rPr>
        <w:t>三、作业范围及配备人员设备数量</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成龙路街道办事处：</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道路清扫保洁面积1232690.5㎡</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其中一级道路保洁面积381600</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二级道路保洁面积575694.5</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三级道路保洁面积275396</w:t>
      </w:r>
      <w:r>
        <w:rPr>
          <w:rFonts w:ascii="宋体" w:hAnsi="宋体"/>
          <w:color w:val="auto"/>
          <w:sz w:val="24"/>
          <w:szCs w:val="24"/>
          <w:highlight w:val="none"/>
        </w:rPr>
        <w:t>㎡</w:t>
      </w:r>
      <w:r>
        <w:rPr>
          <w:rFonts w:hint="eastAsia" w:ascii="宋体" w:hAnsi="宋体"/>
          <w:color w:val="auto"/>
          <w:sz w:val="24"/>
          <w:szCs w:val="24"/>
          <w:highlight w:val="none"/>
        </w:rPr>
        <w:t>；其他垃圾日清运量</w:t>
      </w:r>
      <w:r>
        <w:rPr>
          <w:rFonts w:ascii="宋体" w:hAnsi="宋体"/>
          <w:color w:val="auto"/>
          <w:sz w:val="24"/>
          <w:szCs w:val="24"/>
          <w:highlight w:val="none"/>
        </w:rPr>
        <w:t>1</w:t>
      </w:r>
      <w:r>
        <w:rPr>
          <w:rFonts w:hint="eastAsia" w:ascii="宋体" w:hAnsi="宋体"/>
          <w:color w:val="auto"/>
          <w:sz w:val="24"/>
          <w:szCs w:val="24"/>
          <w:highlight w:val="none"/>
        </w:rPr>
        <w:t>3</w:t>
      </w:r>
      <w:r>
        <w:rPr>
          <w:rFonts w:ascii="宋体" w:hAnsi="宋体"/>
          <w:color w:val="auto"/>
          <w:sz w:val="24"/>
          <w:szCs w:val="24"/>
          <w:highlight w:val="none"/>
        </w:rPr>
        <w:t>0</w:t>
      </w:r>
      <w:r>
        <w:rPr>
          <w:rFonts w:hint="eastAsia" w:ascii="宋体" w:hAnsi="宋体"/>
          <w:color w:val="auto"/>
          <w:sz w:val="24"/>
          <w:szCs w:val="24"/>
          <w:highlight w:val="none"/>
        </w:rPr>
        <w:t>吨；厨余垃圾日清运量5吨。</w:t>
      </w:r>
    </w:p>
    <w:p>
      <w:pPr>
        <w:spacing w:line="360" w:lineRule="auto"/>
        <w:jc w:val="center"/>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道路明细表</w:t>
      </w:r>
    </w:p>
    <w:tbl>
      <w:tblPr>
        <w:tblStyle w:val="59"/>
        <w:tblpPr w:leftFromText="180" w:rightFromText="180" w:vertAnchor="text" w:horzAnchor="page" w:tblpX="1705" w:tblpY="331"/>
        <w:tblOverlap w:val="never"/>
        <w:tblW w:w="8556" w:type="dxa"/>
        <w:tblInd w:w="0" w:type="dxa"/>
        <w:tblLayout w:type="fixed"/>
        <w:tblCellMar>
          <w:top w:w="0" w:type="dxa"/>
          <w:left w:w="0" w:type="dxa"/>
          <w:bottom w:w="0" w:type="dxa"/>
          <w:right w:w="0" w:type="dxa"/>
        </w:tblCellMar>
      </w:tblPr>
      <w:tblGrid>
        <w:gridCol w:w="889"/>
        <w:gridCol w:w="2153"/>
        <w:gridCol w:w="3929"/>
        <w:gridCol w:w="1585"/>
      </w:tblGrid>
      <w:tr>
        <w:tblPrEx>
          <w:tblLayout w:type="fixed"/>
          <w:tblCellMar>
            <w:top w:w="0" w:type="dxa"/>
            <w:left w:w="0" w:type="dxa"/>
            <w:bottom w:w="0" w:type="dxa"/>
            <w:right w:w="0" w:type="dxa"/>
          </w:tblCellMar>
        </w:tblPrEx>
        <w:trPr>
          <w:trHeight w:val="312" w:hRule="atLeast"/>
        </w:trPr>
        <w:tc>
          <w:tcPr>
            <w:tcW w:w="8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21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街道名称</w:t>
            </w:r>
          </w:p>
        </w:tc>
        <w:tc>
          <w:tcPr>
            <w:tcW w:w="39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起止点</w:t>
            </w:r>
          </w:p>
        </w:tc>
        <w:tc>
          <w:tcPr>
            <w:tcW w:w="158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kern w:val="0"/>
                <w:szCs w:val="21"/>
                <w:highlight w:val="none"/>
                <w:lang w:bidi="ar"/>
              </w:rPr>
              <w:t>道路</w:t>
            </w:r>
            <w:r>
              <w:rPr>
                <w:rFonts w:hint="eastAsia" w:ascii="宋体" w:hAnsi="宋体" w:cs="宋体"/>
                <w:color w:val="auto"/>
                <w:kern w:val="0"/>
                <w:szCs w:val="21"/>
                <w:highlight w:val="none"/>
                <w:lang w:val="en-US" w:eastAsia="zh-CN" w:bidi="ar"/>
              </w:rPr>
              <w:t>类型</w:t>
            </w:r>
          </w:p>
        </w:tc>
      </w:tr>
      <w:tr>
        <w:tblPrEx>
          <w:tblLayout w:type="fixed"/>
          <w:tblCellMar>
            <w:top w:w="0" w:type="dxa"/>
            <w:left w:w="0" w:type="dxa"/>
            <w:bottom w:w="0" w:type="dxa"/>
            <w:right w:w="0" w:type="dxa"/>
          </w:tblCellMar>
        </w:tblPrEx>
        <w:trPr>
          <w:trHeight w:val="312" w:hRule="atLeast"/>
        </w:trPr>
        <w:tc>
          <w:tcPr>
            <w:tcW w:w="8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21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39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5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trHeight w:val="579"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静逸路（华新段）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成龙路-金像寺路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山楠路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三环路-烟厂环形道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棣棠路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烟厂环形道-三环路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金像寺路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三环路-华新新居</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静祥路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成龙路路口-金象寺路路口</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锦江大道A段-锦江大道B段</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驿都大道-成龙路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枫树街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海棠路-驿都西路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芙蓉西路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三环路-锦江大道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百日红西路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三环路-锦江大道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铁路桥-梅林路口</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驿都大道</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铁路桥-航天立交</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琉三路（新区）</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三环路-经天东路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一级道路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静祥路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三环路娇子立交桥-静祥路63号</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锦江大道内侧（华新段）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成龙路-幸福村</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枫香街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烟厂环形道3/4圈</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合欢树街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静明路-国槐街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枫树街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海棠路-成龙路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三环路-锦江大道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黄葛树街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海棠路-茶花街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牡丹街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红豆树街-锦江大道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茶花街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三环路-锦江大道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红豆树街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海棠路-芙蓉西路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上沙河铺街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大观街-国槐街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芙蓉中路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锦江大道-银木街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百日红中路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锦江大道-椿树街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喜树街A段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茶花街-芙蓉中路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喜树街B段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芙蓉中路-驿都大道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椿树街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百日红中路-驿都大道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银木街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百日红中路-芙蓉中路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月季街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锦江大道-红豆树街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海桐一期人行道</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国槐街-水杉街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海桐二期人行道</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合欢树街-蓝谷地</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大观街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海桐路-驿都大道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国槐街A</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驿都大道-海桐路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海桐街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国槐街-三环路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黄杨街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成龙路-国槐街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樱花街A段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芙蓉西路-锦江大道A段</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樱花街B段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锦江大道-喜树街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月季街A段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红豆树街-锦江大道</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月季街B段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锦江大道A段-银木街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42</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榆钱街B段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月季街-芙蓉中路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43</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合欢树街B段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玉兰街-海桐路（海桐三期）</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30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44</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琼花街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喜树街-银木街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银木街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百日红中路-芙蓉中路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玫瑰街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喜树街-椿树街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47</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杜鹃路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喜树街-椿树街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玫瑰街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喜树街-银树街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二级道路</w:t>
            </w:r>
          </w:p>
        </w:tc>
      </w:tr>
      <w:tr>
        <w:tblPrEx>
          <w:tblLayout w:type="fixed"/>
          <w:tblCellMar>
            <w:top w:w="0" w:type="dxa"/>
            <w:left w:w="0" w:type="dxa"/>
            <w:bottom w:w="0" w:type="dxa"/>
            <w:right w:w="0" w:type="dxa"/>
          </w:tblCellMar>
        </w:tblPrEx>
        <w:trPr>
          <w:trHeight w:val="48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伊藤洋华堂旁边无名路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喜树街-椿树街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48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烟厂环形道旁自行车道</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环形道自行车道路口-华兴村口</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青少年路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琉三路-青少年宫</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52</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静祥路（步行街）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华新美庐-到金象寺路路口</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53</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皇经8组小道</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经天东路下穿口-金象寺路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水杉街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静祥路口-海桐街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55</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玉兰街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国槐街街-合欢树街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56</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草红路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金像寺路-琉三路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57</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国香街A段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海棠路-枫树街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58</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国香街B段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海棠路-枫树街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59</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海枣街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海棠路-国香街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邛崃山路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驿都大道-安宁河路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61</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东风面粉厂</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国槐街-铁路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62</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蓝谷地步行街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合欢树街-水杉街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63</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大观里</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一圈（含中街、步行街）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64</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国槐街B</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海桐街--成龙路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65</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蝶花街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国槐街-海桐街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66</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榆钱街A段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芙蓉中路-樱花街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67</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枫树街A段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芙蓉西路-百日红西路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68</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枫树街B段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芙蓉西路-驿都西路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725"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69</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合欢树街A段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国槐街-玉兰街（紫气东来-蓝谷地）</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70</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合欢树街C段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海桐街-静明路</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71</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樱花街A段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街沿</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樱花街B段</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街沿</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73</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水杉街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海桐街-蝶花街</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74</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蝶花街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街沿</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75</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海桐路</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东方丽景街沿</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76</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玉兰街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紫气东来街沿</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77</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玉兰街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华固一品街沿</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r>
        <w:tblPrEx>
          <w:tblLayout w:type="fixed"/>
          <w:tblCellMar>
            <w:top w:w="0" w:type="dxa"/>
            <w:left w:w="0" w:type="dxa"/>
            <w:bottom w:w="0" w:type="dxa"/>
            <w:right w:w="0" w:type="dxa"/>
          </w:tblCellMar>
        </w:tblPrEx>
        <w:trPr>
          <w:trHeight w:val="27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78</w:t>
            </w:r>
          </w:p>
        </w:tc>
        <w:tc>
          <w:tcPr>
            <w:tcW w:w="21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牡丹街</w:t>
            </w:r>
          </w:p>
        </w:tc>
        <w:tc>
          <w:tcPr>
            <w:tcW w:w="3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街沿</w:t>
            </w:r>
          </w:p>
        </w:tc>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三级道路</w:t>
            </w:r>
          </w:p>
        </w:tc>
      </w:tr>
    </w:tbl>
    <w:p>
      <w:pPr>
        <w:autoSpaceDE w:val="0"/>
        <w:autoSpaceDN w:val="0"/>
        <w:adjustRightInd w:val="0"/>
        <w:jc w:val="left"/>
        <w:rPr>
          <w:rFonts w:ascii="宋体" w:hAnsi="宋体" w:cs="宋体"/>
          <w:color w:val="auto"/>
          <w:kern w:val="0"/>
          <w:sz w:val="24"/>
          <w:szCs w:val="24"/>
          <w:highlight w:val="none"/>
        </w:rPr>
      </w:pPr>
    </w:p>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2座（国槐街广场公厕、海桐广场公厕）；定时开放公厕24座（花香苑公厕、东方丽景公厕、国槐街公厕、东洪广厦公厕、芙蓉中路公厕、卓锦城公厕、金像寺路公厕、花香苑社区公厕、锦江大道口公厕、月季街公厕、锦江大道公厕、大观里和静明路交界处公厕、红豆树公厕、成龙路烟厂对面公厕、锦江体育公园公厕、枫树街公厕、卓锦城公园公厕、航天立交桥下公厕、黄杨街公厕、蓝谷地集中绿地公厕、琼花街公厕、鑫苑名家公厕、月季街创意山公厕、国香街公厕）。</w:t>
      </w:r>
    </w:p>
    <w:p>
      <w:pPr>
        <w:spacing w:line="360" w:lineRule="auto"/>
        <w:rPr>
          <w:color w:val="auto"/>
          <w:highlight w:val="none"/>
        </w:rPr>
      </w:pPr>
      <w:r>
        <w:rPr>
          <w:rFonts w:hint="eastAsia"/>
          <w:b/>
          <w:color w:val="auto"/>
          <w:sz w:val="28"/>
          <w:szCs w:val="28"/>
          <w:highlight w:val="none"/>
        </w:rPr>
        <w:t>（二）园林绿化</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337914㎡</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广场游园面积93461</w:t>
      </w:r>
      <w:r>
        <w:rPr>
          <w:rFonts w:hint="eastAsia" w:ascii="宋体" w:hAnsi="宋体"/>
          <w:color w:val="auto"/>
          <w:kern w:val="0"/>
          <w:sz w:val="24"/>
          <w:szCs w:val="24"/>
          <w:highlight w:val="none"/>
          <w:lang w:val="en-US" w:eastAsia="zh-CN" w:bidi="ar"/>
        </w:rPr>
        <w:t>.43</w:t>
      </w:r>
      <w:r>
        <w:rPr>
          <w:rFonts w:ascii="宋体" w:hAnsi="宋体"/>
          <w:color w:val="auto"/>
          <w:kern w:val="0"/>
          <w:sz w:val="24"/>
          <w:szCs w:val="24"/>
          <w:highlight w:val="none"/>
          <w:lang w:bidi="ar"/>
        </w:rPr>
        <w:t>㎡</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地栽花面积620㎡</w:t>
      </w:r>
      <w:r>
        <w:rPr>
          <w:rFonts w:hint="eastAsia" w:ascii="宋体" w:hAnsi="宋体"/>
          <w:color w:val="auto"/>
          <w:kern w:val="0"/>
          <w:sz w:val="24"/>
          <w:szCs w:val="24"/>
          <w:highlight w:val="none"/>
          <w:lang w:bidi="ar"/>
        </w:rPr>
        <w:t>。</w:t>
      </w:r>
    </w:p>
    <w:tbl>
      <w:tblPr>
        <w:tblStyle w:val="59"/>
        <w:tblpPr w:leftFromText="180" w:rightFromText="180" w:vertAnchor="text" w:horzAnchor="page" w:tblpX="1685" w:tblpY="502"/>
        <w:tblOverlap w:val="never"/>
        <w:tblW w:w="8162" w:type="dxa"/>
        <w:tblInd w:w="0" w:type="dxa"/>
        <w:tblLayout w:type="fixed"/>
        <w:tblCellMar>
          <w:top w:w="0" w:type="dxa"/>
          <w:left w:w="108" w:type="dxa"/>
          <w:bottom w:w="0" w:type="dxa"/>
          <w:right w:w="108" w:type="dxa"/>
        </w:tblCellMar>
      </w:tblPr>
      <w:tblGrid>
        <w:gridCol w:w="1561"/>
        <w:gridCol w:w="1985"/>
        <w:gridCol w:w="1125"/>
        <w:gridCol w:w="859"/>
        <w:gridCol w:w="1214"/>
        <w:gridCol w:w="1418"/>
      </w:tblGrid>
      <w:tr>
        <w:tblPrEx>
          <w:tblLayout w:type="fixed"/>
          <w:tblCellMar>
            <w:top w:w="0" w:type="dxa"/>
            <w:left w:w="108" w:type="dxa"/>
            <w:bottom w:w="0" w:type="dxa"/>
            <w:right w:w="108" w:type="dxa"/>
          </w:tblCellMar>
        </w:tblPrEx>
        <w:trPr>
          <w:trHeight w:val="855" w:hRule="atLeast"/>
        </w:trPr>
        <w:tc>
          <w:tcPr>
            <w:tcW w:w="1561" w:type="dxa"/>
            <w:vMerge w:val="restart"/>
            <w:tcBorders>
              <w:top w:val="single" w:color="auto" w:sz="4" w:space="0"/>
              <w:left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1985" w:type="dxa"/>
            <w:vMerge w:val="restart"/>
            <w:tcBorders>
              <w:top w:val="single" w:color="auto" w:sz="4" w:space="0"/>
              <w:left w:val="nil"/>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4616" w:type="dxa"/>
            <w:gridSpan w:val="4"/>
            <w:tcBorders>
              <w:top w:val="single" w:color="auto" w:sz="4" w:space="0"/>
              <w:left w:val="nil"/>
              <w:bottom w:val="single" w:color="auto" w:sz="4" w:space="0"/>
              <w:right w:val="single" w:color="auto" w:sz="4" w:space="0"/>
            </w:tcBorders>
            <w:vAlign w:val="center"/>
          </w:tcPr>
          <w:p>
            <w:pPr>
              <w:widowControl/>
              <w:jc w:val="center"/>
              <w:rPr>
                <w:rFonts w:hint="eastAsia"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招标面积（㎡）</w:t>
            </w:r>
          </w:p>
        </w:tc>
      </w:tr>
      <w:tr>
        <w:tblPrEx>
          <w:tblLayout w:type="fixed"/>
          <w:tblCellMar>
            <w:top w:w="0" w:type="dxa"/>
            <w:left w:w="108" w:type="dxa"/>
            <w:bottom w:w="0" w:type="dxa"/>
            <w:right w:w="108" w:type="dxa"/>
          </w:tblCellMar>
        </w:tblPrEx>
        <w:trPr>
          <w:trHeight w:val="855" w:hRule="atLeast"/>
        </w:trPr>
        <w:tc>
          <w:tcPr>
            <w:tcW w:w="1561" w:type="dxa"/>
            <w:vMerge w:val="continue"/>
            <w:tcBorders>
              <w:left w:val="single" w:color="auto" w:sz="4" w:space="0"/>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p>
        </w:tc>
        <w:tc>
          <w:tcPr>
            <w:tcW w:w="1985" w:type="dxa"/>
            <w:vMerge w:val="continue"/>
            <w:tcBorders>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lang w:eastAsia="zh-CN"/>
              </w:rPr>
              <w:t>小计</w:t>
            </w:r>
            <w:r>
              <w:rPr>
                <w:rFonts w:hint="eastAsia" w:ascii="华文黑体" w:hAnsi="宋体" w:eastAsia="华文黑体" w:cs="宋体"/>
                <w:b/>
                <w:bCs/>
                <w:color w:val="auto"/>
                <w:kern w:val="0"/>
                <w:sz w:val="24"/>
                <w:szCs w:val="24"/>
                <w:highlight w:val="none"/>
              </w:rPr>
              <w:t>（㎡）</w:t>
            </w:r>
          </w:p>
        </w:tc>
        <w:tc>
          <w:tcPr>
            <w:tcW w:w="859"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w:t>
            </w:r>
          </w:p>
        </w:tc>
        <w:tc>
          <w:tcPr>
            <w:tcW w:w="1214"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地栽花面积（㎡）</w:t>
            </w:r>
          </w:p>
        </w:tc>
      </w:tr>
      <w:tr>
        <w:tblPrEx>
          <w:tblLayout w:type="fixed"/>
          <w:tblCellMar>
            <w:top w:w="0" w:type="dxa"/>
            <w:left w:w="108" w:type="dxa"/>
            <w:bottom w:w="0" w:type="dxa"/>
            <w:right w:w="108" w:type="dxa"/>
          </w:tblCellMar>
        </w:tblPrEx>
        <w:trPr>
          <w:trHeight w:val="998"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成龙路三环路外南侧绿地（枫香街至香樟大道）</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24414</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24254</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160</w:t>
            </w:r>
          </w:p>
        </w:tc>
      </w:tr>
      <w:tr>
        <w:tblPrEx>
          <w:tblLayout w:type="fixed"/>
          <w:tblCellMar>
            <w:top w:w="0" w:type="dxa"/>
            <w:left w:w="108" w:type="dxa"/>
            <w:bottom w:w="0" w:type="dxa"/>
            <w:right w:w="108" w:type="dxa"/>
          </w:tblCellMar>
        </w:tblPrEx>
        <w:trPr>
          <w:trHeight w:val="700"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红豆树街牡丹广场</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21127</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21127</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6"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大观里口绿化及大观巨桉树</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2435</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2435</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989"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香樟路分车带绿化</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5500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5500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1124"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卓锦城公共绿地</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21000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21000</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983"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水杉街与海桐街公共绿地（7号地块）</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8600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8600</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9"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锦江区茶花街488号鑫苑名家二期公共绿地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11000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11000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08"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鑫苑名家一期公共绿地</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3600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3600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0"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9</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东丽苑绿地</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5300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5300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14"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枫树街隔离带（成龙路至芙蓉西路）</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3646</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3646</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1817"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百日红西路分车绿化带（三环路至香樟大道）(招标时用3819.6平方米这个数据，修建三环路匝道扣除530.4平方米）</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3819</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3819</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94"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12</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茶花树街两边隔离带（三环路至香樟大道）</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2166</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2166</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833"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芙蓉西路分车绿化带（三环路至香樟大道）</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4240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4240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846"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14</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红豆树街两边分车绿化带（成龙路至芙蓉西路）</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1442</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1442</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888"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15</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牡丹街两边分车绿化带（红豆树街至香樟大道）</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1384</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1384</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1085"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16</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海棠路路边绿地及分车绿化带（三环路至香樟大道）</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4110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4110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973"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17</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国香街分车绿化带</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2520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2520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04"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18</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海枣街分车绿化带</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220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220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1125"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19</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海桐街分车绿化带(招标时用697.6平方米这个数据，修建三环路匝道扣除360.4平方米）</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697</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697</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983"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大观片区规划绿地景观（2、3、5、6、8、9号游园）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21284</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21284</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9"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21</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国槐街与驿都大道交汇处广场（1号地块）</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4800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4800</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08"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22</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合欢树街与海桐街交汇处广场（10号地块）</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4123</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4123</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973"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23</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牡丹街、月季街绿化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1902</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1902</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988"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24</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香樟大道两侧街头绿地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49707</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49507</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w:t>
            </w:r>
          </w:p>
        </w:tc>
      </w:tr>
      <w:tr>
        <w:tblPrEx>
          <w:tblLayout w:type="fixed"/>
          <w:tblCellMar>
            <w:top w:w="0" w:type="dxa"/>
            <w:left w:w="108" w:type="dxa"/>
            <w:bottom w:w="0" w:type="dxa"/>
            <w:right w:w="108" w:type="dxa"/>
          </w:tblCellMar>
        </w:tblPrEx>
        <w:trPr>
          <w:trHeight w:val="1130"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25</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“芙蓉西路”小游园（总面积2056平方米，其中地栽花面积263平方米</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2056</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1796</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260</w:t>
            </w:r>
          </w:p>
        </w:tc>
      </w:tr>
      <w:tr>
        <w:tblPrEx>
          <w:tblLayout w:type="fixed"/>
          <w:tblCellMar>
            <w:top w:w="0" w:type="dxa"/>
            <w:left w:w="108" w:type="dxa"/>
            <w:bottom w:w="0" w:type="dxa"/>
            <w:right w:w="108" w:type="dxa"/>
          </w:tblCellMar>
        </w:tblPrEx>
        <w:trPr>
          <w:trHeight w:val="1133"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26</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“合欢树街”微绿地（总面积1843平方米，其中地栽花面积20平方米</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1843</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1843</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457"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27</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黄葛树街</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290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290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75"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28</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人居居住区（锦尚春天A区北侧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10300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10300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28"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29</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锦尚春天东侧市政绿地</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11461</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11461</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6"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花香苑4区后门</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490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490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2"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31</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蓝谷地游园</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2890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2890</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02"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32</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国槐街两侧(含东方丽景绿化带）</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5500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5500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8"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33</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海桐一期旁</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1780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1780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4"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34</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蓝谷地，a区一号门外</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4050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4050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846"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35</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芙蓉中路绿化</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8064</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8064</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99"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36</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月季街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1832</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1832</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1408"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37</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三圣洪河片区栀子社区银木西街等3条路(月季街部分、银木西街、榆钱街）2017年8月1日移交标段</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840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840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1543"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38</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成龙路三环路外北侧绿地（枫香街至香樟大道）招标时采用32804平方米，三环路匝道建设扣除3025平方米</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28175</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28175</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969"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39</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成龙路娇子立交至锦江大道分车带绿化</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975</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975</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1267"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40</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成都烟厂旁桉树林（招标时采用45889平方米，三环路匝道建设扣除3025平方米</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45889</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45889</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04"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41</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锦江党校A地块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28998</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28998</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86"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42</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锦江党校B地块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6300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6300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710"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43</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锦江党校C地块 </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11770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11770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550"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44</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卓锦广场</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13561.43</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13561.43</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450"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45</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金房华韵天府</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3375</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3375</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675" w:hRule="atLeast"/>
        </w:trPr>
        <w:tc>
          <w:tcPr>
            <w:tcW w:w="156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46</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四海逸家一、二期公共绿地</w:t>
            </w:r>
          </w:p>
        </w:tc>
        <w:tc>
          <w:tcPr>
            <w:tcW w:w="112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13260</w:t>
            </w:r>
          </w:p>
        </w:tc>
        <w:tc>
          <w:tcPr>
            <w:tcW w:w="859"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13260</w:t>
            </w:r>
          </w:p>
        </w:tc>
        <w:tc>
          <w:tcPr>
            <w:tcW w:w="12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375" w:hRule="atLeast"/>
        </w:trPr>
        <w:tc>
          <w:tcPr>
            <w:tcW w:w="15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47</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枫棠园</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2260</w:t>
            </w:r>
          </w:p>
        </w:tc>
        <w:tc>
          <w:tcPr>
            <w:tcW w:w="85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21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2260</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450" w:hRule="atLeast"/>
        </w:trPr>
        <w:tc>
          <w:tcPr>
            <w:tcW w:w="15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48</w:t>
            </w:r>
          </w:p>
        </w:tc>
        <w:tc>
          <w:tcPr>
            <w:tcW w:w="198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琉三路以北绿化</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17000</w:t>
            </w:r>
          </w:p>
        </w:tc>
        <w:tc>
          <w:tcPr>
            <w:tcW w:w="85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17000</w:t>
            </w:r>
          </w:p>
        </w:tc>
        <w:tc>
          <w:tcPr>
            <w:tcW w:w="121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Layout w:type="fixed"/>
          <w:tblCellMar>
            <w:top w:w="0" w:type="dxa"/>
            <w:left w:w="108" w:type="dxa"/>
            <w:bottom w:w="0" w:type="dxa"/>
            <w:right w:w="108" w:type="dxa"/>
          </w:tblCellMar>
        </w:tblPrEx>
        <w:trPr>
          <w:trHeight w:val="450" w:hRule="atLeast"/>
        </w:trPr>
        <w:tc>
          <w:tcPr>
            <w:tcW w:w="354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合计</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431995.43</w:t>
            </w:r>
          </w:p>
        </w:tc>
        <w:tc>
          <w:tcPr>
            <w:tcW w:w="859"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337914</w:t>
            </w:r>
          </w:p>
        </w:tc>
        <w:tc>
          <w:tcPr>
            <w:tcW w:w="1214"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93461.43</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620</w:t>
            </w:r>
          </w:p>
        </w:tc>
      </w:tr>
    </w:tbl>
    <w:p>
      <w:pPr>
        <w:autoSpaceDE w:val="0"/>
        <w:autoSpaceDN w:val="0"/>
        <w:adjustRightInd w:val="0"/>
        <w:jc w:val="left"/>
        <w:rPr>
          <w:rFonts w:ascii="宋体" w:hAnsi="Times New Roman" w:cs="宋体"/>
          <w:color w:val="auto"/>
          <w:kern w:val="0"/>
          <w:sz w:val="24"/>
          <w:szCs w:val="24"/>
          <w:highlight w:val="none"/>
          <w:lang w:bidi="ar"/>
        </w:rPr>
      </w:pPr>
    </w:p>
    <w:p>
      <w:pPr>
        <w:autoSpaceDE w:val="0"/>
        <w:autoSpaceDN w:val="0"/>
        <w:adjustRightInd w:val="0"/>
        <w:jc w:val="left"/>
        <w:rPr>
          <w:rFonts w:ascii="宋体" w:hAnsi="Times New Roman" w:cs="宋体"/>
          <w:color w:val="auto"/>
          <w:kern w:val="0"/>
          <w:sz w:val="24"/>
          <w:szCs w:val="24"/>
          <w:highlight w:val="none"/>
          <w:lang w:bidi="ar"/>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b/>
          <w:color w:val="auto"/>
          <w:sz w:val="28"/>
          <w:szCs w:val="28"/>
          <w:highlight w:val="none"/>
        </w:rPr>
      </w:pPr>
      <w:r>
        <w:rPr>
          <w:rFonts w:hint="eastAsia"/>
          <w:b/>
          <w:color w:val="auto"/>
          <w:sz w:val="28"/>
          <w:szCs w:val="28"/>
          <w:highlight w:val="none"/>
        </w:rPr>
        <w:t>（三）河道管护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河床面积</w:t>
      </w:r>
      <w:r>
        <w:rPr>
          <w:rFonts w:ascii="宋体" w:hAnsi="宋体"/>
          <w:color w:val="auto"/>
          <w:kern w:val="0"/>
          <w:sz w:val="24"/>
          <w:szCs w:val="24"/>
          <w:highlight w:val="none"/>
          <w:lang w:bidi="ar"/>
        </w:rPr>
        <w:t>16800</w:t>
      </w:r>
      <w:r>
        <w:rPr>
          <w:rFonts w:hint="eastAsia" w:ascii="宋体" w:hAnsi="宋体"/>
          <w:color w:val="auto"/>
          <w:kern w:val="0"/>
          <w:sz w:val="24"/>
          <w:szCs w:val="24"/>
          <w:highlight w:val="none"/>
          <w:lang w:bidi="ar"/>
        </w:rPr>
        <w:t>平方米，河道栏杆长度</w:t>
      </w:r>
      <w:r>
        <w:rPr>
          <w:rFonts w:ascii="宋体" w:hAnsi="宋体"/>
          <w:color w:val="auto"/>
          <w:kern w:val="0"/>
          <w:sz w:val="24"/>
          <w:szCs w:val="24"/>
          <w:highlight w:val="none"/>
          <w:lang w:bidi="ar"/>
        </w:rPr>
        <w:t>3800</w:t>
      </w:r>
      <w:r>
        <w:rPr>
          <w:rFonts w:hint="eastAsia" w:ascii="宋体" w:hAnsi="宋体"/>
          <w:color w:val="auto"/>
          <w:kern w:val="0"/>
          <w:sz w:val="24"/>
          <w:szCs w:val="24"/>
          <w:highlight w:val="none"/>
          <w:lang w:bidi="ar"/>
        </w:rPr>
        <w:t>米，河道绿化面积</w:t>
      </w:r>
      <w:r>
        <w:rPr>
          <w:rFonts w:ascii="宋体" w:hAnsi="宋体"/>
          <w:color w:val="auto"/>
          <w:kern w:val="0"/>
          <w:sz w:val="24"/>
          <w:szCs w:val="24"/>
          <w:highlight w:val="none"/>
          <w:lang w:bidi="ar"/>
        </w:rPr>
        <w:t>19200</w:t>
      </w:r>
      <w:r>
        <w:rPr>
          <w:rFonts w:hint="eastAsia" w:ascii="宋体" w:hAnsi="宋体"/>
          <w:color w:val="auto"/>
          <w:kern w:val="0"/>
          <w:sz w:val="24"/>
          <w:szCs w:val="24"/>
          <w:highlight w:val="none"/>
          <w:lang w:bidi="ar"/>
        </w:rPr>
        <w:t>平方米。</w:t>
      </w: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（四）设施设备需求数量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10辆；洒水车（核定载质量≥8吨）5辆；多功能洗扫车（核定载质量≥4吨）8辆；雾炮车（核定载质量≥5吨）1辆；护栏清洗车（核定载质量≥3吨）1辆；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收集车24辆；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bidi="ar"/>
        </w:rPr>
        <w:t>4</w:t>
      </w:r>
      <w:r>
        <w:rPr>
          <w:rFonts w:hint="eastAsia" w:ascii="宋体" w:hAnsi="宋体"/>
          <w:color w:val="auto"/>
          <w:kern w:val="0"/>
          <w:sz w:val="24"/>
          <w:szCs w:val="24"/>
          <w:highlight w:val="none"/>
          <w:lang w:val="en-US" w:eastAsia="zh-CN" w:bidi="ar"/>
        </w:rPr>
        <w:t>0</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15辆；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18辆</w:t>
      </w:r>
      <w:r>
        <w:rPr>
          <w:rFonts w:hint="eastAsia" w:ascii="宋体" w:hAnsi="宋体"/>
          <w:color w:val="auto"/>
          <w:kern w:val="0"/>
          <w:sz w:val="24"/>
          <w:szCs w:val="24"/>
          <w:highlight w:val="none"/>
          <w:lang w:val="en-US" w:eastAsia="zh-CN" w:bidi="ar"/>
        </w:rPr>
        <w:t>,</w:t>
      </w:r>
      <w:r>
        <w:rPr>
          <w:rFonts w:hint="eastAsia" w:ascii="宋体" w:hAnsi="宋体"/>
          <w:color w:val="auto"/>
          <w:kern w:val="0"/>
          <w:sz w:val="24"/>
          <w:szCs w:val="24"/>
          <w:highlight w:val="none"/>
          <w:lang w:eastAsia="zh-CN" w:bidi="ar"/>
        </w:rPr>
        <w:t>小型分类收集车</w:t>
      </w:r>
      <w:r>
        <w:rPr>
          <w:rFonts w:hint="eastAsia" w:ascii="宋体" w:hAnsi="宋体"/>
          <w:color w:val="auto"/>
          <w:kern w:val="0"/>
          <w:sz w:val="24"/>
          <w:szCs w:val="24"/>
          <w:highlight w:val="none"/>
          <w:lang w:val="en-US" w:eastAsia="zh-CN" w:bidi="ar"/>
        </w:rPr>
        <w:t>5辆</w:t>
      </w:r>
      <w:r>
        <w:rPr>
          <w:rFonts w:hint="eastAsia" w:ascii="宋体" w:hAnsi="宋体"/>
          <w:color w:val="auto"/>
          <w:kern w:val="0"/>
          <w:sz w:val="24"/>
          <w:szCs w:val="24"/>
          <w:highlight w:val="none"/>
          <w:lang w:bidi="ar"/>
        </w:rPr>
        <w:t>。</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3. 河道管护</w:t>
      </w:r>
    </w:p>
    <w:p>
      <w:pPr>
        <w:autoSpaceDE w:val="0"/>
        <w:autoSpaceDN w:val="0"/>
        <w:adjustRightInd w:val="0"/>
        <w:jc w:val="left"/>
        <w:rPr>
          <w:rFonts w:ascii="宋体" w:hAnsi="Times New Roman" w:cs="宋体"/>
          <w:color w:val="auto"/>
          <w:kern w:val="0"/>
          <w:sz w:val="24"/>
          <w:szCs w:val="24"/>
          <w:highlight w:val="none"/>
          <w:lang w:bidi="ar"/>
        </w:rPr>
      </w:pPr>
      <w:r>
        <w:rPr>
          <w:rFonts w:hint="eastAsia" w:ascii="宋体" w:hAnsi="宋体" w:cs="宋体"/>
          <w:color w:val="auto"/>
          <w:kern w:val="0"/>
          <w:sz w:val="24"/>
          <w:szCs w:val="24"/>
          <w:highlight w:val="none"/>
          <w:lang w:bidi="ar"/>
        </w:rPr>
        <w:t>需配备河道打捞的基本设施及器具。</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（五）人员数量</w:t>
      </w:r>
    </w:p>
    <w:p>
      <w:pPr>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项目经理1人，绿化管护项目负责人1人，绿化管护技术负责人1人，时令鲜花（含花镜）专职管理技术人员1人，辖区公厕质量管理人员1人，公厕维修维护人员2人，环卫工人238人，绿化管护工人30人，环卫公厕管护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w:t>
      </w:r>
      <w:r>
        <w:rPr>
          <w:rFonts w:hint="eastAsia" w:ascii="宋体" w:hAnsi="宋体"/>
          <w:color w:val="auto"/>
          <w:kern w:val="0"/>
          <w:sz w:val="24"/>
          <w:szCs w:val="24"/>
          <w:highlight w:val="none"/>
          <w:lang w:eastAsia="zh-CN" w:bidi="ar"/>
        </w:rPr>
        <w:t>河道管护工人</w:t>
      </w:r>
      <w:r>
        <w:rPr>
          <w:rFonts w:hint="eastAsia" w:ascii="宋体" w:hAnsi="宋体"/>
          <w:color w:val="auto"/>
          <w:kern w:val="0"/>
          <w:sz w:val="24"/>
          <w:szCs w:val="24"/>
          <w:highlight w:val="none"/>
          <w:lang w:val="en-US" w:eastAsia="zh-CN" w:bidi="ar"/>
        </w:rPr>
        <w:t>3人；</w:t>
      </w:r>
      <w:r>
        <w:rPr>
          <w:rFonts w:hint="eastAsia" w:ascii="宋体" w:hAnsi="宋体"/>
          <w:color w:val="auto"/>
          <w:kern w:val="0"/>
          <w:sz w:val="24"/>
          <w:szCs w:val="24"/>
          <w:highlight w:val="none"/>
          <w:lang w:bidi="ar"/>
        </w:rPr>
        <w:t>驾驶人员不做具体要求，根据车辆数量配备。</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沙河街道办事处：</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道路清扫保洁面积785927㎡</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其中特级道路保洁面积195168</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一级道路保洁面积164650.7</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二级道路保洁面积328048.5</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三级道路保洁面积98059.8</w:t>
      </w:r>
      <w:r>
        <w:rPr>
          <w:rFonts w:hint="eastAsia" w:ascii="宋体" w:hAnsi="宋体"/>
          <w:color w:val="auto"/>
          <w:sz w:val="24"/>
          <w:szCs w:val="24"/>
          <w:highlight w:val="none"/>
          <w:lang w:eastAsia="zh-CN"/>
        </w:rPr>
        <w:t>㎡；</w:t>
      </w:r>
      <w:r>
        <w:rPr>
          <w:rFonts w:hint="eastAsia" w:ascii="宋体" w:hAnsi="宋体"/>
          <w:color w:val="auto"/>
          <w:sz w:val="24"/>
          <w:szCs w:val="24"/>
          <w:highlight w:val="none"/>
        </w:rPr>
        <w:t>市管绿化保洁面积</w:t>
      </w:r>
      <w:r>
        <w:rPr>
          <w:rFonts w:ascii="宋体" w:hAnsi="宋体"/>
          <w:color w:val="auto"/>
          <w:sz w:val="24"/>
          <w:szCs w:val="24"/>
          <w:highlight w:val="none"/>
        </w:rPr>
        <w:t>93047㎡</w:t>
      </w:r>
      <w:r>
        <w:rPr>
          <w:rFonts w:hint="eastAsia" w:ascii="宋体" w:hAnsi="宋体"/>
          <w:color w:val="auto"/>
          <w:sz w:val="24"/>
          <w:szCs w:val="24"/>
          <w:highlight w:val="none"/>
        </w:rPr>
        <w:t>；其他垃圾日清运量</w:t>
      </w:r>
      <w:r>
        <w:rPr>
          <w:rFonts w:ascii="宋体" w:hAnsi="宋体"/>
          <w:color w:val="auto"/>
          <w:sz w:val="24"/>
          <w:szCs w:val="24"/>
          <w:highlight w:val="none"/>
        </w:rPr>
        <w:t>112</w:t>
      </w:r>
      <w:r>
        <w:rPr>
          <w:rFonts w:hint="eastAsia" w:ascii="宋体" w:hAnsi="宋体"/>
          <w:color w:val="auto"/>
          <w:sz w:val="24"/>
          <w:szCs w:val="24"/>
          <w:highlight w:val="none"/>
        </w:rPr>
        <w:t>吨；厨余垃圾日清运量8.5吨。</w:t>
      </w:r>
    </w:p>
    <w:p>
      <w:pPr>
        <w:spacing w:line="360" w:lineRule="auto"/>
        <w:jc w:val="center"/>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道路明细表</w:t>
      </w:r>
    </w:p>
    <w:tbl>
      <w:tblPr>
        <w:tblStyle w:val="59"/>
        <w:tblpPr w:leftFromText="180" w:rightFromText="180" w:vertAnchor="text" w:horzAnchor="page" w:tblpX="1751" w:tblpY="203"/>
        <w:tblOverlap w:val="never"/>
        <w:tblW w:w="8464" w:type="dxa"/>
        <w:tblInd w:w="0" w:type="dxa"/>
        <w:shd w:val="clear" w:color="auto" w:fill="auto"/>
        <w:tblLayout w:type="fixed"/>
        <w:tblCellMar>
          <w:top w:w="0" w:type="dxa"/>
          <w:left w:w="0" w:type="dxa"/>
          <w:bottom w:w="0" w:type="dxa"/>
          <w:right w:w="0" w:type="dxa"/>
        </w:tblCellMar>
      </w:tblPr>
      <w:tblGrid>
        <w:gridCol w:w="1044"/>
        <w:gridCol w:w="2382"/>
        <w:gridCol w:w="3563"/>
        <w:gridCol w:w="1475"/>
      </w:tblGrid>
      <w:tr>
        <w:tblPrEx>
          <w:shd w:val="clear" w:color="auto" w:fill="auto"/>
          <w:tblLayout w:type="fixed"/>
          <w:tblCellMar>
            <w:top w:w="0" w:type="dxa"/>
            <w:left w:w="0" w:type="dxa"/>
            <w:bottom w:w="0" w:type="dxa"/>
            <w:right w:w="0" w:type="dxa"/>
          </w:tblCellMar>
        </w:tblPrEx>
        <w:trPr>
          <w:trHeight w:val="312" w:hRule="atLeast"/>
        </w:trPr>
        <w:tc>
          <w:tcPr>
            <w:tcW w:w="10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23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街道名称</w:t>
            </w:r>
          </w:p>
        </w:tc>
        <w:tc>
          <w:tcPr>
            <w:tcW w:w="35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起止点</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道路类型</w:t>
            </w:r>
          </w:p>
        </w:tc>
      </w:tr>
      <w:tr>
        <w:tblPrEx>
          <w:tblLayout w:type="fixed"/>
          <w:tblCellMar>
            <w:top w:w="0" w:type="dxa"/>
            <w:left w:w="0" w:type="dxa"/>
            <w:bottom w:w="0" w:type="dxa"/>
            <w:right w:w="0" w:type="dxa"/>
          </w:tblCellMar>
        </w:tblPrEx>
        <w:trPr>
          <w:trHeight w:val="312" w:hRule="atLeast"/>
        </w:trPr>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c>
          <w:tcPr>
            <w:tcW w:w="23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c>
          <w:tcPr>
            <w:tcW w:w="35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东大路（包含上沙河、下沙河铺街）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五福桥桥头—静明路交汇处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东大路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二环路东四段口—五福桥</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静明路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78438部队与成华区交界处—静康路交汇处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静康路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静明路的交汇处—沙河大桥桥头</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迎晖路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迎晖路引桥—塔子山公园围墙</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五桂桥高架桥桥面</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五桂桥桥尾—高架桥桥尾</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迎晖路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五桂桥桥尾—高架桥桥尾</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岷山路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东大路上沙河路口—安宁河路交汇处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岷山路延线</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岷山路交汇处—蓉东变电站</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安宁河路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岷山路交汇处—消防厂门口</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二郎山路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东大路下沙河铺街路口—安宁河路交汇处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九寨沟路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岷山路交汇处—原子能家属区侧断头路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13</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大凉山路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东大路秀水桥—秀水园大门</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岷江路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锦东庭园大门—成华区交汇处（含街沿）</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双桂路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双桥子立交桥-五桂桥</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净居寺路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二环路龙舟路口-沙河大桥</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净居寺路段</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绿野天城-农科院</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18</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沙河大桥</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双桂路口-龙舟路口</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成渝高架桥</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双桂路口-五桂桥头</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塔子山南街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塔子山南大门—东大路交汇处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静居寺路（沙河边）</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望江宾馆后门（河边）—静康路交汇处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23</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秀水河</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望江宾馆大门桥面</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24</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净居寺南路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长生源健身中心—95607部队大门</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汇泉北路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双桂路-东大路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26</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汇泉南路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东大路-净居寺路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27</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汇源北路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双桂路-东大路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28</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汇源南路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东大路-通盈街</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29</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汇源东路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汇源北路-古雅坡路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通汇街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二环路东四段-古雅坡路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31</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通源街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二环路东四段-古雅坡路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32</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通盈街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二环路东四段-澳龙名城</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33</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通盈街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澳龙名城-牛沙北路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34</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通宝街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二环路东四段-牛沙北路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35</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通桂路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双桂路-通汇街</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36</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汇聚路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通汇街-通宝街</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37</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汇泉东路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汇泉南路-汇源南路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38</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汇泉西路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二环路东四段-汇泉南路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39</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汇祥路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通源街-通宝街</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40</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静雅巷</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静康路口-静秀路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41</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马家沟路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下沙河铺街路口-静沙北路交汇处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42</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马家沟路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静和路交汇处-静康路交汇处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43</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马家沟老街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望江水岸大门口-望江锦苑大门口</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44</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老沙河铺上街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邮电校培训中心大门堡坎—捷美超市</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45</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大营门街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沙河边塔子山南街—78565部队大门</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46</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静沙北路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静沙北路—静秀路交界处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47</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静秀路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静秀路—静和路交界处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48</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静和路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静康路路口—静沙北路交界处</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49</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古雅坡路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五桂桥-五福桥</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牛沙路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二环路东四段-牛沙南路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51</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莲花六组通道</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52</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牛沙北路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五福桥-牛沙路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53</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牛沙南路</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牛沙路-沙河大桥</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54</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牛沙后街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二环路东四段-汇泉南路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3"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55</w:t>
            </w:r>
          </w:p>
        </w:tc>
        <w:tc>
          <w:tcPr>
            <w:tcW w:w="2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牛沙横街</w:t>
            </w:r>
          </w:p>
        </w:tc>
        <w:tc>
          <w:tcPr>
            <w:tcW w:w="3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牛沙路-净居寺路</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bl>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10座（双桥子公厕、二环路东四段公厕、通盈路公厕、莲花六组公厕、上海东韵公厕、锦天府公厕、天誉公厕、中州公厕、东大路延线公厕、锦官阁公厕）；定时开放公厕8座（蝶语公厕、静康路公厕、秀水园公厕、通宝街公厕、古雅坡公厕、马家沟公厕、牛沙北路公厕、牛市口地铁站外公厕）。</w:t>
      </w:r>
    </w:p>
    <w:p>
      <w:pPr>
        <w:spacing w:line="360" w:lineRule="auto"/>
        <w:rPr>
          <w:color w:val="auto"/>
          <w:highlight w:val="none"/>
        </w:rPr>
      </w:pPr>
      <w:r>
        <w:rPr>
          <w:rFonts w:hint="eastAsia"/>
          <w:b/>
          <w:color w:val="auto"/>
          <w:sz w:val="28"/>
          <w:szCs w:val="28"/>
          <w:highlight w:val="none"/>
        </w:rPr>
        <w:t>（二）园林绿化</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67030㎡</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广场游园面积15760㎡</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地栽花面积1072㎡</w:t>
      </w:r>
      <w:r>
        <w:rPr>
          <w:rFonts w:hint="eastAsia" w:ascii="宋体" w:hAnsi="宋体"/>
          <w:color w:val="auto"/>
          <w:kern w:val="0"/>
          <w:sz w:val="24"/>
          <w:szCs w:val="24"/>
          <w:highlight w:val="none"/>
          <w:lang w:bidi="ar"/>
        </w:rPr>
        <w:t>。</w:t>
      </w:r>
    </w:p>
    <w:tbl>
      <w:tblPr>
        <w:tblStyle w:val="59"/>
        <w:tblpPr w:leftFromText="180" w:rightFromText="180" w:vertAnchor="text" w:horzAnchor="page" w:tblpX="1944" w:tblpY="228"/>
        <w:tblW w:w="8175"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32"/>
        <w:gridCol w:w="2790"/>
        <w:gridCol w:w="993"/>
        <w:gridCol w:w="1134"/>
        <w:gridCol w:w="1134"/>
        <w:gridCol w:w="99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855" w:hRule="atLeast"/>
        </w:trPr>
        <w:tc>
          <w:tcPr>
            <w:tcW w:w="1132" w:type="dxa"/>
            <w:vMerge w:val="restart"/>
            <w:tcBorders>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2790" w:type="dxa"/>
            <w:vMerge w:val="restart"/>
            <w:tcBorders>
              <w:left w:val="nil"/>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4253" w:type="dxa"/>
            <w:gridSpan w:val="4"/>
            <w:tcBorders>
              <w:left w:val="nil"/>
              <w:bottom w:val="single" w:color="auto" w:sz="4" w:space="0"/>
            </w:tcBorders>
            <w:vAlign w:val="center"/>
          </w:tcPr>
          <w:p>
            <w:pPr>
              <w:widowControl/>
              <w:jc w:val="center"/>
              <w:rPr>
                <w:rFonts w:hint="eastAsia"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招标面积（㎡）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855" w:hRule="atLeast"/>
        </w:trPr>
        <w:tc>
          <w:tcPr>
            <w:tcW w:w="1132" w:type="dxa"/>
            <w:vMerge w:val="continue"/>
            <w:tcBorders>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p>
        </w:tc>
        <w:tc>
          <w:tcPr>
            <w:tcW w:w="2790" w:type="dxa"/>
            <w:vMerge w:val="continue"/>
            <w:tcBorders>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p>
        </w:tc>
        <w:tc>
          <w:tcPr>
            <w:tcW w:w="993" w:type="dxa"/>
            <w:tcBorders>
              <w:top w:val="single" w:color="auto" w:sz="4" w:space="0"/>
              <w:left w:val="nil"/>
              <w:bottom w:val="single" w:color="auto" w:sz="4" w:space="0"/>
              <w:right w:val="nil"/>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lang w:eastAsia="zh-CN"/>
              </w:rPr>
              <w:t>小计</w:t>
            </w:r>
            <w:r>
              <w:rPr>
                <w:rFonts w:hint="eastAsia" w:ascii="华文黑体" w:hAnsi="宋体" w:eastAsia="华文黑体" w:cs="宋体"/>
                <w:b/>
                <w:bCs/>
                <w:color w:val="auto"/>
                <w:kern w:val="0"/>
                <w:sz w:val="24"/>
                <w:szCs w:val="24"/>
                <w:highlight w:val="none"/>
              </w:rPr>
              <w:t>（㎡）</w:t>
            </w:r>
          </w:p>
        </w:tc>
        <w:tc>
          <w:tcPr>
            <w:tcW w:w="1134" w:type="dxa"/>
            <w:tcBorders>
              <w:top w:val="single" w:color="auto" w:sz="4" w:space="0"/>
              <w:left w:val="single" w:color="auto" w:sz="4" w:space="0"/>
              <w:bottom w:val="single" w:color="auto" w:sz="4" w:space="0"/>
              <w:right w:val="nil"/>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c>
          <w:tcPr>
            <w:tcW w:w="992" w:type="dxa"/>
            <w:tcBorders>
              <w:top w:val="single" w:color="auto" w:sz="4" w:space="0"/>
              <w:left w:val="nil"/>
              <w:bottom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地栽花面积（㎡）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老成渝路</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5304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5304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5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790" w:type="dxa"/>
            <w:tcBorders>
              <w:top w:val="nil"/>
              <w:left w:val="nil"/>
              <w:bottom w:val="nil"/>
              <w:right w:val="nil"/>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万科金润华府公建配套 （2014年7月新增） </w:t>
            </w:r>
          </w:p>
        </w:tc>
        <w:tc>
          <w:tcPr>
            <w:tcW w:w="99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11919</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11919</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8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790" w:type="dxa"/>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东大路（沙河桥-静明路口）</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7073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7073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8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塔子山公园迎辉路出门右侧绿地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3018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3018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大凉山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910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910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岷江路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977</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977</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安宁河路分车带</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马家沟</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8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万科金润华府一号门和二号门之间</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1000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1000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8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老成渝路路口种植公司旁凹地内绿地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 农科院大门外绿地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QQ城外绿地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981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981</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13"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蓄研院门前绿地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农机院门前旁绿地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阳光水岸广场外花台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小康人家门前花台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73</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8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澳龙名城路段绿地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6288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6288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2790"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攀成钢片南片区街头绿地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10984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10984</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2790"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流金岁月围墙外绿地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3346</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3346</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85"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牛沙路锦天府门口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5985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5985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8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2790"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流金岁月后面绿地（临通盈街)</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585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585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8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2790"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“通宝街”微绿地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3025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2233</w:t>
            </w:r>
          </w:p>
        </w:tc>
        <w:tc>
          <w:tcPr>
            <w:tcW w:w="992" w:type="dxa"/>
            <w:tcBorders>
              <w:top w:val="nil"/>
              <w:left w:val="nil"/>
              <w:bottom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792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8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279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汇泉南路333号攀成钢16号地块（吉宝-凌云峰阁）</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5145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5145</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7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c>
          <w:tcPr>
            <w:tcW w:w="279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中粮片区花箱</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280</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7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w:t>
            </w:r>
          </w:p>
        </w:tc>
        <w:tc>
          <w:tcPr>
            <w:tcW w:w="279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花果新居小游园</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1608</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1608</w:t>
            </w:r>
          </w:p>
        </w:tc>
        <w:tc>
          <w:tcPr>
            <w:tcW w:w="992" w:type="dxa"/>
            <w:tcBorders>
              <w:top w:val="nil"/>
              <w:left w:val="nil"/>
              <w:bottom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70" w:hRule="atLeast"/>
        </w:trPr>
        <w:tc>
          <w:tcPr>
            <w:tcW w:w="1132" w:type="dxa"/>
            <w:tcBorders>
              <w:top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w:t>
            </w:r>
          </w:p>
        </w:tc>
        <w:tc>
          <w:tcPr>
            <w:tcW w:w="2790"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塔子山公园后门绿地</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14276</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14276</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70" w:hRule="atLeast"/>
        </w:trPr>
        <w:tc>
          <w:tcPr>
            <w:tcW w:w="3922" w:type="dxa"/>
            <w:gridSpan w:val="2"/>
            <w:tcBorders>
              <w:top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合计</w:t>
            </w:r>
          </w:p>
        </w:tc>
        <w:tc>
          <w:tcPr>
            <w:tcW w:w="993" w:type="dxa"/>
            <w:tcBorders>
              <w:top w:val="single" w:color="auto" w:sz="4" w:space="0"/>
              <w:left w:val="nil"/>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83862</w:t>
            </w:r>
          </w:p>
        </w:tc>
        <w:tc>
          <w:tcPr>
            <w:tcW w:w="1134" w:type="dxa"/>
            <w:tcBorders>
              <w:top w:val="single" w:color="auto" w:sz="4" w:space="0"/>
              <w:left w:val="nil"/>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67030</w:t>
            </w:r>
          </w:p>
        </w:tc>
        <w:tc>
          <w:tcPr>
            <w:tcW w:w="1134" w:type="dxa"/>
            <w:tcBorders>
              <w:top w:val="single" w:color="auto" w:sz="4" w:space="0"/>
              <w:left w:val="nil"/>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15760</w:t>
            </w:r>
          </w:p>
        </w:tc>
        <w:tc>
          <w:tcPr>
            <w:tcW w:w="992" w:type="dxa"/>
            <w:tcBorders>
              <w:top w:val="single" w:color="auto" w:sz="4" w:space="0"/>
              <w:left w:val="nil"/>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1072</w:t>
            </w:r>
          </w:p>
        </w:tc>
      </w:tr>
    </w:tbl>
    <w:p>
      <w:pPr>
        <w:autoSpaceDE w:val="0"/>
        <w:autoSpaceDN w:val="0"/>
        <w:adjustRightInd w:val="0"/>
        <w:jc w:val="left"/>
        <w:rPr>
          <w:rFonts w:ascii="宋体" w:hAnsi="Times New Roman" w:cs="宋体"/>
          <w:color w:val="auto"/>
          <w:kern w:val="0"/>
          <w:sz w:val="24"/>
          <w:szCs w:val="24"/>
          <w:highlight w:val="none"/>
          <w:lang w:bidi="ar"/>
        </w:rPr>
      </w:pPr>
    </w:p>
    <w:p>
      <w:pPr>
        <w:autoSpaceDE w:val="0"/>
        <w:autoSpaceDN w:val="0"/>
        <w:adjustRightInd w:val="0"/>
        <w:jc w:val="left"/>
        <w:rPr>
          <w:rFonts w:ascii="宋体" w:hAnsi="Times New Roman" w:cs="宋体"/>
          <w:color w:val="auto"/>
          <w:kern w:val="0"/>
          <w:sz w:val="24"/>
          <w:szCs w:val="24"/>
          <w:highlight w:val="none"/>
          <w:lang w:bidi="ar"/>
        </w:rPr>
      </w:pPr>
    </w:p>
    <w:p>
      <w:pPr>
        <w:spacing w:line="360" w:lineRule="auto"/>
        <w:ind w:firstLine="281" w:firstLineChars="100"/>
        <w:rPr>
          <w:b/>
          <w:color w:val="auto"/>
          <w:sz w:val="28"/>
          <w:szCs w:val="28"/>
          <w:highlight w:val="none"/>
        </w:rPr>
      </w:pPr>
      <w:r>
        <w:rPr>
          <w:rFonts w:hint="eastAsia"/>
          <w:b/>
          <w:color w:val="auto"/>
          <w:sz w:val="28"/>
          <w:szCs w:val="28"/>
          <w:highlight w:val="none"/>
          <w:lang w:eastAsia="zh-CN"/>
        </w:rPr>
        <w:t>（</w:t>
      </w:r>
      <w:r>
        <w:rPr>
          <w:rFonts w:hint="eastAsia"/>
          <w:b/>
          <w:color w:val="auto"/>
          <w:sz w:val="28"/>
          <w:szCs w:val="28"/>
          <w:highlight w:val="none"/>
        </w:rPr>
        <w:t>三）河道管护</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河床面积</w:t>
      </w:r>
      <w:r>
        <w:rPr>
          <w:rFonts w:ascii="宋体" w:hAnsi="宋体"/>
          <w:color w:val="auto"/>
          <w:sz w:val="24"/>
          <w:szCs w:val="24"/>
          <w:highlight w:val="none"/>
        </w:rPr>
        <w:t>19200</w:t>
      </w:r>
      <w:r>
        <w:rPr>
          <w:rFonts w:hint="eastAsia" w:ascii="宋体" w:hAnsi="宋体"/>
          <w:color w:val="auto"/>
          <w:sz w:val="24"/>
          <w:szCs w:val="24"/>
          <w:highlight w:val="none"/>
        </w:rPr>
        <w:t>平方米，河道栏杆长度</w:t>
      </w:r>
      <w:r>
        <w:rPr>
          <w:rFonts w:ascii="宋体" w:hAnsi="宋体"/>
          <w:color w:val="auto"/>
          <w:sz w:val="24"/>
          <w:szCs w:val="24"/>
          <w:highlight w:val="none"/>
        </w:rPr>
        <w:t>1500</w:t>
      </w:r>
      <w:r>
        <w:rPr>
          <w:rFonts w:hint="eastAsia" w:ascii="宋体" w:hAnsi="宋体"/>
          <w:color w:val="auto"/>
          <w:sz w:val="24"/>
          <w:szCs w:val="24"/>
          <w:highlight w:val="none"/>
        </w:rPr>
        <w:t>米，河道绿化面积</w:t>
      </w:r>
      <w:r>
        <w:rPr>
          <w:rFonts w:ascii="宋体" w:hAnsi="宋体"/>
          <w:color w:val="auto"/>
          <w:sz w:val="24"/>
          <w:szCs w:val="24"/>
          <w:highlight w:val="none"/>
        </w:rPr>
        <w:t>32000</w:t>
      </w:r>
      <w:r>
        <w:rPr>
          <w:rFonts w:hint="eastAsia" w:ascii="宋体" w:hAnsi="宋体"/>
          <w:color w:val="auto"/>
          <w:sz w:val="24"/>
          <w:szCs w:val="24"/>
          <w:highlight w:val="none"/>
        </w:rPr>
        <w:t>平方米。</w:t>
      </w: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（四）设施设备需求数量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4辆；洒水车（核定载质量≥8吨）3辆；多功能洗扫车（核定载质量≥4吨）4辆；雾炮车（核定载质量≥5吨）2辆；护栏清洗车（核定载质量≥3吨）1辆；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hint="eastAsia" w:ascii="宋体" w:hAnsi="宋体" w:eastAsia="宋体"/>
          <w:color w:val="auto"/>
          <w:kern w:val="0"/>
          <w:sz w:val="24"/>
          <w:szCs w:val="24"/>
          <w:highlight w:val="none"/>
          <w:lang w:eastAsia="zh-CN"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收集车15辆；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val="en-US" w:eastAsia="zh-CN" w:bidi="ar"/>
        </w:rPr>
        <w:t>27</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8辆；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w:t>
      </w:r>
      <w:r>
        <w:rPr>
          <w:rFonts w:hint="eastAsia" w:ascii="宋体" w:hAnsi="宋体" w:eastAsia="宋体" w:cs="Times New Roman"/>
          <w:color w:val="auto"/>
          <w:szCs w:val="21"/>
          <w:highlight w:val="none"/>
          <w:lang w:eastAsia="zh-CN"/>
        </w:rPr>
        <w:t>小型分类收集</w:t>
      </w:r>
      <w:r>
        <w:rPr>
          <w:rFonts w:hint="eastAsia" w:ascii="宋体" w:hAnsi="宋体" w:cs="Times New Roman"/>
          <w:color w:val="auto"/>
          <w:szCs w:val="21"/>
          <w:highlight w:val="none"/>
          <w:lang w:eastAsia="zh-CN"/>
        </w:rPr>
        <w:t>车</w:t>
      </w:r>
      <w:r>
        <w:rPr>
          <w:rFonts w:hint="eastAsia" w:ascii="宋体" w:hAnsi="宋体" w:cs="Times New Roman"/>
          <w:color w:val="auto"/>
          <w:szCs w:val="21"/>
          <w:highlight w:val="none"/>
          <w:lang w:val="en-US" w:eastAsia="zh-CN"/>
        </w:rPr>
        <w:t>5辆。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3. 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需配备河道打捞的基本设施及器具。</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（五）人员数量</w:t>
      </w:r>
    </w:p>
    <w:p>
      <w:pPr>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项目经理1人，绿化管护项目负责人1人，绿化管护技术负责人1人，时令鲜花（含花镜）专职管理技术人员1人，辖区公厕质量管理人员1人，公厕维修维护人员1人，环卫工人221人，绿化管护工人30人，环卫公厕管护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，河道管护工人2人；驾驶人员不做具体要求，根据车辆数量配备。</w:t>
      </w:r>
    </w:p>
    <w:p>
      <w:pPr>
        <w:widowControl/>
        <w:jc w:val="left"/>
        <w:rPr>
          <w:rFonts w:ascii="Times New Roman" w:hAnsi="Times New Roman"/>
          <w:b/>
          <w:color w:val="auto"/>
          <w:sz w:val="24"/>
          <w:szCs w:val="24"/>
          <w:highlight w:val="none"/>
        </w:rPr>
      </w:pPr>
      <w:r>
        <w:rPr>
          <w:rFonts w:hint="eastAsia" w:ascii="Times New Roman" w:hAnsi="Times New Roman"/>
          <w:b/>
          <w:color w:val="auto"/>
          <w:sz w:val="24"/>
          <w:szCs w:val="24"/>
          <w:highlight w:val="none"/>
        </w:rPr>
        <w:t>四、</w:t>
      </w:r>
      <w:r>
        <w:rPr>
          <w:rFonts w:hint="eastAsia" w:ascii="宋体" w:hAnsi="宋体" w:eastAsia="宋体"/>
          <w:b/>
          <w:color w:val="auto"/>
          <w:sz w:val="28"/>
          <w:szCs w:val="28"/>
          <w:highlight w:val="none"/>
        </w:rPr>
        <w:t>★</w:t>
      </w:r>
      <w:r>
        <w:rPr>
          <w:rFonts w:hint="eastAsia" w:ascii="Times New Roman" w:hAnsi="Times New Roman"/>
          <w:b/>
          <w:color w:val="auto"/>
          <w:sz w:val="24"/>
          <w:szCs w:val="24"/>
          <w:highlight w:val="none"/>
        </w:rPr>
        <w:t>商务要求</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1、项目服务期限为</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3年（2022年1月1日至2024年12月31日），合同一年一签。</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2、采购预算：成龙路街道办事处</w:t>
      </w:r>
      <w:r>
        <w:rPr>
          <w:rFonts w:ascii="宋体" w:hAnsi="宋体" w:cs="宋体"/>
          <w:bCs/>
          <w:color w:val="auto"/>
          <w:sz w:val="24"/>
          <w:szCs w:val="24"/>
          <w:highlight w:val="none"/>
        </w:rPr>
        <w:t>2090.82</w:t>
      </w:r>
      <w:r>
        <w:rPr>
          <w:rFonts w:hint="eastAsia" w:ascii="宋体" w:hAnsi="宋体" w:cs="宋体"/>
          <w:bCs/>
          <w:color w:val="auto"/>
          <w:sz w:val="24"/>
          <w:szCs w:val="24"/>
          <w:highlight w:val="none"/>
        </w:rPr>
        <w:t>万元/年、沙河街道办事处</w:t>
      </w:r>
      <w:r>
        <w:rPr>
          <w:rFonts w:ascii="宋体" w:hAnsi="宋体" w:cs="宋体"/>
          <w:bCs/>
          <w:color w:val="auto"/>
          <w:sz w:val="24"/>
          <w:szCs w:val="24"/>
          <w:highlight w:val="none"/>
        </w:rPr>
        <w:t>1554.31</w:t>
      </w:r>
      <w:r>
        <w:rPr>
          <w:rFonts w:hint="eastAsia" w:ascii="宋体" w:hAnsi="宋体" w:cs="宋体"/>
          <w:bCs/>
          <w:color w:val="auto"/>
          <w:sz w:val="24"/>
          <w:szCs w:val="24"/>
          <w:highlight w:val="none"/>
        </w:rPr>
        <w:t>万元/年；合计：3645.13万元/年；</w:t>
      </w:r>
      <w:r>
        <w:rPr>
          <w:rFonts w:hint="eastAsia" w:ascii="宋体" w:hAnsi="宋体" w:cs="宋体"/>
          <w:b/>
          <w:bCs/>
          <w:color w:val="auto"/>
          <w:sz w:val="24"/>
          <w:szCs w:val="24"/>
          <w:highlight w:val="none"/>
        </w:rPr>
        <w:t>（每个街道办事处应分别报价，且报价不超过该街道办事处的采购预算。）</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3、服务地点：成龙路街道办事处、沙河街道办事处管辖区域。</w:t>
      </w:r>
    </w:p>
    <w:p>
      <w:pPr>
        <w:spacing w:line="360" w:lineRule="auto"/>
        <w:ind w:firstLine="480" w:firstLineChars="200"/>
        <w:rPr>
          <w:rFonts w:ascii="宋体" w:hAnsi="宋体" w:cs="宋体"/>
          <w:b/>
          <w:bCs/>
          <w:color w:val="auto"/>
          <w:sz w:val="24"/>
          <w:szCs w:val="24"/>
          <w:highlight w:val="none"/>
        </w:rPr>
      </w:pPr>
      <w:r>
        <w:rPr>
          <w:rFonts w:hint="eastAsia" w:ascii="宋体" w:hAnsi="宋体" w:cs="宋体"/>
          <w:bCs/>
          <w:color w:val="auto"/>
          <w:sz w:val="24"/>
          <w:szCs w:val="24"/>
          <w:highlight w:val="none"/>
        </w:rPr>
        <w:t>4、</w:t>
      </w:r>
      <w:r>
        <w:rPr>
          <w:rFonts w:hint="eastAsia" w:ascii="宋体" w:hAnsi="宋体" w:cs="宋体"/>
          <w:color w:val="auto"/>
          <w:sz w:val="24"/>
          <w:szCs w:val="24"/>
          <w:highlight w:val="none"/>
        </w:rPr>
        <w:t>报价要求：所有报价一律以人民币报价。采购人不接受任何非人民币币种的报价。投标人的报价是其响应本项目要求的全部工作内容的价格体现，采购人将不再支付其他额外费用。</w:t>
      </w:r>
    </w:p>
    <w:p>
      <w:pPr>
        <w:pStyle w:val="61"/>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5.结算时间及结算方式：</w:t>
      </w:r>
      <w:r>
        <w:rPr>
          <w:rFonts w:hint="default" w:ascii="宋体" w:hAnsi="宋体" w:eastAsia="宋体" w:cs="宋体"/>
          <w:color w:val="auto"/>
          <w:sz w:val="24"/>
          <w:szCs w:val="24"/>
          <w:highlight w:val="none"/>
          <w:lang w:val="en-US" w:eastAsia="zh-CN"/>
        </w:rPr>
        <w:t>考核结果作为拨付经费的依据。（一）月实际拨付经费=月考核经费－日常巡查扣减经费。（二）月考核经费=月作业经费×A(考核得分）%。（三）月作业经费根据每月实际作业内容、作业面积和相应单价等确定</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结算时间：依据相应合同条款。</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6.履约验收：按《财政部关于进一步加强政府采购需求和履约验收管理的指导意见》（财库〔2016〕205号）的要求以及采购文件要求进行验收。</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7.考核方式：</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区综合执法局是全区环卫保洁、环卫公厕和河道管护的行政主管部门，以属地街道办事处一体化服务作业范围作为受考对象，参照相关文件要求</w:t>
      </w:r>
      <w:r>
        <w:rPr>
          <w:rFonts w:hint="eastAsia" w:ascii="宋体" w:hAnsi="宋体" w:cs="宋体"/>
          <w:color w:val="auto"/>
          <w:sz w:val="24"/>
          <w:szCs w:val="24"/>
          <w:highlight w:val="none"/>
          <w:lang w:eastAsia="zh-CN"/>
        </w:rPr>
        <w:t>进</w:t>
      </w:r>
      <w:r>
        <w:rPr>
          <w:rFonts w:hint="eastAsia" w:ascii="宋体" w:hAnsi="宋体" w:cs="宋体"/>
          <w:color w:val="auto"/>
          <w:sz w:val="24"/>
          <w:szCs w:val="24"/>
          <w:highlight w:val="none"/>
        </w:rPr>
        <w:t>行考核。</w:t>
      </w:r>
      <w:r>
        <w:rPr>
          <w:rFonts w:hint="eastAsia" w:ascii="宋体" w:hAnsi="宋体" w:cs="宋体"/>
          <w:color w:val="auto"/>
          <w:sz w:val="24"/>
          <w:szCs w:val="24"/>
          <w:highlight w:val="none"/>
          <w:lang w:eastAsia="zh-CN"/>
        </w:rPr>
        <w:t>详见《</w:t>
      </w:r>
      <w:r>
        <w:rPr>
          <w:rFonts w:hint="default" w:ascii="宋体" w:hAnsi="宋体" w:eastAsia="宋体" w:cs="宋体"/>
          <w:color w:val="auto"/>
          <w:sz w:val="24"/>
          <w:szCs w:val="24"/>
          <w:highlight w:val="none"/>
          <w:lang w:val="en-US" w:eastAsia="zh-CN"/>
        </w:rPr>
        <w:t>锦江区综合行政执法局2022-2024年锦江区环卫保洁、环卫公厕、绿化和河道管护一体化服务项目监督考核办法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spacing w:line="360" w:lineRule="auto"/>
        <w:rPr>
          <w:rFonts w:ascii="Times New Roman" w:hAnsi="Times New Roman"/>
          <w:b/>
          <w:color w:val="auto"/>
          <w:sz w:val="24"/>
          <w:szCs w:val="24"/>
          <w:highlight w:val="none"/>
        </w:rPr>
      </w:pPr>
      <w:r>
        <w:rPr>
          <w:rFonts w:hint="eastAsia" w:ascii="Times New Roman" w:hAnsi="Times New Roman"/>
          <w:b/>
          <w:color w:val="auto"/>
          <w:sz w:val="24"/>
          <w:szCs w:val="24"/>
          <w:highlight w:val="none"/>
        </w:rPr>
        <w:t>五、其他要求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1.管护期间，若有新增环卫保洁、环卫公厕、绿化内容，参照此轮招标相关经费标准计算管护费用，并由片区中标供应商负责管护。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机动车辆为中标供应商自有或租赁，租赁期限应覆盖服务期限。全区统一安装GPS</w:t>
      </w:r>
      <w:r>
        <w:rPr>
          <w:rFonts w:hint="eastAsia" w:ascii="宋体" w:hAnsi="宋体" w:cs="宋体"/>
          <w:color w:val="auto"/>
          <w:sz w:val="24"/>
          <w:szCs w:val="24"/>
          <w:highlight w:val="none"/>
        </w:rPr>
        <w:t>、实时监控，360度摄像头，实行动态跟踪管理。中标供应商配合区综合执法局和辖区街道办事处完成环卫固废智慧监管平台建设（实现视频实时可视、可回放、轨迹可追踪、</w:t>
      </w:r>
      <w:r>
        <w:rPr>
          <w:rFonts w:hint="eastAsia" w:ascii="宋体" w:hAnsi="宋体" w:cs="宋体"/>
          <w:color w:val="auto"/>
          <w:sz w:val="24"/>
          <w:szCs w:val="24"/>
          <w:highlight w:val="none"/>
          <w:lang w:eastAsia="zh-CN"/>
        </w:rPr>
        <w:t>数据可调用），所需经费由中标供应商承担。（提供承诺函）</w:t>
      </w:r>
    </w:p>
    <w:p>
      <w:pPr>
        <w:spacing w:line="360" w:lineRule="auto"/>
        <w:ind w:firstLine="480" w:firstLineChars="200"/>
        <w:rPr>
          <w:rFonts w:hint="eastAsia"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3.街道办事处现有四轮电动厨余垃圾收集车，提供给中标供应商使用，不收取任何费用，</w:t>
      </w:r>
      <w:r>
        <w:rPr>
          <w:rFonts w:hint="eastAsia" w:ascii="宋体" w:hAnsi="宋体" w:cs="宋体"/>
          <w:color w:val="auto"/>
          <w:sz w:val="24"/>
          <w:szCs w:val="24"/>
          <w:highlight w:val="none"/>
          <w:lang w:eastAsia="zh-CN"/>
        </w:rPr>
        <w:t>使用期内的日常运营、保险、安全、事故、毁损、被盗等全部责任均由中标供应商全权负责，服务期完后应在设施设备完好的前提下交还相应街道办事处应街道办事处</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4.中标供应商协助街道办事处负责做好新、老作业公司交接工作。妥善处置可能涉及公司、人员和经费等相关纠纷，做好善后工作，确保辖区社会稳定和作业平稳过渡。</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5.中标供应商按照《劳动合同法》、参照《成都市环卫工人健康安全关爱办法》等相应行业相关规定，落实工人的工资和福利待遇（包括：基础工资、岗位津贴、加班工资、社保（商保）、酷暑寒冬补助和劳保用品等）。服务期间如遇成都市工人最低工资标准刚性政策调整等增资情况，由中标供应商自行承担，不再另行申请资金。中标供应商每年至少组织一次本项目服务人员职业健康体检。</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6.投标人须同意“2022-2024年锦江区环卫保洁、环卫公厕、绿化和河道管护一体化服务项目监督考核办法”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pStyle w:val="2"/>
        <w:rPr>
          <w:rFonts w:hint="eastAsia"/>
          <w:color w:val="auto"/>
          <w:lang w:eastAsia="zh-CN"/>
        </w:rPr>
      </w:pP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rPr>
      </w:pPr>
      <w:r>
        <w:rPr>
          <w:rFonts w:hint="eastAsia" w:ascii="宋体" w:hAnsi="宋体" w:cs="宋体"/>
          <w:color w:val="auto"/>
          <w:sz w:val="24"/>
          <w:szCs w:val="24"/>
          <w:lang w:val="en-US" w:eastAsia="zh-CN"/>
        </w:rPr>
        <w:t>7.中标供应商提供承诺函承诺：无特殊情况时，所有设施设备在中标通知书发出之日起25日内全部到位。在承诺时间内未全部到位又无特殊情况的，采购人有权取消其中标资格，并扣减履约保证金。★</w:t>
      </w:r>
    </w:p>
    <w:p>
      <w:pP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lang w:eastAsia="zh-CN"/>
        </w:rPr>
        <w:t>包件4</w:t>
      </w:r>
      <w:r>
        <w:rPr>
          <w:rFonts w:hint="eastAsia" w:ascii="黑体" w:hAnsi="黑体" w:eastAsia="黑体" w:cs="黑体"/>
          <w:b/>
          <w:bCs/>
          <w:color w:val="auto"/>
          <w:sz w:val="36"/>
          <w:szCs w:val="36"/>
          <w:highlight w:val="none"/>
        </w:rPr>
        <w:t>：牛市口街道办事处、东湖街道办事处</w:t>
      </w:r>
      <w:r>
        <w:rPr>
          <w:rFonts w:hint="eastAsia" w:ascii="黑体" w:hAnsi="黑体" w:eastAsia="黑体" w:cs="黑体"/>
          <w:b/>
          <w:bCs/>
          <w:color w:val="auto"/>
          <w:sz w:val="36"/>
          <w:szCs w:val="36"/>
          <w:highlight w:val="none"/>
          <w:lang w:val="en-US" w:eastAsia="zh-CN"/>
        </w:rPr>
        <w:t>管辖区域</w:t>
      </w:r>
    </w:p>
    <w:p>
      <w:pPr>
        <w:autoSpaceDE w:val="0"/>
        <w:autoSpaceDN w:val="0"/>
        <w:adjustRightInd w:val="0"/>
        <w:jc w:val="left"/>
        <w:rPr>
          <w:rFonts w:ascii="宋体" w:hAnsi="Times New Roman" w:cs="宋体"/>
          <w:color w:val="auto"/>
          <w:kern w:val="0"/>
          <w:sz w:val="24"/>
          <w:szCs w:val="24"/>
          <w:highlight w:val="none"/>
        </w:rPr>
      </w:pPr>
    </w:p>
    <w:p>
      <w:pPr>
        <w:rPr>
          <w:rFonts w:ascii="Times New Roman" w:hAnsi="Times New Roman"/>
          <w:b/>
          <w:color w:val="auto"/>
          <w:sz w:val="28"/>
          <w:szCs w:val="28"/>
          <w:highlight w:val="none"/>
        </w:rPr>
      </w:pPr>
      <w:r>
        <w:rPr>
          <w:rFonts w:hint="eastAsia" w:ascii="Times New Roman" w:hAnsi="Times New Roman"/>
          <w:b/>
          <w:color w:val="auto"/>
          <w:sz w:val="28"/>
          <w:szCs w:val="28"/>
          <w:highlight w:val="none"/>
        </w:rPr>
        <w:t>一、项目概况</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（一）成都市锦江区综合行政执法局2022—2024年环卫保洁、环卫公厕、绿化和河道管护一体化服务项目</w:t>
      </w:r>
      <w:r>
        <w:rPr>
          <w:rFonts w:hint="eastAsia" w:ascii="宋体" w:hAnsi="宋体" w:cs="宋体"/>
          <w:bCs/>
          <w:color w:val="auto"/>
          <w:sz w:val="24"/>
          <w:szCs w:val="24"/>
          <w:highlight w:val="none"/>
        </w:rPr>
        <w:t>，招标工作由区综合执法局作为业主负责统一招标，街道办事处作为综合管理单位负责与中标供应商签订合同。区综合执法局和街道办事处共同履行日常监督责任。</w:t>
      </w:r>
    </w:p>
    <w:p>
      <w:pPr>
        <w:spacing w:after="120"/>
        <w:rPr>
          <w:rFonts w:ascii="Times New Roman" w:hAnsi="Times New Roman"/>
          <w:b/>
          <w:color w:val="auto"/>
          <w:sz w:val="28"/>
          <w:szCs w:val="28"/>
          <w:highlight w:val="none"/>
        </w:rPr>
      </w:pPr>
      <w:r>
        <w:rPr>
          <w:rFonts w:hint="eastAsia" w:ascii="Times New Roman" w:hAnsi="Times New Roman"/>
          <w:b/>
          <w:color w:val="auto"/>
          <w:sz w:val="28"/>
          <w:szCs w:val="28"/>
          <w:highlight w:val="none"/>
        </w:rPr>
        <w:t>二、作业规范、标准及内容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（一）</w:t>
      </w:r>
      <w:r>
        <w:rPr>
          <w:rFonts w:ascii="宋体" w:hAnsi="宋体" w:cs="宋体"/>
          <w:bCs/>
          <w:color w:val="auto"/>
          <w:sz w:val="24"/>
          <w:szCs w:val="24"/>
          <w:highlight w:val="none"/>
        </w:rPr>
        <w:t xml:space="preserve"> 作业规范。</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rPr>
        <w:t>环卫保洁：按照成都市城市管理委员会《关于印发〈成都市环卫清扫保洁精细化监督管理办法〉的通知》（成城发〔2019〕48号）、《关于印发〈成都市环卫清扫保洁精细化作业规则〉的通知》（成城发〔2019〕47号）、《关于印发&lt;关于统一规范成都市环卫作业机动车、小型机具自编号及外观、涂装工作实施方案&gt;&lt;成都市环卫作业机动车、小型车自编号及外观、涂装原则&gt;的通知》《生活垃圾分类标准》（GB/T19095-2019）《成都市锦江区环境卫生监督管理办法》（锦综执【2019】70号）要求作业</w:t>
      </w:r>
      <w:r>
        <w:rPr>
          <w:rFonts w:ascii="宋体" w:hAnsi="宋体" w:cs="宋体"/>
          <w:bCs/>
          <w:color w:val="auto"/>
          <w:sz w:val="24"/>
          <w:szCs w:val="24"/>
          <w:highlight w:val="none"/>
        </w:rPr>
        <w:t>；</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（2）环卫公厕管护：按照</w:t>
      </w:r>
      <w:r>
        <w:rPr>
          <w:rFonts w:hint="eastAsia" w:ascii="宋体" w:hAnsi="宋体" w:cs="宋体"/>
          <w:bCs/>
          <w:color w:val="auto"/>
          <w:sz w:val="24"/>
          <w:szCs w:val="24"/>
          <w:highlight w:val="none"/>
        </w:rPr>
        <w:t>《成都市环卫公厕管理规范》（成城函【2017】205号）</w:t>
      </w:r>
      <w:r>
        <w:rPr>
          <w:rFonts w:ascii="宋体" w:hAnsi="宋体" w:cs="宋体"/>
          <w:bCs/>
          <w:color w:val="auto"/>
          <w:sz w:val="24"/>
          <w:szCs w:val="24"/>
          <w:highlight w:val="none"/>
        </w:rPr>
        <w:t>、《锦江区环卫公厕管理规范（试行）》要求作业；</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（3）绿化管护：按照</w:t>
      </w:r>
      <w:r>
        <w:rPr>
          <w:rFonts w:hint="eastAsia" w:ascii="宋体" w:hAnsi="宋体" w:cs="宋体"/>
          <w:bCs/>
          <w:color w:val="auto"/>
          <w:sz w:val="24"/>
          <w:szCs w:val="24"/>
          <w:highlight w:val="none"/>
        </w:rPr>
        <w:t>《四川省城市园林绿化技术操作规程》DB51/50016-1998</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《成都市城市绿化养护技术规程》（DB510100/T 238-2017）</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《成都市城市绿化养护质量等级划分》(DB510100/T 239-2017)</w:t>
      </w:r>
      <w:r>
        <w:rPr>
          <w:rFonts w:ascii="宋体" w:hAnsi="宋体" w:cs="宋体"/>
          <w:bCs/>
          <w:color w:val="auto"/>
          <w:sz w:val="24"/>
          <w:szCs w:val="24"/>
          <w:highlight w:val="none"/>
        </w:rPr>
        <w:t>、《成都市锦江区园林绿化管护标准》要求作业；</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（二）作业标准。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（1）环卫保洁：作业流程规范，保洁质量达到精细化管理标准，能实施机械化清扫作业的城市城区道路全部实施机械化清扫作业，机械化清扫率达到市、区规定标准。生活垃圾日产日清。</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环卫公厕管理应达到“四净三无二通一明”要求，即：地面净、墙壁净、厕位净、周边净，无溢流、无蚊蝇、无臭味，水通、电通，灯明。环卫公共厕所内采光、照明和通风良好，无异味，无蚊蝇。厕所内地面洁净，无积水，无烟头，无纸屑，无痰迹和其他杂物。墙面、天花板、门窗和隔断板洁净，无积灰，无污迹，无蛛网，无乱涂乱画，无破损；卫生洁具整洁，无积存物，无粪便痕迹，无积尿积水，管道畅通无堵塞。公厕标志牌、公示牌洁净，无积尘。</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每年对乔木进行大修一次，每年对现有地被、灌木更新率不低于20%；时令鲜花的更换次数每年不少于8次、花境的更换次数每年不少于4次、立体绿化根据植物品种适时更换；设施设备的检修、翻新、更换等，翻新、刷漆每年不得少于1次；所有垃圾（绿化垃圾、生活垃圾等）均做无害化处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（三）作业内容。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1．道路清扫保洁(含市政公用道路，涉农街道办事处村社道路)和市管绿化带的白色垃圾清理，清除道路上粪渣粪袋、狗粪、建渣等污染物。2．铁路控制线（单侧铁轨至坡脚8米，坡脚向外延伸12米，12米向外延伸2米界桩，共22米）以外属地管理区域的清扫保洁。3．清理雨水篦子下面的落叶及垃圾。4．道路冲洗降尘，定期冲洗道路（按规范标准）及路沿石、人行道方砖、公交站台、人行天桥和雨水篦子，清洗道路标识标线，道路污染突击保洁。5．生活垃圾分类收集和运输，其中其他垃圾运输至锦江区垃圾压缩站，厨余垃圾运输至市级餐厨垃圾处置厂，可回收物运输至再生资源回收站点，有害垃圾运输至区环卫清运中心暂存点。6．小区内（具体范围详见附表）及街面丢弃的大件垃圾清理。7．对果屑箱、垃圾桶等环卫设施接受管理及使用，并进行日常维修维护，保证功能使用。道路施工时果屑箱的收集保管、果屑箱箱体固定，果屑箱内箱的垃圾清掏和箱体的内、外清洗，每日垃圾袋更换和垃圾桶清洗，室外城市家具的保洁。8．环卫工人工作服装按适时标准要求配置和更新。9．垃圾桶、垃圾中转房、垃圾池、垃圾转运点和垃圾转运车等环卫设施和中转站（点）现场的日常管理、冲洗、维护。各类环卫车辆日常管理及维修，环卫车辆喷涂统一的外观、颜色和标志。10．非法张贴、书写的地面及2米以下立面各类广告及卡片的清除清理。11．道路护栏、隔离墩、隔离桩、桥梁中央分隔带、防撞墙内侧、人行道栏杆、人行天桥栏杆、声屏障内侧保洁。12.环卫工人休息室日常管理和维护。13．做好环卫作业安全生产工作，落实安全责任制和各项规章制度。14．各类检查、接待及突发事件，环卫作业的应急保障工作。15．在辖区主街干道、重要路段或出入城通道实施精品示范街道环卫作业。16．完成省、市、区等各级部门和街道交办的各项突击整治任务。17.按作业辖区落实疫情防控和消防工作。18.在中央商务区、特色街区开展智能扫地机器人等人工智能环卫作业试点示范。</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作业范围包括辖区内环卫公厕内地面、墙面、天花板、门窗、设施设备等，室外周边10米。内容包括环卫公厕保洁服务管理（环卫公厕整体提档升级除外所有维护内容）、周边或者附属绿化维护管护、环卫公厕维护管理、清掏公厕化粪池，水电费缴纳。</w:t>
      </w:r>
      <w:r>
        <w:rPr>
          <w:rFonts w:hint="eastAsia" w:ascii="宋体" w:hAnsi="宋体" w:cs="宋体"/>
          <w:bCs/>
          <w:color w:val="auto"/>
          <w:sz w:val="24"/>
          <w:szCs w:val="24"/>
          <w:highlight w:val="none"/>
          <w:lang w:eastAsia="zh-CN"/>
        </w:rPr>
        <w:t>按采购人统一的标准和材质要求购买、更换和安装环卫公厕相关标识、标牌、公示牌，提供环卫公厕厕纸、洗手液日常耗材等（环卫公厕厕纸以清风、心相印、维达等同类品质的，且符合国家相关标准的为标准。洗手液以蓝月亮、滴露、威露士等同类品质的，且符合国家相关标准的为标准），</w:t>
      </w:r>
      <w:r>
        <w:rPr>
          <w:rFonts w:hint="eastAsia" w:ascii="宋体" w:hAnsi="宋体" w:cs="宋体"/>
          <w:bCs/>
          <w:color w:val="auto"/>
          <w:sz w:val="24"/>
          <w:szCs w:val="24"/>
          <w:highlight w:val="none"/>
        </w:rPr>
        <w:t>新增或维修维护公厕内所有窗户纱窗。设施设备的维修保养。对易损耗材料、照明设施、防水、供水及排水设施、电力设施、护栏、便池、水龙头、马桶、脚踏器等设施设备的检修、翻新、</w:t>
      </w:r>
      <w:r>
        <w:rPr>
          <w:rFonts w:hint="eastAsia" w:ascii="宋体" w:hAnsi="宋体" w:cs="宋体"/>
          <w:bCs/>
          <w:color w:val="auto"/>
          <w:sz w:val="24"/>
          <w:szCs w:val="24"/>
          <w:highlight w:val="none"/>
          <w:lang w:eastAsia="zh-CN"/>
        </w:rPr>
        <w:t>更换（所需耗材质量标准均不能低于原有耗材标准），按照实际需求配备移动厕所，并负责运输和管理</w:t>
      </w:r>
      <w:r>
        <w:rPr>
          <w:rFonts w:hint="eastAsia" w:ascii="宋体" w:hAnsi="宋体" w:cs="宋体"/>
          <w:bCs/>
          <w:color w:val="auto"/>
          <w:sz w:val="24"/>
          <w:szCs w:val="24"/>
          <w:highlight w:val="none"/>
        </w:rPr>
        <w:t>。公共秩序及公共安全管理。积极配合相关部门检查、考察、参观；做好文明指数测评等相关工作，必要时按实际需要自行租赁移动公厕；按作业辖区落实疫情防控和消防工作；积极配合主管部门，完成临时交办的管护工作和其他任务等。</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区管绿地乔木、灌木、地被的养护（除草、修剪、浇水、施肥、防病虫害等）、复壮、更换、降尘；时令鲜花及花境、立体绿化管护，包括购置、种植、更换及管护等；清扫保洁服务：包括绿地、游步道、绿道、设施设备的清扫保洁，以及园林绿化垃圾的集中处理、收集转运等。设施设备的维修保养：对易损耗材料、灯杆、照明设施、供水及排水设施、电力设施健身设施、小品雕塑、花箱、廊架、坐凳、树池盖板、树木支撑、绿化护栏等设施设备的检修、翻新、更换等（所需耗材质量标准均不能低于原有耗材标准）。</w:t>
      </w:r>
      <w:r>
        <w:rPr>
          <w:rFonts w:hint="eastAsia" w:ascii="宋体" w:hAnsi="宋体" w:cs="宋体"/>
          <w:bCs/>
          <w:color w:val="auto"/>
          <w:sz w:val="24"/>
          <w:szCs w:val="24"/>
          <w:highlight w:val="none"/>
          <w:lang w:eastAsia="zh-CN"/>
        </w:rPr>
        <w:t>绿化作业安全生产管理，绿化垃圾分类运输并送至专业机构处理</w:t>
      </w:r>
      <w:r>
        <w:rPr>
          <w:rFonts w:hint="eastAsia" w:ascii="宋体" w:hAnsi="宋体" w:cs="宋体"/>
          <w:bCs/>
          <w:color w:val="auto"/>
          <w:sz w:val="24"/>
          <w:szCs w:val="24"/>
          <w:highlight w:val="none"/>
        </w:rPr>
        <w:t>。按作业辖区落实疫情防控和消防工作。</w:t>
      </w:r>
    </w:p>
    <w:p>
      <w:pPr>
        <w:autoSpaceDE w:val="0"/>
        <w:autoSpaceDN w:val="0"/>
        <w:adjustRightInd w:val="0"/>
        <w:jc w:val="left"/>
        <w:rPr>
          <w:rFonts w:ascii="宋体" w:hAnsi="Times New Roman" w:cs="宋体"/>
          <w:color w:val="auto"/>
          <w:kern w:val="0"/>
          <w:sz w:val="24"/>
          <w:szCs w:val="24"/>
          <w:highlight w:val="none"/>
        </w:rPr>
      </w:pPr>
      <w:r>
        <w:rPr>
          <w:rFonts w:hint="eastAsia" w:ascii="宋体" w:hAnsi="Times New Roman" w:cs="宋体"/>
          <w:color w:val="auto"/>
          <w:kern w:val="0"/>
          <w:sz w:val="24"/>
          <w:szCs w:val="24"/>
          <w:highlight w:val="none"/>
        </w:rPr>
        <w:t xml:space="preserve">    （4）共享单车规范停放。协助规范共享单车停放，并清除共享单车货架框内垃圾。</w:t>
      </w:r>
    </w:p>
    <w:p>
      <w:pPr>
        <w:tabs>
          <w:tab w:val="left" w:pos="7859"/>
        </w:tabs>
        <w:spacing w:before="312" w:beforeLines="100" w:after="312" w:afterLines="100"/>
        <w:rPr>
          <w:rFonts w:ascii="Times New Roman" w:hAnsi="Times New Roman"/>
          <w:b/>
          <w:color w:val="auto"/>
          <w:sz w:val="28"/>
          <w:szCs w:val="28"/>
          <w:highlight w:val="none"/>
        </w:rPr>
      </w:pPr>
      <w:r>
        <w:rPr>
          <w:rFonts w:hint="eastAsia" w:ascii="Times New Roman" w:hAnsi="Times New Roman"/>
          <w:b/>
          <w:color w:val="auto"/>
          <w:sz w:val="28"/>
          <w:szCs w:val="28"/>
          <w:highlight w:val="none"/>
        </w:rPr>
        <w:t>三、作业范围及配备人员设备数量</w:t>
      </w:r>
      <w:r>
        <w:rPr>
          <w:rFonts w:hint="eastAsia" w:ascii="Times New Roman" w:hAnsi="Times New Roman"/>
          <w:b/>
          <w:color w:val="auto"/>
          <w:sz w:val="28"/>
          <w:szCs w:val="28"/>
          <w:highlight w:val="none"/>
        </w:rPr>
        <w:tab/>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w:t>
      </w:r>
      <w:r>
        <w:rPr>
          <w:rFonts w:hint="eastAsia" w:ascii="宋体" w:hAnsi="宋体" w:cs="宋体"/>
          <w:b/>
          <w:color w:val="auto"/>
          <w:kern w:val="0"/>
          <w:sz w:val="28"/>
          <w:szCs w:val="28"/>
          <w:highlight w:val="none"/>
        </w:rPr>
        <w:tab/>
      </w:r>
      <w:r>
        <w:rPr>
          <w:rFonts w:hint="eastAsia" w:ascii="宋体" w:hAnsi="宋体" w:cs="宋体"/>
          <w:b/>
          <w:color w:val="auto"/>
          <w:kern w:val="0"/>
          <w:sz w:val="28"/>
          <w:szCs w:val="28"/>
          <w:highlight w:val="none"/>
        </w:rPr>
        <w:t>牛市口街道办事处：</w:t>
      </w:r>
    </w:p>
    <w:p>
      <w:pPr>
        <w:spacing w:line="360" w:lineRule="auto"/>
        <w:rPr>
          <w:b/>
          <w:color w:val="auto"/>
          <w:sz w:val="28"/>
          <w:szCs w:val="28"/>
          <w:highlight w:val="none"/>
        </w:rPr>
      </w:pPr>
      <w:r>
        <w:rPr>
          <w:rFonts w:hint="eastAsia"/>
          <w:b/>
          <w:color w:val="auto"/>
          <w:sz w:val="28"/>
          <w:szCs w:val="28"/>
          <w:highlight w:val="none"/>
        </w:rPr>
        <w:t>（一）环卫作业</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道路清扫保洁面积776912.56㎡</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其中一级道路保洁面积403856.66</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二级道路保洁面积212177.2</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三级道路保洁面积160878.7</w:t>
      </w:r>
      <w:r>
        <w:rPr>
          <w:rFonts w:hint="eastAsia" w:ascii="宋体" w:hAnsi="宋体"/>
          <w:color w:val="auto"/>
          <w:sz w:val="24"/>
          <w:szCs w:val="24"/>
          <w:highlight w:val="none"/>
          <w:lang w:eastAsia="zh-CN"/>
        </w:rPr>
        <w:t>㎡</w:t>
      </w:r>
      <w:r>
        <w:rPr>
          <w:rFonts w:hint="eastAsia" w:ascii="宋体" w:hAnsi="宋体"/>
          <w:color w:val="auto"/>
          <w:sz w:val="24"/>
          <w:szCs w:val="24"/>
          <w:highlight w:val="none"/>
        </w:rPr>
        <w:t>；市管绿化保洁面积</w:t>
      </w:r>
      <w:r>
        <w:rPr>
          <w:rFonts w:ascii="宋体" w:hAnsi="宋体"/>
          <w:color w:val="auto"/>
          <w:sz w:val="24"/>
          <w:szCs w:val="24"/>
          <w:highlight w:val="none"/>
        </w:rPr>
        <w:t>52032.2㎡</w:t>
      </w:r>
      <w:r>
        <w:rPr>
          <w:rFonts w:hint="eastAsia" w:ascii="宋体" w:hAnsi="宋体"/>
          <w:color w:val="auto"/>
          <w:sz w:val="24"/>
          <w:szCs w:val="24"/>
          <w:highlight w:val="none"/>
        </w:rPr>
        <w:t>；其他垃圾日清运量</w:t>
      </w:r>
      <w:r>
        <w:rPr>
          <w:rFonts w:ascii="宋体" w:hAnsi="宋体"/>
          <w:color w:val="auto"/>
          <w:sz w:val="24"/>
          <w:szCs w:val="24"/>
          <w:highlight w:val="none"/>
        </w:rPr>
        <w:t>125</w:t>
      </w:r>
      <w:r>
        <w:rPr>
          <w:rFonts w:hint="eastAsia" w:ascii="宋体" w:hAnsi="宋体"/>
          <w:color w:val="auto"/>
          <w:sz w:val="24"/>
          <w:szCs w:val="24"/>
          <w:highlight w:val="none"/>
        </w:rPr>
        <w:t>吨；厨余垃圾日清运量7吨。</w:t>
      </w:r>
    </w:p>
    <w:p>
      <w:pPr>
        <w:autoSpaceDE w:val="0"/>
        <w:autoSpaceDN w:val="0"/>
        <w:adjustRightInd w:val="0"/>
        <w:jc w:val="center"/>
        <w:rPr>
          <w:rFonts w:hint="default" w:ascii="宋体" w:hAnsi="Times New Roman" w:eastAsia="宋体" w:cs="宋体"/>
          <w:b/>
          <w:bCs/>
          <w:color w:val="auto"/>
          <w:kern w:val="0"/>
          <w:sz w:val="24"/>
          <w:szCs w:val="24"/>
          <w:highlight w:val="none"/>
          <w:lang w:val="en-US" w:eastAsia="zh-CN"/>
        </w:rPr>
      </w:pPr>
      <w:r>
        <w:rPr>
          <w:rFonts w:hint="eastAsia" w:ascii="宋体" w:hAnsi="Times New Roman" w:cs="宋体"/>
          <w:b/>
          <w:bCs/>
          <w:color w:val="auto"/>
          <w:kern w:val="0"/>
          <w:sz w:val="24"/>
          <w:szCs w:val="24"/>
          <w:highlight w:val="none"/>
          <w:lang w:val="en-US" w:eastAsia="zh-CN"/>
        </w:rPr>
        <w:t>道路明细表</w:t>
      </w:r>
    </w:p>
    <w:tbl>
      <w:tblPr>
        <w:tblStyle w:val="59"/>
        <w:tblpPr w:leftFromText="180" w:rightFromText="180" w:vertAnchor="text" w:horzAnchor="page" w:tblpX="1733" w:tblpY="545"/>
        <w:tblOverlap w:val="never"/>
        <w:tblW w:w="8665" w:type="dxa"/>
        <w:tblInd w:w="0" w:type="dxa"/>
        <w:tblLayout w:type="fixed"/>
        <w:tblCellMar>
          <w:top w:w="0" w:type="dxa"/>
          <w:left w:w="0" w:type="dxa"/>
          <w:bottom w:w="0" w:type="dxa"/>
          <w:right w:w="0" w:type="dxa"/>
        </w:tblCellMar>
      </w:tblPr>
      <w:tblGrid>
        <w:gridCol w:w="852"/>
        <w:gridCol w:w="2143"/>
        <w:gridCol w:w="3957"/>
        <w:gridCol w:w="1713"/>
      </w:tblGrid>
      <w:tr>
        <w:tblPrEx>
          <w:tblLayout w:type="fixed"/>
          <w:tblCellMar>
            <w:top w:w="0" w:type="dxa"/>
            <w:left w:w="0" w:type="dxa"/>
            <w:bottom w:w="0" w:type="dxa"/>
            <w:right w:w="0" w:type="dxa"/>
          </w:tblCellMar>
        </w:tblPrEx>
        <w:trPr>
          <w:trHeight w:val="312" w:hRule="atLeast"/>
        </w:trPr>
        <w:tc>
          <w:tcPr>
            <w:tcW w:w="8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214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街道名称</w:t>
            </w:r>
          </w:p>
        </w:tc>
        <w:tc>
          <w:tcPr>
            <w:tcW w:w="395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起止点</w:t>
            </w:r>
          </w:p>
        </w:tc>
        <w:tc>
          <w:tcPr>
            <w:tcW w:w="171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道路类型</w:t>
            </w:r>
          </w:p>
        </w:tc>
      </w:tr>
      <w:tr>
        <w:tblPrEx>
          <w:tblLayout w:type="fixed"/>
          <w:tblCellMar>
            <w:top w:w="0" w:type="dxa"/>
            <w:left w:w="0" w:type="dxa"/>
            <w:bottom w:w="0" w:type="dxa"/>
            <w:right w:w="0" w:type="dxa"/>
          </w:tblCellMar>
        </w:tblPrEx>
        <w:trPr>
          <w:trHeight w:val="312" w:hRule="atLeast"/>
        </w:trPr>
        <w:tc>
          <w:tcPr>
            <w:tcW w:w="8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214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39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71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二环路东四段</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莲桂东路—锦东路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顺江路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九眼桥顺江路-莲桂西路府河口</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顺江路滨江绿道</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九眼桥桥头-青青河畔</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顺江路（绿化人行道）</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莲桂西路-九眼桥头</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锦东路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牛王庙路口-二环路东四段</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一环路水碾河路东侧-双桥子立交桥下</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双桥子立交桥</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一环路东四段</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牛王庙路口-水碾河路口</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一环路东五段</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牛王庙路口-九眼桥</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经华南路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水碾河路-海椒市街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水碾河南路沿线</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水碾河路-锦东路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大田坎街沿线</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水碾河南路-经华路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锦东路至经华南路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二环路东四段</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双桥子立交桥下-锦东路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蜀都花园人行天桥</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龙舟路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三官堂路口-二环路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顺江路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龙舟路口-莲桂西路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莲桂南路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龙舟路口-莲桂东路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二环路东四段</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莲桂东路-龙舟路口</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锦华南路-莲桂西路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莲桂西路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莲桂东路-顺江路口</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莲花南路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莲花南路5号-莲花西路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莲桂东路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二环路东四段-莲桂西路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莲花北路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海椒市街-一心桥南街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宏济上路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宏济中路-顺江路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宏济中路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宏济上路-锦东路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一心桥南街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锦东路-莲花北路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宏顺街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宏济新路-宏济巷</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海椒市东街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海椒市街-二环路东四段</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莲花中路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莲花西路-海椒市街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莲花东路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莲花中路-莲花南路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牛市口路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双桥子立交桥下-锦东路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锦东路-九眼桥鱼市</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宏济新路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宏济路-一环路东五段</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一心桥街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锦东路口-大田坎</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水碾河路南一街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水碾河路-南村26栋</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水碾河路南二街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水碾河路-南村9栋</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水碾河路南三街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水碾河路-南村21栋</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得胜上街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经华南路-牛市口路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陈家巷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大田坎街-锦东路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42</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一心桥南街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大田坎街-锦东路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43</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莲桂西路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莲桂南路-顺江路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44</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莲桂东路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莲桂南路-二环路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莲桂西路-莲花南路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东四横街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东四街-东城攻略停车场</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米市坝</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锦东路-摩根中心停车场</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47</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海椒市横街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海椒市东街-莲花逸都小区门口</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林家坡支路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锦东路-林家坡大院门口</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东四街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莲花北路-心桥南街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新桂村西五街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宏济新路-莲桂西路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宏济新路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一环路东五段-新桂村西五街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52</w:t>
            </w:r>
          </w:p>
        </w:tc>
        <w:tc>
          <w:tcPr>
            <w:tcW w:w="214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宏济中路-莲花北路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214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莲花北路-新桂村西五街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214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莲桂西路-东四街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53</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海椒市街10号通道</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海椒市街-莲花北路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莲花南路支路</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莲花南路-莲桂西路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55</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宏济巷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宏顺街174号-宏济巷23号</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56</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新桂巷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新桂村西五街-莲花西路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57</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席草田巷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大田坎街-席草田21号</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58</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建设南村</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水碾河南路-一环路东四段</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59</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石佛寺</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南二巷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北二巷路口至工农院街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61</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工农院街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顺江路至莲桂南路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62</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工农院后街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莲桂南路至法院路口</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63</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工农院后街</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莲桂南路至法院路口</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64</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莲花小区北一巷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莲桂东路至莲桂南路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65</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莲花小区北二巷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莲桂东路至工农院街</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66</w:t>
            </w:r>
          </w:p>
        </w:tc>
        <w:tc>
          <w:tcPr>
            <w:tcW w:w="21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莲花小区北三巷</w:t>
            </w:r>
          </w:p>
        </w:tc>
        <w:tc>
          <w:tcPr>
            <w:tcW w:w="3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莲桂东路至二环路</w:t>
            </w:r>
          </w:p>
        </w:tc>
        <w:tc>
          <w:tcPr>
            <w:tcW w:w="17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bl>
    <w:p>
      <w:pPr>
        <w:autoSpaceDE w:val="0"/>
        <w:autoSpaceDN w:val="0"/>
        <w:adjustRightInd w:val="0"/>
        <w:jc w:val="left"/>
        <w:rPr>
          <w:rFonts w:ascii="宋体" w:hAnsi="Times New Roman" w:cs="宋体"/>
          <w:color w:val="auto"/>
          <w:kern w:val="0"/>
          <w:sz w:val="24"/>
          <w:szCs w:val="24"/>
          <w:highlight w:val="none"/>
        </w:rPr>
      </w:pPr>
    </w:p>
    <w:p>
      <w:pPr>
        <w:autoSpaceDE w:val="0"/>
        <w:autoSpaceDN w:val="0"/>
        <w:adjustRightInd w:val="0"/>
        <w:jc w:val="left"/>
        <w:rPr>
          <w:rFonts w:ascii="宋体" w:hAnsi="Times New Roman"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6座（海椒市广场公厕、莲新广场公厕、摩根公厕、娇子音乐厅公厕、陈家巷公厕、天紫界公厕）；定时开放公厕9座（水碾河路南公厕、双桥立交内侧公厕、工农院街顺江路口公厕、莲桂东路公厕、一心桥横街公厕、世纪朝阳公厕、外滩公厕、新希望D10公厕、海椒市横街公厕）。</w:t>
      </w:r>
    </w:p>
    <w:p>
      <w:pPr>
        <w:spacing w:line="360" w:lineRule="auto"/>
        <w:rPr>
          <w:color w:val="auto"/>
          <w:highlight w:val="none"/>
        </w:rPr>
      </w:pPr>
      <w:r>
        <w:rPr>
          <w:rFonts w:hint="eastAsia"/>
          <w:b/>
          <w:color w:val="auto"/>
          <w:sz w:val="28"/>
          <w:szCs w:val="28"/>
          <w:highlight w:val="none"/>
        </w:rPr>
        <w:t>（二）园林绿化</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36708㎡</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广场游园面积10463㎡</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地栽花面积200㎡</w:t>
      </w:r>
      <w:r>
        <w:rPr>
          <w:rFonts w:hint="eastAsia" w:ascii="宋体" w:hAnsi="宋体"/>
          <w:color w:val="auto"/>
          <w:kern w:val="0"/>
          <w:sz w:val="24"/>
          <w:szCs w:val="24"/>
          <w:highlight w:val="none"/>
          <w:lang w:bidi="ar"/>
        </w:rPr>
        <w:t>。</w:t>
      </w:r>
    </w:p>
    <w:tbl>
      <w:tblPr>
        <w:tblStyle w:val="59"/>
        <w:tblpPr w:leftFromText="180" w:rightFromText="180" w:vertAnchor="text" w:horzAnchor="page" w:tblpXSpec="center" w:tblpY="724"/>
        <w:tblW w:w="77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649"/>
        <w:gridCol w:w="1134"/>
        <w:gridCol w:w="1134"/>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720"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2649"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4394" w:type="dxa"/>
            <w:gridSpan w:val="4"/>
            <w:vAlign w:val="center"/>
          </w:tcPr>
          <w:p>
            <w:pPr>
              <w:widowControl/>
              <w:jc w:val="center"/>
              <w:rPr>
                <w:rFonts w:hint="eastAsia"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招标面积（㎡）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720"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2649"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1134"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lang w:eastAsia="zh-CN"/>
              </w:rPr>
              <w:t>小计</w:t>
            </w:r>
            <w:r>
              <w:rPr>
                <w:rFonts w:hint="eastAsia" w:ascii="华文黑体" w:hAnsi="宋体" w:eastAsia="华文黑体" w:cs="宋体"/>
                <w:b/>
                <w:bCs/>
                <w:color w:val="auto"/>
                <w:kern w:val="0"/>
                <w:sz w:val="24"/>
                <w:szCs w:val="24"/>
                <w:highlight w:val="none"/>
              </w:rPr>
              <w:t>（㎡）</w:t>
            </w:r>
          </w:p>
        </w:tc>
        <w:tc>
          <w:tcPr>
            <w:tcW w:w="1134"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w:t>
            </w:r>
          </w:p>
        </w:tc>
        <w:tc>
          <w:tcPr>
            <w:tcW w:w="992"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c>
          <w:tcPr>
            <w:tcW w:w="1134"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地栽花面积（㎡）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一心桥街口花台绿地及墙体绿化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东大街与陈家巷节点左侧绿地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571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571</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东大街与陈家巷节点右侧绿地(含一心桥茶厂绿地）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368</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锦东路路边花台绿化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1070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1070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宏济路口3个花台绿化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193</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193</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川西坝子酒家旁</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九眼桥人行天桥下</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553</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353</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二环路东四段（路边绿地）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656</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656</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陈家巷墙体绿化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146</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146</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尖东公寓门前</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1230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1230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牛市口公共绿地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3150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3150</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一心桥横街住宅发展项目公共绿地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2450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2450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锦东路一心桥南街小区旁</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1800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1800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牛王庙地铁出入口旁围墙</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海椒市休闲广场（区管部分）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2133</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2133</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顺江路绿地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3129</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3129</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莲新市民中心墙边竹子</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201</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莲花小区游园</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2680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2680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海椒市东街及二环路口绿化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157</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157</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蜀光新城绿地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1221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1221</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莲花北路</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494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494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一心桥南街口左、右绿化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954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954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莲花东路绿化带</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1408</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1408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海椒市沿线花台与锦东路口（缤纷）绿化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802</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802</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海椒市东四街</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3946</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3946</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莲花中路</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696</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696</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27</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莲花西路</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一心桥路口(锦东路沿线4处点位）</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1298</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1298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29</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莲花南路</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258</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莲新市民中心（含宏济中路）</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272</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272</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海椒市墙边绿化（川师附中旁）</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32</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宏济新路4号墙边绿化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33</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宏济新路西五街墙边绿化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朝阳民宅街头绿地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2500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2500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锦东路国嘉房产绿地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2591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2591</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顺江路区管部分街头绿地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4217</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4217</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37</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莲花新区北一巷农贸市场入口</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336</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336</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38</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莲花西路“金琴牙科”</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734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734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莲花新区北三巷绿带</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249</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249</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40</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莲花新区南一巷等八个点（小区内）</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1364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1364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41</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莲桂南路花台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42</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莲花新区北二巷</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1080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1080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43</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工农院街周边墙边绿化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46</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46</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w:t>
            </w:r>
          </w:p>
        </w:tc>
        <w:tc>
          <w:tcPr>
            <w:tcW w:w="2649"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莲桂南路花台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45</w:t>
            </w:r>
          </w:p>
        </w:tc>
        <w:tc>
          <w:tcPr>
            <w:tcW w:w="2649"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莲花新区北二巷</w:t>
            </w:r>
          </w:p>
        </w:tc>
        <w:tc>
          <w:tcPr>
            <w:tcW w:w="1134"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1080</w:t>
            </w:r>
          </w:p>
        </w:tc>
        <w:tc>
          <w:tcPr>
            <w:tcW w:w="1134"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1080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369" w:type="dxa"/>
            <w:gridSpan w:val="2"/>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合计</w:t>
            </w:r>
          </w:p>
        </w:tc>
        <w:tc>
          <w:tcPr>
            <w:tcW w:w="1134" w:type="dxa"/>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47371</w:t>
            </w:r>
          </w:p>
        </w:tc>
        <w:tc>
          <w:tcPr>
            <w:tcW w:w="1134" w:type="dxa"/>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36708</w:t>
            </w:r>
          </w:p>
        </w:tc>
        <w:tc>
          <w:tcPr>
            <w:tcW w:w="992"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10463</w:t>
            </w:r>
          </w:p>
        </w:tc>
        <w:tc>
          <w:tcPr>
            <w:tcW w:w="1134"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200</w:t>
            </w:r>
          </w:p>
        </w:tc>
      </w:tr>
    </w:tbl>
    <w:p>
      <w:pPr>
        <w:spacing w:line="360" w:lineRule="auto"/>
        <w:rPr>
          <w:rFonts w:hint="eastAsia"/>
          <w:b/>
          <w:color w:val="auto"/>
          <w:sz w:val="28"/>
          <w:szCs w:val="28"/>
          <w:highlight w:val="none"/>
          <w:lang w:eastAsia="zh-CN"/>
        </w:rPr>
      </w:pP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（三）设施设备需求数量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5辆；洒水车（核定载质量≥8吨）3辆；多功能洗扫车（核定载质量≥4吨）4辆；雾炮车（核定载质量≥5吨）1辆；护栏清洗车（核定载质量≥3吨）1辆；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收集车15辆；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bidi="ar"/>
        </w:rPr>
        <w:t>1</w:t>
      </w:r>
      <w:r>
        <w:rPr>
          <w:rFonts w:hint="eastAsia" w:ascii="宋体" w:hAnsi="宋体"/>
          <w:color w:val="auto"/>
          <w:kern w:val="0"/>
          <w:sz w:val="24"/>
          <w:szCs w:val="24"/>
          <w:highlight w:val="none"/>
          <w:lang w:val="en-US" w:eastAsia="zh-CN" w:bidi="ar"/>
        </w:rPr>
        <w:t>3</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8辆；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w:t>
      </w:r>
      <w:r>
        <w:rPr>
          <w:rFonts w:hint="eastAsia" w:ascii="宋体" w:hAnsi="宋体" w:eastAsia="宋体" w:cs="Times New Roman"/>
          <w:color w:val="auto"/>
          <w:szCs w:val="21"/>
          <w:highlight w:val="none"/>
          <w:lang w:eastAsia="zh-CN"/>
        </w:rPr>
        <w:t>小型分类收集车</w:t>
      </w:r>
      <w:r>
        <w:rPr>
          <w:rFonts w:hint="eastAsia" w:ascii="宋体" w:hAnsi="宋体" w:cs="Times New Roman"/>
          <w:color w:val="auto"/>
          <w:szCs w:val="21"/>
          <w:highlight w:val="none"/>
          <w:lang w:val="en-US" w:eastAsia="zh-CN"/>
        </w:rPr>
        <w:t>5辆</w:t>
      </w:r>
      <w:r>
        <w:rPr>
          <w:rFonts w:hint="eastAsia" w:ascii="宋体" w:hAnsi="宋体"/>
          <w:color w:val="auto"/>
          <w:kern w:val="0"/>
          <w:sz w:val="24"/>
          <w:szCs w:val="24"/>
          <w:highlight w:val="none"/>
          <w:lang w:bidi="ar"/>
        </w:rPr>
        <w:t>。</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（四）人员数量</w:t>
      </w:r>
    </w:p>
    <w:p>
      <w:pPr>
        <w:rPr>
          <w:rFonts w:ascii="Times New Roman" w:hAnsi="Times New Roman"/>
          <w:color w:val="auto"/>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项目经理1人，绿化管护项目负责人1人，绿化管护技术负责人1人，时令鲜花（含花镜）专职管理技术人员1人，辖区公厕质量管理人员1人，公厕维修维护人员1人，环卫工人20</w:t>
      </w:r>
      <w:r>
        <w:rPr>
          <w:rFonts w:hint="eastAsia" w:ascii="宋体" w:hAnsi="宋体"/>
          <w:color w:val="auto"/>
          <w:kern w:val="0"/>
          <w:sz w:val="24"/>
          <w:szCs w:val="24"/>
          <w:highlight w:val="none"/>
          <w:lang w:val="en-US" w:eastAsia="zh-CN" w:bidi="ar"/>
        </w:rPr>
        <w:t>8</w:t>
      </w:r>
      <w:r>
        <w:rPr>
          <w:rFonts w:hint="eastAsia" w:ascii="宋体" w:hAnsi="宋体"/>
          <w:color w:val="auto"/>
          <w:kern w:val="0"/>
          <w:sz w:val="24"/>
          <w:szCs w:val="24"/>
          <w:highlight w:val="none"/>
          <w:lang w:bidi="ar"/>
        </w:rPr>
        <w:t>人，绿化管护工人30人，环卫公厕管护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；驾驶人员不做具体要求，根据车辆数量配备。</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东湖街道办事处：</w:t>
      </w:r>
    </w:p>
    <w:p>
      <w:pPr>
        <w:numPr>
          <w:ilvl w:val="0"/>
          <w:numId w:val="41"/>
        </w:numPr>
        <w:spacing w:line="360" w:lineRule="auto"/>
        <w:rPr>
          <w:b/>
          <w:color w:val="auto"/>
          <w:sz w:val="28"/>
          <w:szCs w:val="28"/>
          <w:highlight w:val="none"/>
        </w:rPr>
      </w:pPr>
      <w:r>
        <w:rPr>
          <w:rFonts w:hint="eastAsia"/>
          <w:b/>
          <w:color w:val="auto"/>
          <w:sz w:val="28"/>
          <w:szCs w:val="28"/>
          <w:highlight w:val="none"/>
        </w:rPr>
        <w:t>环卫作业</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道路清扫保洁面积671360.77㎡</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其中一级道路保洁面积205768.07</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二级道路保洁面积291353.77</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三级道路保洁面积174238.93</w:t>
      </w:r>
      <w:r>
        <w:rPr>
          <w:rFonts w:hint="eastAsia" w:ascii="宋体" w:hAnsi="宋体"/>
          <w:color w:val="auto"/>
          <w:sz w:val="24"/>
          <w:szCs w:val="24"/>
          <w:highlight w:val="none"/>
          <w:lang w:eastAsia="zh-CN"/>
        </w:rPr>
        <w:t>㎡</w:t>
      </w:r>
      <w:r>
        <w:rPr>
          <w:rFonts w:hint="eastAsia" w:ascii="宋体" w:hAnsi="宋体"/>
          <w:color w:val="auto"/>
          <w:sz w:val="24"/>
          <w:szCs w:val="24"/>
          <w:highlight w:val="none"/>
        </w:rPr>
        <w:t>；市管绿化保洁面积</w:t>
      </w:r>
      <w:r>
        <w:rPr>
          <w:rFonts w:ascii="宋体" w:hAnsi="宋体"/>
          <w:color w:val="auto"/>
          <w:sz w:val="24"/>
          <w:szCs w:val="24"/>
          <w:highlight w:val="none"/>
        </w:rPr>
        <w:t>65672㎡</w:t>
      </w:r>
      <w:r>
        <w:rPr>
          <w:rFonts w:hint="eastAsia" w:ascii="宋体" w:hAnsi="宋体"/>
          <w:color w:val="auto"/>
          <w:sz w:val="24"/>
          <w:szCs w:val="24"/>
          <w:highlight w:val="none"/>
        </w:rPr>
        <w:t>；其他垃圾日清运量</w:t>
      </w:r>
      <w:r>
        <w:rPr>
          <w:rFonts w:ascii="宋体" w:hAnsi="宋体"/>
          <w:color w:val="auto"/>
          <w:sz w:val="24"/>
          <w:szCs w:val="24"/>
          <w:highlight w:val="none"/>
        </w:rPr>
        <w:t>115</w:t>
      </w:r>
      <w:r>
        <w:rPr>
          <w:rFonts w:hint="eastAsia" w:ascii="宋体" w:hAnsi="宋体"/>
          <w:color w:val="auto"/>
          <w:sz w:val="24"/>
          <w:szCs w:val="24"/>
          <w:highlight w:val="none"/>
        </w:rPr>
        <w:t>吨；厨余垃圾日清运量6吨。</w:t>
      </w:r>
    </w:p>
    <w:p>
      <w:pPr>
        <w:autoSpaceDE w:val="0"/>
        <w:autoSpaceDN w:val="0"/>
        <w:adjustRightInd w:val="0"/>
        <w:jc w:val="center"/>
        <w:rPr>
          <w:rFonts w:hint="default"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道路明细表</w:t>
      </w:r>
    </w:p>
    <w:p>
      <w:pPr>
        <w:autoSpaceDE w:val="0"/>
        <w:autoSpaceDN w:val="0"/>
        <w:adjustRightInd w:val="0"/>
        <w:jc w:val="left"/>
        <w:rPr>
          <w:rFonts w:ascii="宋体" w:hAnsi="宋体" w:cs="宋体"/>
          <w:color w:val="auto"/>
          <w:kern w:val="0"/>
          <w:sz w:val="24"/>
          <w:szCs w:val="24"/>
          <w:highlight w:val="none"/>
        </w:rPr>
      </w:pPr>
    </w:p>
    <w:tbl>
      <w:tblPr>
        <w:tblStyle w:val="59"/>
        <w:tblpPr w:leftFromText="180" w:rightFromText="180" w:vertAnchor="text" w:horzAnchor="page" w:tblpX="1733" w:tblpY="94"/>
        <w:tblOverlap w:val="never"/>
        <w:tblW w:w="8556" w:type="dxa"/>
        <w:tblInd w:w="0" w:type="dxa"/>
        <w:tblLayout w:type="fixed"/>
        <w:tblCellMar>
          <w:top w:w="0" w:type="dxa"/>
          <w:left w:w="0" w:type="dxa"/>
          <w:bottom w:w="0" w:type="dxa"/>
          <w:right w:w="0" w:type="dxa"/>
        </w:tblCellMar>
      </w:tblPr>
      <w:tblGrid>
        <w:gridCol w:w="861"/>
        <w:gridCol w:w="2134"/>
        <w:gridCol w:w="4058"/>
        <w:gridCol w:w="1503"/>
      </w:tblGrid>
      <w:tr>
        <w:tblPrEx>
          <w:tblLayout w:type="fixed"/>
          <w:tblCellMar>
            <w:top w:w="0" w:type="dxa"/>
            <w:left w:w="0" w:type="dxa"/>
            <w:bottom w:w="0" w:type="dxa"/>
            <w:right w:w="0" w:type="dxa"/>
          </w:tblCellMar>
        </w:tblPrEx>
        <w:trPr>
          <w:trHeight w:val="312" w:hRule="atLeast"/>
        </w:trPr>
        <w:tc>
          <w:tcPr>
            <w:tcW w:w="86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街道名称</w:t>
            </w:r>
          </w:p>
        </w:tc>
        <w:tc>
          <w:tcPr>
            <w:tcW w:w="40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起止点</w:t>
            </w:r>
          </w:p>
        </w:tc>
        <w:tc>
          <w:tcPr>
            <w:tcW w:w="150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道路类型</w:t>
            </w:r>
          </w:p>
        </w:tc>
      </w:tr>
      <w:tr>
        <w:tblPrEx>
          <w:tblLayout w:type="fixed"/>
          <w:tblCellMar>
            <w:top w:w="0" w:type="dxa"/>
            <w:left w:w="0" w:type="dxa"/>
            <w:bottom w:w="0" w:type="dxa"/>
            <w:right w:w="0" w:type="dxa"/>
          </w:tblCellMar>
        </w:tblPrEx>
        <w:trPr>
          <w:trHeight w:val="312" w:hRule="atLeast"/>
        </w:trPr>
        <w:tc>
          <w:tcPr>
            <w:tcW w:w="86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50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龙舟路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龙舟路至二环路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三官堂</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三官堂口至二环路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二环路东五段</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成仁路口至郭家桥</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郭家桥</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二环路西跨东</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顺江路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顺江路至三官堂</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锦华路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二环路锦华路口-沙河大桥（含桥）</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二环路东五段</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净居寺路口—郭家桥</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出入城通道</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二环路外侧至种子公司红灯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种子公司红灯至沙河桥头</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老成仁路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三官堂至二环路东五段</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河滨路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河滨路至九眼桥</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石牛堰桥至郭家桥下</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国信路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河滨路至二环路口</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石牛堰</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河滨路至三官堂路口</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国信路2号</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国信路大门至九眼桥头</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河心路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河心路至河滨路口</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华润路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琉璃路至锦华路一段</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南二巷</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沙河边—东光街</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南一巷</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沙河边—东光街</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北二巷</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东光街—静居嘉苑围墙</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北顺西街</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北顺街口—二环路口</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糍粑店街</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静居寺路至糍粑店1号院门前</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安信路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静居寺南街至青房云上围墙边</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东湖路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琉璃路至石牛堰</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东光商城</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东光街—东怡街</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观音桥街</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东光街—沙河边</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老成仁路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二环路口—沙河大桥(不含桥)</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35米大道</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传染病医院路口—川棉九分厂围墙</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312" w:hRule="atLeast"/>
        </w:trPr>
        <w:tc>
          <w:tcPr>
            <w:tcW w:w="86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29</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静居西路两侧</w:t>
            </w:r>
          </w:p>
        </w:tc>
        <w:tc>
          <w:tcPr>
            <w:tcW w:w="40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静居寺路至北二巷</w:t>
            </w:r>
          </w:p>
        </w:tc>
        <w:tc>
          <w:tcPr>
            <w:tcW w:w="150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312" w:hRule="atLeast"/>
        </w:trPr>
        <w:tc>
          <w:tcPr>
            <w:tcW w:w="86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50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观音桥西路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北二巷—音乐</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观音桥支路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198院—观音桥西路交界点</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32</w:t>
            </w:r>
          </w:p>
        </w:tc>
        <w:tc>
          <w:tcPr>
            <w:tcW w:w="2134"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琉璃东街</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二环路东五段至锦华路一段</w:t>
            </w:r>
          </w:p>
        </w:tc>
        <w:tc>
          <w:tcPr>
            <w:tcW w:w="1503"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锦丽路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华润路至琉璃东路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五桂街（一段）</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琉璃路至锦丽路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橡树林路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三官堂口至二环路口</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橡树林东路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二环路东五段-橡树林</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橡树林西路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二环路东五段-橡树林</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龙舟东巷</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龙舟路至三官堂</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河心半岛</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河心半岛至郭家桥</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石牛堰</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石牛堰至二环路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76号对面</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观音桥-铁门</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静居寺路右侧</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糍粑店10号至静居寺西街</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静居家园</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北顺街-锦华路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静居寺南巷子</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静居寺南街至198号院门前</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45</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东润广场</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35米大道侧</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46</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糍粑店街、净居寺路与静居寺南街交汇处</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47</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48</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专汽巷子</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琉璃—府河边</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49</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种子公司对面</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50</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静居寺与北顺街</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51</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沙河靠辖区一侧</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交大绿岭一期门前</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观音桥至198号院围墙边</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53</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东光商城</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东光街—东怡街</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54</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华润路至翡翠菜市场后门</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55</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滨江绿道</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郭家桥至东篱翠湖绿道</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56</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二环路外石牛堰出口段至水闸</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东篱翠湖绿道</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东篱翠湖彩虹桥至滨江绿道</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滨江路府河桥梯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滨江路府河桥梯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滨江路府河桥面</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滨江路府河桥面</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滨江路府河步道</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滨江路府河步道</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萃锦东路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静居寺路口—锦华路口</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62</w:t>
            </w:r>
          </w:p>
        </w:tc>
        <w:tc>
          <w:tcPr>
            <w:tcW w:w="2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萃锦西路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锦华路口右侧</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63</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琉璃路口右侧上段</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64</w:t>
            </w:r>
          </w:p>
        </w:tc>
        <w:tc>
          <w:tcPr>
            <w:tcW w:w="2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琉璃路口右侧下段</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观音桥</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观音桥</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琉璃桥</w:t>
            </w:r>
          </w:p>
        </w:tc>
        <w:tc>
          <w:tcPr>
            <w:tcW w:w="405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老成仁路小沙河桥</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琉璃横街</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琉璃路口至锦华路口</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琉璃东路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琉璃路口一东湖河边</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23" w:hRule="atLeast"/>
        </w:trPr>
        <w:tc>
          <w:tcPr>
            <w:tcW w:w="8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琉璃东路</w:t>
            </w:r>
          </w:p>
        </w:tc>
        <w:tc>
          <w:tcPr>
            <w:tcW w:w="40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锦华路口一琉璃路口</w:t>
            </w:r>
          </w:p>
        </w:tc>
        <w:tc>
          <w:tcPr>
            <w:tcW w:w="15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bl>
    <w:p>
      <w:pPr>
        <w:autoSpaceDE w:val="0"/>
        <w:autoSpaceDN w:val="0"/>
        <w:adjustRightInd w:val="0"/>
        <w:jc w:val="left"/>
        <w:rPr>
          <w:rFonts w:ascii="宋体" w:hAnsi="宋体" w:cs="宋体"/>
          <w:color w:val="auto"/>
          <w:kern w:val="0"/>
          <w:sz w:val="24"/>
          <w:szCs w:val="24"/>
          <w:highlight w:val="none"/>
        </w:rPr>
      </w:pPr>
    </w:p>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6座（河滨路公厕、萃锦东路公厕、成仁路广场公厕、萃锦西路公厕、沙河出口公厕、东光小游园公厕）；定时开放公厕7座（三官堂橡树林公厕、石牛堰公厕、二环路东五段公厕、望江名门公厕、锦华广场公厕、沸都公厕、沙河右岸公厕）。</w:t>
      </w:r>
    </w:p>
    <w:p>
      <w:pPr>
        <w:spacing w:line="360" w:lineRule="auto"/>
        <w:rPr>
          <w:color w:val="auto"/>
          <w:highlight w:val="none"/>
        </w:rPr>
      </w:pPr>
      <w:r>
        <w:rPr>
          <w:rFonts w:hint="eastAsia"/>
          <w:b/>
          <w:color w:val="auto"/>
          <w:sz w:val="28"/>
          <w:szCs w:val="28"/>
          <w:highlight w:val="none"/>
        </w:rPr>
        <w:t>（二）园林绿化</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69745㎡</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广场游园面积23202㎡</w:t>
      </w:r>
      <w:r>
        <w:rPr>
          <w:rFonts w:hint="eastAsia" w:ascii="宋体" w:hAnsi="宋体"/>
          <w:color w:val="auto"/>
          <w:kern w:val="0"/>
          <w:sz w:val="24"/>
          <w:szCs w:val="24"/>
          <w:highlight w:val="none"/>
          <w:lang w:bidi="ar"/>
        </w:rPr>
        <w:t>。</w:t>
      </w:r>
    </w:p>
    <w:p>
      <w:pPr>
        <w:autoSpaceDE w:val="0"/>
        <w:autoSpaceDN w:val="0"/>
        <w:adjustRightInd w:val="0"/>
        <w:jc w:val="left"/>
        <w:rPr>
          <w:rFonts w:ascii="宋体" w:hAnsi="Times New Roman" w:cs="宋体"/>
          <w:color w:val="auto"/>
          <w:kern w:val="0"/>
          <w:sz w:val="24"/>
          <w:szCs w:val="24"/>
          <w:highlight w:val="none"/>
          <w:lang w:bidi="ar"/>
        </w:rPr>
      </w:pPr>
    </w:p>
    <w:tbl>
      <w:tblPr>
        <w:tblStyle w:val="59"/>
        <w:tblW w:w="6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40"/>
        <w:gridCol w:w="11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720"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2340"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3340" w:type="dxa"/>
            <w:gridSpan w:val="3"/>
            <w:vAlign w:val="center"/>
          </w:tcPr>
          <w:p>
            <w:pPr>
              <w:widowControl/>
              <w:jc w:val="center"/>
              <w:rPr>
                <w:rFonts w:hint="eastAsia"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招标面积（㎡）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720"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2340"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1180"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lang w:eastAsia="zh-CN"/>
              </w:rPr>
              <w:t>小计</w:t>
            </w:r>
            <w:r>
              <w:rPr>
                <w:rFonts w:hint="eastAsia" w:ascii="华文黑体" w:hAnsi="宋体" w:eastAsia="华文黑体" w:cs="宋体"/>
                <w:b/>
                <w:bCs/>
                <w:color w:val="auto"/>
                <w:kern w:val="0"/>
                <w:sz w:val="24"/>
                <w:szCs w:val="24"/>
                <w:highlight w:val="none"/>
              </w:rPr>
              <w:t>（㎡）</w:t>
            </w:r>
          </w:p>
        </w:tc>
        <w:tc>
          <w:tcPr>
            <w:tcW w:w="1080"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w:t>
            </w:r>
          </w:p>
        </w:tc>
        <w:tc>
          <w:tcPr>
            <w:tcW w:w="1080"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龙舟路（含分车带）</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887</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887</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龙舟南路口</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65</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65</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锦州花园（三官堂）大门前面花台</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锦江妇幼保健站对面节点花台</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142</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142</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三官堂小游园</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1183</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1183</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望江橡树林2期小游园</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2173</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2173</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河滨路绿化 </w:t>
            </w:r>
          </w:p>
        </w:tc>
        <w:tc>
          <w:tcPr>
            <w:tcW w:w="11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2500</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2500</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二环路东五段366号摩玛城</w:t>
            </w:r>
          </w:p>
        </w:tc>
        <w:tc>
          <w:tcPr>
            <w:tcW w:w="11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3841</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3841</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静居寺西街道路绿化</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3621</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3621</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琉璃路墙边绿化</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80</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锦华广场</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6660</w:t>
            </w:r>
          </w:p>
        </w:tc>
        <w:tc>
          <w:tcPr>
            <w:tcW w:w="1080" w:type="dxa"/>
            <w:vAlign w:val="center"/>
          </w:tcPr>
          <w:p>
            <w:pPr>
              <w:widowControl/>
              <w:jc w:val="left"/>
              <w:rPr>
                <w:rFonts w:ascii="宋体" w:hAnsi="宋体" w:cs="宋体"/>
                <w:color w:val="auto"/>
                <w:kern w:val="0"/>
                <w:szCs w:val="21"/>
                <w:highlight w:val="none"/>
              </w:rPr>
            </w:pP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锦华路沿线</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680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680</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东润小游园</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3500</w:t>
            </w:r>
          </w:p>
        </w:tc>
        <w:tc>
          <w:tcPr>
            <w:tcW w:w="1080" w:type="dxa"/>
            <w:vAlign w:val="center"/>
          </w:tcPr>
          <w:p>
            <w:pPr>
              <w:widowControl/>
              <w:jc w:val="left"/>
              <w:rPr>
                <w:rFonts w:ascii="宋体" w:hAnsi="宋体" w:cs="宋体"/>
                <w:color w:val="auto"/>
                <w:kern w:val="0"/>
                <w:szCs w:val="21"/>
                <w:highlight w:val="none"/>
              </w:rPr>
            </w:pP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北顺街及周边花台绿化（含外栽植物）</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435</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435</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成龙路静居寺路绿化</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2363</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2363</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东怡街花台及外栽植物</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410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410</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东光街墙边绿化</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75</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75</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观音桥街绿化</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124</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124</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静居寺西街口游园及花台 </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9302</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东篱片区绿道移交绿化（府河桥下） </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18200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18200</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锦江区华润路东沿线 </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1900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1900</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华润府河街头绿地</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30650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30650</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琉璃路路边花台</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66</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66</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c>
          <w:tcPr>
            <w:tcW w:w="234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东光小游园</w:t>
            </w:r>
          </w:p>
        </w:tc>
        <w:tc>
          <w:tcPr>
            <w:tcW w:w="11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3740</w:t>
            </w:r>
          </w:p>
        </w:tc>
        <w:tc>
          <w:tcPr>
            <w:tcW w:w="108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80"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060" w:type="dxa"/>
            <w:gridSpan w:val="2"/>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合计</w:t>
            </w:r>
          </w:p>
        </w:tc>
        <w:tc>
          <w:tcPr>
            <w:tcW w:w="1180"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92947</w:t>
            </w:r>
          </w:p>
        </w:tc>
        <w:tc>
          <w:tcPr>
            <w:tcW w:w="1080"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69745</w:t>
            </w:r>
          </w:p>
        </w:tc>
        <w:tc>
          <w:tcPr>
            <w:tcW w:w="1080" w:type="dxa"/>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23202</w:t>
            </w:r>
          </w:p>
        </w:tc>
      </w:tr>
    </w:tbl>
    <w:p>
      <w:pPr>
        <w:autoSpaceDE w:val="0"/>
        <w:autoSpaceDN w:val="0"/>
        <w:adjustRightInd w:val="0"/>
        <w:jc w:val="left"/>
        <w:rPr>
          <w:rFonts w:ascii="宋体" w:hAnsi="Times New Roman" w:cs="宋体"/>
          <w:color w:val="auto"/>
          <w:kern w:val="0"/>
          <w:sz w:val="24"/>
          <w:szCs w:val="24"/>
          <w:highlight w:val="none"/>
          <w:lang w:bidi="ar"/>
        </w:rPr>
      </w:pP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（三）设施设备需求数量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3辆；洒水车（核定载质量≥8吨）3辆；多功能洗扫车（核定载质量≥4吨）4辆；雾炮车（核定载质量≥5吨）1辆；护栏清洗车（核定载质量≥3吨）1辆；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收集车20辆；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bidi="ar"/>
        </w:rPr>
        <w:t>2</w:t>
      </w:r>
      <w:r>
        <w:rPr>
          <w:rFonts w:hint="eastAsia" w:ascii="宋体" w:hAnsi="宋体"/>
          <w:color w:val="auto"/>
          <w:kern w:val="0"/>
          <w:sz w:val="24"/>
          <w:szCs w:val="24"/>
          <w:highlight w:val="none"/>
          <w:lang w:val="en-US" w:eastAsia="zh-CN" w:bidi="ar"/>
        </w:rPr>
        <w:t>3</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8辆；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w:t>
      </w:r>
      <w:r>
        <w:rPr>
          <w:rFonts w:hint="eastAsia" w:ascii="宋体" w:hAnsi="宋体" w:eastAsia="宋体" w:cs="Times New Roman"/>
          <w:color w:val="auto"/>
          <w:szCs w:val="21"/>
          <w:highlight w:val="none"/>
          <w:lang w:eastAsia="zh-CN"/>
        </w:rPr>
        <w:t>小型分类收集车</w:t>
      </w:r>
      <w:r>
        <w:rPr>
          <w:rFonts w:hint="eastAsia" w:ascii="宋体" w:hAnsi="宋体" w:cs="Times New Roman"/>
          <w:color w:val="auto"/>
          <w:szCs w:val="21"/>
          <w:highlight w:val="none"/>
          <w:lang w:val="en-US" w:eastAsia="zh-CN"/>
        </w:rPr>
        <w:t>5辆</w:t>
      </w:r>
      <w:r>
        <w:rPr>
          <w:rFonts w:hint="eastAsia" w:ascii="宋体" w:hAnsi="宋体"/>
          <w:color w:val="auto"/>
          <w:kern w:val="0"/>
          <w:sz w:val="24"/>
          <w:szCs w:val="24"/>
          <w:highlight w:val="none"/>
          <w:lang w:bidi="ar"/>
        </w:rPr>
        <w:t>。</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（四）人员数量</w:t>
      </w:r>
    </w:p>
    <w:p>
      <w:pPr>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项目经理1人，绿化管护项目负责人1人，绿化管护技术负责人1人，时令鲜花（含花镜）专职管理技术人员1人，辖区公厕质量管理人员1人，公厕维修维护人员1人，环卫工人1</w:t>
      </w:r>
      <w:r>
        <w:rPr>
          <w:rFonts w:hint="eastAsia" w:ascii="宋体" w:hAnsi="宋体"/>
          <w:color w:val="auto"/>
          <w:kern w:val="0"/>
          <w:sz w:val="24"/>
          <w:szCs w:val="24"/>
          <w:highlight w:val="none"/>
          <w:lang w:val="en-US" w:eastAsia="zh-CN" w:bidi="ar"/>
        </w:rPr>
        <w:t>83</w:t>
      </w:r>
      <w:r>
        <w:rPr>
          <w:rFonts w:hint="eastAsia" w:ascii="宋体" w:hAnsi="宋体"/>
          <w:color w:val="auto"/>
          <w:kern w:val="0"/>
          <w:sz w:val="24"/>
          <w:szCs w:val="24"/>
          <w:highlight w:val="none"/>
          <w:lang w:bidi="ar"/>
        </w:rPr>
        <w:t>人，绿化管护工人30人，环卫公厕管护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；驾驶人员不做具体要求，根据车辆数量配备。</w:t>
      </w:r>
    </w:p>
    <w:p>
      <w:pPr>
        <w:widowControl/>
        <w:jc w:val="left"/>
        <w:rPr>
          <w:rFonts w:ascii="Times New Roman" w:hAnsi="Times New Roman"/>
          <w:b/>
          <w:color w:val="auto"/>
          <w:sz w:val="24"/>
          <w:szCs w:val="24"/>
          <w:highlight w:val="none"/>
        </w:rPr>
      </w:pPr>
      <w:r>
        <w:rPr>
          <w:rFonts w:hint="eastAsia" w:ascii="Times New Roman" w:hAnsi="Times New Roman"/>
          <w:b/>
          <w:color w:val="auto"/>
          <w:sz w:val="24"/>
          <w:szCs w:val="24"/>
          <w:highlight w:val="none"/>
        </w:rPr>
        <w:t>四、</w:t>
      </w:r>
      <w:r>
        <w:rPr>
          <w:rFonts w:hint="eastAsia" w:ascii="宋体" w:hAnsi="宋体" w:eastAsia="宋体"/>
          <w:b/>
          <w:color w:val="auto"/>
          <w:sz w:val="28"/>
          <w:szCs w:val="28"/>
          <w:highlight w:val="none"/>
        </w:rPr>
        <w:t>★</w:t>
      </w:r>
      <w:r>
        <w:rPr>
          <w:rFonts w:hint="eastAsia" w:ascii="Times New Roman" w:hAnsi="Times New Roman"/>
          <w:b/>
          <w:color w:val="auto"/>
          <w:sz w:val="24"/>
          <w:szCs w:val="24"/>
          <w:highlight w:val="none"/>
        </w:rPr>
        <w:t>商务要求</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1、项目服务期限为3年（2022年1月1日至2024年12月31日），合同一年一签。</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2、采购预算：牛市口街道办事处</w:t>
      </w:r>
      <w:r>
        <w:rPr>
          <w:rFonts w:ascii="宋体" w:hAnsi="宋体" w:cs="宋体"/>
          <w:bCs/>
          <w:color w:val="auto"/>
          <w:sz w:val="24"/>
          <w:szCs w:val="24"/>
          <w:highlight w:val="none"/>
        </w:rPr>
        <w:t>1731.43</w:t>
      </w:r>
      <w:r>
        <w:rPr>
          <w:rFonts w:hint="eastAsia" w:ascii="宋体" w:hAnsi="宋体" w:cs="宋体"/>
          <w:bCs/>
          <w:color w:val="auto"/>
          <w:sz w:val="24"/>
          <w:szCs w:val="24"/>
          <w:highlight w:val="none"/>
        </w:rPr>
        <w:t>万元/年、东湖街道办事处</w:t>
      </w:r>
      <w:r>
        <w:rPr>
          <w:rFonts w:ascii="宋体" w:hAnsi="宋体" w:cs="宋体"/>
          <w:bCs/>
          <w:color w:val="auto"/>
          <w:sz w:val="24"/>
          <w:szCs w:val="24"/>
          <w:highlight w:val="none"/>
        </w:rPr>
        <w:t>1545.70</w:t>
      </w:r>
      <w:r>
        <w:rPr>
          <w:rFonts w:hint="eastAsia" w:ascii="宋体" w:hAnsi="宋体" w:cs="宋体"/>
          <w:bCs/>
          <w:color w:val="auto"/>
          <w:sz w:val="24"/>
          <w:szCs w:val="24"/>
          <w:highlight w:val="none"/>
        </w:rPr>
        <w:t>万元/年；合计：</w:t>
      </w:r>
      <w:r>
        <w:rPr>
          <w:rFonts w:ascii="宋体" w:hAnsi="宋体" w:cs="宋体"/>
          <w:bCs/>
          <w:color w:val="auto"/>
          <w:sz w:val="24"/>
          <w:szCs w:val="24"/>
          <w:highlight w:val="none"/>
        </w:rPr>
        <w:t>3277.13</w:t>
      </w:r>
      <w:r>
        <w:rPr>
          <w:rFonts w:hint="eastAsia" w:ascii="宋体" w:hAnsi="宋体" w:cs="宋体"/>
          <w:bCs/>
          <w:color w:val="auto"/>
          <w:sz w:val="24"/>
          <w:szCs w:val="24"/>
          <w:highlight w:val="none"/>
        </w:rPr>
        <w:t>万元/年；</w:t>
      </w:r>
      <w:r>
        <w:rPr>
          <w:rFonts w:hint="eastAsia" w:ascii="宋体" w:hAnsi="宋体" w:cs="宋体"/>
          <w:b/>
          <w:bCs/>
          <w:color w:val="auto"/>
          <w:sz w:val="24"/>
          <w:szCs w:val="24"/>
          <w:highlight w:val="none"/>
        </w:rPr>
        <w:t>（每个街道办事处应分别报价，且报价不超过该街道办事处的采购预算。）</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3、服务地点：牛市口街道办事处、东湖街道办事处管辖区域。</w:t>
      </w:r>
    </w:p>
    <w:p>
      <w:pPr>
        <w:spacing w:line="360" w:lineRule="auto"/>
        <w:ind w:firstLine="480" w:firstLineChars="200"/>
        <w:rPr>
          <w:rFonts w:ascii="宋体" w:hAnsi="宋体" w:cs="宋体"/>
          <w:b/>
          <w:bCs/>
          <w:color w:val="auto"/>
          <w:sz w:val="24"/>
          <w:szCs w:val="24"/>
          <w:highlight w:val="none"/>
        </w:rPr>
      </w:pPr>
      <w:r>
        <w:rPr>
          <w:rFonts w:hint="eastAsia" w:ascii="宋体" w:hAnsi="宋体" w:cs="宋体"/>
          <w:bCs/>
          <w:color w:val="auto"/>
          <w:sz w:val="24"/>
          <w:szCs w:val="24"/>
          <w:highlight w:val="none"/>
        </w:rPr>
        <w:t>4、</w:t>
      </w:r>
      <w:r>
        <w:rPr>
          <w:rFonts w:hint="eastAsia" w:ascii="宋体" w:hAnsi="宋体" w:cs="宋体"/>
          <w:color w:val="auto"/>
          <w:sz w:val="24"/>
          <w:szCs w:val="24"/>
          <w:highlight w:val="none"/>
        </w:rPr>
        <w:t>报价要求：所有报价一律以人民币报价。采购人不接受任何非人民币币种的报价。投标人的报价是其响应本项目要求的全部工作内容的价格体现，采购人将不再支付其他额外费用。</w:t>
      </w:r>
    </w:p>
    <w:p>
      <w:pPr>
        <w:pStyle w:val="61"/>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5.结算时间及结算方式：</w:t>
      </w:r>
      <w:r>
        <w:rPr>
          <w:rFonts w:hint="default" w:ascii="宋体" w:hAnsi="宋体" w:eastAsia="宋体" w:cs="宋体"/>
          <w:color w:val="auto"/>
          <w:sz w:val="24"/>
          <w:szCs w:val="24"/>
          <w:highlight w:val="none"/>
          <w:lang w:val="en-US" w:eastAsia="zh-CN"/>
        </w:rPr>
        <w:t>考核结果作为拨付经费的依据。（一）月实际拨付经费=月考核经费－日常巡查扣减经费。（二）月考核经费=月作业经费×A(考核得分）%。（三）月作业经费根据每月实际作业内容、作业面积和相应单价等确定</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结算时间：依据相应合同条款。</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6.履约验收：按《财政部关于进一步加强政府采购需求和履约验收管理的指导意见》（财库〔2016〕205号）的要求以及采购文件要求进行验收。</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7.考核方式：</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区综合执法局是全区环卫保洁、环卫公厕和河道管护的行政主管部门，以属地街道办事处一体化服务作业范围作为受考对象，参照相关文件要求</w:t>
      </w:r>
      <w:r>
        <w:rPr>
          <w:rFonts w:hint="eastAsia" w:ascii="宋体" w:hAnsi="宋体" w:cs="宋体"/>
          <w:color w:val="auto"/>
          <w:sz w:val="24"/>
          <w:szCs w:val="24"/>
          <w:highlight w:val="none"/>
          <w:lang w:eastAsia="zh-CN"/>
        </w:rPr>
        <w:t>进</w:t>
      </w:r>
      <w:r>
        <w:rPr>
          <w:rFonts w:hint="eastAsia" w:ascii="宋体" w:hAnsi="宋体" w:cs="宋体"/>
          <w:color w:val="auto"/>
          <w:sz w:val="24"/>
          <w:szCs w:val="24"/>
          <w:highlight w:val="none"/>
        </w:rPr>
        <w:t>行考核。</w:t>
      </w:r>
      <w:r>
        <w:rPr>
          <w:rFonts w:hint="eastAsia" w:ascii="宋体" w:hAnsi="宋体" w:cs="宋体"/>
          <w:color w:val="auto"/>
          <w:sz w:val="24"/>
          <w:szCs w:val="24"/>
          <w:highlight w:val="none"/>
          <w:lang w:eastAsia="zh-CN"/>
        </w:rPr>
        <w:t>详见《</w:t>
      </w:r>
      <w:r>
        <w:rPr>
          <w:rFonts w:hint="default" w:ascii="宋体" w:hAnsi="宋体" w:eastAsia="宋体" w:cs="宋体"/>
          <w:color w:val="auto"/>
          <w:sz w:val="24"/>
          <w:szCs w:val="24"/>
          <w:highlight w:val="none"/>
          <w:lang w:val="en-US" w:eastAsia="zh-CN"/>
        </w:rPr>
        <w:t>锦江区综合行政执法局2022-2024年锦江区环卫保洁、环卫公厕、绿化和河道管护一体化服务项目监督考核办法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spacing w:line="360" w:lineRule="auto"/>
        <w:rPr>
          <w:rFonts w:ascii="Times New Roman" w:hAnsi="Times New Roman"/>
          <w:b/>
          <w:color w:val="auto"/>
          <w:sz w:val="24"/>
          <w:szCs w:val="24"/>
          <w:highlight w:val="none"/>
        </w:rPr>
      </w:pPr>
      <w:r>
        <w:rPr>
          <w:rFonts w:hint="eastAsia" w:ascii="Times New Roman" w:hAnsi="Times New Roman"/>
          <w:b/>
          <w:color w:val="auto"/>
          <w:sz w:val="24"/>
          <w:szCs w:val="24"/>
          <w:highlight w:val="none"/>
        </w:rPr>
        <w:t>五、其他要求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1.管护期间，若有新增环卫保洁、环卫公厕、绿化内容，参照此轮招标相关经费标准计算管护费用，并由片区中标供应商负责管护。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机动车辆为中标供应商自有或租赁，租赁期限应覆盖服务期限。全区统一安装GPS</w:t>
      </w:r>
      <w:r>
        <w:rPr>
          <w:rFonts w:hint="eastAsia" w:ascii="宋体" w:hAnsi="宋体" w:cs="宋体"/>
          <w:color w:val="auto"/>
          <w:sz w:val="24"/>
          <w:szCs w:val="24"/>
          <w:highlight w:val="none"/>
        </w:rPr>
        <w:t>、实时监控，360度摄像头，实行动态跟踪管理。中标供应商配合区综合执法局和辖区街道办事处完成环卫固废智慧监管平台建设（实现视频实时可视、可回放、轨迹可追踪、</w:t>
      </w:r>
      <w:r>
        <w:rPr>
          <w:rFonts w:hint="eastAsia" w:ascii="宋体" w:hAnsi="宋体" w:cs="宋体"/>
          <w:color w:val="auto"/>
          <w:sz w:val="24"/>
          <w:szCs w:val="24"/>
          <w:highlight w:val="none"/>
          <w:lang w:eastAsia="zh-CN"/>
        </w:rPr>
        <w:t>数据可调用），所需经费由中标供应商承担。（提供承诺函）</w:t>
      </w:r>
    </w:p>
    <w:p>
      <w:pPr>
        <w:spacing w:line="360" w:lineRule="auto"/>
        <w:ind w:firstLine="480" w:firstLineChars="200"/>
        <w:rPr>
          <w:rFonts w:hint="eastAsia"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3.街道办事处现有四轮电动厨余垃圾收集车，提供给中标供应商使用，不收取任何费用，</w:t>
      </w:r>
      <w:r>
        <w:rPr>
          <w:rFonts w:hint="eastAsia" w:ascii="宋体" w:hAnsi="宋体" w:cs="宋体"/>
          <w:color w:val="auto"/>
          <w:sz w:val="24"/>
          <w:szCs w:val="24"/>
          <w:highlight w:val="none"/>
          <w:lang w:eastAsia="zh-CN"/>
        </w:rPr>
        <w:t>使用期内的日常运营、保险、安全、事故、毁损、被盗等全部责任均由中标供应商全权负责，服务期完后应在设施设备完好的前提下交还相应街道办事处应街道办事处</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4.中标供应商协助街道办事处负责做好新、老作业公司交接工作。妥善处置可能涉及公司、人员和经费等相关纠纷，做好善后工作，确保辖区社会稳定和作业平稳过渡。</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5.中标供应商按照《劳动合同法》、参照《成都市环卫工人健康安全关爱办法》等相应行业相关规定，落实工人的工资和福利待遇（包括：基础工资、岗位津贴、加班工资、社保（商保）、酷暑寒冬补助和劳保用品等）。服务期间如遇成都市工人最低工资标准刚性政策调整等增资情况，由中标供应商自行承担，不再另行申请资金。中标供应商每年至少组织一次本项目服务人员职业健康体检。</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6.投标人须同意“2022-2024年锦江区环卫保洁、环卫公厕、绿化和河道管护一体化服务项目监督考核办法”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rPr>
      </w:pPr>
      <w:r>
        <w:rPr>
          <w:rFonts w:hint="eastAsia" w:ascii="宋体" w:hAnsi="宋体" w:cs="宋体"/>
          <w:color w:val="auto"/>
          <w:sz w:val="24"/>
          <w:szCs w:val="24"/>
          <w:lang w:val="en-US" w:eastAsia="zh-CN"/>
        </w:rPr>
        <w:t>7.中标供应商提供承诺函承诺：无特殊情况时，所有设施设备在中标通知书发出之日起25日内全部到位。在承诺时间内未全部到位又无特殊情况的，采购人有权取消其中标资格，并扣减履约保证金。★</w:t>
      </w:r>
    </w:p>
    <w:p>
      <w:pPr>
        <w:pStyle w:val="3"/>
        <w:rPr>
          <w:rFonts w:hint="eastAsia" w:ascii="宋体" w:hAnsi="宋体" w:cs="宋体"/>
          <w:color w:val="auto"/>
          <w:sz w:val="24"/>
          <w:szCs w:val="24"/>
          <w:highlight w:val="none"/>
          <w:lang w:val="en-US" w:eastAsia="zh-CN"/>
        </w:rPr>
      </w:pPr>
    </w:p>
    <w:p>
      <w:pPr>
        <w:pStyle w:val="3"/>
        <w:rPr>
          <w:rFonts w:hint="eastAsia" w:ascii="宋体" w:hAnsi="宋体" w:cs="宋体"/>
          <w:color w:val="auto"/>
          <w:sz w:val="24"/>
          <w:szCs w:val="24"/>
          <w:highlight w:val="none"/>
          <w:lang w:val="en-US" w:eastAsia="zh-CN"/>
        </w:rPr>
      </w:pPr>
    </w:p>
    <w:p>
      <w:pPr>
        <w:autoSpaceDE w:val="0"/>
        <w:autoSpaceDN w:val="0"/>
        <w:adjustRightInd w:val="0"/>
        <w:jc w:val="left"/>
        <w:rPr>
          <w:rFonts w:ascii="宋体" w:hAnsi="宋体" w:cs="宋体"/>
          <w:color w:val="auto"/>
          <w:kern w:val="0"/>
          <w:sz w:val="24"/>
          <w:szCs w:val="24"/>
          <w:highlight w:val="none"/>
        </w:rPr>
      </w:pPr>
    </w:p>
    <w:p>
      <w:pP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lang w:eastAsia="zh-CN"/>
        </w:rPr>
        <w:t>包件5</w:t>
      </w:r>
      <w:r>
        <w:rPr>
          <w:rFonts w:hint="eastAsia" w:ascii="黑体" w:hAnsi="黑体" w:eastAsia="黑体" w:cs="黑体"/>
          <w:b/>
          <w:bCs/>
          <w:color w:val="auto"/>
          <w:sz w:val="36"/>
          <w:szCs w:val="36"/>
          <w:highlight w:val="none"/>
        </w:rPr>
        <w:t>：三圣街道办事处、狮子山街道办事处</w:t>
      </w:r>
      <w:r>
        <w:rPr>
          <w:rFonts w:hint="eastAsia" w:ascii="黑体" w:hAnsi="黑体" w:eastAsia="黑体" w:cs="黑体"/>
          <w:b/>
          <w:bCs/>
          <w:color w:val="auto"/>
          <w:sz w:val="36"/>
          <w:szCs w:val="36"/>
          <w:highlight w:val="none"/>
          <w:lang w:val="zh-CN"/>
        </w:rPr>
        <w:t>管辖区域</w:t>
      </w:r>
    </w:p>
    <w:p>
      <w:pPr>
        <w:autoSpaceDE w:val="0"/>
        <w:autoSpaceDN w:val="0"/>
        <w:adjustRightInd w:val="0"/>
        <w:jc w:val="left"/>
        <w:rPr>
          <w:rFonts w:ascii="宋体" w:hAnsi="Times New Roman" w:cs="宋体"/>
          <w:color w:val="auto"/>
          <w:kern w:val="0"/>
          <w:sz w:val="24"/>
          <w:szCs w:val="24"/>
          <w:highlight w:val="none"/>
        </w:rPr>
      </w:pPr>
    </w:p>
    <w:p>
      <w:pPr>
        <w:numPr>
          <w:ilvl w:val="0"/>
          <w:numId w:val="40"/>
        </w:numPr>
        <w:rPr>
          <w:rFonts w:ascii="Times New Roman" w:hAnsi="Times New Roman"/>
          <w:b/>
          <w:color w:val="auto"/>
          <w:sz w:val="28"/>
          <w:szCs w:val="28"/>
          <w:highlight w:val="none"/>
        </w:rPr>
      </w:pPr>
      <w:r>
        <w:rPr>
          <w:rFonts w:hint="eastAsia" w:ascii="Times New Roman" w:hAnsi="Times New Roman"/>
          <w:b/>
          <w:color w:val="auto"/>
          <w:sz w:val="28"/>
          <w:szCs w:val="28"/>
          <w:highlight w:val="none"/>
        </w:rPr>
        <w:t>项目概况</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（一）成都市锦江区综合行政执法局2022—2024年环卫保洁、环卫公厕、绿化和河道管护一体化服务项目</w:t>
      </w:r>
      <w:r>
        <w:rPr>
          <w:rFonts w:hint="eastAsia" w:ascii="宋体" w:hAnsi="宋体" w:cs="宋体"/>
          <w:bCs/>
          <w:color w:val="auto"/>
          <w:sz w:val="24"/>
          <w:szCs w:val="24"/>
          <w:highlight w:val="none"/>
        </w:rPr>
        <w:t>，招标工作由区综合执法局作为业主负责统一招标，街道办事处作为综合管理单位负责与中标供应商签订合同。区综合执法局和街道办事处共同履行日常监督责任。</w:t>
      </w:r>
    </w:p>
    <w:p>
      <w:pPr>
        <w:spacing w:after="120"/>
        <w:rPr>
          <w:rFonts w:ascii="Times New Roman" w:hAnsi="Times New Roman"/>
          <w:b/>
          <w:color w:val="auto"/>
          <w:sz w:val="28"/>
          <w:szCs w:val="28"/>
          <w:highlight w:val="none"/>
        </w:rPr>
      </w:pPr>
      <w:r>
        <w:rPr>
          <w:rFonts w:hint="eastAsia" w:ascii="Times New Roman" w:hAnsi="Times New Roman"/>
          <w:b/>
          <w:color w:val="auto"/>
          <w:sz w:val="28"/>
          <w:szCs w:val="28"/>
          <w:highlight w:val="none"/>
        </w:rPr>
        <w:t>二、作业规范、标准及内容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（一）</w:t>
      </w:r>
      <w:r>
        <w:rPr>
          <w:rFonts w:ascii="宋体" w:hAnsi="宋体" w:cs="宋体"/>
          <w:bCs/>
          <w:color w:val="auto"/>
          <w:sz w:val="24"/>
          <w:szCs w:val="24"/>
          <w:highlight w:val="none"/>
        </w:rPr>
        <w:t xml:space="preserve"> 作业规范。</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rPr>
        <w:t>环卫保洁：按照成都市城市管理委员会《关于印发〈成都市环卫清扫保洁精细化监督管理办法〉的通知》（成城发〔2019〕48号）、《关于印发〈成都市环卫清扫保洁精细化作业规则〉的通知》（成城发〔2019〕47号）、《关于印发&lt;关于统一规范成都市环卫作业机动车、小型机具自编号及外观、涂装工作实施方案&gt;&lt;成都市环卫作业机动车、小型车自编号及外观、涂装原则&gt;的通知》《生活垃圾分类标准》（GB/T19095-2019）《成都市锦江区环境卫生监督管理办法》（锦综执【2019】70号）要求作业</w:t>
      </w:r>
      <w:r>
        <w:rPr>
          <w:rFonts w:ascii="宋体" w:hAnsi="宋体" w:cs="宋体"/>
          <w:bCs/>
          <w:color w:val="auto"/>
          <w:sz w:val="24"/>
          <w:szCs w:val="24"/>
          <w:highlight w:val="none"/>
        </w:rPr>
        <w:t>；</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（2）环卫公厕管护：按照</w:t>
      </w:r>
      <w:r>
        <w:rPr>
          <w:rFonts w:hint="eastAsia" w:ascii="宋体" w:hAnsi="宋体" w:cs="宋体"/>
          <w:bCs/>
          <w:color w:val="auto"/>
          <w:sz w:val="24"/>
          <w:szCs w:val="24"/>
          <w:highlight w:val="none"/>
        </w:rPr>
        <w:t>《成都市环卫公厕管理规范》（成城函【2017】205号）</w:t>
      </w:r>
      <w:r>
        <w:rPr>
          <w:rFonts w:ascii="宋体" w:hAnsi="宋体" w:cs="宋体"/>
          <w:bCs/>
          <w:color w:val="auto"/>
          <w:sz w:val="24"/>
          <w:szCs w:val="24"/>
          <w:highlight w:val="none"/>
        </w:rPr>
        <w:t>、《锦江区环卫公厕管理规范（试行）》要求作业；</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（3）绿化管护：按照</w:t>
      </w:r>
      <w:r>
        <w:rPr>
          <w:rFonts w:hint="eastAsia" w:ascii="宋体" w:hAnsi="宋体" w:cs="宋体"/>
          <w:bCs/>
          <w:color w:val="auto"/>
          <w:sz w:val="24"/>
          <w:szCs w:val="24"/>
          <w:highlight w:val="none"/>
        </w:rPr>
        <w:t>《四川省城市园林绿化技术操作规程》DB51/50016-1998</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《成都市城市绿化养护技术规程》（DB510100/T 238-2017）</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《成都市城市绿化养护质量等级划分》(DB510100/T 239-2017)</w:t>
      </w:r>
      <w:r>
        <w:rPr>
          <w:rFonts w:ascii="宋体" w:hAnsi="宋体" w:cs="宋体"/>
          <w:bCs/>
          <w:color w:val="auto"/>
          <w:sz w:val="24"/>
          <w:szCs w:val="24"/>
          <w:highlight w:val="none"/>
        </w:rPr>
        <w:t>、《成都市锦江区园林绿化管护标准》要求作业；</w:t>
      </w:r>
    </w:p>
    <w:p>
      <w:pPr>
        <w:autoSpaceDE w:val="0"/>
        <w:autoSpaceDN w:val="0"/>
        <w:adjustRightInd w:val="0"/>
        <w:ind w:firstLine="480" w:firstLineChars="200"/>
        <w:jc w:val="left"/>
        <w:rPr>
          <w:rFonts w:ascii="宋体" w:hAnsi="Times New Roman" w:cs="宋体"/>
          <w:color w:val="auto"/>
          <w:kern w:val="0"/>
          <w:sz w:val="24"/>
          <w:szCs w:val="24"/>
          <w:highlight w:val="none"/>
        </w:rPr>
      </w:pPr>
      <w:r>
        <w:rPr>
          <w:rFonts w:ascii="宋体" w:hAnsi="宋体" w:cs="宋体"/>
          <w:bCs/>
          <w:color w:val="auto"/>
          <w:kern w:val="0"/>
          <w:sz w:val="24"/>
          <w:szCs w:val="24"/>
          <w:highlight w:val="none"/>
        </w:rPr>
        <w:t>（4）河道管护：按照《中心城区河道管护经费标准（试行）》等要求作业。</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（二）作业标准。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（1）环卫保洁：作业流程规范，保洁质量达到精细化管理标准，能实施机械化清扫作业的城市城区道路全部实施机械化清扫作业，机械化清扫率达到市、区规定标准。生活垃圾日产日清。</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环卫公厕管理应达到“四净三无二通一明”要求，即：地面净、墙壁净、厕位净、周边净，无溢流、无蚊蝇、无臭味，水通、电通，灯明。环卫公共厕所内采光、照明和通风良好，无异味，无蚊蝇。厕所内地面洁净，无积水，无烟头，无纸屑，无痰迹和其他杂物。墙面、天花板、门窗和隔断板洁净，无积灰，无污迹，无蛛网，无乱涂乱画，无破损；卫生洁具整洁，无积存物，无粪便痕迹，无积尿积水，管道畅通无堵塞。公厕标志牌、公示牌洁净，无积尘。</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每年对乔木进行大修一次，每年对现有地被、灌木更新率不低于20%；时令鲜花的更换次数每年不少于8次、花境的更换次数每年不少于4次、立体绿化根据植物品种适时更换；设施设备的检修、翻新、更换等，翻新、刷漆每年不得少于1次；所有垃圾（绿化垃圾、生活垃圾等）均做无害化处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（4）河道管护：每天巡查河道一遍；每100米河道零星垃圾不超过3处；河道栏杆及时擦拭、清理；每100米河渍、侵蚀不超过5处；每日上报排口情况；每500米河堤零星垃圾不超过3处。</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（三）作业内容。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1．道路清扫保洁(含市政公用道路，涉农街道办事处村社道路)和市管绿化带的白色垃圾清理，清除道路上粪渣粪袋、狗粪、建渣等污染物。2．铁路控制线（单侧铁轨至坡脚8米，坡脚向外延伸12米，12米向外延伸2米界桩，共22米）以外属地管理区域的清扫保洁。3．清理雨水篦子下面的落叶及垃圾。4．道路冲洗降尘，定期冲洗道路（按规范标准）及路沿石、人行道方砖、公交站台、人行天桥和雨水篦子，清洗道路标识标线，道路污染突击保洁。5．生活垃圾分类收集和运输，其中其他垃圾运输至锦江区垃圾压缩站，厨余垃圾运输至市级餐厨垃圾处置厂，可回收物运输至再生资源回收站点，有害垃圾运输至区环卫清运中心暂存点。6．小区内（具体范围详见附表）及街面丢弃的大件垃圾清理。7．对果屑箱、垃圾桶等环卫设施接受管理及使用，并进行日常维修维护，保证功能使用。道路施工时果屑箱的收集保管、果屑箱箱体固定，果屑箱内箱的垃圾清掏和箱体的内、外清洗，每日垃圾袋更换和垃圾桶清洗，室外城市家具的保洁。8．环卫工人工作服装按适时标准要求配置和更新。9．垃圾桶、垃圾中转房、垃圾池、垃圾转运点和垃圾转运车等环卫设施和中转站（点）现场的日常管理、冲洗、维护。各类环卫车辆日常管理及维修，环卫车辆喷涂统一的外观、颜色和标志。10．非法张贴、书写的地面及2米以下立面各类广告及卡片的清除清理。11．道路护栏、隔离墩、隔离桩、桥梁中央分隔带、防撞墙内侧、人行道栏杆、人行天桥栏杆、声屏障内侧保洁。12.环卫工人休息室日常管理和维护。13．做好环卫作业安全生产工作，落实安全责任制和各项规章制度。14．各类检查、接待及突发事件，环卫作业的应急保障工作。15．在辖区主街干道、重要路段或出入城通道实施精品示范街道环卫作业。16．完成省、市、区等各级部门和街道交办的各项突击整治任务。17.按作业辖区落实疫情防控和消防工作。18.在中央商务区、特色街区开展智能扫地机器人等人工智能环卫作业试点示范。</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作业范围包括辖区内环卫公厕内地面、墙面、天花板、门窗、设施设备等，室外周边10米。内容包括环卫公厕保洁服务管理（环卫公厕整体提档升级除外所有维护内容）、周边或者附属绿化维护管护、环卫公厕维护管理、清掏公厕化粪池，水电费缴纳。</w:t>
      </w:r>
      <w:r>
        <w:rPr>
          <w:rFonts w:hint="eastAsia" w:ascii="宋体" w:hAnsi="宋体" w:cs="宋体"/>
          <w:bCs/>
          <w:color w:val="auto"/>
          <w:sz w:val="24"/>
          <w:szCs w:val="24"/>
          <w:highlight w:val="none"/>
          <w:lang w:eastAsia="zh-CN"/>
        </w:rPr>
        <w:t>按采购人统一的标准和材质要求购买、更换和安装环卫公厕相关标识、标牌、公示牌，提供环卫公厕厕纸、洗手液日常耗材等（环卫公厕厕纸以清风、心相印、维达等同类品质的，且符合国家相关标准的为标准。洗手液以蓝月亮、滴露、威露士等同类品质的，且符合国家相关标准的为标准），</w:t>
      </w:r>
      <w:r>
        <w:rPr>
          <w:rFonts w:hint="eastAsia" w:ascii="宋体" w:hAnsi="宋体" w:cs="宋体"/>
          <w:bCs/>
          <w:color w:val="auto"/>
          <w:sz w:val="24"/>
          <w:szCs w:val="24"/>
          <w:highlight w:val="none"/>
        </w:rPr>
        <w:t>新增或维修维护公厕内所有窗户纱窗。设施设备的维修保养。对易损耗材料、照明设施、防水、供水及排水设施、电力设施、护栏、便池、水龙头、马桶、脚踏器等设施设备的检修、翻新、</w:t>
      </w:r>
      <w:r>
        <w:rPr>
          <w:rFonts w:hint="eastAsia" w:ascii="宋体" w:hAnsi="宋体" w:cs="宋体"/>
          <w:bCs/>
          <w:color w:val="auto"/>
          <w:sz w:val="24"/>
          <w:szCs w:val="24"/>
          <w:highlight w:val="none"/>
          <w:lang w:eastAsia="zh-CN"/>
        </w:rPr>
        <w:t>更换（所需耗材质量标准均不能低于原有耗材标准），按照实际需求配备移动厕所，并负责运输和管理</w:t>
      </w:r>
      <w:r>
        <w:rPr>
          <w:rFonts w:hint="eastAsia" w:ascii="宋体" w:hAnsi="宋体" w:cs="宋体"/>
          <w:bCs/>
          <w:color w:val="auto"/>
          <w:sz w:val="24"/>
          <w:szCs w:val="24"/>
          <w:highlight w:val="none"/>
        </w:rPr>
        <w:t>。公共秩序及公共安全管理。积极配合相关部门检查、考察、参观；做好文明指数测评等相关工作，必要时按实际需要自行租赁移动公厕；按作业辖区落实疫情防控和消防工作；积极配合主管部门，完成临时交办的管护工作和其他任务等。</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区管绿地乔木、灌木、地被的养护（除草、修剪、浇水、施肥、防病虫害等）、复壮、更换、降尘；时令鲜花及花境、立体绿化管护，包括购置、种植、更换及管护等；清扫保洁服务：包括绿地、游步道、绿道、设施设备的清扫保洁，以及园林绿化垃圾的集中处理、收集转运等。设施设备的维修保养：对易损耗材料、灯杆、照明设施、供水及排水设施、电力设施健身设施、小品雕塑、花箱、廊架、坐凳、树池盖板、树木支撑、绿化护栏等设施设备的检修、翻新、更换等（所需耗材质量标准均不能低于原有耗材标准）。</w:t>
      </w:r>
      <w:r>
        <w:rPr>
          <w:rFonts w:hint="eastAsia" w:ascii="宋体" w:hAnsi="宋体" w:cs="宋体"/>
          <w:bCs/>
          <w:color w:val="auto"/>
          <w:sz w:val="24"/>
          <w:szCs w:val="24"/>
          <w:highlight w:val="none"/>
          <w:lang w:eastAsia="zh-CN"/>
        </w:rPr>
        <w:t>绿化作业安全生产管理，绿化垃圾分类运输并送至专业机构处理</w:t>
      </w:r>
      <w:r>
        <w:rPr>
          <w:rFonts w:hint="eastAsia" w:ascii="宋体" w:hAnsi="宋体" w:cs="宋体"/>
          <w:bCs/>
          <w:color w:val="auto"/>
          <w:sz w:val="24"/>
          <w:szCs w:val="24"/>
          <w:highlight w:val="none"/>
        </w:rPr>
        <w:t>。按作业辖区落实疫情防控和消防工作。</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河道管护。区管河道河床打漂及清理：打捞河面漂浮物，清理河床堆积的垃圾、挡水障碍物等；巡查河道：对河道基础设施、河道水质、下河口排污、河长公示牌破损、涉河乱挖乱占乱建等情况进行巡查，栏杆破损等安全隐患应及时上报巡查发现的问题；河道管护范围内清扫保洁：对河道管护范围内人行步道清扫保洁，对河堤栏杆、河长公示牌、排水口标识牌等进行清洗维护，对滨河绿化带进行管护保洁。配合做好排口治理、水质监测、公示牌更换等河道管护工作。省、市管河道应对步行道实施日常管护。按作业辖区落实疫情防控和消防工作。</w:t>
      </w:r>
    </w:p>
    <w:p>
      <w:pPr>
        <w:autoSpaceDE w:val="0"/>
        <w:autoSpaceDN w:val="0"/>
        <w:adjustRightInd w:val="0"/>
        <w:jc w:val="left"/>
        <w:rPr>
          <w:rFonts w:ascii="宋体" w:hAnsi="Times New Roman" w:cs="宋体"/>
          <w:color w:val="auto"/>
          <w:kern w:val="0"/>
          <w:sz w:val="24"/>
          <w:szCs w:val="24"/>
          <w:highlight w:val="none"/>
        </w:rPr>
      </w:pPr>
      <w:r>
        <w:rPr>
          <w:rFonts w:hint="eastAsia" w:ascii="宋体" w:hAnsi="Times New Roman" w:cs="宋体"/>
          <w:color w:val="auto"/>
          <w:kern w:val="0"/>
          <w:sz w:val="24"/>
          <w:szCs w:val="24"/>
          <w:highlight w:val="none"/>
        </w:rPr>
        <w:t xml:space="preserve">    （5）共享单车规范停放。协助规范共享单车停放，并清除共享单车货架框内垃圾。</w:t>
      </w:r>
    </w:p>
    <w:p>
      <w:pPr>
        <w:spacing w:before="312" w:beforeLines="100" w:after="312" w:afterLines="100"/>
        <w:rPr>
          <w:rFonts w:ascii="Times New Roman" w:hAnsi="Times New Roman"/>
          <w:b/>
          <w:color w:val="auto"/>
          <w:sz w:val="28"/>
          <w:szCs w:val="28"/>
          <w:highlight w:val="none"/>
        </w:rPr>
      </w:pPr>
      <w:r>
        <w:rPr>
          <w:rFonts w:hint="eastAsia" w:ascii="Times New Roman" w:hAnsi="Times New Roman"/>
          <w:b/>
          <w:color w:val="auto"/>
          <w:sz w:val="28"/>
          <w:szCs w:val="28"/>
          <w:highlight w:val="none"/>
        </w:rPr>
        <w:t>三、作业范围及配备人员设备数量</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三圣街道办事处：</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道路清扫保洁面积1205829.4㎡</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其中一级道路保洁面积423817.5</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二级道路保洁面积595970.4</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三级道路保洁面积186041.5</w:t>
      </w:r>
      <w:r>
        <w:rPr>
          <w:rFonts w:hint="eastAsia" w:ascii="宋体" w:hAnsi="宋体"/>
          <w:color w:val="auto"/>
          <w:sz w:val="24"/>
          <w:szCs w:val="24"/>
          <w:highlight w:val="none"/>
          <w:lang w:eastAsia="zh-CN"/>
        </w:rPr>
        <w:t>㎡</w:t>
      </w:r>
      <w:r>
        <w:rPr>
          <w:rFonts w:hint="eastAsia" w:ascii="宋体" w:hAnsi="宋体"/>
          <w:color w:val="auto"/>
          <w:sz w:val="24"/>
          <w:szCs w:val="24"/>
          <w:highlight w:val="none"/>
        </w:rPr>
        <w:t>；其他垃圾日清运量</w:t>
      </w:r>
      <w:r>
        <w:rPr>
          <w:rFonts w:ascii="宋体" w:hAnsi="宋体"/>
          <w:color w:val="auto"/>
          <w:sz w:val="24"/>
          <w:szCs w:val="24"/>
          <w:highlight w:val="none"/>
        </w:rPr>
        <w:t>1</w:t>
      </w:r>
      <w:r>
        <w:rPr>
          <w:rFonts w:hint="eastAsia" w:ascii="宋体" w:hAnsi="宋体"/>
          <w:color w:val="auto"/>
          <w:sz w:val="24"/>
          <w:szCs w:val="24"/>
          <w:highlight w:val="none"/>
        </w:rPr>
        <w:t>10吨；厨余垃圾日清运量7吨。</w:t>
      </w:r>
    </w:p>
    <w:p>
      <w:pPr>
        <w:pStyle w:val="2"/>
        <w:jc w:val="center"/>
        <w:rPr>
          <w:rFonts w:hint="default"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道路明细表</w:t>
      </w:r>
    </w:p>
    <w:tbl>
      <w:tblPr>
        <w:tblStyle w:val="59"/>
        <w:tblpPr w:leftFromText="180" w:rightFromText="180" w:vertAnchor="text" w:horzAnchor="page" w:tblpX="1568" w:tblpY="439"/>
        <w:tblOverlap w:val="never"/>
        <w:tblW w:w="8693" w:type="dxa"/>
        <w:tblInd w:w="0" w:type="dxa"/>
        <w:tblLayout w:type="fixed"/>
        <w:tblCellMar>
          <w:top w:w="0" w:type="dxa"/>
          <w:left w:w="0" w:type="dxa"/>
          <w:bottom w:w="0" w:type="dxa"/>
          <w:right w:w="0" w:type="dxa"/>
        </w:tblCellMar>
      </w:tblPr>
      <w:tblGrid>
        <w:gridCol w:w="742"/>
        <w:gridCol w:w="2491"/>
        <w:gridCol w:w="3811"/>
        <w:gridCol w:w="1649"/>
      </w:tblGrid>
      <w:tr>
        <w:tblPrEx>
          <w:tblLayout w:type="fixed"/>
          <w:tblCellMar>
            <w:top w:w="0" w:type="dxa"/>
            <w:left w:w="0" w:type="dxa"/>
            <w:bottom w:w="0" w:type="dxa"/>
            <w:right w:w="0" w:type="dxa"/>
          </w:tblCellMar>
        </w:tblPrEx>
        <w:trPr>
          <w:trHeight w:val="312" w:hRule="atLeast"/>
        </w:trPr>
        <w:tc>
          <w:tcPr>
            <w:tcW w:w="74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249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街道名称</w:t>
            </w:r>
          </w:p>
        </w:tc>
        <w:tc>
          <w:tcPr>
            <w:tcW w:w="38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起止点</w:t>
            </w:r>
          </w:p>
        </w:tc>
        <w:tc>
          <w:tcPr>
            <w:tcW w:w="16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道路类型</w:t>
            </w:r>
          </w:p>
        </w:tc>
      </w:tr>
      <w:tr>
        <w:tblPrEx>
          <w:tblLayout w:type="fixed"/>
          <w:tblCellMar>
            <w:top w:w="0" w:type="dxa"/>
            <w:left w:w="0" w:type="dxa"/>
            <w:bottom w:w="0" w:type="dxa"/>
            <w:right w:w="0" w:type="dxa"/>
          </w:tblCellMar>
        </w:tblPrEx>
        <w:trPr>
          <w:trHeight w:val="312" w:hRule="atLeast"/>
        </w:trPr>
        <w:tc>
          <w:tcPr>
            <w:tcW w:w="74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24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38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6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成龙大道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幸福梅林路口至绕城高速</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5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锦江大道（原香樟大道）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幸福梅林路口至茶花街路口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556"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中胜路(火葬场专用道)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成仁快速路至烈士陵园　</w:t>
            </w:r>
          </w:p>
        </w:tc>
        <w:tc>
          <w:tcPr>
            <w:tcW w:w="164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525"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锦江大道（原石胜路）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幸福梅林路口至成龙交界（4s店）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502"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银杏大道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成龙路口至龙泉交界处（百日红路）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544"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成人快速通道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绕城高速桥至成自泸高速收费站</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水晶广场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成龙路至维生公司湖</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紫薇路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柳荫路至刺桐路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银杏路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香楠路至杜英路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柳荫路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红灯路口至丁字路口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五牛广场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幸福梅林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花博路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成龙路至黄柏</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湿地路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锦江大道至驸江路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琉新路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成自泸入口至高威路口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琉新路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高威路口至锦水街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簧柏路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乡政府门口喜树路至花博路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喜树街</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梅林滨湖路至茶花街路口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海棠路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香樟大道至银杏大道</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百日红中路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银杏大道至银木街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环保大楼前路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成龙路至三圣小学</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紫檀路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成龙大道至紫罗兰路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（白桦林路）原紫罗兰路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锦江春天地下停车场出入口至紫檀路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658"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银木街</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成龙路口至百日红路口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椿树街</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成龙路口至茶花街路口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杨树街</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成龙大道至茶花街　</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茶花街</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香樟大道至银杏大道路口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牡丹街</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香樟大道至银杏大道路口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栀子街</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香樟大道至银杏大道路口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琉成路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琉大路至成自泸快速通道至白鹭湾小学</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61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银杏大道延伸段</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成龙大道至白桦林路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刺桐路海棠路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杜英路至村委会</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花圃路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水杉路至香楠路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水杉路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农居路至杜英路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农居路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柳荫路至水杉路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玫瑰路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水杉路至杜英路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杜英路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玫瑰路至成龙路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香楠路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花圃路口至杜英路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滨湖东路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锦江大道至附江路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大坝</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新幸福路至滨湖路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新幸福路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锦江大道至特色街路口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环荷路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桥头围荷塘一周</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簧柏路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双星店至龙泉焦界</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成万路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成龙路口至黉柏路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东篱路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丁字路至黉柏路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特色街路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附江路至幸福路口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菊园路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丁字路至附江路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赏菊路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附江路至丁字路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黉白路至琉新路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白桦林路延伸A段</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喜树街至紫檀路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白桦林路延伸B段</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椰树街至珙桐路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珙桐路A段</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成龙大道至白桦林路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丹桂路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驿都大道至成龙大道翠柳街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琼花东路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原琼花街向西北延伸至喜树街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迎春巷</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喜树街至椿树街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雨树巷</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海棠路至迎春巷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木棉巷</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喜树街至椿树街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清运中心通道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50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何家冲河道景观绿道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5"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驸马排洪渠</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成龙大道两侧（绕城高速旁）加宽道路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刘家花园门口对面至成龙交界（外环涵洞）</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60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老幸福村委会路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锦江大道至何东元老宅（含锦江大道至福利院一线）</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685"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万福2组路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成龙路至农户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江家堰社区路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菜排路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驸马社区道路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黉白路老刘家花园至驸江路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高威会所门前道路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琉新路至原外环线</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大安桥污水站路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琉新路至污水站</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锦水街路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琉新路至中胜路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锦水街支路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锦水街至小学</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琉新路支路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琉新路至锦水街支路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大安桥社区广场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大安桥社区门前</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美林湾紫罗兰健身广场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紫罗兰路旁</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535"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黉白路支路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驸马小学围墙边路（黉白路至附江路）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金沙陵园路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中胜路至双流庙山交界</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菜排路支路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菜排路至双流庙山交界</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汽车站广场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琉新路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76</w:t>
            </w:r>
          </w:p>
        </w:tc>
        <w:tc>
          <w:tcPr>
            <w:tcW w:w="2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城市花园二期后面便道</w:t>
            </w:r>
          </w:p>
        </w:tc>
        <w:tc>
          <w:tcPr>
            <w:tcW w:w="3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海棠路至牡丹路</w:t>
            </w:r>
          </w:p>
        </w:tc>
        <w:tc>
          <w:tcPr>
            <w:tcW w:w="1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77</w:t>
            </w:r>
          </w:p>
        </w:tc>
        <w:tc>
          <w:tcPr>
            <w:tcW w:w="2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锦江大道靠城市花园段健身路径</w:t>
            </w:r>
          </w:p>
        </w:tc>
        <w:tc>
          <w:tcPr>
            <w:tcW w:w="3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加油站出口至茶花街</w:t>
            </w:r>
          </w:p>
        </w:tc>
        <w:tc>
          <w:tcPr>
            <w:tcW w:w="1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村民广场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红砂社区广场</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杜英路飞蛾段</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杜英路至龙泉交界</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曾家坡1组社区路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杜英路至农户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紫藤路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公厕至水晶广场</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罗家花园到花基地段</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柳荫路到大竹林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红砂3组社区路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橘子餐吧至农户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红砂3组社区路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橘子餐吧至农户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红砂2组支路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刺桐路至农户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农居路延伸路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至龙泉交界</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游客中心外边木平台</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梅林湖游客中心</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湖面木栈道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梅林湖木栈道</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桥</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木栈道至游客中心</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观光木栈道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滨湖东路一线</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滨湖西路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大坝至游客中心</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幸福路延伸段</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幸福路至时蔬路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梅林情怀</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新幸福路至停车场</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污水处理厂专用道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幸福路至污水处理厂</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压缩站</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梅香阁至垃圾压缩站</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茗花园</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探梅路至醉香路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向阳路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老幸福路西至醉香路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醉香路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幸福路西至老幸福路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樱花园景点</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醉香路樱花园景点广场</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5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老幸福路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锦江大道至秀丽东方</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溢香路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醉香路至梅花大观广场停车场</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溢香路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幸福路至溢香路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探梅路延伸路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探梅至梅花寨</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赏梅路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醉香路至梅花大观</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梅花大观广场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幸福东路醉香路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探梅路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新幸福路至醉香路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荷塘观梅</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幸福路支线至农户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蒲公英广场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滨湖东路大坝左侧</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水车观光道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滨湖东路至农户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岁寒三友</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梅林山庄至农户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湿地木栈道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梅林湿地木栈道</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湿地公园道路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梅林湿地全线水泥道路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湿地路支路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幸福路至湿地路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社区道路（原派出所门前道路道路）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滨湖路至农户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60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环荷路支线</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环荷路至2号厕所</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停车场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2号公厕前停车场</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画意村路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黉柏路至环荷路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万福五组支路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红砂坡桥下至农户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万福五组红砂坡支路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黉柏路至农户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万福4组道路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黉柏路至竹林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万福3组道路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黉柏路至3队大院坝</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成万路虎标行</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电影公社支路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成万路至农户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柳月路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簧柏路至成万路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柳月路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簧柏路至环荷路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万福八组支路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黉柏路至农户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万福8队社区路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黉柏路至农户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万福九队道路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柳月路至农户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莲花广场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黉柏路至木平台</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广场木板路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木平台至小酒馆</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广场木板路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黉柏路至虎标行后门</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广场道路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荷塘精品木桥</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荷塘月色池塘内</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观光石板栈道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万心桥至采莲路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荷塘月色木栈道</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auto"/>
                <w:kern w:val="2"/>
                <w:sz w:val="21"/>
                <w:szCs w:val="21"/>
                <w:highlight w:val="none"/>
                <w:lang w:val="en-US" w:eastAsia="zh-CN" w:bidi="ar-SA"/>
              </w:rPr>
            </w:pP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花博路口小广场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花博路口旁</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花博路支线</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市场至花市后门</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东篱支路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东篱路至农户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陈家堰一组道路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赏菊路牛哥饭店</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驸马社区道路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菊园路口过雷达站前弯道处</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驸马社区道路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路口外延鱼塘</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雷达站支路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雷达站至菊园路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金菊广场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菜菊路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兰草园路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赏菊路至菊园路</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145</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江家菜地办公室路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聚宝路至办公室</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146</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时蔬路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驸江路至治安室</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147</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聚宝路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湿地路至治安亭</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148</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聚宝路延伸路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聚宝路口至农户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149</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榄菊广场</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驸江路旁</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150</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驸马社区路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驸江路至农户</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151</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楼外楼支线</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驸江路至附马七组</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152</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乡村酒店支路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驸江路至附马七组</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153</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驸江路原坝坝鱼支路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驸江路至菊园路口</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74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154</w:t>
            </w:r>
          </w:p>
        </w:tc>
        <w:tc>
          <w:tcPr>
            <w:tcW w:w="2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罗家大桥路</w:t>
            </w:r>
          </w:p>
        </w:tc>
        <w:tc>
          <w:tcPr>
            <w:tcW w:w="3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驸江路至桥头（双流交界）</w:t>
            </w:r>
          </w:p>
        </w:tc>
        <w:tc>
          <w:tcPr>
            <w:tcW w:w="1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三级道路</w:t>
            </w:r>
          </w:p>
        </w:tc>
      </w:tr>
    </w:tbl>
    <w:p>
      <w:pPr>
        <w:autoSpaceDE w:val="0"/>
        <w:autoSpaceDN w:val="0"/>
        <w:adjustRightInd w:val="0"/>
        <w:jc w:val="left"/>
        <w:rPr>
          <w:rFonts w:ascii="宋体" w:hAnsi="宋体" w:cs="宋体"/>
          <w:color w:val="auto"/>
          <w:kern w:val="0"/>
          <w:sz w:val="24"/>
          <w:szCs w:val="24"/>
          <w:highlight w:val="none"/>
        </w:rPr>
      </w:pPr>
    </w:p>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4座（美林湾公厕、华西附二院公厕、水晶广场公厕、花乡农居路公厕）；定时开放公厕21座（荷塘月色一号公厕、荷塘月色二号公厕、东篱菊园公厕、罗家花园公厕、梅花大观广场公厕、银木佳苑公厕、东景家园公厕、星雅俊园公厕、东御佲家公厕、湿地路公厕、大安桥公厕、七中育才银杏校区外公厕、椰树街公厕、红砂村社区公厕、银杏大道公厕、幸福梅林口公厕、菊园路公厕、幸福梅林醉香路公厕、枙子街华熙528公厕）。</w:t>
      </w:r>
    </w:p>
    <w:p>
      <w:pPr>
        <w:numPr>
          <w:ilvl w:val="0"/>
          <w:numId w:val="42"/>
        </w:numPr>
        <w:spacing w:line="360" w:lineRule="auto"/>
        <w:rPr>
          <w:rFonts w:hint="eastAsia"/>
          <w:b/>
          <w:color w:val="auto"/>
          <w:sz w:val="28"/>
          <w:szCs w:val="28"/>
          <w:highlight w:val="none"/>
        </w:rPr>
      </w:pPr>
      <w:r>
        <w:rPr>
          <w:rFonts w:hint="eastAsia"/>
          <w:b/>
          <w:color w:val="auto"/>
          <w:sz w:val="28"/>
          <w:szCs w:val="28"/>
          <w:highlight w:val="none"/>
        </w:rPr>
        <w:t>园林绿化</w:t>
      </w:r>
    </w:p>
    <w:p>
      <w:pPr>
        <w:pStyle w:val="2"/>
        <w:numPr>
          <w:ilvl w:val="0"/>
          <w:numId w:val="0"/>
        </w:numPr>
        <w:rPr>
          <w:color w:val="auto"/>
          <w:highlight w:val="none"/>
        </w:rPr>
      </w:pP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334150㎡</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广场游园面积36057</w:t>
      </w:r>
      <w:r>
        <w:rPr>
          <w:rFonts w:hint="eastAsia" w:ascii="宋体" w:hAnsi="宋体"/>
          <w:color w:val="auto"/>
          <w:kern w:val="0"/>
          <w:sz w:val="24"/>
          <w:szCs w:val="24"/>
          <w:highlight w:val="none"/>
          <w:lang w:val="en-US" w:eastAsia="zh-CN" w:bidi="ar"/>
        </w:rPr>
        <w:t>.32</w:t>
      </w:r>
      <w:r>
        <w:rPr>
          <w:rFonts w:ascii="宋体" w:hAnsi="宋体"/>
          <w:color w:val="auto"/>
          <w:kern w:val="0"/>
          <w:sz w:val="24"/>
          <w:szCs w:val="24"/>
          <w:highlight w:val="none"/>
          <w:lang w:bidi="ar"/>
        </w:rPr>
        <w:t>㎡</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地栽花面积290㎡</w:t>
      </w:r>
      <w:r>
        <w:rPr>
          <w:rFonts w:hint="eastAsia" w:ascii="宋体" w:hAnsi="宋体"/>
          <w:color w:val="auto"/>
          <w:kern w:val="0"/>
          <w:sz w:val="24"/>
          <w:szCs w:val="24"/>
          <w:highlight w:val="none"/>
          <w:lang w:bidi="ar"/>
        </w:rPr>
        <w:t>。</w:t>
      </w:r>
    </w:p>
    <w:tbl>
      <w:tblPr>
        <w:tblStyle w:val="59"/>
        <w:tblpPr w:leftFromText="180" w:rightFromText="180" w:vertAnchor="text" w:horzAnchor="page" w:tblpX="2870" w:tblpY="748"/>
        <w:tblOverlap w:val="never"/>
        <w:tblW w:w="7372" w:type="dxa"/>
        <w:tblInd w:w="0" w:type="dxa"/>
        <w:tblLayout w:type="fixed"/>
        <w:tblCellMar>
          <w:top w:w="0" w:type="dxa"/>
          <w:left w:w="108" w:type="dxa"/>
          <w:bottom w:w="0" w:type="dxa"/>
          <w:right w:w="108" w:type="dxa"/>
        </w:tblCellMar>
      </w:tblPr>
      <w:tblGrid>
        <w:gridCol w:w="580"/>
        <w:gridCol w:w="2363"/>
        <w:gridCol w:w="1238"/>
        <w:gridCol w:w="914"/>
        <w:gridCol w:w="1336"/>
        <w:gridCol w:w="941"/>
      </w:tblGrid>
      <w:tr>
        <w:tblPrEx>
          <w:tblLayout w:type="fixed"/>
          <w:tblCellMar>
            <w:top w:w="0" w:type="dxa"/>
            <w:left w:w="108" w:type="dxa"/>
            <w:bottom w:w="0" w:type="dxa"/>
            <w:right w:w="108" w:type="dxa"/>
          </w:tblCellMar>
        </w:tblPrEx>
        <w:trPr>
          <w:trHeight w:val="855" w:hRule="atLeast"/>
        </w:trPr>
        <w:tc>
          <w:tcPr>
            <w:tcW w:w="580" w:type="dxa"/>
            <w:vMerge w:val="restart"/>
            <w:tcBorders>
              <w:top w:val="single" w:color="auto" w:sz="4" w:space="0"/>
              <w:left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2363" w:type="dxa"/>
            <w:vMerge w:val="restart"/>
            <w:tcBorders>
              <w:top w:val="single" w:color="auto" w:sz="4" w:space="0"/>
              <w:left w:val="nil"/>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4429" w:type="dxa"/>
            <w:gridSpan w:val="4"/>
            <w:tcBorders>
              <w:top w:val="single" w:color="auto" w:sz="4" w:space="0"/>
              <w:left w:val="nil"/>
              <w:bottom w:val="single" w:color="auto" w:sz="4" w:space="0"/>
              <w:right w:val="single" w:color="auto" w:sz="4" w:space="0"/>
            </w:tcBorders>
            <w:vAlign w:val="center"/>
          </w:tcPr>
          <w:p>
            <w:pPr>
              <w:widowControl/>
              <w:jc w:val="center"/>
              <w:rPr>
                <w:rFonts w:hint="eastAsia"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招标面积（㎡）</w:t>
            </w:r>
          </w:p>
        </w:tc>
      </w:tr>
      <w:tr>
        <w:tblPrEx>
          <w:tblLayout w:type="fixed"/>
          <w:tblCellMar>
            <w:top w:w="0" w:type="dxa"/>
            <w:left w:w="108" w:type="dxa"/>
            <w:bottom w:w="0" w:type="dxa"/>
            <w:right w:w="108" w:type="dxa"/>
          </w:tblCellMar>
        </w:tblPrEx>
        <w:trPr>
          <w:trHeight w:val="855" w:hRule="atLeast"/>
        </w:trPr>
        <w:tc>
          <w:tcPr>
            <w:tcW w:w="580" w:type="dxa"/>
            <w:vMerge w:val="continue"/>
            <w:tcBorders>
              <w:left w:val="single" w:color="auto" w:sz="4" w:space="0"/>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p>
        </w:tc>
        <w:tc>
          <w:tcPr>
            <w:tcW w:w="2363" w:type="dxa"/>
            <w:vMerge w:val="continue"/>
            <w:tcBorders>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p>
        </w:tc>
        <w:tc>
          <w:tcPr>
            <w:tcW w:w="1238"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lang w:eastAsia="zh-CN"/>
              </w:rPr>
              <w:t>小计</w:t>
            </w:r>
            <w:r>
              <w:rPr>
                <w:rFonts w:hint="eastAsia" w:ascii="华文黑体" w:hAnsi="宋体" w:eastAsia="华文黑体" w:cs="宋体"/>
                <w:b/>
                <w:bCs/>
                <w:color w:val="auto"/>
                <w:kern w:val="0"/>
                <w:sz w:val="24"/>
                <w:szCs w:val="24"/>
                <w:highlight w:val="none"/>
              </w:rPr>
              <w:t>（㎡）</w:t>
            </w:r>
          </w:p>
        </w:tc>
        <w:tc>
          <w:tcPr>
            <w:tcW w:w="914"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w:t>
            </w:r>
          </w:p>
        </w:tc>
        <w:tc>
          <w:tcPr>
            <w:tcW w:w="1336"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c>
          <w:tcPr>
            <w:tcW w:w="941" w:type="dxa"/>
            <w:tcBorders>
              <w:top w:val="single" w:color="auto" w:sz="4" w:space="0"/>
              <w:left w:val="nil"/>
              <w:bottom w:val="single" w:color="auto" w:sz="4" w:space="0"/>
              <w:right w:val="single" w:color="auto" w:sz="4" w:space="0"/>
            </w:tcBorders>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地栽花面积（㎡）</w:t>
            </w:r>
          </w:p>
        </w:tc>
      </w:tr>
      <w:tr>
        <w:tblPrEx>
          <w:tblLayout w:type="fixed"/>
          <w:tblCellMar>
            <w:top w:w="0" w:type="dxa"/>
            <w:left w:w="108" w:type="dxa"/>
            <w:bottom w:w="0" w:type="dxa"/>
            <w:right w:w="108" w:type="dxa"/>
          </w:tblCellMar>
        </w:tblPrEx>
        <w:trPr>
          <w:trHeight w:val="1004"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三圣段进城方向（绕城-幸福梅林 ）</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3675</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3595</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80</w:t>
            </w:r>
          </w:p>
        </w:tc>
      </w:tr>
      <w:tr>
        <w:tblPrEx>
          <w:tblLayout w:type="fixed"/>
          <w:tblCellMar>
            <w:top w:w="0" w:type="dxa"/>
            <w:left w:w="108" w:type="dxa"/>
            <w:bottom w:w="0" w:type="dxa"/>
            <w:right w:w="108" w:type="dxa"/>
          </w:tblCellMar>
        </w:tblPrEx>
        <w:trPr>
          <w:trHeight w:val="977"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三圣段出城方向（含分车带绿化）（幸福梅林-绕城） </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100981</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100901</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80</w:t>
            </w:r>
          </w:p>
        </w:tc>
      </w:tr>
      <w:tr>
        <w:tblPrEx>
          <w:tblLayout w:type="fixed"/>
          <w:tblCellMar>
            <w:top w:w="0" w:type="dxa"/>
            <w:left w:w="108" w:type="dxa"/>
            <w:bottom w:w="0" w:type="dxa"/>
            <w:right w:w="108" w:type="dxa"/>
          </w:tblCellMar>
        </w:tblPrEx>
        <w:trPr>
          <w:trHeight w:val="57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白桦路分车带绿化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772</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772</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99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百日红中路绿化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7234</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7234</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975"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茶花街绿化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1159</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1159</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99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牡丹街绿化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1259</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1259</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1124"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栀子街绿化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3940</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3940</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971"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海棠路绿化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13735</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13735</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714"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大安园路绿化 </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40453</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40453</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838"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锦江大道（成龙路-锦阳大道口）绿化分车带</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4565</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4435</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130</w:t>
            </w:r>
          </w:p>
        </w:tc>
      </w:tr>
      <w:tr>
        <w:tblPrEx>
          <w:tblLayout w:type="fixed"/>
          <w:tblCellMar>
            <w:top w:w="0" w:type="dxa"/>
            <w:left w:w="108" w:type="dxa"/>
            <w:bottom w:w="0" w:type="dxa"/>
            <w:right w:w="108" w:type="dxa"/>
          </w:tblCellMar>
        </w:tblPrEx>
        <w:trPr>
          <w:trHeight w:val="645"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银杏大道绿化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28800</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28800</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93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成龙路北侧绿化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41057</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41057</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57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三圣街办门口及周边绿地</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3600</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3600</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72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成龙路与绕城互通立交绿化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16817</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16817</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439"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世纪劳模林</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2341</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2341</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969"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 美林湾（锦江大道）路边公共绿地  </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2942</w:t>
            </w:r>
          </w:p>
        </w:tc>
        <w:tc>
          <w:tcPr>
            <w:tcW w:w="914" w:type="dxa"/>
            <w:tcBorders>
              <w:top w:val="nil"/>
              <w:left w:val="nil"/>
              <w:bottom w:val="nil"/>
              <w:right w:val="nil"/>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2942</w:t>
            </w:r>
          </w:p>
        </w:tc>
        <w:tc>
          <w:tcPr>
            <w:tcW w:w="133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111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锦江区花博路沿线绿化提升打造 </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6659</w:t>
            </w:r>
          </w:p>
        </w:tc>
        <w:tc>
          <w:tcPr>
            <w:tcW w:w="91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6659</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126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美林湾公建配套绿地(2014.7.25)新增未纳入2014-2015管护合同，纳入2014-2015补充协议内）</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3550</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3550</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99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海棠路与杨树街小游园 </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1600</w:t>
            </w:r>
          </w:p>
        </w:tc>
        <w:tc>
          <w:tcPr>
            <w:tcW w:w="914" w:type="dxa"/>
            <w:tcBorders>
              <w:top w:val="nil"/>
              <w:left w:val="nil"/>
              <w:bottom w:val="nil"/>
              <w:right w:val="nil"/>
            </w:tcBorders>
            <w:vAlign w:val="center"/>
          </w:tcPr>
          <w:p>
            <w:pPr>
              <w:widowControl/>
              <w:jc w:val="center"/>
              <w:rPr>
                <w:rFonts w:ascii="宋体" w:hAnsi="宋体" w:cs="宋体"/>
                <w:color w:val="auto"/>
                <w:kern w:val="0"/>
                <w:szCs w:val="21"/>
                <w:highlight w:val="none"/>
              </w:rPr>
            </w:pPr>
          </w:p>
        </w:tc>
        <w:tc>
          <w:tcPr>
            <w:tcW w:w="133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1600</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1215"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三圣洪河片区栀子社区银木西街等3条路(月季街部分、银木西街、榆钱街）2017年8月1日移交标段</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840</w:t>
            </w:r>
          </w:p>
        </w:tc>
        <w:tc>
          <w:tcPr>
            <w:tcW w:w="91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840</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699"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杨树街路边绿化带</w:t>
            </w:r>
          </w:p>
        </w:tc>
        <w:tc>
          <w:tcPr>
            <w:tcW w:w="1238" w:type="dxa"/>
            <w:tcBorders>
              <w:top w:val="nil"/>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1575</w:t>
            </w:r>
          </w:p>
        </w:tc>
        <w:tc>
          <w:tcPr>
            <w:tcW w:w="914" w:type="dxa"/>
            <w:tcBorders>
              <w:top w:val="nil"/>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1575</w:t>
            </w:r>
          </w:p>
        </w:tc>
        <w:tc>
          <w:tcPr>
            <w:tcW w:w="1336" w:type="dxa"/>
            <w:tcBorders>
              <w:top w:val="nil"/>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709"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栀子花西街绿化及绿化带</w:t>
            </w:r>
          </w:p>
        </w:tc>
        <w:tc>
          <w:tcPr>
            <w:tcW w:w="12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377</w:t>
            </w:r>
          </w:p>
        </w:tc>
        <w:tc>
          <w:tcPr>
            <w:tcW w:w="91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377</w:t>
            </w:r>
          </w:p>
        </w:tc>
        <w:tc>
          <w:tcPr>
            <w:tcW w:w="133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945"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椿树街与琼花街、杨树街-银杏大道段、茶花街-牡丹街段南侧、牡丹街-海棠路段、银木街-杨树街段、栀子街-成龙大道段 </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32952</w:t>
            </w:r>
          </w:p>
        </w:tc>
        <w:tc>
          <w:tcPr>
            <w:tcW w:w="9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32952</w:t>
            </w: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465"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海棠路与杨树街小游园 </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1600</w:t>
            </w:r>
          </w:p>
        </w:tc>
        <w:tc>
          <w:tcPr>
            <w:tcW w:w="9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1600</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555"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区建交局移交清运中心绿地</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650</w:t>
            </w:r>
          </w:p>
        </w:tc>
        <w:tc>
          <w:tcPr>
            <w:tcW w:w="9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650</w:t>
            </w: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645"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茶花街、杨树街小游园（龙湖天璞）</w:t>
            </w:r>
          </w:p>
        </w:tc>
        <w:tc>
          <w:tcPr>
            <w:tcW w:w="12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5712</w:t>
            </w:r>
          </w:p>
        </w:tc>
        <w:tc>
          <w:tcPr>
            <w:tcW w:w="91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336" w:type="dxa"/>
            <w:tcBorders>
              <w:top w:val="single" w:color="auto" w:sz="4" w:space="0"/>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5712</w:t>
            </w:r>
          </w:p>
        </w:tc>
        <w:tc>
          <w:tcPr>
            <w:tcW w:w="941" w:type="dxa"/>
            <w:tcBorders>
              <w:top w:val="single" w:color="auto" w:sz="4" w:space="0"/>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27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27</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成龙大道北侧绿地</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9864.3</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336" w:type="dxa"/>
            <w:tcBorders>
              <w:top w:val="single" w:color="auto" w:sz="4" w:space="0"/>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9864.3</w:t>
            </w:r>
          </w:p>
        </w:tc>
        <w:tc>
          <w:tcPr>
            <w:tcW w:w="941" w:type="dxa"/>
            <w:tcBorders>
              <w:top w:val="single" w:color="auto" w:sz="4" w:space="0"/>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27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椿树街西侧绿地</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6761.61</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336" w:type="dxa"/>
            <w:tcBorders>
              <w:top w:val="single" w:color="auto" w:sz="4" w:space="0"/>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6761.61</w:t>
            </w:r>
          </w:p>
        </w:tc>
        <w:tc>
          <w:tcPr>
            <w:tcW w:w="941" w:type="dxa"/>
            <w:tcBorders>
              <w:top w:val="single" w:color="auto" w:sz="4" w:space="0"/>
              <w:left w:val="nil"/>
              <w:bottom w:val="nil"/>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27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29</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茶花街南侧绿地</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10519.41</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33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10519.41</w:t>
            </w:r>
          </w:p>
        </w:tc>
        <w:tc>
          <w:tcPr>
            <w:tcW w:w="94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48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锦江大道东侧绿化（和祥瑞苑外）</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2248</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2248</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48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w:t>
            </w:r>
          </w:p>
        </w:tc>
        <w:tc>
          <w:tcPr>
            <w:tcW w:w="2363" w:type="dxa"/>
            <w:tcBorders>
              <w:top w:val="nil"/>
              <w:left w:val="nil"/>
              <w:bottom w:val="single" w:color="auto" w:sz="4" w:space="0"/>
              <w:right w:val="single" w:color="auto" w:sz="4" w:space="0"/>
            </w:tcBorders>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海棠路北侧锦江城市花园二期绿地</w:t>
            </w:r>
          </w:p>
        </w:tc>
        <w:tc>
          <w:tcPr>
            <w:tcW w:w="1238"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12259</w:t>
            </w:r>
          </w:p>
        </w:tc>
        <w:tc>
          <w:tcPr>
            <w:tcW w:w="914"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12259</w:t>
            </w:r>
          </w:p>
        </w:tc>
        <w:tc>
          <w:tcPr>
            <w:tcW w:w="133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4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Layout w:type="fixed"/>
          <w:tblCellMar>
            <w:top w:w="0" w:type="dxa"/>
            <w:left w:w="108" w:type="dxa"/>
            <w:bottom w:w="0" w:type="dxa"/>
            <w:right w:w="108" w:type="dxa"/>
          </w:tblCellMar>
        </w:tblPrEx>
        <w:trPr>
          <w:trHeight w:val="480" w:hRule="atLeast"/>
        </w:trPr>
        <w:tc>
          <w:tcPr>
            <w:tcW w:w="294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合计</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370497.32</w:t>
            </w:r>
          </w:p>
        </w:tc>
        <w:tc>
          <w:tcPr>
            <w:tcW w:w="91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334150</w:t>
            </w: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36057.32</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290</w:t>
            </w:r>
          </w:p>
        </w:tc>
      </w:tr>
    </w:tbl>
    <w:p>
      <w:pPr>
        <w:autoSpaceDE w:val="0"/>
        <w:autoSpaceDN w:val="0"/>
        <w:adjustRightInd w:val="0"/>
        <w:jc w:val="left"/>
        <w:rPr>
          <w:rFonts w:ascii="宋体" w:hAnsi="Times New Roman" w:cs="宋体"/>
          <w:color w:val="auto"/>
          <w:kern w:val="0"/>
          <w:sz w:val="24"/>
          <w:szCs w:val="24"/>
          <w:highlight w:val="none"/>
          <w:lang w:bidi="ar"/>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rFonts w:hint="eastAsia"/>
          <w:b/>
          <w:color w:val="auto"/>
          <w:sz w:val="28"/>
          <w:szCs w:val="28"/>
          <w:highlight w:val="none"/>
        </w:rPr>
      </w:pPr>
    </w:p>
    <w:p>
      <w:pPr>
        <w:spacing w:line="360" w:lineRule="auto"/>
        <w:rPr>
          <w:b/>
          <w:color w:val="auto"/>
          <w:sz w:val="28"/>
          <w:szCs w:val="28"/>
          <w:highlight w:val="none"/>
        </w:rPr>
      </w:pPr>
      <w:r>
        <w:rPr>
          <w:rFonts w:hint="eastAsia"/>
          <w:b/>
          <w:color w:val="auto"/>
          <w:sz w:val="28"/>
          <w:szCs w:val="28"/>
          <w:highlight w:val="none"/>
        </w:rPr>
        <w:t>（三）河道管护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河床面积123984平方米，河道栏杆长度2112米，河道绿化面积116028平方米。</w:t>
      </w: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（四）设施设备需求数量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5辆；洒水车（核定载质量≥8吨）5辆；多功能洗扫车（核定载质量≥4吨）3辆；雾炮车（核定载质量≥5吨）1辆；护栏清洗车（核定载质量≥3吨）1辆；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收集车15辆；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val="en-US" w:eastAsia="zh-CN" w:bidi="ar"/>
        </w:rPr>
        <w:t>25</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13辆；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w:t>
      </w:r>
      <w:r>
        <w:rPr>
          <w:rFonts w:hint="eastAsia" w:ascii="宋体" w:hAnsi="宋体" w:eastAsia="宋体" w:cs="Times New Roman"/>
          <w:color w:val="auto"/>
          <w:szCs w:val="21"/>
          <w:highlight w:val="none"/>
          <w:lang w:eastAsia="zh-CN"/>
        </w:rPr>
        <w:t>小型分类收集车</w:t>
      </w:r>
      <w:r>
        <w:rPr>
          <w:rFonts w:hint="eastAsia" w:ascii="宋体" w:hAnsi="宋体" w:cs="Times New Roman"/>
          <w:color w:val="auto"/>
          <w:szCs w:val="21"/>
          <w:highlight w:val="none"/>
          <w:lang w:val="en-US" w:eastAsia="zh-CN"/>
        </w:rPr>
        <w:t>5辆</w:t>
      </w:r>
      <w:r>
        <w:rPr>
          <w:rFonts w:hint="eastAsia" w:ascii="宋体" w:hAnsi="宋体"/>
          <w:color w:val="auto"/>
          <w:kern w:val="0"/>
          <w:sz w:val="24"/>
          <w:szCs w:val="24"/>
          <w:highlight w:val="none"/>
          <w:lang w:bidi="ar"/>
        </w:rPr>
        <w:t>。</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3. 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需配备河道打捞的基本设施及器具。</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（五）人员数量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1人，环卫工人220人，绿化管护工人30人，环卫公厕管护工人数量按实际数量配备（定时环卫公厕1人，24小时环卫公厕2人），河道管护工人23人；驾驶人员不做具体要求，根据车辆数量配备。</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狮子山街道办事处：</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hint="eastAsia" w:ascii="宋体" w:hAnsi="宋体"/>
          <w:color w:val="auto"/>
          <w:kern w:val="0"/>
          <w:sz w:val="24"/>
          <w:szCs w:val="24"/>
          <w:highlight w:val="none"/>
          <w:lang w:bidi="ar"/>
        </w:rPr>
      </w:pPr>
      <w:r>
        <w:rPr>
          <w:rFonts w:hint="eastAsia" w:ascii="宋体" w:hAnsi="宋体"/>
          <w:color w:val="auto"/>
          <w:kern w:val="0"/>
          <w:sz w:val="24"/>
          <w:szCs w:val="24"/>
          <w:highlight w:val="none"/>
          <w:lang w:bidi="ar"/>
        </w:rPr>
        <w:t>环卫保洁：</w:t>
      </w:r>
      <w:r>
        <w:rPr>
          <w:rFonts w:ascii="宋体" w:hAnsi="宋体"/>
          <w:color w:val="auto"/>
          <w:kern w:val="0"/>
          <w:sz w:val="24"/>
          <w:szCs w:val="24"/>
          <w:highlight w:val="none"/>
          <w:lang w:bidi="ar"/>
        </w:rPr>
        <w:t>道路清扫保洁面积687530㎡</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val="en-US" w:eastAsia="zh-CN" w:bidi="ar"/>
        </w:rPr>
        <w:t>其中一级道路保洁面积258090</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val="en-US" w:eastAsia="zh-CN" w:bidi="ar"/>
        </w:rPr>
        <w:t>二级道路保洁面积395185</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val="en-US" w:eastAsia="zh-CN" w:bidi="ar"/>
        </w:rPr>
        <w:t>三级道路保洁面积34255</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；市管绿化保洁面积</w:t>
      </w:r>
      <w:r>
        <w:rPr>
          <w:rFonts w:ascii="宋体" w:hAnsi="宋体"/>
          <w:color w:val="auto"/>
          <w:kern w:val="0"/>
          <w:sz w:val="24"/>
          <w:szCs w:val="24"/>
          <w:highlight w:val="none"/>
          <w:lang w:bidi="ar"/>
        </w:rPr>
        <w:t>6700㎡</w:t>
      </w:r>
      <w:r>
        <w:rPr>
          <w:rFonts w:hint="eastAsia" w:ascii="宋体" w:hAnsi="宋体"/>
          <w:color w:val="auto"/>
          <w:kern w:val="0"/>
          <w:sz w:val="24"/>
          <w:szCs w:val="24"/>
          <w:highlight w:val="none"/>
          <w:lang w:bidi="ar"/>
        </w:rPr>
        <w:t>；其他垃圾日清运量4</w:t>
      </w:r>
      <w:r>
        <w:rPr>
          <w:rFonts w:ascii="宋体" w:hAnsi="宋体"/>
          <w:color w:val="auto"/>
          <w:kern w:val="0"/>
          <w:sz w:val="24"/>
          <w:szCs w:val="24"/>
          <w:highlight w:val="none"/>
          <w:lang w:bidi="ar"/>
        </w:rPr>
        <w:t>5</w:t>
      </w:r>
      <w:r>
        <w:rPr>
          <w:rFonts w:hint="eastAsia" w:ascii="宋体" w:hAnsi="宋体"/>
          <w:color w:val="auto"/>
          <w:kern w:val="0"/>
          <w:sz w:val="24"/>
          <w:szCs w:val="24"/>
          <w:highlight w:val="none"/>
          <w:lang w:bidi="ar"/>
        </w:rPr>
        <w:t>吨；厨余垃圾日清运量5吨。</w:t>
      </w:r>
    </w:p>
    <w:p>
      <w:pPr>
        <w:pStyle w:val="2"/>
        <w:jc w:val="center"/>
        <w:rPr>
          <w:rFonts w:hint="default" w:ascii="宋体" w:hAnsi="宋体" w:eastAsia="宋体" w:cs="Times New Roman"/>
          <w:b/>
          <w:bCs/>
          <w:color w:val="auto"/>
          <w:kern w:val="0"/>
          <w:sz w:val="24"/>
          <w:szCs w:val="24"/>
          <w:highlight w:val="none"/>
          <w:lang w:val="en-US" w:eastAsia="zh-CN" w:bidi="ar"/>
        </w:rPr>
      </w:pPr>
      <w:r>
        <w:rPr>
          <w:rFonts w:hint="eastAsia" w:ascii="宋体" w:hAnsi="宋体" w:eastAsia="宋体" w:cs="Times New Roman"/>
          <w:b/>
          <w:bCs/>
          <w:color w:val="auto"/>
          <w:kern w:val="0"/>
          <w:sz w:val="24"/>
          <w:szCs w:val="24"/>
          <w:highlight w:val="none"/>
          <w:lang w:val="en-US" w:eastAsia="zh-CN" w:bidi="ar"/>
        </w:rPr>
        <w:t>道路明细表</w:t>
      </w:r>
    </w:p>
    <w:tbl>
      <w:tblPr>
        <w:tblStyle w:val="59"/>
        <w:tblpPr w:leftFromText="180" w:rightFromText="180" w:vertAnchor="text" w:horzAnchor="page" w:tblpX="1760" w:tblpY="198"/>
        <w:tblOverlap w:val="never"/>
        <w:tblW w:w="8519" w:type="dxa"/>
        <w:tblInd w:w="0" w:type="dxa"/>
        <w:tblLayout w:type="fixed"/>
        <w:tblCellMar>
          <w:top w:w="0" w:type="dxa"/>
          <w:left w:w="0" w:type="dxa"/>
          <w:bottom w:w="0" w:type="dxa"/>
          <w:right w:w="0" w:type="dxa"/>
        </w:tblCellMar>
      </w:tblPr>
      <w:tblGrid>
        <w:gridCol w:w="944"/>
        <w:gridCol w:w="1795"/>
        <w:gridCol w:w="4150"/>
        <w:gridCol w:w="1630"/>
      </w:tblGrid>
      <w:tr>
        <w:tblPrEx>
          <w:tblLayout w:type="fixed"/>
          <w:tblCellMar>
            <w:top w:w="0" w:type="dxa"/>
            <w:left w:w="0" w:type="dxa"/>
            <w:bottom w:w="0" w:type="dxa"/>
            <w:right w:w="0" w:type="dxa"/>
          </w:tblCellMar>
        </w:tblPrEx>
        <w:trPr>
          <w:trHeight w:val="312" w:hRule="atLeast"/>
        </w:trPr>
        <w:tc>
          <w:tcPr>
            <w:tcW w:w="94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79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街道名称</w:t>
            </w:r>
          </w:p>
        </w:tc>
        <w:tc>
          <w:tcPr>
            <w:tcW w:w="41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起止点</w:t>
            </w:r>
          </w:p>
        </w:tc>
        <w:tc>
          <w:tcPr>
            <w:tcW w:w="163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道路类型</w:t>
            </w:r>
          </w:p>
        </w:tc>
      </w:tr>
      <w:tr>
        <w:tblPrEx>
          <w:tblLayout w:type="fixed"/>
          <w:tblCellMar>
            <w:top w:w="0" w:type="dxa"/>
            <w:left w:w="0" w:type="dxa"/>
            <w:bottom w:w="0" w:type="dxa"/>
            <w:right w:w="0" w:type="dxa"/>
          </w:tblCellMar>
        </w:tblPrEx>
        <w:trPr>
          <w:trHeight w:val="312" w:hRule="atLeast"/>
        </w:trPr>
        <w:tc>
          <w:tcPr>
            <w:tcW w:w="9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79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41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6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十字路口--学校门口人行道</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十字路口--学校门口车行道</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铁路桥---农科院实验田</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成渝路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老成渝路口---生活区</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种子公司-铁路桥头</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老成渝路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种子公司-川师北门</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老成渝路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川师北门-铁路桥头</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静嘉路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静平路观音桥交界口-龙兴大道消防队口子</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锦绣大道二段</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经天东路-成龙路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成龙路B</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铁路桥（含半桥）-沙河桥</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Layout w:type="fixed"/>
          <w:tblCellMar>
            <w:top w:w="0" w:type="dxa"/>
            <w:left w:w="0" w:type="dxa"/>
            <w:bottom w:w="0" w:type="dxa"/>
            <w:right w:w="0" w:type="dxa"/>
          </w:tblCellMar>
        </w:tblPrEx>
        <w:trPr>
          <w:trHeight w:val="448"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静缘路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成龙大道-静嘉路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北大门(硬化路面)(车行道)</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北大门(硬化路面)(东面)</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小学路口---李劼人故居</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小学路口---北大门</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静渝路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成龙路-老成渝路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机场路东沿线</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成龙路路-老成渝路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菱窠路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老成渝路-劼人路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川师北大门-老成渝路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菱安路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川师成教院后门-成龙路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菱窠路南延线</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劼人路-机场东沿线</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佳宏路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劼人路-机场东沿线</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佳宏南路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佳宏路—机场东沿线</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佳宏北路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佳宏路—老成渝路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佳宏南横街</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佳宏南路—机场东沿线</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花园街</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成龙路—川师西环线</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静明路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机场路下穿隧道</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铁路沿线</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46中—成龙路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静远路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静渝路—5号公路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静沙南路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老成渝路—静远路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机场路跨线桥</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Cs w:val="21"/>
                <w:highlight w:val="none"/>
              </w:rPr>
            </w:pP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渠江路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机场路东延线—铁路隧道</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小雅路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菱窠路-老成渝路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明珠园通道</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菱窠路-明珠园</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河边道路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成教院--川师北大门</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河边道路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原教仪厂--川师北大门</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长倪路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成龙路口-雅郡后门口</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雅郡小区道路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成龙路-小区后方</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狮子山路</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农科院-成龙路</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狮子山支路（含观音桥）</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狮子山路-生核所</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Layout w:type="fixed"/>
          <w:tblCellMar>
            <w:top w:w="0" w:type="dxa"/>
            <w:left w:w="0" w:type="dxa"/>
            <w:bottom w:w="0" w:type="dxa"/>
            <w:right w:w="0" w:type="dxa"/>
          </w:tblCellMar>
        </w:tblPrEx>
        <w:trPr>
          <w:trHeight w:val="460" w:hRule="atLeast"/>
        </w:trPr>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1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川师附中小道</w:t>
            </w:r>
          </w:p>
        </w:tc>
        <w:tc>
          <w:tcPr>
            <w:tcW w:w="4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成龙路口-川师附中右侧小道</w:t>
            </w:r>
          </w:p>
        </w:tc>
        <w:tc>
          <w:tcPr>
            <w:tcW w:w="1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bl>
    <w:p>
      <w:pPr>
        <w:autoSpaceDE w:val="0"/>
        <w:autoSpaceDN w:val="0"/>
        <w:adjustRightInd w:val="0"/>
        <w:jc w:val="left"/>
        <w:rPr>
          <w:rFonts w:ascii="宋体" w:hAnsi="宋体" w:cs="宋体"/>
          <w:color w:val="auto"/>
          <w:kern w:val="0"/>
          <w:sz w:val="24"/>
          <w:szCs w:val="24"/>
          <w:highlight w:val="none"/>
          <w:lang w:bidi="ar"/>
        </w:rPr>
      </w:pPr>
    </w:p>
    <w:p>
      <w:pPr>
        <w:autoSpaceDE w:val="0"/>
        <w:autoSpaceDN w:val="0"/>
        <w:adjustRightInd w:val="0"/>
        <w:jc w:val="left"/>
        <w:rPr>
          <w:rFonts w:ascii="宋体" w:hAnsi="宋体" w:cs="宋体"/>
          <w:color w:val="auto"/>
          <w:kern w:val="0"/>
          <w:sz w:val="24"/>
          <w:szCs w:val="24"/>
          <w:highlight w:val="none"/>
          <w:lang w:bidi="ar"/>
        </w:rPr>
      </w:pP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环卫公厕：24小时公厕3座（沙河左岸公厕、锦江国际花园1号公厕、锦江国际花园2号公厕）；定时开放公厕7座（华润凯旋天地公厕、花园街公厕、菱窠路与中环路交界处公厕、嘉和园公厕、金象寺社区公厕、静远路公厕、菱窠路公厕）。</w:t>
      </w:r>
    </w:p>
    <w:p>
      <w:pPr>
        <w:numPr>
          <w:ilvl w:val="0"/>
          <w:numId w:val="42"/>
        </w:numPr>
        <w:spacing w:line="360" w:lineRule="auto"/>
        <w:ind w:left="0" w:leftChars="0" w:firstLine="0" w:firstLineChars="0"/>
        <w:rPr>
          <w:rFonts w:hint="eastAsia"/>
          <w:b/>
          <w:color w:val="auto"/>
          <w:sz w:val="28"/>
          <w:szCs w:val="28"/>
          <w:highlight w:val="none"/>
        </w:rPr>
      </w:pPr>
      <w:r>
        <w:rPr>
          <w:rFonts w:hint="eastAsia"/>
          <w:b/>
          <w:color w:val="auto"/>
          <w:sz w:val="28"/>
          <w:szCs w:val="28"/>
          <w:highlight w:val="none"/>
        </w:rPr>
        <w:t>园林绿化</w:t>
      </w:r>
    </w:p>
    <w:p>
      <w:pPr>
        <w:numPr>
          <w:ilvl w:val="0"/>
          <w:numId w:val="0"/>
        </w:numPr>
        <w:spacing w:line="360" w:lineRule="auto"/>
        <w:ind w:leftChars="0"/>
        <w:rPr>
          <w:color w:val="auto"/>
          <w:highlight w:val="none"/>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110599㎡</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广场游园面积38061㎡</w:t>
      </w:r>
      <w:r>
        <w:rPr>
          <w:rFonts w:hint="eastAsia" w:ascii="宋体" w:hAnsi="宋体"/>
          <w:color w:val="auto"/>
          <w:kern w:val="0"/>
          <w:sz w:val="24"/>
          <w:szCs w:val="24"/>
          <w:highlight w:val="none"/>
          <w:lang w:bidi="ar"/>
        </w:rPr>
        <w:t>。</w:t>
      </w:r>
    </w:p>
    <w:tbl>
      <w:tblPr>
        <w:tblStyle w:val="59"/>
        <w:tblpPr w:leftFromText="180" w:rightFromText="180" w:vertAnchor="text" w:horzAnchor="page" w:tblpX="1526" w:tblpY="565"/>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81"/>
        <w:gridCol w:w="1215"/>
        <w:gridCol w:w="1787"/>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20"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2581"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5388" w:type="dxa"/>
            <w:gridSpan w:val="3"/>
            <w:vAlign w:val="center"/>
          </w:tcPr>
          <w:p>
            <w:pPr>
              <w:widowControl/>
              <w:jc w:val="center"/>
              <w:rPr>
                <w:rFonts w:hint="eastAsia"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招标面积（㎡）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20"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2581"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1215"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lang w:eastAsia="zh-CN"/>
              </w:rPr>
              <w:t>小计</w:t>
            </w:r>
            <w:r>
              <w:rPr>
                <w:rFonts w:hint="eastAsia" w:ascii="华文黑体" w:hAnsi="宋体" w:eastAsia="华文黑体" w:cs="宋体"/>
                <w:b/>
                <w:bCs/>
                <w:color w:val="auto"/>
                <w:kern w:val="0"/>
                <w:sz w:val="24"/>
                <w:szCs w:val="24"/>
                <w:highlight w:val="none"/>
              </w:rPr>
              <w:t>（㎡）</w:t>
            </w:r>
          </w:p>
        </w:tc>
        <w:tc>
          <w:tcPr>
            <w:tcW w:w="1787"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w:t>
            </w:r>
          </w:p>
        </w:tc>
        <w:tc>
          <w:tcPr>
            <w:tcW w:w="2386"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静康路加油站侧绿化</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210</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210</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老成渝路分车带绿化</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5561</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5561</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成龙路路边绿化带</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2721</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2721</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嘉和园一期广场</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100</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100</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嘉和园二期广场</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3100</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劼人路花台</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220</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220</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花园街沿线绿地</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13936</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13936</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581" w:type="dxa"/>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菱窠路、劼人路道路绿化</w:t>
            </w:r>
          </w:p>
        </w:tc>
        <w:tc>
          <w:tcPr>
            <w:tcW w:w="1215" w:type="dxa"/>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1390</w:t>
            </w:r>
          </w:p>
        </w:tc>
        <w:tc>
          <w:tcPr>
            <w:tcW w:w="1787"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1390</w:t>
            </w:r>
          </w:p>
        </w:tc>
        <w:tc>
          <w:tcPr>
            <w:tcW w:w="2386" w:type="dxa"/>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58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沙河一号绿地（2012.12新增）</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23534</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58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菱窠路南延线分车绿化带（2013.5新增）</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1000</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1000</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58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成都东客站绿化（2012.7新增）</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949</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949</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成龙路路边绿地（三环路内）（北侧）公共绿地。招标时采用3280平方米，三环路匝道建设扣除3025平方米</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3280</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3280</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2"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成龙路分车隔离带（两侧）</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2837</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2837</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258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成龙路小沙河游园 </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5600</w:t>
            </w:r>
          </w:p>
        </w:tc>
        <w:tc>
          <w:tcPr>
            <w:tcW w:w="1787" w:type="dxa"/>
            <w:vAlign w:val="center"/>
          </w:tcPr>
          <w:p>
            <w:pPr>
              <w:widowControl/>
              <w:jc w:val="left"/>
              <w:rPr>
                <w:rFonts w:ascii="宋体" w:hAnsi="宋体" w:cs="宋体"/>
                <w:color w:val="auto"/>
                <w:kern w:val="0"/>
                <w:szCs w:val="21"/>
                <w:highlight w:val="none"/>
              </w:rPr>
            </w:pP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9"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2581"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成龙路南侧公共绿地（雅郡居住区门口绿化带）（2014.8.26新增未纳入2014-2015管护合同，纳入2014-2015补充合同）</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8000</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8000</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成龙路路边绿地（三环路内）（南侧）公共绿地。 </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22314</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22314</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2.5环锦绣大道成龙路 -驿都大道</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27252</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27252</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2.5环锦绣大道经天东—成龙路</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19870</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19870</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川师西环线与成龙路交叉口公共绿地</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5827</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2581"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地铁7号线四川师大站绿地</w:t>
            </w:r>
          </w:p>
        </w:tc>
        <w:tc>
          <w:tcPr>
            <w:tcW w:w="1215" w:type="dxa"/>
            <w:vAlign w:val="center"/>
          </w:tcPr>
          <w:p>
            <w:pPr>
              <w:widowControl/>
              <w:jc w:val="right"/>
              <w:rPr>
                <w:rFonts w:ascii="宋体" w:hAnsi="宋体" w:cs="宋体"/>
                <w:color w:val="auto"/>
                <w:kern w:val="0"/>
                <w:szCs w:val="21"/>
                <w:highlight w:val="none"/>
              </w:rPr>
            </w:pPr>
            <w:r>
              <w:rPr>
                <w:rFonts w:hint="eastAsia" w:ascii="宋体" w:hAnsi="宋体" w:cs="宋体"/>
                <w:color w:val="auto"/>
                <w:kern w:val="0"/>
                <w:szCs w:val="21"/>
                <w:highlight w:val="none"/>
              </w:rPr>
              <w:t>959</w:t>
            </w:r>
          </w:p>
        </w:tc>
        <w:tc>
          <w:tcPr>
            <w:tcW w:w="178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959</w:t>
            </w:r>
          </w:p>
        </w:tc>
        <w:tc>
          <w:tcPr>
            <w:tcW w:w="2386"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301" w:type="dxa"/>
            <w:gridSpan w:val="2"/>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合计</w:t>
            </w:r>
          </w:p>
        </w:tc>
        <w:tc>
          <w:tcPr>
            <w:tcW w:w="1215" w:type="dxa"/>
            <w:vAlign w:val="center"/>
          </w:tcPr>
          <w:p>
            <w:pPr>
              <w:widowControl/>
              <w:jc w:val="righ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148660</w:t>
            </w:r>
          </w:p>
        </w:tc>
        <w:tc>
          <w:tcPr>
            <w:tcW w:w="1787"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110599</w:t>
            </w:r>
          </w:p>
        </w:tc>
        <w:tc>
          <w:tcPr>
            <w:tcW w:w="2386"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38061</w:t>
            </w:r>
          </w:p>
        </w:tc>
      </w:tr>
    </w:tbl>
    <w:p>
      <w:pPr>
        <w:autoSpaceDE w:val="0"/>
        <w:autoSpaceDN w:val="0"/>
        <w:adjustRightInd w:val="0"/>
        <w:jc w:val="left"/>
        <w:rPr>
          <w:b/>
          <w:color w:val="auto"/>
          <w:sz w:val="28"/>
          <w:szCs w:val="28"/>
          <w:highlight w:val="none"/>
        </w:rPr>
      </w:pPr>
      <w:r>
        <w:rPr>
          <w:rFonts w:hint="eastAsia"/>
          <w:b/>
          <w:color w:val="auto"/>
          <w:sz w:val="28"/>
          <w:szCs w:val="28"/>
          <w:highlight w:val="none"/>
        </w:rPr>
        <w:t>（三）河道管护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河床面积20850平方米，河道栏杆长度2000米，河道绿化面积27800平方米。</w:t>
      </w: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（四）设施设备需求数量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3辆；洒水车（核定载质量≥8吨）3辆；多功能洗扫车（核定载质量≥4吨）4辆；雾炮车（核定载质量≥5吨）1辆；护栏清洗车（核定载质量≥3吨）1辆；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hint="eastAsia" w:ascii="宋体" w:hAnsi="宋体" w:eastAsia="宋体"/>
          <w:color w:val="auto"/>
          <w:kern w:val="0"/>
          <w:sz w:val="24"/>
          <w:szCs w:val="24"/>
          <w:highlight w:val="none"/>
          <w:lang w:eastAsia="zh-CN"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收集车15辆；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bidi="ar"/>
        </w:rPr>
        <w:t>1</w:t>
      </w:r>
      <w:r>
        <w:rPr>
          <w:rFonts w:hint="eastAsia" w:ascii="宋体" w:hAnsi="宋体"/>
          <w:color w:val="auto"/>
          <w:kern w:val="0"/>
          <w:sz w:val="24"/>
          <w:szCs w:val="24"/>
          <w:highlight w:val="none"/>
          <w:lang w:val="en-US" w:eastAsia="zh-CN" w:bidi="ar"/>
        </w:rPr>
        <w:t>4</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8辆；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w:t>
      </w:r>
      <w:r>
        <w:rPr>
          <w:rFonts w:hint="eastAsia" w:ascii="宋体" w:hAnsi="宋体" w:eastAsia="宋体" w:cs="Times New Roman"/>
          <w:color w:val="auto"/>
          <w:szCs w:val="21"/>
          <w:highlight w:val="none"/>
          <w:lang w:eastAsia="zh-CN"/>
        </w:rPr>
        <w:t>小型分类收集车</w:t>
      </w:r>
      <w:r>
        <w:rPr>
          <w:rFonts w:hint="eastAsia" w:ascii="宋体" w:hAnsi="宋体" w:cs="Times New Roman"/>
          <w:color w:val="auto"/>
          <w:szCs w:val="21"/>
          <w:highlight w:val="none"/>
          <w:lang w:val="en-US" w:eastAsia="zh-CN"/>
        </w:rPr>
        <w:t>5辆。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3. 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需配备河道打捞的基本设施及器具。</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（五）人员数量</w:t>
      </w:r>
    </w:p>
    <w:p>
      <w:pPr>
        <w:rPr>
          <w:rFonts w:ascii="宋体" w:hAnsi="宋体" w:cs="宋体"/>
          <w:bCs/>
          <w:color w:val="auto"/>
          <w:sz w:val="24"/>
          <w:szCs w:val="24"/>
          <w:highlight w:val="none"/>
        </w:rPr>
      </w:pPr>
      <w:r>
        <w:rPr>
          <w:rFonts w:hint="eastAsia" w:ascii="宋体" w:hAnsi="宋体" w:cs="宋体"/>
          <w:bCs/>
          <w:color w:val="auto"/>
          <w:sz w:val="24"/>
          <w:szCs w:val="24"/>
          <w:highlight w:val="none"/>
        </w:rPr>
        <w:t>项目经理1人，绿化管护项目负责人1人，绿化管护技术负责人1人，时令鲜花（含花镜）专职管理技术人员1人，辖区公厕质量管理人员1人，公厕维修维护人员1人，环卫工人142人，绿化管护工人30人，</w:t>
      </w:r>
      <w:r>
        <w:rPr>
          <w:rFonts w:hint="eastAsia" w:ascii="宋体" w:hAnsi="宋体"/>
          <w:color w:val="auto"/>
          <w:kern w:val="0"/>
          <w:sz w:val="24"/>
          <w:szCs w:val="24"/>
          <w:highlight w:val="none"/>
          <w:lang w:bidi="ar"/>
        </w:rPr>
        <w:t>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s="宋体"/>
          <w:bCs/>
          <w:color w:val="auto"/>
          <w:sz w:val="24"/>
          <w:szCs w:val="24"/>
          <w:highlight w:val="none"/>
        </w:rPr>
        <w:t>河道管护工人6人；驾驶人员不做具体要求，根据车辆数量配备。</w:t>
      </w:r>
    </w:p>
    <w:p>
      <w:pPr>
        <w:spacing w:line="360" w:lineRule="auto"/>
        <w:rPr>
          <w:rFonts w:ascii="Times New Roman" w:hAnsi="Times New Roman"/>
          <w:b/>
          <w:color w:val="auto"/>
          <w:sz w:val="24"/>
          <w:szCs w:val="24"/>
          <w:highlight w:val="none"/>
        </w:rPr>
      </w:pPr>
      <w:r>
        <w:rPr>
          <w:rFonts w:hint="eastAsia" w:ascii="Times New Roman" w:hAnsi="Times New Roman"/>
          <w:b/>
          <w:color w:val="auto"/>
          <w:sz w:val="24"/>
          <w:szCs w:val="24"/>
          <w:highlight w:val="none"/>
        </w:rPr>
        <w:t>四、</w:t>
      </w:r>
      <w:r>
        <w:rPr>
          <w:rFonts w:hint="eastAsia"/>
          <w:b/>
          <w:color w:val="auto"/>
          <w:sz w:val="28"/>
          <w:szCs w:val="28"/>
          <w:highlight w:val="none"/>
        </w:rPr>
        <w:t>★商务要求</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1、项目服务期限为3年（2022年1月1日至2024年12月31日），合同一年一签。</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2、采购预算：三圣街道办事处</w:t>
      </w:r>
      <w:r>
        <w:rPr>
          <w:rFonts w:ascii="宋体" w:hAnsi="宋体" w:cs="宋体"/>
          <w:bCs/>
          <w:color w:val="auto"/>
          <w:sz w:val="24"/>
          <w:szCs w:val="24"/>
          <w:highlight w:val="none"/>
        </w:rPr>
        <w:t>2160.68</w:t>
      </w:r>
      <w:r>
        <w:rPr>
          <w:rFonts w:hint="eastAsia" w:ascii="宋体" w:hAnsi="宋体" w:cs="宋体"/>
          <w:bCs/>
          <w:color w:val="auto"/>
          <w:sz w:val="24"/>
          <w:szCs w:val="24"/>
          <w:highlight w:val="none"/>
        </w:rPr>
        <w:t>万元/年、狮子山街道办事处</w:t>
      </w:r>
      <w:r>
        <w:rPr>
          <w:rFonts w:ascii="宋体" w:hAnsi="宋体" w:cs="宋体"/>
          <w:bCs/>
          <w:color w:val="auto"/>
          <w:sz w:val="24"/>
          <w:szCs w:val="24"/>
          <w:highlight w:val="none"/>
        </w:rPr>
        <w:t>1138.58</w:t>
      </w:r>
      <w:r>
        <w:rPr>
          <w:rFonts w:hint="eastAsia" w:ascii="宋体" w:hAnsi="宋体" w:cs="宋体"/>
          <w:bCs/>
          <w:color w:val="auto"/>
          <w:sz w:val="24"/>
          <w:szCs w:val="24"/>
          <w:highlight w:val="none"/>
        </w:rPr>
        <w:t>万元/年；合计：</w:t>
      </w:r>
      <w:r>
        <w:rPr>
          <w:rFonts w:ascii="宋体" w:hAnsi="宋体" w:cs="宋体"/>
          <w:bCs/>
          <w:color w:val="auto"/>
          <w:sz w:val="24"/>
          <w:szCs w:val="24"/>
          <w:highlight w:val="none"/>
        </w:rPr>
        <w:t>3299.26</w:t>
      </w:r>
      <w:r>
        <w:rPr>
          <w:rFonts w:hint="eastAsia" w:ascii="宋体" w:hAnsi="宋体" w:cs="宋体"/>
          <w:bCs/>
          <w:color w:val="auto"/>
          <w:sz w:val="24"/>
          <w:szCs w:val="24"/>
          <w:highlight w:val="none"/>
        </w:rPr>
        <w:t>万元/年；</w:t>
      </w:r>
      <w:r>
        <w:rPr>
          <w:rFonts w:hint="eastAsia" w:ascii="宋体" w:hAnsi="宋体" w:cs="宋体"/>
          <w:b/>
          <w:bCs/>
          <w:color w:val="auto"/>
          <w:sz w:val="24"/>
          <w:szCs w:val="24"/>
          <w:highlight w:val="none"/>
        </w:rPr>
        <w:t>（每个街道办事处应分别报价，且报价不超过该街道办事处的采购预算。）</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3、服务地点：三圣街道办事处、狮子山街道办事处管辖区域。</w:t>
      </w:r>
    </w:p>
    <w:p>
      <w:pPr>
        <w:spacing w:line="360" w:lineRule="auto"/>
        <w:ind w:firstLine="480" w:firstLineChars="200"/>
        <w:rPr>
          <w:rFonts w:ascii="宋体" w:hAnsi="宋体" w:cs="宋体"/>
          <w:b/>
          <w:bCs/>
          <w:color w:val="auto"/>
          <w:sz w:val="24"/>
          <w:szCs w:val="24"/>
          <w:highlight w:val="none"/>
        </w:rPr>
      </w:pPr>
      <w:r>
        <w:rPr>
          <w:rFonts w:hint="eastAsia" w:ascii="宋体" w:hAnsi="宋体" w:cs="宋体"/>
          <w:bCs/>
          <w:color w:val="auto"/>
          <w:sz w:val="24"/>
          <w:szCs w:val="24"/>
          <w:highlight w:val="none"/>
        </w:rPr>
        <w:t>4、</w:t>
      </w:r>
      <w:r>
        <w:rPr>
          <w:rFonts w:hint="eastAsia" w:ascii="宋体" w:hAnsi="宋体" w:cs="宋体"/>
          <w:color w:val="auto"/>
          <w:sz w:val="24"/>
          <w:szCs w:val="24"/>
          <w:highlight w:val="none"/>
        </w:rPr>
        <w:t>报价要求：所有报价一律以人民币报价。采购人不接受任何非人民币币种的报价。投标人的报价是其响应本项目要求的全部工作内容的价格体现，采购人将不再支付其他额外费用。</w:t>
      </w:r>
    </w:p>
    <w:p>
      <w:pPr>
        <w:pStyle w:val="61"/>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5.结算时间及结算方式：</w:t>
      </w:r>
      <w:r>
        <w:rPr>
          <w:rFonts w:hint="default" w:ascii="宋体" w:hAnsi="宋体" w:eastAsia="宋体" w:cs="宋体"/>
          <w:color w:val="auto"/>
          <w:sz w:val="24"/>
          <w:szCs w:val="24"/>
          <w:highlight w:val="none"/>
          <w:lang w:val="en-US" w:eastAsia="zh-CN"/>
        </w:rPr>
        <w:t>考核结果作为拨付经费的依据。（一）月实际拨付经费=月考核经费－日常巡查扣减经费。（二）月考核经费=月作业经费×A(考核得分）%。（三）月作业经费根据每月实际作业内容、作业面积和相应单价等确定</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结算时间：依据相应合同条款。</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6.履约验收：按《财政部关于进一步加强政府采购需求和履约验收管理的指导意见》（财库〔2016〕205号）的要求以及采购文件要求进行验收。</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7.考核方式：</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区综合执法局是全区环卫保洁、环卫公厕和河道管护的行政主管部门，以属地街道办事处一体化服务作业范围作为受考对象，参照相关文件要求</w:t>
      </w:r>
      <w:r>
        <w:rPr>
          <w:rFonts w:hint="eastAsia" w:ascii="宋体" w:hAnsi="宋体" w:cs="宋体"/>
          <w:color w:val="auto"/>
          <w:sz w:val="24"/>
          <w:szCs w:val="24"/>
          <w:highlight w:val="none"/>
          <w:lang w:eastAsia="zh-CN"/>
        </w:rPr>
        <w:t>进</w:t>
      </w:r>
      <w:r>
        <w:rPr>
          <w:rFonts w:hint="eastAsia" w:ascii="宋体" w:hAnsi="宋体" w:cs="宋体"/>
          <w:color w:val="auto"/>
          <w:sz w:val="24"/>
          <w:szCs w:val="24"/>
          <w:highlight w:val="none"/>
        </w:rPr>
        <w:t>行考核。</w:t>
      </w:r>
      <w:r>
        <w:rPr>
          <w:rFonts w:hint="eastAsia" w:ascii="宋体" w:hAnsi="宋体" w:cs="宋体"/>
          <w:color w:val="auto"/>
          <w:sz w:val="24"/>
          <w:szCs w:val="24"/>
          <w:highlight w:val="none"/>
          <w:lang w:eastAsia="zh-CN"/>
        </w:rPr>
        <w:t>详见《</w:t>
      </w:r>
      <w:r>
        <w:rPr>
          <w:rFonts w:hint="default" w:ascii="宋体" w:hAnsi="宋体" w:eastAsia="宋体" w:cs="宋体"/>
          <w:color w:val="auto"/>
          <w:sz w:val="24"/>
          <w:szCs w:val="24"/>
          <w:highlight w:val="none"/>
          <w:lang w:val="en-US" w:eastAsia="zh-CN"/>
        </w:rPr>
        <w:t>锦江区综合行政执法局2022-2024年锦江区环卫保洁、环卫公厕、绿化和河道管护一体化服务项目监督考核办法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spacing w:line="360" w:lineRule="auto"/>
        <w:rPr>
          <w:rFonts w:ascii="Times New Roman" w:hAnsi="Times New Roman"/>
          <w:b/>
          <w:color w:val="auto"/>
          <w:sz w:val="24"/>
          <w:szCs w:val="24"/>
          <w:highlight w:val="none"/>
        </w:rPr>
      </w:pPr>
      <w:r>
        <w:rPr>
          <w:rFonts w:hint="eastAsia" w:ascii="Times New Roman" w:hAnsi="Times New Roman"/>
          <w:b/>
          <w:color w:val="auto"/>
          <w:sz w:val="24"/>
          <w:szCs w:val="24"/>
          <w:highlight w:val="none"/>
        </w:rPr>
        <w:t>五、其他要求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1.管护期间，若有新增环卫保洁、环卫公厕、绿化内容，参照此轮招标相关经费标准计算管护费用，并由片区中标供应商负责管护。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机动车辆为中标供应商自有或租赁，租赁期限应覆盖服务期限。全区统一安装GPS</w:t>
      </w:r>
      <w:r>
        <w:rPr>
          <w:rFonts w:hint="eastAsia" w:ascii="宋体" w:hAnsi="宋体" w:cs="宋体"/>
          <w:color w:val="auto"/>
          <w:sz w:val="24"/>
          <w:szCs w:val="24"/>
          <w:highlight w:val="none"/>
        </w:rPr>
        <w:t>、实时监控，360度摄像头，实行动态跟踪管理。中标供应商配合区综合执法局和辖区街道办事处完成环卫固废智慧监管平台建设（实现视频实时可视、可回放、轨迹可追踪、</w:t>
      </w:r>
      <w:r>
        <w:rPr>
          <w:rFonts w:hint="eastAsia" w:ascii="宋体" w:hAnsi="宋体" w:cs="宋体"/>
          <w:color w:val="auto"/>
          <w:sz w:val="24"/>
          <w:szCs w:val="24"/>
          <w:highlight w:val="none"/>
          <w:lang w:eastAsia="zh-CN"/>
        </w:rPr>
        <w:t>数据可调用），所需经费由中标供应商承担。（提供承诺函）</w:t>
      </w:r>
    </w:p>
    <w:p>
      <w:pPr>
        <w:spacing w:line="360" w:lineRule="auto"/>
        <w:ind w:firstLine="480" w:firstLineChars="200"/>
        <w:rPr>
          <w:rFonts w:hint="eastAsia"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3.街道办事处现有四轮电动厨余垃圾收集车，提供给中标供应商使用，不收取任何费用，</w:t>
      </w:r>
      <w:r>
        <w:rPr>
          <w:rFonts w:hint="eastAsia" w:ascii="宋体" w:hAnsi="宋体" w:cs="宋体"/>
          <w:color w:val="auto"/>
          <w:sz w:val="24"/>
          <w:szCs w:val="24"/>
          <w:highlight w:val="none"/>
          <w:lang w:eastAsia="zh-CN"/>
        </w:rPr>
        <w:t>使用期内的日常运营、保险、安全、事故、毁损、被盗等全部责任均由中标供应商全权负责，服务期完后应在设施设备完好的前提下交还相应街道办事处应街道办事处</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4.中标供应商协助街道办事处负责做好新、老作业公司交接工作。妥善处置可能涉及公司、人员和经费等相关纠纷，做好善后工作，确保辖区社会稳定和作业平稳过渡。</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5.中标供应商按照《劳动合同法》、参照《成都市环卫工人健康安全关爱办法》等相应行业相关规定，落实工人的工资和福利待遇（包括：基础工资、岗位津贴、加班工资、社保（商保）、酷暑寒冬补助和劳保用品等）。服务期间如遇成都市工人最低工资标准刚性政策调整等增资情况，由中标供应商自行承担，不再另行申请资金。中标供应商每年至少组织一次本项目服务人员职业健康体检。</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6.投标人须同意“2022-2024年锦江区环卫保洁、环卫公厕、绿化和河道管护一体化服务项目监督考核办法”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cs="宋体"/>
          <w:color w:val="auto"/>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rPr>
      </w:pPr>
      <w:r>
        <w:rPr>
          <w:rFonts w:hint="eastAsia" w:ascii="宋体" w:hAnsi="宋体" w:cs="宋体"/>
          <w:color w:val="auto"/>
          <w:sz w:val="24"/>
          <w:szCs w:val="24"/>
          <w:lang w:val="en-US" w:eastAsia="zh-CN"/>
        </w:rPr>
        <w:t>7.中标供应商提供承诺函承诺：无特殊情况时，所有设施设备在中标通知书发出之日起25日内全部到位。在承诺时间内未全部到位又无特殊情况的，采购人有权取消其中标资格，并扣减履约保证金。★</w:t>
      </w:r>
    </w:p>
    <w:p>
      <w:pPr>
        <w:pStyle w:val="3"/>
        <w:rPr>
          <w:rFonts w:hint="eastAsia" w:ascii="宋体" w:hAnsi="宋体" w:cs="宋体"/>
          <w:color w:val="auto"/>
          <w:sz w:val="24"/>
          <w:szCs w:val="24"/>
          <w:highlight w:val="none"/>
          <w:lang w:val="en-US" w:eastAsia="zh-CN"/>
        </w:rPr>
      </w:pPr>
      <w:bookmarkStart w:id="251" w:name="_GoBack"/>
      <w:bookmarkEnd w:id="251"/>
    </w:p>
    <w:p>
      <w:pPr>
        <w:pStyle w:val="3"/>
        <w:rPr>
          <w:rFonts w:hint="eastAsia" w:ascii="宋体" w:hAnsi="宋体" w:cs="宋体"/>
          <w:color w:val="auto"/>
          <w:sz w:val="24"/>
          <w:szCs w:val="24"/>
          <w:highlight w:val="none"/>
          <w:lang w:val="en-US" w:eastAsia="zh-CN"/>
        </w:rPr>
      </w:pPr>
    </w:p>
    <w:p>
      <w:pPr>
        <w:pStyle w:val="3"/>
        <w:rPr>
          <w:rFonts w:hint="eastAsia" w:ascii="宋体" w:hAnsi="宋体" w:cs="宋体"/>
          <w:color w:val="auto"/>
          <w:sz w:val="24"/>
          <w:szCs w:val="24"/>
          <w:highlight w:val="none"/>
          <w:lang w:val="en-US" w:eastAsia="zh-CN"/>
        </w:rPr>
      </w:pPr>
    </w:p>
    <w:p>
      <w:pPr>
        <w:pStyle w:val="3"/>
        <w:rPr>
          <w:rFonts w:hint="eastAsia" w:ascii="宋体" w:hAnsi="宋体" w:cs="宋体"/>
          <w:color w:val="auto"/>
          <w:sz w:val="24"/>
          <w:szCs w:val="24"/>
          <w:highlight w:val="none"/>
          <w:lang w:val="en-US" w:eastAsia="zh-CN"/>
        </w:rPr>
      </w:pPr>
    </w:p>
    <w:p>
      <w:pP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lang w:eastAsia="zh-CN"/>
        </w:rPr>
        <w:t>包件6</w:t>
      </w:r>
      <w:r>
        <w:rPr>
          <w:rFonts w:hint="eastAsia" w:ascii="黑体" w:hAnsi="黑体" w:eastAsia="黑体" w:cs="黑体"/>
          <w:b/>
          <w:bCs/>
          <w:color w:val="auto"/>
          <w:sz w:val="36"/>
          <w:szCs w:val="36"/>
          <w:highlight w:val="none"/>
        </w:rPr>
        <w:t>：书院街街道办事处、柳江街道办事处</w:t>
      </w:r>
      <w:r>
        <w:rPr>
          <w:rFonts w:hint="eastAsia" w:ascii="黑体" w:hAnsi="黑体" w:eastAsia="黑体" w:cs="黑体"/>
          <w:b/>
          <w:bCs/>
          <w:color w:val="auto"/>
          <w:sz w:val="36"/>
          <w:szCs w:val="36"/>
          <w:highlight w:val="none"/>
          <w:lang w:val="zh-CN"/>
        </w:rPr>
        <w:t>管辖区域</w:t>
      </w:r>
    </w:p>
    <w:p>
      <w:pPr>
        <w:autoSpaceDE w:val="0"/>
        <w:autoSpaceDN w:val="0"/>
        <w:adjustRightInd w:val="0"/>
        <w:jc w:val="left"/>
        <w:rPr>
          <w:rFonts w:ascii="宋体" w:hAnsi="Times New Roman" w:cs="宋体"/>
          <w:color w:val="auto"/>
          <w:kern w:val="0"/>
          <w:sz w:val="24"/>
          <w:szCs w:val="24"/>
          <w:highlight w:val="none"/>
        </w:rPr>
      </w:pPr>
    </w:p>
    <w:p>
      <w:pPr>
        <w:numPr>
          <w:ilvl w:val="0"/>
          <w:numId w:val="40"/>
        </w:numPr>
        <w:rPr>
          <w:rFonts w:ascii="Times New Roman" w:hAnsi="Times New Roman"/>
          <w:b/>
          <w:color w:val="auto"/>
          <w:sz w:val="28"/>
          <w:szCs w:val="28"/>
          <w:highlight w:val="none"/>
        </w:rPr>
      </w:pPr>
      <w:r>
        <w:rPr>
          <w:rFonts w:hint="eastAsia" w:ascii="Times New Roman" w:hAnsi="Times New Roman"/>
          <w:b/>
          <w:color w:val="auto"/>
          <w:sz w:val="28"/>
          <w:szCs w:val="28"/>
          <w:highlight w:val="none"/>
        </w:rPr>
        <w:t>项目概况</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（一）成都市锦江区综合行政执法局2022—2024年环卫保洁、环卫公厕、绿化和河道管护一体化服务项目</w:t>
      </w:r>
      <w:r>
        <w:rPr>
          <w:rFonts w:hint="eastAsia" w:ascii="宋体" w:hAnsi="宋体" w:cs="宋体"/>
          <w:bCs/>
          <w:color w:val="auto"/>
          <w:sz w:val="24"/>
          <w:szCs w:val="24"/>
          <w:highlight w:val="none"/>
        </w:rPr>
        <w:t>，招标工作由区综合执法局作为业主负责统一招标，街道办事处作为综合管理单位负责与中标供应商签订合同。区综合执法局和街道办事处共同履行日常监督责任。</w:t>
      </w:r>
    </w:p>
    <w:p>
      <w:pPr>
        <w:spacing w:after="120"/>
        <w:rPr>
          <w:rFonts w:ascii="Times New Roman" w:hAnsi="Times New Roman"/>
          <w:b/>
          <w:color w:val="auto"/>
          <w:sz w:val="28"/>
          <w:szCs w:val="28"/>
          <w:highlight w:val="none"/>
        </w:rPr>
      </w:pPr>
      <w:r>
        <w:rPr>
          <w:rFonts w:hint="eastAsia" w:ascii="Times New Roman" w:hAnsi="Times New Roman"/>
          <w:b/>
          <w:color w:val="auto"/>
          <w:sz w:val="28"/>
          <w:szCs w:val="28"/>
          <w:highlight w:val="none"/>
        </w:rPr>
        <w:t>二、作业规范、标准及内容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（一）</w:t>
      </w:r>
      <w:r>
        <w:rPr>
          <w:rFonts w:ascii="宋体" w:hAnsi="宋体" w:cs="宋体"/>
          <w:bCs/>
          <w:color w:val="auto"/>
          <w:sz w:val="24"/>
          <w:szCs w:val="24"/>
          <w:highlight w:val="none"/>
        </w:rPr>
        <w:t xml:space="preserve"> 作业规范。</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rPr>
        <w:t>环卫保洁：按照成都市城市管理委员会《关于印发〈成都市环卫清扫保洁精细化监督管理办法〉的通知》（成城发〔2019〕48号）、《关于印发〈成都市环卫清扫保洁精细化作业规则〉的通知》（成城发〔2019〕47号）、《关于印发&lt;关于统一规范成都市环卫作业机动车、小型机具自编号及外观、涂装工作实施方案&gt;&lt;成都市环卫作业机动车、小型车自编号及外观、涂装原则&gt;的通知》《生活垃圾分类标准》（GB/T19095-2019）《成都市锦江区环境卫生监督管理办法》（锦综执【2019】70号）要求作业</w:t>
      </w:r>
      <w:r>
        <w:rPr>
          <w:rFonts w:ascii="宋体" w:hAnsi="宋体" w:cs="宋体"/>
          <w:bCs/>
          <w:color w:val="auto"/>
          <w:sz w:val="24"/>
          <w:szCs w:val="24"/>
          <w:highlight w:val="none"/>
        </w:rPr>
        <w:t>；</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（2）环卫公厕管护：按照</w:t>
      </w:r>
      <w:r>
        <w:rPr>
          <w:rFonts w:hint="eastAsia" w:ascii="宋体" w:hAnsi="宋体" w:cs="宋体"/>
          <w:bCs/>
          <w:color w:val="auto"/>
          <w:sz w:val="24"/>
          <w:szCs w:val="24"/>
          <w:highlight w:val="none"/>
        </w:rPr>
        <w:t>《成都市环卫公厕管理规范》（成城函【2017】205号）</w:t>
      </w:r>
      <w:r>
        <w:rPr>
          <w:rFonts w:ascii="宋体" w:hAnsi="宋体" w:cs="宋体"/>
          <w:bCs/>
          <w:color w:val="auto"/>
          <w:sz w:val="24"/>
          <w:szCs w:val="24"/>
          <w:highlight w:val="none"/>
        </w:rPr>
        <w:t>、《锦江区环卫公厕管理规范（试行）》要求作业；</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（3）绿化管护：按照</w:t>
      </w:r>
      <w:r>
        <w:rPr>
          <w:rFonts w:hint="eastAsia" w:ascii="宋体" w:hAnsi="宋体" w:cs="宋体"/>
          <w:bCs/>
          <w:color w:val="auto"/>
          <w:sz w:val="24"/>
          <w:szCs w:val="24"/>
          <w:highlight w:val="none"/>
        </w:rPr>
        <w:t>《四川省城市园林绿化技术操作规程》DB51/50016-1998</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《成都市城市绿化养护技术规程》（DB510100/T 238-2017）</w:t>
      </w:r>
      <w:r>
        <w:rPr>
          <w:rFonts w:ascii="宋体" w:hAnsi="宋体" w:cs="宋体"/>
          <w:bCs/>
          <w:color w:val="auto"/>
          <w:sz w:val="24"/>
          <w:szCs w:val="24"/>
          <w:highlight w:val="none"/>
        </w:rPr>
        <w:t>、</w:t>
      </w:r>
      <w:r>
        <w:rPr>
          <w:rFonts w:hint="eastAsia" w:ascii="宋体" w:hAnsi="宋体" w:cs="宋体"/>
          <w:bCs/>
          <w:color w:val="auto"/>
          <w:sz w:val="24"/>
          <w:szCs w:val="24"/>
          <w:highlight w:val="none"/>
        </w:rPr>
        <w:t>《成都市城市绿化养护质量等级划分》(DB510100/T 239-2017)</w:t>
      </w:r>
      <w:r>
        <w:rPr>
          <w:rFonts w:ascii="宋体" w:hAnsi="宋体" w:cs="宋体"/>
          <w:bCs/>
          <w:color w:val="auto"/>
          <w:sz w:val="24"/>
          <w:szCs w:val="24"/>
          <w:highlight w:val="none"/>
        </w:rPr>
        <w:t>、《成都市锦江区园林绿化管护标准》要求作业；</w:t>
      </w:r>
    </w:p>
    <w:p>
      <w:pPr>
        <w:autoSpaceDE w:val="0"/>
        <w:autoSpaceDN w:val="0"/>
        <w:adjustRightInd w:val="0"/>
        <w:ind w:firstLine="480" w:firstLineChars="200"/>
        <w:jc w:val="left"/>
        <w:rPr>
          <w:rFonts w:ascii="宋体" w:hAnsi="Times New Roman" w:cs="宋体"/>
          <w:color w:val="auto"/>
          <w:kern w:val="0"/>
          <w:sz w:val="24"/>
          <w:szCs w:val="24"/>
          <w:highlight w:val="none"/>
        </w:rPr>
      </w:pPr>
      <w:r>
        <w:rPr>
          <w:rFonts w:ascii="宋体" w:hAnsi="宋体" w:cs="宋体"/>
          <w:bCs/>
          <w:color w:val="auto"/>
          <w:kern w:val="0"/>
          <w:sz w:val="24"/>
          <w:szCs w:val="24"/>
          <w:highlight w:val="none"/>
        </w:rPr>
        <w:t>（4）河道管护：按照《中心城区河道管护经费标准（试行）》等要求作业。</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（二）作业标准。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（1）环卫保洁：作业流程规范，保洁质量达到精细化管理标准，能实施机械化清扫作业的城市城区道路全部实施机械化清扫作业，机械化清扫率达到市、区规定标准。生活垃圾日产日清。</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环卫公厕管理应达到“四净三无二通一明”要求，即：地面净、墙壁净、厕位净、周边净，无溢流、无蚊蝇、无臭味，水通、电通，灯明。环卫公共厕所内采光、照明和通风良好，无异味，无蚊蝇。厕所内地面洁净，无积水，无烟头，无纸屑，无痰迹和其他杂物。墙面、天花板、门窗和隔断板洁净，无积灰，无污迹，无蛛网，无乱涂乱画，无破损；卫生洁具整洁，无积存物，无粪便痕迹，无积尿积水，管道畅通无堵塞。公厕标志牌、公示牌洁净，无积尘。</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每年对乔木进行大修一次，每年对现有地被、灌木更新率不低于20%；时令鲜花的更换次数每年不少于8次、花境的更换次数每年不少于4次、立体绿化根据植物品种适时更换；设施设备的检修、翻新、更换等，翻新、刷漆每年不得少于1次；所有垃圾（绿化垃圾、生活垃圾等）均做无害化处理。</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（4）河道管护：每天巡查河道一遍；每100米河道零星垃圾不超过3处；河道栏杆及时擦拭、清理；每100米河渍、侵蚀不超过5处；每日上报排口情况；每500米河堤零星垃圾不超过3处。</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（三）作业内容。</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环卫保洁。1．道路清扫保洁(含市政公用道路，涉农街道办事处村社道路)和市管绿化带的白色垃圾清理，清除道路上粪渣粪袋、狗粪、建渣等污染物。2．铁路控制线（单侧铁轨至坡脚8米，坡脚向外延伸12米，12米向外延伸2米界桩，共22米）以外属地管理区域的清扫保洁。3．清理雨水篦子下面的落叶及垃圾。4．道路冲洗降尘，定期冲洗道路（按规范标准）及路沿石、人行道方砖、公交站台、人行天桥和雨水篦子，清洗道路标识标线，道路污染突击保洁。5．生活垃圾分类收集和运输，其中其他垃圾运输至锦江区垃圾压缩站，厨余垃圾运输至市级餐厨垃圾处置厂，可回收物运输至再生资源回收站点，有害垃圾运输至区环卫清运中心暂存点。6．小区内（具体范围详见附表）及街面丢弃的大件垃圾清理。7．对果屑箱、垃圾桶等环卫设施接受管理及使用，并进行日常维修维护，保证功能使用。道路施工时果屑箱的收集保管、果屑箱箱体固定，果屑箱内箱的垃圾清掏和箱体的内、外清洗，每日垃圾袋更换和垃圾桶清洗，室外城市家具的保洁。8．环卫工人工作服装按适时标准要求配置和更新。9．垃圾桶、垃圾中转房、垃圾池、垃圾转运点和垃圾转运车等环卫设施和中转站（点）现场的日常管理、冲洗、维护。各类环卫车辆日常管理及维修，环卫车辆喷涂统一的外观、颜色和标志。10．非法张贴、书写的地面及2米以下立面各类广告及卡片的清除清理。11．道路护栏、隔离墩、隔离桩、桥梁中央分隔带、防撞墙内侧、人行道栏杆、人行天桥栏杆、声屏障内侧保洁。12.环卫工人休息室日常管理和维护。13．做好环卫作业安全生产工作，落实安全责任制和各项规章制度。14．各类检查、接待及突发事件，环卫作业的应急保障工作。15．在辖区主街干道、重要路段或出入城通道实施精品示范街道环卫作业。16．完成省、市、区等各级部门和街道交办的各项突击整治任务。17.按作业辖区落实疫情防控和消防工作。18.在中央商务区、特色街区开展智能扫地机器人等人工智能环卫作业试点示范。</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环卫公厕。作业范围包括辖区内环卫公厕内地面、墙面、天花板、门窗、设施设备等，室外周边10米。内容包括环卫公厕保洁服务管理（环卫公厕整体提档升级除外所有维护内容）、周边或者附属绿化维护管护、环卫公厕维护管理、清掏公厕化粪池，水电费缴纳。</w:t>
      </w:r>
      <w:r>
        <w:rPr>
          <w:rFonts w:hint="eastAsia" w:ascii="宋体" w:hAnsi="宋体" w:cs="宋体"/>
          <w:bCs/>
          <w:color w:val="auto"/>
          <w:sz w:val="24"/>
          <w:szCs w:val="24"/>
          <w:highlight w:val="none"/>
          <w:lang w:eastAsia="zh-CN"/>
        </w:rPr>
        <w:t>按采购人统一的标准和材质要求购买、更换和安装环卫公厕相关标识、标牌、公示牌，提供环卫公厕厕纸、洗手液日常耗材等（环卫公厕厕纸以清风、心相印、维达等同类品质的，且符合国家相关标准的为标准。洗手液以蓝月亮、滴露、威露士等同类品质的，且符合国家相关标准的为标准），</w:t>
      </w:r>
      <w:r>
        <w:rPr>
          <w:rFonts w:hint="eastAsia" w:ascii="宋体" w:hAnsi="宋体" w:cs="宋体"/>
          <w:bCs/>
          <w:color w:val="auto"/>
          <w:sz w:val="24"/>
          <w:szCs w:val="24"/>
          <w:highlight w:val="none"/>
        </w:rPr>
        <w:t>新增或维修维护公厕内所有窗户纱窗。设施设备的维修保养。对易损耗材料、照明设施、防水、供水及排水设施、电力设施、护栏、便池、水龙头、马桶、脚踏器等设施设备的检修、翻新、</w:t>
      </w:r>
      <w:r>
        <w:rPr>
          <w:rFonts w:hint="eastAsia" w:ascii="宋体" w:hAnsi="宋体" w:cs="宋体"/>
          <w:bCs/>
          <w:color w:val="auto"/>
          <w:sz w:val="24"/>
          <w:szCs w:val="24"/>
          <w:highlight w:val="none"/>
          <w:lang w:eastAsia="zh-CN"/>
        </w:rPr>
        <w:t>更换（所需耗材质量标准均不能低于原有耗材标准），按照实际需求配备移动厕所，并负责运输和管理</w:t>
      </w:r>
      <w:r>
        <w:rPr>
          <w:rFonts w:hint="eastAsia" w:ascii="宋体" w:hAnsi="宋体" w:cs="宋体"/>
          <w:bCs/>
          <w:color w:val="auto"/>
          <w:sz w:val="24"/>
          <w:szCs w:val="24"/>
          <w:highlight w:val="none"/>
        </w:rPr>
        <w:t>。公共秩序及公共安全管理。积极配合相关部门检查、考察、参观；做好文明指数测评等相关工作，必要时按实际需要自行租赁移动公厕；按作业辖区落实疫情防控和消防工作；积极配合主管部门，完成临时交办的管护工作和其他任务等。</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绿化管护。区管绿地乔木、灌木、地被的养护（除草、修剪、浇水、施肥、防病虫害等）、复壮、更换、降尘；时令鲜花及花境、立体绿化管护，包括购置、种植、更换及管护等；清扫保洁服务：包括绿地、游步道、绿道、设施设备的清扫保洁，以及园林绿化垃圾的集中处理、收集转运等。设施设备的维修保养：对易损耗材料、灯杆、照明设施、供水及排水设施、电力设施健身设施、小品雕塑、花箱、廊架、坐凳、树池盖板、树木支撑、绿化护栏等设施设备的检修、翻新、更换等（所需耗材质量标准均不能低于原有耗材标准）。</w:t>
      </w:r>
      <w:r>
        <w:rPr>
          <w:rFonts w:hint="eastAsia" w:ascii="宋体" w:hAnsi="宋体" w:cs="宋体"/>
          <w:bCs/>
          <w:color w:val="auto"/>
          <w:sz w:val="24"/>
          <w:szCs w:val="24"/>
          <w:highlight w:val="none"/>
          <w:lang w:eastAsia="zh-CN"/>
        </w:rPr>
        <w:t>绿化作业安全生产管理，绿化垃圾分类运输并送至专业机构处理</w:t>
      </w:r>
      <w:r>
        <w:rPr>
          <w:rFonts w:hint="eastAsia" w:ascii="宋体" w:hAnsi="宋体" w:cs="宋体"/>
          <w:bCs/>
          <w:color w:val="auto"/>
          <w:sz w:val="24"/>
          <w:szCs w:val="24"/>
          <w:highlight w:val="none"/>
        </w:rPr>
        <w:t>。按作业辖区落实疫情防控和消防工作。</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河道管护。区管河道河床打漂及清理：打捞河面漂浮物，清理河床堆积的垃圾、挡水障碍物等；巡查河道：对河道基础设施、河道水质、下河口排污、河长公示牌破损、涉河乱挖乱占乱建等情况进行巡查，栏杆破损等安全隐患应及时上报巡查发现的问题；河道管护范围内清扫保洁：对河道管护范围内人行步道清扫保洁，对河堤栏杆、河长公示牌、排水口标识牌等进行清洗维护，对滨河绿化带进行管护保洁。配合做好排口治理、水质监测、公示牌更换等河道管护工作。省、市管河道应对步行道实施日常管护。按作业辖区落实疫情防控和消防工作。</w:t>
      </w:r>
    </w:p>
    <w:p>
      <w:pPr>
        <w:autoSpaceDE w:val="0"/>
        <w:autoSpaceDN w:val="0"/>
        <w:adjustRightInd w:val="0"/>
        <w:jc w:val="left"/>
        <w:rPr>
          <w:rFonts w:ascii="宋体" w:hAnsi="Times New Roman" w:cs="宋体"/>
          <w:color w:val="auto"/>
          <w:kern w:val="0"/>
          <w:sz w:val="24"/>
          <w:szCs w:val="24"/>
          <w:highlight w:val="none"/>
        </w:rPr>
      </w:pPr>
      <w:r>
        <w:rPr>
          <w:rFonts w:hint="eastAsia" w:ascii="宋体" w:hAnsi="Times New Roman" w:cs="宋体"/>
          <w:color w:val="auto"/>
          <w:kern w:val="0"/>
          <w:sz w:val="24"/>
          <w:szCs w:val="24"/>
          <w:highlight w:val="none"/>
        </w:rPr>
        <w:t xml:space="preserve">    （5）共享单车规范停放。协助规范共享单车停放，并清除共享单车货架框内垃圾。</w:t>
      </w:r>
    </w:p>
    <w:p>
      <w:pPr>
        <w:spacing w:before="312" w:beforeLines="100" w:after="312" w:afterLines="100"/>
        <w:rPr>
          <w:rFonts w:ascii="Times New Roman" w:hAnsi="Times New Roman"/>
          <w:b/>
          <w:color w:val="auto"/>
          <w:sz w:val="28"/>
          <w:szCs w:val="28"/>
          <w:highlight w:val="none"/>
        </w:rPr>
      </w:pPr>
      <w:r>
        <w:rPr>
          <w:rFonts w:hint="eastAsia" w:ascii="Times New Roman" w:hAnsi="Times New Roman"/>
          <w:b/>
          <w:color w:val="auto"/>
          <w:sz w:val="28"/>
          <w:szCs w:val="28"/>
          <w:highlight w:val="none"/>
        </w:rPr>
        <w:t>三、作业范围及配备人员设备数量</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书院街街道办事处：</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道路清扫保洁面积467955.715㎡</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其中特级道路保洁面积11306</w:t>
      </w:r>
      <w:r>
        <w:rPr>
          <w:rFonts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一级道路保洁面积304808.223</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二级道路保洁面积115227.882</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三级道路保洁面积36613.61</w:t>
      </w:r>
      <w:r>
        <w:rPr>
          <w:rFonts w:hint="eastAsia" w:ascii="宋体" w:hAnsi="宋体"/>
          <w:color w:val="auto"/>
          <w:sz w:val="24"/>
          <w:szCs w:val="24"/>
          <w:highlight w:val="none"/>
          <w:lang w:eastAsia="zh-CN"/>
        </w:rPr>
        <w:t>㎡</w:t>
      </w:r>
      <w:r>
        <w:rPr>
          <w:rFonts w:hint="eastAsia" w:ascii="宋体" w:hAnsi="宋体"/>
          <w:color w:val="auto"/>
          <w:sz w:val="24"/>
          <w:szCs w:val="24"/>
          <w:highlight w:val="none"/>
        </w:rPr>
        <w:t>；市管绿化保洁面积</w:t>
      </w:r>
      <w:r>
        <w:rPr>
          <w:rFonts w:ascii="宋体" w:hAnsi="宋体"/>
          <w:color w:val="auto"/>
          <w:sz w:val="24"/>
          <w:szCs w:val="24"/>
          <w:highlight w:val="none"/>
        </w:rPr>
        <w:t>15975㎡</w:t>
      </w:r>
      <w:r>
        <w:rPr>
          <w:rFonts w:hint="eastAsia" w:ascii="宋体" w:hAnsi="宋体"/>
          <w:color w:val="auto"/>
          <w:sz w:val="24"/>
          <w:szCs w:val="24"/>
          <w:highlight w:val="none"/>
        </w:rPr>
        <w:t>；其他垃圾日清运量</w:t>
      </w:r>
      <w:r>
        <w:rPr>
          <w:rFonts w:ascii="宋体" w:hAnsi="宋体"/>
          <w:color w:val="auto"/>
          <w:sz w:val="24"/>
          <w:szCs w:val="24"/>
          <w:highlight w:val="none"/>
        </w:rPr>
        <w:t>93.5</w:t>
      </w:r>
      <w:r>
        <w:rPr>
          <w:rFonts w:hint="eastAsia" w:ascii="宋体" w:hAnsi="宋体"/>
          <w:color w:val="auto"/>
          <w:sz w:val="24"/>
          <w:szCs w:val="24"/>
          <w:highlight w:val="none"/>
        </w:rPr>
        <w:t>吨；厨余垃圾日清运量</w:t>
      </w:r>
      <w:r>
        <w:rPr>
          <w:rFonts w:ascii="宋体" w:hAnsi="宋体"/>
          <w:color w:val="auto"/>
          <w:sz w:val="24"/>
          <w:szCs w:val="24"/>
          <w:highlight w:val="none"/>
        </w:rPr>
        <w:t>4.5</w:t>
      </w:r>
      <w:r>
        <w:rPr>
          <w:rFonts w:hint="eastAsia" w:ascii="宋体" w:hAnsi="宋体"/>
          <w:color w:val="auto"/>
          <w:sz w:val="24"/>
          <w:szCs w:val="24"/>
          <w:highlight w:val="none"/>
        </w:rPr>
        <w:t>吨。</w:t>
      </w:r>
    </w:p>
    <w:p>
      <w:pPr>
        <w:autoSpaceDE w:val="0"/>
        <w:autoSpaceDN w:val="0"/>
        <w:adjustRightInd w:val="0"/>
        <w:jc w:val="center"/>
        <w:rPr>
          <w:rFonts w:hint="default"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道路明细表</w:t>
      </w:r>
    </w:p>
    <w:p>
      <w:pPr>
        <w:autoSpaceDE w:val="0"/>
        <w:autoSpaceDN w:val="0"/>
        <w:adjustRightInd w:val="0"/>
        <w:jc w:val="left"/>
        <w:rPr>
          <w:rFonts w:ascii="宋体" w:hAnsi="宋体" w:cs="宋体"/>
          <w:color w:val="auto"/>
          <w:kern w:val="0"/>
          <w:sz w:val="24"/>
          <w:szCs w:val="24"/>
          <w:highlight w:val="none"/>
        </w:rPr>
      </w:pPr>
    </w:p>
    <w:tbl>
      <w:tblPr>
        <w:tblStyle w:val="59"/>
        <w:tblW w:w="8602" w:type="dxa"/>
        <w:tblInd w:w="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6"/>
        <w:gridCol w:w="2318"/>
        <w:gridCol w:w="3756"/>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916" w:type="dxa"/>
            <w:vMerge w:val="restart"/>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2318" w:type="dxa"/>
            <w:vMerge w:val="restart"/>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街道名称</w:t>
            </w:r>
          </w:p>
        </w:tc>
        <w:tc>
          <w:tcPr>
            <w:tcW w:w="3756" w:type="dxa"/>
            <w:vMerge w:val="restart"/>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起止点</w:t>
            </w:r>
          </w:p>
        </w:tc>
        <w:tc>
          <w:tcPr>
            <w:tcW w:w="1612" w:type="dxa"/>
            <w:vMerge w:val="restart"/>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道路类型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916" w:type="dxa"/>
            <w:vMerge w:val="continue"/>
            <w:tcMar>
              <w:top w:w="15" w:type="dxa"/>
              <w:left w:w="15" w:type="dxa"/>
              <w:right w:w="15" w:type="dxa"/>
            </w:tcMar>
            <w:vAlign w:val="center"/>
          </w:tcPr>
          <w:p>
            <w:pPr>
              <w:jc w:val="center"/>
              <w:rPr>
                <w:rFonts w:ascii="宋体" w:hAnsi="宋体" w:cs="宋体"/>
                <w:color w:val="auto"/>
                <w:szCs w:val="21"/>
                <w:highlight w:val="none"/>
              </w:rPr>
            </w:pPr>
          </w:p>
        </w:tc>
        <w:tc>
          <w:tcPr>
            <w:tcW w:w="2318" w:type="dxa"/>
            <w:vMerge w:val="continue"/>
            <w:tcMar>
              <w:top w:w="15" w:type="dxa"/>
              <w:left w:w="15" w:type="dxa"/>
              <w:right w:w="15" w:type="dxa"/>
            </w:tcMar>
            <w:vAlign w:val="center"/>
          </w:tcPr>
          <w:p>
            <w:pPr>
              <w:jc w:val="center"/>
              <w:rPr>
                <w:rFonts w:ascii="宋体" w:hAnsi="宋体" w:cs="宋体"/>
                <w:color w:val="auto"/>
                <w:szCs w:val="21"/>
                <w:highlight w:val="none"/>
              </w:rPr>
            </w:pPr>
          </w:p>
        </w:tc>
        <w:tc>
          <w:tcPr>
            <w:tcW w:w="3756" w:type="dxa"/>
            <w:vMerge w:val="continue"/>
            <w:tcMar>
              <w:top w:w="15" w:type="dxa"/>
              <w:left w:w="15" w:type="dxa"/>
              <w:right w:w="15" w:type="dxa"/>
            </w:tcMar>
            <w:vAlign w:val="center"/>
          </w:tcPr>
          <w:p>
            <w:pPr>
              <w:jc w:val="center"/>
              <w:rPr>
                <w:rFonts w:ascii="宋体" w:hAnsi="宋体" w:cs="宋体"/>
                <w:color w:val="auto"/>
                <w:szCs w:val="21"/>
                <w:highlight w:val="none"/>
              </w:rPr>
            </w:pPr>
          </w:p>
        </w:tc>
        <w:tc>
          <w:tcPr>
            <w:tcW w:w="1612" w:type="dxa"/>
            <w:vMerge w:val="continue"/>
            <w:tcMar>
              <w:top w:w="15" w:type="dxa"/>
              <w:left w:w="15" w:type="dxa"/>
              <w:right w:w="15" w:type="dxa"/>
            </w:tcMar>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大慈寺人行道</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东风大桥至红星路口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特级道路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总府路</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（快车道）</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特级道路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城隍庙街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五昭路口至东较场街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玉皇观</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成都三中学校口子至五世同堂街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东较场</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昭忠祠口至三槐树口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五昭路</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昭忠祠街口至玉皇观</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红星路一段（含桥）</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一号桥至红星路二段跨线桥</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三槐树街（含桥）</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二号桥至红星路二段跨线桥</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华星路</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二号桥头至一号桥下（含桥洞）</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红星路二段（双号侧）</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东干道（实验商场）至玉沙路口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东安北路</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新东门大桥至二号桥</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东安南路</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东风大桥至新东门大桥</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武成大街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武成大街口至新巷子口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书院南街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大慈寺（区政府）至福字街口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穿巷子</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大慈寺（东风电影院旁）至如是庵街口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三槐树口至庆云西街口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庆云西街口至惜字宫南街口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庆云西街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庆云南街口至红星路二段</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东校场</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昭忠祠口--华星路路口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玉皇冠人行天桥</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玉皇冠人行天桥</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庆云南街红星国际</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庆云西街口至惜字宫南街口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庆云西街红星国际</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庆云南街口至红星路二段</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福兴街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金盾服装店-中国银行</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华兴上街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壹加壹服装店-华兴服装店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华兴正街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煎蛋面馆-壹加壹服装店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华兴东街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你歌歌城-奥林保林球馆</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冻青树街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玉双路口-热舞迪吧</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暑袜北一街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互惠超市-华兴服装店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暑袜北二街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乐拍拍面包店-总府大厦</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红星路二段（单号侧）</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总府路口—玉沙路口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纯阳观</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久久鸭-萍聚茶房</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永兴巷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停车场-与暑袜北一集邮公司</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三倒拐街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晴雨干杂店-华兴社区</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玉双路（岳府街）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廖记棒棒鸡—冻青树街口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hint="eastAsia" w:ascii="宋体" w:hAnsi="宋体" w:cs="宋体"/>
                <w:color w:val="auto"/>
                <w:kern w:val="0"/>
                <w:szCs w:val="21"/>
                <w:highlight w:val="none"/>
                <w:lang w:val="en-US" w:eastAsia="zh-CN" w:bidi="ar"/>
              </w:rPr>
              <w:t>35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昭忠祠街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东城拐下街口至红星路一段口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红星路跨线桥</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红星路一段与红星路二段交界</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福字街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东顺城街至书院南街口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五世同堂街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东较场口至三槐树口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东城拐下街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一号桥口至在水一方口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东新街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三槐树口至庆云西街口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落虹桥</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庆云南街口至四圣祠北街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武成大街口至中道街口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天涯石东街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北顺城街口至天涯石南街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天涯石西街至福字街口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天涯石西街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天涯石南街至武成大街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北顺城街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水东门口至望福街口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水东门</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武成大街至天涯石东街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爵板街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干槐树街至如是庵街口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藩库街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红星路二段至如是庵街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如是庵</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穿巷子口至书院南街口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望福街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东顺城中街至东安南路口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书院东街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毛家拐至书院南街口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书院西街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书院南街至惜字宫南街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水东门大桥（桥面）</w:t>
            </w:r>
          </w:p>
        </w:tc>
        <w:tc>
          <w:tcPr>
            <w:tcW w:w="3756" w:type="dxa"/>
            <w:tcMar>
              <w:top w:w="15" w:type="dxa"/>
              <w:left w:w="15" w:type="dxa"/>
              <w:right w:w="15" w:type="dxa"/>
            </w:tcMar>
            <w:vAlign w:val="center"/>
          </w:tcPr>
          <w:p>
            <w:pPr>
              <w:jc w:val="center"/>
              <w:rPr>
                <w:rFonts w:ascii="宋体" w:hAnsi="宋体" w:cs="宋体"/>
                <w:color w:val="auto"/>
                <w:szCs w:val="21"/>
                <w:highlight w:val="none"/>
              </w:rPr>
            </w:pP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惜字宫南街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书院南街口至四圣祠街口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干槐树街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红星路二段（成都三中）至惜字宫南街口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四圣祠北街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武成大街至中道西街口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中道街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中道街（中间）至武成大街口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东顺城中街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福子街至东风大桥（大慈寺）</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东校场</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三槐树路口--落虹桥路口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昭忠祠人行天桥</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昭忠祠人行天桥</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华星桥</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桥面</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华星路右岸</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华星路二号桥水闸—华星桥</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梓潼桥正街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电话超市-啤酒广场</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梓潼桥西街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梓潼桥西街中转房-啤酒广场</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隆兴街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玉双路口-口味鲜</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桂王桥东街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东、南、西、北交界中心-四季鲜水果店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桂王桥南街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帅水果店-东、南、西、北交界中心</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桂王桥西街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竹林巷口-C牌先歌企业</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桂王桥北街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家乡味快餐店-东、南、西、北交界中心</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悦来场</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爱恋珠宝-商业场中门</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悦来巷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盘飨市-越来茶馆门口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布后街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赛林航空-星光酒楼</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二级道路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毛家拐</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福字街至书院东街口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916" w:type="dxa"/>
            <w:tcMar>
              <w:top w:w="15" w:type="dxa"/>
              <w:left w:w="15" w:type="dxa"/>
              <w:right w:w="15" w:type="dxa"/>
            </w:tcMar>
            <w:vAlign w:val="center"/>
          </w:tcPr>
          <w:p>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bidi="ar"/>
              </w:rPr>
              <w:t>75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四圣祠南街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四圣祠西街至天涯石西街口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杨柳巷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东较场至粮食局宿舍</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河管处（巷）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昭忠祠口至华星路</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四圣祠南街（小街）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天涯石北街-天涯石西街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东安北左街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武成大街至东安北路</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三号巷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庆云南街口至天河聚酒楼旁</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天涯石北街（小街）</w:t>
            </w:r>
          </w:p>
        </w:tc>
        <w:tc>
          <w:tcPr>
            <w:tcW w:w="3756" w:type="dxa"/>
            <w:tcMar>
              <w:top w:w="15" w:type="dxa"/>
              <w:left w:w="15" w:type="dxa"/>
              <w:right w:w="15" w:type="dxa"/>
            </w:tcMar>
            <w:vAlign w:val="center"/>
          </w:tcPr>
          <w:p>
            <w:pPr>
              <w:jc w:val="center"/>
              <w:rPr>
                <w:rFonts w:ascii="宋体" w:hAnsi="宋体" w:cs="宋体"/>
                <w:color w:val="auto"/>
                <w:szCs w:val="21"/>
                <w:highlight w:val="none"/>
              </w:rPr>
            </w:pP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中道西巷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落虹桥口至东安北街口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庆云街3号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进小区死巷子</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书院西街62号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进小区死巷子</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东校场1号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进小区死巷子</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东安南路17号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进小区死巷子</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昭忠祠56号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进小区死巷子</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水东门35号对面娇子苑外围</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娇子苑外围健身大坝及停车场</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三槐树89号（派出所）</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进派出所死巷子</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东校场长城锦苑外围</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靠大街东校场街大坝</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91</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天涯石菜市外围（北街）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天涯石菜市外围停车场（北街停车场）</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92</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天涯石菜市中道街对面</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小区大坝</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93</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慈惠堂街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星欣美容美发-啤酒广场</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94</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和平街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与竹林巷交界处-帅水果店</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95</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燕鲁公所街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燕鲁公所街牌-好又鲜</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96</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东玉龙街</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竹林巷口-长虹家电直销</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97</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竹林巷</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工商行政管理-玉双路口</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98</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新集场</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雨田饭店-面对面餐馆</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99</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双栅子</w:t>
            </w:r>
          </w:p>
        </w:tc>
        <w:tc>
          <w:tcPr>
            <w:tcW w:w="3756"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星光酒楼-与桂王桥南街交界处</w:t>
            </w:r>
          </w:p>
        </w:tc>
        <w:tc>
          <w:tcPr>
            <w:tcW w:w="1612"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916" w:type="dxa"/>
            <w:tcMar>
              <w:top w:w="15" w:type="dxa"/>
              <w:left w:w="15" w:type="dxa"/>
              <w:right w:w="15" w:type="dxa"/>
            </w:tcMar>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100</w:t>
            </w:r>
          </w:p>
        </w:tc>
        <w:tc>
          <w:tcPr>
            <w:tcW w:w="2318" w:type="dxa"/>
            <w:tcMar>
              <w:top w:w="15" w:type="dxa"/>
              <w:left w:w="15" w:type="dxa"/>
              <w:right w:w="15" w:type="dxa"/>
            </w:tcMar>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无名街巷</w:t>
            </w:r>
          </w:p>
        </w:tc>
        <w:tc>
          <w:tcPr>
            <w:tcW w:w="3756" w:type="dxa"/>
            <w:tcMar>
              <w:top w:w="15" w:type="dxa"/>
              <w:left w:w="15" w:type="dxa"/>
              <w:right w:w="15" w:type="dxa"/>
            </w:tcMar>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中道街—中道西街</w:t>
            </w:r>
          </w:p>
        </w:tc>
        <w:tc>
          <w:tcPr>
            <w:tcW w:w="1612" w:type="dxa"/>
            <w:tcMar>
              <w:top w:w="15" w:type="dxa"/>
              <w:left w:w="15" w:type="dxa"/>
              <w:right w:w="15" w:type="dxa"/>
            </w:tcMar>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三级道路</w:t>
            </w:r>
          </w:p>
        </w:tc>
      </w:tr>
    </w:tbl>
    <w:p>
      <w:pPr>
        <w:autoSpaceDE w:val="0"/>
        <w:autoSpaceDN w:val="0"/>
        <w:adjustRightInd w:val="0"/>
        <w:jc w:val="left"/>
        <w:rPr>
          <w:rFonts w:ascii="宋体" w:hAnsi="宋体" w:cs="宋体"/>
          <w:color w:val="auto"/>
          <w:kern w:val="0"/>
          <w:sz w:val="24"/>
          <w:szCs w:val="24"/>
          <w:highlight w:val="none"/>
        </w:rPr>
      </w:pPr>
    </w:p>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环卫公厕：24小时公厕10座</w:t>
      </w:r>
      <w:r>
        <w:rPr>
          <w:rFonts w:hint="eastAsia" w:ascii="宋体" w:hAnsi="宋体"/>
          <w:color w:val="auto"/>
          <w:kern w:val="0"/>
          <w:sz w:val="24"/>
          <w:szCs w:val="24"/>
          <w:highlight w:val="none"/>
          <w:lang w:bidi="ar"/>
        </w:rPr>
        <w:t>（冻青树公厕、穿巷子公厕、干槐树公厕、中道街公厕、北顺城街公厕、四圣祠南街公厕、一号桥公厕、红星灯具厂公厕、东安北路公厕、翠风苑公厕）</w:t>
      </w:r>
      <w:r>
        <w:rPr>
          <w:rFonts w:hint="eastAsia" w:ascii="宋体" w:hAnsi="宋体"/>
          <w:color w:val="auto"/>
          <w:sz w:val="24"/>
          <w:szCs w:val="24"/>
          <w:highlight w:val="none"/>
        </w:rPr>
        <w:t>；定时开放公厕6座</w:t>
      </w:r>
      <w:r>
        <w:rPr>
          <w:rFonts w:hint="eastAsia" w:ascii="宋体" w:hAnsi="宋体"/>
          <w:color w:val="auto"/>
          <w:kern w:val="0"/>
          <w:sz w:val="24"/>
          <w:szCs w:val="24"/>
          <w:highlight w:val="none"/>
          <w:lang w:bidi="ar"/>
        </w:rPr>
        <w:t>（福兴街公厕、隆兴街公厕、书院西街公厕、昭忠祠公厕、康庄街公厕、上锦美地公厕）</w:t>
      </w:r>
      <w:r>
        <w:rPr>
          <w:rFonts w:hint="eastAsia" w:ascii="宋体" w:hAnsi="宋体"/>
          <w:color w:val="auto"/>
          <w:sz w:val="24"/>
          <w:szCs w:val="24"/>
          <w:highlight w:val="none"/>
        </w:rPr>
        <w:t>。</w:t>
      </w:r>
    </w:p>
    <w:p>
      <w:pPr>
        <w:spacing w:line="360" w:lineRule="auto"/>
        <w:rPr>
          <w:color w:val="auto"/>
          <w:highlight w:val="none"/>
        </w:rPr>
      </w:pPr>
      <w:r>
        <w:rPr>
          <w:rFonts w:hint="eastAsia"/>
          <w:b/>
          <w:color w:val="auto"/>
          <w:sz w:val="28"/>
          <w:szCs w:val="28"/>
          <w:highlight w:val="none"/>
        </w:rPr>
        <w:t>（二）园林绿化</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8841㎡</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广场游园面积3119㎡</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w:t>
      </w:r>
      <w:r>
        <w:rPr>
          <w:rFonts w:hint="eastAsia" w:ascii="宋体" w:hAnsi="宋体"/>
          <w:color w:val="auto"/>
          <w:kern w:val="0"/>
          <w:sz w:val="24"/>
          <w:szCs w:val="24"/>
          <w:highlight w:val="none"/>
          <w:lang w:bidi="ar"/>
        </w:rPr>
        <w:t>100</w:t>
      </w:r>
      <w:r>
        <w:rPr>
          <w:rFonts w:ascii="宋体" w:hAnsi="宋体"/>
          <w:color w:val="auto"/>
          <w:kern w:val="0"/>
          <w:sz w:val="24"/>
          <w:szCs w:val="24"/>
          <w:highlight w:val="none"/>
          <w:lang w:bidi="ar"/>
        </w:rPr>
        <w:t>㎡</w:t>
      </w:r>
      <w:r>
        <w:rPr>
          <w:rFonts w:hint="eastAsia" w:ascii="宋体" w:hAnsi="宋体"/>
          <w:color w:val="auto"/>
          <w:kern w:val="0"/>
          <w:sz w:val="24"/>
          <w:szCs w:val="24"/>
          <w:highlight w:val="none"/>
          <w:lang w:bidi="ar"/>
        </w:rPr>
        <w:t>。</w:t>
      </w:r>
    </w:p>
    <w:p>
      <w:pPr>
        <w:autoSpaceDE w:val="0"/>
        <w:autoSpaceDN w:val="0"/>
        <w:adjustRightInd w:val="0"/>
        <w:jc w:val="left"/>
        <w:rPr>
          <w:rFonts w:ascii="宋体" w:hAnsi="宋体" w:cs="宋体"/>
          <w:color w:val="auto"/>
          <w:kern w:val="0"/>
          <w:sz w:val="24"/>
          <w:szCs w:val="24"/>
          <w:highlight w:val="none"/>
          <w:lang w:bidi="ar"/>
        </w:rPr>
      </w:pPr>
    </w:p>
    <w:p>
      <w:pPr>
        <w:autoSpaceDE w:val="0"/>
        <w:autoSpaceDN w:val="0"/>
        <w:adjustRightInd w:val="0"/>
        <w:jc w:val="left"/>
        <w:rPr>
          <w:rFonts w:ascii="宋体" w:hAnsi="宋体" w:cs="宋体"/>
          <w:color w:val="auto"/>
          <w:kern w:val="0"/>
          <w:sz w:val="24"/>
          <w:szCs w:val="24"/>
          <w:highlight w:val="none"/>
          <w:lang w:bidi="ar"/>
        </w:rPr>
      </w:pPr>
    </w:p>
    <w:tbl>
      <w:tblPr>
        <w:tblStyle w:val="59"/>
        <w:tblpPr w:leftFromText="180" w:rightFromText="180" w:vertAnchor="text" w:horzAnchor="page" w:tblpX="1656" w:tblpY="532"/>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790"/>
        <w:gridCol w:w="1134"/>
        <w:gridCol w:w="1134"/>
        <w:gridCol w:w="9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20"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序号</w:t>
            </w:r>
          </w:p>
        </w:tc>
        <w:tc>
          <w:tcPr>
            <w:tcW w:w="2790" w:type="dxa"/>
            <w:vMerge w:val="restart"/>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园林绿化点位</w:t>
            </w:r>
          </w:p>
        </w:tc>
        <w:tc>
          <w:tcPr>
            <w:tcW w:w="4395" w:type="dxa"/>
            <w:gridSpan w:val="4"/>
            <w:vAlign w:val="center"/>
          </w:tcPr>
          <w:p>
            <w:pPr>
              <w:widowControl/>
              <w:jc w:val="center"/>
              <w:rPr>
                <w:rFonts w:hint="eastAsia"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招标面积（㎡）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20"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2790" w:type="dxa"/>
            <w:vMerge w:val="continue"/>
            <w:vAlign w:val="center"/>
          </w:tcPr>
          <w:p>
            <w:pPr>
              <w:widowControl/>
              <w:jc w:val="center"/>
              <w:rPr>
                <w:rFonts w:ascii="华文黑体" w:hAnsi="宋体" w:eastAsia="华文黑体" w:cs="宋体"/>
                <w:b/>
                <w:bCs/>
                <w:color w:val="auto"/>
                <w:kern w:val="0"/>
                <w:sz w:val="24"/>
                <w:szCs w:val="24"/>
                <w:highlight w:val="none"/>
              </w:rPr>
            </w:pPr>
          </w:p>
        </w:tc>
        <w:tc>
          <w:tcPr>
            <w:tcW w:w="1134"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lang w:eastAsia="zh-CN"/>
              </w:rPr>
              <w:t>小计</w:t>
            </w:r>
            <w:r>
              <w:rPr>
                <w:rFonts w:hint="eastAsia" w:ascii="华文黑体" w:hAnsi="宋体" w:eastAsia="华文黑体" w:cs="宋体"/>
                <w:b/>
                <w:bCs/>
                <w:color w:val="auto"/>
                <w:kern w:val="0"/>
                <w:sz w:val="24"/>
                <w:szCs w:val="24"/>
                <w:highlight w:val="none"/>
              </w:rPr>
              <w:t>（㎡）</w:t>
            </w:r>
          </w:p>
        </w:tc>
        <w:tc>
          <w:tcPr>
            <w:tcW w:w="1134"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绿地面积（㎡）</w:t>
            </w:r>
          </w:p>
        </w:tc>
        <w:tc>
          <w:tcPr>
            <w:tcW w:w="993"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广场游园面积（㎡）</w:t>
            </w:r>
          </w:p>
        </w:tc>
        <w:tc>
          <w:tcPr>
            <w:tcW w:w="1134" w:type="dxa"/>
            <w:vAlign w:val="center"/>
          </w:tcPr>
          <w:p>
            <w:pPr>
              <w:widowControl/>
              <w:jc w:val="center"/>
              <w:rPr>
                <w:rFonts w:ascii="华文黑体" w:hAnsi="宋体" w:eastAsia="华文黑体" w:cs="宋体"/>
                <w:b/>
                <w:bCs/>
                <w:color w:val="auto"/>
                <w:kern w:val="0"/>
                <w:sz w:val="24"/>
                <w:szCs w:val="24"/>
                <w:highlight w:val="none"/>
              </w:rPr>
            </w:pPr>
            <w:r>
              <w:rPr>
                <w:rFonts w:hint="eastAsia" w:ascii="华文黑体" w:hAnsi="宋体" w:eastAsia="华文黑体" w:cs="宋体"/>
                <w:b/>
                <w:bCs/>
                <w:color w:val="auto"/>
                <w:kern w:val="0"/>
                <w:sz w:val="24"/>
                <w:szCs w:val="24"/>
                <w:highlight w:val="none"/>
              </w:rPr>
              <w:t>地栽花面积（㎡）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东安路墙边绿化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141</w:t>
            </w:r>
          </w:p>
        </w:tc>
        <w:tc>
          <w:tcPr>
            <w:tcW w:w="993" w:type="dxa"/>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c>
          <w:tcPr>
            <w:tcW w:w="1134" w:type="dxa"/>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东安北路（两侧）</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921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921</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东安南路沿线（两侧）</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960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960</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福字街花台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154</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书院南街口</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210</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河道管理处</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54</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昭忠祠</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204</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爵板街</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84</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区社保局门口（3个花台）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209</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209</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庆云南街与西街交汇处</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51</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天涯石北街</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142</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142</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东新街</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269</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269</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东城拐</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248</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248</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东较场沿线</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1612</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1612</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中道街36号</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292</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292</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北顺城39号</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31</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天涯石商住楼三角绿地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61</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61</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2790"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 天涯石农贸市场前</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350</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2790" w:type="dxa"/>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华星路洗车场墙边绿化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总府街</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35</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纯阳观绿地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813</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813</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冻青树新华集团绿化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168</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168</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永兴巷机关事务管理局门前花台</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199</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199</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暑袜北二街绿化</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115</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115</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桂王桥南街102号</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437</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437</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竹林巷</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27</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岳府街墙边绿地（含岳府街）</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953</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953</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28</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冻青树街头绿地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2406</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2306</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29</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岳府街</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384</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384</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0"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2790"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梓潼桥正街58号</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500</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500</w:t>
            </w:r>
          </w:p>
        </w:tc>
        <w:tc>
          <w:tcPr>
            <w:tcW w:w="993"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510" w:type="dxa"/>
            <w:gridSpan w:val="2"/>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合计</w:t>
            </w:r>
          </w:p>
        </w:tc>
        <w:tc>
          <w:tcPr>
            <w:tcW w:w="1134"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12060</w:t>
            </w:r>
          </w:p>
        </w:tc>
        <w:tc>
          <w:tcPr>
            <w:tcW w:w="1134"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8841</w:t>
            </w:r>
          </w:p>
        </w:tc>
        <w:tc>
          <w:tcPr>
            <w:tcW w:w="993"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3119</w:t>
            </w:r>
          </w:p>
        </w:tc>
        <w:tc>
          <w:tcPr>
            <w:tcW w:w="1134"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100</w:t>
            </w:r>
          </w:p>
        </w:tc>
      </w:tr>
    </w:tbl>
    <w:p>
      <w:pPr>
        <w:autoSpaceDE w:val="0"/>
        <w:autoSpaceDN w:val="0"/>
        <w:adjustRightInd w:val="0"/>
        <w:jc w:val="left"/>
        <w:rPr>
          <w:rFonts w:ascii="宋体" w:hAnsi="Times New Roman" w:cs="宋体"/>
          <w:color w:val="auto"/>
          <w:kern w:val="0"/>
          <w:sz w:val="24"/>
          <w:szCs w:val="24"/>
          <w:highlight w:val="none"/>
          <w:lang w:bidi="ar"/>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b/>
          <w:color w:val="auto"/>
          <w:sz w:val="28"/>
          <w:szCs w:val="28"/>
          <w:highlight w:val="none"/>
          <w:lang w:eastAsia="zh-CN"/>
        </w:rPr>
      </w:pP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（三）设施设备需求数量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5辆；洒水车（核定载质量≥8吨）3辆；多功能洗扫车（核定载质量≥4吨）4辆；雾炮车（核定载质量≥5吨）1辆；护栏清洗车（核定载质量≥3吨）1辆；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hint="eastAsia" w:ascii="宋体" w:hAnsi="宋体" w:eastAsia="宋体"/>
          <w:color w:val="auto"/>
          <w:kern w:val="0"/>
          <w:sz w:val="24"/>
          <w:szCs w:val="24"/>
          <w:highlight w:val="none"/>
          <w:lang w:eastAsia="zh-CN"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收集车15辆；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val="en-US" w:eastAsia="zh-CN" w:bidi="ar"/>
        </w:rPr>
        <w:t>15</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8辆；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w:t>
      </w:r>
      <w:r>
        <w:rPr>
          <w:rFonts w:hint="eastAsia" w:ascii="宋体" w:hAnsi="宋体" w:eastAsia="宋体" w:cs="Times New Roman"/>
          <w:color w:val="auto"/>
          <w:szCs w:val="21"/>
          <w:highlight w:val="none"/>
          <w:lang w:eastAsia="zh-CN"/>
        </w:rPr>
        <w:t>小型分类收集车</w:t>
      </w:r>
      <w:r>
        <w:rPr>
          <w:rFonts w:hint="eastAsia" w:ascii="宋体" w:hAnsi="宋体" w:cs="Times New Roman"/>
          <w:color w:val="auto"/>
          <w:szCs w:val="21"/>
          <w:highlight w:val="none"/>
          <w:lang w:val="en-US" w:eastAsia="zh-CN"/>
        </w:rPr>
        <w:t>5辆。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ascii="宋体" w:hAnsi="宋体"/>
          <w:color w:val="auto"/>
          <w:kern w:val="0"/>
          <w:sz w:val="24"/>
          <w:szCs w:val="24"/>
          <w:highlight w:val="none"/>
          <w:lang w:bidi="ar"/>
        </w:rPr>
        <w:t>剪草机</w:t>
      </w:r>
      <w:r>
        <w:rPr>
          <w:rFonts w:hint="eastAsia" w:ascii="宋体" w:hAnsi="宋体"/>
          <w:color w:val="auto"/>
          <w:kern w:val="0"/>
          <w:sz w:val="24"/>
          <w:szCs w:val="24"/>
          <w:highlight w:val="none"/>
          <w:lang w:bidi="ar"/>
        </w:rPr>
        <w:t>3辆；</w:t>
      </w:r>
      <w:r>
        <w:rPr>
          <w:rFonts w:ascii="宋体" w:hAnsi="宋体"/>
          <w:color w:val="auto"/>
          <w:kern w:val="0"/>
          <w:sz w:val="24"/>
          <w:szCs w:val="24"/>
          <w:highlight w:val="none"/>
          <w:lang w:bidi="ar"/>
        </w:rPr>
        <w:t>割灌机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高枝油锯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油锯</w:t>
      </w:r>
      <w:r>
        <w:rPr>
          <w:rFonts w:hint="eastAsia" w:ascii="宋体" w:hAnsi="宋体"/>
          <w:color w:val="auto"/>
          <w:kern w:val="0"/>
          <w:sz w:val="24"/>
          <w:szCs w:val="24"/>
          <w:highlight w:val="none"/>
          <w:lang w:bidi="ar"/>
        </w:rPr>
        <w:t>1把，</w:t>
      </w:r>
      <w:r>
        <w:rPr>
          <w:rFonts w:ascii="宋体" w:hAnsi="宋体"/>
          <w:color w:val="auto"/>
          <w:kern w:val="0"/>
          <w:sz w:val="24"/>
          <w:szCs w:val="24"/>
          <w:highlight w:val="none"/>
          <w:lang w:bidi="ar"/>
        </w:rPr>
        <w:t>打孔机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打药机</w:t>
      </w:r>
      <w:r>
        <w:rPr>
          <w:rFonts w:hint="eastAsia" w:ascii="宋体" w:hAnsi="宋体"/>
          <w:color w:val="auto"/>
          <w:kern w:val="0"/>
          <w:sz w:val="24"/>
          <w:szCs w:val="24"/>
          <w:highlight w:val="none"/>
          <w:lang w:bidi="ar"/>
        </w:rPr>
        <w:t>1辆；</w:t>
      </w:r>
      <w:r>
        <w:rPr>
          <w:rFonts w:ascii="宋体" w:hAnsi="宋体"/>
          <w:color w:val="auto"/>
          <w:kern w:val="0"/>
          <w:sz w:val="24"/>
          <w:szCs w:val="24"/>
          <w:highlight w:val="none"/>
          <w:lang w:bidi="ar"/>
        </w:rPr>
        <w:t>吹风机</w:t>
      </w:r>
      <w:r>
        <w:rPr>
          <w:rFonts w:hint="eastAsia" w:ascii="宋体" w:hAnsi="宋体"/>
          <w:color w:val="auto"/>
          <w:kern w:val="0"/>
          <w:sz w:val="24"/>
          <w:szCs w:val="24"/>
          <w:highlight w:val="none"/>
          <w:lang w:bidi="ar"/>
        </w:rPr>
        <w:t>1辆；核定载质量0.5吨（含）以上货车1辆；</w:t>
      </w:r>
      <w:r>
        <w:rPr>
          <w:rFonts w:ascii="宋体" w:hAnsi="宋体"/>
          <w:color w:val="auto"/>
          <w:kern w:val="0"/>
          <w:sz w:val="24"/>
          <w:szCs w:val="24"/>
          <w:highlight w:val="none"/>
          <w:lang w:bidi="ar"/>
        </w:rPr>
        <w:t>四轮巡检车（机动车）</w:t>
      </w:r>
      <w:r>
        <w:rPr>
          <w:rFonts w:hint="eastAsia" w:ascii="宋体" w:hAnsi="宋体"/>
          <w:color w:val="auto"/>
          <w:kern w:val="0"/>
          <w:sz w:val="24"/>
          <w:szCs w:val="24"/>
          <w:highlight w:val="none"/>
          <w:lang w:bidi="ar"/>
        </w:rPr>
        <w:t>1辆；核定载质量1.3吨（含）以上货车1辆；</w:t>
      </w:r>
      <w:r>
        <w:rPr>
          <w:rFonts w:ascii="宋体" w:hAnsi="宋体"/>
          <w:color w:val="auto"/>
          <w:kern w:val="0"/>
          <w:sz w:val="24"/>
          <w:szCs w:val="24"/>
          <w:highlight w:val="none"/>
          <w:lang w:bidi="ar"/>
        </w:rPr>
        <w:t>台剪、高枝剪、枝剪等工具需满足日常工作需要。</w:t>
      </w:r>
    </w:p>
    <w:p>
      <w:pPr>
        <w:numPr>
          <w:ilvl w:val="0"/>
          <w:numId w:val="39"/>
        </w:num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人员数量</w:t>
      </w:r>
    </w:p>
    <w:p>
      <w:pPr>
        <w:rPr>
          <w:rFonts w:ascii="宋体" w:hAnsi="Times New Roman" w:cs="宋体"/>
          <w:color w:val="auto"/>
          <w:kern w:val="0"/>
          <w:sz w:val="24"/>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项目经理1人，绿化管护项目负责人1人，绿化管护技术负责人1人，时令鲜花（含花镜）专职管理技术人员1人，辖区公厕质量管理人员1人，公厕维修维护人员1人，环卫工人185人，绿化管护工人30人，环卫公厕管护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；驾驶人员不做具体要求，根据车辆数量配备。</w:t>
      </w:r>
    </w:p>
    <w:p>
      <w:pPr>
        <w:autoSpaceDE w:val="0"/>
        <w:autoSpaceDN w:val="0"/>
        <w:adjustRightInd w:val="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柳江街道办事处：</w:t>
      </w:r>
    </w:p>
    <w:p>
      <w:pPr>
        <w:spacing w:line="360" w:lineRule="auto"/>
        <w:rPr>
          <w:color w:val="auto"/>
          <w:highlight w:val="none"/>
        </w:rPr>
      </w:pPr>
      <w:r>
        <w:rPr>
          <w:rFonts w:hint="eastAsia"/>
          <w:b/>
          <w:color w:val="auto"/>
          <w:sz w:val="28"/>
          <w:szCs w:val="28"/>
          <w:highlight w:val="none"/>
        </w:rPr>
        <w:t>（一）环卫作业</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环卫保洁：</w:t>
      </w:r>
      <w:r>
        <w:rPr>
          <w:rFonts w:ascii="宋体" w:hAnsi="宋体"/>
          <w:color w:val="auto"/>
          <w:sz w:val="24"/>
          <w:szCs w:val="24"/>
          <w:highlight w:val="none"/>
        </w:rPr>
        <w:t>道路清扫保洁面积1066030㎡</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其中特级道路保洁面积87000</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一级道路保洁面积441450</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二级道路保洁面积308810</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三级道路保洁面积228770</w:t>
      </w:r>
      <w:r>
        <w:rPr>
          <w:rFonts w:hint="eastAsia" w:ascii="宋体" w:hAnsi="宋体"/>
          <w:color w:val="auto"/>
          <w:sz w:val="24"/>
          <w:szCs w:val="24"/>
          <w:highlight w:val="none"/>
          <w:lang w:eastAsia="zh-CN"/>
        </w:rPr>
        <w:t>㎡</w:t>
      </w:r>
      <w:r>
        <w:rPr>
          <w:rFonts w:hint="eastAsia" w:ascii="宋体" w:hAnsi="宋体"/>
          <w:color w:val="auto"/>
          <w:sz w:val="24"/>
          <w:szCs w:val="24"/>
          <w:highlight w:val="none"/>
        </w:rPr>
        <w:t>；市管绿化保洁面积</w:t>
      </w:r>
      <w:r>
        <w:rPr>
          <w:rFonts w:ascii="宋体" w:hAnsi="宋体"/>
          <w:color w:val="auto"/>
          <w:sz w:val="24"/>
          <w:szCs w:val="24"/>
          <w:highlight w:val="none"/>
        </w:rPr>
        <w:t>4320㎡</w:t>
      </w:r>
      <w:r>
        <w:rPr>
          <w:rFonts w:hint="eastAsia" w:ascii="宋体" w:hAnsi="宋体"/>
          <w:color w:val="auto"/>
          <w:sz w:val="24"/>
          <w:szCs w:val="24"/>
          <w:highlight w:val="none"/>
        </w:rPr>
        <w:t>；其他垃圾日清运量</w:t>
      </w:r>
      <w:r>
        <w:rPr>
          <w:rFonts w:ascii="宋体" w:hAnsi="宋体"/>
          <w:color w:val="auto"/>
          <w:sz w:val="24"/>
          <w:szCs w:val="24"/>
          <w:highlight w:val="none"/>
        </w:rPr>
        <w:t>70</w:t>
      </w:r>
      <w:r>
        <w:rPr>
          <w:rFonts w:hint="eastAsia" w:ascii="宋体" w:hAnsi="宋体"/>
          <w:color w:val="auto"/>
          <w:sz w:val="24"/>
          <w:szCs w:val="24"/>
          <w:highlight w:val="none"/>
        </w:rPr>
        <w:t>吨；厨余垃圾日清运量10吨。</w:t>
      </w:r>
    </w:p>
    <w:p>
      <w:pPr>
        <w:pStyle w:val="2"/>
        <w:jc w:val="center"/>
        <w:rPr>
          <w:rFonts w:hint="eastAsia" w:eastAsia="宋体"/>
          <w:color w:val="auto"/>
          <w:highlight w:val="none"/>
          <w:lang w:eastAsia="zh-CN"/>
        </w:rPr>
      </w:pPr>
      <w:r>
        <w:rPr>
          <w:rFonts w:hint="eastAsia" w:ascii="宋体" w:hAnsi="宋体"/>
          <w:color w:val="auto"/>
          <w:sz w:val="24"/>
          <w:szCs w:val="24"/>
          <w:highlight w:val="none"/>
          <w:lang w:eastAsia="zh-CN"/>
        </w:rPr>
        <w:t>道路明细表</w:t>
      </w:r>
    </w:p>
    <w:tbl>
      <w:tblPr>
        <w:tblStyle w:val="59"/>
        <w:tblpPr w:leftFromText="180" w:rightFromText="180" w:vertAnchor="text" w:horzAnchor="page" w:tblpX="1724" w:tblpY="271"/>
        <w:tblOverlap w:val="never"/>
        <w:tblW w:w="8546" w:type="dxa"/>
        <w:tblInd w:w="0" w:type="dxa"/>
        <w:shd w:val="clear" w:color="auto" w:fill="auto"/>
        <w:tblLayout w:type="fixed"/>
        <w:tblCellMar>
          <w:top w:w="0" w:type="dxa"/>
          <w:left w:w="0" w:type="dxa"/>
          <w:bottom w:w="0" w:type="dxa"/>
          <w:right w:w="0" w:type="dxa"/>
        </w:tblCellMar>
      </w:tblPr>
      <w:tblGrid>
        <w:gridCol w:w="824"/>
        <w:gridCol w:w="2180"/>
        <w:gridCol w:w="3838"/>
        <w:gridCol w:w="1704"/>
      </w:tblGrid>
      <w:tr>
        <w:tblPrEx>
          <w:shd w:val="clear" w:color="auto" w:fill="auto"/>
          <w:tblLayout w:type="fixed"/>
          <w:tblCellMar>
            <w:top w:w="0" w:type="dxa"/>
            <w:left w:w="0" w:type="dxa"/>
            <w:bottom w:w="0" w:type="dxa"/>
            <w:right w:w="0" w:type="dxa"/>
          </w:tblCellMar>
        </w:tblPrEx>
        <w:trPr>
          <w:trHeight w:val="312" w:hRule="atLeast"/>
        </w:trPr>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21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街道名称</w:t>
            </w:r>
          </w:p>
        </w:tc>
        <w:tc>
          <w:tcPr>
            <w:tcW w:w="38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起止点</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道路类型</w:t>
            </w:r>
          </w:p>
        </w:tc>
      </w:tr>
      <w:tr>
        <w:tblPrEx>
          <w:tblLayout w:type="fixed"/>
          <w:tblCellMar>
            <w:top w:w="0" w:type="dxa"/>
            <w:left w:w="0" w:type="dxa"/>
            <w:bottom w:w="0" w:type="dxa"/>
            <w:right w:w="0" w:type="dxa"/>
          </w:tblCellMar>
        </w:tblPrEx>
        <w:trPr>
          <w:trHeight w:val="312" w:hRule="atLeast"/>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c>
          <w:tcPr>
            <w:tcW w:w="21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c>
          <w:tcPr>
            <w:tcW w:w="38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auto"/>
                <w:sz w:val="20"/>
                <w:szCs w:val="20"/>
                <w:highlight w:val="none"/>
              </w:rPr>
            </w:pP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国瑞街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锦江大道-泰华西路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泰华西路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国华街-锦华路三段</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特级道路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三环路琉璃立交-绕城高速桥下</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永安大桥-锦江大道交界处（成龙）</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锦阳大道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三环路-成自泸收费站</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毕昇路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锦华路三段-国华街</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桦彩路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三色路-锦华路三段</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金石路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三环路-锦江大道</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三色路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三环路-锦江大道</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国华街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锦言大桥-翠柳湾支路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墨香路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三色路-锦盛路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锦盛路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桦彩路-墨香路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13</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五冶路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三色路-国华街</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翠影路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三色路-国华街</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琉新路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锦江大道-回龙寺交接（三圣）</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村道（祝国寺七组）</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锦华路三段-生研所后门</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祝国寺村道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康达路-祝国寺七组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18</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祝国寺村道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锦华路三段-农民新居</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桂馨路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锦江大道-楠丰路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榕声路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锦江大道-桐云路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楠丰路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锦江大道-柳荫路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柳荫路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锦江大道-楠丰路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23</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锦悦东路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锦华路三段-南方路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24</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祝国寺村道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祝国寺八组-锦华路三段</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南方路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锦悦东路-原农民新居</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26</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望山路（祝国寺段）</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锦华路三段-望山公墓</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27</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康达路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锦华路三段-望山路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28</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潘家沟11组</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锦江大道-11组道路终点</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29</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原柳江停车场</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锦江大道-11组道路终点</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中港悦荣府</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锦华路三段-前进厂宿舍</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31</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红果制衣</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琉新路-锦阳大道</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32</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竹望山路（潘家沟段）</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琉新路-潘家沟九组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33</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祝国寺村道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祝国寺七组-祝国寺八组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34</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锦馨山庄路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锦江大道-潘家沟一组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35</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锦瑞路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三环路-锦江大道</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36</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神经病院辅道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皇经楼路-锦城逸景门口精神病院</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37</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皇经楼一街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皇经楼路-皇经楼西路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38</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皇经楼二街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皇经楼路-皇经楼西路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39</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皇经楼三街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皇经楼路-皇经楼西区</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40</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皇经楼西路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三环路-皇经楼三街</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41</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锦丰一街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锦逸路-皇经楼路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42</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锦丰二街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锦逸路-皇经楼路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43</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锦丰三街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锦逸路-皇经楼路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44</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琉新街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三环路-皇经楼二街</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45</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劳务市场路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三环路-玉树路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46</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棬子树四社道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皇经楼二街-琉新路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47</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锦华路（棬子树段）</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三环路-琉新路口</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48</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琉新街</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锦华路-高压走廊</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49</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锦逸路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三环路-锦江大道</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玉树路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锦江大道-桐云路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51</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皇经楼三街（东延线）</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玉树路-皇经楼西路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52</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楠丰路（东延线）</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楠丰路-玉树路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53</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皇经楼西路（南延线）</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锦江大道-皇经楼三街</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二级道路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54</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H5线</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锦华路三段-榕声路</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55</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潘家沟八组村道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成自泸收费站-潘家沟八组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56</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包江桥社区</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生研所前门-教练场</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57</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包江桥停车场</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锦华路三段-包江桥停车场</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58</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祝国寺小学道路</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锦华路三段-祝国寺小学</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r>
        <w:tblPrEx>
          <w:tblLayout w:type="fixed"/>
          <w:tblCellMar>
            <w:top w:w="0" w:type="dxa"/>
            <w:left w:w="0" w:type="dxa"/>
            <w:bottom w:w="0" w:type="dxa"/>
            <w:right w:w="0"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59</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金星大道</w:t>
            </w:r>
          </w:p>
        </w:tc>
        <w:tc>
          <w:tcPr>
            <w:tcW w:w="3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祝国寺十二组-祝国寺十一组</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三级道路</w:t>
            </w:r>
          </w:p>
        </w:tc>
      </w:tr>
    </w:tbl>
    <w:p>
      <w:pPr>
        <w:autoSpaceDE w:val="0"/>
        <w:autoSpaceDN w:val="0"/>
        <w:adjustRightInd w:val="0"/>
        <w:jc w:val="left"/>
        <w:rPr>
          <w:rFonts w:ascii="宋体" w:hAnsi="宋体" w:cs="宋体"/>
          <w:color w:val="auto"/>
          <w:kern w:val="0"/>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环卫公厕：24小时公厕1座（锦馨公厕）；定时开放公厕11座（毕升路公厕、锦江大道成自泸路口公厕、皇经楼三街公厕、永安大桥公厕、包江桥路口公厕、锦华路三段包江桥停车场公厕、锦华路三段居然之家对面公厕、锦华路三段祝国寺公厕、优他公厕、锦逸路公厕、艺尚锦江公厕）。</w:t>
      </w:r>
    </w:p>
    <w:p>
      <w:pPr>
        <w:spacing w:line="360" w:lineRule="auto"/>
        <w:rPr>
          <w:color w:val="auto"/>
          <w:highlight w:val="none"/>
        </w:rPr>
      </w:pPr>
      <w:r>
        <w:rPr>
          <w:rFonts w:hint="eastAsia"/>
          <w:b/>
          <w:color w:val="auto"/>
          <w:sz w:val="28"/>
          <w:szCs w:val="28"/>
          <w:highlight w:val="none"/>
        </w:rPr>
        <w:t>（二）园林绿化</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绿地面积</w:t>
      </w:r>
      <w:r>
        <w:rPr>
          <w:rFonts w:ascii="宋体" w:hAnsi="宋体"/>
          <w:color w:val="auto"/>
          <w:kern w:val="0"/>
          <w:sz w:val="24"/>
          <w:szCs w:val="24"/>
          <w:highlight w:val="none"/>
          <w:lang w:bidi="ar"/>
        </w:rPr>
        <w:t>401451㎡</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广场游园面积1920㎡</w:t>
      </w:r>
      <w:r>
        <w:rPr>
          <w:rFonts w:hint="eastAsia" w:ascii="宋体" w:hAnsi="宋体"/>
          <w:color w:val="auto"/>
          <w:kern w:val="0"/>
          <w:sz w:val="24"/>
          <w:szCs w:val="24"/>
          <w:highlight w:val="none"/>
          <w:lang w:bidi="ar"/>
        </w:rPr>
        <w:t>；</w:t>
      </w:r>
      <w:r>
        <w:rPr>
          <w:rFonts w:ascii="宋体" w:hAnsi="宋体"/>
          <w:color w:val="auto"/>
          <w:kern w:val="0"/>
          <w:sz w:val="24"/>
          <w:szCs w:val="24"/>
          <w:highlight w:val="none"/>
          <w:lang w:bidi="ar"/>
        </w:rPr>
        <w:t>地栽花面积750㎡</w:t>
      </w:r>
      <w:r>
        <w:rPr>
          <w:rFonts w:hint="eastAsia" w:ascii="宋体" w:hAnsi="宋体"/>
          <w:color w:val="auto"/>
          <w:kern w:val="0"/>
          <w:sz w:val="24"/>
          <w:szCs w:val="24"/>
          <w:highlight w:val="none"/>
          <w:lang w:bidi="ar"/>
        </w:rPr>
        <w:t>。</w:t>
      </w:r>
    </w:p>
    <w:p>
      <w:pPr>
        <w:autoSpaceDE w:val="0"/>
        <w:autoSpaceDN w:val="0"/>
        <w:adjustRightInd w:val="0"/>
        <w:jc w:val="left"/>
        <w:rPr>
          <w:rFonts w:ascii="宋体" w:hAnsi="Times New Roman" w:cs="宋体"/>
          <w:color w:val="auto"/>
          <w:kern w:val="0"/>
          <w:sz w:val="24"/>
          <w:szCs w:val="24"/>
          <w:highlight w:val="none"/>
          <w:lang w:bidi="ar"/>
        </w:rPr>
      </w:pPr>
    </w:p>
    <w:p>
      <w:pPr>
        <w:autoSpaceDE w:val="0"/>
        <w:autoSpaceDN w:val="0"/>
        <w:adjustRightInd w:val="0"/>
        <w:jc w:val="left"/>
        <w:rPr>
          <w:rFonts w:ascii="宋体" w:hAnsi="Times New Roman" w:cs="宋体"/>
          <w:color w:val="auto"/>
          <w:kern w:val="0"/>
          <w:sz w:val="24"/>
          <w:szCs w:val="24"/>
          <w:highlight w:val="none"/>
          <w:lang w:bidi="ar"/>
        </w:rPr>
      </w:pPr>
    </w:p>
    <w:tbl>
      <w:tblPr>
        <w:tblStyle w:val="59"/>
        <w:tblW w:w="6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7"/>
        <w:gridCol w:w="852"/>
        <w:gridCol w:w="992"/>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675" w:type="dxa"/>
            <w:vMerge w:val="restart"/>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267" w:type="dxa"/>
            <w:vMerge w:val="restart"/>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园林绿化点位</w:t>
            </w:r>
          </w:p>
        </w:tc>
        <w:tc>
          <w:tcPr>
            <w:tcW w:w="3687" w:type="dxa"/>
            <w:gridSpan w:val="4"/>
            <w:vAlign w:val="center"/>
          </w:tcPr>
          <w:p>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招标面积（㎡）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675" w:type="dxa"/>
            <w:vMerge w:val="continue"/>
            <w:vAlign w:val="center"/>
          </w:tcPr>
          <w:p>
            <w:pPr>
              <w:widowControl/>
              <w:jc w:val="center"/>
              <w:rPr>
                <w:rFonts w:ascii="宋体" w:hAnsi="宋体" w:cs="宋体"/>
                <w:b/>
                <w:bCs/>
                <w:color w:val="auto"/>
                <w:kern w:val="0"/>
                <w:szCs w:val="21"/>
                <w:highlight w:val="none"/>
              </w:rPr>
            </w:pPr>
          </w:p>
        </w:tc>
        <w:tc>
          <w:tcPr>
            <w:tcW w:w="2267" w:type="dxa"/>
            <w:vMerge w:val="continue"/>
            <w:vAlign w:val="center"/>
          </w:tcPr>
          <w:p>
            <w:pPr>
              <w:widowControl/>
              <w:jc w:val="center"/>
              <w:rPr>
                <w:rFonts w:ascii="宋体" w:hAnsi="宋体" w:cs="宋体"/>
                <w:b/>
                <w:bCs/>
                <w:color w:val="auto"/>
                <w:kern w:val="0"/>
                <w:szCs w:val="21"/>
                <w:highlight w:val="none"/>
              </w:rPr>
            </w:pPr>
          </w:p>
        </w:tc>
        <w:tc>
          <w:tcPr>
            <w:tcW w:w="852" w:type="dxa"/>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lang w:eastAsia="zh-CN"/>
              </w:rPr>
              <w:t>小计</w:t>
            </w:r>
            <w:r>
              <w:rPr>
                <w:rFonts w:hint="eastAsia" w:ascii="宋体" w:hAnsi="宋体" w:cs="宋体"/>
                <w:b/>
                <w:bCs/>
                <w:color w:val="auto"/>
                <w:kern w:val="0"/>
                <w:szCs w:val="21"/>
                <w:highlight w:val="none"/>
              </w:rPr>
              <w:t>（㎡）</w:t>
            </w:r>
          </w:p>
        </w:tc>
        <w:tc>
          <w:tcPr>
            <w:tcW w:w="992" w:type="dxa"/>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绿地面积（㎡）</w:t>
            </w:r>
          </w:p>
        </w:tc>
        <w:tc>
          <w:tcPr>
            <w:tcW w:w="992" w:type="dxa"/>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广场游园面积（㎡）</w:t>
            </w:r>
          </w:p>
        </w:tc>
        <w:tc>
          <w:tcPr>
            <w:tcW w:w="851" w:type="dxa"/>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地栽花面积（㎡）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毕昇路入口节点（三环路节点）及毕昇路绿化</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6473</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6473</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三色路绿化</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1028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1028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墨香路绿化</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392</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392</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金石路绿化</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720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720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国华路沿线及河边绿化(三环路-五冶路口两侧）</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72385</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72385</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新成仁路（三环路-包江桥）</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3412</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3412</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新成仁路绿化改造工程（祝国寺段） </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39094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39094</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锦江大道（包江桥-永安路大桥）</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48140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48140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广场：锦馨家园周边绿地 </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48400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48400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锦江大道绿化 （包江桥-成仁快速通道）</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48261</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48011</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锦阳大道</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34358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34358</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267"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国华街（2017年10月1日移交标段）</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9831</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9831</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267"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石胜路景观提升绿地（含成仁快速通道锦江大道--三环路路边部分绿化）</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64617</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64617</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2267"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 xml:space="preserve">锦阳大道（锦江大道外侧成龙段）, </w:t>
            </w:r>
          </w:p>
        </w:tc>
        <w:tc>
          <w:tcPr>
            <w:tcW w:w="852" w:type="dxa"/>
            <w:vAlign w:val="center"/>
          </w:tcPr>
          <w:p>
            <w:pPr>
              <w:widowControl/>
              <w:rPr>
                <w:rFonts w:ascii="宋体" w:hAnsi="宋体" w:cs="宋体"/>
                <w:color w:val="auto"/>
                <w:kern w:val="0"/>
                <w:szCs w:val="21"/>
                <w:highlight w:val="none"/>
              </w:rPr>
            </w:pPr>
            <w:r>
              <w:rPr>
                <w:rFonts w:hint="eastAsia" w:ascii="宋体" w:hAnsi="宋体" w:cs="宋体"/>
                <w:color w:val="auto"/>
                <w:kern w:val="0"/>
                <w:szCs w:val="21"/>
                <w:highlight w:val="none"/>
              </w:rPr>
              <w:t>11680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11180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7"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2267"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皇经楼片区十米绿化带（2013.9新增</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1780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1780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2267"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柳荫路“两拆一增”</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11630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11630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675"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2267" w:type="dxa"/>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华润时光绘小游园</w:t>
            </w:r>
          </w:p>
        </w:tc>
        <w:tc>
          <w:tcPr>
            <w:tcW w:w="85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1920</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1920</w:t>
            </w:r>
          </w:p>
        </w:tc>
        <w:tc>
          <w:tcPr>
            <w:tcW w:w="851" w:type="dxa"/>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942" w:type="dxa"/>
            <w:gridSpan w:val="2"/>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合计</w:t>
            </w:r>
          </w:p>
        </w:tc>
        <w:tc>
          <w:tcPr>
            <w:tcW w:w="852"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404121</w:t>
            </w:r>
          </w:p>
        </w:tc>
        <w:tc>
          <w:tcPr>
            <w:tcW w:w="992"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401451</w:t>
            </w:r>
          </w:p>
        </w:tc>
        <w:tc>
          <w:tcPr>
            <w:tcW w:w="992" w:type="dxa"/>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1920</w:t>
            </w:r>
          </w:p>
        </w:tc>
        <w:tc>
          <w:tcPr>
            <w:tcW w:w="851" w:type="dxa"/>
            <w:vAlign w:val="center"/>
          </w:tcPr>
          <w:p>
            <w:pPr>
              <w:widowControl/>
              <w:jc w:val="both"/>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750</w:t>
            </w:r>
          </w:p>
        </w:tc>
      </w:tr>
    </w:tbl>
    <w:p>
      <w:pPr>
        <w:autoSpaceDE w:val="0"/>
        <w:autoSpaceDN w:val="0"/>
        <w:adjustRightInd w:val="0"/>
        <w:jc w:val="left"/>
        <w:rPr>
          <w:rFonts w:ascii="宋体" w:hAnsi="Times New Roman" w:cs="宋体"/>
          <w:color w:val="auto"/>
          <w:kern w:val="0"/>
          <w:sz w:val="24"/>
          <w:szCs w:val="24"/>
          <w:highlight w:val="none"/>
          <w:lang w:bidi="ar"/>
        </w:rPr>
      </w:pPr>
    </w:p>
    <w:p>
      <w:pPr>
        <w:spacing w:line="360" w:lineRule="auto"/>
        <w:rPr>
          <w:b/>
          <w:color w:val="auto"/>
          <w:sz w:val="28"/>
          <w:szCs w:val="28"/>
          <w:highlight w:val="none"/>
        </w:rPr>
      </w:pPr>
      <w:r>
        <w:rPr>
          <w:rFonts w:hint="eastAsia"/>
          <w:b/>
          <w:color w:val="auto"/>
          <w:sz w:val="28"/>
          <w:szCs w:val="28"/>
          <w:highlight w:val="none"/>
        </w:rPr>
        <w:t>（三）河道管护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河床面积52100平方米，河道栏杆长度10200米，河道绿化面积33600平方米。</w:t>
      </w:r>
    </w:p>
    <w:p>
      <w:pPr>
        <w:spacing w:line="360" w:lineRule="auto"/>
        <w:rPr>
          <w:rFonts w:hint="eastAsia" w:eastAsia="宋体"/>
          <w:b/>
          <w:color w:val="auto"/>
          <w:sz w:val="28"/>
          <w:szCs w:val="28"/>
          <w:highlight w:val="none"/>
          <w:lang w:eastAsia="zh-CN"/>
        </w:rPr>
      </w:pPr>
      <w:r>
        <w:rPr>
          <w:rFonts w:hint="eastAsia" w:ascii="宋体" w:hAnsi="宋体" w:eastAsia="宋体"/>
          <w:b/>
          <w:color w:val="auto"/>
          <w:sz w:val="28"/>
          <w:szCs w:val="28"/>
          <w:highlight w:val="none"/>
        </w:rPr>
        <w:t>★</w:t>
      </w:r>
      <w:r>
        <w:rPr>
          <w:rFonts w:hint="eastAsia"/>
          <w:b/>
          <w:color w:val="auto"/>
          <w:sz w:val="28"/>
          <w:szCs w:val="28"/>
          <w:highlight w:val="none"/>
          <w:lang w:eastAsia="zh-CN"/>
        </w:rPr>
        <w:t>（四）设施设备需求数量</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1.</w:t>
      </w:r>
      <w:r>
        <w:rPr>
          <w:rFonts w:hint="eastAsia" w:ascii="Times New Roman" w:hAnsi="Times New Roman"/>
          <w:color w:val="auto"/>
          <w:szCs w:val="24"/>
          <w:highlight w:val="none"/>
        </w:rPr>
        <w:t xml:space="preserve"> </w:t>
      </w:r>
      <w:r>
        <w:rPr>
          <w:rFonts w:hint="eastAsia" w:ascii="宋体" w:hAnsi="宋体"/>
          <w:color w:val="auto"/>
          <w:kern w:val="0"/>
          <w:sz w:val="24"/>
          <w:szCs w:val="24"/>
          <w:highlight w:val="none"/>
          <w:lang w:bidi="ar"/>
        </w:rPr>
        <w:t>环卫</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车辆管理机关登记挂牌机动车：</w:t>
      </w:r>
      <w:r>
        <w:rPr>
          <w:rFonts w:ascii="宋体" w:hAnsi="宋体"/>
          <w:color w:val="auto"/>
          <w:kern w:val="0"/>
          <w:sz w:val="24"/>
          <w:szCs w:val="24"/>
          <w:highlight w:val="none"/>
          <w:lang w:bidi="ar"/>
        </w:rPr>
        <w:t>垃圾压缩车（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6辆；洒水车（核定载质量≥8吨）5辆；多功能洗扫车（核定载质量≥4吨）4辆；雾炮车（核定载质量≥5吨）1辆；护栏清洗车（核定载质量≥3吨）1辆；</w:t>
      </w:r>
      <w:r>
        <w:rPr>
          <w:rFonts w:ascii="宋体" w:hAnsi="宋体"/>
          <w:color w:val="auto"/>
          <w:kern w:val="0"/>
          <w:sz w:val="24"/>
          <w:szCs w:val="24"/>
          <w:highlight w:val="none"/>
          <w:lang w:bidi="ar"/>
        </w:rPr>
        <w:t>厨余垃圾运输车（</w:t>
      </w:r>
      <w:r>
        <w:rPr>
          <w:rFonts w:hint="eastAsia" w:ascii="宋体" w:hAnsi="宋体"/>
          <w:color w:val="auto"/>
          <w:kern w:val="0"/>
          <w:sz w:val="24"/>
          <w:szCs w:val="24"/>
          <w:highlight w:val="none"/>
          <w:lang w:bidi="ar"/>
        </w:rPr>
        <w:t>核定载质量</w:t>
      </w:r>
      <w:r>
        <w:rPr>
          <w:rFonts w:ascii="宋体" w:hAnsi="宋体"/>
          <w:color w:val="auto"/>
          <w:kern w:val="0"/>
          <w:sz w:val="24"/>
          <w:szCs w:val="24"/>
          <w:highlight w:val="none"/>
          <w:lang w:bidi="ar"/>
        </w:rPr>
        <w:t>≥5吨）</w:t>
      </w:r>
      <w:r>
        <w:rPr>
          <w:rFonts w:hint="eastAsia" w:ascii="宋体" w:hAnsi="宋体"/>
          <w:color w:val="auto"/>
          <w:kern w:val="0"/>
          <w:sz w:val="24"/>
          <w:szCs w:val="24"/>
          <w:highlight w:val="none"/>
          <w:lang w:bidi="ar"/>
        </w:rPr>
        <w:t>2辆；垃圾收集车（箱式货车）：可回收物箱式货车（核定载质量≥1吨）2辆，有害垃圾箱式货车（核定载质量≥0.5吨）1辆；</w:t>
      </w:r>
    </w:p>
    <w:p>
      <w:pPr>
        <w:spacing w:line="360" w:lineRule="auto"/>
        <w:ind w:firstLine="480" w:firstLineChars="200"/>
        <w:rPr>
          <w:rFonts w:hint="eastAsia" w:ascii="宋体" w:hAnsi="宋体" w:eastAsia="宋体"/>
          <w:color w:val="auto"/>
          <w:kern w:val="0"/>
          <w:sz w:val="24"/>
          <w:szCs w:val="24"/>
          <w:highlight w:val="none"/>
          <w:lang w:eastAsia="zh-CN" w:bidi="ar"/>
        </w:rPr>
      </w:pPr>
      <w:r>
        <w:rPr>
          <w:rFonts w:hint="eastAsia" w:ascii="宋体" w:hAnsi="宋体"/>
          <w:color w:val="auto"/>
          <w:kern w:val="0"/>
          <w:sz w:val="24"/>
          <w:szCs w:val="24"/>
          <w:highlight w:val="none"/>
          <w:lang w:bidi="ar"/>
        </w:rPr>
        <w:t>小型车辆：</w:t>
      </w:r>
      <w:r>
        <w:rPr>
          <w:rFonts w:ascii="宋体" w:hAnsi="宋体"/>
          <w:color w:val="auto"/>
          <w:kern w:val="0"/>
          <w:sz w:val="24"/>
          <w:szCs w:val="24"/>
          <w:highlight w:val="none"/>
          <w:lang w:bidi="ar"/>
        </w:rPr>
        <w:t>其他垃圾</w:t>
      </w:r>
      <w:r>
        <w:rPr>
          <w:rFonts w:hint="eastAsia" w:ascii="宋体" w:hAnsi="宋体"/>
          <w:color w:val="auto"/>
          <w:kern w:val="0"/>
          <w:sz w:val="24"/>
          <w:szCs w:val="24"/>
          <w:highlight w:val="none"/>
          <w:lang w:bidi="ar"/>
        </w:rPr>
        <w:t>收集车16辆；</w:t>
      </w:r>
      <w:r>
        <w:rPr>
          <w:rFonts w:ascii="宋体" w:hAnsi="宋体"/>
          <w:color w:val="auto"/>
          <w:kern w:val="0"/>
          <w:sz w:val="24"/>
          <w:szCs w:val="24"/>
          <w:highlight w:val="none"/>
          <w:lang w:bidi="ar"/>
        </w:rPr>
        <w:t>白色垃圾快速捡拾车</w:t>
      </w:r>
      <w:r>
        <w:rPr>
          <w:rFonts w:hint="eastAsia" w:ascii="宋体" w:hAnsi="宋体"/>
          <w:color w:val="auto"/>
          <w:kern w:val="0"/>
          <w:sz w:val="24"/>
          <w:szCs w:val="24"/>
          <w:highlight w:val="none"/>
          <w:lang w:bidi="ar"/>
        </w:rPr>
        <w:t>3</w:t>
      </w:r>
      <w:r>
        <w:rPr>
          <w:rFonts w:hint="eastAsia" w:ascii="宋体" w:hAnsi="宋体"/>
          <w:color w:val="auto"/>
          <w:kern w:val="0"/>
          <w:sz w:val="24"/>
          <w:szCs w:val="24"/>
          <w:highlight w:val="none"/>
          <w:lang w:val="en-US" w:eastAsia="zh-CN" w:bidi="ar"/>
        </w:rPr>
        <w:t>0</w:t>
      </w:r>
      <w:r>
        <w:rPr>
          <w:rFonts w:hint="eastAsia" w:ascii="宋体" w:hAnsi="宋体"/>
          <w:color w:val="auto"/>
          <w:kern w:val="0"/>
          <w:sz w:val="24"/>
          <w:szCs w:val="24"/>
          <w:highlight w:val="none"/>
          <w:lang w:bidi="ar"/>
        </w:rPr>
        <w:t>辆；</w:t>
      </w:r>
      <w:r>
        <w:rPr>
          <w:rFonts w:ascii="宋体" w:hAnsi="宋体"/>
          <w:color w:val="auto"/>
          <w:kern w:val="0"/>
          <w:sz w:val="24"/>
          <w:szCs w:val="24"/>
          <w:highlight w:val="none"/>
          <w:lang w:bidi="ar"/>
        </w:rPr>
        <w:t>高压清洗车</w:t>
      </w:r>
      <w:r>
        <w:rPr>
          <w:rFonts w:hint="eastAsia" w:ascii="宋体" w:hAnsi="宋体"/>
          <w:color w:val="auto"/>
          <w:kern w:val="0"/>
          <w:sz w:val="24"/>
          <w:szCs w:val="24"/>
          <w:highlight w:val="none"/>
          <w:lang w:bidi="ar"/>
        </w:rPr>
        <w:t>9辆；</w:t>
      </w:r>
      <w:r>
        <w:rPr>
          <w:rFonts w:ascii="宋体" w:hAnsi="宋体"/>
          <w:color w:val="auto"/>
          <w:kern w:val="0"/>
          <w:sz w:val="24"/>
          <w:szCs w:val="24"/>
          <w:highlight w:val="none"/>
          <w:lang w:bidi="ar"/>
        </w:rPr>
        <w:t>小型电动扫地车</w:t>
      </w:r>
      <w:r>
        <w:rPr>
          <w:rFonts w:hint="eastAsia" w:ascii="宋体" w:hAnsi="宋体"/>
          <w:color w:val="auto"/>
          <w:kern w:val="0"/>
          <w:sz w:val="24"/>
          <w:szCs w:val="24"/>
          <w:highlight w:val="none"/>
          <w:lang w:bidi="ar"/>
        </w:rPr>
        <w:t>10辆</w:t>
      </w:r>
      <w:r>
        <w:rPr>
          <w:rFonts w:hint="eastAsia" w:ascii="宋体" w:hAnsi="宋体"/>
          <w:color w:val="auto"/>
          <w:kern w:val="0"/>
          <w:sz w:val="24"/>
          <w:szCs w:val="24"/>
          <w:highlight w:val="none"/>
          <w:lang w:eastAsia="zh-CN" w:bidi="ar"/>
        </w:rPr>
        <w:t>，</w:t>
      </w:r>
      <w:r>
        <w:rPr>
          <w:rFonts w:hint="eastAsia" w:ascii="宋体" w:hAnsi="宋体" w:eastAsia="宋体" w:cs="Times New Roman"/>
          <w:color w:val="auto"/>
          <w:szCs w:val="21"/>
          <w:highlight w:val="none"/>
          <w:lang w:eastAsia="zh-CN"/>
        </w:rPr>
        <w:t>小型分类收集车</w:t>
      </w:r>
      <w:r>
        <w:rPr>
          <w:rFonts w:hint="eastAsia" w:ascii="宋体" w:hAnsi="宋体" w:cs="Times New Roman"/>
          <w:color w:val="auto"/>
          <w:szCs w:val="21"/>
          <w:highlight w:val="none"/>
          <w:lang w:val="en-US" w:eastAsia="zh-CN"/>
        </w:rPr>
        <w:t>5辆。</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2. 绿化管护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剪草机3辆；割灌机1辆；高枝油锯1把，油锯1把，打孔机1辆，打药机1辆；吹风机1辆；核定载质量0.5吨（含）以上货车1辆；四轮巡检车（机动车）1辆；核定载质量1.3吨（含）以上货车1辆；台剪、高枝剪、枝剪等工具需满足日常工作需要。</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3. 河道管护</w:t>
      </w:r>
    </w:p>
    <w:p>
      <w:pPr>
        <w:spacing w:line="360" w:lineRule="auto"/>
        <w:ind w:firstLine="480" w:firstLineChars="200"/>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需配备河道打捞的基本设施及器具。</w:t>
      </w:r>
    </w:p>
    <w:p>
      <w:pPr>
        <w:spacing w:line="360" w:lineRule="auto"/>
        <w:rPr>
          <w:b/>
          <w:color w:val="auto"/>
          <w:sz w:val="28"/>
          <w:szCs w:val="28"/>
          <w:highlight w:val="none"/>
        </w:rPr>
      </w:pPr>
      <w:r>
        <w:rPr>
          <w:rFonts w:hint="eastAsia" w:ascii="宋体" w:hAnsi="宋体" w:eastAsia="宋体"/>
          <w:b/>
          <w:color w:val="auto"/>
          <w:sz w:val="28"/>
          <w:szCs w:val="28"/>
          <w:highlight w:val="none"/>
        </w:rPr>
        <w:t>★</w:t>
      </w:r>
      <w:r>
        <w:rPr>
          <w:rFonts w:hint="eastAsia"/>
          <w:b/>
          <w:color w:val="auto"/>
          <w:sz w:val="28"/>
          <w:szCs w:val="28"/>
          <w:highlight w:val="none"/>
        </w:rPr>
        <w:t>（五）人员数量</w:t>
      </w:r>
    </w:p>
    <w:p>
      <w:pPr>
        <w:rPr>
          <w:rFonts w:ascii="宋体" w:hAnsi="宋体"/>
          <w:color w:val="auto"/>
          <w:kern w:val="0"/>
          <w:sz w:val="24"/>
          <w:szCs w:val="24"/>
          <w:highlight w:val="none"/>
          <w:lang w:bidi="ar"/>
        </w:rPr>
      </w:pPr>
      <w:r>
        <w:rPr>
          <w:rFonts w:hint="eastAsia" w:ascii="宋体" w:hAnsi="宋体"/>
          <w:color w:val="auto"/>
          <w:kern w:val="0"/>
          <w:sz w:val="24"/>
          <w:szCs w:val="24"/>
          <w:highlight w:val="none"/>
          <w:lang w:bidi="ar"/>
        </w:rPr>
        <w:t>项目经理1人，绿化管护项目负责人1人，绿化管护技术负责人1人，时令鲜花（含花镜）专职管理技术人员1人，辖区公厕质量管理人员1人，公厕维修维护人员1人，环卫工人147人，绿化管护工人30人，环卫公厕管护</w:t>
      </w:r>
      <w:r>
        <w:rPr>
          <w:rFonts w:hint="eastAsia" w:ascii="宋体" w:hAnsi="宋体"/>
          <w:color w:val="auto"/>
          <w:kern w:val="0"/>
          <w:sz w:val="24"/>
          <w:szCs w:val="24"/>
          <w:highlight w:val="none"/>
          <w:lang w:eastAsia="zh-CN" w:bidi="ar"/>
        </w:rPr>
        <w:t>工人数量按实际数量配备（定时环卫公厕</w:t>
      </w:r>
      <w:r>
        <w:rPr>
          <w:rFonts w:hint="eastAsia" w:ascii="宋体" w:hAnsi="宋体"/>
          <w:color w:val="auto"/>
          <w:kern w:val="0"/>
          <w:sz w:val="24"/>
          <w:szCs w:val="24"/>
          <w:highlight w:val="none"/>
          <w:lang w:val="en-US" w:eastAsia="zh-CN" w:bidi="ar"/>
        </w:rPr>
        <w:t>1人，24小时环卫公厕2人</w:t>
      </w:r>
      <w:r>
        <w:rPr>
          <w:rFonts w:hint="eastAsia" w:ascii="宋体" w:hAnsi="宋体"/>
          <w:color w:val="auto"/>
          <w:kern w:val="0"/>
          <w:sz w:val="24"/>
          <w:szCs w:val="24"/>
          <w:highlight w:val="none"/>
          <w:lang w:eastAsia="zh-CN" w:bidi="ar"/>
        </w:rPr>
        <w:t>）</w:t>
      </w:r>
      <w:r>
        <w:rPr>
          <w:rFonts w:hint="eastAsia" w:ascii="宋体" w:hAnsi="宋体"/>
          <w:color w:val="auto"/>
          <w:kern w:val="0"/>
          <w:sz w:val="24"/>
          <w:szCs w:val="24"/>
          <w:highlight w:val="none"/>
          <w:lang w:bidi="ar"/>
        </w:rPr>
        <w:t>，河道管护工人8人。驾驶人员不做具体要求，根据车辆数量配备。</w:t>
      </w:r>
    </w:p>
    <w:p>
      <w:pPr>
        <w:widowControl/>
        <w:jc w:val="left"/>
        <w:rPr>
          <w:rFonts w:ascii="Times New Roman" w:hAnsi="Times New Roman"/>
          <w:b/>
          <w:color w:val="auto"/>
          <w:sz w:val="24"/>
          <w:szCs w:val="24"/>
          <w:highlight w:val="none"/>
        </w:rPr>
      </w:pPr>
      <w:r>
        <w:rPr>
          <w:rFonts w:hint="eastAsia" w:ascii="Times New Roman" w:hAnsi="Times New Roman"/>
          <w:b/>
          <w:color w:val="auto"/>
          <w:sz w:val="24"/>
          <w:szCs w:val="24"/>
          <w:highlight w:val="none"/>
        </w:rPr>
        <w:t>四、</w:t>
      </w:r>
      <w:r>
        <w:rPr>
          <w:rFonts w:hint="eastAsia"/>
          <w:b/>
          <w:color w:val="auto"/>
          <w:sz w:val="28"/>
          <w:szCs w:val="28"/>
          <w:highlight w:val="none"/>
        </w:rPr>
        <w:t>★商务要求</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1、项目服务期限为3年（2022年1月1日至2024年12月31日），合同一年一签。</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2、采购预算：书院街街道办事处</w:t>
      </w:r>
      <w:r>
        <w:rPr>
          <w:rFonts w:ascii="宋体" w:hAnsi="宋体" w:cs="宋体"/>
          <w:bCs/>
          <w:color w:val="auto"/>
          <w:sz w:val="24"/>
          <w:szCs w:val="24"/>
          <w:highlight w:val="none"/>
        </w:rPr>
        <w:t>1702.02</w:t>
      </w:r>
      <w:r>
        <w:rPr>
          <w:rFonts w:hint="eastAsia" w:ascii="宋体" w:hAnsi="宋体" w:cs="宋体"/>
          <w:bCs/>
          <w:color w:val="auto"/>
          <w:sz w:val="24"/>
          <w:szCs w:val="24"/>
          <w:highlight w:val="none"/>
        </w:rPr>
        <w:t>万元/年、柳江街道办事处</w:t>
      </w:r>
      <w:r>
        <w:rPr>
          <w:rFonts w:ascii="宋体" w:hAnsi="宋体" w:cs="宋体"/>
          <w:bCs/>
          <w:color w:val="auto"/>
          <w:sz w:val="24"/>
          <w:szCs w:val="24"/>
          <w:highlight w:val="none"/>
        </w:rPr>
        <w:t>1575.02</w:t>
      </w:r>
      <w:r>
        <w:rPr>
          <w:rFonts w:hint="eastAsia" w:ascii="宋体" w:hAnsi="宋体" w:cs="宋体"/>
          <w:bCs/>
          <w:color w:val="auto"/>
          <w:sz w:val="24"/>
          <w:szCs w:val="24"/>
          <w:highlight w:val="none"/>
        </w:rPr>
        <w:t>万元/年；合计：</w:t>
      </w:r>
      <w:r>
        <w:rPr>
          <w:rFonts w:ascii="宋体" w:hAnsi="宋体" w:cs="宋体"/>
          <w:bCs/>
          <w:color w:val="auto"/>
          <w:sz w:val="24"/>
          <w:szCs w:val="24"/>
          <w:highlight w:val="none"/>
        </w:rPr>
        <w:t>3277.04</w:t>
      </w:r>
      <w:r>
        <w:rPr>
          <w:rFonts w:hint="eastAsia" w:ascii="宋体" w:hAnsi="宋体" w:cs="宋体"/>
          <w:bCs/>
          <w:color w:val="auto"/>
          <w:sz w:val="24"/>
          <w:szCs w:val="24"/>
          <w:highlight w:val="none"/>
        </w:rPr>
        <w:t>万元/年；</w:t>
      </w:r>
      <w:r>
        <w:rPr>
          <w:rFonts w:hint="eastAsia" w:ascii="宋体" w:hAnsi="宋体" w:cs="宋体"/>
          <w:b/>
          <w:bCs/>
          <w:color w:val="auto"/>
          <w:sz w:val="24"/>
          <w:szCs w:val="24"/>
          <w:highlight w:val="none"/>
        </w:rPr>
        <w:t>（每个街道办事处应分别报价，且报价不超过该街道办事处的采购预算。）</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3、服务地点：书院街街道办事处、柳江街道办事处管辖区域。</w:t>
      </w:r>
    </w:p>
    <w:p>
      <w:pPr>
        <w:spacing w:line="360" w:lineRule="auto"/>
        <w:ind w:firstLine="480" w:firstLineChars="200"/>
        <w:rPr>
          <w:rFonts w:ascii="宋体" w:hAnsi="宋体" w:cs="宋体"/>
          <w:b/>
          <w:bCs/>
          <w:color w:val="auto"/>
          <w:sz w:val="24"/>
          <w:szCs w:val="24"/>
          <w:highlight w:val="none"/>
        </w:rPr>
      </w:pPr>
      <w:r>
        <w:rPr>
          <w:rFonts w:hint="eastAsia" w:ascii="宋体" w:hAnsi="宋体" w:cs="宋体"/>
          <w:bCs/>
          <w:color w:val="auto"/>
          <w:sz w:val="24"/>
          <w:szCs w:val="24"/>
          <w:highlight w:val="none"/>
        </w:rPr>
        <w:t>4、</w:t>
      </w:r>
      <w:r>
        <w:rPr>
          <w:rFonts w:hint="eastAsia" w:ascii="宋体" w:hAnsi="宋体" w:cs="宋体"/>
          <w:color w:val="auto"/>
          <w:sz w:val="24"/>
          <w:szCs w:val="24"/>
          <w:highlight w:val="none"/>
        </w:rPr>
        <w:t>报价要求：所有报价一律以人民币报价。采购人不接受任何非人民币币种的报价。投标人的报价是其响应本项目要求的全部工作内容的价格体现，采购人将不再支付其他额外费用。</w:t>
      </w:r>
    </w:p>
    <w:p>
      <w:pPr>
        <w:pStyle w:val="61"/>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5.结算时间及结算方式：</w:t>
      </w:r>
      <w:r>
        <w:rPr>
          <w:rFonts w:hint="default" w:ascii="宋体" w:hAnsi="宋体" w:eastAsia="宋体" w:cs="宋体"/>
          <w:color w:val="auto"/>
          <w:sz w:val="24"/>
          <w:szCs w:val="24"/>
          <w:highlight w:val="none"/>
          <w:lang w:val="en-US" w:eastAsia="zh-CN"/>
        </w:rPr>
        <w:t>考核结果作为拨付经费的依据。（一）月实际拨付经费=月考核经费－日常巡查扣减经费。（二）月考核经费=月作业经费×A(考核得分）%。（三）月作业经费根据每月实际作业内容、作业面积和相应单价等确定</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结算时间：依据相应合同条款。</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6.履约验收：按《财政部关于进一步加强政府采购需求和履约验收管理的指导意见》（财库〔2016〕205号）的要求以及采购文件要求进行验收。</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7.考核方式：</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区综合执法局是全区环卫保洁、环卫公厕和河道管护的行政主管部门，以属地街道办事处一体化服务作业范围作为受考对象，参照相关文件要求</w:t>
      </w:r>
      <w:r>
        <w:rPr>
          <w:rFonts w:hint="eastAsia" w:ascii="宋体" w:hAnsi="宋体" w:cs="宋体"/>
          <w:color w:val="auto"/>
          <w:sz w:val="24"/>
          <w:szCs w:val="24"/>
          <w:highlight w:val="none"/>
          <w:lang w:eastAsia="zh-CN"/>
        </w:rPr>
        <w:t>进</w:t>
      </w:r>
      <w:r>
        <w:rPr>
          <w:rFonts w:hint="eastAsia" w:ascii="宋体" w:hAnsi="宋体" w:cs="宋体"/>
          <w:color w:val="auto"/>
          <w:sz w:val="24"/>
          <w:szCs w:val="24"/>
          <w:highlight w:val="none"/>
        </w:rPr>
        <w:t>行考核。</w:t>
      </w:r>
      <w:r>
        <w:rPr>
          <w:rFonts w:hint="eastAsia" w:ascii="宋体" w:hAnsi="宋体" w:cs="宋体"/>
          <w:color w:val="auto"/>
          <w:sz w:val="24"/>
          <w:szCs w:val="24"/>
          <w:highlight w:val="none"/>
          <w:lang w:eastAsia="zh-CN"/>
        </w:rPr>
        <w:t>详见《</w:t>
      </w:r>
      <w:r>
        <w:rPr>
          <w:rFonts w:hint="default" w:ascii="宋体" w:hAnsi="宋体" w:eastAsia="宋体" w:cs="宋体"/>
          <w:color w:val="auto"/>
          <w:sz w:val="24"/>
          <w:szCs w:val="24"/>
          <w:highlight w:val="none"/>
          <w:lang w:val="en-US" w:eastAsia="zh-CN"/>
        </w:rPr>
        <w:t>锦江区综合行政执法局2022-2024年锦江区环卫保洁、环卫公厕、绿化和河道管护一体化服务项目监督考核办法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spacing w:line="360" w:lineRule="auto"/>
        <w:ind w:firstLine="240" w:firstLineChars="100"/>
        <w:rPr>
          <w:rFonts w:hint="eastAsia" w:ascii="宋体" w:hAnsi="宋体" w:cs="宋体"/>
          <w:color w:val="auto"/>
          <w:sz w:val="24"/>
          <w:szCs w:val="24"/>
          <w:highlight w:val="none"/>
          <w:lang w:eastAsia="zh-CN"/>
        </w:rPr>
      </w:pPr>
    </w:p>
    <w:p>
      <w:pPr>
        <w:spacing w:line="360" w:lineRule="auto"/>
        <w:rPr>
          <w:rFonts w:ascii="Times New Roman" w:hAnsi="Times New Roman"/>
          <w:b/>
          <w:color w:val="auto"/>
          <w:sz w:val="24"/>
          <w:szCs w:val="24"/>
          <w:highlight w:val="none"/>
        </w:rPr>
      </w:pPr>
      <w:r>
        <w:rPr>
          <w:rFonts w:hint="eastAsia" w:ascii="Times New Roman" w:hAnsi="Times New Roman"/>
          <w:b/>
          <w:color w:val="auto"/>
          <w:sz w:val="24"/>
          <w:szCs w:val="24"/>
          <w:highlight w:val="none"/>
        </w:rPr>
        <w:t>五、其他要求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1.管护期间，若有新增环卫保洁、环卫公厕、绿化内容，参照此轮招标相关经费标准计算管护费用，并由片区中标供应商负责管护。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机动车辆为中标供应商自有或租赁，租赁期限应覆盖服务期限。全区统一安装GPS</w:t>
      </w:r>
      <w:r>
        <w:rPr>
          <w:rFonts w:hint="eastAsia" w:ascii="宋体" w:hAnsi="宋体" w:cs="宋体"/>
          <w:color w:val="auto"/>
          <w:sz w:val="24"/>
          <w:szCs w:val="24"/>
          <w:highlight w:val="none"/>
        </w:rPr>
        <w:t>、实时监控，360度摄像头，实行动态跟踪管理。中标供应商配合区综合执法局和辖区街道办事处完成环卫固废智慧监管平台建设（实现视频实时可视、可回放、轨迹可追踪、</w:t>
      </w:r>
      <w:r>
        <w:rPr>
          <w:rFonts w:hint="eastAsia" w:ascii="宋体" w:hAnsi="宋体" w:cs="宋体"/>
          <w:color w:val="auto"/>
          <w:sz w:val="24"/>
          <w:szCs w:val="24"/>
          <w:highlight w:val="none"/>
          <w:lang w:eastAsia="zh-CN"/>
        </w:rPr>
        <w:t>数据可调用），所需经费由中标供应商承担。（提供承诺函）</w:t>
      </w:r>
    </w:p>
    <w:p>
      <w:pPr>
        <w:spacing w:line="360" w:lineRule="auto"/>
        <w:ind w:firstLine="480" w:firstLineChars="200"/>
        <w:rPr>
          <w:rFonts w:hint="eastAsia"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3.街道办事处现有四轮电动厨余垃圾收集车，提供给中标供应商使用，不收取任何费用，</w:t>
      </w:r>
      <w:r>
        <w:rPr>
          <w:rFonts w:hint="eastAsia" w:ascii="宋体" w:hAnsi="宋体" w:cs="宋体"/>
          <w:color w:val="auto"/>
          <w:sz w:val="24"/>
          <w:szCs w:val="24"/>
          <w:highlight w:val="none"/>
          <w:lang w:eastAsia="zh-CN"/>
        </w:rPr>
        <w:t>使用期内的日常运营、保险、安全、事故、毁损、被盗等全部责任均由中标供应商全权负责，服务期完后应在设施设备完好的前提下交还相应街道办事处应街道办事处</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4.中标供应商协助街道办事处负责做好新、老作业公司交接工作。妥善处置可能涉及公司、人员和经费等相关纠纷，做好善后工作，确保辖区社会稳定和作业平稳过渡。</w:t>
      </w:r>
    </w:p>
    <w:p>
      <w:pPr>
        <w:spacing w:line="360" w:lineRule="auto"/>
        <w:ind w:firstLine="480" w:firstLineChars="200"/>
        <w:rPr>
          <w:rFonts w:ascii="宋体" w:hAnsi="宋体" w:cs="宋体"/>
          <w:color w:val="auto"/>
          <w:sz w:val="24"/>
          <w:szCs w:val="24"/>
          <w:highlight w:val="none"/>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5.中标供应商按照《劳动合同法》、参照《成都市环卫工人健康安全关爱办法》等相应行业相关规定，落实工人的工资和福利待遇（包括：基础工资、岗位津贴、加班工资、社保（商保）、酷暑寒冬补助和劳保用品等）。服务期间如遇成都市工人最低工资标准刚性政策调整等增资情况，由中标供应商自行承担，不再另行申请资金。中标供应商每年至少组织一次本项目服务人员职业健康体检。</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b/>
          <w:color w:val="auto"/>
          <w:sz w:val="28"/>
          <w:szCs w:val="28"/>
          <w:highlight w:val="none"/>
        </w:rPr>
        <w:t>★</w:t>
      </w:r>
      <w:r>
        <w:rPr>
          <w:rFonts w:hint="eastAsia" w:ascii="宋体" w:hAnsi="宋体" w:cs="宋体"/>
          <w:color w:val="auto"/>
          <w:sz w:val="24"/>
          <w:szCs w:val="24"/>
          <w:highlight w:val="none"/>
        </w:rPr>
        <w:t>6.投标人须同意“2022-2024年锦江区环卫保洁、环卫公厕、绿化和河道管护一体化服务项目监督考核办法”</w:t>
      </w:r>
      <w:r>
        <w:rPr>
          <w:rFonts w:hint="eastAsia" w:ascii="宋体" w:hAnsi="宋体" w:cs="宋体"/>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rPr>
      </w:pPr>
      <w:r>
        <w:rPr>
          <w:rFonts w:hint="eastAsia" w:ascii="宋体" w:hAnsi="宋体" w:cs="宋体"/>
          <w:color w:val="auto"/>
          <w:sz w:val="24"/>
          <w:szCs w:val="24"/>
          <w:lang w:val="en-US" w:eastAsia="zh-CN"/>
        </w:rPr>
        <w:t>7.中标供应商提供承诺函承诺：无特殊情况时，所有设施设备在中标通知书发出之日起25日内全部到位。在承诺时间内未全部到位又无特殊情况的，采购人有权取消其中标资格，并扣减履约保证金。★</w:t>
      </w:r>
    </w:p>
    <w:p>
      <w:pPr>
        <w:pStyle w:val="2"/>
        <w:rPr>
          <w:color w:val="auto"/>
          <w:highlight w:val="none"/>
        </w:rPr>
      </w:pPr>
    </w:p>
    <w:p>
      <w:pPr>
        <w:pStyle w:val="3"/>
        <w:rPr>
          <w:rFonts w:hint="eastAsia" w:ascii="黑体" w:hAnsi="黑体" w:eastAsia="黑体" w:cs="黑体"/>
          <w:b/>
          <w:bCs/>
          <w:color w:val="auto"/>
          <w:sz w:val="28"/>
          <w:szCs w:val="28"/>
          <w:highlight w:val="none"/>
          <w:lang w:val="en-US" w:eastAsia="zh-CN"/>
        </w:rPr>
      </w:pPr>
      <w:r>
        <w:rPr>
          <w:rFonts w:hint="eastAsia" w:ascii="黑体" w:hAnsi="黑体" w:eastAsia="黑体" w:cs="黑体"/>
          <w:b/>
          <w:bCs/>
          <w:color w:val="auto"/>
          <w:sz w:val="28"/>
          <w:szCs w:val="28"/>
          <w:highlight w:val="none"/>
          <w:lang w:val="en-US" w:eastAsia="zh-CN"/>
        </w:rPr>
        <w:t>包件1——包件6共同内容</w:t>
      </w:r>
    </w:p>
    <w:p>
      <w:pPr>
        <w:pStyle w:val="3"/>
        <w:rPr>
          <w:rFonts w:hint="eastAsia" w:ascii="黑体" w:hAnsi="黑体" w:eastAsia="黑体" w:cs="黑体"/>
          <w:b/>
          <w:bCs/>
          <w:color w:val="auto"/>
          <w:sz w:val="28"/>
          <w:szCs w:val="28"/>
          <w:highlight w:val="none"/>
          <w:lang w:val="en-US" w:eastAsia="zh-CN"/>
        </w:rPr>
      </w:pPr>
    </w:p>
    <w:p>
      <w:pPr>
        <w:autoSpaceDE w:val="0"/>
        <w:autoSpaceDN w:val="0"/>
        <w:adjustRightInd w:val="0"/>
        <w:ind w:firstLine="562" w:firstLineChars="200"/>
        <w:jc w:val="left"/>
        <w:rPr>
          <w:rFonts w:hint="eastAsia" w:ascii="黑体" w:hAnsi="黑体" w:eastAsia="黑体" w:cs="黑体"/>
          <w:b/>
          <w:bCs/>
          <w:color w:val="auto"/>
          <w:kern w:val="0"/>
          <w:sz w:val="28"/>
          <w:szCs w:val="28"/>
          <w:highlight w:val="none"/>
        </w:rPr>
      </w:pPr>
      <w:r>
        <w:rPr>
          <w:rFonts w:hint="eastAsia" w:ascii="黑体" w:hAnsi="黑体" w:eastAsia="黑体" w:cs="黑体"/>
          <w:b/>
          <w:bCs/>
          <w:color w:val="auto"/>
          <w:sz w:val="28"/>
          <w:szCs w:val="28"/>
          <w:highlight w:val="none"/>
        </w:rPr>
        <w:t>★</w:t>
      </w:r>
      <w:r>
        <w:rPr>
          <w:rFonts w:hint="eastAsia" w:ascii="黑体" w:hAnsi="黑体" w:eastAsia="黑体" w:cs="黑体"/>
          <w:b/>
          <w:bCs/>
          <w:color w:val="auto"/>
          <w:kern w:val="0"/>
          <w:sz w:val="28"/>
          <w:szCs w:val="28"/>
          <w:highlight w:val="none"/>
        </w:rPr>
        <w:t>（</w:t>
      </w:r>
      <w:r>
        <w:rPr>
          <w:rFonts w:hint="eastAsia" w:ascii="黑体" w:hAnsi="黑体" w:eastAsia="黑体" w:cs="黑体"/>
          <w:b/>
          <w:bCs/>
          <w:color w:val="auto"/>
          <w:kern w:val="0"/>
          <w:sz w:val="28"/>
          <w:szCs w:val="28"/>
          <w:highlight w:val="none"/>
          <w:lang w:val="en-US" w:eastAsia="zh-CN"/>
        </w:rPr>
        <w:t>1</w:t>
      </w:r>
      <w:r>
        <w:rPr>
          <w:rFonts w:hint="eastAsia" w:ascii="黑体" w:hAnsi="黑体" w:eastAsia="黑体" w:cs="黑体"/>
          <w:b/>
          <w:bCs/>
          <w:color w:val="auto"/>
          <w:kern w:val="0"/>
          <w:sz w:val="28"/>
          <w:szCs w:val="28"/>
          <w:highlight w:val="none"/>
        </w:rPr>
        <w:t>）投标人应作出承诺：中标后30日内在每个街道办事处分别设立项目部（办公场所不少于50平方米，不得使用公厕配套房屋作为项目部办分场所），每个街道办事处分别配备项目经理1名；在中标后30日内设立固定的满足机具停放要求的场地。</w:t>
      </w:r>
    </w:p>
    <w:p>
      <w:pPr>
        <w:tabs>
          <w:tab w:val="left" w:pos="1130"/>
        </w:tabs>
        <w:spacing w:line="360" w:lineRule="auto"/>
        <w:ind w:firstLine="562" w:firstLineChars="200"/>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w:t>
      </w:r>
      <w:r>
        <w:rPr>
          <w:rFonts w:hint="eastAsia" w:ascii="黑体" w:hAnsi="黑体" w:eastAsia="黑体" w:cs="黑体"/>
          <w:b/>
          <w:bCs/>
          <w:color w:val="auto"/>
          <w:kern w:val="0"/>
          <w:sz w:val="28"/>
          <w:szCs w:val="28"/>
          <w:highlight w:val="none"/>
        </w:rPr>
        <w:t>（</w:t>
      </w:r>
      <w:r>
        <w:rPr>
          <w:rFonts w:hint="eastAsia" w:ascii="黑体" w:hAnsi="黑体" w:eastAsia="黑体" w:cs="黑体"/>
          <w:b/>
          <w:bCs/>
          <w:color w:val="auto"/>
          <w:kern w:val="0"/>
          <w:sz w:val="28"/>
          <w:szCs w:val="28"/>
          <w:highlight w:val="none"/>
          <w:lang w:val="en-US" w:eastAsia="zh-CN"/>
        </w:rPr>
        <w:t>2</w:t>
      </w:r>
      <w:r>
        <w:rPr>
          <w:rFonts w:hint="eastAsia" w:ascii="黑体" w:hAnsi="黑体" w:eastAsia="黑体" w:cs="黑体"/>
          <w:b/>
          <w:bCs/>
          <w:color w:val="auto"/>
          <w:kern w:val="0"/>
          <w:sz w:val="28"/>
          <w:szCs w:val="28"/>
          <w:highlight w:val="none"/>
        </w:rPr>
        <w:t>）投标人应作出承诺：投标人近3年内未发生过因环卫工人群体事件造成的严重影响及后果，未发生过重大安全生产事故。</w:t>
      </w:r>
    </w:p>
    <w:p>
      <w:pPr>
        <w:pStyle w:val="3"/>
        <w:rPr>
          <w:rFonts w:hint="eastAsia" w:ascii="宋体" w:hAnsi="宋体" w:cs="宋体"/>
          <w:color w:val="auto"/>
          <w:sz w:val="24"/>
          <w:szCs w:val="24"/>
          <w:highlight w:val="none"/>
          <w:lang w:val="en-US" w:eastAsia="zh-CN"/>
        </w:rPr>
        <w:sectPr>
          <w:pgSz w:w="11906" w:h="16838"/>
          <w:pgMar w:top="1440" w:right="1616" w:bottom="1440" w:left="1680" w:header="851" w:footer="992" w:gutter="0"/>
          <w:cols w:space="720" w:num="1"/>
          <w:docGrid w:type="lines" w:linePitch="312" w:charSpace="0"/>
        </w:sectPr>
      </w:pPr>
    </w:p>
    <w:tbl>
      <w:tblPr>
        <w:tblStyle w:val="59"/>
        <w:tblpPr w:leftFromText="181" w:rightFromText="181" w:vertAnchor="text" w:horzAnchor="page" w:tblpX="455" w:tblpY="284"/>
        <w:tblOverlap w:val="never"/>
        <w:tblW w:w="158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310"/>
        <w:gridCol w:w="722"/>
        <w:gridCol w:w="1110"/>
        <w:gridCol w:w="1134"/>
        <w:gridCol w:w="1134"/>
        <w:gridCol w:w="992"/>
        <w:gridCol w:w="1134"/>
        <w:gridCol w:w="992"/>
        <w:gridCol w:w="1276"/>
        <w:gridCol w:w="1134"/>
        <w:gridCol w:w="850"/>
        <w:gridCol w:w="993"/>
        <w:gridCol w:w="850"/>
        <w:gridCol w:w="851"/>
        <w:gridCol w:w="708"/>
        <w:gridCol w:w="839"/>
        <w:gridCol w:w="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82" w:hRule="atLeast"/>
        </w:trPr>
        <w:tc>
          <w:tcPr>
            <w:tcW w:w="15868" w:type="dxa"/>
            <w:gridSpan w:val="17"/>
            <w:vAlign w:val="center"/>
          </w:tcPr>
          <w:p>
            <w:pPr>
              <w:spacing w:before="100" w:beforeAutospacing="1" w:after="120" w:line="460" w:lineRule="exact"/>
              <w:jc w:val="center"/>
              <w:rPr>
                <w:rFonts w:hint="eastAsia" w:ascii="宋体" w:hAnsi="宋体" w:eastAsia="宋体" w:cs="Times New Roman"/>
                <w:color w:val="auto"/>
                <w:kern w:val="0"/>
                <w:szCs w:val="21"/>
                <w:highlight w:val="none"/>
                <w:lang w:bidi="ar"/>
              </w:rPr>
            </w:pPr>
            <w:r>
              <w:rPr>
                <w:rFonts w:hint="eastAsia" w:ascii="Times New Roman" w:hAnsi="Times New Roman" w:eastAsia="方正小标宋简体"/>
                <w:color w:val="auto"/>
                <w:kern w:val="0"/>
                <w:sz w:val="28"/>
                <w:szCs w:val="28"/>
                <w:highlight w:val="none"/>
                <w:lang w:bidi="ar"/>
              </w:rPr>
              <w:t>《环卫保洁设施设备和人员数量表》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04" w:hRule="atLeast"/>
        </w:trPr>
        <w:tc>
          <w:tcPr>
            <w:tcW w:w="310" w:type="dxa"/>
            <w:vMerge w:val="restart"/>
            <w:vAlign w:val="center"/>
          </w:tcPr>
          <w:p>
            <w:pPr>
              <w:widowControl/>
              <w:jc w:val="center"/>
              <w:textAlignment w:val="center"/>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包件号</w:t>
            </w:r>
          </w:p>
        </w:tc>
        <w:tc>
          <w:tcPr>
            <w:tcW w:w="722" w:type="dxa"/>
            <w:vMerge w:val="restart"/>
            <w:vAlign w:val="center"/>
          </w:tcPr>
          <w:p>
            <w:pPr>
              <w:widowControl/>
              <w:jc w:val="center"/>
              <w:textAlignment w:val="center"/>
              <w:rPr>
                <w:rFonts w:ascii="宋体" w:hAnsi="宋体" w:eastAsia="宋体" w:cs="Times New Roman"/>
                <w:color w:val="auto"/>
                <w:szCs w:val="21"/>
                <w:highlight w:val="none"/>
              </w:rPr>
            </w:pPr>
            <w:r>
              <w:rPr>
                <w:rFonts w:ascii="宋体" w:hAnsi="宋体" w:eastAsia="宋体" w:cs="Times New Roman"/>
                <w:color w:val="auto"/>
                <w:kern w:val="0"/>
                <w:szCs w:val="21"/>
                <w:highlight w:val="none"/>
                <w:lang w:bidi="ar"/>
              </w:rPr>
              <w:t>街道</w:t>
            </w:r>
          </w:p>
        </w:tc>
        <w:tc>
          <w:tcPr>
            <w:tcW w:w="8906" w:type="dxa"/>
            <w:gridSpan w:val="8"/>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kern w:val="0"/>
                <w:szCs w:val="21"/>
                <w:highlight w:val="none"/>
                <w:lang w:bidi="ar"/>
              </w:rPr>
              <w:t>车辆管理机关登记挂牌机动车</w:t>
            </w:r>
          </w:p>
        </w:tc>
        <w:tc>
          <w:tcPr>
            <w:tcW w:w="4252" w:type="dxa"/>
            <w:gridSpan w:val="5"/>
            <w:vAlign w:val="center"/>
          </w:tcPr>
          <w:p>
            <w:pPr>
              <w:widowControl/>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szCs w:val="21"/>
                <w:highlight w:val="none"/>
              </w:rPr>
              <w:t>小型车辆</w:t>
            </w:r>
          </w:p>
        </w:tc>
        <w:tc>
          <w:tcPr>
            <w:tcW w:w="839" w:type="dxa"/>
            <w:vMerge w:val="restart"/>
            <w:vAlign w:val="center"/>
          </w:tcPr>
          <w:p>
            <w:pPr>
              <w:widowControl/>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项目经理</w:t>
            </w:r>
          </w:p>
        </w:tc>
        <w:tc>
          <w:tcPr>
            <w:tcW w:w="839" w:type="dxa"/>
            <w:vMerge w:val="restart"/>
            <w:vAlign w:val="center"/>
          </w:tcPr>
          <w:p>
            <w:pPr>
              <w:widowControl/>
              <w:jc w:val="center"/>
              <w:textAlignment w:val="center"/>
              <w:rPr>
                <w:rFonts w:hint="eastAsia"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环卫</w:t>
            </w:r>
            <w:r>
              <w:rPr>
                <w:rFonts w:ascii="宋体" w:hAnsi="宋体" w:eastAsia="宋体" w:cs="Times New Roman"/>
                <w:color w:val="auto"/>
                <w:kern w:val="0"/>
                <w:szCs w:val="21"/>
                <w:highlight w:val="none"/>
                <w:lang w:bidi="ar"/>
              </w:rPr>
              <w:t>工人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62" w:hRule="atLeast"/>
        </w:trPr>
        <w:tc>
          <w:tcPr>
            <w:tcW w:w="310" w:type="dxa"/>
            <w:vMerge w:val="continue"/>
            <w:vAlign w:val="center"/>
          </w:tcPr>
          <w:p>
            <w:pPr>
              <w:jc w:val="center"/>
              <w:rPr>
                <w:rFonts w:ascii="宋体" w:hAnsi="宋体" w:eastAsia="宋体" w:cs="Times New Roman"/>
                <w:color w:val="auto"/>
                <w:szCs w:val="21"/>
                <w:highlight w:val="none"/>
              </w:rPr>
            </w:pPr>
          </w:p>
        </w:tc>
        <w:tc>
          <w:tcPr>
            <w:tcW w:w="722" w:type="dxa"/>
            <w:vMerge w:val="continue"/>
            <w:vAlign w:val="center"/>
          </w:tcPr>
          <w:p>
            <w:pPr>
              <w:jc w:val="center"/>
              <w:rPr>
                <w:rFonts w:ascii="宋体" w:hAnsi="宋体" w:eastAsia="宋体" w:cs="Times New Roman"/>
                <w:color w:val="auto"/>
                <w:szCs w:val="21"/>
                <w:highlight w:val="none"/>
              </w:rPr>
            </w:pPr>
          </w:p>
        </w:tc>
        <w:tc>
          <w:tcPr>
            <w:tcW w:w="1110" w:type="dxa"/>
            <w:vMerge w:val="restart"/>
            <w:vAlign w:val="center"/>
          </w:tcPr>
          <w:p>
            <w:pPr>
              <w:widowControl/>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垃圾压缩车</w:t>
            </w:r>
          </w:p>
          <w:p>
            <w:pPr>
              <w:widowControl/>
              <w:jc w:val="center"/>
              <w:textAlignment w:val="center"/>
              <w:rPr>
                <w:rFonts w:ascii="宋体" w:hAnsi="宋体" w:eastAsia="宋体" w:cs="Times New Roman"/>
                <w:color w:val="auto"/>
                <w:szCs w:val="21"/>
                <w:highlight w:val="none"/>
              </w:rPr>
            </w:pPr>
            <w:r>
              <w:rPr>
                <w:rFonts w:ascii="宋体" w:hAnsi="宋体" w:eastAsia="宋体" w:cs="Times New Roman"/>
                <w:color w:val="auto"/>
                <w:kern w:val="0"/>
                <w:szCs w:val="21"/>
                <w:highlight w:val="none"/>
                <w:lang w:bidi="ar"/>
              </w:rPr>
              <w:t>（</w:t>
            </w:r>
            <w:r>
              <w:rPr>
                <w:rFonts w:hint="eastAsia" w:ascii="宋体" w:hAnsi="宋体" w:eastAsia="宋体" w:cs="Times New Roman"/>
                <w:color w:val="auto"/>
                <w:kern w:val="0"/>
                <w:szCs w:val="21"/>
                <w:highlight w:val="none"/>
                <w:lang w:bidi="ar"/>
              </w:rPr>
              <w:t>核定载质量</w:t>
            </w:r>
            <w:r>
              <w:rPr>
                <w:rFonts w:ascii="宋体" w:hAnsi="宋体" w:eastAsia="宋体" w:cs="Times New Roman"/>
                <w:color w:val="auto"/>
                <w:kern w:val="0"/>
                <w:szCs w:val="21"/>
                <w:highlight w:val="none"/>
                <w:lang w:bidi="ar"/>
              </w:rPr>
              <w:t>≥5吨）</w:t>
            </w:r>
          </w:p>
          <w:p>
            <w:pPr>
              <w:widowControl/>
              <w:jc w:val="center"/>
              <w:textAlignment w:val="center"/>
              <w:rPr>
                <w:rFonts w:ascii="宋体" w:hAnsi="宋体" w:eastAsia="宋体" w:cs="Times New Roman"/>
                <w:color w:val="auto"/>
                <w:kern w:val="0"/>
                <w:szCs w:val="21"/>
                <w:highlight w:val="none"/>
                <w:lang w:bidi="ar"/>
              </w:rPr>
            </w:pPr>
          </w:p>
        </w:tc>
        <w:tc>
          <w:tcPr>
            <w:tcW w:w="1134" w:type="dxa"/>
            <w:vMerge w:val="restart"/>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kern w:val="0"/>
                <w:szCs w:val="21"/>
                <w:highlight w:val="none"/>
                <w:lang w:bidi="ar"/>
              </w:rPr>
              <w:t>洒水车（核定载质量≥8吨）</w:t>
            </w:r>
          </w:p>
        </w:tc>
        <w:tc>
          <w:tcPr>
            <w:tcW w:w="1134" w:type="dxa"/>
            <w:vMerge w:val="restart"/>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kern w:val="0"/>
                <w:szCs w:val="21"/>
                <w:highlight w:val="none"/>
                <w:lang w:bidi="ar"/>
              </w:rPr>
              <w:t>多功能洗扫车（核定载质量≥4吨）</w:t>
            </w:r>
          </w:p>
        </w:tc>
        <w:tc>
          <w:tcPr>
            <w:tcW w:w="992" w:type="dxa"/>
            <w:vMerge w:val="restart"/>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kern w:val="0"/>
                <w:szCs w:val="21"/>
                <w:highlight w:val="none"/>
                <w:lang w:bidi="ar"/>
              </w:rPr>
              <w:t>雾炮车（核定载质量≥5吨）</w:t>
            </w:r>
          </w:p>
        </w:tc>
        <w:tc>
          <w:tcPr>
            <w:tcW w:w="1134" w:type="dxa"/>
            <w:vMerge w:val="restart"/>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kern w:val="0"/>
                <w:szCs w:val="21"/>
                <w:highlight w:val="none"/>
                <w:lang w:bidi="ar"/>
              </w:rPr>
              <w:t>护栏清洗车（核定载质量≥3吨）</w:t>
            </w:r>
          </w:p>
        </w:tc>
        <w:tc>
          <w:tcPr>
            <w:tcW w:w="992" w:type="dxa"/>
            <w:vMerge w:val="restart"/>
            <w:vAlign w:val="center"/>
          </w:tcPr>
          <w:p>
            <w:pPr>
              <w:widowControl/>
              <w:jc w:val="center"/>
              <w:textAlignment w:val="center"/>
              <w:rPr>
                <w:rFonts w:ascii="宋体" w:hAnsi="宋体" w:eastAsia="宋体" w:cs="Times New Roman"/>
                <w:color w:val="auto"/>
                <w:szCs w:val="21"/>
                <w:highlight w:val="none"/>
              </w:rPr>
            </w:pPr>
            <w:r>
              <w:rPr>
                <w:rFonts w:ascii="宋体" w:hAnsi="宋体" w:eastAsia="宋体" w:cs="Times New Roman"/>
                <w:color w:val="auto"/>
                <w:kern w:val="0"/>
                <w:szCs w:val="21"/>
                <w:highlight w:val="none"/>
                <w:lang w:bidi="ar"/>
              </w:rPr>
              <w:t>厨余垃圾运输车（</w:t>
            </w:r>
            <w:r>
              <w:rPr>
                <w:rFonts w:hint="eastAsia" w:ascii="宋体" w:hAnsi="宋体" w:eastAsia="宋体" w:cs="Times New Roman"/>
                <w:color w:val="auto"/>
                <w:kern w:val="0"/>
                <w:szCs w:val="21"/>
                <w:highlight w:val="none"/>
                <w:lang w:bidi="ar"/>
              </w:rPr>
              <w:t>核定载质量</w:t>
            </w:r>
            <w:r>
              <w:rPr>
                <w:rFonts w:ascii="宋体" w:hAnsi="宋体" w:eastAsia="宋体" w:cs="Times New Roman"/>
                <w:color w:val="auto"/>
                <w:kern w:val="0"/>
                <w:szCs w:val="21"/>
                <w:highlight w:val="none"/>
                <w:lang w:bidi="ar"/>
              </w:rPr>
              <w:t>≥5吨）</w:t>
            </w:r>
          </w:p>
        </w:tc>
        <w:tc>
          <w:tcPr>
            <w:tcW w:w="2410" w:type="dxa"/>
            <w:gridSpan w:val="2"/>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垃圾收集车（箱式货车）</w:t>
            </w:r>
          </w:p>
        </w:tc>
        <w:tc>
          <w:tcPr>
            <w:tcW w:w="850" w:type="dxa"/>
            <w:vMerge w:val="restart"/>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其他垃圾收集车</w:t>
            </w:r>
          </w:p>
        </w:tc>
        <w:tc>
          <w:tcPr>
            <w:tcW w:w="993" w:type="dxa"/>
            <w:vMerge w:val="restart"/>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白色垃圾快速捡拾车</w:t>
            </w:r>
          </w:p>
        </w:tc>
        <w:tc>
          <w:tcPr>
            <w:tcW w:w="850" w:type="dxa"/>
            <w:vMerge w:val="restart"/>
            <w:vAlign w:val="center"/>
          </w:tcPr>
          <w:p>
            <w:pPr>
              <w:widowControl/>
              <w:jc w:val="center"/>
              <w:textAlignment w:val="center"/>
              <w:rPr>
                <w:rFonts w:ascii="宋体" w:hAnsi="宋体" w:eastAsia="宋体" w:cs="Times New Roman"/>
                <w:color w:val="auto"/>
                <w:szCs w:val="21"/>
                <w:highlight w:val="none"/>
              </w:rPr>
            </w:pPr>
            <w:r>
              <w:rPr>
                <w:rFonts w:ascii="宋体" w:hAnsi="宋体" w:eastAsia="宋体" w:cs="Times New Roman"/>
                <w:color w:val="auto"/>
                <w:kern w:val="0"/>
                <w:szCs w:val="21"/>
                <w:highlight w:val="none"/>
                <w:lang w:bidi="ar"/>
              </w:rPr>
              <w:t>高压清洗车</w:t>
            </w:r>
          </w:p>
        </w:tc>
        <w:tc>
          <w:tcPr>
            <w:tcW w:w="851" w:type="dxa"/>
            <w:vMerge w:val="restart"/>
            <w:vAlign w:val="center"/>
          </w:tcPr>
          <w:p>
            <w:pPr>
              <w:widowControl/>
              <w:jc w:val="center"/>
              <w:textAlignment w:val="center"/>
              <w:rPr>
                <w:rFonts w:ascii="宋体" w:hAnsi="宋体" w:eastAsia="宋体" w:cs="Times New Roman"/>
                <w:color w:val="auto"/>
                <w:szCs w:val="21"/>
                <w:highlight w:val="none"/>
              </w:rPr>
            </w:pPr>
            <w:r>
              <w:rPr>
                <w:rFonts w:ascii="宋体" w:hAnsi="宋体" w:eastAsia="宋体" w:cs="Times New Roman"/>
                <w:color w:val="auto"/>
                <w:kern w:val="0"/>
                <w:szCs w:val="21"/>
                <w:highlight w:val="none"/>
                <w:lang w:bidi="ar"/>
              </w:rPr>
              <w:t>小型电动扫地车</w:t>
            </w:r>
          </w:p>
        </w:tc>
        <w:tc>
          <w:tcPr>
            <w:tcW w:w="708" w:type="dxa"/>
            <w:vMerge w:val="restart"/>
            <w:vAlign w:val="center"/>
          </w:tcPr>
          <w:p>
            <w:pPr>
              <w:jc w:val="center"/>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小型分类收集车</w:t>
            </w:r>
          </w:p>
        </w:tc>
        <w:tc>
          <w:tcPr>
            <w:tcW w:w="839" w:type="dxa"/>
            <w:vMerge w:val="continue"/>
            <w:vAlign w:val="center"/>
          </w:tcPr>
          <w:p>
            <w:pPr>
              <w:jc w:val="center"/>
              <w:rPr>
                <w:rFonts w:ascii="宋体" w:hAnsi="宋体" w:eastAsia="宋体" w:cs="Times New Roman"/>
                <w:color w:val="auto"/>
                <w:szCs w:val="21"/>
                <w:highlight w:val="none"/>
              </w:rPr>
            </w:pPr>
          </w:p>
        </w:tc>
        <w:tc>
          <w:tcPr>
            <w:tcW w:w="839" w:type="dxa"/>
            <w:vMerge w:val="continue"/>
            <w:vAlign w:val="center"/>
          </w:tcPr>
          <w:p>
            <w:pPr>
              <w:jc w:val="center"/>
              <w:rPr>
                <w:rFonts w:ascii="宋体" w:hAnsi="宋体" w:eastAsia="宋体"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62" w:hRule="atLeast"/>
        </w:trPr>
        <w:tc>
          <w:tcPr>
            <w:tcW w:w="310" w:type="dxa"/>
            <w:vMerge w:val="continue"/>
            <w:vAlign w:val="center"/>
          </w:tcPr>
          <w:p>
            <w:pPr>
              <w:widowControl/>
              <w:jc w:val="center"/>
              <w:textAlignment w:val="center"/>
              <w:rPr>
                <w:rFonts w:ascii="Times New Roman" w:hAnsi="Times New Roman" w:eastAsia="宋体" w:cs="Times New Roman"/>
                <w:color w:val="auto"/>
                <w:szCs w:val="24"/>
                <w:highlight w:val="none"/>
              </w:rPr>
            </w:pPr>
          </w:p>
        </w:tc>
        <w:tc>
          <w:tcPr>
            <w:tcW w:w="722" w:type="dxa"/>
            <w:vMerge w:val="continue"/>
            <w:vAlign w:val="center"/>
          </w:tcPr>
          <w:p>
            <w:pPr>
              <w:widowControl/>
              <w:jc w:val="center"/>
              <w:textAlignment w:val="center"/>
              <w:rPr>
                <w:rFonts w:ascii="Times New Roman" w:hAnsi="Times New Roman" w:eastAsia="宋体" w:cs="Times New Roman"/>
                <w:color w:val="auto"/>
                <w:szCs w:val="24"/>
                <w:highlight w:val="none"/>
              </w:rPr>
            </w:pPr>
          </w:p>
        </w:tc>
        <w:tc>
          <w:tcPr>
            <w:tcW w:w="1110" w:type="dxa"/>
            <w:vMerge w:val="continue"/>
            <w:vAlign w:val="center"/>
          </w:tcPr>
          <w:p>
            <w:pPr>
              <w:widowControl/>
              <w:jc w:val="center"/>
              <w:textAlignment w:val="center"/>
              <w:rPr>
                <w:rFonts w:ascii="Times New Roman" w:hAnsi="Times New Roman" w:eastAsia="宋体" w:cs="Times New Roman"/>
                <w:color w:val="auto"/>
                <w:szCs w:val="24"/>
                <w:highlight w:val="none"/>
              </w:rPr>
            </w:pPr>
          </w:p>
        </w:tc>
        <w:tc>
          <w:tcPr>
            <w:tcW w:w="1134" w:type="dxa"/>
            <w:vMerge w:val="continue"/>
            <w:vAlign w:val="center"/>
          </w:tcPr>
          <w:p>
            <w:pPr>
              <w:widowControl/>
              <w:jc w:val="center"/>
              <w:textAlignment w:val="center"/>
              <w:rPr>
                <w:rFonts w:ascii="宋体" w:hAnsi="宋体" w:eastAsia="宋体" w:cs="Times New Roman"/>
                <w:color w:val="auto"/>
                <w:szCs w:val="21"/>
                <w:highlight w:val="none"/>
              </w:rPr>
            </w:pPr>
          </w:p>
        </w:tc>
        <w:tc>
          <w:tcPr>
            <w:tcW w:w="1134" w:type="dxa"/>
            <w:vMerge w:val="continue"/>
            <w:vAlign w:val="center"/>
          </w:tcPr>
          <w:p>
            <w:pPr>
              <w:widowControl/>
              <w:jc w:val="center"/>
              <w:textAlignment w:val="center"/>
              <w:rPr>
                <w:rFonts w:ascii="宋体" w:hAnsi="宋体" w:eastAsia="宋体" w:cs="Times New Roman"/>
                <w:color w:val="auto"/>
                <w:szCs w:val="21"/>
                <w:highlight w:val="none"/>
              </w:rPr>
            </w:pPr>
          </w:p>
        </w:tc>
        <w:tc>
          <w:tcPr>
            <w:tcW w:w="992" w:type="dxa"/>
            <w:vMerge w:val="continue"/>
            <w:vAlign w:val="center"/>
          </w:tcPr>
          <w:p>
            <w:pPr>
              <w:widowControl/>
              <w:jc w:val="center"/>
              <w:textAlignment w:val="center"/>
              <w:rPr>
                <w:rFonts w:ascii="宋体" w:hAnsi="宋体" w:eastAsia="宋体" w:cs="Times New Roman"/>
                <w:color w:val="auto"/>
                <w:szCs w:val="21"/>
                <w:highlight w:val="none"/>
              </w:rPr>
            </w:pPr>
          </w:p>
        </w:tc>
        <w:tc>
          <w:tcPr>
            <w:tcW w:w="1134" w:type="dxa"/>
            <w:vMerge w:val="continue"/>
            <w:vAlign w:val="center"/>
          </w:tcPr>
          <w:p>
            <w:pPr>
              <w:widowControl/>
              <w:jc w:val="center"/>
              <w:textAlignment w:val="center"/>
              <w:rPr>
                <w:rFonts w:ascii="宋体" w:hAnsi="宋体" w:eastAsia="宋体" w:cs="Times New Roman"/>
                <w:color w:val="auto"/>
                <w:szCs w:val="21"/>
                <w:highlight w:val="none"/>
              </w:rPr>
            </w:pPr>
          </w:p>
        </w:tc>
        <w:tc>
          <w:tcPr>
            <w:tcW w:w="992" w:type="dxa"/>
            <w:vMerge w:val="continue"/>
            <w:vAlign w:val="center"/>
          </w:tcPr>
          <w:p>
            <w:pPr>
              <w:widowControl/>
              <w:jc w:val="center"/>
              <w:textAlignment w:val="center"/>
              <w:rPr>
                <w:rFonts w:ascii="宋体" w:hAnsi="宋体" w:eastAsia="宋体" w:cs="Times New Roman"/>
                <w:color w:val="auto"/>
                <w:szCs w:val="21"/>
                <w:highlight w:val="none"/>
              </w:rPr>
            </w:pPr>
          </w:p>
        </w:tc>
        <w:tc>
          <w:tcPr>
            <w:tcW w:w="1276" w:type="dxa"/>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可回收物（</w:t>
            </w:r>
            <w:r>
              <w:rPr>
                <w:rFonts w:hint="eastAsia" w:ascii="宋体" w:hAnsi="宋体" w:eastAsia="宋体" w:cs="Times New Roman"/>
                <w:color w:val="auto"/>
                <w:kern w:val="0"/>
                <w:szCs w:val="21"/>
                <w:highlight w:val="none"/>
                <w:lang w:bidi="ar"/>
              </w:rPr>
              <w:t>核定载质量</w:t>
            </w:r>
            <w:r>
              <w:rPr>
                <w:rFonts w:ascii="宋体" w:hAnsi="宋体" w:eastAsia="宋体" w:cs="Times New Roman"/>
                <w:color w:val="auto"/>
                <w:kern w:val="0"/>
                <w:szCs w:val="21"/>
                <w:highlight w:val="none"/>
                <w:lang w:bidi="ar"/>
              </w:rPr>
              <w:t>≥</w:t>
            </w:r>
            <w:r>
              <w:rPr>
                <w:rFonts w:hint="eastAsia" w:ascii="宋体" w:hAnsi="宋体" w:eastAsia="宋体" w:cs="Times New Roman"/>
                <w:color w:val="auto"/>
                <w:kern w:val="0"/>
                <w:szCs w:val="21"/>
                <w:highlight w:val="none"/>
                <w:lang w:bidi="ar"/>
              </w:rPr>
              <w:t>1</w:t>
            </w:r>
            <w:r>
              <w:rPr>
                <w:rFonts w:ascii="宋体" w:hAnsi="宋体" w:eastAsia="宋体" w:cs="Times New Roman"/>
                <w:color w:val="auto"/>
                <w:kern w:val="0"/>
                <w:szCs w:val="21"/>
                <w:highlight w:val="none"/>
                <w:lang w:bidi="ar"/>
              </w:rPr>
              <w:t>吨</w:t>
            </w:r>
            <w:r>
              <w:rPr>
                <w:rFonts w:hint="eastAsia" w:ascii="宋体" w:hAnsi="宋体" w:eastAsia="宋体" w:cs="Times New Roman"/>
                <w:color w:val="auto"/>
                <w:szCs w:val="21"/>
                <w:highlight w:val="none"/>
              </w:rPr>
              <w:t>）</w:t>
            </w:r>
          </w:p>
        </w:tc>
        <w:tc>
          <w:tcPr>
            <w:tcW w:w="1134" w:type="dxa"/>
            <w:vAlign w:val="center"/>
          </w:tcPr>
          <w:p>
            <w:pPr>
              <w:widowControl/>
              <w:jc w:val="center"/>
              <w:textAlignment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有害垃圾（</w:t>
            </w:r>
            <w:r>
              <w:rPr>
                <w:rFonts w:hint="eastAsia" w:ascii="宋体" w:hAnsi="宋体" w:eastAsia="宋体" w:cs="Times New Roman"/>
                <w:color w:val="auto"/>
                <w:kern w:val="0"/>
                <w:szCs w:val="21"/>
                <w:highlight w:val="none"/>
                <w:lang w:bidi="ar"/>
              </w:rPr>
              <w:t>核定载质量</w:t>
            </w:r>
            <w:r>
              <w:rPr>
                <w:rFonts w:ascii="宋体" w:hAnsi="宋体" w:eastAsia="宋体" w:cs="Times New Roman"/>
                <w:color w:val="auto"/>
                <w:kern w:val="0"/>
                <w:szCs w:val="21"/>
                <w:highlight w:val="none"/>
                <w:lang w:bidi="ar"/>
              </w:rPr>
              <w:t>≥</w:t>
            </w:r>
            <w:r>
              <w:rPr>
                <w:rFonts w:hint="eastAsia" w:ascii="宋体" w:hAnsi="宋体" w:eastAsia="宋体" w:cs="Times New Roman"/>
                <w:color w:val="auto"/>
                <w:kern w:val="0"/>
                <w:szCs w:val="21"/>
                <w:highlight w:val="none"/>
                <w:lang w:bidi="ar"/>
              </w:rPr>
              <w:t>0.</w:t>
            </w:r>
            <w:r>
              <w:rPr>
                <w:rFonts w:ascii="宋体" w:hAnsi="宋体" w:eastAsia="宋体" w:cs="Times New Roman"/>
                <w:color w:val="auto"/>
                <w:kern w:val="0"/>
                <w:szCs w:val="21"/>
                <w:highlight w:val="none"/>
                <w:lang w:bidi="ar"/>
              </w:rPr>
              <w:t>5吨</w:t>
            </w:r>
            <w:r>
              <w:rPr>
                <w:rFonts w:hint="eastAsia" w:ascii="宋体" w:hAnsi="宋体" w:eastAsia="宋体" w:cs="Times New Roman"/>
                <w:color w:val="auto"/>
                <w:szCs w:val="21"/>
                <w:highlight w:val="none"/>
              </w:rPr>
              <w:t>）</w:t>
            </w:r>
          </w:p>
        </w:tc>
        <w:tc>
          <w:tcPr>
            <w:tcW w:w="850" w:type="dxa"/>
            <w:vMerge w:val="continue"/>
            <w:vAlign w:val="center"/>
          </w:tcPr>
          <w:p>
            <w:pPr>
              <w:widowControl/>
              <w:jc w:val="center"/>
              <w:textAlignment w:val="center"/>
              <w:rPr>
                <w:rFonts w:ascii="宋体" w:hAnsi="宋体" w:eastAsia="宋体" w:cs="Times New Roman"/>
                <w:color w:val="auto"/>
                <w:szCs w:val="21"/>
                <w:highlight w:val="none"/>
              </w:rPr>
            </w:pPr>
          </w:p>
        </w:tc>
        <w:tc>
          <w:tcPr>
            <w:tcW w:w="993" w:type="dxa"/>
            <w:vMerge w:val="continue"/>
            <w:vAlign w:val="center"/>
          </w:tcPr>
          <w:p>
            <w:pPr>
              <w:widowControl/>
              <w:jc w:val="center"/>
              <w:textAlignment w:val="center"/>
              <w:rPr>
                <w:rFonts w:ascii="宋体" w:hAnsi="宋体" w:eastAsia="宋体" w:cs="Times New Roman"/>
                <w:color w:val="auto"/>
                <w:szCs w:val="21"/>
                <w:highlight w:val="none"/>
              </w:rPr>
            </w:pPr>
          </w:p>
        </w:tc>
        <w:tc>
          <w:tcPr>
            <w:tcW w:w="850" w:type="dxa"/>
            <w:vMerge w:val="continue"/>
            <w:vAlign w:val="center"/>
          </w:tcPr>
          <w:p>
            <w:pPr>
              <w:widowControl/>
              <w:jc w:val="center"/>
              <w:textAlignment w:val="center"/>
              <w:rPr>
                <w:rFonts w:ascii="宋体" w:hAnsi="宋体" w:eastAsia="宋体" w:cs="Times New Roman"/>
                <w:color w:val="auto"/>
                <w:szCs w:val="21"/>
                <w:highlight w:val="none"/>
              </w:rPr>
            </w:pPr>
          </w:p>
        </w:tc>
        <w:tc>
          <w:tcPr>
            <w:tcW w:w="851" w:type="dxa"/>
            <w:vMerge w:val="continue"/>
            <w:vAlign w:val="center"/>
          </w:tcPr>
          <w:p>
            <w:pPr>
              <w:widowControl/>
              <w:jc w:val="center"/>
              <w:textAlignment w:val="center"/>
              <w:rPr>
                <w:rFonts w:ascii="宋体" w:hAnsi="宋体" w:eastAsia="宋体" w:cs="Times New Roman"/>
                <w:color w:val="auto"/>
                <w:szCs w:val="21"/>
                <w:highlight w:val="none"/>
              </w:rPr>
            </w:pPr>
          </w:p>
        </w:tc>
        <w:tc>
          <w:tcPr>
            <w:tcW w:w="708" w:type="dxa"/>
            <w:vMerge w:val="continue"/>
            <w:vAlign w:val="center"/>
          </w:tcPr>
          <w:p>
            <w:pPr>
              <w:widowControl/>
              <w:jc w:val="center"/>
              <w:textAlignment w:val="center"/>
              <w:rPr>
                <w:rFonts w:ascii="宋体" w:hAnsi="宋体" w:eastAsia="宋体" w:cs="Times New Roman"/>
                <w:color w:val="auto"/>
                <w:szCs w:val="21"/>
                <w:highlight w:val="none"/>
              </w:rPr>
            </w:pPr>
          </w:p>
        </w:tc>
        <w:tc>
          <w:tcPr>
            <w:tcW w:w="839" w:type="dxa"/>
            <w:vMerge w:val="continue"/>
            <w:vAlign w:val="center"/>
          </w:tcPr>
          <w:p>
            <w:pPr>
              <w:widowControl/>
              <w:jc w:val="center"/>
              <w:textAlignment w:val="center"/>
              <w:rPr>
                <w:rFonts w:ascii="宋体" w:hAnsi="宋体" w:eastAsia="宋体" w:cs="Times New Roman"/>
                <w:color w:val="auto"/>
                <w:szCs w:val="21"/>
                <w:highlight w:val="none"/>
              </w:rPr>
            </w:pPr>
          </w:p>
        </w:tc>
        <w:tc>
          <w:tcPr>
            <w:tcW w:w="839" w:type="dxa"/>
            <w:vMerge w:val="continue"/>
            <w:vAlign w:val="center"/>
          </w:tcPr>
          <w:p>
            <w:pPr>
              <w:widowControl/>
              <w:jc w:val="center"/>
              <w:textAlignment w:val="center"/>
              <w:rPr>
                <w:rFonts w:ascii="宋体" w:hAnsi="宋体" w:eastAsia="宋体"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Align w:val="center"/>
          </w:tcPr>
          <w:p>
            <w:pPr>
              <w:widowControl/>
              <w:spacing w:line="480" w:lineRule="exact"/>
              <w:jc w:val="center"/>
              <w:textAlignment w:val="center"/>
              <w:rPr>
                <w:rFonts w:hint="eastAsia" w:ascii="宋体" w:hAnsi="宋体" w:eastAsia="宋体" w:cs="Times New Roman"/>
                <w:color w:val="auto"/>
                <w:kern w:val="0"/>
                <w:szCs w:val="21"/>
                <w:highlight w:val="none"/>
                <w:lang w:val="en-US" w:eastAsia="zh-CN" w:bidi="ar"/>
              </w:rPr>
            </w:pPr>
            <w:r>
              <w:rPr>
                <w:rFonts w:hint="eastAsia" w:ascii="宋体" w:hAnsi="宋体" w:cs="Times New Roman"/>
                <w:color w:val="auto"/>
                <w:kern w:val="0"/>
                <w:szCs w:val="21"/>
                <w:highlight w:val="none"/>
                <w:lang w:val="en-US" w:eastAsia="zh-CN" w:bidi="ar"/>
              </w:rPr>
              <w:t>包件1</w:t>
            </w: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春熙路</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5</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5</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20</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26</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hint="eastAsia" w:ascii="宋体" w:hAnsi="宋体" w:eastAsia="宋体" w:cs="Times New Roman"/>
                <w:color w:val="auto"/>
                <w:kern w:val="0"/>
                <w:szCs w:val="21"/>
                <w:highlight w:val="none"/>
                <w:lang w:val="en-US" w:eastAsia="zh-CN"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hint="eastAsia"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restart"/>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包</w:t>
            </w:r>
            <w:r>
              <w:rPr>
                <w:rFonts w:hint="eastAsia" w:ascii="宋体" w:hAnsi="宋体" w:cs="Times New Roman"/>
                <w:color w:val="auto"/>
                <w:kern w:val="0"/>
                <w:szCs w:val="21"/>
                <w:highlight w:val="none"/>
                <w:lang w:val="en-US" w:eastAsia="zh-CN" w:bidi="ar"/>
              </w:rPr>
              <w:t>件</w:t>
            </w:r>
            <w:r>
              <w:rPr>
                <w:rFonts w:hint="eastAsia" w:ascii="宋体" w:hAnsi="宋体" w:eastAsia="宋体" w:cs="Times New Roman"/>
                <w:color w:val="auto"/>
                <w:kern w:val="0"/>
                <w:szCs w:val="21"/>
                <w:highlight w:val="none"/>
                <w:lang w:bidi="ar"/>
              </w:rPr>
              <w:t>2</w:t>
            </w: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锦官驿</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17</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24</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ascii="宋体" w:hAnsi="宋体" w:eastAsia="宋体" w:cs="Times New Roman"/>
                <w:color w:val="auto"/>
                <w:kern w:val="0"/>
                <w:szCs w:val="21"/>
                <w:highlight w:val="none"/>
                <w:lang w:bidi="ar"/>
              </w:rPr>
              <w:t>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continue"/>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锦华路</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15</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11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hint="eastAsia"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restart"/>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cs="Times New Roman"/>
                <w:color w:val="auto"/>
                <w:kern w:val="0"/>
                <w:szCs w:val="21"/>
                <w:highlight w:val="none"/>
                <w:lang w:val="en-US" w:eastAsia="zh-CN" w:bidi="ar"/>
              </w:rPr>
              <w:t>包件</w:t>
            </w:r>
            <w:r>
              <w:rPr>
                <w:rFonts w:hint="eastAsia" w:ascii="宋体" w:hAnsi="宋体" w:eastAsia="宋体" w:cs="Times New Roman"/>
                <w:color w:val="auto"/>
                <w:kern w:val="0"/>
                <w:szCs w:val="21"/>
                <w:highlight w:val="none"/>
                <w:lang w:bidi="ar"/>
              </w:rPr>
              <w:t>3</w:t>
            </w: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成龙</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24</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40</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15</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18</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ascii="宋体" w:hAnsi="宋体" w:eastAsia="宋体" w:cs="Times New Roman"/>
                <w:color w:val="auto"/>
                <w:kern w:val="0"/>
                <w:szCs w:val="21"/>
                <w:highlight w:val="none"/>
                <w:lang w:bidi="ar"/>
              </w:rPr>
              <w:t>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continue"/>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沙河</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15</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27</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ascii="宋体" w:hAnsi="宋体" w:eastAsia="宋体" w:cs="Times New Roman"/>
                <w:color w:val="auto"/>
                <w:kern w:val="0"/>
                <w:szCs w:val="21"/>
                <w:highlight w:val="none"/>
                <w:lang w:bidi="ar"/>
              </w:rPr>
              <w:t>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restart"/>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cs="Times New Roman"/>
                <w:color w:val="auto"/>
                <w:kern w:val="0"/>
                <w:szCs w:val="21"/>
                <w:highlight w:val="none"/>
                <w:lang w:val="en-US" w:eastAsia="zh-CN" w:bidi="ar"/>
              </w:rPr>
              <w:t>包件</w:t>
            </w:r>
            <w:r>
              <w:rPr>
                <w:rFonts w:hint="eastAsia" w:ascii="宋体" w:hAnsi="宋体" w:eastAsia="宋体" w:cs="Times New Roman"/>
                <w:color w:val="auto"/>
                <w:kern w:val="0"/>
                <w:szCs w:val="21"/>
                <w:highlight w:val="none"/>
                <w:lang w:bidi="ar"/>
              </w:rPr>
              <w:t>4</w:t>
            </w: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牛市口</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5</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15</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13</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ascii="宋体" w:hAnsi="宋体" w:eastAsia="宋体" w:cs="Times New Roman"/>
                <w:color w:val="auto"/>
                <w:kern w:val="0"/>
                <w:szCs w:val="21"/>
                <w:highlight w:val="none"/>
                <w:lang w:bidi="ar"/>
              </w:rPr>
              <w:t>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continue"/>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东湖</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20</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23</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ascii="宋体" w:hAnsi="宋体" w:eastAsia="宋体" w:cs="Times New Roman"/>
                <w:color w:val="auto"/>
                <w:kern w:val="0"/>
                <w:szCs w:val="21"/>
                <w:highlight w:val="none"/>
                <w:lang w:bidi="ar"/>
              </w:rPr>
              <w:t>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restart"/>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cs="Times New Roman"/>
                <w:color w:val="auto"/>
                <w:kern w:val="0"/>
                <w:szCs w:val="21"/>
                <w:highlight w:val="none"/>
                <w:lang w:val="en-US" w:eastAsia="zh-CN" w:bidi="ar"/>
              </w:rPr>
              <w:t>包件</w:t>
            </w:r>
            <w:r>
              <w:rPr>
                <w:rFonts w:hint="eastAsia" w:ascii="宋体" w:hAnsi="宋体" w:eastAsia="宋体" w:cs="Times New Roman"/>
                <w:color w:val="auto"/>
                <w:kern w:val="0"/>
                <w:szCs w:val="21"/>
                <w:highlight w:val="none"/>
                <w:lang w:bidi="ar"/>
              </w:rPr>
              <w:t>5</w:t>
            </w: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三圣</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5</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5</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15</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25</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13</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top"/>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top"/>
          </w:tcPr>
          <w:p>
            <w:pPr>
              <w:widowControl/>
              <w:spacing w:line="480" w:lineRule="exact"/>
              <w:jc w:val="center"/>
              <w:textAlignment w:val="center"/>
              <w:rPr>
                <w:rFonts w:hint="eastAsia"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continue"/>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 xml:space="preserve">狮子山 </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15</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14</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ascii="宋体" w:hAnsi="宋体" w:eastAsia="宋体" w:cs="Times New Roman"/>
                <w:color w:val="auto"/>
                <w:kern w:val="0"/>
                <w:szCs w:val="21"/>
                <w:highlight w:val="none"/>
                <w:lang w:bidi="ar"/>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restart"/>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cs="Times New Roman"/>
                <w:color w:val="auto"/>
                <w:kern w:val="0"/>
                <w:szCs w:val="21"/>
                <w:highlight w:val="none"/>
                <w:lang w:val="en-US" w:eastAsia="zh-CN" w:bidi="ar"/>
              </w:rPr>
              <w:t>包件</w:t>
            </w:r>
            <w:r>
              <w:rPr>
                <w:rFonts w:hint="eastAsia" w:ascii="宋体" w:hAnsi="宋体" w:eastAsia="宋体" w:cs="Times New Roman"/>
                <w:color w:val="auto"/>
                <w:kern w:val="0"/>
                <w:szCs w:val="21"/>
                <w:highlight w:val="none"/>
                <w:lang w:bidi="ar"/>
              </w:rPr>
              <w:t>6</w:t>
            </w: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书院街</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5</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3</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15</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15</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8</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ascii="宋体" w:hAnsi="宋体" w:eastAsia="宋体" w:cs="Times New Roman"/>
                <w:color w:val="auto"/>
                <w:kern w:val="0"/>
                <w:szCs w:val="21"/>
                <w:highlight w:val="none"/>
                <w:lang w:bidi="ar"/>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310" w:type="dxa"/>
            <w:vMerge w:val="continue"/>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p>
        </w:tc>
        <w:tc>
          <w:tcPr>
            <w:tcW w:w="72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柳江</w:t>
            </w:r>
          </w:p>
        </w:tc>
        <w:tc>
          <w:tcPr>
            <w:tcW w:w="111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6</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5</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4</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w:t>
            </w:r>
          </w:p>
        </w:tc>
        <w:tc>
          <w:tcPr>
            <w:tcW w:w="992"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w:t>
            </w:r>
          </w:p>
        </w:tc>
        <w:tc>
          <w:tcPr>
            <w:tcW w:w="1276"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2</w:t>
            </w:r>
          </w:p>
        </w:tc>
        <w:tc>
          <w:tcPr>
            <w:tcW w:w="1134"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16</w:t>
            </w:r>
          </w:p>
        </w:tc>
        <w:tc>
          <w:tcPr>
            <w:tcW w:w="993" w:type="dxa"/>
            <w:vAlign w:val="center"/>
          </w:tcPr>
          <w:p>
            <w:pPr>
              <w:keepNext w:val="0"/>
              <w:keepLines w:val="0"/>
              <w:widowControl/>
              <w:suppressLineNumbers w:val="0"/>
              <w:jc w:val="center"/>
              <w:textAlignment w:val="center"/>
              <w:rPr>
                <w:rFonts w:ascii="宋体" w:hAnsi="宋体" w:eastAsia="宋体" w:cs="Times New Roman"/>
                <w:color w:val="auto"/>
                <w:kern w:val="0"/>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30</w:t>
            </w:r>
          </w:p>
        </w:tc>
        <w:tc>
          <w:tcPr>
            <w:tcW w:w="850"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9</w:t>
            </w:r>
          </w:p>
        </w:tc>
        <w:tc>
          <w:tcPr>
            <w:tcW w:w="851"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ascii="宋体" w:hAnsi="宋体" w:eastAsia="宋体" w:cs="Times New Roman"/>
                <w:color w:val="auto"/>
                <w:kern w:val="0"/>
                <w:szCs w:val="21"/>
                <w:highlight w:val="none"/>
                <w:lang w:bidi="ar"/>
              </w:rPr>
              <w:t>10</w:t>
            </w:r>
          </w:p>
        </w:tc>
        <w:tc>
          <w:tcPr>
            <w:tcW w:w="708" w:type="dxa"/>
            <w:vAlign w:val="center"/>
          </w:tcPr>
          <w:p>
            <w:pPr>
              <w:widowControl/>
              <w:spacing w:line="480" w:lineRule="exact"/>
              <w:jc w:val="center"/>
              <w:textAlignment w:val="center"/>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val="en-US" w:eastAsia="zh-CN" w:bidi="ar"/>
              </w:rPr>
              <w:t>5</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hint="eastAsia" w:ascii="宋体" w:hAnsi="宋体" w:eastAsia="宋体" w:cs="Times New Roman"/>
                <w:color w:val="auto"/>
                <w:kern w:val="0"/>
                <w:szCs w:val="21"/>
                <w:highlight w:val="none"/>
                <w:lang w:bidi="ar"/>
              </w:rPr>
              <w:t>1</w:t>
            </w:r>
          </w:p>
        </w:tc>
        <w:tc>
          <w:tcPr>
            <w:tcW w:w="839" w:type="dxa"/>
            <w:vAlign w:val="center"/>
          </w:tcPr>
          <w:p>
            <w:pPr>
              <w:widowControl/>
              <w:spacing w:line="480" w:lineRule="exact"/>
              <w:jc w:val="center"/>
              <w:textAlignment w:val="center"/>
              <w:rPr>
                <w:rFonts w:ascii="宋体" w:hAnsi="宋体" w:eastAsia="宋体" w:cs="Times New Roman"/>
                <w:color w:val="auto"/>
                <w:kern w:val="0"/>
                <w:sz w:val="21"/>
                <w:szCs w:val="21"/>
                <w:highlight w:val="none"/>
                <w:lang w:val="en-US" w:eastAsia="zh-CN" w:bidi="ar"/>
              </w:rPr>
            </w:pPr>
            <w:r>
              <w:rPr>
                <w:rFonts w:ascii="宋体" w:hAnsi="宋体" w:eastAsia="宋体" w:cs="Times New Roman"/>
                <w:color w:val="auto"/>
                <w:kern w:val="0"/>
                <w:szCs w:val="21"/>
                <w:highlight w:val="none"/>
                <w:lang w:bidi="ar"/>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0" w:hRule="atLeast"/>
        </w:trPr>
        <w:tc>
          <w:tcPr>
            <w:tcW w:w="1032" w:type="dxa"/>
            <w:gridSpan w:val="2"/>
            <w:vAlign w:val="center"/>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ascii="宋体" w:hAnsi="宋体" w:eastAsia="宋体" w:cs="Times New Roman"/>
                <w:bCs/>
                <w:color w:val="auto"/>
                <w:kern w:val="0"/>
                <w:szCs w:val="21"/>
                <w:highlight w:val="none"/>
                <w:lang w:bidi="ar"/>
              </w:rPr>
              <w:t>合  计</w:t>
            </w:r>
          </w:p>
        </w:tc>
        <w:tc>
          <w:tcPr>
            <w:tcW w:w="1110" w:type="dxa"/>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hint="eastAsia" w:ascii="宋体" w:hAnsi="宋体" w:eastAsia="宋体" w:cs="Times New Roman"/>
                <w:bCs/>
                <w:color w:val="auto"/>
                <w:kern w:val="0"/>
                <w:szCs w:val="21"/>
                <w:highlight w:val="none"/>
                <w:lang w:bidi="ar"/>
              </w:rPr>
              <w:t>60</w:t>
            </w:r>
          </w:p>
        </w:tc>
        <w:tc>
          <w:tcPr>
            <w:tcW w:w="1134" w:type="dxa"/>
            <w:vAlign w:val="center"/>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hint="eastAsia" w:ascii="宋体" w:hAnsi="宋体" w:eastAsia="宋体" w:cs="Times New Roman"/>
                <w:bCs/>
                <w:color w:val="auto"/>
                <w:kern w:val="0"/>
                <w:szCs w:val="21"/>
                <w:highlight w:val="none"/>
                <w:lang w:bidi="ar"/>
              </w:rPr>
              <w:t>45</w:t>
            </w:r>
          </w:p>
        </w:tc>
        <w:tc>
          <w:tcPr>
            <w:tcW w:w="1134" w:type="dxa"/>
            <w:vAlign w:val="center"/>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ascii="宋体" w:hAnsi="宋体" w:eastAsia="宋体" w:cs="Times New Roman"/>
                <w:bCs/>
                <w:color w:val="auto"/>
                <w:kern w:val="0"/>
                <w:szCs w:val="21"/>
                <w:highlight w:val="none"/>
                <w:lang w:bidi="ar"/>
              </w:rPr>
              <w:t>48</w:t>
            </w:r>
          </w:p>
        </w:tc>
        <w:tc>
          <w:tcPr>
            <w:tcW w:w="992" w:type="dxa"/>
            <w:vAlign w:val="center"/>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ascii="宋体" w:hAnsi="宋体" w:eastAsia="宋体" w:cs="Times New Roman"/>
                <w:bCs/>
                <w:color w:val="auto"/>
                <w:kern w:val="0"/>
                <w:szCs w:val="21"/>
                <w:highlight w:val="none"/>
                <w:lang w:bidi="ar"/>
              </w:rPr>
              <w:t>12</w:t>
            </w:r>
          </w:p>
        </w:tc>
        <w:tc>
          <w:tcPr>
            <w:tcW w:w="1134" w:type="dxa"/>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ascii="宋体" w:hAnsi="宋体" w:eastAsia="宋体" w:cs="Times New Roman"/>
                <w:bCs/>
                <w:color w:val="auto"/>
                <w:kern w:val="0"/>
                <w:szCs w:val="21"/>
                <w:highlight w:val="none"/>
                <w:lang w:bidi="ar"/>
              </w:rPr>
              <w:fldChar w:fldCharType="begin"/>
            </w:r>
            <w:r>
              <w:rPr>
                <w:rFonts w:ascii="宋体" w:hAnsi="宋体" w:eastAsia="宋体" w:cs="Times New Roman"/>
                <w:bCs/>
                <w:color w:val="auto"/>
                <w:kern w:val="0"/>
                <w:szCs w:val="21"/>
                <w:highlight w:val="none"/>
                <w:lang w:bidi="ar"/>
              </w:rPr>
              <w:instrText xml:space="preserve"> = sum(P3:P13) \* MERGEFORMAT </w:instrText>
            </w:r>
            <w:r>
              <w:rPr>
                <w:rFonts w:ascii="宋体" w:hAnsi="宋体" w:eastAsia="宋体" w:cs="Times New Roman"/>
                <w:bCs/>
                <w:color w:val="auto"/>
                <w:kern w:val="0"/>
                <w:szCs w:val="21"/>
                <w:highlight w:val="none"/>
                <w:lang w:bidi="ar"/>
              </w:rPr>
              <w:fldChar w:fldCharType="separate"/>
            </w:r>
            <w:r>
              <w:rPr>
                <w:rFonts w:ascii="宋体" w:hAnsi="宋体" w:eastAsia="宋体" w:cs="Times New Roman"/>
                <w:bCs/>
                <w:color w:val="auto"/>
                <w:kern w:val="0"/>
                <w:szCs w:val="21"/>
                <w:highlight w:val="none"/>
                <w:lang w:bidi="ar"/>
              </w:rPr>
              <w:t>11</w:t>
            </w:r>
            <w:r>
              <w:rPr>
                <w:rFonts w:ascii="宋体" w:hAnsi="宋体" w:eastAsia="宋体" w:cs="Times New Roman"/>
                <w:bCs/>
                <w:color w:val="auto"/>
                <w:kern w:val="0"/>
                <w:szCs w:val="21"/>
                <w:highlight w:val="none"/>
                <w:lang w:bidi="ar"/>
              </w:rPr>
              <w:fldChar w:fldCharType="end"/>
            </w:r>
          </w:p>
        </w:tc>
        <w:tc>
          <w:tcPr>
            <w:tcW w:w="992" w:type="dxa"/>
            <w:vAlign w:val="center"/>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hint="eastAsia" w:ascii="宋体" w:hAnsi="宋体" w:eastAsia="宋体" w:cs="Times New Roman"/>
                <w:bCs/>
                <w:color w:val="auto"/>
                <w:kern w:val="0"/>
                <w:szCs w:val="21"/>
                <w:highlight w:val="none"/>
                <w:lang w:bidi="ar"/>
              </w:rPr>
              <w:t>22</w:t>
            </w:r>
          </w:p>
        </w:tc>
        <w:tc>
          <w:tcPr>
            <w:tcW w:w="1276" w:type="dxa"/>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hint="eastAsia" w:ascii="宋体" w:hAnsi="宋体" w:eastAsia="宋体" w:cs="Times New Roman"/>
                <w:bCs/>
                <w:color w:val="auto"/>
                <w:kern w:val="0"/>
                <w:szCs w:val="21"/>
                <w:highlight w:val="none"/>
                <w:lang w:bidi="ar"/>
              </w:rPr>
              <w:t>22</w:t>
            </w:r>
          </w:p>
        </w:tc>
        <w:tc>
          <w:tcPr>
            <w:tcW w:w="1134" w:type="dxa"/>
            <w:vAlign w:val="center"/>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hint="eastAsia" w:ascii="宋体" w:hAnsi="宋体" w:eastAsia="宋体" w:cs="Times New Roman"/>
                <w:bCs/>
                <w:color w:val="auto"/>
                <w:kern w:val="0"/>
                <w:szCs w:val="21"/>
                <w:highlight w:val="none"/>
                <w:lang w:bidi="ar"/>
              </w:rPr>
              <w:t>11</w:t>
            </w:r>
          </w:p>
        </w:tc>
        <w:tc>
          <w:tcPr>
            <w:tcW w:w="850" w:type="dxa"/>
            <w:vAlign w:val="center"/>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hint="eastAsia" w:ascii="宋体" w:hAnsi="宋体" w:eastAsia="宋体" w:cs="Times New Roman"/>
                <w:bCs/>
                <w:color w:val="auto"/>
                <w:kern w:val="0"/>
                <w:szCs w:val="21"/>
                <w:highlight w:val="none"/>
                <w:lang w:bidi="ar"/>
              </w:rPr>
              <w:t>187</w:t>
            </w:r>
          </w:p>
        </w:tc>
        <w:tc>
          <w:tcPr>
            <w:tcW w:w="993" w:type="dxa"/>
            <w:vAlign w:val="center"/>
          </w:tcPr>
          <w:p>
            <w:pPr>
              <w:widowControl/>
              <w:spacing w:line="480" w:lineRule="exact"/>
              <w:jc w:val="center"/>
              <w:textAlignment w:val="center"/>
              <w:rPr>
                <w:rFonts w:hint="default" w:ascii="宋体" w:hAnsi="宋体" w:eastAsia="宋体" w:cs="Times New Roman"/>
                <w:bCs/>
                <w:color w:val="auto"/>
                <w:kern w:val="0"/>
                <w:szCs w:val="21"/>
                <w:highlight w:val="none"/>
                <w:lang w:val="en-US" w:eastAsia="zh-CN" w:bidi="ar"/>
              </w:rPr>
            </w:pPr>
            <w:r>
              <w:rPr>
                <w:rFonts w:hint="eastAsia" w:ascii="宋体" w:hAnsi="宋体" w:eastAsia="宋体" w:cs="Times New Roman"/>
                <w:bCs/>
                <w:color w:val="auto"/>
                <w:kern w:val="0"/>
                <w:szCs w:val="21"/>
                <w:highlight w:val="none"/>
                <w:lang w:val="en-US" w:eastAsia="zh-CN" w:bidi="ar"/>
              </w:rPr>
              <w:t>248</w:t>
            </w:r>
          </w:p>
        </w:tc>
        <w:tc>
          <w:tcPr>
            <w:tcW w:w="850" w:type="dxa"/>
            <w:vAlign w:val="center"/>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ascii="宋体" w:hAnsi="宋体" w:eastAsia="宋体" w:cs="Times New Roman"/>
                <w:bCs/>
                <w:color w:val="auto"/>
                <w:kern w:val="0"/>
                <w:szCs w:val="21"/>
                <w:highlight w:val="none"/>
                <w:lang w:bidi="ar"/>
              </w:rPr>
              <w:t>1</w:t>
            </w:r>
            <w:r>
              <w:rPr>
                <w:rFonts w:hint="eastAsia" w:ascii="宋体" w:hAnsi="宋体" w:eastAsia="宋体" w:cs="Times New Roman"/>
                <w:bCs/>
                <w:color w:val="auto"/>
                <w:kern w:val="0"/>
                <w:szCs w:val="21"/>
                <w:highlight w:val="none"/>
                <w:lang w:bidi="ar"/>
              </w:rPr>
              <w:t>01</w:t>
            </w:r>
          </w:p>
        </w:tc>
        <w:tc>
          <w:tcPr>
            <w:tcW w:w="851" w:type="dxa"/>
          </w:tcPr>
          <w:p>
            <w:pPr>
              <w:widowControl/>
              <w:spacing w:line="480" w:lineRule="exact"/>
              <w:jc w:val="center"/>
              <w:textAlignment w:val="center"/>
              <w:rPr>
                <w:rFonts w:ascii="宋体" w:hAnsi="宋体" w:eastAsia="宋体" w:cs="Times New Roman"/>
                <w:bCs/>
                <w:color w:val="auto"/>
                <w:kern w:val="0"/>
                <w:szCs w:val="21"/>
                <w:highlight w:val="none"/>
                <w:lang w:bidi="ar"/>
              </w:rPr>
            </w:pPr>
            <w:r>
              <w:rPr>
                <w:rFonts w:hint="eastAsia" w:ascii="宋体" w:hAnsi="宋体" w:eastAsia="宋体" w:cs="Times New Roman"/>
                <w:bCs/>
                <w:color w:val="auto"/>
                <w:kern w:val="0"/>
                <w:szCs w:val="21"/>
                <w:highlight w:val="none"/>
                <w:lang w:bidi="ar"/>
              </w:rPr>
              <w:t>118</w:t>
            </w:r>
          </w:p>
        </w:tc>
        <w:tc>
          <w:tcPr>
            <w:tcW w:w="708" w:type="dxa"/>
          </w:tcPr>
          <w:p>
            <w:pPr>
              <w:widowControl/>
              <w:spacing w:line="480" w:lineRule="exact"/>
              <w:jc w:val="center"/>
              <w:textAlignment w:val="center"/>
              <w:rPr>
                <w:rFonts w:hint="default" w:ascii="宋体" w:hAnsi="宋体" w:eastAsia="宋体" w:cs="Times New Roman"/>
                <w:bCs/>
                <w:color w:val="auto"/>
                <w:kern w:val="0"/>
                <w:szCs w:val="21"/>
                <w:highlight w:val="none"/>
                <w:lang w:val="en-US" w:eastAsia="zh-CN" w:bidi="ar"/>
              </w:rPr>
            </w:pPr>
            <w:r>
              <w:rPr>
                <w:rFonts w:hint="eastAsia" w:ascii="宋体" w:hAnsi="宋体" w:eastAsia="宋体" w:cs="Times New Roman"/>
                <w:bCs/>
                <w:color w:val="auto"/>
                <w:kern w:val="0"/>
                <w:szCs w:val="21"/>
                <w:highlight w:val="none"/>
                <w:lang w:val="en-US" w:eastAsia="zh-CN" w:bidi="ar"/>
              </w:rPr>
              <w:t>55</w:t>
            </w:r>
          </w:p>
        </w:tc>
        <w:tc>
          <w:tcPr>
            <w:tcW w:w="839" w:type="dxa"/>
          </w:tcPr>
          <w:p>
            <w:pPr>
              <w:widowControl/>
              <w:spacing w:line="480" w:lineRule="exact"/>
              <w:jc w:val="center"/>
              <w:textAlignment w:val="center"/>
              <w:rPr>
                <w:rFonts w:hint="default" w:ascii="宋体" w:hAnsi="宋体" w:eastAsia="宋体" w:cs="Times New Roman"/>
                <w:bCs/>
                <w:color w:val="auto"/>
                <w:kern w:val="0"/>
                <w:szCs w:val="21"/>
                <w:highlight w:val="none"/>
                <w:lang w:val="en-US" w:eastAsia="zh-CN" w:bidi="ar"/>
              </w:rPr>
            </w:pPr>
            <w:r>
              <w:rPr>
                <w:rFonts w:hint="eastAsia" w:ascii="宋体" w:hAnsi="宋体" w:eastAsia="宋体" w:cs="Times New Roman"/>
                <w:bCs/>
                <w:color w:val="auto"/>
                <w:kern w:val="0"/>
                <w:szCs w:val="21"/>
                <w:highlight w:val="none"/>
                <w:lang w:val="en-US" w:eastAsia="zh-CN" w:bidi="ar"/>
              </w:rPr>
              <w:t>11</w:t>
            </w:r>
          </w:p>
        </w:tc>
        <w:tc>
          <w:tcPr>
            <w:tcW w:w="839" w:type="dxa"/>
          </w:tcPr>
          <w:p>
            <w:pPr>
              <w:widowControl/>
              <w:spacing w:line="480" w:lineRule="exact"/>
              <w:jc w:val="center"/>
              <w:textAlignment w:val="center"/>
              <w:rPr>
                <w:rFonts w:hint="default" w:ascii="宋体" w:hAnsi="宋体" w:eastAsia="宋体" w:cs="Times New Roman"/>
                <w:bCs/>
                <w:color w:val="auto"/>
                <w:kern w:val="0"/>
                <w:szCs w:val="21"/>
                <w:highlight w:val="none"/>
                <w:lang w:val="en-US" w:eastAsia="zh-CN" w:bidi="ar"/>
              </w:rPr>
            </w:pPr>
            <w:r>
              <w:rPr>
                <w:rFonts w:hint="eastAsia" w:ascii="宋体" w:hAnsi="宋体" w:eastAsia="宋体" w:cs="Times New Roman"/>
                <w:bCs/>
                <w:color w:val="auto"/>
                <w:kern w:val="0"/>
                <w:szCs w:val="21"/>
                <w:highlight w:val="none"/>
                <w:lang w:val="en-US" w:eastAsia="zh-CN" w:bidi="ar"/>
              </w:rPr>
              <w:t>2345</w:t>
            </w:r>
          </w:p>
        </w:tc>
      </w:tr>
    </w:tbl>
    <w:tbl>
      <w:tblPr>
        <w:tblStyle w:val="59"/>
        <w:tblpPr w:leftFromText="181" w:rightFromText="181" w:topFromText="567" w:vertAnchor="text" w:horzAnchor="page" w:tblpX="455" w:tblpY="851"/>
        <w:tblOverlap w:val="never"/>
        <w:tblW w:w="15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105"/>
        <w:gridCol w:w="681"/>
        <w:gridCol w:w="456"/>
        <w:gridCol w:w="512"/>
        <w:gridCol w:w="637"/>
        <w:gridCol w:w="709"/>
        <w:gridCol w:w="753"/>
        <w:gridCol w:w="637"/>
        <w:gridCol w:w="1085"/>
        <w:gridCol w:w="1185"/>
        <w:gridCol w:w="1335"/>
        <w:gridCol w:w="1215"/>
        <w:gridCol w:w="1590"/>
        <w:gridCol w:w="1403"/>
        <w:gridCol w:w="85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5614" w:type="dxa"/>
            <w:gridSpan w:val="17"/>
            <w:vAlign w:val="center"/>
          </w:tcPr>
          <w:p>
            <w:pPr>
              <w:widowControl/>
              <w:jc w:val="center"/>
              <w:textAlignment w:val="center"/>
              <w:rPr>
                <w:rFonts w:ascii="Times New Roman" w:hAnsi="Times New Roman" w:eastAsia="方正小标宋简体"/>
                <w:color w:val="auto"/>
                <w:kern w:val="0"/>
                <w:szCs w:val="21"/>
                <w:highlight w:val="none"/>
                <w:lang w:bidi="ar"/>
              </w:rPr>
            </w:pPr>
            <w:r>
              <w:rPr>
                <w:rFonts w:ascii="Times New Roman" w:hAnsi="Times New Roman"/>
                <w:color w:val="auto"/>
                <w:szCs w:val="24"/>
                <w:highlight w:val="none"/>
              </w:rPr>
              <w:br w:type="page"/>
            </w:r>
            <w:r>
              <w:rPr>
                <w:rFonts w:hint="eastAsia" w:ascii="Times New Roman" w:hAnsi="Times New Roman" w:eastAsia="方正小标宋简体"/>
                <w:color w:val="auto"/>
                <w:kern w:val="0"/>
                <w:szCs w:val="21"/>
                <w:highlight w:val="none"/>
                <w:lang w:bidi="ar"/>
              </w:rPr>
              <w:t>《绿化管护设施设备和人员数量表》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612" w:type="dxa"/>
            <w:vAlign w:val="center"/>
          </w:tcPr>
          <w:p>
            <w:pPr>
              <w:widowControl/>
              <w:spacing w:line="440" w:lineRule="exact"/>
              <w:textAlignment w:val="center"/>
              <w:rPr>
                <w:rFonts w:ascii="Times New Roman" w:hAnsi="Times New Roman" w:eastAsia="方正仿宋_GBK"/>
                <w:b/>
                <w:bCs/>
                <w:color w:val="auto"/>
                <w:kern w:val="0"/>
                <w:szCs w:val="21"/>
                <w:highlight w:val="none"/>
                <w:lang w:bidi="ar"/>
              </w:rPr>
            </w:pPr>
            <w:r>
              <w:rPr>
                <w:rFonts w:hint="eastAsia" w:ascii="Times New Roman" w:hAnsi="Times New Roman" w:eastAsia="方正仿宋_GBK"/>
                <w:b/>
                <w:bCs/>
                <w:color w:val="auto"/>
                <w:kern w:val="0"/>
                <w:szCs w:val="21"/>
                <w:highlight w:val="none"/>
                <w:lang w:bidi="ar"/>
              </w:rPr>
              <w:t>包号</w:t>
            </w:r>
          </w:p>
        </w:tc>
        <w:tc>
          <w:tcPr>
            <w:tcW w:w="1105"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街道</w:t>
            </w:r>
          </w:p>
        </w:tc>
        <w:tc>
          <w:tcPr>
            <w:tcW w:w="681"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剪草机</w:t>
            </w:r>
          </w:p>
        </w:tc>
        <w:tc>
          <w:tcPr>
            <w:tcW w:w="456"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割灌机</w:t>
            </w:r>
          </w:p>
        </w:tc>
        <w:tc>
          <w:tcPr>
            <w:tcW w:w="512"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高枝油锯</w:t>
            </w:r>
          </w:p>
        </w:tc>
        <w:tc>
          <w:tcPr>
            <w:tcW w:w="637"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油锯</w:t>
            </w:r>
          </w:p>
        </w:tc>
        <w:tc>
          <w:tcPr>
            <w:tcW w:w="709"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打孔机</w:t>
            </w:r>
          </w:p>
        </w:tc>
        <w:tc>
          <w:tcPr>
            <w:tcW w:w="753"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打药机</w:t>
            </w:r>
          </w:p>
        </w:tc>
        <w:tc>
          <w:tcPr>
            <w:tcW w:w="637"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吹风机</w:t>
            </w:r>
          </w:p>
        </w:tc>
        <w:tc>
          <w:tcPr>
            <w:tcW w:w="1085"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hint="eastAsia" w:ascii="Times New Roman" w:hAnsi="Times New Roman" w:eastAsia="方正仿宋"/>
                <w:b/>
                <w:bCs/>
                <w:color w:val="auto"/>
                <w:kern w:val="0"/>
                <w:szCs w:val="21"/>
                <w:highlight w:val="none"/>
                <w:lang w:bidi="ar"/>
              </w:rPr>
              <w:t>核定载质量0.5吨（含）以上货车</w:t>
            </w:r>
          </w:p>
        </w:tc>
        <w:tc>
          <w:tcPr>
            <w:tcW w:w="1185"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四轮巡检车（机动车）</w:t>
            </w:r>
          </w:p>
        </w:tc>
        <w:tc>
          <w:tcPr>
            <w:tcW w:w="1335"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hint="eastAsia" w:ascii="Times New Roman" w:hAnsi="Times New Roman" w:eastAsia="方正仿宋"/>
                <w:b/>
                <w:bCs/>
                <w:color w:val="auto"/>
                <w:kern w:val="0"/>
                <w:szCs w:val="21"/>
                <w:highlight w:val="none"/>
                <w:lang w:bidi="ar"/>
              </w:rPr>
              <w:t>核定载质量1.3吨（含）以上货车</w:t>
            </w:r>
          </w:p>
        </w:tc>
        <w:tc>
          <w:tcPr>
            <w:tcW w:w="1215" w:type="dxa"/>
            <w:vAlign w:val="center"/>
          </w:tcPr>
          <w:p>
            <w:pPr>
              <w:widowControl/>
              <w:spacing w:line="440" w:lineRule="exact"/>
              <w:jc w:val="center"/>
              <w:textAlignment w:val="center"/>
              <w:rPr>
                <w:rFonts w:ascii="Times New Roman" w:hAnsi="Times New Roman" w:eastAsia="方正仿宋"/>
                <w:b/>
                <w:bCs/>
                <w:color w:val="auto"/>
                <w:kern w:val="0"/>
                <w:szCs w:val="21"/>
                <w:highlight w:val="none"/>
                <w:lang w:bidi="ar"/>
              </w:rPr>
            </w:pPr>
            <w:r>
              <w:rPr>
                <w:rFonts w:hint="eastAsia" w:ascii="Times New Roman" w:hAnsi="Times New Roman" w:eastAsia="方正仿宋"/>
                <w:b/>
                <w:bCs/>
                <w:color w:val="auto"/>
                <w:kern w:val="0"/>
                <w:szCs w:val="21"/>
                <w:highlight w:val="none"/>
                <w:lang w:bidi="ar"/>
              </w:rPr>
              <w:t>绿化管护项目负责人</w:t>
            </w:r>
          </w:p>
        </w:tc>
        <w:tc>
          <w:tcPr>
            <w:tcW w:w="1590" w:type="dxa"/>
            <w:vAlign w:val="center"/>
          </w:tcPr>
          <w:p>
            <w:pPr>
              <w:widowControl/>
              <w:spacing w:line="440" w:lineRule="exact"/>
              <w:jc w:val="center"/>
              <w:textAlignment w:val="center"/>
              <w:rPr>
                <w:rFonts w:ascii="Times New Roman" w:hAnsi="Times New Roman" w:eastAsia="方正仿宋"/>
                <w:b/>
                <w:bCs/>
                <w:color w:val="auto"/>
                <w:kern w:val="0"/>
                <w:szCs w:val="21"/>
                <w:highlight w:val="none"/>
                <w:lang w:bidi="ar"/>
              </w:rPr>
            </w:pPr>
            <w:r>
              <w:rPr>
                <w:rFonts w:hint="eastAsia" w:ascii="Times New Roman" w:hAnsi="Times New Roman" w:eastAsia="方正仿宋"/>
                <w:b/>
                <w:bCs/>
                <w:color w:val="auto"/>
                <w:kern w:val="0"/>
                <w:szCs w:val="21"/>
                <w:highlight w:val="none"/>
                <w:lang w:bidi="ar"/>
              </w:rPr>
              <w:t>绿化管护技术负责人</w:t>
            </w:r>
          </w:p>
        </w:tc>
        <w:tc>
          <w:tcPr>
            <w:tcW w:w="1403" w:type="dxa"/>
            <w:vAlign w:val="center"/>
          </w:tcPr>
          <w:p>
            <w:pPr>
              <w:widowControl/>
              <w:spacing w:line="440" w:lineRule="exact"/>
              <w:jc w:val="center"/>
              <w:textAlignment w:val="center"/>
              <w:rPr>
                <w:rFonts w:ascii="Times New Roman" w:hAnsi="Times New Roman" w:eastAsia="方正仿宋"/>
                <w:b/>
                <w:bCs/>
                <w:color w:val="auto"/>
                <w:kern w:val="0"/>
                <w:szCs w:val="21"/>
                <w:highlight w:val="none"/>
                <w:lang w:bidi="ar"/>
              </w:rPr>
            </w:pPr>
            <w:r>
              <w:rPr>
                <w:rFonts w:hint="eastAsia" w:ascii="Times New Roman" w:hAnsi="Times New Roman" w:eastAsia="方正仿宋"/>
                <w:b/>
                <w:bCs/>
                <w:color w:val="auto"/>
                <w:kern w:val="0"/>
                <w:szCs w:val="21"/>
                <w:highlight w:val="none"/>
                <w:lang w:bidi="ar"/>
              </w:rPr>
              <w:t>时令鲜花（含花镜）专职管理技术人员</w:t>
            </w:r>
          </w:p>
        </w:tc>
        <w:tc>
          <w:tcPr>
            <w:tcW w:w="856" w:type="dxa"/>
            <w:vAlign w:val="center"/>
          </w:tcPr>
          <w:p>
            <w:pPr>
              <w:widowControl/>
              <w:spacing w:line="440" w:lineRule="exact"/>
              <w:jc w:val="center"/>
              <w:textAlignment w:val="center"/>
              <w:rPr>
                <w:rFonts w:ascii="Times New Roman" w:hAnsi="Times New Roman" w:eastAsia="方正仿宋"/>
                <w:b/>
                <w:bCs/>
                <w:color w:val="auto"/>
                <w:kern w:val="0"/>
                <w:szCs w:val="21"/>
                <w:highlight w:val="none"/>
                <w:lang w:bidi="ar"/>
              </w:rPr>
            </w:pPr>
            <w:r>
              <w:rPr>
                <w:rFonts w:hint="eastAsia" w:ascii="Times New Roman" w:hAnsi="Times New Roman" w:eastAsia="方正仿宋"/>
                <w:b/>
                <w:bCs/>
                <w:color w:val="auto"/>
                <w:kern w:val="0"/>
                <w:szCs w:val="21"/>
                <w:highlight w:val="none"/>
                <w:lang w:bidi="ar"/>
              </w:rPr>
              <w:t>绿化管护人员</w:t>
            </w:r>
          </w:p>
        </w:tc>
        <w:tc>
          <w:tcPr>
            <w:tcW w:w="843" w:type="dxa"/>
            <w:vAlign w:val="center"/>
          </w:tcPr>
          <w:p>
            <w:pPr>
              <w:widowControl/>
              <w:spacing w:line="440" w:lineRule="exact"/>
              <w:jc w:val="center"/>
              <w:textAlignment w:val="center"/>
              <w:rPr>
                <w:rFonts w:ascii="Times New Roman" w:hAnsi="Times New Roman" w:eastAsia="方正仿宋_GBK"/>
                <w:b/>
                <w:bCs/>
                <w:color w:val="auto"/>
                <w:kern w:val="0"/>
                <w:szCs w:val="21"/>
                <w:highlight w:val="none"/>
                <w:lang w:bidi="ar"/>
              </w:rPr>
            </w:pPr>
            <w:r>
              <w:rPr>
                <w:rFonts w:ascii="Times New Roman" w:hAnsi="Times New Roman" w:eastAsia="方正仿宋"/>
                <w:b/>
                <w:bCs/>
                <w:color w:val="auto"/>
                <w:kern w:val="0"/>
                <w:szCs w:val="21"/>
                <w:highlight w:val="none"/>
                <w:lang w:bidi="ar"/>
              </w:rPr>
              <w:t>台剪、高枝剪、枝剪等工具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Align w:val="center"/>
          </w:tcPr>
          <w:p>
            <w:pPr>
              <w:widowControl/>
              <w:spacing w:line="540" w:lineRule="exact"/>
              <w:jc w:val="center"/>
              <w:textAlignment w:val="center"/>
              <w:rPr>
                <w:rFonts w:hint="eastAsia" w:ascii="Times New Roman" w:hAnsi="Times New Roman" w:eastAsia="宋体"/>
                <w:color w:val="auto"/>
                <w:szCs w:val="21"/>
                <w:highlight w:val="none"/>
                <w:lang w:eastAsia="zh-CN"/>
              </w:rPr>
            </w:pPr>
            <w:r>
              <w:rPr>
                <w:rFonts w:hint="eastAsia" w:ascii="Times New Roman" w:hAnsi="Times New Roman" w:eastAsia="方正仿宋"/>
                <w:color w:val="auto"/>
                <w:kern w:val="0"/>
                <w:szCs w:val="21"/>
                <w:highlight w:val="none"/>
                <w:lang w:eastAsia="zh-CN" w:bidi="ar"/>
              </w:rPr>
              <w:t>包件1</w:t>
            </w: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春熙路</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45</w:t>
            </w:r>
          </w:p>
        </w:tc>
        <w:tc>
          <w:tcPr>
            <w:tcW w:w="843" w:type="dxa"/>
            <w:vMerge w:val="restart"/>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数量不做具体要求，但应满足工作需要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restart"/>
            <w:vAlign w:val="center"/>
          </w:tcPr>
          <w:p>
            <w:pPr>
              <w:widowControl/>
              <w:spacing w:line="540" w:lineRule="exact"/>
              <w:jc w:val="center"/>
              <w:textAlignment w:val="center"/>
              <w:rPr>
                <w:rFonts w:hint="eastAsia" w:ascii="Times New Roman" w:hAnsi="Times New Roman" w:eastAsia="方正仿宋"/>
                <w:color w:val="auto"/>
                <w:kern w:val="0"/>
                <w:szCs w:val="21"/>
                <w:highlight w:val="none"/>
                <w:lang w:eastAsia="zh-CN" w:bidi="ar"/>
              </w:rPr>
            </w:pPr>
            <w:r>
              <w:rPr>
                <w:rFonts w:hint="eastAsia" w:ascii="Times New Roman" w:hAnsi="Times New Roman" w:eastAsia="方正仿宋"/>
                <w:color w:val="auto"/>
                <w:kern w:val="0"/>
                <w:szCs w:val="21"/>
                <w:highlight w:val="none"/>
                <w:lang w:eastAsia="zh-CN" w:bidi="ar"/>
              </w:rPr>
              <w:t>包件2</w:t>
            </w: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锦官驿</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锦华路</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10</w:t>
            </w:r>
          </w:p>
        </w:tc>
        <w:tc>
          <w:tcPr>
            <w:tcW w:w="843"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restart"/>
            <w:vAlign w:val="center"/>
          </w:tcPr>
          <w:p>
            <w:pPr>
              <w:widowControl/>
              <w:spacing w:line="540" w:lineRule="exact"/>
              <w:jc w:val="center"/>
              <w:textAlignment w:val="center"/>
              <w:rPr>
                <w:rFonts w:hint="eastAsia" w:ascii="Times New Roman" w:hAnsi="Times New Roman" w:eastAsia="方正仿宋"/>
                <w:color w:val="auto"/>
                <w:kern w:val="0"/>
                <w:szCs w:val="21"/>
                <w:highlight w:val="none"/>
                <w:lang w:eastAsia="zh-CN" w:bidi="ar"/>
              </w:rPr>
            </w:pPr>
            <w:r>
              <w:rPr>
                <w:rFonts w:hint="eastAsia" w:ascii="Times New Roman" w:hAnsi="Times New Roman" w:eastAsia="方正仿宋"/>
                <w:color w:val="auto"/>
                <w:kern w:val="0"/>
                <w:szCs w:val="21"/>
                <w:highlight w:val="none"/>
                <w:lang w:eastAsia="zh-CN" w:bidi="ar"/>
              </w:rPr>
              <w:t>包件3</w:t>
            </w: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成龙</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沙河</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restart"/>
            <w:vAlign w:val="center"/>
          </w:tcPr>
          <w:p>
            <w:pPr>
              <w:widowControl/>
              <w:spacing w:line="540" w:lineRule="exact"/>
              <w:jc w:val="center"/>
              <w:textAlignment w:val="center"/>
              <w:rPr>
                <w:rFonts w:hint="eastAsia" w:ascii="Times New Roman" w:hAnsi="Times New Roman" w:eastAsia="方正仿宋"/>
                <w:color w:val="auto"/>
                <w:kern w:val="0"/>
                <w:szCs w:val="21"/>
                <w:highlight w:val="none"/>
                <w:lang w:eastAsia="zh-CN" w:bidi="ar"/>
              </w:rPr>
            </w:pPr>
            <w:r>
              <w:rPr>
                <w:rFonts w:hint="eastAsia" w:ascii="Times New Roman" w:hAnsi="Times New Roman" w:eastAsia="方正仿宋"/>
                <w:color w:val="auto"/>
                <w:kern w:val="0"/>
                <w:szCs w:val="21"/>
                <w:highlight w:val="none"/>
                <w:lang w:eastAsia="zh-CN" w:bidi="ar"/>
              </w:rPr>
              <w:t>包件4</w:t>
            </w: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牛市口</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东湖</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restart"/>
            <w:vAlign w:val="center"/>
          </w:tcPr>
          <w:p>
            <w:pPr>
              <w:widowControl/>
              <w:spacing w:line="540" w:lineRule="exact"/>
              <w:jc w:val="center"/>
              <w:textAlignment w:val="center"/>
              <w:rPr>
                <w:rFonts w:hint="eastAsia" w:ascii="Times New Roman" w:hAnsi="Times New Roman" w:eastAsia="方正仿宋"/>
                <w:color w:val="auto"/>
                <w:kern w:val="0"/>
                <w:szCs w:val="21"/>
                <w:highlight w:val="none"/>
                <w:lang w:eastAsia="zh-CN" w:bidi="ar"/>
              </w:rPr>
            </w:pPr>
            <w:r>
              <w:rPr>
                <w:rFonts w:hint="eastAsia" w:ascii="Times New Roman" w:hAnsi="Times New Roman" w:eastAsia="方正仿宋"/>
                <w:color w:val="auto"/>
                <w:kern w:val="0"/>
                <w:szCs w:val="21"/>
                <w:highlight w:val="none"/>
                <w:lang w:eastAsia="zh-CN" w:bidi="ar"/>
              </w:rPr>
              <w:t>包件5</w:t>
            </w: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三圣</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 xml:space="preserve">狮子山 </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restart"/>
            <w:vAlign w:val="center"/>
          </w:tcPr>
          <w:p>
            <w:pPr>
              <w:widowControl/>
              <w:spacing w:line="540" w:lineRule="exact"/>
              <w:jc w:val="center"/>
              <w:textAlignment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包件6</w:t>
            </w: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书院街</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color w:val="auto"/>
                <w:szCs w:val="21"/>
                <w:highlight w:val="none"/>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color w:val="auto"/>
                <w:szCs w:val="21"/>
                <w:highlight w:val="none"/>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spacing w:line="540" w:lineRule="exact"/>
              <w:jc w:val="center"/>
              <w:rPr>
                <w:rFonts w:ascii="Times New Roman" w:hAnsi="Times New Roman"/>
                <w:color w:val="auto"/>
                <w:szCs w:val="21"/>
                <w:highlight w:val="none"/>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spacing w:line="540" w:lineRule="exact"/>
              <w:jc w:val="center"/>
              <w:rPr>
                <w:rFonts w:ascii="Times New Roman" w:hAnsi="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12" w:type="dxa"/>
            <w:vMerge w:val="continue"/>
            <w:vAlign w:val="center"/>
          </w:tcPr>
          <w:p>
            <w:pPr>
              <w:widowControl/>
              <w:spacing w:line="540" w:lineRule="exact"/>
              <w:jc w:val="center"/>
              <w:textAlignment w:val="center"/>
              <w:rPr>
                <w:rFonts w:ascii="Times New Roman" w:hAnsi="Times New Roman"/>
                <w:color w:val="auto"/>
                <w:szCs w:val="21"/>
                <w:highlight w:val="none"/>
              </w:rPr>
            </w:pPr>
          </w:p>
        </w:tc>
        <w:tc>
          <w:tcPr>
            <w:tcW w:w="1105" w:type="dxa"/>
            <w:vAlign w:val="center"/>
          </w:tcPr>
          <w:p>
            <w:pPr>
              <w:widowControl/>
              <w:spacing w:line="540" w:lineRule="exact"/>
              <w:jc w:val="center"/>
              <w:textAlignment w:val="center"/>
              <w:rPr>
                <w:rFonts w:ascii="Times New Roman" w:hAnsi="Times New Roman" w:eastAsia="方正仿宋_GBK"/>
                <w:color w:val="auto"/>
                <w:kern w:val="0"/>
                <w:szCs w:val="21"/>
                <w:highlight w:val="none"/>
                <w:lang w:bidi="ar"/>
              </w:rPr>
            </w:pPr>
            <w:r>
              <w:rPr>
                <w:rFonts w:ascii="Times New Roman" w:hAnsi="Times New Roman" w:eastAsia="方正仿宋"/>
                <w:color w:val="auto"/>
                <w:kern w:val="0"/>
                <w:szCs w:val="21"/>
                <w:highlight w:val="none"/>
                <w:lang w:bidi="ar"/>
              </w:rPr>
              <w:t>柳江</w:t>
            </w:r>
          </w:p>
        </w:tc>
        <w:tc>
          <w:tcPr>
            <w:tcW w:w="681"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3</w:t>
            </w:r>
          </w:p>
        </w:tc>
        <w:tc>
          <w:tcPr>
            <w:tcW w:w="456"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512"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09"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753"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637"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0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18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335" w:type="dxa"/>
            <w:vAlign w:val="center"/>
          </w:tcPr>
          <w:p>
            <w:pPr>
              <w:widowControl/>
              <w:spacing w:line="540" w:lineRule="exact"/>
              <w:jc w:val="center"/>
              <w:textAlignment w:val="center"/>
              <w:rPr>
                <w:rFonts w:ascii="Times New Roman" w:hAnsi="Times New Roman"/>
                <w:color w:val="auto"/>
                <w:szCs w:val="21"/>
                <w:highlight w:val="none"/>
              </w:rPr>
            </w:pPr>
            <w:r>
              <w:rPr>
                <w:rFonts w:ascii="Times New Roman" w:hAnsi="Times New Roman" w:eastAsia="方正仿宋"/>
                <w:color w:val="auto"/>
                <w:kern w:val="0"/>
                <w:szCs w:val="21"/>
                <w:highlight w:val="none"/>
                <w:lang w:bidi="ar"/>
              </w:rPr>
              <w:t>1</w:t>
            </w:r>
          </w:p>
        </w:tc>
        <w:tc>
          <w:tcPr>
            <w:tcW w:w="1215" w:type="dxa"/>
            <w:vAlign w:val="center"/>
          </w:tcPr>
          <w:p>
            <w:pPr>
              <w:widowControl/>
              <w:spacing w:line="540" w:lineRule="exact"/>
              <w:jc w:val="center"/>
              <w:textAlignment w:val="center"/>
              <w:rPr>
                <w:rFonts w:ascii="Times New Roman" w:hAnsi="Times New Roman"/>
                <w:color w:val="auto"/>
                <w:szCs w:val="21"/>
                <w:highlight w:val="none"/>
              </w:rPr>
            </w:pPr>
            <w:r>
              <w:rPr>
                <w:rFonts w:hint="eastAsia" w:ascii="Times New Roman" w:hAnsi="Times New Roman" w:eastAsia="方正仿宋"/>
                <w:color w:val="auto"/>
                <w:kern w:val="0"/>
                <w:szCs w:val="21"/>
                <w:highlight w:val="none"/>
                <w:lang w:bidi="ar"/>
              </w:rPr>
              <w:t>1</w:t>
            </w:r>
          </w:p>
        </w:tc>
        <w:tc>
          <w:tcPr>
            <w:tcW w:w="1590"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color w:val="auto"/>
                <w:szCs w:val="21"/>
                <w:highlight w:val="none"/>
              </w:rPr>
              <w:t>1</w:t>
            </w:r>
          </w:p>
        </w:tc>
        <w:tc>
          <w:tcPr>
            <w:tcW w:w="1403" w:type="dxa"/>
            <w:vAlign w:val="center"/>
          </w:tcPr>
          <w:p>
            <w:pPr>
              <w:widowControl/>
              <w:spacing w:line="540" w:lineRule="exact"/>
              <w:jc w:val="center"/>
              <w:textAlignment w:val="center"/>
              <w:rPr>
                <w:rFonts w:ascii="Times New Roman" w:hAnsi="Times New Roman" w:eastAsia="方正仿宋"/>
                <w:color w:val="auto"/>
                <w:kern w:val="0"/>
                <w:szCs w:val="21"/>
                <w:highlight w:val="none"/>
                <w:lang w:bidi="ar"/>
              </w:rPr>
            </w:pPr>
            <w:r>
              <w:rPr>
                <w:rFonts w:hint="eastAsia" w:ascii="Times New Roman" w:hAnsi="Times New Roman" w:eastAsia="方正仿宋"/>
                <w:color w:val="auto"/>
                <w:kern w:val="0"/>
                <w:szCs w:val="21"/>
                <w:highlight w:val="none"/>
                <w:lang w:bidi="ar"/>
              </w:rPr>
              <w:t>1</w:t>
            </w:r>
          </w:p>
        </w:tc>
        <w:tc>
          <w:tcPr>
            <w:tcW w:w="856" w:type="dxa"/>
            <w:vAlign w:val="center"/>
          </w:tcPr>
          <w:p>
            <w:pPr>
              <w:spacing w:line="540" w:lineRule="exact"/>
              <w:jc w:val="center"/>
              <w:rPr>
                <w:rFonts w:ascii="Times New Roman" w:hAnsi="Times New Roman"/>
                <w:color w:val="auto"/>
                <w:szCs w:val="21"/>
                <w:highlight w:val="none"/>
              </w:rPr>
            </w:pPr>
            <w:r>
              <w:rPr>
                <w:rFonts w:hint="eastAsia" w:ascii="Times New Roman" w:hAnsi="Times New Roman" w:eastAsia="方正仿宋"/>
                <w:color w:val="auto"/>
                <w:kern w:val="0"/>
                <w:szCs w:val="21"/>
                <w:highlight w:val="none"/>
                <w:lang w:bidi="ar"/>
              </w:rPr>
              <w:t>30</w:t>
            </w:r>
          </w:p>
        </w:tc>
        <w:tc>
          <w:tcPr>
            <w:tcW w:w="843" w:type="dxa"/>
            <w:vMerge w:val="continue"/>
            <w:vAlign w:val="center"/>
          </w:tcPr>
          <w:p>
            <w:pPr>
              <w:spacing w:line="540" w:lineRule="exact"/>
              <w:jc w:val="center"/>
              <w:rPr>
                <w:rFonts w:ascii="Times New Roman" w:hAnsi="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17" w:type="dxa"/>
            <w:gridSpan w:val="2"/>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合  计</w:t>
            </w:r>
          </w:p>
        </w:tc>
        <w:tc>
          <w:tcPr>
            <w:tcW w:w="681"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33</w:t>
            </w:r>
          </w:p>
        </w:tc>
        <w:tc>
          <w:tcPr>
            <w:tcW w:w="456"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512"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637"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709"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753"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637"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1085"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1185"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1335" w:type="dxa"/>
            <w:vAlign w:val="center"/>
          </w:tcPr>
          <w:p>
            <w:pPr>
              <w:widowControl/>
              <w:spacing w:line="540" w:lineRule="exact"/>
              <w:jc w:val="center"/>
              <w:textAlignment w:val="center"/>
              <w:rPr>
                <w:rFonts w:ascii="Times New Roman" w:hAnsi="Times New Roman"/>
                <w:b/>
                <w:bCs/>
                <w:color w:val="auto"/>
                <w:szCs w:val="21"/>
                <w:highlight w:val="none"/>
              </w:rPr>
            </w:pPr>
            <w:r>
              <w:rPr>
                <w:rFonts w:ascii="Times New Roman" w:hAnsi="Times New Roman" w:eastAsia="方正仿宋"/>
                <w:b/>
                <w:bCs/>
                <w:color w:val="auto"/>
                <w:kern w:val="0"/>
                <w:szCs w:val="21"/>
                <w:highlight w:val="none"/>
                <w:lang w:bidi="ar"/>
              </w:rPr>
              <w:t>11</w:t>
            </w:r>
          </w:p>
        </w:tc>
        <w:tc>
          <w:tcPr>
            <w:tcW w:w="1215" w:type="dxa"/>
            <w:vAlign w:val="center"/>
          </w:tcPr>
          <w:p>
            <w:pPr>
              <w:spacing w:line="540" w:lineRule="exact"/>
              <w:jc w:val="center"/>
              <w:rPr>
                <w:rFonts w:ascii="Times New Roman" w:hAnsi="Times New Roman"/>
                <w:color w:val="auto"/>
                <w:szCs w:val="21"/>
                <w:highlight w:val="none"/>
              </w:rPr>
            </w:pPr>
            <w:r>
              <w:rPr>
                <w:rFonts w:hint="eastAsia" w:ascii="Times New Roman" w:hAnsi="Times New Roman"/>
                <w:color w:val="auto"/>
                <w:szCs w:val="21"/>
                <w:highlight w:val="none"/>
              </w:rPr>
              <w:t>11</w:t>
            </w:r>
          </w:p>
        </w:tc>
        <w:tc>
          <w:tcPr>
            <w:tcW w:w="1590" w:type="dxa"/>
            <w:vAlign w:val="center"/>
          </w:tcPr>
          <w:p>
            <w:pPr>
              <w:spacing w:line="540" w:lineRule="exact"/>
              <w:jc w:val="center"/>
              <w:rPr>
                <w:rFonts w:ascii="Times New Roman" w:hAnsi="Times New Roman"/>
                <w:color w:val="auto"/>
                <w:szCs w:val="21"/>
                <w:highlight w:val="none"/>
              </w:rPr>
            </w:pPr>
            <w:r>
              <w:rPr>
                <w:rFonts w:hint="eastAsia" w:ascii="Times New Roman" w:hAnsi="Times New Roman"/>
                <w:color w:val="auto"/>
                <w:szCs w:val="21"/>
                <w:highlight w:val="none"/>
              </w:rPr>
              <w:t>11</w:t>
            </w:r>
          </w:p>
        </w:tc>
        <w:tc>
          <w:tcPr>
            <w:tcW w:w="1403" w:type="dxa"/>
            <w:vAlign w:val="center"/>
          </w:tcPr>
          <w:p>
            <w:pPr>
              <w:spacing w:line="540" w:lineRule="exact"/>
              <w:jc w:val="center"/>
              <w:rPr>
                <w:rFonts w:ascii="Times New Roman" w:hAnsi="Times New Roman"/>
                <w:color w:val="auto"/>
                <w:szCs w:val="21"/>
                <w:highlight w:val="none"/>
              </w:rPr>
            </w:pPr>
            <w:r>
              <w:rPr>
                <w:rFonts w:hint="eastAsia" w:ascii="Times New Roman" w:hAnsi="Times New Roman"/>
                <w:color w:val="auto"/>
                <w:szCs w:val="21"/>
                <w:highlight w:val="none"/>
              </w:rPr>
              <w:t>11</w:t>
            </w:r>
          </w:p>
        </w:tc>
        <w:tc>
          <w:tcPr>
            <w:tcW w:w="856" w:type="dxa"/>
            <w:vAlign w:val="center"/>
          </w:tcPr>
          <w:p>
            <w:pPr>
              <w:spacing w:line="540" w:lineRule="exact"/>
              <w:jc w:val="center"/>
              <w:rPr>
                <w:rFonts w:ascii="Times New Roman" w:hAnsi="Times New Roman"/>
                <w:color w:val="auto"/>
                <w:szCs w:val="21"/>
                <w:highlight w:val="none"/>
              </w:rPr>
            </w:pPr>
            <w:r>
              <w:rPr>
                <w:rFonts w:hint="eastAsia" w:ascii="Times New Roman" w:hAnsi="Times New Roman"/>
                <w:color w:val="auto"/>
                <w:szCs w:val="21"/>
                <w:highlight w:val="none"/>
              </w:rPr>
              <w:t>325</w:t>
            </w:r>
          </w:p>
        </w:tc>
        <w:tc>
          <w:tcPr>
            <w:tcW w:w="843" w:type="dxa"/>
            <w:vMerge w:val="continue"/>
            <w:vAlign w:val="center"/>
          </w:tcPr>
          <w:p>
            <w:pPr>
              <w:spacing w:line="540" w:lineRule="exact"/>
              <w:jc w:val="center"/>
              <w:rPr>
                <w:rFonts w:ascii="Times New Roman" w:hAnsi="Times New Roman"/>
                <w:color w:val="auto"/>
                <w:szCs w:val="21"/>
                <w:highlight w:val="none"/>
              </w:rPr>
            </w:pPr>
          </w:p>
        </w:tc>
      </w:tr>
    </w:tbl>
    <w:p>
      <w:pPr>
        <w:autoSpaceDE w:val="0"/>
        <w:autoSpaceDN w:val="0"/>
        <w:adjustRightInd w:val="0"/>
        <w:jc w:val="left"/>
        <w:rPr>
          <w:rFonts w:ascii="宋体" w:hAnsi="Times New Roman" w:cs="宋体"/>
          <w:color w:val="auto"/>
          <w:kern w:val="0"/>
          <w:sz w:val="24"/>
          <w:szCs w:val="24"/>
          <w:highlight w:val="none"/>
        </w:rPr>
        <w:sectPr>
          <w:pgSz w:w="16838" w:h="11906" w:orient="landscape"/>
          <w:pgMar w:top="720" w:right="720" w:bottom="720" w:left="720" w:header="851" w:footer="992" w:gutter="0"/>
          <w:cols w:space="720" w:num="1"/>
          <w:docGrid w:type="lines" w:linePitch="312" w:charSpace="0"/>
        </w:sectPr>
      </w:pPr>
    </w:p>
    <w:p>
      <w:pPr>
        <w:pStyle w:val="3"/>
        <w:ind w:firstLine="0" w:firstLineChars="0"/>
        <w:jc w:val="center"/>
        <w:rPr>
          <w:b/>
          <w:bCs/>
          <w:color w:val="auto"/>
          <w:sz w:val="36"/>
          <w:szCs w:val="36"/>
          <w:highlight w:val="none"/>
        </w:rPr>
      </w:pPr>
      <w:r>
        <w:rPr>
          <w:rFonts w:hint="eastAsia"/>
          <w:b/>
          <w:bCs/>
          <w:color w:val="auto"/>
          <w:sz w:val="36"/>
          <w:szCs w:val="36"/>
          <w:highlight w:val="none"/>
        </w:rPr>
        <w:t>考核办法及标准</w:t>
      </w:r>
    </w:p>
    <w:p>
      <w:pPr>
        <w:pStyle w:val="2"/>
        <w:rPr>
          <w:color w:val="auto"/>
          <w:highlight w:val="none"/>
          <w:lang w:val="zh-TW"/>
        </w:rPr>
      </w:pPr>
    </w:p>
    <w:p>
      <w:pPr>
        <w:spacing w:line="560" w:lineRule="exact"/>
        <w:ind w:firstLine="526" w:firstLineChars="200"/>
        <w:jc w:val="center"/>
        <w:rPr>
          <w:rFonts w:ascii="宋体" w:hAnsi="宋体"/>
          <w:snapToGrid w:val="0"/>
          <w:color w:val="auto"/>
          <w:spacing w:val="-11"/>
          <w:w w:val="95"/>
          <w:kern w:val="0"/>
          <w:sz w:val="30"/>
          <w:szCs w:val="30"/>
          <w:highlight w:val="none"/>
        </w:rPr>
      </w:pPr>
      <w:r>
        <w:rPr>
          <w:rFonts w:ascii="宋体" w:hAnsi="宋体"/>
          <w:snapToGrid w:val="0"/>
          <w:color w:val="auto"/>
          <w:spacing w:val="-11"/>
          <w:w w:val="95"/>
          <w:kern w:val="0"/>
          <w:sz w:val="30"/>
          <w:szCs w:val="30"/>
          <w:highlight w:val="none"/>
        </w:rPr>
        <w:t>锦江区综合行政执法局</w:t>
      </w:r>
    </w:p>
    <w:p>
      <w:pPr>
        <w:spacing w:line="560" w:lineRule="exact"/>
        <w:ind w:firstLine="526" w:firstLineChars="200"/>
        <w:jc w:val="center"/>
        <w:rPr>
          <w:rFonts w:ascii="宋体" w:hAnsi="宋体"/>
          <w:snapToGrid w:val="0"/>
          <w:color w:val="auto"/>
          <w:spacing w:val="-11"/>
          <w:w w:val="95"/>
          <w:kern w:val="0"/>
          <w:sz w:val="24"/>
          <w:szCs w:val="24"/>
          <w:highlight w:val="none"/>
        </w:rPr>
      </w:pPr>
      <w:r>
        <w:rPr>
          <w:rFonts w:ascii="宋体" w:hAnsi="宋体"/>
          <w:snapToGrid w:val="0"/>
          <w:color w:val="auto"/>
          <w:spacing w:val="-11"/>
          <w:w w:val="95"/>
          <w:kern w:val="0"/>
          <w:sz w:val="30"/>
          <w:szCs w:val="30"/>
          <w:highlight w:val="none"/>
        </w:rPr>
        <w:t>2022-2024年锦江区环卫保洁、环卫公厕、绿化和河道管护一体化服务项目监督考核办法</w:t>
      </w:r>
    </w:p>
    <w:p>
      <w:pPr>
        <w:spacing w:line="560" w:lineRule="exact"/>
        <w:ind w:firstLine="480" w:firstLineChars="200"/>
        <w:jc w:val="center"/>
        <w:rPr>
          <w:rFonts w:ascii="宋体" w:hAnsi="宋体"/>
          <w:color w:val="auto"/>
          <w:sz w:val="24"/>
          <w:szCs w:val="24"/>
          <w:highlight w:val="none"/>
        </w:rPr>
      </w:pP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为督促管护公司履行环卫保洁、环卫公厕、绿化和河道管护一体化服务项目合同约定，落实管护人员工作责任，充分调动工作积极性，提高全区环卫保洁、环卫公厕、绿化和河道管护水平，夯实城市管理基础，现结合全区实际，制定本考核办法。</w:t>
      </w:r>
    </w:p>
    <w:p>
      <w:pPr>
        <w:spacing w:line="560" w:lineRule="exact"/>
        <w:ind w:firstLine="480" w:firstLineChars="200"/>
        <w:rPr>
          <w:rFonts w:ascii="宋体" w:hAnsi="宋体"/>
          <w:bCs/>
          <w:color w:val="auto"/>
          <w:sz w:val="24"/>
          <w:szCs w:val="24"/>
          <w:highlight w:val="none"/>
        </w:rPr>
      </w:pPr>
      <w:r>
        <w:rPr>
          <w:rFonts w:ascii="宋体" w:hAnsi="宋体"/>
          <w:bCs/>
          <w:color w:val="auto"/>
          <w:sz w:val="24"/>
          <w:szCs w:val="24"/>
          <w:highlight w:val="none"/>
        </w:rPr>
        <w:t>一、考核组织</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区综合执法局和各街道办事处成立2022—2024年锦江区环卫保洁、环卫公厕、绿化和河道管护一体化服务项目考核小组（以下简称“考核小组”）。考核工作根据合同约定和工作实际，由考核小组具体组织实施。</w:t>
      </w:r>
    </w:p>
    <w:p>
      <w:pPr>
        <w:numPr>
          <w:ilvl w:val="0"/>
          <w:numId w:val="43"/>
        </w:numPr>
        <w:autoSpaceDE w:val="0"/>
        <w:autoSpaceDN w:val="0"/>
        <w:adjustRightInd w:val="0"/>
        <w:ind w:firstLine="480" w:firstLineChars="200"/>
        <w:jc w:val="left"/>
        <w:rPr>
          <w:rFonts w:ascii="宋体" w:hAnsi="宋体"/>
          <w:bCs/>
          <w:color w:val="auto"/>
          <w:sz w:val="24"/>
          <w:szCs w:val="24"/>
          <w:highlight w:val="none"/>
        </w:rPr>
      </w:pPr>
      <w:r>
        <w:rPr>
          <w:rFonts w:ascii="宋体" w:hAnsi="宋体"/>
          <w:bCs/>
          <w:color w:val="auto"/>
          <w:sz w:val="24"/>
          <w:szCs w:val="24"/>
          <w:highlight w:val="none"/>
        </w:rPr>
        <w:t>考核主体</w:t>
      </w:r>
    </w:p>
    <w:p>
      <w:pPr>
        <w:autoSpaceDE w:val="0"/>
        <w:autoSpaceDN w:val="0"/>
        <w:adjustRightInd w:val="0"/>
        <w:ind w:firstLine="480" w:firstLineChars="200"/>
        <w:jc w:val="left"/>
        <w:rPr>
          <w:rFonts w:ascii="宋体" w:hAnsi="宋体"/>
          <w:color w:val="auto"/>
          <w:kern w:val="0"/>
          <w:sz w:val="24"/>
          <w:szCs w:val="24"/>
          <w:highlight w:val="none"/>
        </w:rPr>
      </w:pPr>
      <w:r>
        <w:rPr>
          <w:rFonts w:ascii="宋体" w:hAnsi="宋体"/>
          <w:color w:val="auto"/>
          <w:sz w:val="24"/>
          <w:szCs w:val="24"/>
          <w:highlight w:val="none"/>
        </w:rPr>
        <w:t>由成都市锦江区综合行政执法局和各街道办事处作为考核主体</w:t>
      </w:r>
    </w:p>
    <w:p>
      <w:pPr>
        <w:spacing w:line="560" w:lineRule="exact"/>
        <w:ind w:firstLine="480" w:firstLineChars="200"/>
        <w:rPr>
          <w:rFonts w:ascii="宋体" w:hAnsi="宋体"/>
          <w:bCs/>
          <w:color w:val="auto"/>
          <w:sz w:val="24"/>
          <w:szCs w:val="24"/>
          <w:highlight w:val="none"/>
        </w:rPr>
      </w:pPr>
      <w:r>
        <w:rPr>
          <w:rFonts w:ascii="宋体" w:hAnsi="宋体"/>
          <w:bCs/>
          <w:color w:val="auto"/>
          <w:sz w:val="24"/>
          <w:szCs w:val="24"/>
          <w:highlight w:val="none"/>
        </w:rPr>
        <w:t>三、考核对象</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本考核办法适用于承担锦江区各街道办事处环卫保洁、环卫公厕、绿化和河道管护一体化服务的作业公司。</w:t>
      </w:r>
    </w:p>
    <w:p>
      <w:pPr>
        <w:spacing w:line="560" w:lineRule="exact"/>
        <w:ind w:firstLine="480" w:firstLineChars="200"/>
        <w:rPr>
          <w:rFonts w:ascii="宋体" w:hAnsi="宋体"/>
          <w:bCs/>
          <w:color w:val="auto"/>
          <w:sz w:val="24"/>
          <w:szCs w:val="24"/>
          <w:highlight w:val="none"/>
        </w:rPr>
      </w:pPr>
      <w:r>
        <w:rPr>
          <w:rFonts w:ascii="宋体" w:hAnsi="宋体"/>
          <w:bCs/>
          <w:color w:val="auto"/>
          <w:sz w:val="24"/>
          <w:szCs w:val="24"/>
          <w:highlight w:val="none"/>
        </w:rPr>
        <w:t>四、考核原则</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坚持以问题为导向，坚持“公正客观、公平合理、公开透明”的原则，采取“四不两直”方式（不发通知、不打招呼、不听汇报、不用陪同接待、直奔基层、直插现场），深入一线考评真实情况，强化合同执行，倒逼推动问题整改落实。</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五、考核方式</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（一）由区综合执法局和各街道办事处采取明察、暗访等方式共同考核，实行直接扣减经费和扣减分值双重模式，分值实行百分制，各占50%。考核周期为每月1日至当月最后一日。</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二）月考核按照环卫保洁、环卫公厕、绿化管护和河道管护四项分类考核。根据属地街道有无河道的实际情况，将四项业务分值比例分为两种情况：一是春熙路、锦官驿、牛市口、东湖、书院街（无区管河道）街道办事处考核分值占比为：环卫保洁45%、环卫公厕管护25%、绿化管护30%；二是其余有区管河道街道办事处考核分值占比为：环卫保洁40%、环卫公厕管护20%、绿化管护30%、河道管护10%。</w:t>
      </w:r>
    </w:p>
    <w:p>
      <w:p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（三）考核小组汇总每月考核情况，并进行通报。</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sz w:val="24"/>
          <w:szCs w:val="24"/>
          <w:highlight w:val="none"/>
        </w:rPr>
        <w:t>（四）</w:t>
      </w:r>
      <w:r>
        <w:rPr>
          <w:rFonts w:ascii="宋体" w:hAnsi="宋体"/>
          <w:color w:val="auto"/>
          <w:kern w:val="0"/>
          <w:sz w:val="24"/>
          <w:szCs w:val="24"/>
          <w:highlight w:val="none"/>
        </w:rPr>
        <w:t>每年年终时进行年度考核，全年月平均得分为年度考核得分。</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（五）年度考核得分排名前3名的作业公司，分别奖励全年全区扣减经费的20%、15%、10%。</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（六）每年年终时，由区综合执法局党组讨论决定，对在当年保障压力大且保障质量高或在锦江城市管理中做出较大贡献的作业公司，给予相应的作业经费奖励。</w:t>
      </w:r>
    </w:p>
    <w:p>
      <w:pPr>
        <w:spacing w:line="560" w:lineRule="exact"/>
        <w:ind w:firstLine="480" w:firstLineChars="200"/>
        <w:rPr>
          <w:rFonts w:ascii="宋体" w:hAnsi="宋体"/>
          <w:bCs/>
          <w:color w:val="auto"/>
          <w:sz w:val="24"/>
          <w:szCs w:val="24"/>
          <w:highlight w:val="none"/>
        </w:rPr>
      </w:pPr>
      <w:r>
        <w:rPr>
          <w:rFonts w:ascii="宋体" w:hAnsi="宋体"/>
          <w:bCs/>
          <w:color w:val="auto"/>
          <w:sz w:val="24"/>
          <w:szCs w:val="24"/>
          <w:highlight w:val="none"/>
        </w:rPr>
        <w:t>六、考核标准</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考核采用明察暗访、分业务的方式考核。（具体细则见附件</w:t>
      </w:r>
      <w:r>
        <w:rPr>
          <w:rFonts w:hint="eastAsia" w:ascii="宋体" w:hAnsi="宋体"/>
          <w:color w:val="auto"/>
          <w:sz w:val="24"/>
          <w:szCs w:val="24"/>
          <w:highlight w:val="none"/>
        </w:rPr>
        <w:t>1、</w:t>
      </w:r>
      <w:r>
        <w:rPr>
          <w:rFonts w:ascii="宋体" w:hAnsi="宋体"/>
          <w:color w:val="auto"/>
          <w:sz w:val="24"/>
          <w:szCs w:val="24"/>
          <w:highlight w:val="none"/>
        </w:rPr>
        <w:t>2、3、4）</w:t>
      </w:r>
    </w:p>
    <w:p>
      <w:pPr>
        <w:spacing w:line="560" w:lineRule="exact"/>
        <w:ind w:firstLine="480" w:firstLineChars="200"/>
        <w:rPr>
          <w:rFonts w:ascii="宋体" w:hAnsi="宋体"/>
          <w:color w:val="auto"/>
          <w:sz w:val="24"/>
          <w:szCs w:val="24"/>
          <w:highlight w:val="none"/>
        </w:rPr>
      </w:pPr>
      <w:r>
        <w:rPr>
          <w:rFonts w:ascii="宋体" w:hAnsi="宋体"/>
          <w:bCs/>
          <w:color w:val="auto"/>
          <w:sz w:val="24"/>
          <w:szCs w:val="24"/>
          <w:highlight w:val="none"/>
        </w:rPr>
        <w:t>七、考核要求</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（一）原则上，考核小组每月5日前分类完成上月作业考核，并于每月10日17:00前汇总、通报上月考核结果（如遇节假日，顺延至节假日后第二个工作日17:00前）。</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（二）考核分值均保留小数点后3位。</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sz w:val="24"/>
          <w:szCs w:val="24"/>
          <w:highlight w:val="none"/>
        </w:rPr>
        <w:t>（三）考核组每次检查，考核</w:t>
      </w:r>
      <w:r>
        <w:rPr>
          <w:rFonts w:ascii="宋体" w:hAnsi="宋体"/>
          <w:color w:val="auto"/>
          <w:kern w:val="0"/>
          <w:sz w:val="24"/>
          <w:szCs w:val="24"/>
          <w:highlight w:val="none"/>
        </w:rPr>
        <w:t>人员应保持在2人及以上，方可进行检查。</w:t>
      </w:r>
    </w:p>
    <w:p>
      <w:p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（四）考核中应落实量化考核，突出重点、段面，做好考核范围全覆盖、无死角。</w:t>
      </w:r>
    </w:p>
    <w:p>
      <w:pPr>
        <w:spacing w:line="560" w:lineRule="exact"/>
        <w:ind w:firstLine="480" w:firstLineChars="200"/>
        <w:rPr>
          <w:rFonts w:ascii="宋体" w:hAnsi="宋体"/>
          <w:bCs/>
          <w:color w:val="auto"/>
          <w:sz w:val="24"/>
          <w:szCs w:val="24"/>
          <w:highlight w:val="none"/>
        </w:rPr>
      </w:pPr>
      <w:r>
        <w:rPr>
          <w:rFonts w:ascii="宋体" w:hAnsi="宋体"/>
          <w:color w:val="auto"/>
          <w:sz w:val="24"/>
          <w:szCs w:val="24"/>
          <w:highlight w:val="none"/>
        </w:rPr>
        <w:t>八、</w:t>
      </w:r>
      <w:r>
        <w:rPr>
          <w:rFonts w:ascii="宋体" w:hAnsi="宋体"/>
          <w:bCs/>
          <w:color w:val="auto"/>
          <w:sz w:val="24"/>
          <w:szCs w:val="24"/>
          <w:highlight w:val="none"/>
        </w:rPr>
        <w:t>考核结果运用</w:t>
      </w:r>
    </w:p>
    <w:p>
      <w:p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考核结果作为拨付经费的依据。</w:t>
      </w:r>
    </w:p>
    <w:p>
      <w:p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（一）月实际拨付经费=月考核经费－日常巡查扣减经费。</w:t>
      </w:r>
    </w:p>
    <w:p>
      <w:p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（二）月考核经费=月作业经费×A(考核得分）%。</w:t>
      </w:r>
    </w:p>
    <w:p>
      <w:p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（三）月作业经费根据每月实际作业内容、作业面积和相应单价等确定。</w:t>
      </w:r>
    </w:p>
    <w:p>
      <w:pPr>
        <w:numPr>
          <w:ilvl w:val="0"/>
          <w:numId w:val="44"/>
        </w:numPr>
        <w:topLinePunct/>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本考核办法由区综合执法局负责解释。</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p>
    <w:p>
      <w:pPr>
        <w:autoSpaceDE w:val="0"/>
        <w:autoSpaceDN w:val="0"/>
        <w:adjustRightInd w:val="0"/>
        <w:spacing w:line="560" w:lineRule="exact"/>
        <w:ind w:left="1598" w:leftChars="304" w:hanging="960" w:hangingChars="400"/>
        <w:rPr>
          <w:rFonts w:ascii="宋体" w:hAnsi="宋体"/>
          <w:color w:val="auto"/>
          <w:kern w:val="0"/>
          <w:sz w:val="24"/>
          <w:szCs w:val="24"/>
          <w:highlight w:val="none"/>
        </w:rPr>
      </w:pPr>
      <w:r>
        <w:rPr>
          <w:rFonts w:ascii="宋体" w:hAnsi="宋体"/>
          <w:color w:val="auto"/>
          <w:kern w:val="0"/>
          <w:sz w:val="24"/>
          <w:szCs w:val="24"/>
          <w:highlight w:val="none"/>
        </w:rPr>
        <w:t>附件：1. 锦江区环卫保洁考核办法</w:t>
      </w:r>
    </w:p>
    <w:p>
      <w:pPr>
        <w:numPr>
          <w:ilvl w:val="0"/>
          <w:numId w:val="45"/>
        </w:numPr>
        <w:autoSpaceDE w:val="0"/>
        <w:autoSpaceDN w:val="0"/>
        <w:adjustRightInd w:val="0"/>
        <w:spacing w:line="560" w:lineRule="exact"/>
        <w:ind w:firstLine="1200" w:firstLineChars="500"/>
        <w:rPr>
          <w:rFonts w:ascii="宋体" w:hAnsi="宋体"/>
          <w:color w:val="auto"/>
          <w:kern w:val="0"/>
          <w:sz w:val="24"/>
          <w:szCs w:val="24"/>
          <w:highlight w:val="none"/>
        </w:rPr>
      </w:pPr>
      <w:r>
        <w:rPr>
          <w:rFonts w:ascii="宋体" w:hAnsi="宋体"/>
          <w:color w:val="auto"/>
          <w:kern w:val="0"/>
          <w:sz w:val="24"/>
          <w:szCs w:val="24"/>
          <w:highlight w:val="none"/>
        </w:rPr>
        <w:t>锦江区环卫公厕考核办法</w:t>
      </w:r>
    </w:p>
    <w:p>
      <w:pPr>
        <w:numPr>
          <w:ilvl w:val="0"/>
          <w:numId w:val="45"/>
        </w:numPr>
        <w:autoSpaceDE w:val="0"/>
        <w:autoSpaceDN w:val="0"/>
        <w:adjustRightInd w:val="0"/>
        <w:spacing w:line="560" w:lineRule="exact"/>
        <w:ind w:firstLine="1183" w:firstLineChars="493"/>
        <w:rPr>
          <w:rFonts w:ascii="宋体" w:hAnsi="宋体"/>
          <w:color w:val="auto"/>
          <w:kern w:val="0"/>
          <w:sz w:val="24"/>
          <w:szCs w:val="24"/>
          <w:highlight w:val="none"/>
        </w:rPr>
      </w:pPr>
      <w:r>
        <w:rPr>
          <w:rFonts w:ascii="宋体" w:hAnsi="宋体"/>
          <w:color w:val="auto"/>
          <w:kern w:val="0"/>
          <w:sz w:val="24"/>
          <w:szCs w:val="24"/>
          <w:highlight w:val="none"/>
        </w:rPr>
        <w:t>锦江区园林绿化管护考核办法</w:t>
      </w:r>
    </w:p>
    <w:p>
      <w:pPr>
        <w:numPr>
          <w:ilvl w:val="0"/>
          <w:numId w:val="45"/>
        </w:numPr>
        <w:autoSpaceDE w:val="0"/>
        <w:autoSpaceDN w:val="0"/>
        <w:adjustRightInd w:val="0"/>
        <w:spacing w:line="560" w:lineRule="exact"/>
        <w:ind w:firstLine="1200" w:firstLineChars="500"/>
        <w:rPr>
          <w:rFonts w:ascii="宋体" w:hAnsi="宋体"/>
          <w:color w:val="auto"/>
          <w:kern w:val="0"/>
          <w:sz w:val="24"/>
          <w:szCs w:val="24"/>
          <w:highlight w:val="none"/>
        </w:rPr>
      </w:pPr>
      <w:r>
        <w:rPr>
          <w:rFonts w:ascii="宋体" w:hAnsi="宋体"/>
          <w:color w:val="auto"/>
          <w:kern w:val="0"/>
          <w:sz w:val="24"/>
          <w:szCs w:val="24"/>
          <w:highlight w:val="none"/>
        </w:rPr>
        <w:t>锦江区河道管护考核办法</w:t>
      </w:r>
    </w:p>
    <w:p>
      <w:pPr>
        <w:autoSpaceDE w:val="0"/>
        <w:autoSpaceDN w:val="0"/>
        <w:adjustRightInd w:val="0"/>
        <w:spacing w:line="560" w:lineRule="exact"/>
        <w:jc w:val="left"/>
        <w:rPr>
          <w:rFonts w:ascii="宋体" w:hAnsi="宋体"/>
          <w:color w:val="auto"/>
          <w:kern w:val="0"/>
          <w:sz w:val="24"/>
          <w:szCs w:val="24"/>
          <w:highlight w:val="none"/>
        </w:rPr>
      </w:pPr>
    </w:p>
    <w:p>
      <w:pPr>
        <w:autoSpaceDE w:val="0"/>
        <w:autoSpaceDN w:val="0"/>
        <w:adjustRightInd w:val="0"/>
        <w:spacing w:line="560" w:lineRule="exact"/>
        <w:jc w:val="left"/>
        <w:rPr>
          <w:rFonts w:ascii="宋体" w:hAnsi="宋体"/>
          <w:color w:val="auto"/>
          <w:kern w:val="0"/>
          <w:sz w:val="24"/>
          <w:szCs w:val="24"/>
          <w:highlight w:val="none"/>
        </w:rPr>
      </w:pPr>
    </w:p>
    <w:p>
      <w:pPr>
        <w:autoSpaceDE w:val="0"/>
        <w:autoSpaceDN w:val="0"/>
        <w:adjustRightInd w:val="0"/>
        <w:spacing w:line="560" w:lineRule="exact"/>
        <w:jc w:val="left"/>
        <w:rPr>
          <w:rFonts w:ascii="宋体" w:hAnsi="宋体"/>
          <w:color w:val="auto"/>
          <w:kern w:val="0"/>
          <w:sz w:val="24"/>
          <w:szCs w:val="24"/>
          <w:highlight w:val="none"/>
        </w:rPr>
      </w:pPr>
      <w:r>
        <w:rPr>
          <w:rFonts w:ascii="宋体" w:hAnsi="宋体"/>
          <w:color w:val="auto"/>
          <w:kern w:val="0"/>
          <w:sz w:val="24"/>
          <w:szCs w:val="24"/>
          <w:highlight w:val="none"/>
        </w:rPr>
        <w:t>附件1</w:t>
      </w:r>
    </w:p>
    <w:p>
      <w:pPr>
        <w:autoSpaceDE w:val="0"/>
        <w:autoSpaceDN w:val="0"/>
        <w:adjustRightInd w:val="0"/>
        <w:spacing w:line="56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锦江区环卫保洁考核办法</w:t>
      </w:r>
    </w:p>
    <w:p>
      <w:pPr>
        <w:autoSpaceDE w:val="0"/>
        <w:autoSpaceDN w:val="0"/>
        <w:adjustRightInd w:val="0"/>
        <w:spacing w:line="60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第一章  总则</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第一条  目标</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为实现建设全面体现新发展理念的国家中心城市和美丽宜居公园城市战略目标，以“绣花”功夫推进全市环境卫生精细化、智能化管理。根据国务院《城市市容和环境卫生管理条例》、建设部《城市道路清扫保洁质量与评价标准》、《四川省城乡环境综合治理条例》和《成都市市容和环境卫生管理条例》等规定、《成都市城市环卫精细化监督管理办法（试行）》、《成都市城市环卫保洁精细化作业规则（试行）》等法律法规，结合实际，制定本办法。</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第二条  使用范围</w:t>
      </w:r>
    </w:p>
    <w:p>
      <w:pPr>
        <w:spacing w:line="560" w:lineRule="exact"/>
        <w:ind w:left="420" w:leftChars="200"/>
        <w:jc w:val="left"/>
        <w:rPr>
          <w:rFonts w:ascii="宋体" w:hAnsi="宋体"/>
          <w:color w:val="auto"/>
          <w:sz w:val="24"/>
          <w:szCs w:val="24"/>
          <w:highlight w:val="none"/>
        </w:rPr>
      </w:pPr>
      <w:r>
        <w:rPr>
          <w:rFonts w:ascii="宋体" w:hAnsi="宋体"/>
          <w:color w:val="auto"/>
          <w:sz w:val="24"/>
          <w:szCs w:val="24"/>
          <w:highlight w:val="none"/>
        </w:rPr>
        <w:t>本办法适用于锦江区环卫保洁作业情况的检查、考核。</w:t>
      </w:r>
    </w:p>
    <w:p>
      <w:pPr>
        <w:spacing w:line="520" w:lineRule="exact"/>
        <w:ind w:left="420" w:leftChars="200"/>
        <w:jc w:val="left"/>
        <w:rPr>
          <w:rFonts w:ascii="宋体" w:hAnsi="宋体"/>
          <w:color w:val="auto"/>
          <w:sz w:val="24"/>
          <w:szCs w:val="24"/>
          <w:highlight w:val="none"/>
        </w:rPr>
      </w:pPr>
    </w:p>
    <w:p>
      <w:pPr>
        <w:numPr>
          <w:ilvl w:val="0"/>
          <w:numId w:val="46"/>
        </w:numPr>
        <w:autoSpaceDE w:val="0"/>
        <w:autoSpaceDN w:val="0"/>
        <w:adjustRightInd w:val="0"/>
        <w:spacing w:line="52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 xml:space="preserve"> 考核依据</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第三条  考核依据</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参照《关于印发〈成都市环卫清扫保洁精细化监督管理办法〉的通知》（成城发〔2019〕48号）、《关于印发〈成都市环卫清扫保洁精细化作业规则〉的通知》（成城发〔2019〕47号）、《生活垃圾分类标准》（GB/T19095-2019）、《成都市锦江区环境卫生监督管理办法》（锦综执〔2019〕70号）等文件执行。</w:t>
      </w:r>
    </w:p>
    <w:p>
      <w:pPr>
        <w:spacing w:line="520" w:lineRule="exact"/>
        <w:ind w:firstLine="480" w:firstLineChars="200"/>
        <w:jc w:val="left"/>
        <w:rPr>
          <w:rFonts w:ascii="宋体" w:hAnsi="宋体"/>
          <w:color w:val="auto"/>
          <w:sz w:val="24"/>
          <w:szCs w:val="24"/>
          <w:highlight w:val="none"/>
        </w:rPr>
      </w:pPr>
    </w:p>
    <w:p>
      <w:pPr>
        <w:numPr>
          <w:ilvl w:val="0"/>
          <w:numId w:val="46"/>
        </w:numPr>
        <w:spacing w:line="520" w:lineRule="exact"/>
        <w:ind w:firstLine="480" w:firstLineChars="200"/>
        <w:jc w:val="center"/>
        <w:rPr>
          <w:rFonts w:ascii="宋体" w:hAnsi="宋体"/>
          <w:color w:val="auto"/>
          <w:sz w:val="24"/>
          <w:szCs w:val="24"/>
          <w:highlight w:val="none"/>
        </w:rPr>
      </w:pPr>
      <w:r>
        <w:rPr>
          <w:rFonts w:ascii="宋体" w:hAnsi="宋体"/>
          <w:color w:val="auto"/>
          <w:sz w:val="24"/>
          <w:szCs w:val="24"/>
          <w:highlight w:val="none"/>
        </w:rPr>
        <w:t xml:space="preserve"> 考核内容</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第四条  环卫保洁考核内容</w:t>
      </w:r>
    </w:p>
    <w:p>
      <w:pPr>
        <w:numPr>
          <w:ilvl w:val="0"/>
          <w:numId w:val="47"/>
        </w:numPr>
        <w:spacing w:line="560" w:lineRule="exact"/>
        <w:ind w:firstLine="480" w:firstLineChars="200"/>
        <w:rPr>
          <w:rFonts w:ascii="宋体" w:hAnsi="宋体"/>
          <w:bCs/>
          <w:color w:val="auto"/>
          <w:sz w:val="24"/>
          <w:szCs w:val="24"/>
          <w:highlight w:val="none"/>
        </w:rPr>
      </w:pPr>
      <w:r>
        <w:rPr>
          <w:rFonts w:ascii="宋体" w:hAnsi="宋体"/>
          <w:color w:val="auto"/>
          <w:kern w:val="0"/>
          <w:sz w:val="24"/>
          <w:szCs w:val="24"/>
          <w:highlight w:val="none"/>
        </w:rPr>
        <w:t>道路清扫保洁(含市政公用道路，涉农街道办事处村社道路)和市管绿化带的白色垃圾清理，清除道路上粪渣粪袋、狗粪、建渣等污染物。2．铁路控制线（单侧铁轨至坡脚8米，坡脚向外延伸12米，12米向外延伸2米界桩，共22米）以外属地管理区域的清扫保洁。3．清理雨水篦子下面的落叶及垃圾。4．道路冲洗降尘，定期冲洗道路（按规范标准）及路沿石、人行道方砖、公交站台、人行天桥和雨水篦子，清洗道路标识标线，道路污染突击保洁。5．生活垃圾分类收集和运输，其中其他垃圾运输至锦江区垃圾压缩站，厨余垃圾运输至市级餐厨垃圾处置厂，可回收物运输至再生资源回收站点，有害垃圾运输至区环卫清运中心暂存点。6．小区内（具体范围详见附表）及街面丢弃的大件垃圾清理。7．对果屑箱、垃圾桶等环卫设施接受管理及使用，并进行日常维修维护，保证功能使用。道路施工时果屑箱的收集保管、果屑箱箱体固定，果屑箱内箱的垃圾清掏和箱体的内、外清洗，每日垃圾袋更换和垃圾桶清洗，室外城市家具的保洁。8．环卫工人工作服装按适时标准要求配置和更新。9．垃圾桶、垃圾中转房、垃圾池、垃圾转运点和垃圾转运车等环卫设施和中转站（点）现场的日常管理、冲洗、维护。各类环卫车辆日常管理及维修，环卫车辆喷涂统一的外观、颜色和标志。10．非法张贴、书写的地面及2米以下立面各类广告及卡片的清除清理。11．道路护栏、隔离墩、隔离桩、桥梁中央分隔带、防撞墙内侧、人行道栏杆、人行天桥栏杆、声屏障内侧保洁。12.环卫工人休息室日常管理和维护。13．做好环卫作业安全生产工作，落实安全责任制和各项规章制度。14．各类检查、接待及突发事件，环卫作业的应急保障工作。15．在辖区主街干道、重要路段或出入城通道实施精品示范街道环卫作业。16．完成省、市、区等各级部门和街道交办的各项突击整治任务。17.按作业辖区落实疫情防控和消防工作。18.在中央商务区、特色街区开展智能扫地机器人等人工智能环卫作业试点示范。</w:t>
      </w:r>
    </w:p>
    <w:p>
      <w:pPr>
        <w:spacing w:line="520" w:lineRule="exact"/>
        <w:ind w:left="420" w:leftChars="200"/>
        <w:rPr>
          <w:rFonts w:ascii="宋体" w:hAnsi="宋体"/>
          <w:color w:val="auto"/>
          <w:sz w:val="24"/>
          <w:szCs w:val="24"/>
          <w:highlight w:val="none"/>
        </w:rPr>
      </w:pPr>
    </w:p>
    <w:p>
      <w:pPr>
        <w:numPr>
          <w:ilvl w:val="0"/>
          <w:numId w:val="46"/>
        </w:numPr>
        <w:spacing w:line="520" w:lineRule="exact"/>
        <w:ind w:firstLine="480" w:firstLineChars="200"/>
        <w:jc w:val="center"/>
        <w:rPr>
          <w:rFonts w:ascii="宋体" w:hAnsi="宋体"/>
          <w:color w:val="auto"/>
          <w:sz w:val="24"/>
          <w:szCs w:val="24"/>
          <w:highlight w:val="none"/>
        </w:rPr>
      </w:pPr>
      <w:r>
        <w:rPr>
          <w:rFonts w:ascii="宋体" w:hAnsi="宋体"/>
          <w:color w:val="auto"/>
          <w:sz w:val="24"/>
          <w:szCs w:val="24"/>
          <w:highlight w:val="none"/>
        </w:rPr>
        <w:t xml:space="preserve"> 考核标准</w:t>
      </w:r>
    </w:p>
    <w:p>
      <w:pPr>
        <w:numPr>
          <w:ilvl w:val="0"/>
          <w:numId w:val="48"/>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 xml:space="preserve"> 考核标准</w:t>
      </w:r>
    </w:p>
    <w:p>
      <w:pPr>
        <w:spacing w:line="560" w:lineRule="exact"/>
        <w:ind w:left="420" w:leftChars="200"/>
        <w:rPr>
          <w:rFonts w:ascii="宋体" w:hAnsi="宋体"/>
          <w:color w:val="auto"/>
          <w:sz w:val="24"/>
          <w:szCs w:val="24"/>
          <w:highlight w:val="none"/>
        </w:rPr>
      </w:pPr>
      <w:r>
        <w:rPr>
          <w:rFonts w:ascii="宋体" w:hAnsi="宋体"/>
          <w:color w:val="auto"/>
          <w:sz w:val="24"/>
          <w:szCs w:val="24"/>
          <w:highlight w:val="none"/>
        </w:rPr>
        <w:t>（一）日常巡查</w:t>
      </w:r>
    </w:p>
    <w:p>
      <w:pPr>
        <w:numPr>
          <w:ilvl w:val="0"/>
          <w:numId w:val="49"/>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机动车道、非机动车道、人行道清扫保洁</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特级道路（步行街）：1000米长路段（单侧），可视白色垃圾1个以上，且未在20分钟内清除，发现一次扣款100元；1000米长路段（单侧）果皮数、烟蒂数3个以上，且未在20分钟内清除，发现一次扣款100元；1000米长路段（单侧）路面污渍、动物粪便3处以上，且未在30分钟内清除，发现一次扣款100元。</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一级道路：1000米长路段（单侧），可视白色垃圾1个以上，且未在20分钟内清除，发现一次扣款100元；1000米长路段（单侧）果皮数、烟蒂数4个以上，且未在20分钟内清除，发现一次扣款100元；1000米长路段（单侧）路面污渍、动物粪便4处以上，且未在30分钟内清除，发现一次扣款100元。</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二级道路：1000米长路段（单侧），可视白色垃圾1个以上，且未在20分钟内清除，发现一次扣款100元；1000米长路段（单侧）果皮数、烟蒂数5个以上，且未在20分钟内清除，发现一次扣款100元；1000米长路段（单侧）路面污渍、动物粪便5处以上，且未在30分钟内清除，发现一次扣款100元。</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三级道路：1000米长路段（单侧），可视白色垃圾2个以上，且未在20分钟内清除，发现一次扣款100元；1000米长路段（单侧）果皮数、烟蒂数6个以上，且未在20分钟内清除，发现一次扣款100元；1000米长路段（单侧）路面污渍、动物粪便6处以上，且未在30分钟内清除，发现一次扣款100元。</w:t>
      </w:r>
    </w:p>
    <w:p>
      <w:pPr>
        <w:numPr>
          <w:ilvl w:val="0"/>
          <w:numId w:val="49"/>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道路冲洗</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机动车道、非机动车道、路沿石、人行道、人行天桥、道路桥梁护栏、隔离栏、隔离墩等有明显积尘、积泥，发现一次扣款200元。</w:t>
      </w:r>
    </w:p>
    <w:p>
      <w:pPr>
        <w:numPr>
          <w:ilvl w:val="0"/>
          <w:numId w:val="49"/>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市管绿化带、树池保洁</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特级道路（步行街）：200米（单侧）有积存垃圾，烟蒂等废弃物总数3个以上，且未在20分钟内清除，发现一次扣款100元。</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一级道路：200米（单侧）有积存垃圾，烟蒂等废弃物总数4个以上，且未在20分钟内清除，发现一次扣款100元。</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二级道路：200米（单侧）有积存垃圾，烟蒂等废弃物总数5个以上，且未在20分钟内清除，发现一次扣款100元。</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三级道路：200米（单侧）有积存垃圾，烟蒂等废弃物总数6个以上，且未在20分钟内清除，发现一次扣款100元。</w:t>
      </w:r>
    </w:p>
    <w:p>
      <w:pPr>
        <w:numPr>
          <w:ilvl w:val="0"/>
          <w:numId w:val="49"/>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果屑箱（垃圾桶）清掏保洁</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果屑箱未套袋，发现一次扣款100元，果屑箱周边有散落垃圾，且未在20分钟内清理，发现一次扣款100元，果屑箱外观不整洁、污渍，发现一次扣款100元。</w:t>
      </w:r>
    </w:p>
    <w:p>
      <w:pPr>
        <w:numPr>
          <w:ilvl w:val="0"/>
          <w:numId w:val="49"/>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生活垃圾收运</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果屑箱、垃圾桶垃圾暴桶、街面有黑包子，且未在20分钟内清理，扣款100元/个。</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垃圾收集、运输车辆：车身不洁，扣款200元/辆；车身标识不规范，扣款500元/辆；有抛冒滴漏情况，扣款1000元/辆，并移交执法中队处理。</w:t>
      </w:r>
    </w:p>
    <w:p>
      <w:pPr>
        <w:autoSpaceDE w:val="0"/>
        <w:autoSpaceDN w:val="0"/>
        <w:adjustRightInd w:val="0"/>
        <w:spacing w:line="560" w:lineRule="exact"/>
        <w:jc w:val="left"/>
        <w:rPr>
          <w:rFonts w:ascii="宋体" w:hAnsi="宋体"/>
          <w:color w:val="auto"/>
          <w:kern w:val="0"/>
          <w:sz w:val="24"/>
          <w:szCs w:val="24"/>
          <w:highlight w:val="none"/>
        </w:rPr>
      </w:pPr>
      <w:r>
        <w:rPr>
          <w:rFonts w:ascii="宋体" w:hAnsi="宋体"/>
          <w:color w:val="auto"/>
          <w:kern w:val="0"/>
          <w:sz w:val="24"/>
          <w:szCs w:val="24"/>
          <w:highlight w:val="none"/>
        </w:rPr>
        <w:t xml:space="preserve">    将建筑垃圾混入生活垃圾运进区环卫清运中心，发现1次扣1万元。</w:t>
      </w:r>
    </w:p>
    <w:p>
      <w:pPr>
        <w:numPr>
          <w:ilvl w:val="0"/>
          <w:numId w:val="49"/>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垃圾转运点</w:t>
      </w:r>
    </w:p>
    <w:p>
      <w:pPr>
        <w:adjustRightInd w:val="0"/>
        <w:snapToGrid w:val="0"/>
        <w:spacing w:line="560" w:lineRule="exact"/>
        <w:ind w:firstLine="480" w:firstLineChars="200"/>
        <w:rPr>
          <w:rFonts w:ascii="宋体" w:hAnsi="宋体"/>
          <w:bCs/>
          <w:color w:val="auto"/>
          <w:sz w:val="24"/>
          <w:szCs w:val="24"/>
          <w:highlight w:val="none"/>
        </w:rPr>
      </w:pPr>
      <w:r>
        <w:rPr>
          <w:rFonts w:ascii="宋体" w:hAnsi="宋体"/>
          <w:color w:val="auto"/>
          <w:sz w:val="24"/>
          <w:szCs w:val="24"/>
          <w:highlight w:val="none"/>
        </w:rPr>
        <w:t>垃圾转运点垃圾散爆，扣款1000元/处；未按规定进行消杀（每天至少6次），无消杀台账，扣款5000元/处；消杀台账不规范，扣款1000元/处</w:t>
      </w:r>
      <w:r>
        <w:rPr>
          <w:rFonts w:ascii="宋体" w:hAnsi="宋体"/>
          <w:bCs/>
          <w:color w:val="auto"/>
          <w:sz w:val="24"/>
          <w:szCs w:val="24"/>
          <w:highlight w:val="none"/>
        </w:rPr>
        <w:t>。</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7．道路普扫</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特级道路、一级道路未在7:00前完成道路普扫，二级道路、三级道路未在7:30前完成道路普扫，发现一次扣款500元。</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8．机械化作业</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随机抽查洒水车、扫地车、护栏清洗车等作业轨迹，其中：</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洒水车：特级道路、一级道路每日至少4根运行轨迹，每少一根扣200元；二级道路每日至少2根运行轨迹，每少一根扣200元；三级道路每2天至少1根运行轨迹，每少一根扣200元。（不能实施大型机械车辆作业道路除外）</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扫地车：特级道路、一级道路每日至少4根运行轨迹，每少一根扣200元；二级道路、三级道路每日至少2根运行轨迹，每少一根扣200元。（不能实施大型机械车辆作业道路除外）</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护栏清洗车：每天必须有作业轨迹，如无轨迹，每次扣200元。</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9．周末大冲洗</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根据各街道办事处报送周末大冲洗计划进行检查，未按计划进行冲洗，每次扣1000元，冲洗效果不佳，每次扣500元。</w:t>
      </w:r>
    </w:p>
    <w:p>
      <w:pPr>
        <w:spacing w:line="560" w:lineRule="exact"/>
        <w:ind w:firstLine="480" w:firstLineChars="200"/>
        <w:rPr>
          <w:rFonts w:ascii="宋体" w:hAnsi="宋体"/>
          <w:color w:val="auto"/>
          <w:sz w:val="24"/>
          <w:szCs w:val="24"/>
          <w:highlight w:val="none"/>
        </w:rPr>
      </w:pPr>
      <w:r>
        <w:rPr>
          <w:rFonts w:ascii="宋体" w:hAnsi="宋体"/>
          <w:bCs/>
          <w:color w:val="auto"/>
          <w:sz w:val="24"/>
          <w:szCs w:val="24"/>
          <w:highlight w:val="none"/>
        </w:rPr>
        <w:t>10</w:t>
      </w:r>
      <w:r>
        <w:rPr>
          <w:rFonts w:ascii="宋体" w:hAnsi="宋体"/>
          <w:color w:val="auto"/>
          <w:sz w:val="24"/>
          <w:szCs w:val="24"/>
          <w:highlight w:val="none"/>
        </w:rPr>
        <w:t>．</w:t>
      </w:r>
      <w:r>
        <w:rPr>
          <w:rFonts w:ascii="宋体" w:hAnsi="宋体"/>
          <w:bCs/>
          <w:color w:val="auto"/>
          <w:sz w:val="24"/>
          <w:szCs w:val="24"/>
          <w:highlight w:val="none"/>
        </w:rPr>
        <w:t>被市级及以上专项通报批评一次扣2万元；被区级专项通报批评</w:t>
      </w:r>
      <w:r>
        <w:rPr>
          <w:rFonts w:ascii="宋体" w:hAnsi="宋体"/>
          <w:color w:val="auto"/>
          <w:sz w:val="24"/>
          <w:szCs w:val="24"/>
          <w:highlight w:val="none"/>
        </w:rPr>
        <w:t>一次扣1万元。</w:t>
      </w:r>
    </w:p>
    <w:p>
      <w:pPr>
        <w:spacing w:line="560" w:lineRule="exact"/>
        <w:rPr>
          <w:rFonts w:ascii="宋体" w:hAnsi="宋体"/>
          <w:color w:val="auto"/>
          <w:sz w:val="24"/>
          <w:szCs w:val="24"/>
          <w:highlight w:val="none"/>
        </w:rPr>
      </w:pPr>
      <w:r>
        <w:rPr>
          <w:rFonts w:ascii="宋体" w:hAnsi="宋体"/>
          <w:bCs/>
          <w:color w:val="auto"/>
          <w:sz w:val="24"/>
          <w:szCs w:val="24"/>
          <w:highlight w:val="none"/>
        </w:rPr>
        <w:t xml:space="preserve">    11</w:t>
      </w:r>
      <w:r>
        <w:rPr>
          <w:rFonts w:ascii="宋体" w:hAnsi="宋体"/>
          <w:color w:val="auto"/>
          <w:sz w:val="24"/>
          <w:szCs w:val="24"/>
          <w:highlight w:val="none"/>
        </w:rPr>
        <w:t>．被区综合执法局主要领导批示批评或大会点名批评一次扣1万元。</w:t>
      </w:r>
    </w:p>
    <w:p>
      <w:pPr>
        <w:spacing w:line="560" w:lineRule="exact"/>
        <w:rPr>
          <w:rFonts w:ascii="宋体" w:hAnsi="宋体"/>
          <w:color w:val="auto"/>
          <w:sz w:val="24"/>
          <w:szCs w:val="24"/>
          <w:highlight w:val="none"/>
        </w:rPr>
      </w:pPr>
      <w:r>
        <w:rPr>
          <w:rFonts w:ascii="宋体" w:hAnsi="宋体"/>
          <w:bCs/>
          <w:color w:val="auto"/>
          <w:sz w:val="24"/>
          <w:szCs w:val="24"/>
          <w:highlight w:val="none"/>
        </w:rPr>
        <w:t xml:space="preserve">    12</w:t>
      </w:r>
      <w:r>
        <w:rPr>
          <w:rFonts w:ascii="宋体" w:hAnsi="宋体"/>
          <w:color w:val="auto"/>
          <w:sz w:val="24"/>
          <w:szCs w:val="24"/>
          <w:highlight w:val="none"/>
        </w:rPr>
        <w:t>．被市委市政府督办的问题每次扣3万元；被市城管委督办问题每次扣2万元；被区委区政府督办问题每次扣1万元。</w:t>
      </w:r>
    </w:p>
    <w:p>
      <w:pPr>
        <w:spacing w:line="560" w:lineRule="exact"/>
        <w:rPr>
          <w:rFonts w:ascii="宋体" w:hAnsi="宋体"/>
          <w:color w:val="auto"/>
          <w:sz w:val="24"/>
          <w:szCs w:val="24"/>
          <w:highlight w:val="none"/>
        </w:rPr>
      </w:pPr>
      <w:r>
        <w:rPr>
          <w:rFonts w:ascii="宋体" w:hAnsi="宋体"/>
          <w:color w:val="auto"/>
          <w:sz w:val="24"/>
          <w:szCs w:val="24"/>
          <w:highlight w:val="none"/>
        </w:rPr>
        <w:t xml:space="preserve">    </w:t>
      </w:r>
      <w:r>
        <w:rPr>
          <w:rFonts w:ascii="宋体" w:hAnsi="宋体"/>
          <w:bCs/>
          <w:color w:val="auto"/>
          <w:sz w:val="24"/>
          <w:szCs w:val="24"/>
          <w:highlight w:val="none"/>
        </w:rPr>
        <w:t>13</w:t>
      </w:r>
      <w:r>
        <w:rPr>
          <w:rFonts w:ascii="宋体" w:hAnsi="宋体"/>
          <w:color w:val="auto"/>
          <w:sz w:val="24"/>
          <w:szCs w:val="24"/>
          <w:highlight w:val="none"/>
        </w:rPr>
        <w:t>．被市级及以上党政媒体负面曝光一次扣2万元；区级党政媒体负面曝光一次扣减1万元。</w:t>
      </w:r>
    </w:p>
    <w:p>
      <w:pPr>
        <w:spacing w:line="560" w:lineRule="exact"/>
        <w:ind w:firstLine="482" w:firstLineChars="200"/>
        <w:rPr>
          <w:rFonts w:ascii="宋体" w:hAnsi="宋体"/>
          <w:color w:val="auto"/>
          <w:sz w:val="24"/>
          <w:szCs w:val="24"/>
          <w:highlight w:val="none"/>
        </w:rPr>
      </w:pPr>
      <w:r>
        <w:rPr>
          <w:rFonts w:ascii="宋体" w:hAnsi="宋体"/>
          <w:b/>
          <w:bCs/>
          <w:color w:val="auto"/>
          <w:sz w:val="24"/>
          <w:szCs w:val="24"/>
          <w:highlight w:val="none"/>
        </w:rPr>
        <w:t>注：</w:t>
      </w:r>
      <w:r>
        <w:rPr>
          <w:rFonts w:ascii="宋体" w:hAnsi="宋体"/>
          <w:color w:val="auto"/>
          <w:sz w:val="24"/>
          <w:szCs w:val="24"/>
          <w:highlight w:val="none"/>
        </w:rPr>
        <w:t>党政媒体是指党报党刊党台党网。市级党政媒体包括成都日报（锦观新闻）、成都商报（红星新闻）、成都电视台（看度新闻、神鸟知讯）以及以上媒体的网站，成都全搜索新闻网、成都在线；省级党政媒体包括四川日报（川观新闻）、华西都市报（封面新闻、华西新闻）、四川电视台（四川观察）以及以上媒体的网站，四川新闻网、四川在线；中央新闻单位包括人民日报（人民网）、新华社（新华网）、中央广播电视总台（中央广播电台、中央电视台）、求是、解放军报、光明日报、经济日报、中国日报、科技日报、人民政协报、中国纪检监察报、工人日报、中国青年报、中国妇女报、农民日报、法制日报、中新社（中新网）、中国网。</w:t>
      </w:r>
    </w:p>
    <w:p>
      <w:pPr>
        <w:spacing w:line="560" w:lineRule="exact"/>
        <w:rPr>
          <w:rFonts w:ascii="宋体" w:hAnsi="宋体"/>
          <w:color w:val="auto"/>
          <w:sz w:val="24"/>
          <w:szCs w:val="24"/>
          <w:highlight w:val="none"/>
        </w:rPr>
      </w:pPr>
      <w:r>
        <w:rPr>
          <w:rFonts w:ascii="宋体" w:hAnsi="宋体"/>
          <w:color w:val="auto"/>
          <w:sz w:val="24"/>
          <w:szCs w:val="24"/>
          <w:highlight w:val="none"/>
        </w:rPr>
        <w:t xml:space="preserve">    </w:t>
      </w:r>
      <w:r>
        <w:rPr>
          <w:rFonts w:ascii="宋体" w:hAnsi="宋体"/>
          <w:bCs/>
          <w:color w:val="auto"/>
          <w:sz w:val="24"/>
          <w:szCs w:val="24"/>
          <w:highlight w:val="none"/>
        </w:rPr>
        <w:t>14</w:t>
      </w:r>
      <w:r>
        <w:rPr>
          <w:rFonts w:ascii="宋体" w:hAnsi="宋体"/>
          <w:color w:val="auto"/>
          <w:sz w:val="24"/>
          <w:szCs w:val="24"/>
          <w:highlight w:val="none"/>
        </w:rPr>
        <w:t>．同一点位被投诉两次以上仍未整改到位的扣1万元。</w:t>
      </w:r>
    </w:p>
    <w:p>
      <w:pPr>
        <w:spacing w:line="560" w:lineRule="exact"/>
        <w:rPr>
          <w:rFonts w:ascii="宋体" w:hAnsi="宋体"/>
          <w:color w:val="auto"/>
          <w:sz w:val="24"/>
          <w:szCs w:val="24"/>
          <w:highlight w:val="none"/>
        </w:rPr>
      </w:pPr>
      <w:r>
        <w:rPr>
          <w:rFonts w:hint="eastAsia" w:ascii="宋体" w:hAnsi="宋体"/>
          <w:bCs/>
          <w:color w:val="auto"/>
          <w:sz w:val="24"/>
          <w:szCs w:val="24"/>
          <w:highlight w:val="none"/>
          <w:lang w:val="en-US" w:eastAsia="zh-CN"/>
        </w:rPr>
        <w:t xml:space="preserve">    </w:t>
      </w:r>
      <w:r>
        <w:rPr>
          <w:rFonts w:ascii="宋体" w:hAnsi="宋体"/>
          <w:bCs/>
          <w:color w:val="auto"/>
          <w:sz w:val="24"/>
          <w:szCs w:val="24"/>
          <w:highlight w:val="none"/>
        </w:rPr>
        <w:t>15</w:t>
      </w:r>
      <w:r>
        <w:rPr>
          <w:rFonts w:ascii="宋体" w:hAnsi="宋体"/>
          <w:color w:val="auto"/>
          <w:sz w:val="24"/>
          <w:szCs w:val="24"/>
          <w:highlight w:val="none"/>
        </w:rPr>
        <w:t>．重大保障时出现问题并造成较大影响的，按保障等级扣1—5万元。</w:t>
      </w:r>
    </w:p>
    <w:p>
      <w:pPr>
        <w:autoSpaceDE w:val="0"/>
        <w:autoSpaceDN w:val="0"/>
        <w:adjustRightInd w:val="0"/>
        <w:spacing w:line="560" w:lineRule="exact"/>
        <w:jc w:val="left"/>
        <w:rPr>
          <w:rFonts w:ascii="宋体" w:hAnsi="宋体"/>
          <w:color w:val="auto"/>
          <w:kern w:val="0"/>
          <w:sz w:val="24"/>
          <w:szCs w:val="24"/>
          <w:highlight w:val="none"/>
        </w:rPr>
      </w:pPr>
      <w:r>
        <w:rPr>
          <w:rFonts w:hint="eastAsia" w:ascii="宋体" w:hAnsi="宋体"/>
          <w:bCs/>
          <w:color w:val="auto"/>
          <w:sz w:val="24"/>
          <w:szCs w:val="24"/>
          <w:highlight w:val="none"/>
          <w:lang w:val="en-US" w:eastAsia="zh-CN"/>
        </w:rPr>
        <w:t xml:space="preserve">    </w:t>
      </w:r>
      <w:r>
        <w:rPr>
          <w:rFonts w:ascii="宋体" w:hAnsi="宋体"/>
          <w:bCs/>
          <w:color w:val="auto"/>
          <w:sz w:val="24"/>
          <w:szCs w:val="24"/>
          <w:highlight w:val="none"/>
        </w:rPr>
        <w:t>16</w:t>
      </w:r>
      <w:r>
        <w:rPr>
          <w:rFonts w:ascii="宋体" w:hAnsi="宋体"/>
          <w:color w:val="auto"/>
          <w:sz w:val="24"/>
          <w:szCs w:val="24"/>
          <w:highlight w:val="none"/>
        </w:rPr>
        <w:t>．</w:t>
      </w:r>
      <w:r>
        <w:rPr>
          <w:rFonts w:ascii="宋体" w:hAnsi="宋体"/>
          <w:color w:val="auto"/>
          <w:kern w:val="0"/>
          <w:sz w:val="24"/>
          <w:szCs w:val="24"/>
          <w:highlight w:val="none"/>
        </w:rPr>
        <w:t>市城管委环卫考核排名</w:t>
      </w:r>
      <w:r>
        <w:rPr>
          <w:rFonts w:hint="eastAsia" w:ascii="宋体" w:hAnsi="宋体"/>
          <w:color w:val="auto"/>
          <w:kern w:val="0"/>
          <w:sz w:val="24"/>
          <w:szCs w:val="24"/>
          <w:highlight w:val="none"/>
          <w:lang w:val="en-US" w:eastAsia="zh-CN"/>
        </w:rPr>
        <w:t>五</w:t>
      </w:r>
      <w:r>
        <w:rPr>
          <w:rFonts w:ascii="宋体" w:hAnsi="宋体"/>
          <w:color w:val="auto"/>
          <w:kern w:val="0"/>
          <w:sz w:val="24"/>
          <w:szCs w:val="24"/>
          <w:highlight w:val="none"/>
        </w:rPr>
        <w:t>城区最后</w:t>
      </w:r>
      <w:r>
        <w:rPr>
          <w:rFonts w:hint="eastAsia" w:ascii="宋体" w:hAnsi="宋体"/>
          <w:color w:val="auto"/>
          <w:kern w:val="0"/>
          <w:sz w:val="24"/>
          <w:szCs w:val="24"/>
          <w:highlight w:val="none"/>
          <w:lang w:eastAsia="zh-CN"/>
        </w:rPr>
        <w:t>一名</w:t>
      </w:r>
      <w:r>
        <w:rPr>
          <w:rFonts w:ascii="宋体" w:hAnsi="宋体"/>
          <w:color w:val="auto"/>
          <w:kern w:val="0"/>
          <w:sz w:val="24"/>
          <w:szCs w:val="24"/>
          <w:highlight w:val="none"/>
        </w:rPr>
        <w:t>，</w:t>
      </w:r>
      <w:r>
        <w:rPr>
          <w:rFonts w:hint="eastAsia" w:ascii="宋体" w:hAnsi="宋体"/>
          <w:color w:val="auto"/>
          <w:kern w:val="0"/>
          <w:sz w:val="24"/>
          <w:szCs w:val="24"/>
          <w:highlight w:val="none"/>
          <w:lang w:val="en-US" w:eastAsia="zh-CN"/>
        </w:rPr>
        <w:t>当月带班公司扣2万元，其余公司</w:t>
      </w:r>
      <w:r>
        <w:rPr>
          <w:rFonts w:ascii="宋体" w:hAnsi="宋体"/>
          <w:color w:val="auto"/>
          <w:kern w:val="0"/>
          <w:sz w:val="24"/>
          <w:szCs w:val="24"/>
          <w:highlight w:val="none"/>
        </w:rPr>
        <w:t>扣1万元</w:t>
      </w:r>
      <w:r>
        <w:rPr>
          <w:rFonts w:hint="eastAsia" w:ascii="宋体" w:hAnsi="宋体"/>
          <w:color w:val="auto"/>
          <w:kern w:val="0"/>
          <w:sz w:val="24"/>
          <w:szCs w:val="24"/>
          <w:highlight w:val="none"/>
          <w:lang w:eastAsia="zh-CN"/>
        </w:rPr>
        <w:t>；</w:t>
      </w:r>
      <w:r>
        <w:rPr>
          <w:rFonts w:ascii="宋体" w:hAnsi="宋体"/>
          <w:color w:val="auto"/>
          <w:kern w:val="0"/>
          <w:sz w:val="24"/>
          <w:szCs w:val="24"/>
          <w:highlight w:val="none"/>
        </w:rPr>
        <w:t>排名倒数第二，</w:t>
      </w:r>
      <w:r>
        <w:rPr>
          <w:rFonts w:hint="eastAsia" w:ascii="宋体" w:hAnsi="宋体"/>
          <w:color w:val="auto"/>
          <w:kern w:val="0"/>
          <w:sz w:val="24"/>
          <w:szCs w:val="24"/>
          <w:highlight w:val="none"/>
          <w:lang w:val="en-US" w:eastAsia="zh-CN"/>
        </w:rPr>
        <w:t>当月带班公司扣1万元，其余公司</w:t>
      </w:r>
      <w:r>
        <w:rPr>
          <w:rFonts w:ascii="宋体" w:hAnsi="宋体"/>
          <w:color w:val="auto"/>
          <w:kern w:val="0"/>
          <w:sz w:val="24"/>
          <w:szCs w:val="24"/>
          <w:highlight w:val="none"/>
        </w:rPr>
        <w:t>扣5000元。</w:t>
      </w:r>
      <w:r>
        <w:rPr>
          <w:rFonts w:hint="eastAsia" w:ascii="宋体" w:hAnsi="宋体"/>
          <w:color w:val="auto"/>
          <w:kern w:val="0"/>
          <w:sz w:val="24"/>
          <w:szCs w:val="24"/>
          <w:highlight w:val="none"/>
          <w:lang w:val="en-US" w:eastAsia="zh-CN"/>
        </w:rPr>
        <w:t>若当月考核时市城管委环卫考核结果未出，纳入下月扣钱。</w:t>
      </w:r>
    </w:p>
    <w:p>
      <w:pPr>
        <w:autoSpaceDE w:val="0"/>
        <w:autoSpaceDN w:val="0"/>
        <w:adjustRightInd w:val="0"/>
        <w:spacing w:line="560" w:lineRule="exact"/>
        <w:jc w:val="left"/>
        <w:rPr>
          <w:rFonts w:ascii="宋体" w:hAnsi="宋体"/>
          <w:color w:val="auto"/>
          <w:kern w:val="0"/>
          <w:sz w:val="24"/>
          <w:szCs w:val="24"/>
          <w:highlight w:val="none"/>
        </w:rPr>
      </w:pPr>
      <w:r>
        <w:rPr>
          <w:rFonts w:ascii="宋体" w:hAnsi="宋体"/>
          <w:bCs/>
          <w:color w:val="auto"/>
          <w:kern w:val="0"/>
          <w:sz w:val="24"/>
          <w:szCs w:val="24"/>
          <w:highlight w:val="none"/>
        </w:rPr>
        <w:t xml:space="preserve">   </w:t>
      </w:r>
      <w:r>
        <w:rPr>
          <w:rFonts w:ascii="宋体" w:hAnsi="宋体"/>
          <w:color w:val="auto"/>
          <w:sz w:val="24"/>
          <w:szCs w:val="24"/>
          <w:highlight w:val="none"/>
        </w:rPr>
        <w:t>（二）专项考核</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环卫保洁精细化管理机制不健全（包括组织领导、工作机构、管理人员是否明确，环卫保洁管理制度、日常监管检查、考核体系、应急预案），每项扣0.01分；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环卫保洁精细化工作制度不健全（道路清扫保洁、冲洗除尘、垃圾收运、垃圾桶、中转站（点）、值班巡查），每项扣0.01分；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环卫值班、巡查人员不在位，通信不畅通，交办事项处置不及时每次扣0.01分，交办事项未处置每次扣0.02分；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数字化城管系统对环卫作业车辆运行轨迹、作业动态不能正常监控，每台次扣0.01分；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未上报资料扣0.02分，未按照要求上报资料扣0.01分；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环卫公司未按合同规定配备人员、机械设备每次每项扣0.01分；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环卫公司劳动者权益保障制度不健全或不落实，每次扣0.1分；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环卫工人着装不统一，每人次扣0.01分；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环卫工人翻拣、焚烧垃圾，秋冬季打落枯叶、将垃圾扫入水篦子和河道，每发现一次扣0.01分。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白色垃圾快捡车没使用不规范，没有定人、定车、定路线的每日每台次扣0.01分，白色垃圾快捡车超过20分钟没有通过检查点位的每5分钟扣0.01分，累加计算，白色垃圾快捡车用作收运大件物品或挪作他用的每次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无应对异常天气、突发事件应急预案扣0.1分，城市建成区道路机械化清扫率未达到规定标准每次扣0.1分；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环卫工人作息房挪作他用的扣0.1分，在规定开放时间内未开放的，扣0.01。</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无故不参加区综合执法局、街道办事处组织会议，一次扣0.02分，参会人员无故迟到，一次扣0.01分。</w:t>
      </w:r>
    </w:p>
    <w:p>
      <w:pPr>
        <w:numPr>
          <w:ilvl w:val="0"/>
          <w:numId w:val="50"/>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落实市、区有关环卫保洁的安排部署不到位，每次扣0.01分。</w:t>
      </w:r>
    </w:p>
    <w:p>
      <w:pPr>
        <w:autoSpaceDE w:val="0"/>
        <w:autoSpaceDN w:val="0"/>
        <w:adjustRightInd w:val="0"/>
        <w:spacing w:line="560" w:lineRule="exact"/>
        <w:ind w:left="630"/>
        <w:jc w:val="left"/>
        <w:rPr>
          <w:rFonts w:ascii="宋体" w:hAnsi="宋体"/>
          <w:color w:val="auto"/>
          <w:kern w:val="0"/>
          <w:sz w:val="24"/>
          <w:szCs w:val="24"/>
          <w:highlight w:val="none"/>
        </w:rPr>
      </w:pPr>
      <w:r>
        <w:rPr>
          <w:rFonts w:ascii="宋体" w:hAnsi="宋体"/>
          <w:color w:val="auto"/>
          <w:kern w:val="0"/>
          <w:sz w:val="24"/>
          <w:szCs w:val="24"/>
          <w:highlight w:val="none"/>
        </w:rPr>
        <w:t>（三）加分事项</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1.市级以上领导点名表扬每次加3分，区政府领导点名表扬每次加2分；</w:t>
      </w:r>
    </w:p>
    <w:p>
      <w:p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sz w:val="24"/>
          <w:szCs w:val="24"/>
          <w:highlight w:val="none"/>
        </w:rPr>
        <w:t>2.市级以上党政媒体表扬、正面报道每次加3分；</w:t>
      </w:r>
    </w:p>
    <w:p>
      <w:pPr>
        <w:autoSpaceDE w:val="0"/>
        <w:autoSpaceDN w:val="0"/>
        <w:adjustRightInd w:val="0"/>
        <w:spacing w:line="560" w:lineRule="exact"/>
        <w:ind w:firstLine="640"/>
        <w:jc w:val="left"/>
        <w:rPr>
          <w:rFonts w:ascii="宋体" w:hAnsi="宋体"/>
          <w:color w:val="auto"/>
          <w:kern w:val="0"/>
          <w:sz w:val="24"/>
          <w:szCs w:val="24"/>
          <w:highlight w:val="none"/>
        </w:rPr>
      </w:pPr>
      <w:r>
        <w:rPr>
          <w:rFonts w:ascii="宋体" w:hAnsi="宋体"/>
          <w:color w:val="auto"/>
          <w:sz w:val="24"/>
          <w:szCs w:val="24"/>
          <w:highlight w:val="none"/>
        </w:rPr>
        <w:t>3.专项活动或检查（爱国卫生、文明城市、环保督察和重大保障等）保障得力，</w:t>
      </w:r>
      <w:r>
        <w:rPr>
          <w:rFonts w:ascii="宋体" w:hAnsi="宋体"/>
          <w:color w:val="auto"/>
          <w:kern w:val="0"/>
          <w:sz w:val="24"/>
          <w:szCs w:val="24"/>
          <w:highlight w:val="none"/>
        </w:rPr>
        <w:t>被区综合执法局主要领导点名表扬每次加1分。</w:t>
      </w:r>
    </w:p>
    <w:p>
      <w:pPr>
        <w:autoSpaceDE w:val="0"/>
        <w:autoSpaceDN w:val="0"/>
        <w:adjustRightInd w:val="0"/>
        <w:spacing w:line="560" w:lineRule="exact"/>
        <w:ind w:firstLine="640"/>
        <w:jc w:val="left"/>
        <w:rPr>
          <w:rFonts w:ascii="宋体" w:hAnsi="宋体"/>
          <w:color w:val="auto"/>
          <w:kern w:val="0"/>
          <w:sz w:val="24"/>
          <w:szCs w:val="24"/>
          <w:highlight w:val="none"/>
        </w:rPr>
      </w:pPr>
      <w:r>
        <w:rPr>
          <w:rFonts w:ascii="宋体" w:hAnsi="宋体"/>
          <w:color w:val="auto"/>
          <w:kern w:val="0"/>
          <w:sz w:val="24"/>
          <w:szCs w:val="24"/>
          <w:highlight w:val="none"/>
        </w:rPr>
        <w:t>4.特色亮点工作在全市推广，每次加1分。</w:t>
      </w:r>
    </w:p>
    <w:p>
      <w:pPr>
        <w:autoSpaceDE w:val="0"/>
        <w:autoSpaceDN w:val="0"/>
        <w:adjustRightInd w:val="0"/>
        <w:spacing w:line="560" w:lineRule="exact"/>
        <w:ind w:firstLine="640"/>
        <w:jc w:val="left"/>
        <w:rPr>
          <w:rFonts w:ascii="宋体" w:hAnsi="宋体"/>
          <w:color w:val="auto"/>
          <w:kern w:val="0"/>
          <w:sz w:val="24"/>
          <w:szCs w:val="24"/>
          <w:highlight w:val="none"/>
        </w:rPr>
      </w:pPr>
      <w:r>
        <w:rPr>
          <w:rFonts w:ascii="宋体" w:hAnsi="宋体"/>
          <w:color w:val="auto"/>
          <w:kern w:val="0"/>
          <w:sz w:val="24"/>
          <w:szCs w:val="24"/>
          <w:highlight w:val="none"/>
        </w:rPr>
        <w:t>5.市城管委环卫考核排名</w:t>
      </w:r>
      <w:r>
        <w:rPr>
          <w:rFonts w:hint="eastAsia" w:ascii="宋体" w:hAnsi="宋体"/>
          <w:color w:val="auto"/>
          <w:kern w:val="0"/>
          <w:sz w:val="24"/>
          <w:szCs w:val="24"/>
          <w:highlight w:val="none"/>
          <w:lang w:val="en-US" w:eastAsia="zh-CN"/>
        </w:rPr>
        <w:t>五</w:t>
      </w:r>
      <w:r>
        <w:rPr>
          <w:rFonts w:ascii="宋体" w:hAnsi="宋体"/>
          <w:color w:val="auto"/>
          <w:kern w:val="0"/>
          <w:sz w:val="24"/>
          <w:szCs w:val="24"/>
          <w:highlight w:val="none"/>
        </w:rPr>
        <w:t>城区第一，</w:t>
      </w:r>
      <w:r>
        <w:rPr>
          <w:rFonts w:hint="eastAsia" w:ascii="宋体" w:hAnsi="宋体"/>
          <w:color w:val="auto"/>
          <w:kern w:val="0"/>
          <w:sz w:val="24"/>
          <w:szCs w:val="24"/>
          <w:highlight w:val="none"/>
          <w:lang w:val="en-US" w:eastAsia="zh-CN"/>
        </w:rPr>
        <w:t>当月带班公司加1分，其余公司加0.5分；</w:t>
      </w:r>
      <w:r>
        <w:rPr>
          <w:rFonts w:ascii="宋体" w:hAnsi="宋体"/>
          <w:color w:val="auto"/>
          <w:kern w:val="0"/>
          <w:sz w:val="24"/>
          <w:szCs w:val="24"/>
          <w:highlight w:val="none"/>
        </w:rPr>
        <w:t>排名</w:t>
      </w:r>
      <w:r>
        <w:rPr>
          <w:rFonts w:hint="eastAsia" w:ascii="宋体" w:hAnsi="宋体"/>
          <w:color w:val="auto"/>
          <w:kern w:val="0"/>
          <w:sz w:val="24"/>
          <w:szCs w:val="24"/>
          <w:highlight w:val="none"/>
          <w:lang w:val="en-US" w:eastAsia="zh-CN"/>
        </w:rPr>
        <w:t>五城区</w:t>
      </w:r>
      <w:r>
        <w:rPr>
          <w:rFonts w:ascii="宋体" w:hAnsi="宋体"/>
          <w:color w:val="auto"/>
          <w:kern w:val="0"/>
          <w:sz w:val="24"/>
          <w:szCs w:val="24"/>
          <w:highlight w:val="none"/>
        </w:rPr>
        <w:t>第二，</w:t>
      </w:r>
      <w:r>
        <w:rPr>
          <w:rFonts w:hint="eastAsia" w:ascii="宋体" w:hAnsi="宋体"/>
          <w:color w:val="auto"/>
          <w:kern w:val="0"/>
          <w:sz w:val="24"/>
          <w:szCs w:val="24"/>
          <w:highlight w:val="none"/>
          <w:lang w:val="en-US" w:eastAsia="zh-CN"/>
        </w:rPr>
        <w:t>当月带班公司加0.5分，其余公司加0.25分</w:t>
      </w:r>
      <w:r>
        <w:rPr>
          <w:rFonts w:ascii="宋体" w:hAnsi="宋体"/>
          <w:color w:val="auto"/>
          <w:kern w:val="0"/>
          <w:sz w:val="24"/>
          <w:szCs w:val="24"/>
          <w:highlight w:val="none"/>
        </w:rPr>
        <w:t>。</w:t>
      </w:r>
      <w:r>
        <w:rPr>
          <w:rFonts w:hint="eastAsia" w:ascii="宋体" w:hAnsi="宋体"/>
          <w:color w:val="auto"/>
          <w:kern w:val="0"/>
          <w:sz w:val="24"/>
          <w:szCs w:val="24"/>
          <w:highlight w:val="none"/>
          <w:lang w:val="en-US" w:eastAsia="zh-CN"/>
        </w:rPr>
        <w:t>若当月考核时市城管委环卫考核结果未出，纳入下月加分。</w:t>
      </w:r>
    </w:p>
    <w:p>
      <w:pPr>
        <w:autoSpaceDE w:val="0"/>
        <w:autoSpaceDN w:val="0"/>
        <w:adjustRightInd w:val="0"/>
        <w:spacing w:line="520" w:lineRule="exact"/>
        <w:jc w:val="left"/>
        <w:rPr>
          <w:rFonts w:ascii="宋体" w:hAnsi="宋体"/>
          <w:color w:val="auto"/>
          <w:kern w:val="0"/>
          <w:sz w:val="24"/>
          <w:szCs w:val="24"/>
          <w:highlight w:val="none"/>
        </w:rPr>
      </w:pPr>
    </w:p>
    <w:p>
      <w:pPr>
        <w:numPr>
          <w:ilvl w:val="0"/>
          <w:numId w:val="46"/>
        </w:numPr>
        <w:autoSpaceDE w:val="0"/>
        <w:autoSpaceDN w:val="0"/>
        <w:adjustRightInd w:val="0"/>
        <w:spacing w:line="52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 xml:space="preserve"> 附则</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第六条  本办法自自合同约定之日起执行。本办法最终解释权归成都市锦江区综合行政执法局所有。</w:t>
      </w:r>
    </w:p>
    <w:p>
      <w:pPr>
        <w:spacing w:line="600" w:lineRule="exact"/>
        <w:rPr>
          <w:rFonts w:ascii="宋体" w:hAnsi="宋体"/>
          <w:color w:val="auto"/>
          <w:sz w:val="24"/>
          <w:szCs w:val="24"/>
          <w:highlight w:val="none"/>
        </w:rPr>
      </w:pPr>
    </w:p>
    <w:p>
      <w:pPr>
        <w:pStyle w:val="2"/>
        <w:rPr>
          <w:color w:val="auto"/>
          <w:highlight w:val="none"/>
        </w:rPr>
      </w:pPr>
    </w:p>
    <w:p>
      <w:pPr>
        <w:pStyle w:val="3"/>
        <w:ind w:firstLine="180"/>
        <w:rPr>
          <w:color w:val="auto"/>
          <w:highlight w:val="none"/>
        </w:rPr>
      </w:pPr>
    </w:p>
    <w:p>
      <w:pPr>
        <w:autoSpaceDE w:val="0"/>
        <w:autoSpaceDN w:val="0"/>
        <w:adjustRightInd w:val="0"/>
        <w:spacing w:line="560" w:lineRule="exact"/>
        <w:jc w:val="left"/>
        <w:rPr>
          <w:rFonts w:ascii="宋体" w:hAnsi="宋体"/>
          <w:color w:val="auto"/>
          <w:kern w:val="0"/>
          <w:sz w:val="24"/>
          <w:szCs w:val="24"/>
          <w:highlight w:val="none"/>
        </w:rPr>
      </w:pPr>
      <w:r>
        <w:rPr>
          <w:rFonts w:ascii="宋体" w:hAnsi="宋体"/>
          <w:color w:val="auto"/>
          <w:kern w:val="0"/>
          <w:sz w:val="24"/>
          <w:szCs w:val="24"/>
          <w:highlight w:val="none"/>
        </w:rPr>
        <w:t>附件2</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p>
    <w:p>
      <w:pPr>
        <w:autoSpaceDE w:val="0"/>
        <w:autoSpaceDN w:val="0"/>
        <w:adjustRightInd w:val="0"/>
        <w:spacing w:line="56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锦江区环卫公厕管护考核办法</w:t>
      </w:r>
    </w:p>
    <w:p>
      <w:pPr>
        <w:autoSpaceDE w:val="0"/>
        <w:autoSpaceDN w:val="0"/>
        <w:adjustRightInd w:val="0"/>
        <w:spacing w:line="520" w:lineRule="exact"/>
        <w:ind w:firstLine="480" w:firstLineChars="200"/>
        <w:jc w:val="left"/>
        <w:rPr>
          <w:rFonts w:ascii="宋体" w:hAnsi="宋体"/>
          <w:color w:val="auto"/>
          <w:kern w:val="0"/>
          <w:sz w:val="24"/>
          <w:szCs w:val="24"/>
          <w:highlight w:val="none"/>
        </w:rPr>
      </w:pPr>
    </w:p>
    <w:p>
      <w:pPr>
        <w:numPr>
          <w:ilvl w:val="0"/>
          <w:numId w:val="51"/>
        </w:numPr>
        <w:autoSpaceDE w:val="0"/>
        <w:autoSpaceDN w:val="0"/>
        <w:adjustRightInd w:val="0"/>
        <w:spacing w:line="52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 xml:space="preserve"> 总则</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第一条  目标</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为进一步完善我区环卫公厕管护机制，不断提升环卫公厕管理质量，使环卫公厕管护工作规范化、制度化，依据《锦江区环卫公厕保洁服务管理规范》、《锦江区环卫公厕保洁服务管理质量检查扣分标准》等法律法规，结合实际，制定本办法。</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第二条  使用范围</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本办法适用于锦江区环卫公厕管护作业情况的检查、考核。</w:t>
      </w:r>
    </w:p>
    <w:p>
      <w:pPr>
        <w:spacing w:line="520" w:lineRule="exact"/>
        <w:ind w:firstLine="480" w:firstLineChars="200"/>
        <w:jc w:val="left"/>
        <w:rPr>
          <w:rFonts w:ascii="宋体" w:hAnsi="宋体"/>
          <w:color w:val="auto"/>
          <w:sz w:val="24"/>
          <w:szCs w:val="24"/>
          <w:highlight w:val="none"/>
        </w:rPr>
      </w:pPr>
    </w:p>
    <w:p>
      <w:pPr>
        <w:numPr>
          <w:ilvl w:val="0"/>
          <w:numId w:val="51"/>
        </w:numPr>
        <w:spacing w:line="520" w:lineRule="exact"/>
        <w:ind w:firstLine="480" w:firstLineChars="200"/>
        <w:jc w:val="center"/>
        <w:rPr>
          <w:rFonts w:ascii="宋体" w:hAnsi="宋体"/>
          <w:color w:val="auto"/>
          <w:sz w:val="24"/>
          <w:szCs w:val="24"/>
          <w:highlight w:val="none"/>
        </w:rPr>
      </w:pPr>
      <w:r>
        <w:rPr>
          <w:rFonts w:ascii="宋体" w:hAnsi="宋体"/>
          <w:color w:val="auto"/>
          <w:sz w:val="24"/>
          <w:szCs w:val="24"/>
          <w:highlight w:val="none"/>
        </w:rPr>
        <w:t xml:space="preserve"> 考核主体和依据</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第三条  考核依据</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参照锦江区环卫公厕保洁服务管理规范》、《锦江区环卫公厕保洁服务管理质量检查扣分标准》和成都市城市管理委员会《关于印发&lt;都市环卫公厕管理规范&gt;的通知》（成城函（2017）205号）、成都市厕所革命领导小组办公室《关于印发&lt;成都市公厕监督考核办法&gt;的通知》（成厕办〔2018〕20号）执行。</w:t>
      </w:r>
    </w:p>
    <w:p>
      <w:pPr>
        <w:autoSpaceDE w:val="0"/>
        <w:autoSpaceDN w:val="0"/>
        <w:adjustRightInd w:val="0"/>
        <w:spacing w:line="520" w:lineRule="exact"/>
        <w:jc w:val="left"/>
        <w:rPr>
          <w:rFonts w:ascii="宋体" w:hAnsi="宋体"/>
          <w:color w:val="auto"/>
          <w:kern w:val="0"/>
          <w:sz w:val="24"/>
          <w:szCs w:val="24"/>
          <w:highlight w:val="none"/>
        </w:rPr>
      </w:pPr>
    </w:p>
    <w:p>
      <w:pPr>
        <w:numPr>
          <w:ilvl w:val="0"/>
          <w:numId w:val="51"/>
        </w:numPr>
        <w:autoSpaceDE w:val="0"/>
        <w:autoSpaceDN w:val="0"/>
        <w:adjustRightInd w:val="0"/>
        <w:spacing w:line="520" w:lineRule="exact"/>
        <w:ind w:firstLine="480" w:firstLineChars="200"/>
        <w:jc w:val="center"/>
        <w:rPr>
          <w:rFonts w:ascii="宋体" w:hAnsi="宋体"/>
          <w:bCs/>
          <w:color w:val="auto"/>
          <w:sz w:val="24"/>
          <w:szCs w:val="24"/>
          <w:highlight w:val="none"/>
        </w:rPr>
      </w:pPr>
      <w:r>
        <w:rPr>
          <w:rFonts w:ascii="宋体" w:hAnsi="宋体"/>
          <w:bCs/>
          <w:color w:val="auto"/>
          <w:sz w:val="24"/>
          <w:szCs w:val="24"/>
          <w:highlight w:val="none"/>
        </w:rPr>
        <w:t xml:space="preserve"> 考核内容</w:t>
      </w:r>
    </w:p>
    <w:p>
      <w:pPr>
        <w:autoSpaceDE w:val="0"/>
        <w:autoSpaceDN w:val="0"/>
        <w:adjustRightInd w:val="0"/>
        <w:spacing w:line="560" w:lineRule="exact"/>
        <w:ind w:firstLine="480" w:firstLineChars="200"/>
        <w:rPr>
          <w:rFonts w:ascii="宋体" w:hAnsi="宋体"/>
          <w:bCs/>
          <w:color w:val="auto"/>
          <w:sz w:val="24"/>
          <w:szCs w:val="24"/>
          <w:highlight w:val="none"/>
        </w:rPr>
      </w:pPr>
      <w:r>
        <w:rPr>
          <w:rFonts w:ascii="宋体" w:hAnsi="宋体"/>
          <w:color w:val="auto"/>
          <w:kern w:val="0"/>
          <w:sz w:val="24"/>
          <w:szCs w:val="24"/>
          <w:highlight w:val="none"/>
        </w:rPr>
        <w:t>第四条  环卫公厕考核内容</w:t>
      </w:r>
    </w:p>
    <w:p>
      <w:pPr>
        <w:spacing w:line="560" w:lineRule="exact"/>
        <w:ind w:firstLine="480" w:firstLineChars="200"/>
        <w:jc w:val="left"/>
        <w:rPr>
          <w:rFonts w:ascii="宋体" w:hAnsi="宋体"/>
          <w:bCs/>
          <w:color w:val="auto"/>
          <w:sz w:val="24"/>
          <w:szCs w:val="24"/>
          <w:highlight w:val="none"/>
        </w:rPr>
      </w:pPr>
      <w:r>
        <w:rPr>
          <w:rFonts w:ascii="宋体" w:hAnsi="宋体"/>
          <w:bCs/>
          <w:color w:val="auto"/>
          <w:sz w:val="24"/>
          <w:szCs w:val="24"/>
          <w:highlight w:val="none"/>
        </w:rPr>
        <w:t>作业范围包括辖区内环卫公厕内地面、墙面、天花板、门窗、设施设备等，室外周边10米。内容包括环卫公厕保洁服务管理（环卫公厕整体提档升级除外所有维护内容）、周边或者附属绿化维护管护、环卫公厕维护管理、清掏公厕化粪池，水电费缴纳。</w:t>
      </w:r>
      <w:r>
        <w:rPr>
          <w:rFonts w:hint="eastAsia" w:ascii="宋体" w:hAnsi="宋体"/>
          <w:bCs/>
          <w:color w:val="auto"/>
          <w:sz w:val="24"/>
          <w:szCs w:val="24"/>
          <w:highlight w:val="none"/>
          <w:lang w:eastAsia="zh-CN"/>
        </w:rPr>
        <w:t>按采购人统一的标准和材质要求购买、更换和安装环卫公厕相关标识、标牌、公示牌，提供环卫公厕厕纸、洗手液日常耗材等（环卫公厕厕纸以清风、心相印、维达等同类品质的，且符合国家相关标准的为标准。洗手液以蓝月亮、滴露、威露士等同类品质的，且符合国家相关标准的为标准），</w:t>
      </w:r>
      <w:r>
        <w:rPr>
          <w:rFonts w:ascii="宋体" w:hAnsi="宋体"/>
          <w:bCs/>
          <w:color w:val="auto"/>
          <w:sz w:val="24"/>
          <w:szCs w:val="24"/>
          <w:highlight w:val="none"/>
        </w:rPr>
        <w:t>新增或维修维护公厕内所有窗户纱窗。设施设备的维修保养。对易损耗材料、照明设施、防水、供水及排水设施、电力设施、护栏、便池、水龙头、马桶、脚踏器等设施设备的检修、翻新、</w:t>
      </w:r>
      <w:r>
        <w:rPr>
          <w:rFonts w:hint="eastAsia" w:ascii="宋体" w:hAnsi="宋体"/>
          <w:bCs/>
          <w:color w:val="auto"/>
          <w:sz w:val="24"/>
          <w:szCs w:val="24"/>
          <w:highlight w:val="none"/>
          <w:lang w:eastAsia="zh-CN"/>
        </w:rPr>
        <w:t>更换（所需耗材质量标准均不能低于原有耗材标准），按照实际需求配备移动厕所，并负责运输和管理</w:t>
      </w:r>
      <w:r>
        <w:rPr>
          <w:rFonts w:ascii="宋体" w:hAnsi="宋体"/>
          <w:bCs/>
          <w:color w:val="auto"/>
          <w:sz w:val="24"/>
          <w:szCs w:val="24"/>
          <w:highlight w:val="none"/>
        </w:rPr>
        <w:t>。公共秩序及公共安全管理。积极配合相关部门检查、考察、参观；做好文明指数测评等相关工作，必要时按实际需要自行租赁移动公厕；按作业辖区落实疫情防控和消防工作；积极配合主管部门，完成临时交办的管护工作和其他任务等。</w:t>
      </w:r>
    </w:p>
    <w:p>
      <w:pPr>
        <w:autoSpaceDE w:val="0"/>
        <w:autoSpaceDN w:val="0"/>
        <w:adjustRightInd w:val="0"/>
        <w:spacing w:line="520" w:lineRule="exact"/>
        <w:ind w:left="420" w:leftChars="200"/>
        <w:rPr>
          <w:rFonts w:ascii="宋体" w:hAnsi="宋体"/>
          <w:bCs/>
          <w:color w:val="auto"/>
          <w:sz w:val="24"/>
          <w:szCs w:val="24"/>
          <w:highlight w:val="none"/>
        </w:rPr>
      </w:pPr>
    </w:p>
    <w:p>
      <w:pPr>
        <w:numPr>
          <w:ilvl w:val="0"/>
          <w:numId w:val="51"/>
        </w:numPr>
        <w:spacing w:line="520" w:lineRule="exact"/>
        <w:ind w:firstLine="480" w:firstLineChars="200"/>
        <w:jc w:val="center"/>
        <w:rPr>
          <w:rFonts w:ascii="宋体" w:hAnsi="宋体"/>
          <w:bCs/>
          <w:color w:val="auto"/>
          <w:sz w:val="24"/>
          <w:szCs w:val="24"/>
          <w:highlight w:val="none"/>
        </w:rPr>
      </w:pPr>
      <w:r>
        <w:rPr>
          <w:rFonts w:ascii="宋体" w:hAnsi="宋体"/>
          <w:bCs/>
          <w:color w:val="auto"/>
          <w:sz w:val="24"/>
          <w:szCs w:val="24"/>
          <w:highlight w:val="none"/>
        </w:rPr>
        <w:t xml:space="preserve"> 考核方式及标准</w:t>
      </w:r>
    </w:p>
    <w:p>
      <w:pPr>
        <w:spacing w:line="560" w:lineRule="exact"/>
        <w:ind w:firstLine="480" w:firstLineChars="200"/>
        <w:jc w:val="left"/>
        <w:rPr>
          <w:rFonts w:ascii="宋体" w:hAnsi="宋体"/>
          <w:bCs/>
          <w:color w:val="auto"/>
          <w:sz w:val="24"/>
          <w:szCs w:val="24"/>
          <w:highlight w:val="none"/>
        </w:rPr>
      </w:pPr>
      <w:r>
        <w:rPr>
          <w:rFonts w:ascii="宋体" w:hAnsi="宋体"/>
          <w:bCs/>
          <w:color w:val="auto"/>
          <w:sz w:val="24"/>
          <w:szCs w:val="24"/>
          <w:highlight w:val="none"/>
        </w:rPr>
        <w:t>第五条  考核方式</w:t>
      </w:r>
    </w:p>
    <w:p>
      <w:pPr>
        <w:numPr>
          <w:ilvl w:val="0"/>
          <w:numId w:val="52"/>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环卫公厕管理质量检查每月不少于两次，采取明查和暗访，考核分数填入记分表。明查（即：事先通知，组织公厕承包方一起对所有公厕管理保洁服务质量进行抽查）；暗查（即：随机性检查）。</w:t>
      </w:r>
    </w:p>
    <w:p>
      <w:pPr>
        <w:numPr>
          <w:ilvl w:val="0"/>
          <w:numId w:val="52"/>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实行“倒扣分”方式，满分为100分，单项累计扣分最高值不超过对应项总体分值。</w:t>
      </w:r>
    </w:p>
    <w:p>
      <w:pPr>
        <w:numPr>
          <w:ilvl w:val="0"/>
          <w:numId w:val="52"/>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上级部门和领导指出的重大问题、上级通报、群众举报、投诉和新闻媒体曝光等，经核实后作为日常检查的内容记入检查结果。</w:t>
      </w:r>
    </w:p>
    <w:p>
      <w:pPr>
        <w:adjustRightInd w:val="0"/>
        <w:snapToGrid w:val="0"/>
        <w:spacing w:line="560" w:lineRule="exact"/>
        <w:ind w:left="420" w:leftChars="200"/>
        <w:rPr>
          <w:rFonts w:ascii="宋体" w:hAnsi="宋体"/>
          <w:color w:val="auto"/>
          <w:sz w:val="24"/>
          <w:szCs w:val="24"/>
          <w:highlight w:val="none"/>
        </w:rPr>
      </w:pPr>
      <w:r>
        <w:rPr>
          <w:rFonts w:ascii="宋体" w:hAnsi="宋体"/>
          <w:color w:val="auto"/>
          <w:sz w:val="24"/>
          <w:szCs w:val="24"/>
          <w:highlight w:val="none"/>
        </w:rPr>
        <w:t>第六条  考核标准</w:t>
      </w:r>
    </w:p>
    <w:p>
      <w:pPr>
        <w:numPr>
          <w:ilvl w:val="0"/>
          <w:numId w:val="53"/>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日常巡查</w:t>
      </w:r>
    </w:p>
    <w:p>
      <w:pPr>
        <w:numPr>
          <w:ilvl w:val="0"/>
          <w:numId w:val="54"/>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未按要求实施公厕免费服务，擅自收费，每座扣3000-5000元,并按照《城市管理管养企业负面行为管理办法（试行）》相关规定对环卫公厕保洁服务管理公司进行记扣分。</w:t>
      </w:r>
    </w:p>
    <w:p>
      <w:pPr>
        <w:numPr>
          <w:ilvl w:val="0"/>
          <w:numId w:val="54"/>
        </w:numPr>
        <w:spacing w:line="560" w:lineRule="exact"/>
        <w:ind w:firstLine="640"/>
        <w:rPr>
          <w:rFonts w:ascii="宋体" w:hAnsi="宋体"/>
          <w:color w:val="auto"/>
          <w:sz w:val="24"/>
          <w:szCs w:val="24"/>
          <w:highlight w:val="none"/>
        </w:rPr>
      </w:pPr>
      <w:r>
        <w:rPr>
          <w:rFonts w:ascii="宋体" w:hAnsi="宋体"/>
          <w:bCs/>
          <w:color w:val="auto"/>
          <w:sz w:val="24"/>
          <w:szCs w:val="24"/>
          <w:highlight w:val="none"/>
        </w:rPr>
        <w:t>被市级及以上专项通报批评一次扣3万元；被区级专项通报批评</w:t>
      </w:r>
      <w:r>
        <w:rPr>
          <w:rFonts w:ascii="宋体" w:hAnsi="宋体"/>
          <w:color w:val="auto"/>
          <w:sz w:val="24"/>
          <w:szCs w:val="24"/>
          <w:highlight w:val="none"/>
        </w:rPr>
        <w:t>一次扣1万元。</w:t>
      </w:r>
    </w:p>
    <w:p>
      <w:pPr>
        <w:numPr>
          <w:ilvl w:val="0"/>
          <w:numId w:val="54"/>
        </w:numPr>
        <w:spacing w:line="560" w:lineRule="exact"/>
        <w:ind w:firstLine="640"/>
        <w:rPr>
          <w:rFonts w:ascii="宋体" w:hAnsi="宋体"/>
          <w:color w:val="auto"/>
          <w:sz w:val="24"/>
          <w:szCs w:val="24"/>
          <w:highlight w:val="none"/>
        </w:rPr>
      </w:pPr>
      <w:r>
        <w:rPr>
          <w:rFonts w:ascii="宋体" w:hAnsi="宋体"/>
          <w:color w:val="auto"/>
          <w:sz w:val="24"/>
          <w:szCs w:val="24"/>
          <w:highlight w:val="none"/>
        </w:rPr>
        <w:t>被区综合执法局主要领导批示批评或会议点名批评一次扣1万元。</w:t>
      </w:r>
    </w:p>
    <w:p>
      <w:pPr>
        <w:numPr>
          <w:ilvl w:val="0"/>
          <w:numId w:val="54"/>
        </w:numPr>
        <w:spacing w:line="560" w:lineRule="exact"/>
        <w:ind w:firstLine="640"/>
        <w:rPr>
          <w:rFonts w:ascii="宋体" w:hAnsi="宋体"/>
          <w:color w:val="auto"/>
          <w:sz w:val="24"/>
          <w:szCs w:val="24"/>
          <w:highlight w:val="none"/>
        </w:rPr>
      </w:pPr>
      <w:r>
        <w:rPr>
          <w:rFonts w:ascii="宋体" w:hAnsi="宋体"/>
          <w:color w:val="auto"/>
          <w:sz w:val="24"/>
          <w:szCs w:val="24"/>
          <w:highlight w:val="none"/>
        </w:rPr>
        <w:t>被市委市政府督办的问题每次扣3万元；被市城管委督办问题每次扣3万元；被区委区政府督办问题每次扣2万元。</w:t>
      </w:r>
    </w:p>
    <w:p>
      <w:pPr>
        <w:numPr>
          <w:ilvl w:val="0"/>
          <w:numId w:val="54"/>
        </w:numPr>
        <w:spacing w:line="560" w:lineRule="exact"/>
        <w:ind w:firstLine="640"/>
        <w:rPr>
          <w:rFonts w:ascii="宋体" w:hAnsi="宋体"/>
          <w:color w:val="auto"/>
          <w:sz w:val="24"/>
          <w:szCs w:val="24"/>
          <w:highlight w:val="none"/>
        </w:rPr>
      </w:pPr>
      <w:r>
        <w:rPr>
          <w:rFonts w:ascii="宋体" w:hAnsi="宋体"/>
          <w:color w:val="auto"/>
          <w:sz w:val="24"/>
          <w:szCs w:val="24"/>
          <w:highlight w:val="none"/>
        </w:rPr>
        <w:t>被市级及以上党政媒体或主流媒体负面曝光一次扣3万元；区级党政媒体或主流负面曝光一次扣减1万元。</w:t>
      </w:r>
    </w:p>
    <w:p>
      <w:pPr>
        <w:spacing w:line="560" w:lineRule="exact"/>
        <w:ind w:firstLine="482" w:firstLineChars="200"/>
        <w:rPr>
          <w:rFonts w:ascii="宋体" w:hAnsi="宋体"/>
          <w:color w:val="auto"/>
          <w:sz w:val="24"/>
          <w:szCs w:val="24"/>
          <w:highlight w:val="none"/>
        </w:rPr>
      </w:pPr>
      <w:r>
        <w:rPr>
          <w:rFonts w:ascii="宋体" w:hAnsi="宋体"/>
          <w:b/>
          <w:bCs/>
          <w:color w:val="auto"/>
          <w:sz w:val="24"/>
          <w:szCs w:val="24"/>
          <w:highlight w:val="none"/>
        </w:rPr>
        <w:t>注：</w:t>
      </w:r>
      <w:r>
        <w:rPr>
          <w:rFonts w:ascii="宋体" w:hAnsi="宋体"/>
          <w:color w:val="auto"/>
          <w:sz w:val="24"/>
          <w:szCs w:val="24"/>
          <w:highlight w:val="none"/>
        </w:rPr>
        <w:t>党政媒体是指党报党刊党台党网。市级党政媒体包括成都日报（锦观新闻）、成都商报（红星新闻）、成都电视台（看度新闻、神鸟知讯）以及以上媒体的网站，成都全搜索新闻网、成都在线；省级党政媒体包括四川日报（川观新闻）、华西都市报（封面新闻、华西新闻）、四川电视台（四川观察）以及以上媒体的网站，四川新闻网、四川在线；中央新闻单位包括人民日报（人民网）、新华社（新华网）、中央广播电视总台（中央广播电台、中央电视台）、求是、解放军报、光明日报、经济日报、中国日报、科技日报、人民政协报、中国纪检监察报、工人日报、中国青年报、中国妇女报、农民日报、法制日报、中新社（中新网）、中国网。</w:t>
      </w:r>
    </w:p>
    <w:p>
      <w:pPr>
        <w:numPr>
          <w:ilvl w:val="0"/>
          <w:numId w:val="54"/>
        </w:numPr>
        <w:spacing w:line="560" w:lineRule="exact"/>
        <w:ind w:firstLine="640"/>
        <w:rPr>
          <w:rFonts w:ascii="宋体" w:hAnsi="宋体"/>
          <w:color w:val="auto"/>
          <w:sz w:val="24"/>
          <w:szCs w:val="24"/>
          <w:highlight w:val="none"/>
        </w:rPr>
      </w:pPr>
      <w:r>
        <w:rPr>
          <w:rFonts w:ascii="宋体" w:hAnsi="宋体"/>
          <w:color w:val="auto"/>
          <w:sz w:val="24"/>
          <w:szCs w:val="24"/>
          <w:highlight w:val="none"/>
        </w:rPr>
        <w:t>同一点位被投诉两次以上仍未整改到位的扣1万元；</w:t>
      </w:r>
    </w:p>
    <w:p>
      <w:pPr>
        <w:numPr>
          <w:ilvl w:val="0"/>
          <w:numId w:val="54"/>
        </w:numPr>
        <w:spacing w:line="560" w:lineRule="exact"/>
        <w:ind w:firstLine="640"/>
        <w:rPr>
          <w:rFonts w:ascii="宋体" w:hAnsi="宋体"/>
          <w:color w:val="auto"/>
          <w:sz w:val="24"/>
          <w:szCs w:val="24"/>
          <w:highlight w:val="none"/>
        </w:rPr>
      </w:pPr>
      <w:r>
        <w:rPr>
          <w:rFonts w:ascii="宋体" w:hAnsi="宋体"/>
          <w:color w:val="auto"/>
          <w:sz w:val="24"/>
          <w:szCs w:val="24"/>
          <w:highlight w:val="none"/>
        </w:rPr>
        <w:t>重大保障时出现问题并造成较大影响的，按保障等级扣1-5万元。</w:t>
      </w:r>
    </w:p>
    <w:p>
      <w:pPr>
        <w:numPr>
          <w:ilvl w:val="0"/>
          <w:numId w:val="54"/>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被新闻媒体曝光经查属实及未按时进行公厕开放的，每次扣1000-2000元。</w:t>
      </w:r>
    </w:p>
    <w:p>
      <w:pPr>
        <w:numPr>
          <w:ilvl w:val="0"/>
          <w:numId w:val="54"/>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凡是在成都市文明指数测评、城乡环境综合治理测评等市级以上部门或第三方等测评活动中排名末尾，涉及公厕项目的每次扣5000元。</w:t>
      </w:r>
    </w:p>
    <w:p>
      <w:pPr>
        <w:numPr>
          <w:ilvl w:val="0"/>
          <w:numId w:val="54"/>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凡是在市城管委公厕《全市环卫精细化管理工作有关问题的通报》中每有一座扣1000元；如增加 “厕所革命”考核排名，（锦江、武侯、金牛、成华、青羊五城区）倒数第二名的扣20000元，排名倒数第一名的扣30000元。</w:t>
      </w:r>
    </w:p>
    <w:p>
      <w:pPr>
        <w:numPr>
          <w:ilvl w:val="0"/>
          <w:numId w:val="54"/>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未经上级部门许可，擅自将管理房对外出租，每次扣5000元。</w:t>
      </w:r>
    </w:p>
    <w:p>
      <w:pPr>
        <w:numPr>
          <w:ilvl w:val="0"/>
          <w:numId w:val="54"/>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因乙方责任引起劳资纠纷、未妥善解决，每次扣5000元，给甲方造成严重后果的解除合同。</w:t>
      </w:r>
    </w:p>
    <w:p>
      <w:pPr>
        <w:numPr>
          <w:ilvl w:val="0"/>
          <w:numId w:val="54"/>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上级部门或业主单位发现24小时公厕保洁人员低于2人的，每发现一座(次)扣2500元。连续三个月发现24小时公厕保洁人员低于2人的，每发现一座扣5000元。</w:t>
      </w:r>
    </w:p>
    <w:p>
      <w:pPr>
        <w:numPr>
          <w:ilvl w:val="0"/>
          <w:numId w:val="54"/>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对于破坏、损毁、侵占、盗卖、出租公厕的设施、设备、建筑物等行为，乙方应代甲方索赔，索赔无果的，甲方请评估公司评估价值，相关金额从保洁经费中扣除。</w:t>
      </w:r>
    </w:p>
    <w:p>
      <w:pPr>
        <w:numPr>
          <w:ilvl w:val="0"/>
          <w:numId w:val="54"/>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除提前向甲方报备外，严禁项目经理和管理员迟到早退和跨区域代为混管，每发现一次扣1000元，同一人员发现三次的扣5000元，乙方必须更换该人员。</w:t>
      </w:r>
    </w:p>
    <w:p>
      <w:pPr>
        <w:numPr>
          <w:ilvl w:val="0"/>
          <w:numId w:val="54"/>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厕所有明显异味、有蚊蝇、污水溢出的，每发现一次扣5000元。</w:t>
      </w:r>
    </w:p>
    <w:p>
      <w:pPr>
        <w:numPr>
          <w:ilvl w:val="0"/>
          <w:numId w:val="54"/>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巡查中发现保洁人员</w:t>
      </w:r>
      <w:r>
        <w:rPr>
          <w:rFonts w:hint="eastAsia" w:ascii="宋体" w:hAnsi="宋体"/>
          <w:color w:val="auto"/>
          <w:kern w:val="0"/>
          <w:sz w:val="24"/>
          <w:szCs w:val="24"/>
          <w:highlight w:val="none"/>
          <w:lang w:eastAsia="zh-CN"/>
        </w:rPr>
        <w:t>缺</w:t>
      </w:r>
      <w:r>
        <w:rPr>
          <w:rFonts w:ascii="宋体" w:hAnsi="宋体"/>
          <w:color w:val="auto"/>
          <w:kern w:val="0"/>
          <w:sz w:val="24"/>
          <w:szCs w:val="24"/>
          <w:highlight w:val="none"/>
        </w:rPr>
        <w:t>岗</w:t>
      </w:r>
      <w:r>
        <w:rPr>
          <w:rFonts w:hint="eastAsia" w:ascii="宋体" w:hAnsi="宋体"/>
          <w:color w:val="auto"/>
          <w:kern w:val="0"/>
          <w:sz w:val="24"/>
          <w:szCs w:val="24"/>
          <w:highlight w:val="none"/>
          <w:lang w:val="en-US" w:eastAsia="zh-CN"/>
        </w:rPr>
        <w:t>45分钟</w:t>
      </w:r>
      <w:r>
        <w:rPr>
          <w:rFonts w:ascii="宋体" w:hAnsi="宋体"/>
          <w:color w:val="auto"/>
          <w:kern w:val="0"/>
          <w:sz w:val="24"/>
          <w:szCs w:val="24"/>
          <w:highlight w:val="none"/>
        </w:rPr>
        <w:t>，每发现一次扣1000元；未穿工作服每发现一次扣500元；做和工作无关的事情，每发现一次扣500元。公厕10米范围内有牵绳挂物情况的，每发现一次扣500元。</w:t>
      </w:r>
    </w:p>
    <w:p>
      <w:pPr>
        <w:numPr>
          <w:ilvl w:val="0"/>
          <w:numId w:val="54"/>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公厕隔断、外墙、内墙、地面、蹲便器、坐便器、小便池、洗手台、洗手盆、烘手器、挂衣钩、废纸容器、拖布池、门、窗、窗套、门套及外面电动卷帘门、手拉卷帘门/内外扶手必须</w:t>
      </w:r>
      <w:r>
        <w:rPr>
          <w:rFonts w:hint="eastAsia" w:ascii="宋体" w:hAnsi="宋体"/>
          <w:color w:val="auto"/>
          <w:kern w:val="0"/>
          <w:sz w:val="24"/>
          <w:szCs w:val="24"/>
          <w:highlight w:val="none"/>
          <w:lang w:val="en-US" w:eastAsia="zh-CN"/>
        </w:rPr>
        <w:t>48小时</w:t>
      </w:r>
      <w:r>
        <w:rPr>
          <w:rFonts w:ascii="宋体" w:hAnsi="宋体"/>
          <w:color w:val="auto"/>
          <w:kern w:val="0"/>
          <w:sz w:val="24"/>
          <w:szCs w:val="24"/>
          <w:highlight w:val="none"/>
        </w:rPr>
        <w:t>修复或更换，未在</w:t>
      </w:r>
      <w:r>
        <w:rPr>
          <w:rFonts w:hint="eastAsia" w:ascii="宋体" w:hAnsi="宋体"/>
          <w:color w:val="auto"/>
          <w:kern w:val="0"/>
          <w:sz w:val="24"/>
          <w:szCs w:val="24"/>
          <w:highlight w:val="none"/>
          <w:lang w:eastAsia="zh-CN"/>
        </w:rPr>
        <w:t>规定时间内</w:t>
      </w:r>
      <w:r>
        <w:rPr>
          <w:rFonts w:ascii="宋体" w:hAnsi="宋体"/>
          <w:color w:val="auto"/>
          <w:kern w:val="0"/>
          <w:sz w:val="24"/>
          <w:szCs w:val="24"/>
          <w:highlight w:val="none"/>
        </w:rPr>
        <w:t>完成的每有一件扣500元；公厕内地埋脚踩阀、手按阀，水箱、水龙头、给排水管网、照明灯具、电源线路、烤手器、灭蚊灯、洗手液盒、纸巾盒、等设施设备损坏，4小时内未维修好每发现一件扣500元。</w:t>
      </w:r>
    </w:p>
    <w:p>
      <w:pPr>
        <w:numPr>
          <w:ilvl w:val="0"/>
          <w:numId w:val="54"/>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厕所地面、墙面、屋顶、厕位、周边责任区域内有破损、污迹、积尘、乱写乱画、张贴物、杂物堆积、垃圾、污水、积水、蛛网、杂草、枯萎腐烂树叶、裸土，每发现一处扣500元。</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20.未配置纸液，每发现一次扣100元。</w:t>
      </w:r>
    </w:p>
    <w:p>
      <w:pPr>
        <w:numPr>
          <w:ilvl w:val="0"/>
          <w:numId w:val="53"/>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专项考核</w:t>
      </w:r>
    </w:p>
    <w:p>
      <w:pPr>
        <w:numPr>
          <w:ilvl w:val="0"/>
          <w:numId w:val="55"/>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日常保洁检查考核（50分）</w:t>
      </w:r>
    </w:p>
    <w:p>
      <w:p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日常保洁实行百分制考核，考核分值占总分值的50%。每月抽取40—50座公厕进行检查，每座单独考核，取平均值。主要包括：设施及保洁要求、作业工具要求、作业人员要求、室外保洁要求。</w:t>
      </w:r>
    </w:p>
    <w:p>
      <w:pPr>
        <w:numPr>
          <w:ilvl w:val="0"/>
          <w:numId w:val="55"/>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综合考核评分（50分）</w:t>
      </w:r>
    </w:p>
    <w:p>
      <w:pPr>
        <w:numPr>
          <w:ilvl w:val="0"/>
          <w:numId w:val="56"/>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公厕保洁管理人员到位考核（10分）。对配备的公厕保洁管理人员到位情况进行考核，缺一人的扣0.1分，扣完为止。</w:t>
      </w:r>
    </w:p>
    <w:p>
      <w:pPr>
        <w:numPr>
          <w:ilvl w:val="0"/>
          <w:numId w:val="56"/>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机械设施设备到位考核（10分）。对配备的机械、车辆、设施设备到位情况进行考核，缺一台的扣1分，扣完为止。</w:t>
      </w:r>
    </w:p>
    <w:p>
      <w:pPr>
        <w:numPr>
          <w:ilvl w:val="0"/>
          <w:numId w:val="56"/>
        </w:numPr>
        <w:autoSpaceDE w:val="0"/>
        <w:autoSpaceDN w:val="0"/>
        <w:adjustRightInd w:val="0"/>
        <w:snapToGri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公厕管理保洁服务项目部考核（3分）。是否符合《锦江区环卫公厕管理规范（试行）》规定的内容进行考核，主要包括：面积和功能（0.5分）、安全设施设备（0.5分）、环境卫生（0.5分）、人员配置（0.5分）、管理制度（0.5分）、工作台账记录（0.5分）。</w:t>
      </w:r>
    </w:p>
    <w:p>
      <w:pPr>
        <w:numPr>
          <w:ilvl w:val="0"/>
          <w:numId w:val="56"/>
        </w:numPr>
        <w:autoSpaceDE w:val="0"/>
        <w:autoSpaceDN w:val="0"/>
        <w:adjustRightInd w:val="0"/>
        <w:snapToGri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管理间规范化考核（2分）。是否符合《锦江区环卫公厕管理规范（试行）》规定的内容进行考核，主要包括：规范使用（0.5分）、安全设施设备（0.5分）、环境卫生（0.5分）、管理制度（0.5分）。</w:t>
      </w:r>
    </w:p>
    <w:p>
      <w:pPr>
        <w:numPr>
          <w:ilvl w:val="0"/>
          <w:numId w:val="56"/>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“两纸一液”考核（7分）。每月对公厕是否提供“两纸一液”情况进行考核，缺一项的扣0.01分，扣完为止。</w:t>
      </w:r>
    </w:p>
    <w:p>
      <w:pPr>
        <w:numPr>
          <w:ilvl w:val="0"/>
          <w:numId w:val="56"/>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市级排名考核（3分）。如市城管委增加每月公厕目标考核排名（五城区）至少保证前3名，目标考核排名第1名加3分，排名第2名加2分；排名第3不加分、不扣分。连续两次排名最后，乙方若仍未整改，在第三月排名仍排名倒数一、二名，直接中止合同。</w:t>
      </w:r>
    </w:p>
    <w:p>
      <w:pPr>
        <w:numPr>
          <w:ilvl w:val="0"/>
          <w:numId w:val="56"/>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曝光投诉举报考核（5分）。主动接受媒体和群众监督，被媒体曝光、群众举报投诉的，经查实属实的一次扣0.5分，扣完为止。</w:t>
      </w:r>
    </w:p>
    <w:p>
      <w:pPr>
        <w:numPr>
          <w:ilvl w:val="0"/>
          <w:numId w:val="56"/>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整改落实考核（4分）。对上级部门监督发现、媒体曝光、群众举报的问题，及时进行整改，未及时整改的一次扣0.5分，扣完为止。</w:t>
      </w:r>
    </w:p>
    <w:p>
      <w:pPr>
        <w:numPr>
          <w:ilvl w:val="0"/>
          <w:numId w:val="56"/>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其他重要工作任务（2分）。主要是对锦江区综合执法局、业主单位安排部署的阶段性重要工作推进情况、完成情况、工作成效等进行考核，酌情给分。</w:t>
      </w:r>
    </w:p>
    <w:p>
      <w:pPr>
        <w:numPr>
          <w:ilvl w:val="0"/>
          <w:numId w:val="56"/>
        </w:numPr>
        <w:adjustRightInd w:val="0"/>
        <w:snapToGri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信息报送情况考核（4分）。a.当月应向锦江区综合执法局、业主单位报送“环卫公厕动态月报”和“运营项目动态月报”，在次月15日前未报送的，每推迟一天扣0.5分，累计扣分不超过2分。b.锦江区综合执法局、业主单位通过下发文件、群通知等方式通知报送的其他信息，出现逾期未报、报送内容不符合要求等情形，每次扣0.5分，累计扣分不超过2分。</w:t>
      </w:r>
    </w:p>
    <w:p>
      <w:pPr>
        <w:numPr>
          <w:ilvl w:val="0"/>
          <w:numId w:val="53"/>
        </w:numPr>
        <w:autoSpaceDE w:val="0"/>
        <w:autoSpaceDN w:val="0"/>
        <w:adjustRightInd w:val="0"/>
        <w:spacing w:line="560" w:lineRule="exact"/>
        <w:ind w:firstLine="480" w:firstLineChars="200"/>
        <w:jc w:val="left"/>
        <w:rPr>
          <w:rFonts w:ascii="宋体" w:hAnsi="宋体"/>
          <w:color w:val="auto"/>
          <w:kern w:val="0"/>
          <w:sz w:val="24"/>
          <w:szCs w:val="24"/>
          <w:highlight w:val="none"/>
        </w:rPr>
      </w:pPr>
      <w:r>
        <w:rPr>
          <w:rFonts w:ascii="宋体" w:hAnsi="宋体"/>
          <w:color w:val="auto"/>
          <w:kern w:val="0"/>
          <w:sz w:val="24"/>
          <w:szCs w:val="24"/>
          <w:highlight w:val="none"/>
        </w:rPr>
        <w:t>加分事项</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区级以上领导、市级以上主流媒体表扬和特色亮点工作在全区、全市推广等情形予以加分，当月最高总得分不得超过100分，超过100分按100分计算。具体如下：</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1.全市文明指数测评名列前3名，给予奖励3分-5分。</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2.市级及以上领导大会点名或书面表扬每次加0.5分，区级以上领导大会点名或书面表扬每次加0.3分；</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3.市级及以上专项活动、重大保障活动或检查（爱国卫生、文明城市、环保督察、重大保障等）保障 得力，被区综合执法局主要领导大会点名或书面表扬的，每次加0.5分；</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4.在市级及各类专项工作考核评选中，单次考核排名位列五城区前两名的考核路段（区域），对应作业公司当月考核分别加1.5、1分。</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5.在环卫公厕管护工作方法、措施上有创新或有特色亮点工作，在全市推广每次加1分，在全区推广每次加0.5分。</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6.环卫公厕管护工作任意一项获得市级及以上党政媒体正面宣传报道的，加1分。</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7.以商养厕措施考核（1分）。每月有无以商养厕措施，被市级及以上部门表扬1次，加0.5分，最高加1分。</w:t>
      </w:r>
    </w:p>
    <w:p>
      <w:pPr>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8.全市星级厕所评定活动中，评定三星厕所一座加0.5分，评定二星厕所一座加0.3分，评定一星厕所一座加0.1分，最高加3分。</w:t>
      </w:r>
    </w:p>
    <w:p>
      <w:pPr>
        <w:autoSpaceDE w:val="0"/>
        <w:autoSpaceDN w:val="0"/>
        <w:adjustRightInd w:val="0"/>
        <w:spacing w:line="520" w:lineRule="exact"/>
        <w:ind w:left="640"/>
        <w:jc w:val="left"/>
        <w:rPr>
          <w:rFonts w:ascii="宋体" w:hAnsi="宋体"/>
          <w:color w:val="auto"/>
          <w:kern w:val="0"/>
          <w:sz w:val="24"/>
          <w:szCs w:val="24"/>
          <w:highlight w:val="none"/>
        </w:rPr>
      </w:pPr>
    </w:p>
    <w:p>
      <w:pPr>
        <w:numPr>
          <w:ilvl w:val="0"/>
          <w:numId w:val="51"/>
        </w:numPr>
        <w:autoSpaceDE w:val="0"/>
        <w:autoSpaceDN w:val="0"/>
        <w:adjustRightInd w:val="0"/>
        <w:spacing w:line="52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附则</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第七条  被检查单位认为检查有误，可以向成都市锦江区综合行政执法局或属地街道办事处申辩，经复核重新认定，复核只进行1次。</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第八条  本办法从合同签定之日起执行，解释权归成都市锦江区综合行政执法局。</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p>
    <w:p>
      <w:pPr>
        <w:autoSpaceDE w:val="0"/>
        <w:autoSpaceDN w:val="0"/>
        <w:adjustRightInd w:val="0"/>
        <w:spacing w:line="560" w:lineRule="exact"/>
        <w:ind w:firstLine="480" w:firstLineChars="200"/>
        <w:jc w:val="left"/>
        <w:rPr>
          <w:rFonts w:ascii="宋体" w:hAnsi="宋体"/>
          <w:color w:val="auto"/>
          <w:kern w:val="0"/>
          <w:sz w:val="24"/>
          <w:szCs w:val="24"/>
          <w:highlight w:val="none"/>
        </w:rPr>
      </w:pPr>
    </w:p>
    <w:p>
      <w:pPr>
        <w:pStyle w:val="2"/>
        <w:rPr>
          <w:color w:val="auto"/>
          <w:highlight w:val="none"/>
        </w:rPr>
      </w:pPr>
    </w:p>
    <w:p>
      <w:pPr>
        <w:autoSpaceDE w:val="0"/>
        <w:autoSpaceDN w:val="0"/>
        <w:adjustRightInd w:val="0"/>
        <w:spacing w:line="560" w:lineRule="exact"/>
        <w:jc w:val="left"/>
        <w:rPr>
          <w:rFonts w:ascii="宋体" w:hAnsi="宋体"/>
          <w:color w:val="auto"/>
          <w:kern w:val="0"/>
          <w:sz w:val="24"/>
          <w:szCs w:val="24"/>
          <w:highlight w:val="none"/>
        </w:rPr>
      </w:pPr>
      <w:r>
        <w:rPr>
          <w:rFonts w:ascii="宋体" w:hAnsi="宋体"/>
          <w:color w:val="auto"/>
          <w:kern w:val="0"/>
          <w:sz w:val="24"/>
          <w:szCs w:val="24"/>
          <w:highlight w:val="none"/>
        </w:rPr>
        <w:t>附件3</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p>
    <w:p>
      <w:pPr>
        <w:spacing w:line="560" w:lineRule="exact"/>
        <w:ind w:firstLine="482" w:firstLineChars="200"/>
        <w:jc w:val="center"/>
        <w:rPr>
          <w:rFonts w:ascii="宋体" w:hAnsi="宋体"/>
          <w:b/>
          <w:bCs/>
          <w:color w:val="auto"/>
          <w:sz w:val="24"/>
          <w:szCs w:val="24"/>
          <w:highlight w:val="none"/>
        </w:rPr>
      </w:pPr>
      <w:r>
        <w:rPr>
          <w:rFonts w:ascii="宋体" w:hAnsi="宋体"/>
          <w:b/>
          <w:bCs/>
          <w:color w:val="auto"/>
          <w:sz w:val="24"/>
          <w:szCs w:val="24"/>
          <w:highlight w:val="none"/>
        </w:rPr>
        <w:t>锦江区园林绿化管护考核办法</w:t>
      </w:r>
    </w:p>
    <w:p>
      <w:pPr>
        <w:spacing w:line="560" w:lineRule="exact"/>
        <w:ind w:firstLine="480" w:firstLineChars="200"/>
        <w:jc w:val="center"/>
        <w:rPr>
          <w:rFonts w:ascii="宋体" w:hAnsi="宋体"/>
          <w:color w:val="auto"/>
          <w:sz w:val="24"/>
          <w:szCs w:val="24"/>
          <w:highlight w:val="none"/>
        </w:rPr>
      </w:pPr>
    </w:p>
    <w:p>
      <w:pPr>
        <w:numPr>
          <w:ilvl w:val="0"/>
          <w:numId w:val="57"/>
        </w:numPr>
        <w:spacing w:line="560" w:lineRule="exact"/>
        <w:ind w:firstLine="480" w:firstLineChars="200"/>
        <w:jc w:val="center"/>
        <w:rPr>
          <w:rFonts w:ascii="宋体" w:hAnsi="宋体"/>
          <w:color w:val="auto"/>
          <w:sz w:val="24"/>
          <w:szCs w:val="24"/>
          <w:highlight w:val="none"/>
        </w:rPr>
      </w:pPr>
      <w:r>
        <w:rPr>
          <w:rFonts w:ascii="宋体" w:hAnsi="宋体"/>
          <w:color w:val="auto"/>
          <w:sz w:val="24"/>
          <w:szCs w:val="24"/>
          <w:highlight w:val="none"/>
        </w:rPr>
        <w:t xml:space="preserve"> 总则</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第一条 目标</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为进一步完善我区园林绿化养护管理机制，不断提高园林绿化管养水平，巩固园林绿化成果，使绿化管护工作实现规范化、制度化、精细化，依据《成都市城市绿化养护技术规程》、《成都市锦江区园林绿化管护标准》等文件，结合我区实际，制定本办法。</w:t>
      </w:r>
    </w:p>
    <w:p>
      <w:pPr>
        <w:numPr>
          <w:ilvl w:val="0"/>
          <w:numId w:val="58"/>
        </w:numPr>
        <w:spacing w:line="560" w:lineRule="exact"/>
        <w:ind w:left="0" w:firstLine="480" w:firstLineChars="200"/>
        <w:rPr>
          <w:rFonts w:ascii="宋体" w:hAnsi="宋体"/>
          <w:color w:val="auto"/>
          <w:sz w:val="24"/>
          <w:szCs w:val="24"/>
          <w:highlight w:val="none"/>
        </w:rPr>
      </w:pPr>
      <w:r>
        <w:rPr>
          <w:rFonts w:ascii="宋体" w:hAnsi="宋体"/>
          <w:color w:val="auto"/>
          <w:sz w:val="24"/>
          <w:szCs w:val="24"/>
          <w:highlight w:val="none"/>
        </w:rPr>
        <w:t>适用范围</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本办法适用于锦江区区管范围内管护作业单位所进行园林绿化管护作业情况的检查、考核。</w:t>
      </w:r>
    </w:p>
    <w:p>
      <w:pPr>
        <w:autoSpaceDE w:val="0"/>
        <w:autoSpaceDN w:val="0"/>
        <w:adjustRightInd w:val="0"/>
        <w:spacing w:line="520" w:lineRule="exact"/>
        <w:jc w:val="left"/>
        <w:rPr>
          <w:rFonts w:ascii="宋体" w:hAnsi="宋体"/>
          <w:color w:val="auto"/>
          <w:kern w:val="0"/>
          <w:sz w:val="24"/>
          <w:szCs w:val="24"/>
          <w:highlight w:val="none"/>
        </w:rPr>
      </w:pPr>
    </w:p>
    <w:p>
      <w:pPr>
        <w:numPr>
          <w:ilvl w:val="0"/>
          <w:numId w:val="57"/>
        </w:numPr>
        <w:spacing w:line="520" w:lineRule="exact"/>
        <w:ind w:firstLine="480" w:firstLineChars="200"/>
        <w:jc w:val="center"/>
        <w:rPr>
          <w:rFonts w:ascii="宋体" w:hAnsi="宋体"/>
          <w:color w:val="auto"/>
          <w:sz w:val="24"/>
          <w:szCs w:val="24"/>
          <w:highlight w:val="none"/>
        </w:rPr>
      </w:pPr>
      <w:r>
        <w:rPr>
          <w:rFonts w:ascii="宋体" w:hAnsi="宋体"/>
          <w:color w:val="auto"/>
          <w:sz w:val="24"/>
          <w:szCs w:val="24"/>
          <w:highlight w:val="none"/>
        </w:rPr>
        <w:t xml:space="preserve"> 考核依据</w:t>
      </w:r>
    </w:p>
    <w:p>
      <w:pPr>
        <w:numPr>
          <w:ilvl w:val="0"/>
          <w:numId w:val="58"/>
        </w:numPr>
        <w:spacing w:line="560" w:lineRule="exact"/>
        <w:ind w:left="0" w:firstLine="480" w:firstLineChars="200"/>
        <w:rPr>
          <w:rFonts w:ascii="宋体" w:hAnsi="宋体"/>
          <w:color w:val="auto"/>
          <w:sz w:val="24"/>
          <w:szCs w:val="24"/>
          <w:highlight w:val="none"/>
        </w:rPr>
      </w:pPr>
      <w:r>
        <w:rPr>
          <w:rFonts w:ascii="宋体" w:hAnsi="宋体"/>
          <w:color w:val="auto"/>
          <w:sz w:val="24"/>
          <w:szCs w:val="24"/>
          <w:highlight w:val="none"/>
        </w:rPr>
        <w:t>考核依据</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参照《锦江区园林绿化管护标准》执行。</w:t>
      </w:r>
    </w:p>
    <w:p>
      <w:pPr>
        <w:autoSpaceDE w:val="0"/>
        <w:autoSpaceDN w:val="0"/>
        <w:adjustRightInd w:val="0"/>
        <w:jc w:val="left"/>
        <w:rPr>
          <w:rFonts w:ascii="宋体" w:hAnsi="宋体"/>
          <w:color w:val="auto"/>
          <w:kern w:val="0"/>
          <w:sz w:val="24"/>
          <w:szCs w:val="24"/>
          <w:highlight w:val="none"/>
        </w:rPr>
      </w:pPr>
    </w:p>
    <w:p>
      <w:pPr>
        <w:numPr>
          <w:ilvl w:val="0"/>
          <w:numId w:val="57"/>
        </w:numPr>
        <w:autoSpaceDE w:val="0"/>
        <w:autoSpaceDN w:val="0"/>
        <w:adjustRightInd w:val="0"/>
        <w:ind w:firstLine="480" w:firstLineChars="200"/>
        <w:jc w:val="center"/>
        <w:rPr>
          <w:rFonts w:ascii="宋体" w:hAnsi="宋体"/>
          <w:color w:val="auto"/>
          <w:sz w:val="24"/>
          <w:szCs w:val="24"/>
          <w:highlight w:val="none"/>
        </w:rPr>
      </w:pPr>
      <w:r>
        <w:rPr>
          <w:rFonts w:ascii="宋体" w:hAnsi="宋体"/>
          <w:color w:val="auto"/>
          <w:sz w:val="24"/>
          <w:szCs w:val="24"/>
          <w:highlight w:val="none"/>
        </w:rPr>
        <w:t xml:space="preserve"> 考核内容</w:t>
      </w:r>
    </w:p>
    <w:p>
      <w:pPr>
        <w:autoSpaceDE w:val="0"/>
        <w:autoSpaceDN w:val="0"/>
        <w:adjustRightInd w:val="0"/>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第四条 考核内容</w:t>
      </w:r>
    </w:p>
    <w:p>
      <w:pPr>
        <w:spacing w:line="560" w:lineRule="exact"/>
        <w:ind w:firstLine="480" w:firstLineChars="200"/>
        <w:jc w:val="left"/>
        <w:rPr>
          <w:rFonts w:ascii="宋体" w:hAnsi="宋体"/>
          <w:bCs/>
          <w:color w:val="auto"/>
          <w:sz w:val="24"/>
          <w:szCs w:val="24"/>
          <w:highlight w:val="none"/>
        </w:rPr>
      </w:pPr>
      <w:r>
        <w:rPr>
          <w:rFonts w:ascii="宋体" w:hAnsi="宋体"/>
          <w:bCs/>
          <w:color w:val="auto"/>
          <w:sz w:val="24"/>
          <w:szCs w:val="24"/>
          <w:highlight w:val="none"/>
        </w:rPr>
        <w:t>区管绿地乔木、灌木、地被的养护（除草、修剪、浇水、施肥、防病虫害等）、复壮、更换、降尘；时令鲜花及花境、立体绿化管护，包括购置、种植、更换及管护等；清扫保洁服务：包括绿地、游步道、绿道、设施设备的清扫保洁，以及园林绿化垃圾的集中处理、收集转运等。设施设备的维修保养：对易损耗材料、灯杆、照明设施、供水及排水设施、电力设施健身设施、小品雕塑、花箱、廊架、坐凳、树池盖板、树木支撑、绿化护栏等设施设备的检修、翻新、更换等（所需耗材质量标准均不能低于原有耗材标准）。</w:t>
      </w:r>
      <w:r>
        <w:rPr>
          <w:rFonts w:hint="eastAsia" w:ascii="宋体" w:hAnsi="宋体"/>
          <w:bCs/>
          <w:color w:val="auto"/>
          <w:sz w:val="24"/>
          <w:szCs w:val="24"/>
          <w:highlight w:val="none"/>
          <w:lang w:eastAsia="zh-CN"/>
        </w:rPr>
        <w:t>绿化作业安全生产管理，绿化垃圾分类运输并送至专业机构处理</w:t>
      </w:r>
      <w:r>
        <w:rPr>
          <w:rFonts w:ascii="宋体" w:hAnsi="宋体"/>
          <w:bCs/>
          <w:color w:val="auto"/>
          <w:sz w:val="24"/>
          <w:szCs w:val="24"/>
          <w:highlight w:val="none"/>
        </w:rPr>
        <w:t>。按作业辖区落实疫情防控和消防工作。</w:t>
      </w:r>
    </w:p>
    <w:p>
      <w:pPr>
        <w:autoSpaceDE w:val="0"/>
        <w:autoSpaceDN w:val="0"/>
        <w:adjustRightInd w:val="0"/>
        <w:jc w:val="left"/>
        <w:rPr>
          <w:rFonts w:ascii="宋体" w:hAnsi="宋体"/>
          <w:color w:val="auto"/>
          <w:kern w:val="0"/>
          <w:sz w:val="24"/>
          <w:szCs w:val="24"/>
          <w:highlight w:val="none"/>
        </w:rPr>
      </w:pPr>
    </w:p>
    <w:p>
      <w:pPr>
        <w:numPr>
          <w:ilvl w:val="0"/>
          <w:numId w:val="57"/>
        </w:numPr>
        <w:spacing w:line="560" w:lineRule="exact"/>
        <w:ind w:firstLine="480" w:firstLineChars="200"/>
        <w:jc w:val="center"/>
        <w:rPr>
          <w:rFonts w:ascii="宋体" w:hAnsi="宋体"/>
          <w:color w:val="auto"/>
          <w:sz w:val="24"/>
          <w:szCs w:val="24"/>
          <w:highlight w:val="none"/>
        </w:rPr>
      </w:pPr>
      <w:r>
        <w:rPr>
          <w:rFonts w:ascii="宋体" w:hAnsi="宋体"/>
          <w:color w:val="auto"/>
          <w:sz w:val="24"/>
          <w:szCs w:val="24"/>
          <w:highlight w:val="none"/>
        </w:rPr>
        <w:t xml:space="preserve"> 考核方式及标准</w:t>
      </w:r>
    </w:p>
    <w:p>
      <w:pPr>
        <w:spacing w:line="560" w:lineRule="exact"/>
        <w:ind w:left="420" w:leftChars="200"/>
        <w:rPr>
          <w:rFonts w:ascii="宋体" w:hAnsi="宋体"/>
          <w:color w:val="auto"/>
          <w:sz w:val="24"/>
          <w:szCs w:val="24"/>
          <w:highlight w:val="none"/>
        </w:rPr>
      </w:pPr>
      <w:r>
        <w:rPr>
          <w:rFonts w:ascii="宋体" w:hAnsi="宋体"/>
          <w:color w:val="auto"/>
          <w:sz w:val="24"/>
          <w:szCs w:val="24"/>
          <w:highlight w:val="none"/>
        </w:rPr>
        <w:t>第五条 考核方式</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本考核办法作为管护协议附件，纳入协议管理，考核结果作为结算依据纳入协议决算。考核分为定期和不定期考核。</w:t>
      </w:r>
    </w:p>
    <w:p>
      <w:pPr>
        <w:numPr>
          <w:ilvl w:val="0"/>
          <w:numId w:val="59"/>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定期考核：由考核主体负责组织每月考核，月考核在每月月末进行，各管护公司派员参加，按照考核内容现场打分，共同确认。定期考核实行百分制，月考核总分100分。</w:t>
      </w:r>
    </w:p>
    <w:tbl>
      <w:tblPr>
        <w:tblStyle w:val="59"/>
        <w:tblW w:w="10073"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260"/>
        <w:gridCol w:w="7385"/>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428" w:type="dxa"/>
            <w:tcBorders>
              <w:bottom w:val="single" w:color="auto" w:sz="4" w:space="0"/>
            </w:tcBorders>
            <w:vAlign w:val="center"/>
          </w:tcPr>
          <w:p>
            <w:pPr>
              <w:spacing w:line="400" w:lineRule="exact"/>
              <w:jc w:val="center"/>
              <w:rPr>
                <w:rFonts w:ascii="宋体" w:hAnsi="宋体"/>
                <w:color w:val="auto"/>
                <w:sz w:val="24"/>
                <w:szCs w:val="24"/>
                <w:highlight w:val="none"/>
              </w:rPr>
            </w:pPr>
            <w:r>
              <w:rPr>
                <w:rFonts w:ascii="宋体" w:hAnsi="宋体"/>
                <w:color w:val="auto"/>
                <w:sz w:val="24"/>
                <w:szCs w:val="24"/>
                <w:highlight w:val="none"/>
              </w:rPr>
              <w:t>项目</w:t>
            </w:r>
          </w:p>
        </w:tc>
        <w:tc>
          <w:tcPr>
            <w:tcW w:w="1260" w:type="dxa"/>
            <w:tcBorders>
              <w:bottom w:val="single" w:color="auto" w:sz="4" w:space="0"/>
            </w:tcBorders>
            <w:vAlign w:val="center"/>
          </w:tcPr>
          <w:p>
            <w:pPr>
              <w:spacing w:line="400" w:lineRule="exact"/>
              <w:jc w:val="center"/>
              <w:rPr>
                <w:rFonts w:ascii="宋体" w:hAnsi="宋体"/>
                <w:color w:val="auto"/>
                <w:sz w:val="24"/>
                <w:szCs w:val="24"/>
                <w:highlight w:val="none"/>
              </w:rPr>
            </w:pPr>
            <w:r>
              <w:rPr>
                <w:rFonts w:ascii="宋体" w:hAnsi="宋体"/>
                <w:color w:val="auto"/>
                <w:sz w:val="24"/>
                <w:szCs w:val="24"/>
                <w:highlight w:val="none"/>
              </w:rPr>
              <w:t>分值</w:t>
            </w:r>
          </w:p>
        </w:tc>
        <w:tc>
          <w:tcPr>
            <w:tcW w:w="7385" w:type="dxa"/>
            <w:tcBorders>
              <w:bottom w:val="single" w:color="auto" w:sz="4" w:space="0"/>
            </w:tcBorders>
            <w:vAlign w:val="center"/>
          </w:tcPr>
          <w:p>
            <w:pPr>
              <w:spacing w:line="360" w:lineRule="exact"/>
              <w:jc w:val="center"/>
              <w:rPr>
                <w:rFonts w:ascii="宋体" w:hAnsi="宋体"/>
                <w:color w:val="auto"/>
                <w:sz w:val="24"/>
                <w:szCs w:val="24"/>
                <w:highlight w:val="none"/>
              </w:rPr>
            </w:pPr>
            <w:r>
              <w:rPr>
                <w:rFonts w:ascii="宋体" w:hAnsi="宋体"/>
                <w:color w:val="auto"/>
                <w:sz w:val="24"/>
                <w:szCs w:val="24"/>
                <w:highlight w:val="none"/>
              </w:rPr>
              <w:t>扣分情况</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428" w:type="dxa"/>
            <w:tcBorders>
              <w:bottom w:val="single" w:color="auto" w:sz="4" w:space="0"/>
            </w:tcBorders>
            <w:vAlign w:val="center"/>
          </w:tcPr>
          <w:p>
            <w:pPr>
              <w:spacing w:line="400" w:lineRule="exact"/>
              <w:jc w:val="center"/>
              <w:rPr>
                <w:rFonts w:ascii="宋体" w:hAnsi="宋体"/>
                <w:color w:val="auto"/>
                <w:sz w:val="24"/>
                <w:szCs w:val="24"/>
                <w:highlight w:val="none"/>
              </w:rPr>
            </w:pPr>
            <w:r>
              <w:rPr>
                <w:rFonts w:ascii="宋体" w:hAnsi="宋体"/>
                <w:color w:val="auto"/>
                <w:sz w:val="24"/>
                <w:szCs w:val="24"/>
                <w:highlight w:val="none"/>
              </w:rPr>
              <w:t>1、绿地养护</w:t>
            </w:r>
          </w:p>
        </w:tc>
        <w:tc>
          <w:tcPr>
            <w:tcW w:w="1260" w:type="dxa"/>
            <w:tcBorders>
              <w:bottom w:val="single" w:color="auto" w:sz="4" w:space="0"/>
            </w:tcBorders>
            <w:vAlign w:val="center"/>
          </w:tcPr>
          <w:p>
            <w:pPr>
              <w:spacing w:line="400" w:lineRule="exact"/>
              <w:ind w:firstLine="360" w:firstLineChars="150"/>
              <w:rPr>
                <w:rFonts w:ascii="宋体" w:hAnsi="宋体"/>
                <w:color w:val="auto"/>
                <w:sz w:val="24"/>
                <w:szCs w:val="24"/>
                <w:highlight w:val="none"/>
              </w:rPr>
            </w:pPr>
            <w:r>
              <w:rPr>
                <w:rFonts w:ascii="宋体" w:hAnsi="宋体"/>
                <w:color w:val="auto"/>
                <w:sz w:val="24"/>
                <w:szCs w:val="24"/>
                <w:highlight w:val="none"/>
              </w:rPr>
              <w:t>60</w:t>
            </w:r>
          </w:p>
        </w:tc>
        <w:tc>
          <w:tcPr>
            <w:tcW w:w="7385" w:type="dxa"/>
            <w:tcBorders>
              <w:bottom w:val="single" w:color="auto" w:sz="4" w:space="0"/>
            </w:tcBorders>
          </w:tcPr>
          <w:p>
            <w:pPr>
              <w:spacing w:line="360" w:lineRule="exact"/>
              <w:rPr>
                <w:rFonts w:ascii="宋体" w:hAnsi="宋体"/>
                <w:color w:val="auto"/>
                <w:sz w:val="24"/>
                <w:szCs w:val="24"/>
                <w:highlight w:val="none"/>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8" w:type="dxa"/>
            <w:tcBorders>
              <w:bottom w:val="single" w:color="auto" w:sz="4" w:space="0"/>
            </w:tcBorders>
            <w:vAlign w:val="center"/>
          </w:tcPr>
          <w:p>
            <w:pPr>
              <w:spacing w:line="400" w:lineRule="exact"/>
              <w:jc w:val="center"/>
              <w:rPr>
                <w:rFonts w:ascii="宋体" w:hAnsi="宋体"/>
                <w:color w:val="auto"/>
                <w:sz w:val="24"/>
                <w:szCs w:val="24"/>
                <w:highlight w:val="none"/>
              </w:rPr>
            </w:pPr>
            <w:r>
              <w:rPr>
                <w:rFonts w:ascii="宋体" w:hAnsi="宋体"/>
                <w:color w:val="auto"/>
                <w:sz w:val="24"/>
                <w:szCs w:val="24"/>
                <w:highlight w:val="none"/>
              </w:rPr>
              <w:t>乔木</w:t>
            </w:r>
          </w:p>
        </w:tc>
        <w:tc>
          <w:tcPr>
            <w:tcW w:w="1260" w:type="dxa"/>
            <w:tcBorders>
              <w:bottom w:val="single" w:color="auto" w:sz="4" w:space="0"/>
            </w:tcBorders>
            <w:vAlign w:val="center"/>
          </w:tcPr>
          <w:p>
            <w:pPr>
              <w:spacing w:line="400" w:lineRule="exact"/>
              <w:jc w:val="center"/>
              <w:rPr>
                <w:rFonts w:ascii="宋体" w:hAnsi="宋体"/>
                <w:color w:val="auto"/>
                <w:sz w:val="24"/>
                <w:szCs w:val="24"/>
                <w:highlight w:val="none"/>
              </w:rPr>
            </w:pPr>
            <w:r>
              <w:rPr>
                <w:rFonts w:ascii="宋体" w:hAnsi="宋体"/>
                <w:color w:val="auto"/>
                <w:sz w:val="24"/>
                <w:szCs w:val="24"/>
                <w:highlight w:val="none"/>
              </w:rPr>
              <w:t>10</w:t>
            </w:r>
          </w:p>
        </w:tc>
        <w:tc>
          <w:tcPr>
            <w:tcW w:w="7385" w:type="dxa"/>
            <w:tcBorders>
              <w:bottom w:val="single" w:color="auto" w:sz="4" w:space="0"/>
            </w:tcBorders>
          </w:tcPr>
          <w:p>
            <w:pPr>
              <w:spacing w:line="360" w:lineRule="exact"/>
              <w:rPr>
                <w:rFonts w:ascii="宋体" w:hAnsi="宋体"/>
                <w:color w:val="auto"/>
                <w:sz w:val="24"/>
                <w:szCs w:val="24"/>
                <w:highlight w:val="none"/>
              </w:rPr>
            </w:pPr>
            <w:r>
              <w:rPr>
                <w:rFonts w:ascii="宋体" w:hAnsi="宋体"/>
                <w:color w:val="auto"/>
                <w:sz w:val="24"/>
                <w:szCs w:val="24"/>
                <w:highlight w:val="none"/>
              </w:rPr>
              <w:t>A．因明显缺水或积水造成树叶萎蔫的，发现一株扣0.1分；</w:t>
            </w:r>
          </w:p>
          <w:p>
            <w:pPr>
              <w:spacing w:line="360" w:lineRule="exact"/>
              <w:rPr>
                <w:rFonts w:ascii="宋体" w:hAnsi="宋体"/>
                <w:color w:val="auto"/>
                <w:sz w:val="24"/>
                <w:szCs w:val="24"/>
                <w:highlight w:val="none"/>
              </w:rPr>
            </w:pPr>
            <w:r>
              <w:rPr>
                <w:rFonts w:ascii="宋体" w:hAnsi="宋体"/>
                <w:color w:val="auto"/>
                <w:sz w:val="24"/>
                <w:szCs w:val="24"/>
                <w:highlight w:val="none"/>
              </w:rPr>
              <w:t>B．有明显的荫枝、下垂枝、下缘线下的萌蘖枝及枯枝败叶、死桩而未修剪的，发现一株扣0.1分；</w:t>
            </w:r>
          </w:p>
          <w:p>
            <w:pPr>
              <w:spacing w:line="360" w:lineRule="exact"/>
              <w:rPr>
                <w:rFonts w:ascii="宋体" w:hAnsi="宋体"/>
                <w:color w:val="auto"/>
                <w:sz w:val="24"/>
                <w:szCs w:val="24"/>
                <w:highlight w:val="none"/>
              </w:rPr>
            </w:pPr>
            <w:r>
              <w:rPr>
                <w:rFonts w:ascii="宋体" w:hAnsi="宋体"/>
                <w:color w:val="auto"/>
                <w:sz w:val="24"/>
                <w:szCs w:val="24"/>
                <w:highlight w:val="none"/>
              </w:rPr>
              <w:t>C．病虫害发病率超过相应管护等级标准，发现一株扣0.2分；</w:t>
            </w:r>
          </w:p>
          <w:p>
            <w:pPr>
              <w:spacing w:line="360" w:lineRule="exact"/>
              <w:rPr>
                <w:rFonts w:ascii="宋体" w:hAnsi="宋体"/>
                <w:color w:val="auto"/>
                <w:sz w:val="24"/>
                <w:szCs w:val="24"/>
                <w:highlight w:val="none"/>
              </w:rPr>
            </w:pPr>
            <w:r>
              <w:rPr>
                <w:rFonts w:ascii="宋体" w:hAnsi="宋体"/>
                <w:color w:val="auto"/>
                <w:sz w:val="24"/>
                <w:szCs w:val="24"/>
                <w:highlight w:val="none"/>
              </w:rPr>
              <w:t>D．树木倾斜度超过10%时不及时扶正的，发现一株扣0.1分；</w:t>
            </w:r>
          </w:p>
          <w:p>
            <w:pPr>
              <w:spacing w:line="360" w:lineRule="exact"/>
              <w:rPr>
                <w:rFonts w:ascii="宋体" w:hAnsi="宋体"/>
                <w:color w:val="auto"/>
                <w:sz w:val="24"/>
                <w:szCs w:val="24"/>
                <w:highlight w:val="none"/>
              </w:rPr>
            </w:pPr>
            <w:r>
              <w:rPr>
                <w:rFonts w:ascii="宋体" w:hAnsi="宋体"/>
                <w:color w:val="auto"/>
                <w:sz w:val="24"/>
                <w:szCs w:val="24"/>
                <w:highlight w:val="none"/>
              </w:rPr>
              <w:t>E．树木修剪未按相关标准执行的，每处每次扣0.2分。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8" w:type="dxa"/>
            <w:tcBorders>
              <w:bottom w:val="single" w:color="auto" w:sz="4" w:space="0"/>
            </w:tcBorders>
            <w:vAlign w:val="center"/>
          </w:tcPr>
          <w:p>
            <w:pPr>
              <w:spacing w:line="400" w:lineRule="exact"/>
              <w:jc w:val="center"/>
              <w:rPr>
                <w:rFonts w:ascii="宋体" w:hAnsi="宋体"/>
                <w:color w:val="auto"/>
                <w:sz w:val="24"/>
                <w:szCs w:val="24"/>
                <w:highlight w:val="none"/>
              </w:rPr>
            </w:pPr>
            <w:r>
              <w:rPr>
                <w:rFonts w:ascii="宋体" w:hAnsi="宋体"/>
                <w:color w:val="auto"/>
                <w:sz w:val="24"/>
                <w:szCs w:val="24"/>
                <w:highlight w:val="none"/>
              </w:rPr>
              <w:t>灌木</w:t>
            </w:r>
          </w:p>
        </w:tc>
        <w:tc>
          <w:tcPr>
            <w:tcW w:w="1260" w:type="dxa"/>
            <w:tcBorders>
              <w:bottom w:val="single" w:color="auto" w:sz="4" w:space="0"/>
            </w:tcBorders>
            <w:vAlign w:val="center"/>
          </w:tcPr>
          <w:p>
            <w:pPr>
              <w:spacing w:line="400" w:lineRule="exact"/>
              <w:jc w:val="center"/>
              <w:rPr>
                <w:rFonts w:ascii="宋体" w:hAnsi="宋体"/>
                <w:color w:val="auto"/>
                <w:sz w:val="24"/>
                <w:szCs w:val="24"/>
                <w:highlight w:val="none"/>
              </w:rPr>
            </w:pPr>
            <w:r>
              <w:rPr>
                <w:rFonts w:ascii="宋体" w:hAnsi="宋体"/>
                <w:color w:val="auto"/>
                <w:sz w:val="24"/>
                <w:szCs w:val="24"/>
                <w:highlight w:val="none"/>
              </w:rPr>
              <w:t>10</w:t>
            </w:r>
          </w:p>
        </w:tc>
        <w:tc>
          <w:tcPr>
            <w:tcW w:w="7385" w:type="dxa"/>
            <w:tcBorders>
              <w:bottom w:val="single" w:color="auto" w:sz="4" w:space="0"/>
            </w:tcBorders>
          </w:tcPr>
          <w:p>
            <w:pPr>
              <w:spacing w:line="360" w:lineRule="exact"/>
              <w:rPr>
                <w:rFonts w:ascii="宋体" w:hAnsi="宋体"/>
                <w:color w:val="auto"/>
                <w:sz w:val="24"/>
                <w:szCs w:val="24"/>
                <w:highlight w:val="none"/>
              </w:rPr>
            </w:pPr>
            <w:r>
              <w:rPr>
                <w:rFonts w:ascii="宋体" w:hAnsi="宋体"/>
                <w:color w:val="auto"/>
                <w:sz w:val="24"/>
                <w:szCs w:val="24"/>
                <w:highlight w:val="none"/>
              </w:rPr>
              <w:t>A．因明显缺水或积水造成树叶萎蔫的，每处每次一次扣0.1分；</w:t>
            </w:r>
          </w:p>
          <w:p>
            <w:pPr>
              <w:spacing w:line="360" w:lineRule="exact"/>
              <w:rPr>
                <w:rFonts w:ascii="宋体" w:hAnsi="宋体"/>
                <w:color w:val="auto"/>
                <w:sz w:val="24"/>
                <w:szCs w:val="24"/>
                <w:highlight w:val="none"/>
              </w:rPr>
            </w:pPr>
            <w:r>
              <w:rPr>
                <w:rFonts w:ascii="宋体" w:hAnsi="宋体"/>
                <w:color w:val="auto"/>
                <w:sz w:val="24"/>
                <w:szCs w:val="24"/>
                <w:highlight w:val="none"/>
              </w:rPr>
              <w:t>B．对于整形灌木或绿篱的形状轮廓不清晰，表面不光滑，影响整体景观效果的, 每处每次扣0.3分；</w:t>
            </w:r>
          </w:p>
          <w:p>
            <w:pPr>
              <w:spacing w:line="360" w:lineRule="exact"/>
              <w:rPr>
                <w:rFonts w:ascii="宋体" w:hAnsi="宋体"/>
                <w:color w:val="auto"/>
                <w:sz w:val="24"/>
                <w:szCs w:val="24"/>
                <w:highlight w:val="none"/>
              </w:rPr>
            </w:pPr>
            <w:r>
              <w:rPr>
                <w:rFonts w:ascii="宋体" w:hAnsi="宋体"/>
                <w:color w:val="auto"/>
                <w:sz w:val="24"/>
                <w:szCs w:val="24"/>
                <w:highlight w:val="none"/>
              </w:rPr>
              <w:t>C．病虫害发病率超过相应管护等级标准，每处每次扣0.2分。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7" w:hRule="atLeast"/>
          <w:jc w:val="center"/>
        </w:trPr>
        <w:tc>
          <w:tcPr>
            <w:tcW w:w="1428"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花卉</w:t>
            </w:r>
          </w:p>
        </w:tc>
        <w:tc>
          <w:tcPr>
            <w:tcW w:w="1260"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10</w:t>
            </w:r>
          </w:p>
        </w:tc>
        <w:tc>
          <w:tcPr>
            <w:tcW w:w="7385" w:type="dxa"/>
            <w:tcBorders>
              <w:bottom w:val="single" w:color="auto" w:sz="4" w:space="0"/>
            </w:tcBorders>
          </w:tcPr>
          <w:p>
            <w:pPr>
              <w:spacing w:line="360" w:lineRule="exact"/>
              <w:rPr>
                <w:rFonts w:ascii="宋体" w:hAnsi="宋体"/>
                <w:color w:val="auto"/>
                <w:sz w:val="24"/>
                <w:szCs w:val="24"/>
                <w:highlight w:val="none"/>
              </w:rPr>
            </w:pPr>
            <w:r>
              <w:rPr>
                <w:rFonts w:ascii="宋体" w:hAnsi="宋体"/>
                <w:color w:val="auto"/>
                <w:sz w:val="24"/>
                <w:szCs w:val="24"/>
                <w:highlight w:val="none"/>
              </w:rPr>
              <w:t>A. 未及时更换凋谢、枯萎及死亡的花卉,每处每次扣0.5分；</w:t>
            </w:r>
          </w:p>
          <w:p>
            <w:pPr>
              <w:spacing w:line="360" w:lineRule="exact"/>
              <w:rPr>
                <w:rFonts w:ascii="宋体" w:hAnsi="宋体"/>
                <w:color w:val="auto"/>
                <w:sz w:val="24"/>
                <w:szCs w:val="24"/>
                <w:highlight w:val="none"/>
              </w:rPr>
            </w:pPr>
            <w:r>
              <w:rPr>
                <w:rFonts w:ascii="宋体" w:hAnsi="宋体"/>
                <w:color w:val="auto"/>
                <w:sz w:val="24"/>
                <w:szCs w:val="24"/>
                <w:highlight w:val="none"/>
              </w:rPr>
              <w:t>B．鲜花盛开率70%以下的，一次扣0.5分, 鲜花盛开率50%以下的，每处每次扣1分。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1428"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草坪</w:t>
            </w:r>
          </w:p>
        </w:tc>
        <w:tc>
          <w:tcPr>
            <w:tcW w:w="1260"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10</w:t>
            </w:r>
          </w:p>
        </w:tc>
        <w:tc>
          <w:tcPr>
            <w:tcW w:w="7385" w:type="dxa"/>
            <w:tcBorders>
              <w:bottom w:val="single" w:color="auto" w:sz="4" w:space="0"/>
            </w:tcBorders>
          </w:tcPr>
          <w:p>
            <w:pPr>
              <w:spacing w:line="360" w:lineRule="exact"/>
              <w:rPr>
                <w:rFonts w:ascii="宋体" w:hAnsi="宋体"/>
                <w:color w:val="auto"/>
                <w:sz w:val="24"/>
                <w:szCs w:val="24"/>
                <w:highlight w:val="none"/>
              </w:rPr>
            </w:pPr>
            <w:r>
              <w:rPr>
                <w:rFonts w:ascii="宋体" w:hAnsi="宋体"/>
                <w:color w:val="auto"/>
                <w:sz w:val="24"/>
                <w:szCs w:val="24"/>
                <w:highlight w:val="none"/>
              </w:rPr>
              <w:t>A．混播草坪草高超过8厘米，每处每次扣0.5分；</w:t>
            </w:r>
          </w:p>
          <w:p>
            <w:pPr>
              <w:spacing w:line="360" w:lineRule="exact"/>
              <w:rPr>
                <w:rFonts w:ascii="宋体" w:hAnsi="宋体"/>
                <w:color w:val="auto"/>
                <w:sz w:val="24"/>
                <w:szCs w:val="24"/>
                <w:highlight w:val="none"/>
              </w:rPr>
            </w:pPr>
            <w:r>
              <w:rPr>
                <w:rFonts w:ascii="宋体" w:hAnsi="宋体"/>
                <w:color w:val="auto"/>
                <w:sz w:val="24"/>
                <w:szCs w:val="24"/>
                <w:highlight w:val="none"/>
              </w:rPr>
              <w:t>B．病虫害未及时控制，造成草黄、草死的面积超过2%的，每处每次扣0.5分；</w:t>
            </w:r>
          </w:p>
          <w:p>
            <w:pPr>
              <w:spacing w:line="360" w:lineRule="exact"/>
              <w:rPr>
                <w:rFonts w:ascii="宋体" w:hAnsi="宋体"/>
                <w:color w:val="auto"/>
                <w:sz w:val="24"/>
                <w:szCs w:val="24"/>
                <w:highlight w:val="none"/>
              </w:rPr>
            </w:pPr>
            <w:r>
              <w:rPr>
                <w:rFonts w:ascii="宋体" w:hAnsi="宋体"/>
                <w:color w:val="auto"/>
                <w:sz w:val="24"/>
                <w:szCs w:val="24"/>
                <w:highlight w:val="none"/>
              </w:rPr>
              <w:t>C．草坪秃斑超过5%的，每处每次扣0.5分；</w:t>
            </w:r>
          </w:p>
          <w:p>
            <w:pPr>
              <w:spacing w:line="360" w:lineRule="exact"/>
              <w:rPr>
                <w:rFonts w:ascii="宋体" w:hAnsi="宋体"/>
                <w:color w:val="auto"/>
                <w:sz w:val="24"/>
                <w:szCs w:val="24"/>
                <w:highlight w:val="none"/>
              </w:rPr>
            </w:pPr>
            <w:r>
              <w:rPr>
                <w:rFonts w:ascii="宋体" w:hAnsi="宋体"/>
                <w:color w:val="auto"/>
                <w:sz w:val="24"/>
                <w:szCs w:val="24"/>
                <w:highlight w:val="none"/>
              </w:rPr>
              <w:t>D．杂草超过5%的，每处每次扣0.3分。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428" w:type="dxa"/>
            <w:tcBorders>
              <w:bottom w:val="single" w:color="auto" w:sz="4" w:space="0"/>
            </w:tcBorders>
            <w:shd w:val="clear" w:color="auto" w:fill="auto"/>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设施设备</w:t>
            </w:r>
          </w:p>
        </w:tc>
        <w:tc>
          <w:tcPr>
            <w:tcW w:w="1260" w:type="dxa"/>
            <w:tcBorders>
              <w:bottom w:val="single" w:color="auto" w:sz="4" w:space="0"/>
            </w:tcBorders>
            <w:shd w:val="clear" w:color="auto" w:fill="auto"/>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10</w:t>
            </w:r>
          </w:p>
        </w:tc>
        <w:tc>
          <w:tcPr>
            <w:tcW w:w="7385" w:type="dxa"/>
            <w:tcBorders>
              <w:bottom w:val="single" w:color="auto" w:sz="4" w:space="0"/>
            </w:tcBorders>
            <w:shd w:val="clear" w:color="auto" w:fill="auto"/>
          </w:tcPr>
          <w:p>
            <w:pPr>
              <w:numPr>
                <w:ilvl w:val="0"/>
                <w:numId w:val="60"/>
              </w:numPr>
              <w:spacing w:line="360" w:lineRule="exact"/>
              <w:rPr>
                <w:rFonts w:ascii="宋体" w:hAnsi="宋体"/>
                <w:color w:val="auto"/>
                <w:sz w:val="24"/>
                <w:szCs w:val="24"/>
                <w:highlight w:val="none"/>
              </w:rPr>
            </w:pPr>
            <w:r>
              <w:rPr>
                <w:rFonts w:ascii="宋体" w:hAnsi="宋体"/>
                <w:color w:val="auto"/>
                <w:sz w:val="24"/>
                <w:szCs w:val="24"/>
                <w:highlight w:val="none"/>
              </w:rPr>
              <w:t>设施缺损未及时修补、更换的扣1分；特殊情况未及时下单定制修复的扣1分；</w:t>
            </w:r>
          </w:p>
          <w:p>
            <w:pPr>
              <w:numPr>
                <w:ilvl w:val="0"/>
                <w:numId w:val="60"/>
              </w:numPr>
              <w:spacing w:line="360" w:lineRule="exact"/>
              <w:rPr>
                <w:rFonts w:ascii="宋体" w:hAnsi="宋体"/>
                <w:color w:val="auto"/>
                <w:sz w:val="24"/>
                <w:szCs w:val="24"/>
                <w:highlight w:val="none"/>
              </w:rPr>
            </w:pPr>
            <w:r>
              <w:rPr>
                <w:rFonts w:ascii="宋体" w:hAnsi="宋体"/>
                <w:color w:val="auto"/>
                <w:sz w:val="24"/>
                <w:szCs w:val="24"/>
                <w:highlight w:val="none"/>
              </w:rPr>
              <w:t>栈桥、景亭、花箱等铁制、木制（包括仿木制）设施老旧，未及时刷漆翻新的扣1分。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428" w:type="dxa"/>
            <w:tcBorders>
              <w:bottom w:val="single" w:color="auto" w:sz="4" w:space="0"/>
            </w:tcBorders>
            <w:shd w:val="clear" w:color="auto" w:fill="auto"/>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清扫保洁</w:t>
            </w:r>
          </w:p>
        </w:tc>
        <w:tc>
          <w:tcPr>
            <w:tcW w:w="1260" w:type="dxa"/>
            <w:tcBorders>
              <w:bottom w:val="single" w:color="auto" w:sz="4" w:space="0"/>
            </w:tcBorders>
            <w:shd w:val="clear" w:color="auto" w:fill="auto"/>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5</w:t>
            </w:r>
          </w:p>
        </w:tc>
        <w:tc>
          <w:tcPr>
            <w:tcW w:w="7385" w:type="dxa"/>
            <w:tcBorders>
              <w:bottom w:val="single" w:color="auto" w:sz="4" w:space="0"/>
            </w:tcBorders>
            <w:shd w:val="clear" w:color="auto" w:fill="auto"/>
          </w:tcPr>
          <w:p>
            <w:pPr>
              <w:spacing w:line="360" w:lineRule="exact"/>
              <w:rPr>
                <w:rFonts w:ascii="宋体" w:hAnsi="宋体"/>
                <w:color w:val="auto"/>
                <w:sz w:val="24"/>
                <w:szCs w:val="24"/>
                <w:highlight w:val="none"/>
              </w:rPr>
            </w:pPr>
            <w:r>
              <w:rPr>
                <w:rFonts w:ascii="宋体" w:hAnsi="宋体"/>
                <w:color w:val="auto"/>
                <w:sz w:val="24"/>
                <w:szCs w:val="24"/>
                <w:highlight w:val="none"/>
              </w:rPr>
              <w:t>A．工作时间内无人及时清扫绿化垃圾，每处每次扣0.1分；</w:t>
            </w:r>
          </w:p>
          <w:p>
            <w:pPr>
              <w:spacing w:line="360" w:lineRule="exact"/>
              <w:rPr>
                <w:rFonts w:ascii="宋体" w:hAnsi="宋体"/>
                <w:color w:val="auto"/>
                <w:sz w:val="24"/>
                <w:szCs w:val="24"/>
                <w:highlight w:val="none"/>
              </w:rPr>
            </w:pPr>
            <w:r>
              <w:rPr>
                <w:rFonts w:ascii="宋体" w:hAnsi="宋体"/>
                <w:color w:val="auto"/>
                <w:sz w:val="24"/>
                <w:szCs w:val="24"/>
                <w:highlight w:val="none"/>
              </w:rPr>
              <w:t>B．绿化垃圾乱丢、乱放在车道上，每处每次扣0.2分；</w:t>
            </w:r>
          </w:p>
          <w:p>
            <w:pPr>
              <w:spacing w:line="360" w:lineRule="exact"/>
              <w:rPr>
                <w:rFonts w:ascii="宋体" w:hAnsi="宋体"/>
                <w:color w:val="auto"/>
                <w:sz w:val="24"/>
                <w:szCs w:val="24"/>
                <w:highlight w:val="none"/>
              </w:rPr>
            </w:pPr>
            <w:r>
              <w:rPr>
                <w:rFonts w:ascii="宋体" w:hAnsi="宋体"/>
                <w:color w:val="auto"/>
                <w:sz w:val="24"/>
                <w:szCs w:val="24"/>
                <w:highlight w:val="none"/>
              </w:rPr>
              <w:t>C．清理出来的垃圾、废弃物当天未清运完，按堆或袋计，每处每次扣0.2分；</w:t>
            </w:r>
          </w:p>
          <w:p>
            <w:pPr>
              <w:spacing w:line="360" w:lineRule="exact"/>
              <w:rPr>
                <w:rFonts w:ascii="宋体" w:hAnsi="宋体"/>
                <w:color w:val="auto"/>
                <w:sz w:val="24"/>
                <w:szCs w:val="24"/>
                <w:highlight w:val="none"/>
              </w:rPr>
            </w:pPr>
            <w:r>
              <w:rPr>
                <w:rFonts w:ascii="宋体" w:hAnsi="宋体"/>
                <w:color w:val="auto"/>
                <w:sz w:val="24"/>
                <w:szCs w:val="24"/>
                <w:highlight w:val="none"/>
              </w:rPr>
              <w:t>D．树枝上悬挂杂物，如：塑料带、纸屑等，每株每次扣0.1分；</w:t>
            </w:r>
          </w:p>
          <w:p>
            <w:pPr>
              <w:spacing w:line="360" w:lineRule="exact"/>
              <w:rPr>
                <w:rFonts w:ascii="宋体" w:hAnsi="宋体"/>
                <w:color w:val="auto"/>
                <w:sz w:val="24"/>
                <w:szCs w:val="24"/>
                <w:highlight w:val="none"/>
              </w:rPr>
            </w:pPr>
            <w:r>
              <w:rPr>
                <w:rFonts w:ascii="宋体" w:hAnsi="宋体"/>
                <w:color w:val="auto"/>
                <w:sz w:val="24"/>
                <w:szCs w:val="24"/>
                <w:highlight w:val="none"/>
              </w:rPr>
              <w:t>E．管养范围内发现烟头、纸屑、塑料袋、粪便等杂物，发现一处扣0.1分。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428"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对死亡、损坏植物的补植补栽</w:t>
            </w:r>
          </w:p>
        </w:tc>
        <w:tc>
          <w:tcPr>
            <w:tcW w:w="1260"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5</w:t>
            </w:r>
          </w:p>
        </w:tc>
        <w:tc>
          <w:tcPr>
            <w:tcW w:w="7385" w:type="dxa"/>
            <w:tcBorders>
              <w:bottom w:val="single" w:color="auto" w:sz="4" w:space="0"/>
            </w:tcBorders>
          </w:tcPr>
          <w:p>
            <w:pPr>
              <w:spacing w:line="360" w:lineRule="exact"/>
              <w:rPr>
                <w:rFonts w:ascii="宋体" w:hAnsi="宋体"/>
                <w:color w:val="auto"/>
                <w:sz w:val="24"/>
                <w:szCs w:val="24"/>
                <w:highlight w:val="none"/>
              </w:rPr>
            </w:pPr>
            <w:r>
              <w:rPr>
                <w:rFonts w:ascii="宋体" w:hAnsi="宋体"/>
                <w:color w:val="auto"/>
                <w:sz w:val="24"/>
                <w:szCs w:val="24"/>
                <w:highlight w:val="none"/>
              </w:rPr>
              <w:t>A. 及时清除死树，要求在1周之内补植回原来的树种并力求规格、品种与原有的树木接近（树高一致，胸径误差小于20%）符合相应的管护等级，推迟1天扣1分；</w:t>
            </w:r>
          </w:p>
          <w:p>
            <w:pPr>
              <w:spacing w:line="360" w:lineRule="exact"/>
              <w:rPr>
                <w:rFonts w:ascii="宋体" w:hAnsi="宋体"/>
                <w:color w:val="auto"/>
                <w:sz w:val="24"/>
                <w:szCs w:val="24"/>
                <w:highlight w:val="none"/>
              </w:rPr>
            </w:pPr>
            <w:r>
              <w:rPr>
                <w:rFonts w:ascii="宋体" w:hAnsi="宋体"/>
                <w:color w:val="auto"/>
                <w:sz w:val="24"/>
                <w:szCs w:val="24"/>
                <w:highlight w:val="none"/>
              </w:rPr>
              <w:t>B. 甲方主管部门通知补栽的地方，超过3个工作日都未进行补栽，推迟1天扣1分；</w:t>
            </w:r>
          </w:p>
          <w:p>
            <w:pPr>
              <w:spacing w:line="360" w:lineRule="exact"/>
              <w:rPr>
                <w:rFonts w:ascii="宋体" w:hAnsi="宋体"/>
                <w:color w:val="auto"/>
                <w:sz w:val="24"/>
                <w:szCs w:val="24"/>
                <w:highlight w:val="none"/>
              </w:rPr>
            </w:pPr>
            <w:r>
              <w:rPr>
                <w:rFonts w:ascii="宋体" w:hAnsi="宋体"/>
                <w:color w:val="auto"/>
                <w:sz w:val="24"/>
                <w:szCs w:val="24"/>
                <w:highlight w:val="none"/>
              </w:rPr>
              <w:t>C. 如有黄土裸露、死苗等情况时，须在1周之内完成补植，并力求规格、品种与原有灌木接近，并符合合同中所约定的管护等级标准，推迟1天扣1分；</w:t>
            </w:r>
          </w:p>
          <w:p>
            <w:pPr>
              <w:spacing w:line="360" w:lineRule="exact"/>
              <w:rPr>
                <w:rFonts w:ascii="宋体" w:hAnsi="宋体"/>
                <w:color w:val="auto"/>
                <w:sz w:val="24"/>
                <w:szCs w:val="24"/>
                <w:highlight w:val="none"/>
              </w:rPr>
            </w:pPr>
            <w:r>
              <w:rPr>
                <w:rFonts w:ascii="宋体" w:hAnsi="宋体"/>
                <w:color w:val="auto"/>
                <w:sz w:val="24"/>
                <w:szCs w:val="24"/>
                <w:highlight w:val="none"/>
              </w:rPr>
              <w:t>C. 发现草坪秃斑,未及时补栽，草坪覆盖率低于合同中所约定的管护等级标准的，每处每次扣0.5分。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428"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2.人员配备</w:t>
            </w:r>
          </w:p>
        </w:tc>
        <w:tc>
          <w:tcPr>
            <w:tcW w:w="1260"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5</w:t>
            </w:r>
          </w:p>
        </w:tc>
        <w:tc>
          <w:tcPr>
            <w:tcW w:w="7385" w:type="dxa"/>
            <w:tcBorders>
              <w:bottom w:val="single" w:color="auto" w:sz="4" w:space="0"/>
            </w:tcBorders>
          </w:tcPr>
          <w:p>
            <w:pPr>
              <w:spacing w:line="360" w:lineRule="exact"/>
              <w:rPr>
                <w:rFonts w:ascii="宋体" w:hAnsi="宋体"/>
                <w:color w:val="auto"/>
                <w:sz w:val="24"/>
                <w:szCs w:val="24"/>
                <w:highlight w:val="none"/>
              </w:rPr>
            </w:pPr>
            <w:r>
              <w:rPr>
                <w:rFonts w:ascii="宋体" w:hAnsi="宋体"/>
                <w:color w:val="auto"/>
                <w:sz w:val="24"/>
                <w:szCs w:val="24"/>
                <w:highlight w:val="none"/>
              </w:rPr>
              <w:t>A．养护人员实际配备数量与上报养护人员名单不符，少一人扣1分；</w:t>
            </w:r>
          </w:p>
          <w:p>
            <w:pPr>
              <w:spacing w:line="360" w:lineRule="exact"/>
              <w:rPr>
                <w:rFonts w:ascii="宋体" w:hAnsi="宋体"/>
                <w:color w:val="auto"/>
                <w:sz w:val="24"/>
                <w:szCs w:val="24"/>
                <w:highlight w:val="none"/>
              </w:rPr>
            </w:pPr>
            <w:r>
              <w:rPr>
                <w:rFonts w:ascii="宋体" w:hAnsi="宋体"/>
                <w:color w:val="auto"/>
                <w:sz w:val="24"/>
                <w:szCs w:val="24"/>
                <w:highlight w:val="none"/>
              </w:rPr>
              <w:t>B．管养人员管辖面积不符合合同中所约定的相应管护等级标准的，每次扣2分。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428"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3.扬尘治理</w:t>
            </w:r>
          </w:p>
        </w:tc>
        <w:tc>
          <w:tcPr>
            <w:tcW w:w="1260" w:type="dxa"/>
            <w:tcBorders>
              <w:bottom w:val="single" w:color="auto" w:sz="4" w:space="0"/>
            </w:tcBorders>
            <w:vAlign w:val="center"/>
          </w:tcPr>
          <w:p>
            <w:pPr>
              <w:spacing w:line="320" w:lineRule="exact"/>
              <w:jc w:val="center"/>
              <w:rPr>
                <w:rFonts w:ascii="宋体" w:hAnsi="宋体"/>
                <w:color w:val="auto"/>
                <w:sz w:val="24"/>
                <w:szCs w:val="24"/>
                <w:highlight w:val="none"/>
              </w:rPr>
            </w:pPr>
            <w:r>
              <w:rPr>
                <w:rFonts w:ascii="宋体" w:hAnsi="宋体"/>
                <w:color w:val="auto"/>
                <w:sz w:val="24"/>
                <w:szCs w:val="24"/>
                <w:highlight w:val="none"/>
              </w:rPr>
              <w:t>5</w:t>
            </w:r>
          </w:p>
        </w:tc>
        <w:tc>
          <w:tcPr>
            <w:tcW w:w="7385" w:type="dxa"/>
            <w:tcBorders>
              <w:bottom w:val="single" w:color="auto" w:sz="4" w:space="0"/>
            </w:tcBorders>
          </w:tcPr>
          <w:p>
            <w:pPr>
              <w:spacing w:line="360" w:lineRule="exact"/>
              <w:rPr>
                <w:rFonts w:ascii="宋体" w:hAnsi="宋体"/>
                <w:color w:val="auto"/>
                <w:sz w:val="24"/>
                <w:szCs w:val="24"/>
                <w:highlight w:val="none"/>
              </w:rPr>
            </w:pPr>
            <w:r>
              <w:rPr>
                <w:rFonts w:ascii="宋体" w:hAnsi="宋体"/>
                <w:color w:val="auto"/>
                <w:sz w:val="24"/>
                <w:szCs w:val="24"/>
                <w:highlight w:val="none"/>
              </w:rPr>
              <w:t>A. 未按相应管护等级标准冲洗树木，每处每次扣1分；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atLeast"/>
          <w:jc w:val="center"/>
        </w:trPr>
        <w:tc>
          <w:tcPr>
            <w:tcW w:w="1428" w:type="dxa"/>
            <w:tcBorders>
              <w:bottom w:val="single" w:color="auto" w:sz="4" w:space="0"/>
            </w:tcBorders>
            <w:vAlign w:val="center"/>
          </w:tcPr>
          <w:p>
            <w:pPr>
              <w:spacing w:line="360" w:lineRule="exact"/>
              <w:rPr>
                <w:rFonts w:ascii="宋体" w:hAnsi="宋体"/>
                <w:color w:val="auto"/>
                <w:sz w:val="24"/>
                <w:szCs w:val="24"/>
                <w:highlight w:val="none"/>
              </w:rPr>
            </w:pPr>
            <w:r>
              <w:rPr>
                <w:rFonts w:ascii="宋体" w:hAnsi="宋体"/>
                <w:color w:val="auto"/>
                <w:sz w:val="24"/>
                <w:szCs w:val="24"/>
                <w:highlight w:val="none"/>
              </w:rPr>
              <w:t>4.临时工作及应急工作要求</w:t>
            </w:r>
          </w:p>
        </w:tc>
        <w:tc>
          <w:tcPr>
            <w:tcW w:w="1260" w:type="dxa"/>
            <w:tcBorders>
              <w:bottom w:val="single" w:color="auto" w:sz="4" w:space="0"/>
            </w:tcBorders>
            <w:vAlign w:val="center"/>
          </w:tcPr>
          <w:p>
            <w:pPr>
              <w:spacing w:line="360" w:lineRule="exact"/>
              <w:ind w:firstLine="480" w:firstLineChars="200"/>
              <w:rPr>
                <w:rFonts w:ascii="宋体" w:hAnsi="宋体"/>
                <w:color w:val="auto"/>
                <w:sz w:val="24"/>
                <w:szCs w:val="24"/>
                <w:highlight w:val="none"/>
              </w:rPr>
            </w:pPr>
            <w:r>
              <w:rPr>
                <w:rFonts w:ascii="宋体" w:hAnsi="宋体"/>
                <w:color w:val="auto"/>
                <w:sz w:val="24"/>
                <w:szCs w:val="24"/>
                <w:highlight w:val="none"/>
              </w:rPr>
              <w:t>30</w:t>
            </w:r>
          </w:p>
        </w:tc>
        <w:tc>
          <w:tcPr>
            <w:tcW w:w="7385" w:type="dxa"/>
            <w:tcBorders>
              <w:bottom w:val="single" w:color="auto" w:sz="4" w:space="0"/>
            </w:tcBorders>
            <w:vAlign w:val="center"/>
          </w:tcPr>
          <w:p>
            <w:pPr>
              <w:spacing w:line="360" w:lineRule="exact"/>
              <w:rPr>
                <w:rFonts w:ascii="宋体" w:hAnsi="宋体"/>
                <w:color w:val="auto"/>
                <w:sz w:val="24"/>
                <w:szCs w:val="24"/>
                <w:highlight w:val="none"/>
              </w:rPr>
            </w:pPr>
            <w:r>
              <w:rPr>
                <w:rFonts w:ascii="宋体" w:hAnsi="宋体"/>
                <w:color w:val="auto"/>
                <w:sz w:val="24"/>
                <w:szCs w:val="24"/>
                <w:highlight w:val="none"/>
              </w:rPr>
              <w:t>A．不按要求完成管理部门交办的各项临时工作任务，一次扣1分。</w:t>
            </w:r>
          </w:p>
          <w:p>
            <w:pPr>
              <w:spacing w:line="360" w:lineRule="exact"/>
              <w:rPr>
                <w:rFonts w:ascii="宋体" w:hAnsi="宋体"/>
                <w:color w:val="auto"/>
                <w:sz w:val="24"/>
                <w:szCs w:val="24"/>
                <w:highlight w:val="none"/>
              </w:rPr>
            </w:pPr>
            <w:r>
              <w:rPr>
                <w:rFonts w:ascii="宋体" w:hAnsi="宋体"/>
                <w:color w:val="auto"/>
                <w:sz w:val="24"/>
                <w:szCs w:val="24"/>
                <w:highlight w:val="none"/>
              </w:rPr>
              <w:t>B．对于政协提案、人民代表建议、人民网来信、来访、来电等，未及时调查、处理、督察、回复的，超过办结时间的一件扣1分；</w:t>
            </w:r>
          </w:p>
          <w:p>
            <w:pPr>
              <w:spacing w:line="360" w:lineRule="exact"/>
              <w:rPr>
                <w:rFonts w:ascii="宋体" w:hAnsi="宋体"/>
                <w:color w:val="auto"/>
                <w:sz w:val="24"/>
                <w:szCs w:val="24"/>
                <w:highlight w:val="none"/>
              </w:rPr>
            </w:pPr>
            <w:r>
              <w:rPr>
                <w:rFonts w:ascii="宋体" w:hAnsi="宋体"/>
                <w:color w:val="auto"/>
                <w:sz w:val="24"/>
                <w:szCs w:val="24"/>
                <w:highlight w:val="none"/>
              </w:rPr>
              <w:t>C．凡有登报、电视台、电台播放涉及所管区域园林绿化管护存在问题，按下述情况扣当月考核得分：a、属全部责任的事件扣5分；b、属主要责任的事件扣2分；c、属次要责任的事件扣1分；d．对存在问题的处理不及时，耽误一小时扣1分，以此类推，扣完为止；</w:t>
            </w:r>
          </w:p>
          <w:p>
            <w:pPr>
              <w:spacing w:line="360" w:lineRule="exact"/>
              <w:rPr>
                <w:rFonts w:ascii="宋体" w:hAnsi="宋体"/>
                <w:color w:val="auto"/>
                <w:sz w:val="24"/>
                <w:szCs w:val="24"/>
                <w:highlight w:val="none"/>
              </w:rPr>
            </w:pPr>
            <w:r>
              <w:rPr>
                <w:rFonts w:ascii="宋体" w:hAnsi="宋体"/>
                <w:color w:val="auto"/>
                <w:sz w:val="24"/>
                <w:szCs w:val="24"/>
                <w:highlight w:val="none"/>
              </w:rPr>
              <w:t>D.配合省、市、区大型活动，做好绿地及附属设施的安全运行保障工作，在市级及市级以上测评考核中：a.排名后三名的考核路段或区域，扣除所在管养单位3分；b.管养区域内某处一次得0分的，扣5分;</w:t>
            </w:r>
          </w:p>
          <w:p>
            <w:pPr>
              <w:spacing w:line="360" w:lineRule="exact"/>
              <w:rPr>
                <w:rFonts w:ascii="宋体" w:hAnsi="宋体"/>
                <w:color w:val="auto"/>
                <w:sz w:val="24"/>
                <w:szCs w:val="24"/>
                <w:highlight w:val="none"/>
              </w:rPr>
            </w:pPr>
            <w:r>
              <w:rPr>
                <w:rFonts w:ascii="宋体" w:hAnsi="宋体"/>
                <w:color w:val="auto"/>
                <w:sz w:val="24"/>
                <w:szCs w:val="24"/>
                <w:highlight w:val="none"/>
              </w:rPr>
              <w:t>E.整改通知中问题的及时回复和处理:及时处理、回复省、市、区等相关整改通知中反馈的意见和建议（书面和口头），不得超过规定整改期限，拖延一天扣2分。</w:t>
            </w:r>
          </w:p>
          <w:p>
            <w:pPr>
              <w:spacing w:line="360" w:lineRule="exact"/>
              <w:rPr>
                <w:rFonts w:ascii="宋体" w:hAnsi="宋体"/>
                <w:color w:val="auto"/>
                <w:sz w:val="24"/>
                <w:szCs w:val="24"/>
                <w:highlight w:val="none"/>
              </w:rPr>
            </w:pPr>
            <w:r>
              <w:rPr>
                <w:rFonts w:ascii="宋体" w:hAnsi="宋体"/>
                <w:color w:val="auto"/>
                <w:sz w:val="24"/>
                <w:szCs w:val="24"/>
                <w:highlight w:val="none"/>
              </w:rPr>
              <w:t>F.未认真落实各级领导批示，按要求完成相关工作，每次扣3分。</w:t>
            </w:r>
          </w:p>
        </w:tc>
      </w:tr>
    </w:tbl>
    <w:p>
      <w:pPr>
        <w:spacing w:line="560" w:lineRule="exact"/>
        <w:rPr>
          <w:rFonts w:ascii="宋体" w:hAnsi="宋体"/>
          <w:color w:val="auto"/>
          <w:sz w:val="24"/>
          <w:szCs w:val="24"/>
          <w:highlight w:val="none"/>
        </w:rPr>
      </w:pPr>
    </w:p>
    <w:p>
      <w:pPr>
        <w:numPr>
          <w:ilvl w:val="0"/>
          <w:numId w:val="59"/>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不定期考核：每月不定期考核由考核主体单独进行，包括日常巡查、应急保障时效性、安全文明施工等检查时所进行的的随机考核，考核发现问题限期整改，未在规定时间内整改扣除管护费。</w:t>
      </w:r>
    </w:p>
    <w:tbl>
      <w:tblPr>
        <w:tblStyle w:val="59"/>
        <w:tblW w:w="8523"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6880"/>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643" w:type="dxa"/>
            <w:tcBorders>
              <w:bottom w:val="single" w:color="auto" w:sz="4" w:space="0"/>
            </w:tcBorders>
            <w:vAlign w:val="center"/>
          </w:tcPr>
          <w:p>
            <w:pPr>
              <w:spacing w:before="156" w:beforeLines="50" w:after="156" w:afterLines="50" w:line="360" w:lineRule="auto"/>
              <w:jc w:val="center"/>
              <w:rPr>
                <w:rFonts w:ascii="宋体" w:hAnsi="宋体"/>
                <w:color w:val="auto"/>
                <w:sz w:val="24"/>
                <w:szCs w:val="24"/>
                <w:highlight w:val="none"/>
              </w:rPr>
            </w:pPr>
            <w:r>
              <w:rPr>
                <w:rFonts w:ascii="宋体" w:hAnsi="宋体"/>
                <w:color w:val="auto"/>
                <w:sz w:val="24"/>
                <w:szCs w:val="24"/>
                <w:highlight w:val="none"/>
              </w:rPr>
              <w:t>项目</w:t>
            </w:r>
          </w:p>
        </w:tc>
        <w:tc>
          <w:tcPr>
            <w:tcW w:w="6880" w:type="dxa"/>
            <w:tcBorders>
              <w:bottom w:val="single" w:color="auto" w:sz="4" w:space="0"/>
            </w:tcBorders>
            <w:vAlign w:val="center"/>
          </w:tcPr>
          <w:p>
            <w:pPr>
              <w:spacing w:before="156" w:beforeLines="50" w:after="156" w:afterLines="50" w:line="360" w:lineRule="auto"/>
              <w:jc w:val="center"/>
              <w:rPr>
                <w:rFonts w:ascii="宋体" w:hAnsi="宋体"/>
                <w:color w:val="auto"/>
                <w:sz w:val="24"/>
                <w:szCs w:val="24"/>
                <w:highlight w:val="none"/>
              </w:rPr>
            </w:pPr>
            <w:r>
              <w:rPr>
                <w:rFonts w:ascii="宋体" w:hAnsi="宋体"/>
                <w:color w:val="auto"/>
                <w:sz w:val="24"/>
                <w:szCs w:val="24"/>
                <w:highlight w:val="none"/>
              </w:rPr>
              <w:t>考核内容及扣款标准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3" w:type="dxa"/>
            <w:tcBorders>
              <w:bottom w:val="single" w:color="auto" w:sz="4" w:space="0"/>
            </w:tcBorders>
            <w:vAlign w:val="center"/>
          </w:tcPr>
          <w:p>
            <w:pPr>
              <w:spacing w:before="156" w:beforeLines="50" w:after="156" w:afterLines="50" w:line="360" w:lineRule="auto"/>
              <w:ind w:left="480" w:hanging="480" w:hangingChars="200"/>
              <w:rPr>
                <w:rFonts w:ascii="宋体" w:hAnsi="宋体"/>
                <w:color w:val="auto"/>
                <w:sz w:val="24"/>
                <w:szCs w:val="24"/>
                <w:highlight w:val="none"/>
              </w:rPr>
            </w:pPr>
            <w:r>
              <w:rPr>
                <w:rFonts w:ascii="宋体" w:hAnsi="宋体"/>
                <w:color w:val="auto"/>
                <w:sz w:val="24"/>
                <w:szCs w:val="24"/>
                <w:highlight w:val="none"/>
              </w:rPr>
              <w:t>1.清扫保洁</w:t>
            </w:r>
          </w:p>
        </w:tc>
        <w:tc>
          <w:tcPr>
            <w:tcW w:w="6880" w:type="dxa"/>
            <w:tcBorders>
              <w:bottom w:val="single" w:color="auto" w:sz="4" w:space="0"/>
            </w:tcBorders>
          </w:tcPr>
          <w:p>
            <w:p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清理出来的白色垃圾、绿化弃料等未在1小时内清运完，发现一次扣100元。</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9" w:hRule="atLeast"/>
          <w:jc w:val="center"/>
        </w:trPr>
        <w:tc>
          <w:tcPr>
            <w:tcW w:w="1643" w:type="dxa"/>
            <w:tcBorders>
              <w:bottom w:val="single" w:color="auto" w:sz="4" w:space="0"/>
            </w:tcBorders>
            <w:vAlign w:val="center"/>
          </w:tcPr>
          <w:p>
            <w:p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2.设施设备</w:t>
            </w:r>
          </w:p>
        </w:tc>
        <w:tc>
          <w:tcPr>
            <w:tcW w:w="6880" w:type="dxa"/>
            <w:tcBorders>
              <w:bottom w:val="single" w:color="auto" w:sz="4" w:space="0"/>
            </w:tcBorders>
          </w:tcPr>
          <w:p>
            <w:p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设施设备如座椅、指示牌、路灯、城市景观小品等损坏2天内未修补、更换，发现一次扣200元。</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 w:hRule="atLeast"/>
          <w:jc w:val="center"/>
        </w:trPr>
        <w:tc>
          <w:tcPr>
            <w:tcW w:w="1643" w:type="dxa"/>
            <w:tcBorders>
              <w:bottom w:val="single" w:color="auto" w:sz="4" w:space="0"/>
            </w:tcBorders>
            <w:vAlign w:val="center"/>
          </w:tcPr>
          <w:p>
            <w:p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3.绿地养护</w:t>
            </w:r>
          </w:p>
        </w:tc>
        <w:tc>
          <w:tcPr>
            <w:tcW w:w="6880" w:type="dxa"/>
            <w:tcBorders>
              <w:bottom w:val="single" w:color="auto" w:sz="4" w:space="0"/>
            </w:tcBorders>
          </w:tcPr>
          <w:p>
            <w:pPr>
              <w:numPr>
                <w:ilvl w:val="0"/>
                <w:numId w:val="61"/>
              </w:num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有明显死树、大面积灌木、草坪死亡，2天内未及时清除、补栽补植的，发现一次扣500元；</w:t>
            </w:r>
          </w:p>
          <w:p>
            <w:pPr>
              <w:numPr>
                <w:ilvl w:val="0"/>
                <w:numId w:val="61"/>
              </w:num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有明显裸土、缺株断带，2天内未及时补栽补植的，发现一次扣300元；</w:t>
            </w:r>
          </w:p>
          <w:p>
            <w:pPr>
              <w:numPr>
                <w:ilvl w:val="0"/>
                <w:numId w:val="61"/>
              </w:num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绿地内有明显落叶堆积，4小时内未及时清理的，发现一次扣200元；</w:t>
            </w:r>
          </w:p>
          <w:p>
            <w:pPr>
              <w:numPr>
                <w:ilvl w:val="0"/>
                <w:numId w:val="61"/>
              </w:num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绿地内乔木、灌木、草坪有明显灰尘堆积，24小时内未冲洗降尘的，发现一次扣200元；</w:t>
            </w:r>
          </w:p>
          <w:p>
            <w:pPr>
              <w:numPr>
                <w:ilvl w:val="0"/>
                <w:numId w:val="61"/>
              </w:num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树木支撑、抱箍不规范、存在夹板、塑料薄膜，24小时内未规范、清除的，发现一次扣100元；</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5" w:hRule="atLeast"/>
          <w:jc w:val="center"/>
        </w:trPr>
        <w:tc>
          <w:tcPr>
            <w:tcW w:w="1643" w:type="dxa"/>
            <w:vAlign w:val="center"/>
          </w:tcPr>
          <w:p>
            <w:pPr>
              <w:spacing w:line="600" w:lineRule="exact"/>
              <w:rPr>
                <w:rFonts w:ascii="宋体" w:hAnsi="宋体"/>
                <w:color w:val="auto"/>
                <w:sz w:val="24"/>
                <w:szCs w:val="24"/>
                <w:highlight w:val="none"/>
              </w:rPr>
            </w:pPr>
            <w:r>
              <w:rPr>
                <w:rFonts w:ascii="宋体" w:hAnsi="宋体"/>
                <w:color w:val="auto"/>
                <w:sz w:val="24"/>
                <w:szCs w:val="24"/>
                <w:highlight w:val="none"/>
              </w:rPr>
              <w:t>4.安全文明施工管理</w:t>
            </w:r>
          </w:p>
        </w:tc>
        <w:tc>
          <w:tcPr>
            <w:tcW w:w="6880" w:type="dxa"/>
          </w:tcPr>
          <w:p>
            <w:p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绿化养护的各道工序施工要做到以人为本，安全施工，文明作业。道路绿化养护施工要统一着安全装，设施工警示语或警示标志，保证施工人员和过往行人的安全。未达要求，发现1起扣200元，每发生一次安全事故扣5000元。</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5" w:hRule="atLeast"/>
          <w:jc w:val="center"/>
        </w:trPr>
        <w:tc>
          <w:tcPr>
            <w:tcW w:w="1643" w:type="dxa"/>
            <w:tcBorders>
              <w:bottom w:val="single" w:color="auto" w:sz="4" w:space="0"/>
            </w:tcBorders>
            <w:vAlign w:val="center"/>
          </w:tcPr>
          <w:p>
            <w:p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5.应急处理及资料报送</w:t>
            </w:r>
          </w:p>
        </w:tc>
        <w:tc>
          <w:tcPr>
            <w:tcW w:w="6880" w:type="dxa"/>
            <w:tcBorders>
              <w:bottom w:val="single" w:color="auto" w:sz="4" w:space="0"/>
            </w:tcBorders>
          </w:tcPr>
          <w:p>
            <w:p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A.对于市、区管理部门下达的指令性应急任务未在1小时到达现场的，发现1次扣2000元；</w:t>
            </w:r>
          </w:p>
          <w:p>
            <w:pPr>
              <w:spacing w:before="156" w:beforeLines="50" w:after="156" w:afterLines="50" w:line="360" w:lineRule="auto"/>
              <w:rPr>
                <w:rFonts w:ascii="宋体" w:hAnsi="宋体"/>
                <w:color w:val="auto"/>
                <w:sz w:val="24"/>
                <w:szCs w:val="24"/>
                <w:highlight w:val="none"/>
              </w:rPr>
            </w:pPr>
            <w:r>
              <w:rPr>
                <w:rFonts w:ascii="宋体" w:hAnsi="宋体"/>
                <w:color w:val="auto"/>
                <w:sz w:val="24"/>
                <w:szCs w:val="24"/>
                <w:highlight w:val="none"/>
              </w:rPr>
              <w:t>B.未在规定时间内完成相关资料报送工作的，发现一次扣200元；未进行资料报送，或因资料报送延迟，造成市、区部门口头通报批评等后果的，发现一次扣500元。</w:t>
            </w:r>
          </w:p>
        </w:tc>
      </w:tr>
    </w:tbl>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第六条  计算方式</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月管护费=月实际管护面积*月管护单价-定期考核扣除管护费-不定期考核扣除管护费</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定期考核扣除管护费=月实际管护面积*月管护单价*扣减分数百分比</w:t>
      </w:r>
    </w:p>
    <w:p>
      <w:pPr>
        <w:numPr>
          <w:ilvl w:val="0"/>
          <w:numId w:val="0"/>
        </w:numPr>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第七条</w:t>
      </w:r>
      <w:r>
        <w:rPr>
          <w:rFonts w:hint="eastAsia" w:ascii="宋体" w:hAnsi="宋体"/>
          <w:color w:val="auto"/>
          <w:sz w:val="24"/>
          <w:szCs w:val="24"/>
          <w:highlight w:val="none"/>
          <w:lang w:val="en-US" w:eastAsia="zh-CN"/>
        </w:rPr>
        <w:t xml:space="preserve"> </w:t>
      </w:r>
      <w:r>
        <w:rPr>
          <w:rFonts w:ascii="宋体" w:hAnsi="宋体"/>
          <w:color w:val="auto"/>
          <w:sz w:val="24"/>
          <w:szCs w:val="24"/>
          <w:highlight w:val="none"/>
        </w:rPr>
        <w:t xml:space="preserve"> 奖励</w:t>
      </w:r>
    </w:p>
    <w:p>
      <w:pPr>
        <w:numPr>
          <w:ilvl w:val="0"/>
          <w:numId w:val="62"/>
        </w:numPr>
        <w:rPr>
          <w:rFonts w:ascii="宋体" w:hAnsi="宋体"/>
          <w:color w:val="auto"/>
          <w:sz w:val="24"/>
          <w:szCs w:val="24"/>
          <w:highlight w:val="none"/>
        </w:rPr>
      </w:pPr>
      <w:r>
        <w:rPr>
          <w:rFonts w:ascii="宋体" w:hAnsi="宋体"/>
          <w:color w:val="auto"/>
          <w:sz w:val="24"/>
          <w:szCs w:val="24"/>
          <w:highlight w:val="none"/>
        </w:rPr>
        <w:t>在市级及各类专项工作考核评比中，单次考核排名位列全市前三名的考核路段（区域），对应管护公司当月考核管护给予3分、2分、1分的加分奖励。</w:t>
      </w:r>
    </w:p>
    <w:p>
      <w:pPr>
        <w:autoSpaceDE w:val="0"/>
        <w:autoSpaceDN w:val="0"/>
        <w:adjustRightInd w:val="0"/>
        <w:jc w:val="left"/>
        <w:rPr>
          <w:rFonts w:ascii="宋体" w:hAnsi="宋体"/>
          <w:color w:val="auto"/>
          <w:kern w:val="0"/>
          <w:sz w:val="24"/>
          <w:szCs w:val="24"/>
          <w:highlight w:val="none"/>
        </w:rPr>
      </w:pPr>
      <w:r>
        <w:rPr>
          <w:rFonts w:ascii="宋体" w:hAnsi="宋体"/>
          <w:color w:val="auto"/>
          <w:kern w:val="0"/>
          <w:sz w:val="24"/>
          <w:szCs w:val="24"/>
          <w:highlight w:val="none"/>
        </w:rPr>
        <w:t>在重大保障活动、临时安排工作中，完成任务保质保量，并得到领导口头表扬的，对应管护公司当月考核给予1分奖励，得到书面表彰的，对应管护公司当月考核给予2分奖励。</w:t>
      </w:r>
    </w:p>
    <w:p>
      <w:pPr>
        <w:spacing w:line="520" w:lineRule="exact"/>
        <w:ind w:left="420" w:leftChars="200"/>
        <w:rPr>
          <w:rFonts w:ascii="宋体" w:hAnsi="宋体"/>
          <w:color w:val="auto"/>
          <w:sz w:val="24"/>
          <w:szCs w:val="24"/>
          <w:highlight w:val="none"/>
        </w:rPr>
      </w:pPr>
    </w:p>
    <w:p>
      <w:pPr>
        <w:numPr>
          <w:ilvl w:val="0"/>
          <w:numId w:val="57"/>
        </w:numPr>
        <w:spacing w:line="520" w:lineRule="exact"/>
        <w:ind w:firstLine="480" w:firstLineChars="200"/>
        <w:jc w:val="center"/>
        <w:rPr>
          <w:rFonts w:ascii="宋体" w:hAnsi="宋体"/>
          <w:color w:val="auto"/>
          <w:sz w:val="24"/>
          <w:szCs w:val="24"/>
          <w:highlight w:val="none"/>
        </w:rPr>
      </w:pPr>
      <w:r>
        <w:rPr>
          <w:rFonts w:ascii="宋体" w:hAnsi="宋体"/>
          <w:color w:val="auto"/>
          <w:sz w:val="24"/>
          <w:szCs w:val="24"/>
          <w:highlight w:val="none"/>
        </w:rPr>
        <w:t>附则</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lang w:eastAsia="zh-CN"/>
        </w:rPr>
        <w:t>八</w:t>
      </w:r>
      <w:r>
        <w:rPr>
          <w:rFonts w:ascii="宋体" w:hAnsi="宋体"/>
          <w:color w:val="auto"/>
          <w:sz w:val="24"/>
          <w:szCs w:val="24"/>
          <w:highlight w:val="none"/>
        </w:rPr>
        <w:t>条</w:t>
      </w:r>
      <w:r>
        <w:rPr>
          <w:rFonts w:ascii="宋体" w:hAnsi="宋体"/>
          <w:b/>
          <w:bCs/>
          <w:color w:val="auto"/>
          <w:sz w:val="24"/>
          <w:szCs w:val="24"/>
          <w:highlight w:val="none"/>
        </w:rPr>
        <w:t xml:space="preserve">  </w:t>
      </w:r>
      <w:r>
        <w:rPr>
          <w:rFonts w:ascii="宋体" w:hAnsi="宋体"/>
          <w:color w:val="auto"/>
          <w:sz w:val="24"/>
          <w:szCs w:val="24"/>
          <w:highlight w:val="none"/>
        </w:rPr>
        <w:t>本办法自合同约定之日起执行。本办法最终解释权归成都市锦江区综合行政执法局所有。</w:t>
      </w:r>
    </w:p>
    <w:p>
      <w:pPr>
        <w:autoSpaceDE w:val="0"/>
        <w:autoSpaceDN w:val="0"/>
        <w:adjustRightInd w:val="0"/>
        <w:spacing w:line="560" w:lineRule="exact"/>
        <w:ind w:firstLine="480" w:firstLineChars="200"/>
        <w:jc w:val="left"/>
        <w:rPr>
          <w:rFonts w:ascii="宋体" w:hAnsi="宋体"/>
          <w:color w:val="auto"/>
          <w:kern w:val="0"/>
          <w:sz w:val="24"/>
          <w:szCs w:val="24"/>
          <w:highlight w:val="none"/>
        </w:rPr>
      </w:pPr>
    </w:p>
    <w:p>
      <w:pPr>
        <w:keepNext/>
        <w:keepLines/>
        <w:numPr>
          <w:ilvl w:val="0"/>
          <w:numId w:val="63"/>
        </w:numPr>
        <w:spacing w:line="240" w:lineRule="atLeast"/>
        <w:jc w:val="center"/>
        <w:outlineLvl w:val="0"/>
        <w:rPr>
          <w:rFonts w:ascii="宋体" w:hAnsi="宋体"/>
          <w:b/>
          <w:bCs/>
          <w:color w:val="auto"/>
          <w:kern w:val="44"/>
          <w:sz w:val="24"/>
          <w:szCs w:val="24"/>
          <w:highlight w:val="none"/>
        </w:rPr>
      </w:pPr>
      <w:bookmarkStart w:id="148" w:name="_Toc12078"/>
      <w:bookmarkStart w:id="149" w:name="_Toc515268188"/>
      <w:r>
        <w:rPr>
          <w:rFonts w:ascii="宋体" w:hAnsi="宋体"/>
          <w:b/>
          <w:bCs/>
          <w:color w:val="auto"/>
          <w:kern w:val="44"/>
          <w:sz w:val="24"/>
          <w:szCs w:val="24"/>
          <w:highlight w:val="none"/>
        </w:rPr>
        <w:t>成都市锦江区园林绿化管护标准</w:t>
      </w:r>
      <w:bookmarkEnd w:id="148"/>
      <w:bookmarkEnd w:id="149"/>
    </w:p>
    <w:p>
      <w:pPr>
        <w:ind w:firstLine="4008" w:firstLineChars="1670"/>
        <w:jc w:val="center"/>
        <w:rPr>
          <w:rFonts w:ascii="宋体" w:hAnsi="宋体"/>
          <w:color w:val="auto"/>
          <w:kern w:val="0"/>
          <w:sz w:val="24"/>
          <w:szCs w:val="24"/>
          <w:highlight w:val="none"/>
        </w:rPr>
      </w:pPr>
    </w:p>
    <w:p>
      <w:pPr>
        <w:spacing w:line="600" w:lineRule="exact"/>
        <w:rPr>
          <w:rFonts w:ascii="宋体" w:hAnsi="宋体"/>
          <w:b/>
          <w:color w:val="auto"/>
          <w:sz w:val="24"/>
          <w:szCs w:val="24"/>
          <w:highlight w:val="none"/>
        </w:rPr>
      </w:pPr>
      <w:r>
        <w:rPr>
          <w:rFonts w:ascii="宋体" w:hAnsi="宋体"/>
          <w:b/>
          <w:color w:val="auto"/>
          <w:sz w:val="24"/>
          <w:szCs w:val="24"/>
          <w:highlight w:val="none"/>
        </w:rPr>
        <w:t>第一章  总   则</w:t>
      </w:r>
    </w:p>
    <w:p>
      <w:pPr>
        <w:spacing w:line="600" w:lineRule="exact"/>
        <w:ind w:firstLine="480" w:firstLineChars="200"/>
        <w:rPr>
          <w:rFonts w:ascii="宋体" w:hAnsi="宋体"/>
          <w:color w:val="auto"/>
          <w:sz w:val="24"/>
          <w:szCs w:val="24"/>
          <w:highlight w:val="none"/>
        </w:rPr>
      </w:pPr>
      <w:r>
        <w:rPr>
          <w:rFonts w:ascii="宋体" w:hAnsi="宋体"/>
          <w:color w:val="auto"/>
          <w:kern w:val="0"/>
          <w:sz w:val="24"/>
          <w:szCs w:val="24"/>
          <w:highlight w:val="none"/>
        </w:rPr>
        <w:t>为加强我区园林绿地管护，提高园林绿地管护质量，维护园林绿地管护市场的正常秩序，</w:t>
      </w:r>
      <w:r>
        <w:rPr>
          <w:rFonts w:ascii="宋体" w:hAnsi="宋体"/>
          <w:color w:val="auto"/>
          <w:sz w:val="24"/>
          <w:szCs w:val="24"/>
          <w:highlight w:val="none"/>
        </w:rPr>
        <w:t>巩固园林绿化成果。以及统一规范各绿化管护单位的技术操作规程，</w:t>
      </w:r>
      <w:r>
        <w:rPr>
          <w:rFonts w:ascii="宋体" w:hAnsi="宋体"/>
          <w:color w:val="auto"/>
          <w:kern w:val="0"/>
          <w:sz w:val="24"/>
          <w:szCs w:val="24"/>
          <w:highlight w:val="none"/>
        </w:rPr>
        <w:t>结合本区实际情况，</w:t>
      </w:r>
      <w:r>
        <w:rPr>
          <w:rFonts w:ascii="宋体" w:hAnsi="宋体"/>
          <w:color w:val="auto"/>
          <w:sz w:val="24"/>
          <w:szCs w:val="24"/>
          <w:highlight w:val="none"/>
        </w:rPr>
        <w:t>特制定本园林绿化管护管理工作标准。</w:t>
      </w:r>
    </w:p>
    <w:p>
      <w:pPr>
        <w:spacing w:line="600" w:lineRule="exact"/>
        <w:rPr>
          <w:rFonts w:ascii="宋体" w:hAnsi="宋体"/>
          <w:color w:val="auto"/>
          <w:sz w:val="24"/>
          <w:szCs w:val="24"/>
          <w:highlight w:val="none"/>
        </w:rPr>
      </w:pPr>
      <w:r>
        <w:rPr>
          <w:rFonts w:ascii="宋体" w:hAnsi="宋体"/>
          <w:b/>
          <w:color w:val="auto"/>
          <w:sz w:val="24"/>
          <w:szCs w:val="24"/>
          <w:highlight w:val="none"/>
        </w:rPr>
        <w:t>第二章   标准依据</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依据《城市绿化工程施工及验收规范》（中华人民共和国行业标准CJJ/T82—99）、四川省地方标准DB51/50016－1998《城市园林绿化技术操作规程》、《成都市绿化管护技术标准（试行）》等。</w:t>
      </w:r>
    </w:p>
    <w:p>
      <w:pPr>
        <w:numPr>
          <w:ilvl w:val="0"/>
          <w:numId w:val="64"/>
        </w:numPr>
        <w:spacing w:line="360" w:lineRule="auto"/>
        <w:rPr>
          <w:rFonts w:ascii="宋体" w:hAnsi="宋体"/>
          <w:b/>
          <w:color w:val="auto"/>
          <w:sz w:val="24"/>
          <w:szCs w:val="24"/>
          <w:highlight w:val="none"/>
        </w:rPr>
      </w:pPr>
      <w:r>
        <w:rPr>
          <w:rFonts w:ascii="宋体" w:hAnsi="宋体"/>
          <w:b/>
          <w:color w:val="auto"/>
          <w:sz w:val="24"/>
          <w:szCs w:val="24"/>
          <w:highlight w:val="none"/>
        </w:rPr>
        <w:t>管护工作内容</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对管护段面市政道路绿化、小游园、微绿地（含铺装、游步道、绿道）内的园林、市政、设施等项目进行管养、维护、维修及更新。</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1.绿化管护：包括绿化面积中所有的绿地、植物、时令鲜花、花境、乔木、灌木、地被的养护（除草、修剪、浇水、施肥、防病虫害等）、复壮、更换、降尘。</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2.时令鲜花及花境、立体绿化管护：包括购置、种植、更换及管护等。</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3.清扫保洁服务：包括绿地、游步道、绿道、设施设备的清扫保洁，以及园林绿化垃圾的集中处理、收集转运等。所有垃圾（绿化垃圾、生活垃圾等）均做绿色无害化处理。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 xml:space="preserve">4.设施设备的维修保养：对易损耗材料、灯杆、照明设施、供水及排水设施、电力设施（含配电箱、变压器、电缆、柜等）、健身设施、小品雕塑、花箱、廊架、坐凳、树池盖板、树木支撑、绿化护栏等设施设备的检修、翻新、更换等。 </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5.公共秩序及公共安全管理：包括车辆管理、日常安全巡查、秩序维护（如对游园广场、绿地内的流动商贩进行制止、对破坏绿地、侵占绿地等不文明行为进行制止与劝阻）；重点区域温馨告示、警示牌的设置与维护；依法保障游人人身财产安全措施与服务；突发公共事件紧急处理（如疫情防控、救灾抢险等）。</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6.其他服务：积极配合相关部门检查、考察、参观；做好文明指数测评等相关工作；积极配合主管部门、完成临时交办的管护工作和其他任务等。</w:t>
      </w:r>
    </w:p>
    <w:p>
      <w:pPr>
        <w:spacing w:line="600" w:lineRule="exact"/>
        <w:rPr>
          <w:rFonts w:ascii="宋体" w:hAnsi="宋体"/>
          <w:b/>
          <w:color w:val="auto"/>
          <w:sz w:val="24"/>
          <w:szCs w:val="24"/>
          <w:highlight w:val="none"/>
        </w:rPr>
      </w:pPr>
      <w:r>
        <w:rPr>
          <w:rFonts w:ascii="宋体" w:hAnsi="宋体"/>
          <w:b/>
          <w:color w:val="auto"/>
          <w:sz w:val="24"/>
          <w:szCs w:val="24"/>
          <w:highlight w:val="none"/>
        </w:rPr>
        <w:t>第四章 管护要求</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（一）绿化养护管理与服务质量标准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1.绿化养护管理总体要求：按照管护区域总体规划和植物配置设计，实施植物的养护、复壮、更换、除尘，使园林绿化景观达到和保持最佳状态。</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2.乔木、灌木等存活率应达到100%，无死树、无枯枝、枯危和倒伏的树木要及时处理。冬季应做好防寒保护工作。树木修剪应做到完整美观、数量适宜、修剪科学合理、通风透光、无枯枝死杈；树叶生长茂盛。行道树下缘修剪整齐，景观效果优良；病虫害防治及时，日常管护应达到以下要求：</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乔木----生长健壮，树冠完整，无枯枝，无病虫害。</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灌木----树形自然美观，开花整齐，长势好，无枯枝、病虫害。</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竹类----保持生长旺盛，自然美观，无倒伏，无枯萎及时抽稀和清除老竹。</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3.地被植物修剪及时、养护及病虫害防治及时。草坪及地被植物覆盖率应达到95%以上，草坪内杂草率不得超过5%，草坪出现秃斑应及时补种，保证草坪的覆盖度和密度。硬质地面外围可栽种植物的，都应用各种地被植物覆盖，做到不紊乱，不挡视线。</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4.树木、灌木、地被等病虫害防治及时，树木无害虫活卵、活虫；叶片上无虫粪、虫网等。</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5.有全年养护技术措施指标及植物调整充实计划。养护计划及要求如下：</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（1）松土、除草</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每年不少于两次，一般定于每年的春、秋季，具体情况按实调整。松土时株行中间处应深，近植处应浅。松土浓度一般为5-8厘米。用钉钯或窄锄将土挖松，草坪应用打孔机松土。除草应掌握“除早、除小、除了”原则。绿地中应随时保持无杂草，保证草坪的纯净度应达到98%以上。</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（2）浇水</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原则:根据不同植物生物学特性、植物规格、季节、土壤干湿程度确定。做到适时、适量、不遗漏。</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浇水量:根据不同植物种类、气候、季节和土壤干湿度确定，深度达根部、土壤不干涸为宜。一般情况下浇水量：乔木不少于20公斤/株•次（胸径10公分以下），灌木不少于10公斤/㎡•次，草坪不少于10公斤/㎡•次。大树依据具体情况和浇水原则确定。地栽宿根花卉以土壤不干燥为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浇水次数:开春后植物进入生长期，须及时补充水分。一般情况下，乔木不少于4次/年，灌木不少于6次/年，草坪不少于24次/年。</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浇水时间:乔灌木浇水时间一般集中在12月至次年6月、以“过冬水”、“发芽水”和4月至6月的“抗旱水”为主。夏季高温季节应在早晨和傍晚进行、冬季宜午后进行。</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雨季应注意防洪排涝，清除积水。</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浇水时应注意安全事项。</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（3）施肥</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施肥分基肥、追肥两类。基肥一般采用有机肥，在植物休眠期内进行，追肥一般采用化肥或复合肥在植物生长期内进行。基肥应充分腐熟后按一定比例与细土混合后施用，化肥应溶解后再施用。干施化肥一定要注意均匀，用量宜少不宜多，施后必须及时充分浇水，以免伤根伤叶。</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施肥次数：乔木每年施基肥1次，追肥1次；灌木每年施基肥1次，追肥2次；色块灌木施基肥2次，追肥4次；草坪每年结合打孔施基肥2次，追肥不少于9次。</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施肥量：施基肥乔木（胸径在10公分以下）不少于20公斤/株•次，灌木不少于10公斤/㎡•次，草坪不少于0.2公斤/ ㎡•次.施追肥一般按0.5%-1%浓度的溶解液施用。和施化肥一般用量，乔木不超过250克/株•次，灌木不超过150克/㎡•次，色块灌木不超过30克/㎡•次，草坪不超过10克/㎡•次。</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乔、灌木施肥应挖掘施肥沟、穴，以不伤或少伤树根为准，深度不浅于30公分。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所有的肥料、化肥必须按照国家规定执行，产生的危险废弃物严格按照国家有关环境保护的要求依法处置。</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（4）病虫害防治</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原则：全面贯彻“预防为主，综合防治”的植物保护方针，病虫害的发生率应控制在5%以下。采用无污染、低毒性农药，把农药污染控制在最低限度。</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正确掌握各种农药的使用方法，合理施用，注意做到对症下药，计量准确，方法正确，喷洒均匀，不造成药害，不发生安全事故。</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防治及时，一般情况下，预防性打药为乔木3-5次/年，灌木5-8次/年，草坪8-12次/年。</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农药应妥善保管，对使用过的农药瓶要及时回收并依法妥善处置，严格按操作规程使用，注意自身及他人安全。</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（5）植物的修剪</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修剪包括抹芽、去蘖、摘心摘芽、疏枝、短截、整形、更冠等技术方法。根据绿化设计要求以及不同植物种类正确选择修剪的技术方法，宜多疏少截。</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修剪时间：落叶乔木在休眠期进行，常绿乔木在生长间隙期进行，灌木根据设计的景观造型要求及时进行。</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修剪次数：乔木大修（树冠完整、内膛通透、主枝骨干清晰、林冠线造型优美）不能少于1次/年(达到采购人要求)，根据品种、配置要求及时修剪造型，保持景观效果。</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乔木的修剪：庭荫树的分枝点应随着树木生长逐步提高，树冠与树干高度的比例应在7：3至6：4之间。行道树在同一路段的分枝点高低、树高、冠幅大小应基本一致，上方有架空电力线时，应按电力部门的相关规定及时剪除影响安全的枝条。</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灌木的修剪：一般以保持其自然姿态，疏剪过密枝条，保持内膛通风透光。对丛生灌木的衰老主枝，应本着“留新去老”的原则培养徒长枝或分期短截老枝进行更新。观花灌木和观花小乔木的修剪应掌握花芽发育规律，对当年新稍上开花的花木应于早春萌发前修剪，短截上年的已花枝条，促使新枝萌发。对当年形成花芽，次年早春开花的花木，应在开花后适度修剪，对出花率低的老枝进行更新。</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草坪修剪：一般情况下，混播草坪不能少于20次/年（夏季每周1-2次），草坪高度应保持在5cm左右，当草高超过8cm时必须进行修剪。</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对某种植物进行重度修剪时或操作人员拿不准修剪尺度时，须通知采购人，在其指导下进行。</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修剪须按技术操作规程和要求进行，同时须注意安全。</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修剪的剪口或锯口平整光滑，不得劈裂、不留短桩。</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修枝废弃物不得乱倾倒，须按照环保和行业相关要求进行无害化处理。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（6）补栽</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应随时保持绿地植物的种植量，不得有缺株断行。</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及时对管理区域内老化、死亡等植物进行更新。原则上发现缺株应立即补栽，补栽完成时间不得超过七个工作日。</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补栽应使用同品种、基本同规格的苗木。</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（7）支柱、扶正</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倾斜度超过10度的树木，须进行扶正，落叶树在休眠期进行，常绿树在萌芽前进行。扶正前应先疏剪部分枝桠或进行短截，确保扶正树木的成活。</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新栽大树和扶正后的树木应进行支撑。支撑材料在同一路段或区域内应当统一，支柱方式要规范、整齐。支柱着力点应超过树高的1/2以上，支柱材料在着力点与树干接触处应铺垫软质材料，以免损伤树皮。每季度特别是汛期前前要对支柱进行一次全面检查，对松动的支柱要及时加固，对嵌入树皮的捆扎物要及时解除。</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扶正支柱，每月应进行一次专项检查，及时发现、及时支柱。</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管理部门通知进行支撑、扶正的，必须在24小时内完成。</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（8）绿地及绿化带容貌</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随时保持绿地及绿化带内的清洁、美观。</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及时清除死树、枯枝。</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及时清除垃圾、砖头、瓦块等废弃物。</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及时清运剪下的植物残体。</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清理出来的废弃物日产日清。</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及时清除绿地设施上的牛皮藓及乱涂乱画痕迹。</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（9）设施设备的维修保养</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设施设备应保持完好无损，发现缺损应及时修补、更换。</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注：以上内容未覆盖到的，参照《四川省城市园林绿化技术操作规程》（D1351/50016-1998）、《成都市绿化养护质量等级划分》（DB510100/T 239-2017）一级养护标准、《成都市绿化养护技术规程》（DB510100/T 238-2017）执行。</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（二）时令鲜花及花境养护管理与服务质量标准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时令鲜花及花境管护标准：管护及更换按照《成都市城市绿化养护质量等级划分》（DB510100/T 239-2017）一级标准进行管护。</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时令鲜花每年更换不少于8次，国庆节、元旦节及春节等国家法定节假日月份需每月换花一次。草花栽植品种及配置方式应报采购人审核同意后实施。时令鲜花的购置、种植、更换及管护的实际支付费用按双方确认后的面积乘以中标单价据实结算。</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时令鲜花生长健壮，花型正，花色艳，花期长，无病虫害。时令鲜花开花率不低于70%。</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观花灌木的修剪应掌握花芽发育规律，对当年新稍上开花的花灌应于早春萌发前修剪，短截上年的已花枝条，促使新枝萌发。对当年形成花芽，次年早春开花的花灌，应在开花后适度修剪，对出花率低的老化植株进行更新。多年生花灌木、观赏草原则上按照原有的品种配置进行更新，更换方案经采购人审定后实施。</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注：1、以上内容未覆盖到的，参照《四川省城市园林绿化技术操作规程》（D1351/50016-1998）、《成都市绿化养护质量等级划分》（DB510100/T 239-2017）一级养护标准、《成都市绿化养护技术规程》（DB510100/T 238-2017）要求执行。</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2、花卉更换品种包含但不局限于表1《全年花卉基本品种和拟栽植密度清单》所列。</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（三）环卫服务质量标准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总体要求：管护区域范围内干净整洁、无杂物、无白色污染、舒适美观、无异味。</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清扫保洁要求：采取流动保洁和保洁巡查方式，每日普扫不少于2次，及时清除绿化垃圾、生活垃圾、地面积水、干枯枝叶、污渍等，保证路面、地面铺装、景观平台、绿地内干净整洁。对管护区域内硬质铺装道路保证每周清洗一次，清除积灰或污垢。在雨季、汛期及时清理雨水、积水、积沙等残留物，避免出现堆积、堵塞现象。</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2.垃圾清运要求：对绿化垃圾、生活垃圾等实行日产日清、不过夜、不焚烧、及时清运，重点地区随产随清。垃圾清运必须采取袋装封闭式运送到指定场所按照环保和行业相关要求进行无害化处理，不得出现垃圾落地堆放、撒漏等现象。垃圾收集点或设备均应采取封闭方式。</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3.设施设备清洁保洁要求：对管护区域内的围栏、亭子、座凳、标示牌、遮阳棚（廊架）、成品岗亭、路灯柱、遮阳棚、喷泉、果屑箱、健身设施、游乐设施、灯杆、照明设施、供水及排水设施、电力设施、绿化护栏等设施设备及时进行清洁除尘，避免污物、污水残留。</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4.消杀的要求：定期对重点区域、绿地内环卫设施等进行消杀，达到无鼠、无蚊蝇、无虫、无异味标准，推广生物防治，防止传染疾病蔓延。</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5.如遇地震、公共卫生事件等不可抗力事件，中标人须无条件服从采购人安排。</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（四）设施设备的日常管理与维修服务质量标准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1.市政设施及其它辅助设施的日常管理总体要求：做好日常巡检、维护及保养工作，确保市政设施及其它辅助设施干净、完好、无破损、无裂缝、无油漆脱落等现象，所有设施均达到安全使用标准。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2.对道路、果屑箱、垃圾桶、地面硬质铺装、景观平台、装饰构架、护栏、景观桥、亭子、座凳、标示牌、管线管道、景观石、挡车石球、健身设施、游乐设施、树池盖板、树木支撑杆等进行日常使用巡检、及时维修，确保道路面、地面铺装、景观平台、景观石、挡车石球、景观桥面均平整完好，道路无沉陷、坑洼、破损、裂缝等现象；确保亭子柱面、座凳、路灯（包括柱体和照明）及其他景观照明设施（如广场景观灯、地埋灯、侧壁灯等）、标示牌面、喷泉、管线管道、健身设施、绿化护栏等无破损、残缺、油漆脱落等现象，使其达到安全使用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3.对监控设施、喷泉、供电设施、灯杆、照明设施、消防设施、供水及排水设施、管线、电力设施（含变压器、配电箱、柜、线缆等）、应急设施等的进行日常开关使用、及时检查和维护保养工作。确保所有设施符合技术安全规范。如出现故障应及时排除，确保所有设施完好，达到安全使用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4.保证照明设施的正常运行：确保路灯及景观照明设施完好、运行正常和亮灯率。路灯及景观照明设施标准开放时间为（分为夏冬两季）：夏季景观灯标准开放时间：19:30-24:00，冬季景观灯标准开放时间：19:00-23:30，周末、特殊节庆及法定节假日开放时间延迟至 24:00，重要行人通道及游步道要通宵照明。保证路灯及景观照明设施完好率不低于95%、标准开放时间内的亮灯率不低于98%、故障处理率必须达到100%。</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5.定期安排对灯柱、硬质铺装、桥梁（含景观桥）、栈道、座凳、亭子、护栏等的翻新喷漆（每年应保证至少一次全面的喷漆翻新）。同时，应视巡检结果，及时对脱落、陈旧部分进行喷漆翻新，保证其外观完好，达到安全使用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（五）公共秩序和公共安全维护服务质量标准</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1.公共秩序和公共安全维护服务总体要求：园内公共秩序良好；发现不文明行为能及时制止或劝阻；无冲突事件发生；在重点区域（如水域、儿童游乐设施、运动设施等）设置显眼的、符合国家要求的安全警示牌和安全防护设施，安排专人定时定点巡查，做好全方面的应急措施和物资准备，开展安全培训教育，杜绝重大安全事故的发生。</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2.根据管护区域面积、工作内容科学配置人员，建立全面、科学、系统的安全保卫组织机构和管理制度。</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3.加强安全管理，维护管护区域正常游览秩序。在节假日人流较多时期，重点维护人流秩序，确保安全有序。在紧急和必要的情况下组织对人员有序疏散。</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4.保护管护区域内公共财产和景观，对践踏草坪、攀折花木、破坏公共设施，抛弃废物、非法聚众、集会、胡乱张贴和机动车、电瓶车进入园区、绿地，游商摊贩进入园区叫卖等不文明行为实施劝阻和制止。</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5.未经采购人同意，不得在管护区域内举办任何形式的展览、集会、竞赛等。</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6.规范车辆管理，限制机动车、电瓶车、三轮车（残疾人自用车辆或经采购人同意的除外）、共享单车进入管护区域，避免安全事故的发生。</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7.未经采购人同意，不得设立任何商业设施、场所、商业广告、不得开展任何商业行为，不得收取第三方任何费用。不得搭建违章建筑。</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8.按采购人要去对重点区域落实人防、技防、物防措施，尽可能降低安全事故风险，最大程度保障游人人身和财产安全。</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9.配置足够数量的消防器材，定期安排专人对消防器材进行检查保养，确保消防器材完好率100%，且均在有效期内。</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10.按照文明城市测评等相关要求，完善相关配置。</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11.对突发极端天气、公共事件等突发情况进行抢险救灾和紧急处理。突发情况及时向采购人及主管部门汇报，协助警方和有关部门处理事态，并及时进行救助工作。</w:t>
      </w:r>
    </w:p>
    <w:p>
      <w:pPr>
        <w:spacing w:line="600" w:lineRule="exact"/>
        <w:ind w:firstLine="480" w:firstLineChars="200"/>
        <w:rPr>
          <w:rFonts w:ascii="宋体" w:hAnsi="宋体"/>
          <w:color w:val="auto"/>
          <w:sz w:val="24"/>
          <w:szCs w:val="24"/>
          <w:highlight w:val="none"/>
        </w:rPr>
      </w:pPr>
      <w:r>
        <w:rPr>
          <w:rFonts w:ascii="宋体" w:hAnsi="宋体"/>
          <w:color w:val="auto"/>
          <w:sz w:val="24"/>
          <w:szCs w:val="24"/>
          <w:highlight w:val="none"/>
        </w:rPr>
        <w:t>12.出现群众投诉、举报、媒体曝光等事件，须积极主动配合采购人及主管部门进行核实、解决，对确实须整改的地方立即进行整改。对媒体、人大代表、政协委员、群众来信、来电、来访提出的问题，在采购人规定的时间范围内完成整改，并进行书面回复。</w:t>
      </w:r>
    </w:p>
    <w:p>
      <w:pPr>
        <w:spacing w:line="600" w:lineRule="exact"/>
        <w:ind w:firstLine="480" w:firstLineChars="200"/>
        <w:rPr>
          <w:rFonts w:ascii="宋体" w:hAnsi="宋体"/>
          <w:color w:val="auto"/>
          <w:sz w:val="24"/>
          <w:szCs w:val="24"/>
          <w:highlight w:val="none"/>
          <w:lang w:val="zh-CN"/>
        </w:rPr>
      </w:pPr>
      <w:r>
        <w:rPr>
          <w:rFonts w:ascii="宋体" w:hAnsi="宋体"/>
          <w:color w:val="auto"/>
          <w:sz w:val="24"/>
          <w:szCs w:val="24"/>
          <w:highlight w:val="none"/>
          <w:lang w:val="zh-CN"/>
        </w:rPr>
        <w:t>（七）应急处理队伍</w:t>
      </w:r>
    </w:p>
    <w:p>
      <w:pPr>
        <w:spacing w:line="550" w:lineRule="exact"/>
        <w:ind w:firstLine="480" w:firstLineChars="200"/>
        <w:rPr>
          <w:rFonts w:ascii="宋体" w:hAnsi="宋体"/>
          <w:color w:val="auto"/>
          <w:sz w:val="24"/>
          <w:szCs w:val="24"/>
          <w:highlight w:val="none"/>
          <w:lang w:val="zh-CN"/>
        </w:rPr>
      </w:pPr>
      <w:r>
        <w:rPr>
          <w:rFonts w:ascii="宋体" w:hAnsi="宋体"/>
          <w:color w:val="auto"/>
          <w:sz w:val="24"/>
          <w:szCs w:val="24"/>
          <w:highlight w:val="none"/>
          <w:lang w:val="zh-CN"/>
        </w:rPr>
        <w:t>中标人必须针对本项目建立一支应急处理队伍，队伍人数不能少于</w:t>
      </w:r>
      <w:r>
        <w:rPr>
          <w:rFonts w:ascii="宋体" w:hAnsi="宋体"/>
          <w:color w:val="auto"/>
          <w:sz w:val="24"/>
          <w:szCs w:val="24"/>
          <w:highlight w:val="none"/>
        </w:rPr>
        <w:t>20</w:t>
      </w:r>
      <w:r>
        <w:rPr>
          <w:rFonts w:ascii="宋体" w:hAnsi="宋体"/>
          <w:color w:val="auto"/>
          <w:sz w:val="24"/>
          <w:szCs w:val="24"/>
          <w:highlight w:val="none"/>
          <w:lang w:val="zh-CN"/>
        </w:rPr>
        <w:t>人，必须由公司法定代表人担任第一负责人，应急救援队伍的应急救援人员应当具备必要的专业知识、技能、身体素质和心理素质。中标人须在中标后一个月内将应急处理队伍的成员名单和联络方式报采购人、相关部门备案。应急处理队伍须做到：团队成员须保持24小时通讯通畅、建立快速应急处理机制；</w:t>
      </w:r>
      <w:r>
        <w:rPr>
          <w:rFonts w:ascii="宋体" w:hAnsi="宋体"/>
          <w:color w:val="auto"/>
          <w:sz w:val="24"/>
          <w:szCs w:val="24"/>
          <w:highlight w:val="none"/>
        </w:rPr>
        <w:t>对于市、区主管部门下达的应急任务必须在1小时内到达现场进行处理。对媒体、群众来信、来电、来访等提出的问题，必须在管理部门规定的时间范围内完成整改，并进行书面回复。对于成都市及锦江区政府相关管理数字平台（如市长信箱及公开电话、区长信箱及公开电话等）涉及绿化管理的相关工作任务，必须在管理部门规定的时间范围内完成任务，并进行书面回复。</w:t>
      </w:r>
      <w:r>
        <w:rPr>
          <w:rFonts w:ascii="宋体" w:hAnsi="宋体"/>
          <w:color w:val="auto"/>
          <w:sz w:val="24"/>
          <w:szCs w:val="24"/>
          <w:highlight w:val="none"/>
          <w:lang w:val="zh-CN"/>
        </w:rPr>
        <w:t>完成采购人安排的其他需紧急处理事项。管护期间人员的安全责任由中标人全权负责。</w:t>
      </w:r>
    </w:p>
    <w:p>
      <w:pPr>
        <w:spacing w:line="600" w:lineRule="exact"/>
        <w:ind w:firstLine="480" w:firstLineChars="200"/>
        <w:rPr>
          <w:rFonts w:ascii="宋体" w:hAnsi="宋体"/>
          <w:color w:val="auto"/>
          <w:sz w:val="24"/>
          <w:szCs w:val="24"/>
          <w:highlight w:val="none"/>
          <w:lang w:val="zh-CN"/>
        </w:rPr>
      </w:pPr>
      <w:r>
        <w:rPr>
          <w:rFonts w:ascii="宋体" w:hAnsi="宋体"/>
          <w:color w:val="auto"/>
          <w:sz w:val="24"/>
          <w:szCs w:val="24"/>
          <w:highlight w:val="none"/>
          <w:lang w:val="zh-CN"/>
        </w:rPr>
        <w:t>（八）其他服务质量标准</w:t>
      </w:r>
    </w:p>
    <w:p>
      <w:pPr>
        <w:spacing w:line="600" w:lineRule="exact"/>
        <w:ind w:firstLine="480" w:firstLineChars="200"/>
        <w:rPr>
          <w:rFonts w:ascii="宋体" w:hAnsi="宋体"/>
          <w:color w:val="auto"/>
          <w:sz w:val="24"/>
          <w:szCs w:val="24"/>
          <w:highlight w:val="none"/>
          <w:lang w:val="zh-CN"/>
        </w:rPr>
      </w:pPr>
      <w:r>
        <w:rPr>
          <w:rFonts w:ascii="宋体" w:hAnsi="宋体"/>
          <w:color w:val="auto"/>
          <w:sz w:val="24"/>
          <w:szCs w:val="24"/>
          <w:highlight w:val="none"/>
          <w:lang w:val="zh-CN"/>
        </w:rPr>
        <w:t>对于采购人安排的检查、参观、考察等其他工作应完全响应，安排符合要求的讲解人员，根据采购人的要求完成管理用房的办公设施、会议设施、宣传资料的布置和配置，完成采购人临时安排的其他工作。</w:t>
      </w:r>
    </w:p>
    <w:p>
      <w:pPr>
        <w:spacing w:line="550" w:lineRule="exact"/>
        <w:jc w:val="center"/>
        <w:rPr>
          <w:rFonts w:ascii="宋体" w:hAnsi="宋体"/>
          <w:b/>
          <w:color w:val="auto"/>
          <w:sz w:val="24"/>
          <w:szCs w:val="24"/>
          <w:highlight w:val="none"/>
        </w:rPr>
      </w:pPr>
      <w:r>
        <w:rPr>
          <w:rFonts w:ascii="宋体" w:hAnsi="宋体"/>
          <w:b/>
          <w:color w:val="auto"/>
          <w:sz w:val="24"/>
          <w:szCs w:val="24"/>
          <w:highlight w:val="none"/>
        </w:rPr>
        <w:t>第五章  附则</w:t>
      </w:r>
    </w:p>
    <w:p>
      <w:pPr>
        <w:spacing w:line="550" w:lineRule="exact"/>
        <w:rPr>
          <w:rFonts w:ascii="宋体" w:hAnsi="宋体"/>
          <w:color w:val="auto"/>
          <w:sz w:val="24"/>
          <w:szCs w:val="24"/>
          <w:highlight w:val="none"/>
        </w:rPr>
      </w:pPr>
      <w:r>
        <w:rPr>
          <w:rFonts w:ascii="宋体" w:hAnsi="宋体"/>
          <w:color w:val="auto"/>
          <w:sz w:val="24"/>
          <w:szCs w:val="24"/>
          <w:highlight w:val="none"/>
        </w:rPr>
        <w:t xml:space="preserve">    本办法自2022年1月起执行，之前有关规定与此《办法》不一致的，以此《办法》为准。本办法最终解释权归锦江区综合行政执法局（区城管局）所有。</w:t>
      </w:r>
    </w:p>
    <w:p>
      <w:pPr>
        <w:spacing w:line="520" w:lineRule="exact"/>
        <w:ind w:firstLine="480" w:firstLineChars="200"/>
        <w:rPr>
          <w:rFonts w:ascii="宋体" w:hAnsi="宋体"/>
          <w:color w:val="auto"/>
          <w:sz w:val="24"/>
          <w:szCs w:val="24"/>
          <w:highlight w:val="none"/>
        </w:rPr>
      </w:pPr>
      <w:r>
        <w:rPr>
          <w:rFonts w:ascii="宋体" w:hAnsi="宋体"/>
          <w:color w:val="auto"/>
          <w:sz w:val="24"/>
          <w:szCs w:val="24"/>
          <w:highlight w:val="none"/>
        </w:rPr>
        <w:t>此规范作为对合同的补充，纳入合同管理，以上规范各绿化管护单位必须严格参照执行，在实行期间若发现问题，由双方会同有关专业人士进行商酌修改，完善本规范。</w:t>
      </w:r>
    </w:p>
    <w:p>
      <w:pPr>
        <w:autoSpaceDE w:val="0"/>
        <w:autoSpaceDN w:val="0"/>
        <w:adjustRightInd w:val="0"/>
        <w:spacing w:line="560" w:lineRule="exact"/>
        <w:jc w:val="left"/>
        <w:rPr>
          <w:rFonts w:ascii="宋体" w:hAnsi="宋体"/>
          <w:color w:val="auto"/>
          <w:kern w:val="0"/>
          <w:sz w:val="24"/>
          <w:szCs w:val="24"/>
          <w:highlight w:val="none"/>
        </w:rPr>
      </w:pPr>
    </w:p>
    <w:p>
      <w:pPr>
        <w:autoSpaceDE w:val="0"/>
        <w:autoSpaceDN w:val="0"/>
        <w:adjustRightInd w:val="0"/>
        <w:spacing w:line="560" w:lineRule="exact"/>
        <w:jc w:val="left"/>
        <w:rPr>
          <w:rFonts w:ascii="宋体" w:hAnsi="宋体"/>
          <w:color w:val="auto"/>
          <w:kern w:val="0"/>
          <w:sz w:val="24"/>
          <w:szCs w:val="24"/>
          <w:highlight w:val="none"/>
        </w:rPr>
      </w:pPr>
    </w:p>
    <w:p>
      <w:pPr>
        <w:pStyle w:val="2"/>
        <w:rPr>
          <w:color w:val="auto"/>
          <w:highlight w:val="none"/>
        </w:rPr>
      </w:pPr>
    </w:p>
    <w:p>
      <w:pPr>
        <w:autoSpaceDE w:val="0"/>
        <w:autoSpaceDN w:val="0"/>
        <w:adjustRightInd w:val="0"/>
        <w:spacing w:line="560" w:lineRule="exact"/>
        <w:jc w:val="left"/>
        <w:rPr>
          <w:rFonts w:ascii="宋体" w:hAnsi="宋体"/>
          <w:color w:val="auto"/>
          <w:kern w:val="0"/>
          <w:sz w:val="24"/>
          <w:szCs w:val="24"/>
          <w:highlight w:val="none"/>
        </w:rPr>
      </w:pPr>
      <w:r>
        <w:rPr>
          <w:rFonts w:ascii="宋体" w:hAnsi="宋体"/>
          <w:color w:val="auto"/>
          <w:kern w:val="0"/>
          <w:sz w:val="24"/>
          <w:szCs w:val="24"/>
          <w:highlight w:val="none"/>
        </w:rPr>
        <w:t>附件4</w:t>
      </w:r>
    </w:p>
    <w:p>
      <w:pPr>
        <w:autoSpaceDE w:val="0"/>
        <w:autoSpaceDN w:val="0"/>
        <w:adjustRightInd w:val="0"/>
        <w:spacing w:line="560" w:lineRule="exact"/>
        <w:jc w:val="left"/>
        <w:rPr>
          <w:rFonts w:ascii="宋体" w:hAnsi="宋体"/>
          <w:color w:val="auto"/>
          <w:kern w:val="0"/>
          <w:sz w:val="24"/>
          <w:szCs w:val="24"/>
          <w:highlight w:val="none"/>
        </w:rPr>
      </w:pPr>
    </w:p>
    <w:p>
      <w:pPr>
        <w:autoSpaceDE w:val="0"/>
        <w:autoSpaceDN w:val="0"/>
        <w:adjustRightInd w:val="0"/>
        <w:spacing w:line="560" w:lineRule="exact"/>
        <w:jc w:val="center"/>
        <w:rPr>
          <w:rFonts w:ascii="宋体" w:hAnsi="宋体"/>
          <w:color w:val="auto"/>
          <w:kern w:val="0"/>
          <w:sz w:val="24"/>
          <w:szCs w:val="24"/>
          <w:highlight w:val="none"/>
        </w:rPr>
      </w:pPr>
      <w:r>
        <w:rPr>
          <w:rFonts w:ascii="宋体" w:hAnsi="宋体"/>
          <w:color w:val="auto"/>
          <w:kern w:val="0"/>
          <w:sz w:val="24"/>
          <w:szCs w:val="24"/>
          <w:highlight w:val="none"/>
        </w:rPr>
        <w:t>锦江区河道管护考核办法</w:t>
      </w:r>
    </w:p>
    <w:p>
      <w:pPr>
        <w:autoSpaceDE w:val="0"/>
        <w:autoSpaceDN w:val="0"/>
        <w:adjustRightInd w:val="0"/>
        <w:spacing w:line="520" w:lineRule="exact"/>
        <w:ind w:firstLine="480" w:firstLineChars="200"/>
        <w:jc w:val="left"/>
        <w:rPr>
          <w:rFonts w:ascii="宋体" w:hAnsi="宋体"/>
          <w:color w:val="auto"/>
          <w:kern w:val="0"/>
          <w:sz w:val="24"/>
          <w:szCs w:val="24"/>
          <w:highlight w:val="none"/>
        </w:rPr>
      </w:pPr>
    </w:p>
    <w:p>
      <w:pPr>
        <w:numPr>
          <w:ilvl w:val="0"/>
          <w:numId w:val="65"/>
        </w:numPr>
        <w:autoSpaceDE w:val="0"/>
        <w:autoSpaceDN w:val="0"/>
        <w:adjustRightInd w:val="0"/>
        <w:spacing w:line="52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 xml:space="preserve"> 总则</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第一条 目标</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为进一步完善我区河道管理机制，不断提高河道管护水平，使河道管护工作实现规范化、制度化、精细化，依据</w:t>
      </w:r>
      <w:r>
        <w:rPr>
          <w:rFonts w:ascii="宋体" w:hAnsi="宋体"/>
          <w:bCs/>
          <w:color w:val="auto"/>
          <w:kern w:val="0"/>
          <w:sz w:val="24"/>
          <w:szCs w:val="24"/>
          <w:highlight w:val="none"/>
        </w:rPr>
        <w:t>《中心城区河道管护经费标准（试行）》</w:t>
      </w:r>
      <w:r>
        <w:rPr>
          <w:rFonts w:ascii="宋体" w:hAnsi="宋体"/>
          <w:color w:val="auto"/>
          <w:sz w:val="24"/>
          <w:szCs w:val="24"/>
          <w:highlight w:val="none"/>
        </w:rPr>
        <w:t>等文件，结合我区实际，制定本办法。</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第二条 适用范围</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本办法适用于锦江区河道管护作业情况的检查、考核。</w:t>
      </w:r>
    </w:p>
    <w:p>
      <w:pPr>
        <w:autoSpaceDE w:val="0"/>
        <w:autoSpaceDN w:val="0"/>
        <w:adjustRightInd w:val="0"/>
        <w:jc w:val="left"/>
        <w:rPr>
          <w:rFonts w:ascii="宋体" w:hAnsi="宋体"/>
          <w:color w:val="auto"/>
          <w:kern w:val="0"/>
          <w:sz w:val="24"/>
          <w:szCs w:val="24"/>
          <w:highlight w:val="none"/>
        </w:rPr>
      </w:pPr>
    </w:p>
    <w:p>
      <w:pPr>
        <w:numPr>
          <w:ilvl w:val="0"/>
          <w:numId w:val="65"/>
        </w:numPr>
        <w:spacing w:line="56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 xml:space="preserve"> 考核依据</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lang w:eastAsia="zh-CN"/>
        </w:rPr>
        <w:t>三</w:t>
      </w:r>
      <w:r>
        <w:rPr>
          <w:rFonts w:ascii="宋体" w:hAnsi="宋体"/>
          <w:color w:val="auto"/>
          <w:sz w:val="24"/>
          <w:szCs w:val="24"/>
          <w:highlight w:val="none"/>
        </w:rPr>
        <w:t xml:space="preserve">条 </w:t>
      </w:r>
      <w:r>
        <w:rPr>
          <w:rFonts w:hint="eastAsia" w:ascii="宋体" w:hAnsi="宋体"/>
          <w:color w:val="auto"/>
          <w:sz w:val="24"/>
          <w:szCs w:val="24"/>
          <w:highlight w:val="none"/>
          <w:lang w:val="en-US" w:eastAsia="zh-CN"/>
        </w:rPr>
        <w:t xml:space="preserve"> </w:t>
      </w:r>
      <w:r>
        <w:rPr>
          <w:rFonts w:ascii="宋体" w:hAnsi="宋体"/>
          <w:color w:val="auto"/>
          <w:sz w:val="24"/>
          <w:szCs w:val="24"/>
          <w:highlight w:val="none"/>
        </w:rPr>
        <w:t>考核依据</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参照《中心城区河道管护经费标准（试行）》执行。</w:t>
      </w:r>
    </w:p>
    <w:p>
      <w:pPr>
        <w:autoSpaceDE w:val="0"/>
        <w:autoSpaceDN w:val="0"/>
        <w:adjustRightInd w:val="0"/>
        <w:jc w:val="left"/>
        <w:rPr>
          <w:rFonts w:ascii="宋体" w:hAnsi="宋体"/>
          <w:color w:val="auto"/>
          <w:kern w:val="0"/>
          <w:sz w:val="24"/>
          <w:szCs w:val="24"/>
          <w:highlight w:val="none"/>
        </w:rPr>
      </w:pPr>
    </w:p>
    <w:p>
      <w:pPr>
        <w:numPr>
          <w:ilvl w:val="0"/>
          <w:numId w:val="65"/>
        </w:numPr>
        <w:autoSpaceDE w:val="0"/>
        <w:autoSpaceDN w:val="0"/>
        <w:adjustRightInd w:val="0"/>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考核内容</w:t>
      </w:r>
    </w:p>
    <w:p>
      <w:pPr>
        <w:autoSpaceDE w:val="0"/>
        <w:autoSpaceDN w:val="0"/>
        <w:adjustRightInd w:val="0"/>
        <w:ind w:left="420" w:leftChars="200"/>
        <w:jc w:val="center"/>
        <w:rPr>
          <w:rFonts w:ascii="宋体" w:hAnsi="宋体"/>
          <w:color w:val="auto"/>
          <w:kern w:val="0"/>
          <w:sz w:val="24"/>
          <w:szCs w:val="24"/>
          <w:highlight w:val="none"/>
        </w:rPr>
      </w:pPr>
    </w:p>
    <w:p>
      <w:p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lang w:eastAsia="zh-CN"/>
        </w:rPr>
        <w:t>四</w:t>
      </w:r>
      <w:r>
        <w:rPr>
          <w:rFonts w:ascii="宋体" w:hAnsi="宋体"/>
          <w:color w:val="auto"/>
          <w:sz w:val="24"/>
          <w:szCs w:val="24"/>
          <w:highlight w:val="none"/>
        </w:rPr>
        <w:t>条 考核内容</w:t>
      </w:r>
    </w:p>
    <w:p>
      <w:pPr>
        <w:spacing w:line="560" w:lineRule="exact"/>
        <w:ind w:firstLine="480" w:firstLineChars="200"/>
        <w:jc w:val="left"/>
        <w:rPr>
          <w:rFonts w:ascii="宋体" w:hAnsi="宋体"/>
          <w:bCs/>
          <w:color w:val="auto"/>
          <w:sz w:val="24"/>
          <w:szCs w:val="24"/>
          <w:highlight w:val="none"/>
        </w:rPr>
      </w:pPr>
      <w:r>
        <w:rPr>
          <w:rFonts w:ascii="宋体" w:hAnsi="宋体"/>
          <w:bCs/>
          <w:color w:val="auto"/>
          <w:sz w:val="24"/>
          <w:szCs w:val="24"/>
          <w:highlight w:val="none"/>
        </w:rPr>
        <w:t>区管河道河床打漂及清理：打捞河面漂浮物，清理河床堆积的垃圾、挡水障碍物等；巡查河道：对河道基础设施、河道水质、下河口排污、河长公示牌破损、涉河乱挖乱占乱建等情况进行巡查，栏杆破损等安全隐患应及时上报巡查发现的问题；河道管护范围内清扫保洁：对河道管护范围内人行步道清扫保洁，对河堤栏杆、河长公示牌、排水口标识牌等进行清洗维护，对滨河绿化带进行管护保洁。配合做好排口治理、水质监测、公示牌更换等河道管护工作。省、市管河道应对步行道实施日常管护。按作业辖区落实疫情防控和消防工作。</w:t>
      </w:r>
    </w:p>
    <w:p>
      <w:pPr>
        <w:autoSpaceDE w:val="0"/>
        <w:autoSpaceDN w:val="0"/>
        <w:adjustRightInd w:val="0"/>
        <w:jc w:val="left"/>
        <w:rPr>
          <w:rFonts w:ascii="..ì." w:hAnsi="..ì." w:eastAsia="..ì." w:cs="..ì."/>
          <w:color w:val="auto"/>
          <w:kern w:val="0"/>
          <w:sz w:val="24"/>
          <w:szCs w:val="24"/>
          <w:highlight w:val="none"/>
        </w:rPr>
      </w:pPr>
    </w:p>
    <w:p>
      <w:pPr>
        <w:numPr>
          <w:ilvl w:val="0"/>
          <w:numId w:val="65"/>
        </w:numPr>
        <w:spacing w:line="560" w:lineRule="exact"/>
        <w:ind w:firstLine="480" w:firstLineChars="200"/>
        <w:jc w:val="center"/>
        <w:rPr>
          <w:rFonts w:ascii="宋体" w:hAnsi="宋体"/>
          <w:color w:val="auto"/>
          <w:kern w:val="0"/>
          <w:sz w:val="24"/>
          <w:szCs w:val="24"/>
          <w:highlight w:val="none"/>
        </w:rPr>
      </w:pPr>
      <w:r>
        <w:rPr>
          <w:rFonts w:ascii="宋体" w:hAnsi="宋体"/>
          <w:color w:val="auto"/>
          <w:kern w:val="0"/>
          <w:sz w:val="24"/>
          <w:szCs w:val="24"/>
          <w:highlight w:val="none"/>
        </w:rPr>
        <w:t xml:space="preserve"> 考核标准</w:t>
      </w:r>
    </w:p>
    <w:p>
      <w:p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lang w:eastAsia="zh-CN"/>
        </w:rPr>
        <w:t>五</w:t>
      </w:r>
      <w:r>
        <w:rPr>
          <w:rFonts w:ascii="宋体" w:hAnsi="宋体"/>
          <w:color w:val="auto"/>
          <w:sz w:val="24"/>
          <w:szCs w:val="24"/>
          <w:highlight w:val="none"/>
        </w:rPr>
        <w:t>条 考核标准</w:t>
      </w:r>
    </w:p>
    <w:p>
      <w:pPr>
        <w:numPr>
          <w:ilvl w:val="0"/>
          <w:numId w:val="66"/>
        </w:num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日常考核</w:t>
      </w:r>
    </w:p>
    <w:p>
      <w:pPr>
        <w:numPr>
          <w:ilvl w:val="0"/>
          <w:numId w:val="67"/>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市河长办、市水务局巡查发现并通报涉及河道管护的问题，每处扣200元。</w:t>
      </w:r>
    </w:p>
    <w:p>
      <w:pPr>
        <w:numPr>
          <w:ilvl w:val="0"/>
          <w:numId w:val="67"/>
        </w:numPr>
        <w:spacing w:line="560" w:lineRule="exact"/>
        <w:ind w:firstLine="456" w:firstLineChars="200"/>
        <w:rPr>
          <w:rFonts w:ascii="宋体" w:hAnsi="宋体"/>
          <w:color w:val="auto"/>
          <w:w w:val="95"/>
          <w:sz w:val="24"/>
          <w:szCs w:val="24"/>
          <w:highlight w:val="none"/>
        </w:rPr>
      </w:pPr>
      <w:r>
        <w:rPr>
          <w:rFonts w:ascii="宋体" w:hAnsi="宋体"/>
          <w:color w:val="auto"/>
          <w:w w:val="95"/>
          <w:sz w:val="24"/>
          <w:szCs w:val="24"/>
          <w:highlight w:val="none"/>
        </w:rPr>
        <w:t>在随机巡查中河面每100米垃圾超过3处的，发现一次扣200元。</w:t>
      </w:r>
    </w:p>
    <w:p>
      <w:pPr>
        <w:numPr>
          <w:ilvl w:val="0"/>
          <w:numId w:val="67"/>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在随机巡查中河岸每100米范围内垃圾超过3处的，发现一次扣200元。</w:t>
      </w:r>
    </w:p>
    <w:p>
      <w:pPr>
        <w:numPr>
          <w:ilvl w:val="0"/>
          <w:numId w:val="67"/>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河道垮塌、损坏，河岸有违建等情况未及时上报的，发现一次扣500元。</w:t>
      </w:r>
    </w:p>
    <w:p>
      <w:pPr>
        <w:numPr>
          <w:ilvl w:val="0"/>
          <w:numId w:val="67"/>
        </w:numPr>
        <w:spacing w:line="560" w:lineRule="exact"/>
        <w:ind w:firstLine="456" w:firstLineChars="200"/>
        <w:rPr>
          <w:rFonts w:ascii="宋体" w:hAnsi="宋体"/>
          <w:color w:val="auto"/>
          <w:w w:val="95"/>
          <w:sz w:val="24"/>
          <w:szCs w:val="24"/>
          <w:highlight w:val="none"/>
        </w:rPr>
      </w:pPr>
      <w:r>
        <w:rPr>
          <w:rFonts w:ascii="宋体" w:hAnsi="宋体"/>
          <w:color w:val="auto"/>
          <w:w w:val="95"/>
          <w:sz w:val="24"/>
          <w:szCs w:val="24"/>
          <w:highlight w:val="none"/>
        </w:rPr>
        <w:t>河道公示牌保洁不及时，公示牌损坏、遮挡未及时上报的，发现一次扣200元。</w:t>
      </w:r>
    </w:p>
    <w:p>
      <w:pPr>
        <w:numPr>
          <w:ilvl w:val="0"/>
          <w:numId w:val="67"/>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将垃圾、树叶等直接清扫入河道或者水篦子的，发现一次扣500元。</w:t>
      </w:r>
    </w:p>
    <w:p>
      <w:pPr>
        <w:numPr>
          <w:ilvl w:val="0"/>
          <w:numId w:val="67"/>
        </w:numPr>
        <w:spacing w:line="560" w:lineRule="exact"/>
        <w:ind w:firstLine="480" w:firstLineChars="200"/>
        <w:rPr>
          <w:rFonts w:ascii="宋体" w:hAnsi="宋体"/>
          <w:color w:val="auto"/>
          <w:sz w:val="24"/>
          <w:szCs w:val="24"/>
          <w:highlight w:val="none"/>
        </w:rPr>
      </w:pPr>
      <w:r>
        <w:rPr>
          <w:rFonts w:ascii="宋体" w:hAnsi="宋体"/>
          <w:color w:val="auto"/>
          <w:sz w:val="24"/>
          <w:szCs w:val="24"/>
          <w:highlight w:val="none"/>
        </w:rPr>
        <w:t>区管河道每公里配备1名专职河道管护人员，不足1公里的按1公里计；在各类检查中，发现配置不达要求的，扣1000元。</w:t>
      </w:r>
    </w:p>
    <w:p>
      <w:pPr>
        <w:numPr>
          <w:ilvl w:val="0"/>
          <w:numId w:val="66"/>
        </w:num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专项考核</w:t>
      </w:r>
    </w:p>
    <w:p>
      <w:pPr>
        <w:numPr>
          <w:ilvl w:val="0"/>
          <w:numId w:val="68"/>
        </w:num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河道护栏管护。采取随机抽查的方式，每100米栏杆张贴物、污渍、乱涂乱画超3处的，扣0.1分。沿线有栏杆破损，未上报且未设置警示标志的，每发现1处，扣0.1分。</w:t>
      </w:r>
    </w:p>
    <w:p>
      <w:pPr>
        <w:numPr>
          <w:ilvl w:val="0"/>
          <w:numId w:val="68"/>
        </w:num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河道管护。采取随机抽查的方式，每100米河道堆积的垃圾、行洪障碍物查过3处的，扣0.1分。沿线有违规建筑、违规占用河道且未上报的，每发现1处，扣0.1分。</w:t>
      </w:r>
    </w:p>
    <w:p>
      <w:pPr>
        <w:numPr>
          <w:ilvl w:val="0"/>
          <w:numId w:val="68"/>
        </w:num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区河长办发现、通报的河道管护问题，未按要求及时整改的，1次扣0.2分。</w:t>
      </w:r>
    </w:p>
    <w:p>
      <w:pPr>
        <w:numPr>
          <w:ilvl w:val="0"/>
          <w:numId w:val="66"/>
        </w:num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下河口排污和水质黑臭问题未及时上报且被市、区河长办通报的，1次扣0.2元。</w:t>
      </w:r>
    </w:p>
    <w:p>
      <w:pPr>
        <w:numPr>
          <w:ilvl w:val="0"/>
          <w:numId w:val="66"/>
        </w:numPr>
        <w:autoSpaceDE w:val="0"/>
        <w:autoSpaceDN w:val="0"/>
        <w:adjustRightInd w:val="0"/>
        <w:spacing w:line="56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加分事项</w:t>
      </w:r>
    </w:p>
    <w:p>
      <w:pPr>
        <w:numPr>
          <w:ilvl w:val="0"/>
          <w:numId w:val="69"/>
        </w:numPr>
        <w:autoSpaceDE w:val="0"/>
        <w:autoSpaceDN w:val="0"/>
        <w:adjustRightInd w:val="0"/>
        <w:spacing w:line="560" w:lineRule="exact"/>
        <w:ind w:firstLine="640"/>
        <w:jc w:val="left"/>
        <w:rPr>
          <w:rFonts w:ascii="宋体" w:hAnsi="宋体"/>
          <w:color w:val="auto"/>
          <w:sz w:val="24"/>
          <w:szCs w:val="24"/>
          <w:highlight w:val="none"/>
        </w:rPr>
      </w:pPr>
      <w:r>
        <w:rPr>
          <w:rFonts w:ascii="宋体" w:hAnsi="宋体"/>
          <w:color w:val="auto"/>
          <w:kern w:val="0"/>
          <w:sz w:val="24"/>
          <w:szCs w:val="24"/>
          <w:highlight w:val="none"/>
        </w:rPr>
        <w:t>所管护的河段，受到市、区两级（领导或环保、水务部门）通报表扬等情况，市级1次加0.5分，区级1次加0.2分。</w:t>
      </w:r>
    </w:p>
    <w:p>
      <w:pPr>
        <w:numPr>
          <w:ilvl w:val="0"/>
          <w:numId w:val="69"/>
        </w:numPr>
        <w:autoSpaceDE w:val="0"/>
        <w:autoSpaceDN w:val="0"/>
        <w:adjustRightInd w:val="0"/>
        <w:spacing w:line="560" w:lineRule="exact"/>
        <w:ind w:firstLine="640"/>
        <w:jc w:val="left"/>
        <w:rPr>
          <w:rFonts w:ascii="宋体" w:hAnsi="宋体"/>
          <w:color w:val="auto"/>
          <w:kern w:val="0"/>
          <w:sz w:val="24"/>
          <w:szCs w:val="24"/>
          <w:highlight w:val="none"/>
        </w:rPr>
      </w:pPr>
      <w:r>
        <w:rPr>
          <w:rFonts w:ascii="宋体" w:hAnsi="宋体"/>
          <w:color w:val="auto"/>
          <w:kern w:val="0"/>
          <w:sz w:val="24"/>
          <w:szCs w:val="24"/>
          <w:highlight w:val="none"/>
        </w:rPr>
        <w:t>河道管护人员获评市、区两级“最美护河人”称号的，市级1人次加0.5分，区级1人次加0.2分。</w:t>
      </w:r>
    </w:p>
    <w:p>
      <w:pPr>
        <w:numPr>
          <w:ilvl w:val="0"/>
          <w:numId w:val="69"/>
        </w:numPr>
        <w:autoSpaceDE w:val="0"/>
        <w:autoSpaceDN w:val="0"/>
        <w:adjustRightInd w:val="0"/>
        <w:spacing w:line="560" w:lineRule="exact"/>
        <w:ind w:firstLine="640"/>
        <w:jc w:val="left"/>
        <w:rPr>
          <w:rFonts w:ascii="宋体" w:hAnsi="宋体"/>
          <w:color w:val="auto"/>
          <w:kern w:val="0"/>
          <w:sz w:val="24"/>
          <w:szCs w:val="24"/>
          <w:highlight w:val="none"/>
        </w:rPr>
      </w:pPr>
      <w:r>
        <w:rPr>
          <w:rFonts w:ascii="宋体" w:hAnsi="宋体"/>
          <w:color w:val="auto"/>
          <w:kern w:val="0"/>
          <w:sz w:val="24"/>
          <w:szCs w:val="24"/>
          <w:highlight w:val="none"/>
        </w:rPr>
        <w:t>所管护的河段，在水质断面考核中，水质显著提升的，加0.2分。</w:t>
      </w:r>
    </w:p>
    <w:p>
      <w:pPr>
        <w:autoSpaceDE w:val="0"/>
        <w:autoSpaceDN w:val="0"/>
        <w:adjustRightInd w:val="0"/>
        <w:spacing w:line="520" w:lineRule="exact"/>
        <w:ind w:left="420" w:leftChars="200"/>
        <w:jc w:val="left"/>
        <w:rPr>
          <w:rFonts w:ascii="宋体" w:hAnsi="宋体"/>
          <w:color w:val="auto"/>
          <w:kern w:val="0"/>
          <w:sz w:val="24"/>
          <w:szCs w:val="24"/>
          <w:highlight w:val="none"/>
        </w:rPr>
      </w:pPr>
    </w:p>
    <w:p>
      <w:pPr>
        <w:numPr>
          <w:ilvl w:val="0"/>
          <w:numId w:val="0"/>
        </w:numPr>
        <w:autoSpaceDE w:val="0"/>
        <w:autoSpaceDN w:val="0"/>
        <w:adjustRightInd w:val="0"/>
        <w:spacing w:line="520" w:lineRule="exact"/>
        <w:jc w:val="center"/>
        <w:rPr>
          <w:rFonts w:ascii="宋体" w:hAnsi="宋体"/>
          <w:color w:val="auto"/>
          <w:kern w:val="0"/>
          <w:sz w:val="24"/>
          <w:szCs w:val="24"/>
          <w:highlight w:val="none"/>
        </w:rPr>
      </w:pPr>
      <w:r>
        <w:rPr>
          <w:rFonts w:hint="eastAsia" w:ascii="宋体" w:hAnsi="宋体"/>
          <w:color w:val="auto"/>
          <w:kern w:val="0"/>
          <w:sz w:val="24"/>
          <w:szCs w:val="24"/>
          <w:highlight w:val="none"/>
          <w:lang w:eastAsia="zh-CN"/>
        </w:rPr>
        <w:t>第五章</w:t>
      </w:r>
      <w:r>
        <w:rPr>
          <w:rFonts w:ascii="宋体" w:hAnsi="宋体"/>
          <w:color w:val="auto"/>
          <w:kern w:val="0"/>
          <w:sz w:val="24"/>
          <w:szCs w:val="24"/>
          <w:highlight w:val="none"/>
        </w:rPr>
        <w:t xml:space="preserve"> 附则</w:t>
      </w:r>
    </w:p>
    <w:p>
      <w:pPr>
        <w:numPr>
          <w:ilvl w:val="0"/>
          <w:numId w:val="70"/>
        </w:numPr>
        <w:spacing w:line="560" w:lineRule="exact"/>
        <w:ind w:firstLine="482" w:firstLineChars="200"/>
        <w:rPr>
          <w:rFonts w:ascii="宋体" w:hAnsi="宋体"/>
          <w:color w:val="auto"/>
          <w:kern w:val="0"/>
          <w:sz w:val="24"/>
          <w:szCs w:val="24"/>
          <w:highlight w:val="none"/>
        </w:rPr>
      </w:pPr>
      <w:r>
        <w:rPr>
          <w:rFonts w:ascii="宋体" w:hAnsi="宋体"/>
          <w:b/>
          <w:bCs/>
          <w:color w:val="auto"/>
          <w:sz w:val="24"/>
          <w:szCs w:val="24"/>
          <w:highlight w:val="none"/>
        </w:rPr>
        <w:t xml:space="preserve"> </w:t>
      </w:r>
      <w:r>
        <w:rPr>
          <w:rFonts w:ascii="宋体" w:hAnsi="宋体"/>
          <w:color w:val="auto"/>
          <w:kern w:val="0"/>
          <w:sz w:val="24"/>
          <w:szCs w:val="24"/>
          <w:highlight w:val="none"/>
        </w:rPr>
        <w:t>本办法自合同约定之日起执行。本办法最终解释权归成都市锦江区综合行政执法局所有。</w:t>
      </w:r>
    </w:p>
    <w:p>
      <w:pPr>
        <w:pStyle w:val="2"/>
        <w:rPr>
          <w:rFonts w:ascii="宋体" w:hAnsi="宋体"/>
          <w:color w:val="auto"/>
          <w:kern w:val="0"/>
          <w:sz w:val="24"/>
          <w:szCs w:val="24"/>
          <w:highlight w:val="none"/>
        </w:rPr>
      </w:pPr>
    </w:p>
    <w:p>
      <w:pPr>
        <w:pStyle w:val="3"/>
        <w:rPr>
          <w:color w:val="auto"/>
          <w:highlight w:val="none"/>
        </w:rPr>
      </w:pPr>
    </w:p>
    <w:p>
      <w:pPr>
        <w:pStyle w:val="3"/>
        <w:rPr>
          <w:color w:val="auto"/>
          <w:highlight w:val="none"/>
        </w:rPr>
      </w:pPr>
    </w:p>
    <w:p>
      <w:pPr>
        <w:pStyle w:val="3"/>
        <w:ind w:firstLine="180"/>
        <w:rPr>
          <w:color w:val="auto"/>
          <w:highlight w:val="none"/>
        </w:rPr>
      </w:pPr>
    </w:p>
    <w:p>
      <w:pPr>
        <w:pStyle w:val="3"/>
        <w:ind w:firstLine="180"/>
        <w:rPr>
          <w:color w:val="auto"/>
          <w:highlight w:val="none"/>
          <w:lang w:val="zh-TW"/>
        </w:rPr>
      </w:pPr>
    </w:p>
    <w:p>
      <w:pPr>
        <w:widowControl/>
        <w:jc w:val="left"/>
        <w:rPr>
          <w:rFonts w:ascii="Times New Roman" w:hAnsi="Times New Roman"/>
          <w:color w:val="auto"/>
          <w:szCs w:val="24"/>
          <w:highlight w:val="none"/>
        </w:rPr>
      </w:pPr>
      <w:r>
        <w:rPr>
          <w:rFonts w:ascii="Times New Roman" w:hAnsi="Times New Roman"/>
          <w:color w:val="auto"/>
          <w:szCs w:val="24"/>
          <w:highlight w:val="none"/>
        </w:rPr>
        <w:br w:type="page"/>
      </w:r>
    </w:p>
    <w:p>
      <w:pPr>
        <w:jc w:val="left"/>
        <w:rPr>
          <w:rFonts w:ascii="Times New Roman" w:hAnsi="Times New Roman"/>
          <w:vanish/>
          <w:color w:val="auto"/>
          <w:szCs w:val="24"/>
          <w:highlight w:val="none"/>
        </w:rPr>
      </w:pPr>
    </w:p>
    <w:p>
      <w:pPr>
        <w:jc w:val="left"/>
        <w:rPr>
          <w:rFonts w:ascii="Times New Roman" w:hAnsi="Times New Roman"/>
          <w:vanish/>
          <w:color w:val="auto"/>
          <w:szCs w:val="24"/>
          <w:highlight w:val="none"/>
        </w:rPr>
      </w:pPr>
    </w:p>
    <w:bookmarkEnd w:id="139"/>
    <w:bookmarkEnd w:id="140"/>
    <w:bookmarkEnd w:id="141"/>
    <w:p>
      <w:pPr>
        <w:keepNext/>
        <w:keepLines/>
        <w:numPr>
          <w:ilvl w:val="0"/>
          <w:numId w:val="28"/>
        </w:numPr>
        <w:spacing w:before="340" w:after="330" w:line="400" w:lineRule="exact"/>
        <w:jc w:val="center"/>
        <w:outlineLvl w:val="0"/>
        <w:rPr>
          <w:rFonts w:ascii="宋体" w:hAnsi="宋体"/>
          <w:b/>
          <w:bCs/>
          <w:color w:val="auto"/>
          <w:spacing w:val="-20"/>
          <w:kern w:val="44"/>
          <w:sz w:val="32"/>
          <w:szCs w:val="32"/>
          <w:highlight w:val="none"/>
        </w:rPr>
      </w:pPr>
      <w:bookmarkStart w:id="150" w:name="_Toc18332"/>
      <w:r>
        <w:rPr>
          <w:rFonts w:hint="eastAsia" w:ascii="宋体" w:hAnsi="宋体"/>
          <w:b/>
          <w:bCs/>
          <w:color w:val="auto"/>
          <w:spacing w:val="-20"/>
          <w:kern w:val="44"/>
          <w:sz w:val="32"/>
          <w:szCs w:val="32"/>
          <w:highlight w:val="none"/>
        </w:rPr>
        <w:t>资格性审查</w:t>
      </w:r>
      <w:bookmarkEnd w:id="150"/>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color w:val="auto"/>
          <w:sz w:val="28"/>
          <w:szCs w:val="28"/>
          <w:highlight w:val="none"/>
        </w:rPr>
      </w:pPr>
      <w:r>
        <w:rPr>
          <w:rFonts w:hint="eastAsia" w:ascii="宋体" w:hAnsi="宋体"/>
          <w:color w:val="auto"/>
          <w:sz w:val="28"/>
          <w:szCs w:val="28"/>
          <w:highlight w:val="none"/>
        </w:rPr>
        <w:t>资格性审查时因断电、断网、系统故障或其他不可抗力等因素，导致资格审查小组无法通过系统阅读投标文件进行审查的，待系统恢复后继续审查。出现上述情况时，区采购中心将以电子邮件形式通知各投标人。</w:t>
      </w:r>
      <w:r>
        <w:rPr>
          <w:rFonts w:hint="eastAsia" w:ascii="宋体" w:hAnsi="宋体"/>
          <w:color w:val="auto"/>
          <w:sz w:val="28"/>
          <w:szCs w:val="28"/>
          <w:highlight w:val="none"/>
          <w:lang w:val="en-US" w:eastAsia="zh-CN"/>
        </w:rPr>
        <w:t>包件1——包件6</w:t>
      </w:r>
      <w:r>
        <w:rPr>
          <w:rFonts w:hint="eastAsia" w:ascii="宋体" w:hAnsi="宋体"/>
          <w:color w:val="auto"/>
          <w:sz w:val="28"/>
          <w:szCs w:val="28"/>
          <w:highlight w:val="none"/>
        </w:rPr>
        <w:t>资格性审查标准见下表：</w:t>
      </w:r>
    </w:p>
    <w:tbl>
      <w:tblPr>
        <w:tblStyle w:val="5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auto"/>
                <w:sz w:val="20"/>
                <w:highlight w:val="none"/>
              </w:rPr>
            </w:pPr>
            <w:r>
              <w:rPr>
                <w:rFonts w:hint="eastAsia"/>
                <w:b/>
                <w:color w:val="auto"/>
                <w:sz w:val="20"/>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auto"/>
                <w:sz w:val="20"/>
                <w:highlight w:val="none"/>
              </w:rPr>
            </w:pPr>
            <w:r>
              <w:rPr>
                <w:rFonts w:hint="eastAsia"/>
                <w:b/>
                <w:color w:val="auto"/>
                <w:sz w:val="20"/>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highlight w:val="none"/>
              </w:rPr>
            </w:pPr>
            <w:r>
              <w:rPr>
                <w:color w:val="auto"/>
                <w:sz w:val="20"/>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1"/>
                <w:szCs w:val="21"/>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营业执照复印件（正本或副本）或法人证书复印件（正本或副本）。【说明：</w:t>
            </w:r>
            <w:r>
              <w:rPr>
                <w:rFonts w:hint="eastAsia" w:ascii="宋体" w:hAnsi="宋体"/>
                <w:color w:val="auto"/>
                <w:sz w:val="20"/>
                <w:szCs w:val="28"/>
                <w:highlight w:val="none"/>
              </w:rPr>
              <w:t>①</w:t>
            </w:r>
            <w:r>
              <w:rPr>
                <w:rFonts w:hint="eastAsia"/>
                <w:color w:val="auto"/>
                <w:sz w:val="20"/>
                <w:highlight w:val="none"/>
              </w:rPr>
              <w:t>营业执照或法人证书载明有期限的，应在有效期限内；</w:t>
            </w:r>
            <w:r>
              <w:rPr>
                <w:rFonts w:hint="eastAsia" w:ascii="宋体" w:hAnsi="宋体"/>
                <w:color w:val="auto"/>
                <w:sz w:val="20"/>
                <w:szCs w:val="28"/>
                <w:highlight w:val="none"/>
              </w:rPr>
              <w:t>②</w:t>
            </w:r>
            <w:r>
              <w:rPr>
                <w:rFonts w:hint="eastAsia"/>
                <w:color w:val="auto"/>
                <w:sz w:val="20"/>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highlight w:val="none"/>
              </w:rPr>
            </w:pPr>
            <w:r>
              <w:rPr>
                <w:color w:val="auto"/>
                <w:sz w:val="20"/>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投标人具有良好的商业信誉的书面声明材料。【说明：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.2.2声明的内容提供书面声明材料</w:t>
            </w:r>
            <w:r>
              <w:rPr>
                <w:rFonts w:hint="eastAsia" w:ascii="宋体" w:hAnsi="宋体"/>
                <w:color w:val="auto"/>
                <w:sz w:val="20"/>
                <w:szCs w:val="28"/>
                <w:highlight w:val="none"/>
              </w:rPr>
              <w:t>；②供应商具有良好的商业信誉</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投标人参加政府采购活动前三年内，在经营活动中没有重大违法记录的书面声明材料。【说明：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.2.2声明的内容提供书面声明材料；</w:t>
            </w:r>
            <w:r>
              <w:rPr>
                <w:rFonts w:hint="eastAsia" w:ascii="宋体" w:hAnsi="宋体"/>
                <w:color w:val="auto"/>
                <w:sz w:val="20"/>
                <w:szCs w:val="28"/>
                <w:highlight w:val="none"/>
              </w:rPr>
              <w:t>②供应商参加政府采购活动前三年内，在经营活动中没有重大违法记录</w:t>
            </w:r>
            <w:r>
              <w:rPr>
                <w:rFonts w:hint="eastAsia"/>
                <w:color w:val="auto"/>
                <w:sz w:val="20"/>
                <w:highlight w:val="none"/>
              </w:rPr>
              <w:t>。】</w:t>
            </w:r>
          </w:p>
          <w:p>
            <w:pPr>
              <w:tabs>
                <w:tab w:val="left" w:pos="851"/>
              </w:tabs>
              <w:spacing w:line="360" w:lineRule="auto"/>
              <w:rPr>
                <w:color w:val="auto"/>
                <w:sz w:val="20"/>
                <w:highlight w:val="none"/>
              </w:rPr>
            </w:pPr>
            <w:r>
              <w:rPr>
                <w:color w:val="auto"/>
                <w:sz w:val="20"/>
                <w:highlight w:val="none"/>
              </w:rPr>
              <w:t xml:space="preserve">2. </w:t>
            </w:r>
            <w:r>
              <w:rPr>
                <w:rFonts w:hint="eastAsia"/>
                <w:color w:val="auto"/>
                <w:sz w:val="20"/>
                <w:highlight w:val="none"/>
              </w:rPr>
              <w:t>资格审查小组根据</w:t>
            </w:r>
            <w:r>
              <w:rPr>
                <w:color w:val="auto"/>
                <w:sz w:val="20"/>
                <w:highlight w:val="none"/>
              </w:rPr>
              <w:t>“</w:t>
            </w:r>
            <w:r>
              <w:rPr>
                <w:rFonts w:hint="eastAsia"/>
                <w:color w:val="auto"/>
                <w:sz w:val="20"/>
                <w:highlight w:val="none"/>
              </w:rPr>
              <w:t>信用中国</w:t>
            </w:r>
            <w:r>
              <w:rPr>
                <w:color w:val="auto"/>
                <w:sz w:val="20"/>
                <w:highlight w:val="none"/>
              </w:rPr>
              <w:t>”</w:t>
            </w:r>
            <w:r>
              <w:rPr>
                <w:rFonts w:hint="eastAsia"/>
                <w:color w:val="auto"/>
                <w:sz w:val="20"/>
                <w:highlight w:val="none"/>
              </w:rPr>
              <w:t>和</w:t>
            </w:r>
            <w:r>
              <w:rPr>
                <w:color w:val="auto"/>
                <w:sz w:val="20"/>
                <w:highlight w:val="none"/>
              </w:rPr>
              <w:t>“</w:t>
            </w:r>
            <w:r>
              <w:rPr>
                <w:rFonts w:hint="eastAsia"/>
                <w:color w:val="auto"/>
                <w:sz w:val="20"/>
                <w:highlight w:val="none"/>
              </w:rPr>
              <w:t>中国政府采购网</w:t>
            </w:r>
            <w:r>
              <w:rPr>
                <w:color w:val="auto"/>
                <w:sz w:val="20"/>
                <w:highlight w:val="none"/>
              </w:rPr>
              <w:t>”</w:t>
            </w:r>
            <w:r>
              <w:rPr>
                <w:rFonts w:hint="eastAsia"/>
                <w:color w:val="auto"/>
                <w:sz w:val="20"/>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投标人未列入失信被执行人、重大税收违法案件当事人名单、政府采购严重违法失信行为记录名单的书面声明材料。【说明：</w:t>
            </w:r>
            <w:r>
              <w:rPr>
                <w:rFonts w:hint="eastAsia" w:ascii="宋体" w:hAnsi="宋体"/>
                <w:color w:val="auto"/>
                <w:sz w:val="20"/>
                <w:szCs w:val="28"/>
                <w:highlight w:val="none"/>
              </w:rPr>
              <w:t>①</w:t>
            </w:r>
            <w:r>
              <w:rPr>
                <w:rFonts w:hint="eastAsia"/>
                <w:color w:val="auto"/>
                <w:sz w:val="20"/>
                <w:highlight w:val="none"/>
              </w:rPr>
              <w:t>投标人未列入失信被执行人、重大税收违法案件当事人名单、政府采购严重违法失信行为记录名单；</w:t>
            </w:r>
            <w:r>
              <w:rPr>
                <w:rFonts w:hint="eastAsia" w:ascii="宋体" w:hAnsi="宋体"/>
                <w:color w:val="auto"/>
                <w:sz w:val="20"/>
                <w:szCs w:val="28"/>
                <w:highlight w:val="none"/>
              </w:rPr>
              <w:t>②</w:t>
            </w:r>
            <w:r>
              <w:rPr>
                <w:rFonts w:hint="eastAsia"/>
                <w:color w:val="auto"/>
                <w:sz w:val="20"/>
                <w:highlight w:val="none"/>
              </w:rPr>
              <w:t>按招标文件</w:t>
            </w:r>
            <w:r>
              <w:rPr>
                <w:color w:val="auto"/>
                <w:sz w:val="20"/>
                <w:highlight w:val="none"/>
              </w:rPr>
              <w:t>3</w:t>
            </w:r>
            <w:r>
              <w:rPr>
                <w:rFonts w:hint="eastAsia"/>
                <w:color w:val="auto"/>
                <w:sz w:val="20"/>
                <w:highlight w:val="none"/>
              </w:rPr>
              <w:t>.2.2声明内容提供书面声明材料。】</w:t>
            </w:r>
          </w:p>
          <w:p>
            <w:pPr>
              <w:tabs>
                <w:tab w:val="left" w:pos="851"/>
              </w:tabs>
              <w:spacing w:line="360" w:lineRule="auto"/>
              <w:rPr>
                <w:color w:val="auto"/>
                <w:sz w:val="20"/>
                <w:highlight w:val="none"/>
              </w:rPr>
            </w:pPr>
            <w:r>
              <w:rPr>
                <w:color w:val="auto"/>
                <w:sz w:val="20"/>
                <w:highlight w:val="none"/>
              </w:rPr>
              <w:t xml:space="preserve">2. </w:t>
            </w:r>
            <w:r>
              <w:rPr>
                <w:rFonts w:hint="eastAsia"/>
                <w:color w:val="auto"/>
                <w:sz w:val="20"/>
                <w:highlight w:val="none"/>
              </w:rPr>
              <w:t>资格审查小组根据</w:t>
            </w:r>
            <w:r>
              <w:rPr>
                <w:color w:val="auto"/>
                <w:sz w:val="20"/>
                <w:highlight w:val="none"/>
              </w:rPr>
              <w:t>“</w:t>
            </w:r>
            <w:r>
              <w:rPr>
                <w:rFonts w:hint="eastAsia"/>
                <w:color w:val="auto"/>
                <w:sz w:val="20"/>
                <w:highlight w:val="none"/>
              </w:rPr>
              <w:t>信用中国</w:t>
            </w:r>
            <w:r>
              <w:rPr>
                <w:color w:val="auto"/>
                <w:sz w:val="20"/>
                <w:highlight w:val="none"/>
              </w:rPr>
              <w:t>”</w:t>
            </w:r>
            <w:r>
              <w:rPr>
                <w:rFonts w:hint="eastAsia"/>
                <w:color w:val="auto"/>
                <w:sz w:val="20"/>
                <w:highlight w:val="none"/>
              </w:rPr>
              <w:t>和</w:t>
            </w:r>
            <w:r>
              <w:rPr>
                <w:color w:val="auto"/>
                <w:sz w:val="20"/>
                <w:highlight w:val="none"/>
              </w:rPr>
              <w:t>“</w:t>
            </w:r>
            <w:r>
              <w:rPr>
                <w:rFonts w:hint="eastAsia"/>
                <w:color w:val="auto"/>
                <w:sz w:val="20"/>
                <w:highlight w:val="none"/>
              </w:rPr>
              <w:t>中国政府采购网</w:t>
            </w:r>
            <w:r>
              <w:rPr>
                <w:color w:val="auto"/>
                <w:sz w:val="20"/>
                <w:highlight w:val="none"/>
              </w:rPr>
              <w:t>”</w:t>
            </w:r>
            <w:r>
              <w:rPr>
                <w:rFonts w:hint="eastAsia"/>
                <w:color w:val="auto"/>
                <w:sz w:val="20"/>
                <w:highlight w:val="none"/>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投标人未处于被行政部门禁止参与政府采购活动的期限内。【说明：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.2.2声明内容提供书面声明材料</w:t>
            </w:r>
            <w:r>
              <w:rPr>
                <w:rFonts w:hint="eastAsia" w:ascii="宋体" w:hAnsi="宋体"/>
                <w:color w:val="auto"/>
                <w:sz w:val="20"/>
                <w:szCs w:val="28"/>
                <w:highlight w:val="none"/>
              </w:rPr>
              <w:t>；②供应商未处于被行政部门禁止参与政府采购活动的期限内。</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在行贿犯罪信息查询期限内，投标人及其现任法定代表人、主要负责人没有行贿犯罪记录的书面声明材料。【说明：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.2.2声明内容提供书面声明材料，投标文件中不需提供中国裁判文书网（</w:t>
            </w:r>
            <w:r>
              <w:rPr>
                <w:color w:val="auto"/>
                <w:sz w:val="20"/>
                <w:highlight w:val="none"/>
              </w:rPr>
              <w:t>https://wenshu.court.gov.cn</w:t>
            </w:r>
            <w:r>
              <w:rPr>
                <w:rFonts w:hint="eastAsia"/>
                <w:color w:val="auto"/>
                <w:sz w:val="20"/>
                <w:highlight w:val="none"/>
              </w:rPr>
              <w:t>）查询结果的证明材料；</w:t>
            </w:r>
            <w:r>
              <w:rPr>
                <w:rFonts w:hint="eastAsia" w:ascii="宋体" w:hAnsi="宋体"/>
                <w:color w:val="auto"/>
                <w:sz w:val="20"/>
                <w:szCs w:val="28"/>
                <w:highlight w:val="none"/>
              </w:rPr>
              <w:t>②在行贿犯罪信息查询期限内，供应商及其现任法定代表人、主要负责人没有行贿犯罪记录</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与投标人负责人为同一人或者存在直接控股、管理关系的相关供应商的书面声明材料。【说明：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.2.2声明内容提供书面声明材料</w:t>
            </w:r>
            <w:r>
              <w:rPr>
                <w:rFonts w:hint="eastAsia" w:ascii="宋体" w:hAnsi="宋体"/>
                <w:color w:val="auto"/>
                <w:sz w:val="20"/>
                <w:szCs w:val="28"/>
                <w:highlight w:val="none"/>
              </w:rPr>
              <w:t>；②参加投标的供应商中无与投标人的负责人为同一人或者存在直接控股、管理关系的供应商。</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color w:val="auto"/>
                <w:sz w:val="20"/>
                <w:highlight w:val="none"/>
              </w:rPr>
            </w:pPr>
            <w:r>
              <w:rPr>
                <w:rFonts w:hint="eastAsia"/>
                <w:color w:val="auto"/>
                <w:sz w:val="20"/>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采购人对投标人履行合同所必须的设备和专业技术能力无其他特殊要求，投标人具有有效的营业执照或法人证书</w:t>
            </w:r>
            <w:r>
              <w:rPr>
                <w:rFonts w:hint="eastAsia" w:ascii="宋体" w:hAnsi="宋体"/>
                <w:color w:val="auto"/>
                <w:sz w:val="20"/>
                <w:szCs w:val="28"/>
                <w:highlight w:val="none"/>
              </w:rPr>
              <w:t>即可，可不提供其他证明材料</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采购人对法律、行政法规规定的其他条件无其他特殊要求，投标人具有有效的营业执照或法人证书</w:t>
            </w:r>
            <w:r>
              <w:rPr>
                <w:rFonts w:hint="eastAsia" w:ascii="宋体" w:hAnsi="宋体"/>
                <w:color w:val="auto"/>
                <w:sz w:val="20"/>
                <w:szCs w:val="28"/>
                <w:highlight w:val="none"/>
              </w:rPr>
              <w:t>即可，可不提供其他证明材料</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、根据招标文件的要求不属于禁止参加投标或投标无效的供应商；</w:t>
            </w:r>
          </w:p>
          <w:p>
            <w:pPr>
              <w:tabs>
                <w:tab w:val="left" w:pos="851"/>
              </w:tabs>
              <w:spacing w:line="360" w:lineRule="auto"/>
              <w:rPr>
                <w:color w:val="auto"/>
                <w:sz w:val="20"/>
                <w:highlight w:val="none"/>
              </w:rPr>
            </w:pPr>
            <w:r>
              <w:rPr>
                <w:color w:val="auto"/>
                <w:sz w:val="20"/>
                <w:highlight w:val="none"/>
              </w:rPr>
              <w:t>2</w:t>
            </w:r>
            <w:r>
              <w:rPr>
                <w:rFonts w:hint="eastAsia"/>
                <w:color w:val="auto"/>
                <w:sz w:val="20"/>
                <w:highlight w:val="none"/>
              </w:rPr>
              <w:t>、资格审查小组未发现或者未知晓投标人存在属于国家相关法律法规规定的禁止参加投标或投标无效的供应商。</w:t>
            </w:r>
          </w:p>
          <w:p>
            <w:pPr>
              <w:tabs>
                <w:tab w:val="left" w:pos="851"/>
              </w:tabs>
              <w:spacing w:line="360" w:lineRule="auto"/>
              <w:rPr>
                <w:color w:val="auto"/>
                <w:sz w:val="20"/>
                <w:highlight w:val="none"/>
              </w:rPr>
            </w:pP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ascii="宋体" w:hAnsi="宋体"/>
                <w:color w:val="auto"/>
                <w:sz w:val="20"/>
                <w:szCs w:val="28"/>
                <w:highlight w:val="none"/>
              </w:rPr>
              <w:t>除因断电、断网、系统故障或其他不可抗力等因素，导致系统无法使用外，投标文件已成功解密。</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投标文件资格响应</w:t>
            </w:r>
            <w:r>
              <w:rPr>
                <w:color w:val="auto"/>
                <w:sz w:val="20"/>
                <w:highlight w:val="none"/>
              </w:rPr>
              <w:t>文件</w:t>
            </w:r>
            <w:r>
              <w:rPr>
                <w:rFonts w:hint="eastAsia"/>
                <w:color w:val="auto"/>
                <w:sz w:val="20"/>
                <w:highlight w:val="none"/>
              </w:rPr>
              <w:t>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ascii="宋体" w:hAnsi="宋体"/>
                <w:color w:val="auto"/>
                <w:sz w:val="20"/>
                <w:szCs w:val="28"/>
                <w:highlight w:val="none"/>
              </w:rPr>
              <w:t>符合招标文件“</w:t>
            </w:r>
            <w:r>
              <w:rPr>
                <w:rFonts w:ascii="宋体" w:hAnsi="宋体"/>
                <w:color w:val="auto"/>
                <w:sz w:val="20"/>
                <w:szCs w:val="28"/>
                <w:highlight w:val="none"/>
              </w:rPr>
              <w:t>2.4.</w:t>
            </w:r>
            <w:r>
              <w:rPr>
                <w:rFonts w:hint="eastAsia" w:ascii="宋体" w:hAnsi="宋体"/>
                <w:color w:val="auto"/>
                <w:sz w:val="20"/>
                <w:szCs w:val="28"/>
                <w:highlight w:val="none"/>
              </w:rPr>
              <w:t>6投标</w:t>
            </w:r>
            <w:r>
              <w:rPr>
                <w:rFonts w:ascii="宋体" w:hAnsi="宋体"/>
                <w:color w:val="auto"/>
                <w:sz w:val="20"/>
                <w:szCs w:val="28"/>
                <w:highlight w:val="none"/>
              </w:rPr>
              <w:t>文件的组成”规定要求。</w:t>
            </w:r>
            <w:r>
              <w:rPr>
                <w:rFonts w:hint="eastAsia" w:ascii="宋体" w:hAnsi="宋体"/>
                <w:color w:val="auto"/>
                <w:sz w:val="20"/>
                <w:szCs w:val="28"/>
                <w:highlight w:val="none"/>
              </w:rPr>
              <w:t>【说明：投标人按招标文件3.2.1关于投标人资格申明的</w:t>
            </w:r>
            <w:r>
              <w:rPr>
                <w:rFonts w:hint="eastAsia"/>
                <w:color w:val="auto"/>
                <w:sz w:val="20"/>
                <w:highlight w:val="none"/>
              </w:rPr>
              <w:t>内容</w:t>
            </w:r>
            <w:r>
              <w:rPr>
                <w:rFonts w:hint="eastAsia" w:ascii="宋体" w:hAnsi="宋体"/>
                <w:color w:val="auto"/>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highlight w:val="none"/>
              </w:rPr>
            </w:pPr>
            <w:r>
              <w:rPr>
                <w:rFonts w:hint="eastAsia"/>
                <w:color w:val="auto"/>
                <w:sz w:val="20"/>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highlight w:val="none"/>
              </w:rPr>
            </w:pPr>
            <w:r>
              <w:rPr>
                <w:rFonts w:hint="eastAsia"/>
                <w:color w:val="auto"/>
                <w:sz w:val="20"/>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highlight w:val="none"/>
              </w:rPr>
            </w:pPr>
            <w:r>
              <w:rPr>
                <w:rFonts w:hint="eastAsia"/>
                <w:color w:val="auto"/>
                <w:sz w:val="20"/>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投标人具有依法缴纳税收良好记录的书面声明材料【说明：①按招标文件3.2.2声明的内容提供书面声明材料；②投标人有依法缴纳税收的良好记录。】。</w:t>
            </w:r>
          </w:p>
        </w:tc>
      </w:tr>
    </w:tbl>
    <w:p>
      <w:pPr>
        <w:pStyle w:val="2"/>
        <w:rPr>
          <w:color w:val="auto"/>
          <w:highlight w:val="none"/>
        </w:rPr>
      </w:pPr>
    </w:p>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注：</w:t>
      </w:r>
    </w:p>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三、投标人的投标文件资格性审查时被判定为无效的，区采购中心将通知投标人（以短信、现场公示、电话、“政府采购云平台”等任一方式）。投标人如对资格审查结论有异议的，应及时向区采购中心反馈意见。区采购中心将及时告知资格审查小组。（说明：无论投标人是否收到通知或提供反馈意见，均不影响资格审查和评标工作，且区采购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hint="eastAsia" w:ascii="宋体" w:hAnsi="宋体"/>
          <w:color w:val="auto"/>
          <w:sz w:val="28"/>
          <w:szCs w:val="28"/>
          <w:highlight w:val="none"/>
        </w:rPr>
      </w:pPr>
      <w:r>
        <w:rPr>
          <w:rFonts w:hint="eastAsia" w:ascii="宋体" w:hAnsi="宋体"/>
          <w:color w:val="auto"/>
          <w:sz w:val="28"/>
          <w:szCs w:val="28"/>
          <w:highlight w:val="none"/>
        </w:rPr>
        <w:t>四、</w:t>
      </w:r>
      <w:r>
        <w:rPr>
          <w:rFonts w:hint="eastAsia" w:ascii="宋体" w:hAnsi="宋体"/>
          <w:color w:val="auto"/>
          <w:sz w:val="28"/>
          <w:szCs w:val="28"/>
          <w:highlight w:val="none"/>
          <w:lang w:val="en-US" w:eastAsia="zh-CN"/>
        </w:rPr>
        <w:t>包件1</w:t>
      </w:r>
      <w:r>
        <w:rPr>
          <w:rFonts w:hint="eastAsia" w:ascii="宋体" w:hAnsi="宋体"/>
          <w:color w:val="auto"/>
          <w:sz w:val="28"/>
          <w:szCs w:val="28"/>
          <w:highlight w:val="none"/>
        </w:rPr>
        <w:t>通过资格性审查的供应商＜3名，</w:t>
      </w:r>
      <w:r>
        <w:rPr>
          <w:rFonts w:hint="eastAsia" w:ascii="宋体" w:hAnsi="宋体"/>
          <w:color w:val="auto"/>
          <w:sz w:val="28"/>
          <w:szCs w:val="28"/>
          <w:highlight w:val="none"/>
          <w:lang w:val="en-US" w:eastAsia="zh-CN"/>
        </w:rPr>
        <w:t>本项目包件1</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包件2</w:t>
      </w:r>
      <w:r>
        <w:rPr>
          <w:rFonts w:hint="eastAsia" w:ascii="宋体" w:hAnsi="宋体"/>
          <w:color w:val="auto"/>
          <w:sz w:val="28"/>
          <w:szCs w:val="28"/>
          <w:highlight w:val="none"/>
        </w:rPr>
        <w:t>通过资格性审查的供应商＜3名，</w:t>
      </w:r>
      <w:r>
        <w:rPr>
          <w:rFonts w:hint="eastAsia" w:ascii="宋体" w:hAnsi="宋体"/>
          <w:color w:val="auto"/>
          <w:sz w:val="28"/>
          <w:szCs w:val="28"/>
          <w:highlight w:val="none"/>
          <w:lang w:val="en-US" w:eastAsia="zh-CN"/>
        </w:rPr>
        <w:t>本项目包件2</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包件3</w:t>
      </w:r>
      <w:r>
        <w:rPr>
          <w:rFonts w:hint="eastAsia" w:ascii="宋体" w:hAnsi="宋体"/>
          <w:color w:val="auto"/>
          <w:sz w:val="28"/>
          <w:szCs w:val="28"/>
          <w:highlight w:val="none"/>
        </w:rPr>
        <w:t>通过资格性审查的供应商＜3名，</w:t>
      </w:r>
      <w:r>
        <w:rPr>
          <w:rFonts w:hint="eastAsia" w:ascii="宋体" w:hAnsi="宋体"/>
          <w:color w:val="auto"/>
          <w:sz w:val="28"/>
          <w:szCs w:val="28"/>
          <w:highlight w:val="none"/>
          <w:lang w:val="en-US" w:eastAsia="zh-CN"/>
        </w:rPr>
        <w:t>本项目包件3</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包件4</w:t>
      </w:r>
      <w:r>
        <w:rPr>
          <w:rFonts w:hint="eastAsia" w:ascii="宋体" w:hAnsi="宋体"/>
          <w:color w:val="auto"/>
          <w:sz w:val="28"/>
          <w:szCs w:val="28"/>
          <w:highlight w:val="none"/>
        </w:rPr>
        <w:t>通过资格性审查的供应商＜3名，</w:t>
      </w:r>
      <w:r>
        <w:rPr>
          <w:rFonts w:hint="eastAsia" w:ascii="宋体" w:hAnsi="宋体"/>
          <w:color w:val="auto"/>
          <w:sz w:val="28"/>
          <w:szCs w:val="28"/>
          <w:highlight w:val="none"/>
          <w:lang w:val="en-US" w:eastAsia="zh-CN"/>
        </w:rPr>
        <w:t>本项目包件4</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包件5</w:t>
      </w:r>
      <w:r>
        <w:rPr>
          <w:rFonts w:hint="eastAsia" w:ascii="宋体" w:hAnsi="宋体"/>
          <w:color w:val="auto"/>
          <w:sz w:val="28"/>
          <w:szCs w:val="28"/>
          <w:highlight w:val="none"/>
        </w:rPr>
        <w:t>通过资格性审查的供应商＜3名，</w:t>
      </w:r>
      <w:r>
        <w:rPr>
          <w:rFonts w:hint="eastAsia" w:ascii="宋体" w:hAnsi="宋体"/>
          <w:color w:val="auto"/>
          <w:sz w:val="28"/>
          <w:szCs w:val="28"/>
          <w:highlight w:val="none"/>
          <w:lang w:val="en-US" w:eastAsia="zh-CN"/>
        </w:rPr>
        <w:t>本项目包件5</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包件6</w:t>
      </w:r>
      <w:r>
        <w:rPr>
          <w:rFonts w:hint="eastAsia" w:ascii="宋体" w:hAnsi="宋体"/>
          <w:color w:val="auto"/>
          <w:sz w:val="28"/>
          <w:szCs w:val="28"/>
          <w:highlight w:val="none"/>
        </w:rPr>
        <w:t>通过资格性审查的供应商＜3名，</w:t>
      </w:r>
      <w:r>
        <w:rPr>
          <w:rFonts w:hint="eastAsia" w:ascii="宋体" w:hAnsi="宋体"/>
          <w:color w:val="auto"/>
          <w:sz w:val="28"/>
          <w:szCs w:val="28"/>
          <w:highlight w:val="none"/>
          <w:lang w:val="en-US" w:eastAsia="zh-CN"/>
        </w:rPr>
        <w:t>本项目包件6</w:t>
      </w:r>
      <w:r>
        <w:rPr>
          <w:rFonts w:hint="eastAsia" w:ascii="宋体" w:hAnsi="宋体"/>
          <w:color w:val="auto"/>
          <w:sz w:val="28"/>
          <w:szCs w:val="28"/>
          <w:highlight w:val="none"/>
        </w:rPr>
        <w:t>采购失败。</w:t>
      </w:r>
    </w:p>
    <w:p>
      <w:pPr>
        <w:tabs>
          <w:tab w:val="left" w:pos="851"/>
        </w:tabs>
        <w:spacing w:line="360" w:lineRule="auto"/>
        <w:ind w:firstLine="565" w:firstLineChars="202"/>
        <w:rPr>
          <w:rFonts w:hint="eastAsia" w:ascii="宋体" w:hAnsi="宋体"/>
          <w:color w:val="auto"/>
          <w:sz w:val="28"/>
          <w:szCs w:val="28"/>
          <w:highlight w:val="none"/>
        </w:rPr>
      </w:pPr>
    </w:p>
    <w:p>
      <w:pPr>
        <w:pStyle w:val="2"/>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3"/>
        <w:rPr>
          <w:rFonts w:hint="eastAsia" w:ascii="宋体" w:hAnsi="宋体"/>
          <w:color w:val="auto"/>
          <w:sz w:val="28"/>
          <w:szCs w:val="28"/>
          <w:highlight w:val="none"/>
        </w:rPr>
      </w:pPr>
    </w:p>
    <w:p>
      <w:pPr>
        <w:pStyle w:val="2"/>
        <w:rPr>
          <w:color w:val="auto"/>
          <w:highlight w:val="none"/>
        </w:rPr>
      </w:pPr>
    </w:p>
    <w:p>
      <w:pPr>
        <w:keepNext/>
        <w:keepLines/>
        <w:numPr>
          <w:ilvl w:val="0"/>
          <w:numId w:val="28"/>
        </w:numPr>
        <w:spacing w:line="360" w:lineRule="auto"/>
        <w:ind w:left="0" w:firstLine="0"/>
        <w:jc w:val="center"/>
        <w:outlineLvl w:val="0"/>
        <w:rPr>
          <w:rFonts w:ascii="宋体" w:hAnsi="宋体"/>
          <w:b/>
          <w:bCs/>
          <w:color w:val="auto"/>
          <w:spacing w:val="-20"/>
          <w:kern w:val="44"/>
          <w:sz w:val="32"/>
          <w:szCs w:val="32"/>
          <w:highlight w:val="none"/>
        </w:rPr>
      </w:pPr>
      <w:bookmarkStart w:id="151" w:name="_Toc14629"/>
      <w:r>
        <w:rPr>
          <w:rFonts w:hint="eastAsia" w:ascii="宋体" w:hAnsi="宋体"/>
          <w:b/>
          <w:bCs/>
          <w:color w:val="auto"/>
          <w:spacing w:val="-20"/>
          <w:kern w:val="44"/>
          <w:sz w:val="32"/>
          <w:szCs w:val="32"/>
          <w:highlight w:val="none"/>
        </w:rPr>
        <w:t>评标办法</w:t>
      </w:r>
      <w:bookmarkEnd w:id="151"/>
    </w:p>
    <w:p>
      <w:pPr>
        <w:keepNext/>
        <w:keepLines/>
        <w:numPr>
          <w:ilvl w:val="1"/>
          <w:numId w:val="28"/>
        </w:numPr>
        <w:spacing w:line="360" w:lineRule="auto"/>
        <w:jc w:val="left"/>
        <w:outlineLvl w:val="1"/>
        <w:rPr>
          <w:rFonts w:ascii="宋体" w:hAnsi="宋体"/>
          <w:b/>
          <w:bCs/>
          <w:color w:val="auto"/>
          <w:sz w:val="28"/>
          <w:szCs w:val="28"/>
          <w:highlight w:val="none"/>
        </w:rPr>
      </w:pPr>
      <w:bookmarkStart w:id="152" w:name="_Toc23747"/>
      <w:r>
        <w:rPr>
          <w:rFonts w:hint="eastAsia" w:ascii="宋体" w:hAnsi="宋体"/>
          <w:b/>
          <w:bCs/>
          <w:color w:val="auto"/>
          <w:sz w:val="28"/>
          <w:szCs w:val="28"/>
          <w:highlight w:val="none"/>
        </w:rPr>
        <w:t>总则</w:t>
      </w:r>
      <w:bookmarkEnd w:id="152"/>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一、根据《中华人民共和国政府采购法》、《中华人民共和国政府采购法实施条例》和《政府采购货物和服务招标投标管理办法》等法律规章，结合采购项目特点制定本评标办法。</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二、评标工作由</w:t>
      </w:r>
      <w:r>
        <w:rPr>
          <w:rFonts w:hint="eastAsia" w:cs="Arial"/>
          <w:color w:val="auto"/>
          <w:sz w:val="28"/>
          <w:szCs w:val="28"/>
          <w:highlight w:val="none"/>
        </w:rPr>
        <w:t>区采购中心</w:t>
      </w:r>
      <w:r>
        <w:rPr>
          <w:rFonts w:hint="eastAsia" w:ascii="宋体" w:hAnsi="宋体"/>
          <w:color w:val="auto"/>
          <w:sz w:val="28"/>
          <w:szCs w:val="28"/>
          <w:highlight w:val="none"/>
        </w:rPr>
        <w:t>负责组织，具体评标事务由采购人或</w:t>
      </w:r>
      <w:r>
        <w:rPr>
          <w:rFonts w:hint="eastAsia" w:cs="Arial"/>
          <w:color w:val="auto"/>
          <w:sz w:val="28"/>
          <w:szCs w:val="28"/>
          <w:highlight w:val="none"/>
        </w:rPr>
        <w:t>区采购中心</w:t>
      </w:r>
      <w:r>
        <w:rPr>
          <w:rFonts w:hint="eastAsia" w:ascii="宋体" w:hAnsi="宋体"/>
          <w:color w:val="auto"/>
          <w:sz w:val="28"/>
          <w:szCs w:val="28"/>
          <w:highlight w:val="none"/>
        </w:rPr>
        <w:t>依法组建的评标委员会负责。评标委员会由采购人代表和评审专家组成。</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三、评标工作应遵循公平、公正、科学及择优的原则，并以相同的评标程序和标准对待所有的投标人。</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四、评标委员会按照招标文件规定的评标程序、评标方法和标准进行独立评审，并独立履行下列职责：</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熟悉和理解招标文件；</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审查、评价投标文件是否符合招标文件的商务、技术等实质性要求；</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对投标文件进行比较和评价；</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根据需要要求采购人对招标文件作出解释；根据需要要求投标人对投标文件有关事项作出解释或者澄清；</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确定中标候选人名单，以及根据采购人委托直接确定中标人；</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起草评标报告并进行签署；</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向采购人、区采购中心或者财政、监察等有关部门报告或举报非法干预评标工作的行为；</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向采购人、</w:t>
      </w:r>
      <w:r>
        <w:rPr>
          <w:rFonts w:hint="eastAsia" w:cs="Arial"/>
          <w:color w:val="auto"/>
          <w:sz w:val="28"/>
          <w:szCs w:val="28"/>
          <w:highlight w:val="none"/>
        </w:rPr>
        <w:t>区采购中心</w:t>
      </w:r>
      <w:r>
        <w:rPr>
          <w:rFonts w:hint="eastAsia" w:ascii="宋体" w:hAnsi="宋体"/>
          <w:color w:val="auto"/>
          <w:sz w:val="28"/>
          <w:szCs w:val="28"/>
          <w:highlight w:val="none"/>
        </w:rPr>
        <w:t>或者有关部门报告评标中发现的违法行为。</w:t>
      </w:r>
    </w:p>
    <w:p>
      <w:pPr>
        <w:numPr>
          <w:ilvl w:val="1"/>
          <w:numId w:val="71"/>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法律、法规和规章规定的其他职责。</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五、评标过程独立、保密。投标人非法干预评标过程的行为将导致其投标文件作为无效处理。</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六、评标委员会决定投标文件的响应性依据投标文件本身的内容，而不寻求外部的证据，招标文件有明确约定的除外。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七、评标委员会发现招标文件表述不明确或需要说明的事项，可提请采购人和区采购中心书面解释说明。</w:t>
      </w:r>
    </w:p>
    <w:p>
      <w:pPr>
        <w:keepNext/>
        <w:keepLines/>
        <w:numPr>
          <w:ilvl w:val="1"/>
          <w:numId w:val="28"/>
        </w:numPr>
        <w:spacing w:line="360" w:lineRule="auto"/>
        <w:jc w:val="left"/>
        <w:outlineLvl w:val="1"/>
        <w:rPr>
          <w:rFonts w:ascii="宋体" w:hAnsi="宋体"/>
          <w:b/>
          <w:bCs/>
          <w:color w:val="auto"/>
          <w:sz w:val="28"/>
          <w:szCs w:val="28"/>
          <w:highlight w:val="none"/>
        </w:rPr>
      </w:pPr>
      <w:bookmarkStart w:id="153" w:name="_Toc20270"/>
      <w:r>
        <w:rPr>
          <w:rFonts w:hint="eastAsia" w:ascii="宋体" w:hAnsi="宋体"/>
          <w:b/>
          <w:bCs/>
          <w:color w:val="auto"/>
          <w:sz w:val="28"/>
          <w:szCs w:val="28"/>
          <w:highlight w:val="none"/>
        </w:rPr>
        <w:t>评标方法</w:t>
      </w:r>
      <w:bookmarkEnd w:id="153"/>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综合评分法。</w:t>
      </w:r>
    </w:p>
    <w:p>
      <w:pPr>
        <w:keepNext/>
        <w:keepLines/>
        <w:numPr>
          <w:ilvl w:val="1"/>
          <w:numId w:val="28"/>
        </w:numPr>
        <w:spacing w:line="360" w:lineRule="auto"/>
        <w:jc w:val="left"/>
        <w:outlineLvl w:val="1"/>
        <w:rPr>
          <w:rFonts w:ascii="宋体" w:hAnsi="宋体"/>
          <w:b/>
          <w:bCs/>
          <w:color w:val="auto"/>
          <w:sz w:val="28"/>
          <w:szCs w:val="28"/>
          <w:highlight w:val="none"/>
        </w:rPr>
      </w:pPr>
      <w:bookmarkStart w:id="154" w:name="_Toc20042"/>
      <w:r>
        <w:rPr>
          <w:rFonts w:hint="eastAsia" w:ascii="宋体" w:hAnsi="宋体"/>
          <w:b/>
          <w:bCs/>
          <w:color w:val="auto"/>
          <w:sz w:val="28"/>
          <w:szCs w:val="28"/>
          <w:highlight w:val="none"/>
        </w:rPr>
        <w:t>评标程序</w:t>
      </w:r>
      <w:bookmarkEnd w:id="154"/>
    </w:p>
    <w:p>
      <w:pPr>
        <w:keepNext/>
        <w:keepLines/>
        <w:numPr>
          <w:ilvl w:val="2"/>
          <w:numId w:val="28"/>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符合性审查</w:t>
      </w:r>
    </w:p>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lang w:val="en-US" w:eastAsia="zh-CN"/>
        </w:rPr>
        <w:t>包件1——包件6</w:t>
      </w:r>
      <w:r>
        <w:rPr>
          <w:rFonts w:hint="eastAsia" w:ascii="宋体" w:hAnsi="宋体"/>
          <w:color w:val="auto"/>
          <w:sz w:val="28"/>
          <w:szCs w:val="28"/>
          <w:highlight w:val="none"/>
        </w:rPr>
        <w:t>符合性审查标准见下表（按以下顺序审查）：</w:t>
      </w:r>
    </w:p>
    <w:tbl>
      <w:tblPr>
        <w:tblStyle w:val="59"/>
        <w:tblW w:w="883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099"/>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highlight w:val="none"/>
              </w:rPr>
            </w:pPr>
            <w:r>
              <w:rPr>
                <w:rFonts w:hint="eastAsia" w:ascii="宋体" w:hAnsi="宋体"/>
                <w:b/>
                <w:color w:val="auto"/>
                <w:sz w:val="24"/>
                <w:szCs w:val="28"/>
                <w:highlight w:val="none"/>
              </w:rPr>
              <w:t>序号</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auto"/>
                <w:sz w:val="24"/>
                <w:szCs w:val="28"/>
                <w:highlight w:val="none"/>
              </w:rPr>
            </w:pPr>
            <w:r>
              <w:rPr>
                <w:rFonts w:hint="eastAsia" w:ascii="宋体" w:hAnsi="宋体"/>
                <w:b/>
                <w:color w:val="auto"/>
                <w:sz w:val="24"/>
                <w:szCs w:val="28"/>
                <w:highlight w:val="none"/>
              </w:rPr>
              <w:t>符合性审查项</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auto"/>
                <w:sz w:val="24"/>
                <w:szCs w:val="28"/>
                <w:highlight w:val="none"/>
              </w:rPr>
            </w:pPr>
            <w:r>
              <w:rPr>
                <w:rFonts w:hint="eastAsia" w:ascii="宋体" w:hAnsi="宋体"/>
                <w:b/>
                <w:color w:val="auto"/>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1</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投标文件商务技术</w:t>
            </w:r>
            <w:r>
              <w:rPr>
                <w:rFonts w:ascii="宋体" w:hAnsi="宋体"/>
                <w:color w:val="auto"/>
                <w:sz w:val="24"/>
                <w:szCs w:val="28"/>
                <w:highlight w:val="none"/>
              </w:rPr>
              <w:t>响应文件</w:t>
            </w:r>
            <w:r>
              <w:rPr>
                <w:rFonts w:hint="eastAsia" w:ascii="宋体" w:hAnsi="宋体"/>
                <w:color w:val="auto"/>
                <w:sz w:val="24"/>
                <w:szCs w:val="28"/>
                <w:highlight w:val="none"/>
              </w:rPr>
              <w:t>及</w:t>
            </w:r>
            <w:r>
              <w:rPr>
                <w:rFonts w:ascii="宋体" w:hAnsi="宋体"/>
                <w:color w:val="auto"/>
                <w:sz w:val="24"/>
                <w:szCs w:val="28"/>
                <w:highlight w:val="none"/>
              </w:rPr>
              <w:t>报价要求响应文件</w:t>
            </w:r>
            <w:r>
              <w:rPr>
                <w:rFonts w:hint="eastAsia" w:ascii="宋体" w:hAnsi="宋体"/>
                <w:color w:val="auto"/>
                <w:sz w:val="24"/>
                <w:szCs w:val="28"/>
                <w:highlight w:val="none"/>
              </w:rPr>
              <w:t>组成</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2</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投标文件商务技术</w:t>
            </w:r>
            <w:r>
              <w:rPr>
                <w:rFonts w:ascii="宋体" w:hAnsi="宋体"/>
                <w:color w:val="auto"/>
                <w:sz w:val="24"/>
                <w:szCs w:val="28"/>
                <w:highlight w:val="none"/>
              </w:rPr>
              <w:t>响应文件</w:t>
            </w:r>
            <w:r>
              <w:rPr>
                <w:rFonts w:hint="eastAsia" w:ascii="宋体" w:hAnsi="宋体"/>
                <w:color w:val="auto"/>
                <w:sz w:val="24"/>
                <w:szCs w:val="28"/>
                <w:highlight w:val="none"/>
              </w:rPr>
              <w:t>、</w:t>
            </w:r>
            <w:r>
              <w:rPr>
                <w:rFonts w:ascii="宋体" w:hAnsi="宋体"/>
                <w:color w:val="auto"/>
                <w:sz w:val="24"/>
                <w:szCs w:val="28"/>
                <w:highlight w:val="none"/>
              </w:rPr>
              <w:t>报价要求响应文件</w:t>
            </w:r>
            <w:r>
              <w:rPr>
                <w:rFonts w:hint="eastAsia" w:ascii="宋体" w:hAnsi="宋体"/>
                <w:color w:val="auto"/>
                <w:sz w:val="24"/>
                <w:szCs w:val="28"/>
                <w:highlight w:val="none"/>
              </w:rPr>
              <w:t>的的计量单位、语言、报价货币、投标有效期</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3</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投标报价</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auto"/>
                <w:sz w:val="24"/>
                <w:szCs w:val="28"/>
                <w:highlight w:val="none"/>
              </w:rPr>
              <w:t>②</w:t>
            </w:r>
            <w:r>
              <w:rPr>
                <w:rFonts w:hint="eastAsia" w:ascii="宋体" w:hAnsi="宋体"/>
                <w:color w:val="auto"/>
                <w:sz w:val="24"/>
                <w:szCs w:val="28"/>
                <w:highlight w:val="none"/>
              </w:rPr>
              <w:t>单价金额小数点或者百分比有明显错位的，以总价为准，并修改单价；</w:t>
            </w:r>
            <w:r>
              <w:rPr>
                <w:rFonts w:hint="eastAsia" w:ascii="宋体" w:hAnsi="宋体" w:cs="宋体"/>
                <w:color w:val="auto"/>
                <w:sz w:val="24"/>
                <w:szCs w:val="28"/>
                <w:highlight w:val="none"/>
              </w:rPr>
              <w:t>③</w:t>
            </w:r>
            <w:r>
              <w:rPr>
                <w:rFonts w:hint="eastAsia" w:ascii="宋体" w:hAnsi="宋体"/>
                <w:color w:val="auto"/>
                <w:sz w:val="24"/>
                <w:szCs w:val="28"/>
                <w:highlight w:val="none"/>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color w:val="auto"/>
                <w:sz w:val="24"/>
                <w:szCs w:val="28"/>
                <w:highlight w:val="none"/>
              </w:rPr>
              <w:t>5）如因断电、断网、系统故障或其他不可抗力等因素，导致系统无法使用的，由投标人按评标委员会的要求进行澄清或者说明</w:t>
            </w:r>
            <w:r>
              <w:rPr>
                <w:rFonts w:hint="eastAsia" w:ascii="宋体" w:hAnsi="宋体"/>
                <w:color w:val="auto"/>
                <w:sz w:val="24"/>
                <w:szCs w:val="28"/>
                <w:highlight w:val="none"/>
              </w:rPr>
              <w:t>。</w:t>
            </w:r>
            <w:r>
              <w:rPr>
                <w:rFonts w:ascii="宋体" w:hAnsi="宋体"/>
                <w:color w:val="auto"/>
                <w:sz w:val="24"/>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4</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第4章★ 服务、商务和其他要求</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投标文件均实质性响应招标文件中的服务、商务和其他要求。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5</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进口产品</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6</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不属于禁止参加投标或投标无效的投标人</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（1）根据招标文件的要求不属于禁止参加投标或投标无效的投标人；</w:t>
            </w:r>
          </w:p>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（2）评标委员会未发现或者未知晓投标人存在属于国家相关法律法规规定的禁止参加投标或投标无效的投标人。</w:t>
            </w:r>
          </w:p>
          <w:p>
            <w:pPr>
              <w:tabs>
                <w:tab w:val="left" w:pos="851"/>
              </w:tabs>
              <w:spacing w:line="360" w:lineRule="auto"/>
              <w:rPr>
                <w:rFonts w:ascii="宋体" w:hAnsi="宋体"/>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7</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法定代表人或主要负责人身份证复印件或护照复印件</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8</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除资格性审查要求的证明材料外，招标文件要求提供的其他证明材料</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cs="仿宋_GB2312" w:asciiTheme="minorEastAsia" w:hAnsiTheme="minorEastAsia" w:eastAsiaTheme="minorEastAsia"/>
                <w:color w:val="auto"/>
                <w:sz w:val="24"/>
                <w:szCs w:val="24"/>
                <w:highlight w:val="none"/>
              </w:rPr>
              <w:t>无。</w:t>
            </w:r>
          </w:p>
        </w:tc>
      </w:tr>
    </w:tbl>
    <w:p>
      <w:pPr>
        <w:tabs>
          <w:tab w:val="left" w:pos="851"/>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二、投标人的投标文件符合性审查时被判定为无效投标文件的，区采购中心将通知投标人（以短信、现场公示、电话、“政府采购云平台”等任一方式）。投标人如对评审结论有异议的，应及时向区采购中心反馈意见。区采购中心在评审结束前将收到的反馈意见及时告知评标委员会。（说明：无论投标人是否收到通知或提供反馈意见，均不影响评标委员会的评标工作，且区采购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三、</w:t>
      </w:r>
      <w:r>
        <w:rPr>
          <w:rFonts w:hint="eastAsia" w:ascii="宋体" w:hAnsi="宋体"/>
          <w:color w:val="auto"/>
          <w:sz w:val="28"/>
          <w:szCs w:val="28"/>
          <w:highlight w:val="none"/>
          <w:lang w:val="en-US" w:eastAsia="zh-CN"/>
        </w:rPr>
        <w:t>包件1</w:t>
      </w:r>
      <w:r>
        <w:rPr>
          <w:rFonts w:hint="eastAsia" w:ascii="宋体" w:hAnsi="宋体"/>
          <w:color w:val="auto"/>
          <w:sz w:val="28"/>
          <w:szCs w:val="28"/>
          <w:highlight w:val="none"/>
        </w:rPr>
        <w:t>通过符合性审查的供应商＜3名，本项目</w:t>
      </w:r>
      <w:r>
        <w:rPr>
          <w:rFonts w:hint="eastAsia" w:ascii="宋体" w:hAnsi="宋体"/>
          <w:color w:val="auto"/>
          <w:sz w:val="28"/>
          <w:szCs w:val="28"/>
          <w:highlight w:val="none"/>
          <w:lang w:val="en-US" w:eastAsia="zh-CN"/>
        </w:rPr>
        <w:t>包件1</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包件2</w:t>
      </w:r>
      <w:r>
        <w:rPr>
          <w:rFonts w:hint="eastAsia" w:ascii="宋体" w:hAnsi="宋体"/>
          <w:color w:val="auto"/>
          <w:sz w:val="28"/>
          <w:szCs w:val="28"/>
          <w:highlight w:val="none"/>
        </w:rPr>
        <w:t>通过符合性审查的供应商＜3名，本项目</w:t>
      </w:r>
      <w:r>
        <w:rPr>
          <w:rFonts w:hint="eastAsia" w:ascii="宋体" w:hAnsi="宋体"/>
          <w:color w:val="auto"/>
          <w:sz w:val="28"/>
          <w:szCs w:val="28"/>
          <w:highlight w:val="none"/>
          <w:lang w:val="en-US" w:eastAsia="zh-CN"/>
        </w:rPr>
        <w:t>包件2</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包件3</w:t>
      </w:r>
      <w:r>
        <w:rPr>
          <w:rFonts w:hint="eastAsia" w:ascii="宋体" w:hAnsi="宋体"/>
          <w:color w:val="auto"/>
          <w:sz w:val="28"/>
          <w:szCs w:val="28"/>
          <w:highlight w:val="none"/>
        </w:rPr>
        <w:t>通过符合性审查的供应商＜3名，本项目</w:t>
      </w:r>
      <w:r>
        <w:rPr>
          <w:rFonts w:hint="eastAsia" w:ascii="宋体" w:hAnsi="宋体"/>
          <w:color w:val="auto"/>
          <w:sz w:val="28"/>
          <w:szCs w:val="28"/>
          <w:highlight w:val="none"/>
          <w:lang w:val="en-US" w:eastAsia="zh-CN"/>
        </w:rPr>
        <w:t>包件3</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包件4</w:t>
      </w:r>
      <w:r>
        <w:rPr>
          <w:rFonts w:hint="eastAsia" w:ascii="宋体" w:hAnsi="宋体"/>
          <w:color w:val="auto"/>
          <w:sz w:val="28"/>
          <w:szCs w:val="28"/>
          <w:highlight w:val="none"/>
        </w:rPr>
        <w:t>通过符合性审查的供应商＜3名，本项目</w:t>
      </w:r>
      <w:r>
        <w:rPr>
          <w:rFonts w:hint="eastAsia" w:ascii="宋体" w:hAnsi="宋体"/>
          <w:color w:val="auto"/>
          <w:sz w:val="28"/>
          <w:szCs w:val="28"/>
          <w:highlight w:val="none"/>
          <w:lang w:val="en-US" w:eastAsia="zh-CN"/>
        </w:rPr>
        <w:t>包件4</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包件5</w:t>
      </w:r>
      <w:r>
        <w:rPr>
          <w:rFonts w:hint="eastAsia" w:ascii="宋体" w:hAnsi="宋体"/>
          <w:color w:val="auto"/>
          <w:sz w:val="28"/>
          <w:szCs w:val="28"/>
          <w:highlight w:val="none"/>
        </w:rPr>
        <w:t>通过符合性审查的供应商＜3名，本项目</w:t>
      </w:r>
      <w:r>
        <w:rPr>
          <w:rFonts w:hint="eastAsia" w:ascii="宋体" w:hAnsi="宋体"/>
          <w:color w:val="auto"/>
          <w:sz w:val="28"/>
          <w:szCs w:val="28"/>
          <w:highlight w:val="none"/>
          <w:lang w:val="en-US" w:eastAsia="zh-CN"/>
        </w:rPr>
        <w:t>包件5</w:t>
      </w:r>
      <w:r>
        <w:rPr>
          <w:rFonts w:hint="eastAsia" w:ascii="宋体" w:hAnsi="宋体"/>
          <w:color w:val="auto"/>
          <w:sz w:val="28"/>
          <w:szCs w:val="28"/>
          <w:highlight w:val="none"/>
        </w:rPr>
        <w:t>采购失败。</w:t>
      </w:r>
      <w:r>
        <w:rPr>
          <w:rFonts w:hint="eastAsia" w:ascii="宋体" w:hAnsi="宋体"/>
          <w:color w:val="auto"/>
          <w:sz w:val="28"/>
          <w:szCs w:val="28"/>
          <w:highlight w:val="none"/>
          <w:lang w:val="en-US" w:eastAsia="zh-CN"/>
        </w:rPr>
        <w:t>包件6</w:t>
      </w:r>
      <w:r>
        <w:rPr>
          <w:rFonts w:hint="eastAsia" w:ascii="宋体" w:hAnsi="宋体"/>
          <w:color w:val="auto"/>
          <w:sz w:val="28"/>
          <w:szCs w:val="28"/>
          <w:highlight w:val="none"/>
        </w:rPr>
        <w:t>通过符合性审查的供应商＜3名，本项目</w:t>
      </w:r>
      <w:r>
        <w:rPr>
          <w:rFonts w:hint="eastAsia" w:ascii="宋体" w:hAnsi="宋体"/>
          <w:color w:val="auto"/>
          <w:sz w:val="28"/>
          <w:szCs w:val="28"/>
          <w:highlight w:val="none"/>
          <w:lang w:val="en-US" w:eastAsia="zh-CN"/>
        </w:rPr>
        <w:t>包件6</w:t>
      </w:r>
      <w:r>
        <w:rPr>
          <w:rFonts w:hint="eastAsia" w:ascii="宋体" w:hAnsi="宋体"/>
          <w:color w:val="auto"/>
          <w:sz w:val="28"/>
          <w:szCs w:val="28"/>
          <w:highlight w:val="none"/>
        </w:rPr>
        <w:t>采购失败。</w:t>
      </w:r>
    </w:p>
    <w:p>
      <w:pPr>
        <w:tabs>
          <w:tab w:val="left" w:pos="851"/>
        </w:tabs>
        <w:spacing w:line="560" w:lineRule="exact"/>
        <w:ind w:firstLine="565" w:firstLineChars="202"/>
        <w:rPr>
          <w:rFonts w:ascii="宋体" w:hAnsi="宋体"/>
          <w:color w:val="auto"/>
          <w:sz w:val="28"/>
          <w:szCs w:val="28"/>
          <w:highlight w:val="none"/>
        </w:rPr>
      </w:pP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解释、澄清有关问题</w:t>
      </w:r>
    </w:p>
    <w:p>
      <w:pPr>
        <w:numPr>
          <w:ilvl w:val="0"/>
          <w:numId w:val="72"/>
        </w:numPr>
        <w:tabs>
          <w:tab w:val="left" w:pos="1134"/>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过程中，评标委员会认为招标文件有关事项表述不明确或需要说明的，可以提请区采购中心书面解释。区采购中心的解释不得改变招标文件的原义或者影响公平、公正，解释事项如果涉及投标人权益的以有利于投标人的原则进行解释。</w:t>
      </w:r>
    </w:p>
    <w:p>
      <w:pPr>
        <w:numPr>
          <w:ilvl w:val="0"/>
          <w:numId w:val="72"/>
        </w:numPr>
        <w:tabs>
          <w:tab w:val="left" w:pos="1134"/>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72"/>
        </w:numPr>
        <w:tabs>
          <w:tab w:val="left" w:pos="1134"/>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73"/>
        </w:numPr>
        <w:tabs>
          <w:tab w:val="left" w:pos="1260"/>
        </w:tabs>
        <w:spacing w:line="560" w:lineRule="exact"/>
        <w:ind w:left="0" w:firstLine="525"/>
        <w:rPr>
          <w:rFonts w:ascii="宋体" w:hAnsi="宋体" w:cstheme="minorBidi"/>
          <w:color w:val="auto"/>
          <w:sz w:val="28"/>
          <w:szCs w:val="28"/>
          <w:highlight w:val="none"/>
        </w:rPr>
      </w:pPr>
      <w:r>
        <w:rPr>
          <w:rFonts w:hint="eastAsia" w:ascii="宋体" w:hAnsi="宋体" w:cstheme="minorBidi"/>
          <w:color w:val="auto"/>
          <w:sz w:val="28"/>
          <w:szCs w:val="28"/>
          <w:highlight w:val="none"/>
        </w:rPr>
        <w:t>投标人投标文件中不响应招标文件规定的技术参数指标和商务应答；</w:t>
      </w:r>
    </w:p>
    <w:p>
      <w:pPr>
        <w:numPr>
          <w:ilvl w:val="0"/>
          <w:numId w:val="73"/>
        </w:numPr>
        <w:tabs>
          <w:tab w:val="left" w:pos="1260"/>
        </w:tabs>
        <w:spacing w:line="560" w:lineRule="exact"/>
        <w:ind w:left="0" w:firstLine="525"/>
        <w:rPr>
          <w:rFonts w:ascii="宋体" w:hAnsi="宋体" w:cstheme="minorBidi"/>
          <w:color w:val="auto"/>
          <w:sz w:val="28"/>
          <w:szCs w:val="28"/>
          <w:highlight w:val="none"/>
        </w:rPr>
      </w:pPr>
      <w:r>
        <w:rPr>
          <w:rFonts w:hint="eastAsia" w:ascii="宋体" w:hAnsi="宋体" w:cstheme="minorBidi"/>
          <w:color w:val="auto"/>
          <w:sz w:val="28"/>
          <w:szCs w:val="28"/>
          <w:highlight w:val="none"/>
        </w:rPr>
        <w:t>投标人投标文件中未提供的证明其是否符合招标文件资格性、符合性规定要求的相关材料。</w:t>
      </w:r>
    </w:p>
    <w:p>
      <w:pPr>
        <w:numPr>
          <w:ilvl w:val="0"/>
          <w:numId w:val="73"/>
        </w:numPr>
        <w:tabs>
          <w:tab w:val="left" w:pos="993"/>
          <w:tab w:val="left" w:pos="1260"/>
        </w:tabs>
        <w:spacing w:line="560" w:lineRule="exact"/>
        <w:ind w:left="0" w:firstLine="525"/>
        <w:rPr>
          <w:rFonts w:ascii="宋体" w:hAnsi="宋体" w:cstheme="minorBidi"/>
          <w:color w:val="auto"/>
          <w:sz w:val="28"/>
          <w:szCs w:val="28"/>
          <w:highlight w:val="none"/>
        </w:rPr>
      </w:pPr>
      <w:r>
        <w:rPr>
          <w:rFonts w:hint="eastAsia" w:ascii="宋体" w:hAnsi="宋体" w:cstheme="minorBidi"/>
          <w:color w:val="auto"/>
          <w:sz w:val="28"/>
          <w:szCs w:val="28"/>
          <w:highlight w:val="none"/>
        </w:rPr>
        <w:t>投标人投标文件中的材料因印刷、影印等不清晰而难以辨认的。</w:t>
      </w:r>
    </w:p>
    <w:p>
      <w:pPr>
        <w:numPr>
          <w:ilvl w:val="0"/>
          <w:numId w:val="72"/>
        </w:numPr>
        <w:tabs>
          <w:tab w:val="left" w:pos="1134"/>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（三）总价金额与按单价汇总金额不一致的，以单价金额计算结果为准。</w:t>
      </w:r>
    </w:p>
    <w:p>
      <w:pPr>
        <w:spacing w:line="560" w:lineRule="exact"/>
        <w:ind w:firstLine="560"/>
        <w:rPr>
          <w:color w:val="auto"/>
          <w:sz w:val="28"/>
          <w:szCs w:val="28"/>
          <w:highlight w:val="none"/>
        </w:rPr>
      </w:pPr>
      <w:r>
        <w:rPr>
          <w:rFonts w:hint="eastAsia"/>
          <w:color w:val="auto"/>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auto"/>
          <w:sz w:val="28"/>
          <w:szCs w:val="28"/>
          <w:highlight w:val="none"/>
        </w:rPr>
      </w:pPr>
      <w:r>
        <w:rPr>
          <w:rFonts w:hint="eastAsia"/>
          <w:color w:val="auto"/>
          <w:sz w:val="28"/>
          <w:szCs w:val="28"/>
          <w:highlight w:val="none"/>
        </w:rPr>
        <w:t>五、对不同语言文本投标文件的解释发生异议的，以中文文本为准。</w:t>
      </w:r>
    </w:p>
    <w:p>
      <w:pPr>
        <w:tabs>
          <w:tab w:val="left" w:pos="720"/>
        </w:tabs>
        <w:spacing w:line="560" w:lineRule="exact"/>
        <w:ind w:firstLine="560" w:firstLineChars="200"/>
        <w:rPr>
          <w:color w:val="auto"/>
          <w:sz w:val="28"/>
          <w:szCs w:val="28"/>
          <w:highlight w:val="none"/>
        </w:rPr>
      </w:pPr>
      <w:r>
        <w:rPr>
          <w:rFonts w:hint="eastAsia"/>
          <w:color w:val="auto"/>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auto"/>
          <w:sz w:val="28"/>
          <w:szCs w:val="28"/>
          <w:highlight w:val="none"/>
        </w:rPr>
      </w:pPr>
      <w:r>
        <w:rPr>
          <w:rFonts w:hint="eastAsia" w:ascii="宋体" w:hAnsi="宋体"/>
          <w:b/>
          <w:color w:val="auto"/>
          <w:sz w:val="28"/>
          <w:szCs w:val="28"/>
          <w:highlight w:val="none"/>
        </w:rPr>
        <w:t>评标委员会应当积极履行澄清、说明或者更正的职责，不得滥用权力。</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比较与评价</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按招标文件中规定的评标细则及标准，对符合性检查合格的投标文件进行商务和技术评估，综合比较和评价。</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复核</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评标结果汇总完成后，评标委员会拟出具评审报告前，</w:t>
      </w:r>
      <w:r>
        <w:rPr>
          <w:rFonts w:hint="eastAsia" w:cs="Arial"/>
          <w:color w:val="auto"/>
          <w:sz w:val="28"/>
          <w:szCs w:val="28"/>
          <w:highlight w:val="none"/>
        </w:rPr>
        <w:t>区采购中心</w:t>
      </w:r>
      <w:r>
        <w:rPr>
          <w:rFonts w:hint="eastAsia" w:ascii="宋体" w:hAnsi="宋体"/>
          <w:color w:val="auto"/>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评标结果汇总完成后，除下列情形外，任何人不得修改评标结果：</w:t>
      </w:r>
    </w:p>
    <w:p>
      <w:pPr>
        <w:numPr>
          <w:ilvl w:val="0"/>
          <w:numId w:val="74"/>
        </w:numPr>
        <w:tabs>
          <w:tab w:val="left" w:pos="851"/>
          <w:tab w:val="left" w:pos="1276"/>
        </w:tabs>
        <w:spacing w:line="560" w:lineRule="exact"/>
        <w:ind w:left="0" w:firstLine="424"/>
        <w:rPr>
          <w:rFonts w:ascii="宋体" w:hAnsi="宋体" w:cstheme="minorBidi"/>
          <w:color w:val="auto"/>
          <w:sz w:val="28"/>
          <w:szCs w:val="28"/>
          <w:highlight w:val="none"/>
        </w:rPr>
      </w:pPr>
      <w:r>
        <w:rPr>
          <w:rFonts w:hint="eastAsia" w:ascii="宋体" w:hAnsi="宋体" w:cstheme="minorBidi"/>
          <w:color w:val="auto"/>
          <w:sz w:val="28"/>
          <w:szCs w:val="28"/>
          <w:highlight w:val="none"/>
        </w:rPr>
        <w:t>分值汇总计算错误的；</w:t>
      </w:r>
    </w:p>
    <w:p>
      <w:pPr>
        <w:numPr>
          <w:ilvl w:val="0"/>
          <w:numId w:val="74"/>
        </w:numPr>
        <w:tabs>
          <w:tab w:val="left" w:pos="851"/>
          <w:tab w:val="left" w:pos="1276"/>
        </w:tabs>
        <w:spacing w:line="560" w:lineRule="exact"/>
        <w:ind w:left="0" w:firstLine="424"/>
        <w:rPr>
          <w:rFonts w:ascii="宋体" w:hAnsi="宋体" w:cstheme="minorBidi"/>
          <w:color w:val="auto"/>
          <w:sz w:val="28"/>
          <w:szCs w:val="28"/>
          <w:highlight w:val="none"/>
        </w:rPr>
      </w:pPr>
      <w:r>
        <w:rPr>
          <w:rFonts w:hint="eastAsia" w:ascii="宋体" w:hAnsi="宋体" w:cstheme="minorBidi"/>
          <w:color w:val="auto"/>
          <w:sz w:val="28"/>
          <w:szCs w:val="28"/>
          <w:highlight w:val="none"/>
        </w:rPr>
        <w:t>分项评分超出评分标准范围的；</w:t>
      </w:r>
    </w:p>
    <w:p>
      <w:pPr>
        <w:numPr>
          <w:ilvl w:val="0"/>
          <w:numId w:val="74"/>
        </w:numPr>
        <w:tabs>
          <w:tab w:val="left" w:pos="851"/>
          <w:tab w:val="left" w:pos="1276"/>
          <w:tab w:val="left" w:pos="1560"/>
        </w:tabs>
        <w:spacing w:line="560" w:lineRule="exact"/>
        <w:ind w:left="0" w:firstLine="424"/>
        <w:rPr>
          <w:rFonts w:ascii="宋体" w:hAnsi="宋体" w:cstheme="minorBidi"/>
          <w:color w:val="auto"/>
          <w:sz w:val="28"/>
          <w:szCs w:val="28"/>
          <w:highlight w:val="none"/>
        </w:rPr>
      </w:pPr>
      <w:r>
        <w:rPr>
          <w:rFonts w:hint="eastAsia" w:ascii="宋体" w:hAnsi="宋体" w:cstheme="minorBidi"/>
          <w:color w:val="auto"/>
          <w:sz w:val="28"/>
          <w:szCs w:val="28"/>
          <w:highlight w:val="none"/>
        </w:rPr>
        <w:t>评标委员会成员对客观评审因素评分不一致的；</w:t>
      </w:r>
    </w:p>
    <w:p>
      <w:pPr>
        <w:numPr>
          <w:ilvl w:val="0"/>
          <w:numId w:val="74"/>
        </w:numPr>
        <w:tabs>
          <w:tab w:val="left" w:pos="851"/>
          <w:tab w:val="left" w:pos="1276"/>
        </w:tabs>
        <w:spacing w:line="560" w:lineRule="exact"/>
        <w:ind w:left="0" w:firstLine="426"/>
        <w:rPr>
          <w:rFonts w:ascii="宋体" w:hAnsi="宋体" w:cstheme="minorBidi"/>
          <w:color w:val="auto"/>
          <w:sz w:val="28"/>
          <w:szCs w:val="28"/>
          <w:highlight w:val="none"/>
        </w:rPr>
      </w:pPr>
      <w:r>
        <w:rPr>
          <w:rFonts w:hint="eastAsia" w:ascii="宋体" w:hAnsi="宋体" w:cstheme="minorBidi"/>
          <w:color w:val="auto"/>
          <w:sz w:val="28"/>
          <w:szCs w:val="28"/>
          <w:highlight w:val="none"/>
        </w:rPr>
        <w:t>经评标委员会认定评分畸高、畸低的。</w:t>
      </w:r>
    </w:p>
    <w:p>
      <w:pPr>
        <w:tabs>
          <w:tab w:val="left" w:pos="851"/>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确定中标候选人名单</w:t>
      </w:r>
    </w:p>
    <w:p>
      <w:pPr>
        <w:pStyle w:val="3"/>
        <w:numPr>
          <w:ilvl w:val="0"/>
          <w:numId w:val="75"/>
        </w:numPr>
        <w:ind w:left="0" w:leftChars="0" w:firstLine="565" w:firstLineChars="202"/>
        <w:rPr>
          <w:rFonts w:hint="default" w:ascii="宋体" w:hAnsi="宋体" w:eastAsia="宋体" w:cs="Times New Roman"/>
          <w:color w:val="auto"/>
          <w:kern w:val="2"/>
          <w:sz w:val="28"/>
          <w:szCs w:val="28"/>
          <w:highlight w:val="none"/>
          <w:lang w:val="en-US" w:eastAsia="zh-CN" w:bidi="ar-SA"/>
        </w:rPr>
      </w:pPr>
      <w:r>
        <w:rPr>
          <w:rFonts w:hint="default" w:ascii="宋体" w:hAnsi="宋体" w:eastAsia="宋体" w:cs="Times New Roman"/>
          <w:color w:val="auto"/>
          <w:kern w:val="2"/>
          <w:sz w:val="28"/>
          <w:szCs w:val="28"/>
          <w:highlight w:val="none"/>
          <w:lang w:val="en-US" w:eastAsia="zh-CN" w:bidi="ar-SA"/>
        </w:rPr>
        <w:t>按投标人综合得分从高到低进行排序，确定</w:t>
      </w:r>
      <w:r>
        <w:rPr>
          <w:rFonts w:hint="eastAsia" w:ascii="宋体" w:hAnsi="宋体" w:cs="Times New Roman"/>
          <w:color w:val="auto"/>
          <w:kern w:val="2"/>
          <w:sz w:val="28"/>
          <w:szCs w:val="28"/>
          <w:highlight w:val="none"/>
          <w:lang w:val="en-US" w:eastAsia="zh-CN" w:bidi="ar-SA"/>
        </w:rPr>
        <w:t>1至3</w:t>
      </w:r>
      <w:r>
        <w:rPr>
          <w:rFonts w:hint="default" w:ascii="宋体" w:hAnsi="宋体" w:eastAsia="宋体" w:cs="Times New Roman"/>
          <w:color w:val="auto"/>
          <w:kern w:val="2"/>
          <w:sz w:val="28"/>
          <w:szCs w:val="28"/>
          <w:highlight w:val="none"/>
          <w:lang w:val="en-US" w:eastAsia="zh-CN" w:bidi="ar-SA"/>
        </w:rPr>
        <w:t>名中标候选人。综合得分相同的，按投标报价由低到高顺序排列</w:t>
      </w:r>
      <w:r>
        <w:rPr>
          <w:rFonts w:hint="eastAsia" w:ascii="宋体" w:hAnsi="宋体" w:cs="Times New Roman"/>
          <w:color w:val="auto"/>
          <w:kern w:val="2"/>
          <w:sz w:val="28"/>
          <w:szCs w:val="28"/>
          <w:highlight w:val="none"/>
          <w:lang w:val="en-US" w:eastAsia="zh-CN" w:bidi="ar-SA"/>
        </w:rPr>
        <w:t>；</w:t>
      </w:r>
      <w:r>
        <w:rPr>
          <w:rFonts w:hint="default" w:ascii="宋体" w:hAnsi="宋体" w:eastAsia="宋体" w:cs="Times New Roman"/>
          <w:color w:val="auto"/>
          <w:kern w:val="2"/>
          <w:sz w:val="28"/>
          <w:szCs w:val="28"/>
          <w:highlight w:val="none"/>
          <w:lang w:val="en-US" w:eastAsia="zh-CN" w:bidi="ar-SA"/>
        </w:rPr>
        <w:t>得分且投标报价相同的，不发达地区或少数民族地区的中标候选人排列顺序在非不发达地区或少数民族地区的中标候选人之前。得分且投标报价相同的，且均为不发达地区或少数民族地区的中标候选人并列；得分且投标报价相同的，且不能判定为不发达地区或少数民族地区的中标候选人并列；并列时</w:t>
      </w:r>
      <w:r>
        <w:rPr>
          <w:rFonts w:hint="eastAsia" w:ascii="宋体" w:hAnsi="宋体" w:cs="Times New Roman"/>
          <w:color w:val="auto"/>
          <w:kern w:val="2"/>
          <w:sz w:val="28"/>
          <w:szCs w:val="28"/>
          <w:highlight w:val="none"/>
          <w:lang w:val="en-US" w:eastAsia="zh-CN" w:bidi="ar-SA"/>
        </w:rPr>
        <w:t>由采购人</w:t>
      </w:r>
      <w:r>
        <w:rPr>
          <w:rFonts w:hint="default" w:ascii="宋体" w:hAnsi="宋体" w:eastAsia="宋体" w:cs="Times New Roman"/>
          <w:color w:val="auto"/>
          <w:kern w:val="2"/>
          <w:sz w:val="28"/>
          <w:szCs w:val="28"/>
          <w:highlight w:val="none"/>
          <w:lang w:val="en-US" w:eastAsia="zh-CN" w:bidi="ar-SA"/>
        </w:rPr>
        <w:t>以抽签方式确定排名顺序。</w:t>
      </w:r>
      <w:r>
        <w:rPr>
          <w:rFonts w:hint="eastAsia" w:ascii="宋体" w:hAnsi="宋体" w:cs="Times New Roman"/>
          <w:color w:val="auto"/>
          <w:kern w:val="2"/>
          <w:sz w:val="28"/>
          <w:szCs w:val="28"/>
          <w:highlight w:val="none"/>
          <w:lang w:val="en-US" w:eastAsia="zh-CN" w:bidi="ar-SA"/>
        </w:rPr>
        <w:t>最终排名第一的投标人为中标候选人。</w:t>
      </w:r>
      <w:r>
        <w:rPr>
          <w:rFonts w:hint="default" w:ascii="宋体" w:hAnsi="宋体" w:eastAsia="宋体" w:cs="Times New Roman"/>
          <w:color w:val="auto"/>
          <w:kern w:val="2"/>
          <w:sz w:val="28"/>
          <w:szCs w:val="28"/>
          <w:highlight w:val="none"/>
          <w:lang w:val="en-US" w:eastAsia="zh-CN" w:bidi="ar-SA"/>
        </w:rPr>
        <w:t>（不发达地区或少数民族地区的投标人需提供属于不发达地区或少数民族地区企业的相关证明材料）</w:t>
      </w:r>
    </w:p>
    <w:p>
      <w:pPr>
        <w:pStyle w:val="2"/>
        <w:numPr>
          <w:ilvl w:val="0"/>
          <w:numId w:val="75"/>
        </w:numPr>
        <w:ind w:left="0" w:leftChars="0" w:firstLine="565" w:firstLineChars="202"/>
        <w:rPr>
          <w:rFonts w:hint="default"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关于多包投标的规定：供应商可同时投多个包，但每个供应商最多只能中一个包。如出现同一供应商在多个包评分排名第一的情况，则按包号顺序确认中标包号，同时，该供应商在其它包的中标候选人资格将自动废除。</w:t>
      </w:r>
    </w:p>
    <w:p>
      <w:pPr>
        <w:keepNext/>
        <w:keepLines/>
        <w:numPr>
          <w:ilvl w:val="2"/>
          <w:numId w:val="28"/>
        </w:numPr>
        <w:spacing w:before="240"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编写评标报告</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评标报告是评标委员会根据全体评标成员签字的原始评标记录和评标结果编写的报告，其主要内容包括：</w:t>
      </w:r>
    </w:p>
    <w:p>
      <w:pPr>
        <w:numPr>
          <w:ilvl w:val="0"/>
          <w:numId w:val="76"/>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招标公告刊登的媒体名称、开标日期和地点；</w:t>
      </w:r>
    </w:p>
    <w:p>
      <w:pPr>
        <w:numPr>
          <w:ilvl w:val="0"/>
          <w:numId w:val="76"/>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投标人名单和评标委员会成员名单；</w:t>
      </w:r>
    </w:p>
    <w:p>
      <w:pPr>
        <w:numPr>
          <w:ilvl w:val="0"/>
          <w:numId w:val="76"/>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评标方法和标准；</w:t>
      </w:r>
    </w:p>
    <w:p>
      <w:pPr>
        <w:numPr>
          <w:ilvl w:val="0"/>
          <w:numId w:val="76"/>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开标记录和评标情况及说明，包括投标无效投标人名单及原因；</w:t>
      </w:r>
    </w:p>
    <w:p>
      <w:pPr>
        <w:numPr>
          <w:ilvl w:val="0"/>
          <w:numId w:val="76"/>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评标结果，确定的中标候选人名单或者经采购人委托直接确定的中标人；</w:t>
      </w:r>
    </w:p>
    <w:p>
      <w:pPr>
        <w:numPr>
          <w:ilvl w:val="0"/>
          <w:numId w:val="76"/>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其他需要说明的情况，包括评标过程中投标人根据评标委员会要求进行的澄清、说明或者补正，评标委员会成员的更换等；</w:t>
      </w:r>
    </w:p>
    <w:p>
      <w:pPr>
        <w:numPr>
          <w:ilvl w:val="0"/>
          <w:numId w:val="76"/>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auto"/>
          <w:sz w:val="28"/>
          <w:szCs w:val="28"/>
          <w:highlight w:val="none"/>
        </w:rPr>
      </w:pPr>
      <w:r>
        <w:rPr>
          <w:rFonts w:hint="eastAsia" w:ascii="宋体" w:hAnsi="宋体"/>
          <w:color w:val="auto"/>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28"/>
        </w:numPr>
        <w:spacing w:line="360" w:lineRule="auto"/>
        <w:jc w:val="left"/>
        <w:outlineLvl w:val="1"/>
        <w:rPr>
          <w:rFonts w:ascii="宋体" w:hAnsi="宋体"/>
          <w:b/>
          <w:bCs/>
          <w:color w:val="auto"/>
          <w:sz w:val="28"/>
          <w:szCs w:val="28"/>
          <w:highlight w:val="none"/>
        </w:rPr>
      </w:pPr>
      <w:bookmarkStart w:id="155" w:name="_Toc17226"/>
      <w:r>
        <w:rPr>
          <w:rFonts w:hint="eastAsia" w:ascii="宋体" w:hAnsi="宋体"/>
          <w:b/>
          <w:bCs/>
          <w:color w:val="auto"/>
          <w:sz w:val="28"/>
          <w:szCs w:val="28"/>
          <w:highlight w:val="none"/>
        </w:rPr>
        <w:t>评标争议处理规则</w:t>
      </w:r>
      <w:bookmarkEnd w:id="155"/>
    </w:p>
    <w:p>
      <w:pPr>
        <w:tabs>
          <w:tab w:val="left" w:pos="1155"/>
        </w:tabs>
        <w:spacing w:line="560" w:lineRule="exact"/>
        <w:ind w:firstLine="523" w:firstLineChars="187"/>
        <w:rPr>
          <w:rFonts w:ascii="宋体" w:hAnsi="宋体"/>
          <w:color w:val="auto"/>
          <w:sz w:val="28"/>
          <w:szCs w:val="28"/>
          <w:highlight w:val="none"/>
        </w:rPr>
      </w:pPr>
      <w:r>
        <w:rPr>
          <w:rFonts w:hint="eastAsia" w:ascii="宋体" w:hAnsi="宋体"/>
          <w:color w:val="auto"/>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highlight w:val="none"/>
        </w:rPr>
        <w:t>持不同意见的评标委员会成员应当在评标报告上签署不同意见及理由，否则视为同意评标报告。</w:t>
      </w:r>
      <w:r>
        <w:rPr>
          <w:rFonts w:hint="eastAsia" w:ascii="宋体" w:hAnsi="宋体"/>
          <w:color w:val="auto"/>
          <w:sz w:val="28"/>
          <w:szCs w:val="28"/>
          <w:highlight w:val="none"/>
        </w:rPr>
        <w:t>持不同意见的评标委员会成员认为认定过程和结果不符合法律法规或者招标文件规定的，应当及时向采购人或</w:t>
      </w:r>
      <w:r>
        <w:rPr>
          <w:rFonts w:hint="eastAsia" w:cs="Arial"/>
          <w:color w:val="auto"/>
          <w:sz w:val="28"/>
          <w:szCs w:val="28"/>
          <w:highlight w:val="none"/>
        </w:rPr>
        <w:t>区采购中心</w:t>
      </w:r>
      <w:r>
        <w:rPr>
          <w:rFonts w:hint="eastAsia" w:ascii="宋体" w:hAnsi="宋体"/>
          <w:color w:val="auto"/>
          <w:sz w:val="28"/>
          <w:szCs w:val="28"/>
          <w:highlight w:val="none"/>
        </w:rPr>
        <w:t>书面反映。采购人或</w:t>
      </w:r>
      <w:r>
        <w:rPr>
          <w:rFonts w:hint="eastAsia" w:cs="Arial"/>
          <w:color w:val="auto"/>
          <w:sz w:val="28"/>
          <w:szCs w:val="28"/>
          <w:highlight w:val="none"/>
        </w:rPr>
        <w:t>区采购中心</w:t>
      </w:r>
      <w:r>
        <w:rPr>
          <w:rFonts w:hint="eastAsia" w:ascii="宋体" w:hAnsi="宋体"/>
          <w:color w:val="auto"/>
          <w:sz w:val="28"/>
          <w:szCs w:val="28"/>
          <w:highlight w:val="none"/>
        </w:rPr>
        <w:t>收到书面反映后，应当书面报告采购项目同级财政部门依法处理。</w:t>
      </w:r>
    </w:p>
    <w:p>
      <w:pPr>
        <w:keepNext/>
        <w:keepLines/>
        <w:numPr>
          <w:ilvl w:val="1"/>
          <w:numId w:val="28"/>
        </w:numPr>
        <w:spacing w:line="360" w:lineRule="auto"/>
        <w:jc w:val="left"/>
        <w:outlineLvl w:val="1"/>
        <w:rPr>
          <w:rFonts w:ascii="宋体" w:hAnsi="宋体"/>
          <w:b/>
          <w:bCs/>
          <w:color w:val="auto"/>
          <w:sz w:val="28"/>
          <w:szCs w:val="28"/>
          <w:highlight w:val="none"/>
        </w:rPr>
      </w:pPr>
      <w:bookmarkStart w:id="156" w:name="_Toc27903"/>
      <w:r>
        <w:rPr>
          <w:rFonts w:hint="eastAsia" w:ascii="宋体" w:hAnsi="宋体"/>
          <w:b/>
          <w:bCs/>
          <w:color w:val="auto"/>
          <w:sz w:val="28"/>
          <w:szCs w:val="28"/>
          <w:highlight w:val="none"/>
        </w:rPr>
        <w:t>评标细则及标准</w:t>
      </w:r>
      <w:bookmarkEnd w:id="156"/>
    </w:p>
    <w:p>
      <w:pPr>
        <w:numPr>
          <w:ilvl w:val="0"/>
          <w:numId w:val="77"/>
        </w:numPr>
        <w:tabs>
          <w:tab w:val="left" w:pos="1155"/>
        </w:tabs>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评标委员会只对通过初审的投标文件，根据招标文件的要求采用相同的评标程序、评分办法及标准进行评价和比较。</w:t>
      </w:r>
    </w:p>
    <w:p>
      <w:pPr>
        <w:numPr>
          <w:ilvl w:val="0"/>
          <w:numId w:val="77"/>
        </w:numPr>
        <w:tabs>
          <w:tab w:val="left" w:pos="1155"/>
        </w:tabs>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本次综合评分的因素是：价格、服务、商务等。</w:t>
      </w:r>
    </w:p>
    <w:p>
      <w:pPr>
        <w:numPr>
          <w:ilvl w:val="0"/>
          <w:numId w:val="77"/>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评标委员会成员应依据招标文件规定的评分标准和方法独立打分。</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评分办法</w:t>
      </w:r>
    </w:p>
    <w:p>
      <w:pPr>
        <w:spacing w:line="560" w:lineRule="exact"/>
        <w:ind w:firstLine="630" w:firstLineChars="225"/>
        <w:rPr>
          <w:rFonts w:ascii="宋体" w:hAnsi="宋体"/>
          <w:color w:val="auto"/>
          <w:sz w:val="28"/>
          <w:szCs w:val="28"/>
          <w:highlight w:val="none"/>
        </w:rPr>
      </w:pPr>
      <w:r>
        <w:rPr>
          <w:rFonts w:hint="eastAsia" w:ascii="宋体" w:hAnsi="宋体"/>
          <w:color w:val="auto"/>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auto"/>
          <w:sz w:val="28"/>
          <w:szCs w:val="28"/>
          <w:highlight w:val="none"/>
        </w:rPr>
      </w:pPr>
      <w:r>
        <w:rPr>
          <w:rFonts w:hint="eastAsia" w:ascii="宋体" w:hAnsi="宋体"/>
          <w:color w:val="auto"/>
          <w:sz w:val="28"/>
          <w:szCs w:val="28"/>
          <w:highlight w:val="none"/>
        </w:rPr>
        <w:t>评标得分＝（A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3</w:t>
      </w:r>
    </w:p>
    <w:p>
      <w:pPr>
        <w:widowControl/>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分别为每个</w:t>
      </w:r>
      <w:r>
        <w:rPr>
          <w:rFonts w:hint="eastAsia" w:ascii="宋体" w:hAnsi="宋体" w:cs="宋体"/>
          <w:color w:val="auto"/>
          <w:kern w:val="0"/>
          <w:sz w:val="28"/>
          <w:szCs w:val="28"/>
          <w:highlight w:val="none"/>
        </w:rPr>
        <w:t>经济类</w:t>
      </w:r>
      <w:r>
        <w:rPr>
          <w:rFonts w:hint="eastAsia" w:ascii="宋体" w:hAnsi="宋体"/>
          <w:color w:val="auto"/>
          <w:sz w:val="28"/>
          <w:szCs w:val="28"/>
          <w:highlight w:val="none"/>
        </w:rPr>
        <w:t>评委的打分，n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为</w:t>
      </w:r>
      <w:r>
        <w:rPr>
          <w:rFonts w:hint="eastAsia" w:ascii="宋体" w:hAnsi="宋体" w:cs="宋体"/>
          <w:color w:val="auto"/>
          <w:kern w:val="0"/>
          <w:sz w:val="28"/>
          <w:szCs w:val="28"/>
          <w:highlight w:val="none"/>
        </w:rPr>
        <w:t>经济类</w:t>
      </w:r>
      <w:r>
        <w:rPr>
          <w:rFonts w:hint="eastAsia" w:ascii="宋体" w:hAnsi="宋体"/>
          <w:color w:val="auto"/>
          <w:sz w:val="28"/>
          <w:szCs w:val="28"/>
          <w:highlight w:val="none"/>
        </w:rPr>
        <w:t>评委人数；B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分别为每个技术类评委（含采购人代表）的打分，n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为</w:t>
      </w:r>
      <w:r>
        <w:rPr>
          <w:rFonts w:hint="eastAsia" w:ascii="宋体" w:hAnsi="宋体" w:cs="宋体"/>
          <w:color w:val="auto"/>
          <w:kern w:val="0"/>
          <w:sz w:val="28"/>
          <w:szCs w:val="28"/>
          <w:highlight w:val="none"/>
        </w:rPr>
        <w:t>技术类</w:t>
      </w:r>
      <w:r>
        <w:rPr>
          <w:rFonts w:hint="eastAsia" w:ascii="宋体" w:hAnsi="宋体"/>
          <w:color w:val="auto"/>
          <w:sz w:val="28"/>
          <w:szCs w:val="28"/>
          <w:highlight w:val="none"/>
        </w:rPr>
        <w:t>评委（含采购人代表）人数；C</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分别为评审委员会每个成员的打分，n</w:t>
      </w:r>
      <w:r>
        <w:rPr>
          <w:rFonts w:hint="eastAsia" w:ascii="宋体" w:hAnsi="宋体"/>
          <w:color w:val="auto"/>
          <w:sz w:val="28"/>
          <w:szCs w:val="28"/>
          <w:highlight w:val="none"/>
          <w:vertAlign w:val="subscript"/>
        </w:rPr>
        <w:t>3</w:t>
      </w:r>
      <w:r>
        <w:rPr>
          <w:rFonts w:hint="eastAsia" w:ascii="宋体" w:hAnsi="宋体"/>
          <w:color w:val="auto"/>
          <w:sz w:val="28"/>
          <w:szCs w:val="28"/>
          <w:highlight w:val="none"/>
        </w:rPr>
        <w:t>为评委人数。</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 xml:space="preserve">评分标准 </w:t>
      </w:r>
      <w:bookmarkStart w:id="157" w:name="_Toc315871656"/>
      <w:bookmarkEnd w:id="157"/>
      <w:bookmarkStart w:id="158" w:name="_Toc320624285"/>
      <w:bookmarkEnd w:id="158"/>
      <w:bookmarkStart w:id="159" w:name="_Toc320624275"/>
      <w:bookmarkEnd w:id="159"/>
      <w:bookmarkStart w:id="160" w:name="_Toc315871725"/>
      <w:bookmarkEnd w:id="160"/>
      <w:bookmarkStart w:id="161" w:name="_Toc320624295"/>
      <w:bookmarkEnd w:id="161"/>
      <w:bookmarkStart w:id="162" w:name="_Toc320624240"/>
      <w:bookmarkEnd w:id="162"/>
      <w:bookmarkStart w:id="163" w:name="_Toc315871658"/>
      <w:bookmarkEnd w:id="163"/>
      <w:bookmarkStart w:id="164" w:name="_Toc318206701"/>
      <w:bookmarkEnd w:id="164"/>
      <w:bookmarkStart w:id="165" w:name="_Toc320624260"/>
      <w:bookmarkEnd w:id="165"/>
      <w:bookmarkStart w:id="166" w:name="_Toc315871657"/>
      <w:bookmarkEnd w:id="166"/>
      <w:bookmarkStart w:id="167" w:name="_Toc320624265"/>
      <w:bookmarkEnd w:id="167"/>
      <w:bookmarkStart w:id="168" w:name="_Toc320624255"/>
      <w:bookmarkEnd w:id="168"/>
      <w:bookmarkStart w:id="169" w:name="_Toc320624290"/>
      <w:bookmarkEnd w:id="169"/>
      <w:bookmarkStart w:id="170" w:name="_Toc320624280"/>
      <w:bookmarkEnd w:id="170"/>
    </w:p>
    <w:p>
      <w:pPr>
        <w:pStyle w:val="2"/>
        <w:rPr>
          <w:color w:val="auto"/>
          <w:highlight w:val="none"/>
        </w:rPr>
      </w:pPr>
    </w:p>
    <w:p>
      <w:pPr>
        <w:spacing w:line="360" w:lineRule="auto"/>
        <w:rPr>
          <w:rFonts w:ascii="宋体" w:hAnsi="宋体"/>
          <w:color w:val="auto"/>
          <w:sz w:val="28"/>
          <w:szCs w:val="28"/>
          <w:highlight w:val="none"/>
        </w:rPr>
      </w:pPr>
      <w:r>
        <w:rPr>
          <w:rFonts w:hint="eastAsia" w:ascii="宋体" w:hAnsi="宋体"/>
          <w:color w:val="auto"/>
          <w:sz w:val="28"/>
          <w:szCs w:val="28"/>
          <w:highlight w:val="none"/>
          <w:lang w:eastAsia="zh-CN"/>
        </w:rPr>
        <w:t>包件1</w:t>
      </w:r>
      <w:r>
        <w:rPr>
          <w:rFonts w:hint="eastAsia" w:ascii="宋体" w:hAnsi="宋体"/>
          <w:color w:val="auto"/>
          <w:sz w:val="28"/>
          <w:szCs w:val="28"/>
          <w:highlight w:val="none"/>
        </w:rPr>
        <w:t>、</w:t>
      </w:r>
      <w:r>
        <w:rPr>
          <w:rFonts w:hint="eastAsia" w:ascii="宋体" w:hAnsi="宋体"/>
          <w:color w:val="auto"/>
          <w:sz w:val="28"/>
          <w:szCs w:val="28"/>
          <w:highlight w:val="none"/>
          <w:lang w:eastAsia="zh-CN"/>
        </w:rPr>
        <w:t>包件4</w:t>
      </w:r>
      <w:r>
        <w:rPr>
          <w:rFonts w:hint="eastAsia" w:ascii="宋体" w:hAnsi="宋体"/>
          <w:color w:val="auto"/>
          <w:sz w:val="28"/>
          <w:szCs w:val="28"/>
          <w:highlight w:val="none"/>
        </w:rPr>
        <w:t xml:space="preserve">评分标准 </w:t>
      </w:r>
    </w:p>
    <w:tbl>
      <w:tblPr>
        <w:tblStyle w:val="59"/>
        <w:tblW w:w="971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70"/>
        <w:gridCol w:w="1122"/>
        <w:gridCol w:w="709"/>
        <w:gridCol w:w="4961"/>
        <w:gridCol w:w="21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39" w:hRule="atLeast"/>
          <w:jc w:val="center"/>
        </w:trPr>
        <w:tc>
          <w:tcPr>
            <w:tcW w:w="770"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序号</w:t>
            </w:r>
          </w:p>
        </w:tc>
        <w:tc>
          <w:tcPr>
            <w:tcW w:w="112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评分因素</w:t>
            </w:r>
          </w:p>
          <w:p>
            <w:pPr>
              <w:jc w:val="center"/>
              <w:rPr>
                <w:rFonts w:ascii="Times New Roman" w:hAnsi="Times New Roman"/>
                <w:color w:val="auto"/>
                <w:szCs w:val="21"/>
                <w:highlight w:val="none"/>
              </w:rPr>
            </w:pPr>
            <w:r>
              <w:rPr>
                <w:rFonts w:hint="eastAsia" w:ascii="Times New Roman" w:hAnsi="Times New Roman"/>
                <w:color w:val="auto"/>
                <w:szCs w:val="21"/>
                <w:highlight w:val="none"/>
              </w:rPr>
              <w:t>及权重</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分值</w:t>
            </w:r>
          </w:p>
        </w:tc>
        <w:tc>
          <w:tcPr>
            <w:tcW w:w="4961"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评分标准</w:t>
            </w:r>
          </w:p>
        </w:tc>
        <w:tc>
          <w:tcPr>
            <w:tcW w:w="2152" w:type="dxa"/>
          </w:tcPr>
          <w:p>
            <w:pPr>
              <w:jc w:val="center"/>
              <w:rPr>
                <w:rFonts w:ascii="Times New Roman" w:hAnsi="Times New Roman"/>
                <w:color w:val="auto"/>
                <w:szCs w:val="21"/>
                <w:highlight w:val="none"/>
              </w:rPr>
            </w:pPr>
            <w:r>
              <w:rPr>
                <w:rFonts w:hint="eastAsia" w:ascii="Times New Roman" w:hAnsi="Times New Roman"/>
                <w:color w:val="auto"/>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1</w:t>
            </w:r>
          </w:p>
        </w:tc>
        <w:tc>
          <w:tcPr>
            <w:tcW w:w="1122"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投标报价15%</w:t>
            </w:r>
          </w:p>
        </w:tc>
        <w:tc>
          <w:tcPr>
            <w:tcW w:w="709"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15分</w:t>
            </w:r>
          </w:p>
        </w:tc>
        <w:tc>
          <w:tcPr>
            <w:tcW w:w="4961" w:type="dxa"/>
            <w:vAlign w:val="center"/>
          </w:tcPr>
          <w:p>
            <w:pPr>
              <w:spacing w:line="400" w:lineRule="exact"/>
              <w:rPr>
                <w:rFonts w:cs="黑体" w:asciiTheme="minorEastAsia" w:hAnsiTheme="minorEastAsia"/>
                <w:bCs/>
                <w:color w:val="auto"/>
                <w:szCs w:val="21"/>
                <w:highlight w:val="none"/>
              </w:rPr>
            </w:pPr>
            <w:r>
              <w:rPr>
                <w:rFonts w:hint="eastAsia" w:cs="黑体" w:asciiTheme="minorEastAsia" w:hAnsiTheme="minorEastAsia"/>
                <w:bCs/>
                <w:color w:val="auto"/>
                <w:szCs w:val="21"/>
                <w:highlight w:val="none"/>
              </w:rPr>
              <w:t>1、</w:t>
            </w:r>
            <w:r>
              <w:rPr>
                <w:rFonts w:hint="eastAsia" w:cs="黑体" w:asciiTheme="minorEastAsia" w:hAnsiTheme="minorEastAsia"/>
                <w:color w:val="auto"/>
                <w:szCs w:val="21"/>
                <w:highlight w:val="none"/>
              </w:rPr>
              <w:t>投标人</w:t>
            </w:r>
            <w:r>
              <w:rPr>
                <w:rFonts w:hint="eastAsia" w:cs="黑体" w:asciiTheme="minorEastAsia" w:hAnsiTheme="minorEastAsia"/>
                <w:bCs/>
                <w:color w:val="auto"/>
                <w:szCs w:val="21"/>
                <w:highlight w:val="none"/>
              </w:rPr>
              <w:t>如为监狱企业或小型或微型企业或残疾人福利性单位的，则给予其投标报价10%的价格扣除，用扣除后的价格参与评审；[说明：1、</w:t>
            </w:r>
            <w:r>
              <w:rPr>
                <w:rFonts w:hint="eastAsia" w:cs="黑体" w:asciiTheme="minorEastAsia" w:hAnsiTheme="minorEastAsia"/>
                <w:color w:val="auto"/>
                <w:szCs w:val="21"/>
                <w:highlight w:val="none"/>
              </w:rPr>
              <w:t>投标人</w:t>
            </w:r>
            <w:r>
              <w:rPr>
                <w:rFonts w:hint="eastAsia" w:cs="黑体" w:asciiTheme="minorEastAsia" w:hAnsiTheme="minorEastAsia"/>
                <w:bCs/>
                <w:color w:val="auto"/>
                <w:szCs w:val="21"/>
                <w:highlight w:val="none"/>
              </w:rPr>
              <w:t>为监狱企业的，提供由省级以上监狱管理局、戒毒管理局（含新疆生产建设兵团）出具的</w:t>
            </w:r>
            <w:r>
              <w:rPr>
                <w:rFonts w:hint="eastAsia" w:cs="黑体" w:asciiTheme="minorEastAsia" w:hAnsiTheme="minorEastAsia"/>
                <w:color w:val="auto"/>
                <w:szCs w:val="21"/>
                <w:highlight w:val="none"/>
              </w:rPr>
              <w:t>投标人</w:t>
            </w:r>
            <w:r>
              <w:rPr>
                <w:rFonts w:hint="eastAsia" w:cs="黑体" w:asciiTheme="minorEastAsia" w:hAnsiTheme="minorEastAsia"/>
                <w:bCs/>
                <w:color w:val="auto"/>
                <w:szCs w:val="21"/>
                <w:highlight w:val="none"/>
              </w:rPr>
              <w:t>属于监狱企业的证明文件复印件；2、</w:t>
            </w:r>
            <w:r>
              <w:rPr>
                <w:rFonts w:hint="eastAsia" w:cs="黑体" w:asciiTheme="minorEastAsia" w:hAnsiTheme="minorEastAsia"/>
                <w:color w:val="auto"/>
                <w:szCs w:val="21"/>
                <w:highlight w:val="none"/>
              </w:rPr>
              <w:t>投标人</w:t>
            </w:r>
            <w:r>
              <w:rPr>
                <w:rFonts w:hint="eastAsia" w:cs="黑体" w:asciiTheme="minorEastAsia" w:hAnsiTheme="minorEastAsia"/>
                <w:bCs/>
                <w:color w:val="auto"/>
                <w:szCs w:val="21"/>
                <w:highlight w:val="none"/>
              </w:rPr>
              <w:t xml:space="preserve">的投标报价只享受一次价格扣除。] </w:t>
            </w:r>
          </w:p>
          <w:p>
            <w:pPr>
              <w:pStyle w:val="162"/>
              <w:spacing w:line="400" w:lineRule="exact"/>
              <w:ind w:firstLine="0" w:firstLineChars="0"/>
              <w:jc w:val="left"/>
              <w:rPr>
                <w:rFonts w:cs="黑体" w:asciiTheme="minorEastAsia" w:hAnsiTheme="minorEastAsia" w:eastAsiaTheme="minorEastAsia"/>
                <w:bCs/>
                <w:color w:val="auto"/>
                <w:szCs w:val="21"/>
                <w:highlight w:val="none"/>
              </w:rPr>
            </w:pPr>
            <w:r>
              <w:rPr>
                <w:rFonts w:hint="eastAsia" w:cs="黑体" w:asciiTheme="minorEastAsia" w:hAnsiTheme="minorEastAsia" w:eastAsiaTheme="minorEastAsia"/>
                <w:bCs/>
                <w:color w:val="auto"/>
                <w:szCs w:val="21"/>
                <w:highlight w:val="none"/>
              </w:rPr>
              <w:t>2、经评标委员会评审，通过资格性和符合性审查，且投标报价最低的投标人的投标报价作为评审基准价；</w:t>
            </w:r>
          </w:p>
          <w:p>
            <w:pPr>
              <w:autoSpaceDE w:val="0"/>
              <w:autoSpaceDN w:val="0"/>
              <w:adjustRightInd w:val="0"/>
              <w:jc w:val="left"/>
              <w:rPr>
                <w:rFonts w:ascii="Times New Roman" w:hAnsi="Times New Roman"/>
                <w:color w:val="auto"/>
                <w:szCs w:val="24"/>
                <w:highlight w:val="none"/>
              </w:rPr>
            </w:pPr>
            <w:r>
              <w:rPr>
                <w:rFonts w:hint="eastAsia" w:cs="黑体" w:asciiTheme="minorEastAsia" w:hAnsiTheme="minorEastAsia"/>
                <w:bCs/>
                <w:color w:val="auto"/>
                <w:szCs w:val="21"/>
                <w:highlight w:val="none"/>
              </w:rPr>
              <w:t>3、报价得分=(评审基准价／投标报价)×1</w:t>
            </w:r>
            <w:r>
              <w:rPr>
                <w:rFonts w:hint="eastAsia" w:cs="黑体" w:asciiTheme="minorEastAsia" w:hAnsiTheme="minorEastAsia"/>
                <w:bCs/>
                <w:color w:val="auto"/>
                <w:szCs w:val="21"/>
                <w:highlight w:val="none"/>
                <w:lang w:val="en-US" w:eastAsia="zh-CN"/>
              </w:rPr>
              <w:t>5</w:t>
            </w:r>
            <w:r>
              <w:rPr>
                <w:rFonts w:hint="eastAsia" w:cs="黑体" w:asciiTheme="minorEastAsia" w:hAnsiTheme="minorEastAsia"/>
                <w:bCs/>
                <w:color w:val="auto"/>
                <w:szCs w:val="21"/>
                <w:highlight w:val="none"/>
              </w:rPr>
              <w:t>。</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2</w:t>
            </w:r>
          </w:p>
        </w:tc>
        <w:tc>
          <w:tcPr>
            <w:tcW w:w="1122"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企业实力及荣誉</w:t>
            </w:r>
            <w:r>
              <w:rPr>
                <w:rFonts w:hint="eastAsia" w:ascii="Times New Roman" w:hAnsi="Times New Roman"/>
                <w:color w:val="auto"/>
                <w:szCs w:val="24"/>
                <w:highlight w:val="none"/>
                <w:lang w:val="en-US" w:eastAsia="zh-CN"/>
              </w:rPr>
              <w:t>2</w:t>
            </w:r>
            <w:r>
              <w:rPr>
                <w:rFonts w:hint="eastAsia" w:ascii="Times New Roman" w:hAnsi="Times New Roman"/>
                <w:color w:val="auto"/>
                <w:szCs w:val="24"/>
                <w:highlight w:val="none"/>
              </w:rPr>
              <w:t>%</w:t>
            </w:r>
          </w:p>
        </w:tc>
        <w:tc>
          <w:tcPr>
            <w:tcW w:w="709"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lang w:val="en-US" w:eastAsia="zh-CN"/>
              </w:rPr>
              <w:t>2</w:t>
            </w:r>
            <w:r>
              <w:rPr>
                <w:rFonts w:hint="eastAsia" w:ascii="Times New Roman" w:hAnsi="Times New Roman"/>
                <w:color w:val="auto"/>
                <w:szCs w:val="24"/>
                <w:highlight w:val="none"/>
              </w:rPr>
              <w:t>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2018年1月1日至投标截止时间，每有一个行政主管部门</w:t>
            </w:r>
            <w:r>
              <w:rPr>
                <w:rFonts w:hint="eastAsia" w:ascii="Times New Roman" w:hAnsi="Times New Roman"/>
                <w:color w:val="auto"/>
                <w:szCs w:val="21"/>
                <w:highlight w:val="none"/>
              </w:rPr>
              <w:t>颁发</w:t>
            </w:r>
            <w:r>
              <w:rPr>
                <w:rFonts w:hint="eastAsia" w:cs="黑体" w:asciiTheme="minorEastAsia" w:hAnsiTheme="minorEastAsia"/>
                <w:bCs/>
                <w:color w:val="auto"/>
                <w:szCs w:val="21"/>
                <w:highlight w:val="none"/>
              </w:rPr>
              <w:t>的获奖证书得</w:t>
            </w:r>
            <w:r>
              <w:rPr>
                <w:rFonts w:hint="eastAsia" w:cs="黑体" w:asciiTheme="minorEastAsia" w:hAnsiTheme="minorEastAsia"/>
                <w:bCs/>
                <w:color w:val="auto"/>
                <w:szCs w:val="21"/>
                <w:highlight w:val="none"/>
                <w:lang w:val="en-US" w:eastAsia="zh-CN"/>
              </w:rPr>
              <w:t>0.5</w:t>
            </w:r>
            <w:r>
              <w:rPr>
                <w:rFonts w:hint="eastAsia" w:cs="黑体" w:asciiTheme="minorEastAsia" w:hAnsiTheme="minorEastAsia"/>
                <w:bCs/>
                <w:color w:val="auto"/>
                <w:szCs w:val="21"/>
                <w:highlight w:val="none"/>
              </w:rPr>
              <w:t>分。本项目累计得分最多不超过</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分。</w:t>
            </w:r>
          </w:p>
          <w:p>
            <w:pPr>
              <w:spacing w:line="400" w:lineRule="exact"/>
              <w:rPr>
                <w:rFonts w:ascii="Times New Roman" w:hAnsi="Times New Roman"/>
                <w:color w:val="auto"/>
                <w:szCs w:val="21"/>
                <w:highlight w:val="none"/>
              </w:rPr>
            </w:pPr>
            <w:r>
              <w:rPr>
                <w:rFonts w:hint="eastAsia" w:cs="黑体" w:asciiTheme="minorEastAsia" w:hAnsiTheme="minorEastAsia"/>
                <w:bCs/>
                <w:color w:val="auto"/>
                <w:szCs w:val="21"/>
                <w:highlight w:val="none"/>
              </w:rPr>
              <w:t>（注：提供行政主管部门颁发的环卫保洁或环卫公厕或绿化管护等</w:t>
            </w:r>
            <w:bookmarkStart w:id="171" w:name="OLE_LINK24"/>
            <w:r>
              <w:rPr>
                <w:rFonts w:hint="eastAsia" w:cs="黑体" w:asciiTheme="minorEastAsia" w:hAnsiTheme="minorEastAsia"/>
                <w:bCs/>
                <w:color w:val="auto"/>
                <w:szCs w:val="21"/>
                <w:highlight w:val="none"/>
              </w:rPr>
              <w:t>获奖证书</w:t>
            </w:r>
            <w:bookmarkEnd w:id="171"/>
            <w:r>
              <w:rPr>
                <w:rFonts w:hint="eastAsia" w:cs="黑体" w:asciiTheme="minorEastAsia" w:hAnsiTheme="minorEastAsia"/>
                <w:bCs/>
                <w:color w:val="auto"/>
                <w:szCs w:val="21"/>
                <w:highlight w:val="none"/>
              </w:rPr>
              <w:t>复印件或相关文件复印件）</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3</w:t>
            </w:r>
          </w:p>
        </w:tc>
        <w:tc>
          <w:tcPr>
            <w:tcW w:w="112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企业业绩</w:t>
            </w:r>
            <w:r>
              <w:rPr>
                <w:rFonts w:hint="eastAsia" w:ascii="Times New Roman" w:hAnsi="Times New Roman"/>
                <w:color w:val="auto"/>
                <w:szCs w:val="21"/>
                <w:highlight w:val="none"/>
                <w:lang w:val="en-US" w:eastAsia="zh-CN"/>
              </w:rPr>
              <w:t>6</w:t>
            </w:r>
            <w:r>
              <w:rPr>
                <w:rFonts w:hint="eastAsia" w:ascii="Times New Roman" w:hAnsi="Times New Roman"/>
                <w:color w:val="auto"/>
                <w:szCs w:val="21"/>
                <w:highlight w:val="none"/>
              </w:rPr>
              <w:t>%</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6</w:t>
            </w:r>
            <w:r>
              <w:rPr>
                <w:rFonts w:hint="eastAsia" w:ascii="Times New Roman" w:hAnsi="Times New Roman"/>
                <w:color w:val="auto"/>
                <w:szCs w:val="21"/>
                <w:highlight w:val="none"/>
              </w:rPr>
              <w:t>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（1）2018年1月1日至投标截止时间，每有一个公共区域环卫保洁类似业绩，得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分，最多得</w:t>
            </w: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（2）2018年1月1日至投标截止时间，每有一个环卫公厕类似业绩，得0.</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5分，最多得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（3）2018年1月1日至投标截止时间，每有一个绿化管护类似业绩，得0.</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5分，最多得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w:t>
            </w:r>
          </w:p>
          <w:p>
            <w:pPr>
              <w:spacing w:line="400" w:lineRule="exact"/>
              <w:rPr>
                <w:rFonts w:ascii="Times New Roman" w:hAnsi="Times New Roman"/>
                <w:color w:val="auto"/>
                <w:szCs w:val="24"/>
                <w:highlight w:val="none"/>
              </w:rPr>
            </w:pPr>
            <w:r>
              <w:rPr>
                <w:rFonts w:hint="eastAsia" w:cs="黑体" w:asciiTheme="minorEastAsia" w:hAnsiTheme="minorEastAsia"/>
                <w:bCs/>
                <w:color w:val="auto"/>
                <w:szCs w:val="21"/>
                <w:highlight w:val="none"/>
              </w:rPr>
              <w:t>注：（1）投标人须提供合同复印件或中标通知书复印件（加盖公章）。同一合同内如有环卫保洁、公厕、绿化时可同时计分。</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4</w:t>
            </w:r>
          </w:p>
        </w:tc>
        <w:tc>
          <w:tcPr>
            <w:tcW w:w="1122" w:type="dxa"/>
            <w:vAlign w:val="center"/>
          </w:tcPr>
          <w:p>
            <w:pPr>
              <w:jc w:val="center"/>
              <w:rPr>
                <w:rFonts w:ascii="Times New Roman" w:hAnsi="Times New Roman"/>
                <w:color w:val="auto"/>
                <w:szCs w:val="24"/>
                <w:highlight w:val="none"/>
              </w:rPr>
            </w:pPr>
            <w:r>
              <w:rPr>
                <w:rFonts w:hint="eastAsia" w:ascii="Times New Roman" w:hAnsi="Times New Roman"/>
                <w:color w:val="auto"/>
                <w:szCs w:val="24"/>
                <w:highlight w:val="none"/>
              </w:rPr>
              <w:t>人员配置方案</w:t>
            </w:r>
            <w:r>
              <w:rPr>
                <w:rFonts w:hint="eastAsia" w:ascii="Times New Roman" w:hAnsi="Times New Roman"/>
                <w:color w:val="auto"/>
                <w:szCs w:val="24"/>
                <w:highlight w:val="none"/>
                <w:lang w:val="en-US" w:eastAsia="zh-CN"/>
              </w:rPr>
              <w:t>13</w:t>
            </w:r>
            <w:r>
              <w:rPr>
                <w:rFonts w:hint="eastAsia" w:ascii="Times New Roman" w:hAnsi="Times New Roman"/>
                <w:color w:val="auto"/>
                <w:szCs w:val="24"/>
                <w:highlight w:val="none"/>
              </w:rPr>
              <w:t>%</w:t>
            </w:r>
          </w:p>
        </w:tc>
        <w:tc>
          <w:tcPr>
            <w:tcW w:w="709" w:type="dxa"/>
            <w:vAlign w:val="center"/>
          </w:tcPr>
          <w:p>
            <w:pPr>
              <w:jc w:val="center"/>
              <w:rPr>
                <w:rFonts w:ascii="Times New Roman" w:hAnsi="Times New Roman"/>
                <w:color w:val="auto"/>
                <w:szCs w:val="24"/>
                <w:highlight w:val="none"/>
              </w:rPr>
            </w:pPr>
            <w:r>
              <w:rPr>
                <w:rFonts w:hint="eastAsia" w:ascii="Times New Roman" w:hAnsi="Times New Roman"/>
                <w:color w:val="auto"/>
                <w:szCs w:val="24"/>
                <w:highlight w:val="none"/>
                <w:lang w:val="en-US" w:eastAsia="zh-CN"/>
              </w:rPr>
              <w:t>13</w:t>
            </w:r>
            <w:r>
              <w:rPr>
                <w:rFonts w:hint="eastAsia" w:ascii="Times New Roman" w:hAnsi="Times New Roman"/>
                <w:color w:val="auto"/>
                <w:szCs w:val="24"/>
                <w:highlight w:val="none"/>
              </w:rPr>
              <w:t>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1.项目经理具有安全生产培训证书或安全培训合格证书得</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eastAsia="zh-CN"/>
              </w:rPr>
              <w:t>。</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2.项目经理具有环卫作业类似项目经验2年（含）得1分，每增加1年加</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分，最多得</w:t>
            </w:r>
            <w:r>
              <w:rPr>
                <w:rFonts w:hint="eastAsia" w:cs="黑体" w:asciiTheme="minorEastAsia" w:hAnsiTheme="minorEastAsia"/>
                <w:bCs/>
                <w:color w:val="auto"/>
                <w:szCs w:val="21"/>
                <w:highlight w:val="none"/>
                <w:lang w:val="en-US" w:eastAsia="zh-CN"/>
              </w:rPr>
              <w:t>3</w:t>
            </w:r>
            <w:r>
              <w:rPr>
                <w:rFonts w:hint="eastAsia" w:cs="黑体" w:asciiTheme="minorEastAsia" w:hAnsiTheme="minorEastAsia"/>
                <w:bCs/>
                <w:color w:val="auto"/>
                <w:szCs w:val="21"/>
                <w:highlight w:val="none"/>
              </w:rPr>
              <w:t>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3、拟派管理人员（项目经理除外）具有安全生产培训证书或安全培训合格证书，有1个得0.5分，最多得2分。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4、</w:t>
            </w:r>
            <w:bookmarkStart w:id="172" w:name="OLE_LINK18"/>
            <w:r>
              <w:rPr>
                <w:rFonts w:hint="eastAsia" w:cs="黑体" w:asciiTheme="minorEastAsia" w:hAnsiTheme="minorEastAsia"/>
                <w:bCs/>
                <w:color w:val="auto"/>
                <w:szCs w:val="21"/>
                <w:highlight w:val="none"/>
              </w:rPr>
              <w:t>拟派绿化管护技术负责人</w:t>
            </w:r>
            <w:bookmarkStart w:id="173" w:name="OLE_LINK11"/>
            <w:r>
              <w:rPr>
                <w:rFonts w:hint="eastAsia" w:cs="黑体" w:asciiTheme="minorEastAsia" w:hAnsiTheme="minorEastAsia"/>
                <w:bCs/>
                <w:color w:val="auto"/>
                <w:szCs w:val="21"/>
                <w:highlight w:val="none"/>
                <w:lang w:eastAsia="zh-CN"/>
              </w:rPr>
              <w:t>每有一人</w:t>
            </w:r>
            <w:bookmarkEnd w:id="173"/>
            <w:r>
              <w:rPr>
                <w:rFonts w:hint="eastAsia" w:cs="黑体" w:asciiTheme="minorEastAsia" w:hAnsiTheme="minorEastAsia"/>
                <w:bCs/>
                <w:color w:val="auto"/>
                <w:szCs w:val="21"/>
                <w:highlight w:val="none"/>
              </w:rPr>
              <w:t>具有园林绿化相关专业中级职称得</w:t>
            </w:r>
            <w:r>
              <w:rPr>
                <w:rFonts w:hint="eastAsia" w:cs="黑体" w:asciiTheme="minorEastAsia" w:hAnsiTheme="minorEastAsia"/>
                <w:bCs/>
                <w:color w:val="auto"/>
                <w:szCs w:val="21"/>
                <w:highlight w:val="none"/>
                <w:lang w:val="en-US" w:eastAsia="zh-CN"/>
              </w:rPr>
              <w:t>0.5</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eastAsia="zh-CN"/>
              </w:rPr>
              <w:t>；每有一人</w:t>
            </w:r>
            <w:r>
              <w:rPr>
                <w:rFonts w:hint="eastAsia" w:cs="黑体" w:asciiTheme="minorEastAsia" w:hAnsiTheme="minorEastAsia"/>
                <w:bCs/>
                <w:color w:val="auto"/>
                <w:szCs w:val="21"/>
                <w:highlight w:val="none"/>
              </w:rPr>
              <w:t>具有园林绿化相关专业高级及以上职称得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分，最多得2分。</w:t>
            </w:r>
          </w:p>
          <w:bookmarkEnd w:id="172"/>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5、拟派公厕维修人员具有电工证的得</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6、在满足人员数量基本配置的基础上，每增加1名普扫环卫工人或绿化工人加0.2分，最多加2分。</w:t>
            </w:r>
          </w:p>
          <w:p>
            <w:pPr>
              <w:spacing w:line="400" w:lineRule="exact"/>
              <w:rPr>
                <w:rFonts w:hint="eastAsia" w:cs="黑体" w:asciiTheme="minorEastAsia" w:hAnsiTheme="minorEastAsia"/>
                <w:bCs/>
                <w:color w:val="auto"/>
                <w:szCs w:val="21"/>
                <w:highlight w:val="none"/>
                <w:lang w:val="en-US" w:eastAsia="zh-CN"/>
              </w:rPr>
            </w:pPr>
            <w:bookmarkStart w:id="174" w:name="OLE_LINK25"/>
            <w:r>
              <w:rPr>
                <w:rFonts w:hint="eastAsia" w:cs="黑体" w:asciiTheme="minorEastAsia" w:hAnsiTheme="minorEastAsia"/>
                <w:bCs/>
                <w:color w:val="auto"/>
                <w:szCs w:val="21"/>
                <w:highlight w:val="none"/>
              </w:rPr>
              <w:t>注：</w:t>
            </w:r>
            <w:bookmarkStart w:id="175" w:name="OLE_LINK19"/>
            <w:r>
              <w:rPr>
                <w:rFonts w:hint="eastAsia" w:cs="黑体" w:asciiTheme="minorEastAsia" w:hAnsiTheme="minorEastAsia"/>
                <w:bCs/>
                <w:color w:val="auto"/>
                <w:szCs w:val="21"/>
                <w:highlight w:val="none"/>
              </w:rPr>
              <w:t>以上人员提供人员配置情况表，其中1、3、4</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lang w:val="en-US" w:eastAsia="zh-CN"/>
              </w:rPr>
              <w:t>5</w:t>
            </w:r>
            <w:r>
              <w:rPr>
                <w:rFonts w:hint="eastAsia" w:cs="黑体" w:asciiTheme="minorEastAsia" w:hAnsiTheme="minorEastAsia"/>
                <w:bCs/>
                <w:color w:val="auto"/>
                <w:szCs w:val="21"/>
                <w:highlight w:val="none"/>
              </w:rPr>
              <w:t>项</w:t>
            </w:r>
            <w:r>
              <w:rPr>
                <w:rFonts w:hint="eastAsia" w:cs="黑体" w:asciiTheme="minorEastAsia" w:hAnsiTheme="minorEastAsia"/>
                <w:bCs/>
                <w:color w:val="auto"/>
                <w:szCs w:val="21"/>
                <w:highlight w:val="none"/>
                <w:lang w:eastAsia="zh-CN"/>
              </w:rPr>
              <w:t>需</w:t>
            </w:r>
            <w:r>
              <w:rPr>
                <w:rFonts w:hint="eastAsia" w:cs="黑体" w:asciiTheme="minorEastAsia" w:hAnsiTheme="minorEastAsia"/>
                <w:bCs/>
                <w:color w:val="auto"/>
                <w:szCs w:val="21"/>
                <w:highlight w:val="none"/>
              </w:rPr>
              <w:t>提供</w:t>
            </w:r>
            <w:r>
              <w:rPr>
                <w:rFonts w:hint="eastAsia" w:cs="黑体" w:asciiTheme="minorEastAsia" w:hAnsiTheme="minorEastAsia"/>
                <w:bCs/>
                <w:color w:val="auto"/>
                <w:szCs w:val="21"/>
                <w:highlight w:val="none"/>
                <w:lang w:eastAsia="zh-CN"/>
              </w:rPr>
              <w:t>人员证书和在职证明相关资料</w:t>
            </w:r>
            <w:r>
              <w:rPr>
                <w:rFonts w:hint="eastAsia" w:cs="黑体" w:asciiTheme="minorEastAsia" w:hAnsiTheme="minorEastAsia"/>
                <w:bCs/>
                <w:color w:val="auto"/>
                <w:szCs w:val="21"/>
                <w:highlight w:val="none"/>
              </w:rPr>
              <w:t>复印件并加盖</w:t>
            </w:r>
            <w:r>
              <w:rPr>
                <w:rFonts w:hint="eastAsia" w:cs="黑体" w:asciiTheme="minorEastAsia" w:hAnsiTheme="minorEastAsia"/>
                <w:bCs/>
                <w:color w:val="auto"/>
                <w:szCs w:val="21"/>
                <w:highlight w:val="none"/>
                <w:lang w:eastAsia="zh-CN"/>
              </w:rPr>
              <w:t>公章</w:t>
            </w:r>
            <w:bookmarkEnd w:id="175"/>
            <w:r>
              <w:rPr>
                <w:rFonts w:hint="eastAsia" w:cs="黑体" w:asciiTheme="minorEastAsia" w:hAnsiTheme="minorEastAsia"/>
                <w:bCs/>
                <w:color w:val="auto"/>
                <w:szCs w:val="21"/>
                <w:highlight w:val="none"/>
                <w:lang w:eastAsia="zh-CN"/>
              </w:rPr>
              <w:t>，第</w:t>
            </w:r>
            <w:r>
              <w:rPr>
                <w:rFonts w:hint="eastAsia" w:cs="黑体" w:asciiTheme="minorEastAsia" w:hAnsiTheme="minorEastAsia"/>
                <w:bCs/>
                <w:color w:val="auto"/>
                <w:szCs w:val="21"/>
                <w:highlight w:val="none"/>
                <w:lang w:val="en-US" w:eastAsia="zh-CN"/>
              </w:rPr>
              <w:t>2项提供投标单位及业主单位出具的相关证明材料复印件并加盖公章。</w:t>
            </w:r>
          </w:p>
          <w:bookmarkEnd w:id="174"/>
          <w:p>
            <w:pPr>
              <w:spacing w:line="400" w:lineRule="exact"/>
              <w:rPr>
                <w:rFonts w:hint="eastAsia" w:cs="黑体" w:asciiTheme="minorEastAsia" w:hAnsiTheme="minorEastAsia"/>
                <w:bCs/>
                <w:color w:val="auto"/>
                <w:szCs w:val="21"/>
                <w:highlight w:val="none"/>
              </w:rPr>
            </w:pPr>
          </w:p>
          <w:p>
            <w:pPr>
              <w:autoSpaceDE w:val="0"/>
              <w:autoSpaceDN w:val="0"/>
              <w:adjustRightInd w:val="0"/>
              <w:jc w:val="left"/>
              <w:rPr>
                <w:rFonts w:ascii="Times New Roman" w:hAnsi="Times New Roman"/>
                <w:color w:val="auto"/>
                <w:szCs w:val="24"/>
                <w:highlight w:val="none"/>
              </w:rPr>
            </w:pP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5</w:t>
            </w:r>
          </w:p>
        </w:tc>
        <w:tc>
          <w:tcPr>
            <w:tcW w:w="1122" w:type="dxa"/>
            <w:vAlign w:val="center"/>
          </w:tcPr>
          <w:p>
            <w:pPr>
              <w:jc w:val="center"/>
              <w:rPr>
                <w:rFonts w:ascii="Times New Roman" w:hAnsi="Times New Roman"/>
                <w:color w:val="auto"/>
                <w:szCs w:val="24"/>
                <w:highlight w:val="none"/>
              </w:rPr>
            </w:pPr>
            <w:r>
              <w:rPr>
                <w:rFonts w:hint="eastAsia" w:ascii="Times New Roman" w:hAnsi="Times New Roman"/>
                <w:color w:val="auto"/>
                <w:szCs w:val="24"/>
                <w:highlight w:val="none"/>
              </w:rPr>
              <w:t>设施设备配置方案</w:t>
            </w:r>
            <w:r>
              <w:rPr>
                <w:rFonts w:hint="eastAsia" w:ascii="Times New Roman" w:hAnsi="Times New Roman"/>
                <w:color w:val="auto"/>
                <w:szCs w:val="24"/>
                <w:highlight w:val="none"/>
                <w:lang w:val="en-US" w:eastAsia="zh-CN"/>
              </w:rPr>
              <w:t>12</w:t>
            </w:r>
            <w:r>
              <w:rPr>
                <w:rFonts w:hint="eastAsia" w:ascii="Times New Roman" w:hAnsi="Times New Roman"/>
                <w:color w:val="auto"/>
                <w:szCs w:val="24"/>
                <w:highlight w:val="none"/>
              </w:rPr>
              <w:t>%</w:t>
            </w:r>
          </w:p>
        </w:tc>
        <w:tc>
          <w:tcPr>
            <w:tcW w:w="709" w:type="dxa"/>
            <w:vAlign w:val="center"/>
          </w:tcPr>
          <w:p>
            <w:pPr>
              <w:jc w:val="center"/>
              <w:rPr>
                <w:rFonts w:ascii="Times New Roman" w:hAnsi="Times New Roman"/>
                <w:color w:val="auto"/>
                <w:szCs w:val="24"/>
                <w:highlight w:val="none"/>
              </w:rPr>
            </w:pPr>
            <w:r>
              <w:rPr>
                <w:rFonts w:hint="eastAsia" w:ascii="Times New Roman" w:hAnsi="Times New Roman"/>
                <w:color w:val="auto"/>
                <w:szCs w:val="24"/>
                <w:highlight w:val="none"/>
                <w:lang w:val="en-US" w:eastAsia="zh-CN"/>
              </w:rPr>
              <w:t>12</w:t>
            </w:r>
            <w:r>
              <w:rPr>
                <w:rFonts w:hint="eastAsia" w:ascii="Times New Roman" w:hAnsi="Times New Roman"/>
                <w:color w:val="auto"/>
                <w:szCs w:val="24"/>
                <w:highlight w:val="none"/>
              </w:rPr>
              <w:t>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具体设施设备数量见《环卫保洁设施设备和人员数量表》、《绿化管护设施设备和人员数量表》。</w:t>
            </w:r>
          </w:p>
          <w:p>
            <w:pPr>
              <w:numPr>
                <w:ilvl w:val="0"/>
                <w:numId w:val="78"/>
              </w:numPr>
              <w:spacing w:line="400" w:lineRule="exact"/>
              <w:rPr>
                <w:rFonts w:hint="eastAsia" w:cs="黑体" w:asciiTheme="minorEastAsia" w:hAnsiTheme="minorEastAsia"/>
                <w:bCs/>
                <w:color w:val="auto"/>
                <w:szCs w:val="21"/>
                <w:highlight w:val="none"/>
                <w:lang w:eastAsia="zh-CN"/>
              </w:rPr>
            </w:pPr>
            <w:bookmarkStart w:id="176" w:name="OLE_LINK20"/>
            <w:bookmarkStart w:id="177" w:name="OLE_LINK2"/>
            <w:r>
              <w:rPr>
                <w:rFonts w:hint="eastAsia" w:cs="黑体" w:asciiTheme="minorEastAsia" w:hAnsiTheme="minorEastAsia"/>
                <w:bCs/>
                <w:color w:val="auto"/>
                <w:szCs w:val="21"/>
                <w:highlight w:val="none"/>
                <w:lang w:eastAsia="zh-CN"/>
              </w:rPr>
              <w:t>投标人提供承诺函：投标人所提供的车辆管理机关登记挂牌车辆中新能源车辆所占比例达到</w:t>
            </w:r>
            <w:r>
              <w:rPr>
                <w:rFonts w:hint="eastAsia" w:cs="黑体" w:asciiTheme="minorEastAsia" w:hAnsiTheme="minorEastAsia"/>
                <w:bCs/>
                <w:color w:val="auto"/>
                <w:szCs w:val="21"/>
                <w:highlight w:val="none"/>
                <w:lang w:val="en-US" w:eastAsia="zh-CN"/>
              </w:rPr>
              <w:t>6</w:t>
            </w:r>
            <w:r>
              <w:rPr>
                <w:rFonts w:hint="eastAsia" w:cs="黑体" w:asciiTheme="minorEastAsia" w:hAnsiTheme="minorEastAsia"/>
                <w:bCs/>
                <w:color w:val="auto"/>
                <w:szCs w:val="21"/>
                <w:highlight w:val="none"/>
              </w:rPr>
              <w:t>0%（含）以上的得</w:t>
            </w: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lang w:val="en-US" w:eastAsia="zh-CN"/>
              </w:rPr>
              <w:t>7</w:t>
            </w:r>
            <w:r>
              <w:rPr>
                <w:rFonts w:hint="eastAsia" w:cs="黑体" w:asciiTheme="minorEastAsia" w:hAnsiTheme="minorEastAsia"/>
                <w:bCs/>
                <w:color w:val="auto"/>
                <w:szCs w:val="21"/>
                <w:highlight w:val="none"/>
              </w:rPr>
              <w:t>0%（含）以上</w:t>
            </w:r>
            <w:r>
              <w:rPr>
                <w:rFonts w:hint="eastAsia" w:cs="黑体" w:asciiTheme="minorEastAsia" w:hAnsiTheme="minorEastAsia"/>
                <w:bCs/>
                <w:color w:val="auto"/>
                <w:szCs w:val="21"/>
                <w:highlight w:val="none"/>
                <w:lang w:eastAsia="zh-CN"/>
              </w:rPr>
              <w:t>的</w:t>
            </w:r>
            <w:r>
              <w:rPr>
                <w:rFonts w:hint="eastAsia" w:cs="黑体" w:asciiTheme="minorEastAsia" w:hAnsiTheme="minorEastAsia"/>
                <w:bCs/>
                <w:color w:val="auto"/>
                <w:szCs w:val="21"/>
                <w:highlight w:val="none"/>
              </w:rPr>
              <w:t>得</w:t>
            </w:r>
            <w:r>
              <w:rPr>
                <w:rFonts w:hint="eastAsia" w:cs="黑体" w:asciiTheme="minorEastAsia" w:hAnsiTheme="minorEastAsia"/>
                <w:bCs/>
                <w:color w:val="auto"/>
                <w:szCs w:val="21"/>
                <w:highlight w:val="none"/>
                <w:lang w:val="en-US" w:eastAsia="zh-CN"/>
              </w:rPr>
              <w:t>5</w:t>
            </w:r>
            <w:r>
              <w:rPr>
                <w:rFonts w:hint="eastAsia" w:cs="黑体" w:asciiTheme="minorEastAsia" w:hAnsiTheme="minorEastAsia"/>
                <w:bCs/>
                <w:color w:val="auto"/>
                <w:szCs w:val="21"/>
                <w:highlight w:val="none"/>
              </w:rPr>
              <w:t>分，</w:t>
            </w:r>
            <w:bookmarkStart w:id="178" w:name="OLE_LINK15"/>
            <w:r>
              <w:rPr>
                <w:rFonts w:hint="eastAsia" w:cs="黑体" w:asciiTheme="minorEastAsia" w:hAnsiTheme="minorEastAsia"/>
                <w:bCs/>
                <w:color w:val="auto"/>
                <w:szCs w:val="21"/>
                <w:highlight w:val="none"/>
                <w:lang w:val="en-US" w:eastAsia="zh-CN"/>
              </w:rPr>
              <w:t>8</w:t>
            </w:r>
            <w:r>
              <w:rPr>
                <w:rFonts w:hint="eastAsia" w:cs="黑体" w:asciiTheme="minorEastAsia" w:hAnsiTheme="minorEastAsia"/>
                <w:bCs/>
                <w:color w:val="auto"/>
                <w:szCs w:val="21"/>
                <w:highlight w:val="none"/>
              </w:rPr>
              <w:t>0%（含）以上</w:t>
            </w:r>
            <w:r>
              <w:rPr>
                <w:rFonts w:hint="eastAsia" w:cs="黑体" w:asciiTheme="minorEastAsia" w:hAnsiTheme="minorEastAsia"/>
                <w:bCs/>
                <w:color w:val="auto"/>
                <w:szCs w:val="21"/>
                <w:highlight w:val="none"/>
                <w:lang w:eastAsia="zh-CN"/>
              </w:rPr>
              <w:t>的</w:t>
            </w:r>
            <w:r>
              <w:rPr>
                <w:rFonts w:hint="eastAsia" w:cs="黑体" w:asciiTheme="minorEastAsia" w:hAnsiTheme="minorEastAsia"/>
                <w:bCs/>
                <w:color w:val="auto"/>
                <w:szCs w:val="21"/>
                <w:highlight w:val="none"/>
              </w:rPr>
              <w:t>得</w:t>
            </w:r>
            <w:r>
              <w:rPr>
                <w:rFonts w:hint="eastAsia" w:cs="黑体" w:asciiTheme="minorEastAsia" w:hAnsiTheme="minorEastAsia"/>
                <w:bCs/>
                <w:color w:val="auto"/>
                <w:szCs w:val="21"/>
                <w:highlight w:val="none"/>
                <w:lang w:val="en-US" w:eastAsia="zh-CN"/>
              </w:rPr>
              <w:t>6</w:t>
            </w:r>
            <w:r>
              <w:rPr>
                <w:rFonts w:hint="eastAsia" w:cs="黑体" w:asciiTheme="minorEastAsia" w:hAnsiTheme="minorEastAsia"/>
                <w:bCs/>
                <w:color w:val="auto"/>
                <w:szCs w:val="21"/>
                <w:highlight w:val="none"/>
              </w:rPr>
              <w:t>分</w:t>
            </w:r>
            <w:bookmarkEnd w:id="178"/>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lang w:val="en-US" w:eastAsia="zh-CN"/>
              </w:rPr>
              <w:t>9</w:t>
            </w:r>
            <w:r>
              <w:rPr>
                <w:rFonts w:hint="eastAsia" w:cs="黑体" w:asciiTheme="minorEastAsia" w:hAnsiTheme="minorEastAsia"/>
                <w:bCs/>
                <w:color w:val="auto"/>
                <w:szCs w:val="21"/>
                <w:highlight w:val="none"/>
              </w:rPr>
              <w:t>0%（含）以上</w:t>
            </w:r>
            <w:r>
              <w:rPr>
                <w:rFonts w:hint="eastAsia" w:cs="黑体" w:asciiTheme="minorEastAsia" w:hAnsiTheme="minorEastAsia"/>
                <w:bCs/>
                <w:color w:val="auto"/>
                <w:szCs w:val="21"/>
                <w:highlight w:val="none"/>
                <w:lang w:eastAsia="zh-CN"/>
              </w:rPr>
              <w:t>的</w:t>
            </w:r>
            <w:r>
              <w:rPr>
                <w:rFonts w:hint="eastAsia" w:cs="黑体" w:asciiTheme="minorEastAsia" w:hAnsiTheme="minorEastAsia"/>
                <w:bCs/>
                <w:color w:val="auto"/>
                <w:szCs w:val="21"/>
                <w:highlight w:val="none"/>
              </w:rPr>
              <w:t>得</w:t>
            </w:r>
            <w:r>
              <w:rPr>
                <w:rFonts w:hint="eastAsia" w:cs="黑体" w:asciiTheme="minorEastAsia" w:hAnsiTheme="minorEastAsia"/>
                <w:bCs/>
                <w:color w:val="auto"/>
                <w:szCs w:val="21"/>
                <w:highlight w:val="none"/>
                <w:lang w:val="en-US" w:eastAsia="zh-CN"/>
              </w:rPr>
              <w:t>7</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lang w:val="en-US" w:eastAsia="zh-CN"/>
              </w:rPr>
              <w:t>100%的得8分。（不同时计分，本项最多得8分）</w:t>
            </w:r>
          </w:p>
          <w:bookmarkEnd w:id="176"/>
          <w:p>
            <w:pPr>
              <w:spacing w:line="400" w:lineRule="exact"/>
              <w:rPr>
                <w:rFonts w:hint="eastAsia" w:cs="黑体" w:asciiTheme="minorEastAsia" w:hAnsiTheme="minorEastAsia"/>
                <w:bCs/>
                <w:color w:val="auto"/>
                <w:szCs w:val="21"/>
                <w:highlight w:val="none"/>
                <w:lang w:eastAsia="zh-CN"/>
              </w:rPr>
            </w:pPr>
            <w:r>
              <w:rPr>
                <w:rFonts w:hint="eastAsia" w:cs="黑体" w:asciiTheme="minorEastAsia" w:hAnsiTheme="minorEastAsia"/>
                <w:bCs/>
                <w:color w:val="auto"/>
                <w:szCs w:val="21"/>
                <w:highlight w:val="none"/>
              </w:rPr>
              <w:t>2、</w:t>
            </w:r>
            <w:r>
              <w:rPr>
                <w:rFonts w:hint="eastAsia" w:cs="黑体" w:asciiTheme="minorEastAsia" w:hAnsiTheme="minorEastAsia"/>
                <w:bCs/>
                <w:color w:val="auto"/>
                <w:szCs w:val="21"/>
                <w:highlight w:val="none"/>
                <w:lang w:eastAsia="zh-CN"/>
              </w:rPr>
              <w:t>投标人提供承诺函：</w:t>
            </w:r>
            <w:r>
              <w:rPr>
                <w:rFonts w:hint="eastAsia" w:cs="黑体" w:asciiTheme="minorEastAsia" w:hAnsiTheme="minorEastAsia"/>
                <w:bCs/>
                <w:color w:val="auto"/>
                <w:szCs w:val="21"/>
                <w:highlight w:val="none"/>
              </w:rPr>
              <w:t>在满足设施设备基本配置的基础上，每增加1台</w:t>
            </w:r>
            <w:r>
              <w:rPr>
                <w:rFonts w:hint="eastAsia" w:cs="黑体" w:asciiTheme="minorEastAsia" w:hAnsiTheme="minorEastAsia"/>
                <w:bCs/>
                <w:color w:val="auto"/>
                <w:szCs w:val="21"/>
                <w:highlight w:val="none"/>
                <w:lang w:eastAsia="zh-CN"/>
              </w:rPr>
              <w:t>新能源</w:t>
            </w:r>
            <w:r>
              <w:rPr>
                <w:rFonts w:hint="eastAsia" w:cs="黑体" w:asciiTheme="minorEastAsia" w:hAnsiTheme="minorEastAsia"/>
                <w:bCs/>
                <w:color w:val="auto"/>
                <w:szCs w:val="21"/>
                <w:highlight w:val="none"/>
              </w:rPr>
              <w:t>垃圾压缩车（核定载质量≥5吨）或</w:t>
            </w:r>
            <w:r>
              <w:rPr>
                <w:rFonts w:hint="eastAsia" w:cs="黑体" w:asciiTheme="minorEastAsia" w:hAnsiTheme="minorEastAsia"/>
                <w:bCs/>
                <w:color w:val="auto"/>
                <w:szCs w:val="21"/>
                <w:highlight w:val="none"/>
                <w:lang w:eastAsia="zh-CN"/>
              </w:rPr>
              <w:t>新能源</w:t>
            </w:r>
            <w:r>
              <w:rPr>
                <w:rFonts w:hint="eastAsia" w:cs="黑体" w:asciiTheme="minorEastAsia" w:hAnsiTheme="minorEastAsia"/>
                <w:bCs/>
                <w:color w:val="auto"/>
                <w:szCs w:val="21"/>
                <w:highlight w:val="none"/>
              </w:rPr>
              <w:t>洒水车（核定载质量≥8吨）或</w:t>
            </w:r>
            <w:r>
              <w:rPr>
                <w:rFonts w:hint="eastAsia" w:cs="黑体" w:asciiTheme="minorEastAsia" w:hAnsiTheme="minorEastAsia"/>
                <w:bCs/>
                <w:color w:val="auto"/>
                <w:szCs w:val="21"/>
                <w:highlight w:val="none"/>
                <w:lang w:eastAsia="zh-CN"/>
              </w:rPr>
              <w:t>新能源</w:t>
            </w:r>
            <w:r>
              <w:rPr>
                <w:rFonts w:hint="eastAsia" w:cs="黑体" w:asciiTheme="minorEastAsia" w:hAnsiTheme="minorEastAsia"/>
                <w:bCs/>
                <w:color w:val="auto"/>
                <w:szCs w:val="21"/>
                <w:highlight w:val="none"/>
              </w:rPr>
              <w:t>多功能洗扫车（核定载质量≥4吨）得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分，最多得</w:t>
            </w: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分。</w:t>
            </w:r>
            <w:bookmarkEnd w:id="177"/>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p>
            <w:pPr>
              <w:autoSpaceDE w:val="0"/>
              <w:autoSpaceDN w:val="0"/>
              <w:adjustRightInd w:val="0"/>
              <w:jc w:val="center"/>
              <w:rPr>
                <w:rFonts w:ascii="宋体" w:hAnsi="Times New Roman" w:cs="宋体"/>
                <w:color w:val="auto"/>
                <w:kern w:val="0"/>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95" w:hRule="atLeast"/>
          <w:jc w:val="center"/>
        </w:trPr>
        <w:tc>
          <w:tcPr>
            <w:tcW w:w="770" w:type="dxa"/>
            <w:tcBorders>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6</w:t>
            </w:r>
          </w:p>
        </w:tc>
        <w:tc>
          <w:tcPr>
            <w:tcW w:w="1122" w:type="dxa"/>
            <w:tcBorders>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项目情况了解及分析5%</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5分</w:t>
            </w:r>
          </w:p>
        </w:tc>
        <w:tc>
          <w:tcPr>
            <w:tcW w:w="4961" w:type="dxa"/>
            <w:vAlign w:val="center"/>
          </w:tcPr>
          <w:p>
            <w:pPr>
              <w:spacing w:line="400" w:lineRule="exact"/>
              <w:rPr>
                <w:rFonts w:hint="eastAsia" w:cs="黑体" w:asciiTheme="minorEastAsia" w:hAnsiTheme="minorEastAsia"/>
                <w:bCs/>
                <w:color w:val="auto"/>
                <w:szCs w:val="21"/>
                <w:highlight w:val="none"/>
                <w:lang w:val="en-US" w:eastAsia="zh-CN"/>
              </w:rPr>
            </w:pPr>
            <w:r>
              <w:rPr>
                <w:rFonts w:hint="eastAsia" w:cs="黑体" w:asciiTheme="minorEastAsia" w:hAnsiTheme="minorEastAsia"/>
                <w:bCs/>
                <w:color w:val="auto"/>
                <w:szCs w:val="21"/>
                <w:highlight w:val="none"/>
              </w:rPr>
              <w:t>对投标人提供项目情况了解及分析进行评价，包括</w:t>
            </w:r>
            <w:r>
              <w:rPr>
                <w:rFonts w:hint="eastAsia" w:cs="黑体" w:asciiTheme="minorEastAsia" w:hAnsiTheme="minorEastAsia"/>
                <w:bCs/>
                <w:color w:val="auto"/>
                <w:szCs w:val="21"/>
                <w:highlight w:val="none"/>
                <w:lang w:val="en-US" w:eastAsia="zh-CN"/>
              </w:rPr>
              <w:t>:</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1、项目作业标准了解分析，标准具体，清晰、明确；2、对作业范围了解分析，范围准确，</w:t>
            </w:r>
            <w:r>
              <w:rPr>
                <w:rFonts w:hint="eastAsia" w:cs="黑体" w:asciiTheme="minorEastAsia" w:hAnsiTheme="minorEastAsia"/>
                <w:bCs/>
                <w:color w:val="auto"/>
                <w:szCs w:val="21"/>
                <w:highlight w:val="none"/>
                <w:lang w:eastAsia="zh-CN"/>
              </w:rPr>
              <w:t>边界</w:t>
            </w:r>
            <w:r>
              <w:rPr>
                <w:rFonts w:hint="eastAsia" w:cs="黑体" w:asciiTheme="minorEastAsia" w:hAnsiTheme="minorEastAsia"/>
                <w:bCs/>
                <w:color w:val="auto"/>
                <w:szCs w:val="21"/>
                <w:highlight w:val="none"/>
              </w:rPr>
              <w:t>清楚；</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lang w:val="en-US" w:eastAsia="zh-CN"/>
              </w:rPr>
              <w:t>3、</w:t>
            </w:r>
            <w:r>
              <w:rPr>
                <w:rFonts w:hint="eastAsia" w:cs="黑体" w:asciiTheme="minorEastAsia" w:hAnsiTheme="minorEastAsia"/>
                <w:bCs/>
                <w:color w:val="auto"/>
                <w:szCs w:val="21"/>
                <w:highlight w:val="none"/>
              </w:rPr>
              <w:t>作业内容了解分析，内容完整，数据准确；</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对作业的重点分析了解，重点把握准确，理由清楚；</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5、作业难点分析到位准确，解决措施有效；</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完全满足上述要求且内容完善，符合所投包件实际情况，能够保障所投包件顺利实施的得5分。每缺少一项方案内容扣1分；方案中每有一处分析内容缺陷或不足的扣0.5分。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95" w:hRule="atLeast"/>
          <w:jc w:val="center"/>
        </w:trPr>
        <w:tc>
          <w:tcPr>
            <w:tcW w:w="770" w:type="dxa"/>
            <w:tcBorders>
              <w:top w:val="single" w:color="auto" w:sz="4" w:space="0"/>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7</w:t>
            </w:r>
          </w:p>
        </w:tc>
        <w:tc>
          <w:tcPr>
            <w:tcW w:w="1122" w:type="dxa"/>
            <w:tcBorders>
              <w:top w:val="single" w:color="auto" w:sz="4" w:space="0"/>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组织机构管理制度7%</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7分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对投标人组织机构管理制度进行评价，包括①项目管理机构设置情况②项目经理及其他管理人员配备情况③各岗位管理职能职责④内部日常管理制度⑤监督巡查机制⑥奖惩制度⑦考核办法等内容；</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完全满足上述要求且内容完善，符合所投包件实际情况，能够保障所投包件顺利实施的得7分。每缺少一项方案内容扣1分；方案中每有一处分析内容缺陷或不足的扣0.5分。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183" w:hRule="atLeast"/>
          <w:jc w:val="center"/>
        </w:trPr>
        <w:tc>
          <w:tcPr>
            <w:tcW w:w="770" w:type="dxa"/>
            <w:tcBorders>
              <w:top w:val="single" w:color="auto" w:sz="4" w:space="0"/>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8</w:t>
            </w:r>
          </w:p>
        </w:tc>
        <w:tc>
          <w:tcPr>
            <w:tcW w:w="1122" w:type="dxa"/>
            <w:tcBorders>
              <w:top w:val="single" w:color="auto" w:sz="4" w:space="0"/>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作业方案</w:t>
            </w:r>
            <w:r>
              <w:rPr>
                <w:rFonts w:hint="eastAsia" w:ascii="Times New Roman" w:hAnsi="Times New Roman"/>
                <w:color w:val="auto"/>
                <w:szCs w:val="21"/>
                <w:highlight w:val="none"/>
                <w:lang w:val="en-US" w:eastAsia="zh-CN"/>
              </w:rPr>
              <w:t>18</w:t>
            </w:r>
            <w:r>
              <w:rPr>
                <w:rFonts w:hint="eastAsia" w:ascii="Times New Roman" w:hAnsi="Times New Roman"/>
                <w:color w:val="auto"/>
                <w:szCs w:val="21"/>
                <w:highlight w:val="none"/>
              </w:rPr>
              <w:t>%</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18</w:t>
            </w:r>
            <w:r>
              <w:rPr>
                <w:rFonts w:hint="eastAsia" w:ascii="Times New Roman" w:hAnsi="Times New Roman"/>
                <w:color w:val="auto"/>
                <w:szCs w:val="21"/>
                <w:highlight w:val="none"/>
              </w:rPr>
              <w:t>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投标人根据自身情况结合本项目需求拟定作业方案，针对本项目提供的内容包含：</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（1）具有环卫保洁工作方案，包括①道路清扫保洁</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②环卫设施管理维护</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③桥梁及道路隔离护栏保洁</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④生活垃圾分类收集、清运</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⑤</w:t>
            </w:r>
            <w:bookmarkStart w:id="179" w:name="OLE_LINK21"/>
            <w:r>
              <w:rPr>
                <w:rFonts w:hint="eastAsia" w:cs="黑体" w:asciiTheme="minorEastAsia" w:hAnsiTheme="minorEastAsia"/>
                <w:bCs/>
                <w:color w:val="auto"/>
                <w:szCs w:val="21"/>
                <w:highlight w:val="none"/>
                <w:lang w:eastAsia="zh-CN"/>
              </w:rPr>
              <w:t>立面</w:t>
            </w:r>
            <w:r>
              <w:rPr>
                <w:rFonts w:hint="eastAsia" w:cs="黑体" w:asciiTheme="minorEastAsia" w:hAnsiTheme="minorEastAsia"/>
                <w:bCs/>
                <w:color w:val="auto"/>
                <w:szCs w:val="21"/>
                <w:highlight w:val="none"/>
                <w:lang w:val="en-US" w:eastAsia="zh-CN"/>
              </w:rPr>
              <w:t>2.0米以下</w:t>
            </w:r>
            <w:bookmarkEnd w:id="179"/>
            <w:r>
              <w:rPr>
                <w:rFonts w:hint="eastAsia" w:cs="黑体" w:asciiTheme="minorEastAsia" w:hAnsiTheme="minorEastAsia"/>
                <w:bCs/>
                <w:color w:val="auto"/>
                <w:szCs w:val="21"/>
                <w:highlight w:val="none"/>
              </w:rPr>
              <w:t>各类广告及卡片的清除清理</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⑥</w:t>
            </w:r>
            <w:r>
              <w:rPr>
                <w:rFonts w:hint="eastAsia" w:cs="黑体" w:asciiTheme="minorEastAsia" w:hAnsiTheme="minorEastAsia"/>
                <w:bCs/>
                <w:color w:val="auto"/>
                <w:szCs w:val="21"/>
                <w:highlight w:val="none"/>
                <w:lang w:eastAsia="zh-CN"/>
              </w:rPr>
              <w:t>协助</w:t>
            </w:r>
            <w:r>
              <w:rPr>
                <w:rFonts w:hint="eastAsia" w:cs="黑体" w:asciiTheme="minorEastAsia" w:hAnsiTheme="minorEastAsia"/>
                <w:bCs/>
                <w:color w:val="auto"/>
                <w:szCs w:val="21"/>
                <w:highlight w:val="none"/>
              </w:rPr>
              <w:t>共享单车规范停放</w:t>
            </w:r>
            <w:r>
              <w:rPr>
                <w:rFonts w:hint="eastAsia" w:cs="黑体" w:asciiTheme="minorEastAsia" w:hAnsiTheme="minorEastAsia"/>
                <w:bCs/>
                <w:color w:val="auto"/>
                <w:szCs w:val="21"/>
                <w:highlight w:val="none"/>
                <w:lang w:eastAsia="zh-CN"/>
              </w:rPr>
              <w:t>；</w:t>
            </w:r>
            <w:bookmarkStart w:id="180" w:name="OLE_LINK9"/>
            <w:r>
              <w:rPr>
                <w:rFonts w:hint="eastAsia" w:cs="黑体" w:asciiTheme="minorEastAsia" w:hAnsiTheme="minorEastAsia"/>
                <w:bCs/>
                <w:color w:val="auto"/>
                <w:szCs w:val="21"/>
                <w:highlight w:val="none"/>
              </w:rPr>
              <w:t>⑦</w:t>
            </w:r>
            <w:bookmarkEnd w:id="180"/>
            <w:r>
              <w:rPr>
                <w:rFonts w:hint="eastAsia" w:cs="黑体" w:asciiTheme="minorEastAsia" w:hAnsiTheme="minorEastAsia"/>
                <w:bCs/>
                <w:color w:val="auto"/>
                <w:szCs w:val="21"/>
                <w:highlight w:val="none"/>
              </w:rPr>
              <w:t>城市家具保</w:t>
            </w:r>
            <w:r>
              <w:rPr>
                <w:rFonts w:hint="eastAsia" w:cs="黑体" w:asciiTheme="minorEastAsia" w:hAnsiTheme="minorEastAsia"/>
                <w:bCs/>
                <w:color w:val="auto"/>
                <w:szCs w:val="21"/>
                <w:highlight w:val="none"/>
                <w:lang w:eastAsia="zh-CN"/>
              </w:rPr>
              <w:t>洁；⑧道路冲洗除尘</w:t>
            </w:r>
            <w:r>
              <w:rPr>
                <w:rFonts w:hint="eastAsia" w:cs="黑体" w:asciiTheme="minorEastAsia" w:hAnsiTheme="minorEastAsia"/>
                <w:bCs/>
                <w:color w:val="auto"/>
                <w:szCs w:val="21"/>
                <w:highlight w:val="none"/>
              </w:rPr>
              <w:t>。完全满足上述要求且内容完善，符合所投包件实际情况，能够保障所投包件顺利实施的得</w:t>
            </w:r>
            <w:r>
              <w:rPr>
                <w:rFonts w:hint="eastAsia" w:cs="黑体" w:asciiTheme="minorEastAsia" w:hAnsiTheme="minorEastAsia"/>
                <w:bCs/>
                <w:color w:val="auto"/>
                <w:szCs w:val="21"/>
                <w:highlight w:val="none"/>
                <w:lang w:val="en-US" w:eastAsia="zh-CN"/>
              </w:rPr>
              <w:t>8</w:t>
            </w:r>
            <w:r>
              <w:rPr>
                <w:rFonts w:hint="eastAsia" w:cs="黑体" w:asciiTheme="minorEastAsia" w:hAnsiTheme="minorEastAsia"/>
                <w:bCs/>
                <w:color w:val="auto"/>
                <w:szCs w:val="21"/>
                <w:highlight w:val="none"/>
              </w:rPr>
              <w:t>分。每缺少一项方案内容扣1分；方案中每有一处分析内容缺陷或不足的扣0.5分。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（2）具有公厕管理作业方案，包含①公厕清扫保洁班次作业流程</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②卫生、秩序管理制度</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③清掏方案</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④“四害”消杀方案</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⑤臭味控制措施</w:t>
            </w:r>
            <w:r>
              <w:rPr>
                <w:rFonts w:hint="eastAsia" w:cs="黑体" w:asciiTheme="minorEastAsia" w:hAnsiTheme="minorEastAsia"/>
                <w:bCs/>
                <w:color w:val="auto"/>
                <w:szCs w:val="21"/>
                <w:highlight w:val="none"/>
                <w:lang w:eastAsia="zh-CN"/>
              </w:rPr>
              <w:t>；</w:t>
            </w:r>
            <w:bookmarkStart w:id="181" w:name="OLE_LINK6"/>
            <w:r>
              <w:rPr>
                <w:rFonts w:hint="eastAsia" w:cs="黑体" w:asciiTheme="minorEastAsia" w:hAnsiTheme="minorEastAsia"/>
                <w:bCs/>
                <w:color w:val="auto"/>
                <w:szCs w:val="21"/>
                <w:highlight w:val="none"/>
              </w:rPr>
              <w:t>⑥</w:t>
            </w:r>
            <w:bookmarkStart w:id="182" w:name="OLE_LINK22"/>
            <w:bookmarkEnd w:id="181"/>
            <w:r>
              <w:rPr>
                <w:rFonts w:hint="eastAsia" w:cs="黑体" w:asciiTheme="minorEastAsia" w:hAnsiTheme="minorEastAsia"/>
                <w:bCs/>
                <w:color w:val="auto"/>
                <w:szCs w:val="21"/>
                <w:highlight w:val="none"/>
              </w:rPr>
              <w:t>设施设备日常维护</w:t>
            </w:r>
            <w:r>
              <w:rPr>
                <w:rFonts w:hint="eastAsia" w:cs="黑体" w:asciiTheme="minorEastAsia" w:hAnsiTheme="minorEastAsia"/>
                <w:bCs/>
                <w:color w:val="auto"/>
                <w:szCs w:val="21"/>
                <w:highlight w:val="none"/>
                <w:lang w:eastAsia="zh-CN"/>
              </w:rPr>
              <w:t>、“两纸一液”</w:t>
            </w:r>
            <w:r>
              <w:rPr>
                <w:rFonts w:hint="eastAsia" w:cs="黑体" w:asciiTheme="minorEastAsia" w:hAnsiTheme="minorEastAsia"/>
                <w:bCs/>
                <w:color w:val="auto"/>
                <w:szCs w:val="21"/>
                <w:highlight w:val="none"/>
              </w:rPr>
              <w:t>等内容</w:t>
            </w:r>
            <w:bookmarkEnd w:id="182"/>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完全满足上述要求且内容完善，符合所投包件实际情况，能够保障所投包件顺利实施的得</w:t>
            </w:r>
            <w:r>
              <w:rPr>
                <w:rFonts w:hint="eastAsia" w:cs="黑体" w:asciiTheme="minorEastAsia" w:hAnsiTheme="minorEastAsia"/>
                <w:bCs/>
                <w:color w:val="auto"/>
                <w:szCs w:val="21"/>
                <w:highlight w:val="none"/>
                <w:lang w:val="en-US" w:eastAsia="zh-CN"/>
              </w:rPr>
              <w:t>6</w:t>
            </w:r>
            <w:r>
              <w:rPr>
                <w:rFonts w:hint="eastAsia" w:cs="黑体" w:asciiTheme="minorEastAsia" w:hAnsiTheme="minorEastAsia"/>
                <w:bCs/>
                <w:color w:val="auto"/>
                <w:szCs w:val="21"/>
                <w:highlight w:val="none"/>
              </w:rPr>
              <w:t>分。每缺少一项方案内容扣1分；方案中每有一处分析内容缺陷或不足的扣0.5分。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（3）具有绿化管护作业方案，包含①区管绿地乔木、灌木、地被的养护、复壮、更换、降尘</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②时令鲜花及花境、立体绿化管护</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③园林清扫保洁服务及园林垃圾处理转运</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④设施设备的维修保养。完全满足上述要求且内容完善，符合所投包件实际情况，能够保障所投包件顺利实施的得</w:t>
            </w: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分。每缺少一项方案内容扣1分；方案中每有一处分析内容缺陷或不足的扣0.5分。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本项作业方案最多得1</w:t>
            </w:r>
            <w:r>
              <w:rPr>
                <w:rFonts w:hint="eastAsia" w:cs="黑体" w:asciiTheme="minorEastAsia" w:hAnsiTheme="minorEastAsia"/>
                <w:bCs/>
                <w:color w:val="auto"/>
                <w:szCs w:val="21"/>
                <w:highlight w:val="none"/>
                <w:lang w:val="en-US" w:eastAsia="zh-CN"/>
              </w:rPr>
              <w:t>8</w:t>
            </w:r>
            <w:r>
              <w:rPr>
                <w:rFonts w:hint="eastAsia" w:cs="黑体" w:asciiTheme="minorEastAsia" w:hAnsiTheme="minorEastAsia"/>
                <w:bCs/>
                <w:color w:val="auto"/>
                <w:szCs w:val="21"/>
                <w:highlight w:val="none"/>
              </w:rPr>
              <w:t>分。</w:t>
            </w:r>
          </w:p>
        </w:tc>
        <w:tc>
          <w:tcPr>
            <w:tcW w:w="2152" w:type="dxa"/>
            <w:tcBorders>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1" w:hRule="atLeast"/>
          <w:jc w:val="center"/>
        </w:trPr>
        <w:tc>
          <w:tcPr>
            <w:tcW w:w="770"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9</w:t>
            </w:r>
          </w:p>
        </w:tc>
        <w:tc>
          <w:tcPr>
            <w:tcW w:w="1122"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质量控制措施4%</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4分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供应商提供质量控制措施，包括①质量控制目标</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②各环节作业服务质量控制措施③特殊天气质量应急措施</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④重大迎检活动质量应急措施等内容</w:t>
            </w:r>
            <w:r>
              <w:rPr>
                <w:rFonts w:hint="eastAsia" w:cs="黑体" w:asciiTheme="minorEastAsia" w:hAnsiTheme="minorEastAsia"/>
                <w:bCs/>
                <w:color w:val="auto"/>
                <w:szCs w:val="21"/>
                <w:highlight w:val="none"/>
                <w:lang w:eastAsia="zh-CN"/>
              </w:rPr>
              <w:t>。</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完全满足上述要求且内容完善，符合所投包件实际情况，能够保障所投包件顺利实施的得4分。每缺少一项方案内容扣1分；方案中每有一处分析内容缺陷或不足的扣0.5分。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1" w:hRule="atLeast"/>
          <w:jc w:val="center"/>
        </w:trPr>
        <w:tc>
          <w:tcPr>
            <w:tcW w:w="770"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10</w:t>
            </w:r>
          </w:p>
        </w:tc>
        <w:tc>
          <w:tcPr>
            <w:tcW w:w="1122" w:type="dxa"/>
            <w:tcBorders>
              <w:top w:val="single" w:color="auto" w:sz="4" w:space="0"/>
            </w:tcBorders>
            <w:vAlign w:val="center"/>
          </w:tcPr>
          <w:p>
            <w:pPr>
              <w:jc w:val="center"/>
              <w:rPr>
                <w:rFonts w:ascii="Times New Roman" w:hAnsi="Times New Roman"/>
                <w:color w:val="auto"/>
                <w:szCs w:val="21"/>
                <w:highlight w:val="none"/>
              </w:rPr>
            </w:pPr>
            <w:r>
              <w:rPr>
                <w:rFonts w:hint="eastAsia" w:ascii="宋体" w:cs="宋体"/>
                <w:color w:val="auto"/>
                <w:kern w:val="0"/>
                <w:szCs w:val="21"/>
                <w:highlight w:val="none"/>
              </w:rPr>
              <w:t>应急措施</w:t>
            </w:r>
            <w:r>
              <w:rPr>
                <w:rFonts w:hint="eastAsia" w:ascii="宋体" w:cs="宋体"/>
                <w:color w:val="auto"/>
                <w:kern w:val="0"/>
                <w:szCs w:val="21"/>
                <w:highlight w:val="none"/>
                <w:lang w:val="en-US" w:eastAsia="zh-CN"/>
              </w:rPr>
              <w:t>13</w:t>
            </w:r>
            <w:r>
              <w:rPr>
                <w:rFonts w:hint="eastAsia" w:ascii="宋体" w:cs="宋体"/>
                <w:color w:val="auto"/>
                <w:kern w:val="0"/>
                <w:szCs w:val="21"/>
                <w:highlight w:val="none"/>
              </w:rPr>
              <w:t>%</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13</w:t>
            </w:r>
            <w:r>
              <w:rPr>
                <w:rFonts w:hint="eastAsia" w:ascii="Times New Roman" w:hAnsi="Times New Roman"/>
                <w:color w:val="auto"/>
                <w:szCs w:val="21"/>
                <w:highlight w:val="none"/>
              </w:rPr>
              <w:t>分</w:t>
            </w:r>
          </w:p>
        </w:tc>
        <w:tc>
          <w:tcPr>
            <w:tcW w:w="4961" w:type="dxa"/>
            <w:vAlign w:val="center"/>
          </w:tcPr>
          <w:p>
            <w:pPr>
              <w:spacing w:line="400" w:lineRule="exact"/>
              <w:rPr>
                <w:rFonts w:hint="eastAsia" w:cs="黑体" w:asciiTheme="minorEastAsia" w:hAnsiTheme="minorEastAsia"/>
                <w:bCs/>
                <w:color w:val="auto"/>
                <w:szCs w:val="21"/>
                <w:highlight w:val="none"/>
              </w:rPr>
            </w:pPr>
            <w:bookmarkStart w:id="183" w:name="OLE_LINK7"/>
            <w:r>
              <w:rPr>
                <w:rFonts w:hint="eastAsia" w:cs="黑体" w:asciiTheme="minorEastAsia" w:hAnsiTheme="minorEastAsia"/>
                <w:bCs/>
                <w:color w:val="auto"/>
                <w:szCs w:val="21"/>
                <w:highlight w:val="none"/>
              </w:rPr>
              <w:t>供应商提供应急措施，包括</w:t>
            </w:r>
            <w:bookmarkStart w:id="184" w:name="OLE_LINK12"/>
            <w:r>
              <w:rPr>
                <w:rFonts w:hint="eastAsia" w:cs="黑体" w:asciiTheme="minorEastAsia" w:hAnsiTheme="minorEastAsia"/>
                <w:bCs/>
                <w:color w:val="auto"/>
                <w:szCs w:val="21"/>
                <w:highlight w:val="none"/>
              </w:rPr>
              <w:t>①</w:t>
            </w:r>
            <w:bookmarkEnd w:id="184"/>
            <w:r>
              <w:rPr>
                <w:rFonts w:hint="eastAsia" w:cs="黑体" w:asciiTheme="minorEastAsia" w:hAnsiTheme="minorEastAsia"/>
                <w:bCs/>
                <w:color w:val="auto"/>
                <w:szCs w:val="21"/>
                <w:highlight w:val="none"/>
              </w:rPr>
              <w:t>应急人员配置；②突发性事件应急措施（包括但不限于自然灾害、公共卫生事件、人员等发生应急缺岗供应商应急保障措施承诺等）；③重大活动、节假日、迎检保障、突击整治方案；④意外伤害应急处置</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⑤新冠疫情防控</w:t>
            </w:r>
            <w:r>
              <w:rPr>
                <w:rFonts w:hint="eastAsia" w:cs="黑体" w:asciiTheme="minorEastAsia" w:hAnsiTheme="minorEastAsia"/>
                <w:bCs/>
                <w:color w:val="auto"/>
                <w:szCs w:val="21"/>
                <w:highlight w:val="none"/>
                <w:lang w:eastAsia="zh-CN"/>
              </w:rPr>
              <w:t>；</w:t>
            </w:r>
            <w:bookmarkStart w:id="185" w:name="OLE_LINK13"/>
            <w:bookmarkStart w:id="186" w:name="OLE_LINK23"/>
            <w:r>
              <w:rPr>
                <w:rFonts w:hint="eastAsia" w:cs="黑体" w:asciiTheme="minorEastAsia" w:hAnsiTheme="minorEastAsia"/>
                <w:bCs/>
                <w:color w:val="auto"/>
                <w:szCs w:val="21"/>
                <w:highlight w:val="none"/>
              </w:rPr>
              <w:t>⑥</w:t>
            </w:r>
            <w:bookmarkEnd w:id="185"/>
            <w:r>
              <w:rPr>
                <w:rFonts w:hint="eastAsia" w:cs="黑体" w:asciiTheme="minorEastAsia" w:hAnsiTheme="minorEastAsia"/>
                <w:bCs/>
                <w:color w:val="auto"/>
                <w:szCs w:val="21"/>
                <w:highlight w:val="none"/>
                <w:lang w:eastAsia="zh-CN"/>
              </w:rPr>
              <w:t>车辆</w:t>
            </w:r>
            <w:r>
              <w:rPr>
                <w:rFonts w:hint="eastAsia"/>
                <w:color w:val="auto"/>
                <w:highlight w:val="none"/>
                <w:lang w:eastAsia="zh-CN"/>
              </w:rPr>
              <w:t>维修保养期应急措施；</w:t>
            </w:r>
            <w:bookmarkStart w:id="187" w:name="OLE_LINK14"/>
            <w:r>
              <w:rPr>
                <w:rFonts w:hint="eastAsia" w:cs="黑体" w:asciiTheme="minorEastAsia" w:hAnsiTheme="minorEastAsia"/>
                <w:bCs/>
                <w:color w:val="auto"/>
                <w:szCs w:val="21"/>
                <w:highlight w:val="none"/>
              </w:rPr>
              <w:t>⑦</w:t>
            </w:r>
            <w:bookmarkEnd w:id="187"/>
            <w:r>
              <w:rPr>
                <w:rFonts w:hint="eastAsia"/>
                <w:color w:val="auto"/>
                <w:highlight w:val="none"/>
                <w:lang w:eastAsia="zh-CN"/>
              </w:rPr>
              <w:t>新能源设施设备运营应急方案</w:t>
            </w:r>
            <w:r>
              <w:rPr>
                <w:rFonts w:hint="eastAsia" w:cs="黑体" w:asciiTheme="minorEastAsia" w:hAnsiTheme="minorEastAsia"/>
                <w:bCs/>
                <w:color w:val="auto"/>
                <w:szCs w:val="21"/>
                <w:highlight w:val="none"/>
              </w:rPr>
              <w:t>。</w:t>
            </w:r>
            <w:r>
              <w:rPr>
                <w:rFonts w:hint="eastAsia"/>
                <w:color w:val="auto"/>
                <w:highlight w:val="none"/>
                <w:lang w:eastAsia="zh-CN"/>
              </w:rPr>
              <w:t>以上方案</w:t>
            </w:r>
            <w:bookmarkStart w:id="188" w:name="OLE_LINK16"/>
            <w:r>
              <w:rPr>
                <w:rFonts w:hint="eastAsia" w:cs="黑体" w:asciiTheme="minorEastAsia" w:hAnsiTheme="minorEastAsia"/>
                <w:bCs/>
                <w:color w:val="auto"/>
                <w:szCs w:val="21"/>
                <w:highlight w:val="none"/>
              </w:rPr>
              <w:t>①</w:t>
            </w:r>
            <w:r>
              <w:rPr>
                <w:rFonts w:hint="eastAsia" w:cs="黑体" w:asciiTheme="minorEastAsia" w:hAnsiTheme="minorEastAsia"/>
                <w:bCs/>
                <w:color w:val="auto"/>
                <w:szCs w:val="21"/>
                <w:highlight w:val="none"/>
                <w:lang w:val="en-US" w:eastAsia="zh-CN"/>
              </w:rPr>
              <w:t>--</w:t>
            </w:r>
            <w:r>
              <w:rPr>
                <w:rFonts w:hint="eastAsia" w:cs="黑体" w:asciiTheme="minorEastAsia" w:hAnsiTheme="minorEastAsia"/>
                <w:bCs/>
                <w:color w:val="auto"/>
                <w:szCs w:val="21"/>
                <w:highlight w:val="none"/>
              </w:rPr>
              <w:t>⑥</w:t>
            </w:r>
            <w:r>
              <w:rPr>
                <w:rFonts w:hint="eastAsia" w:cs="黑体" w:asciiTheme="minorEastAsia" w:hAnsiTheme="minorEastAsia"/>
                <w:bCs/>
                <w:color w:val="auto"/>
                <w:szCs w:val="21"/>
                <w:highlight w:val="none"/>
                <w:lang w:eastAsia="zh-CN"/>
              </w:rPr>
              <w:t>项每项各</w:t>
            </w:r>
            <w:r>
              <w:rPr>
                <w:rFonts w:hint="eastAsia" w:cs="黑体" w:asciiTheme="minorEastAsia" w:hAnsiTheme="minorEastAsia"/>
                <w:bCs/>
                <w:color w:val="auto"/>
                <w:szCs w:val="21"/>
                <w:highlight w:val="none"/>
                <w:lang w:val="en-US" w:eastAsia="zh-CN"/>
              </w:rPr>
              <w:t>1.5分，</w:t>
            </w:r>
            <w:r>
              <w:rPr>
                <w:rFonts w:hint="eastAsia" w:cs="黑体" w:asciiTheme="minorEastAsia" w:hAnsiTheme="minorEastAsia"/>
                <w:bCs/>
                <w:color w:val="auto"/>
                <w:szCs w:val="21"/>
                <w:highlight w:val="none"/>
              </w:rPr>
              <w:t>⑦</w:t>
            </w:r>
            <w:r>
              <w:rPr>
                <w:rFonts w:hint="eastAsia" w:cs="黑体" w:asciiTheme="minorEastAsia" w:hAnsiTheme="minorEastAsia"/>
                <w:bCs/>
                <w:color w:val="auto"/>
                <w:szCs w:val="21"/>
                <w:highlight w:val="none"/>
                <w:lang w:eastAsia="zh-CN"/>
              </w:rPr>
              <w:t>项</w:t>
            </w:r>
            <w:r>
              <w:rPr>
                <w:rFonts w:hint="eastAsia" w:cs="黑体" w:asciiTheme="minorEastAsia" w:hAnsiTheme="minorEastAsia"/>
                <w:bCs/>
                <w:color w:val="auto"/>
                <w:szCs w:val="21"/>
                <w:highlight w:val="none"/>
                <w:lang w:val="en-US" w:eastAsia="zh-CN"/>
              </w:rPr>
              <w:t>4分</w:t>
            </w:r>
            <w:bookmarkEnd w:id="188"/>
            <w:r>
              <w:rPr>
                <w:rFonts w:hint="eastAsia" w:cs="黑体" w:asciiTheme="minorEastAsia" w:hAnsiTheme="minorEastAsia"/>
                <w:bCs/>
                <w:color w:val="auto"/>
                <w:szCs w:val="21"/>
                <w:highlight w:val="none"/>
                <w:lang w:val="en-US" w:eastAsia="zh-CN"/>
              </w:rPr>
              <w:t>。</w:t>
            </w:r>
            <w:r>
              <w:rPr>
                <w:rFonts w:hint="eastAsia" w:cs="黑体" w:asciiTheme="minorEastAsia" w:hAnsiTheme="minorEastAsia"/>
                <w:bCs/>
                <w:color w:val="auto"/>
                <w:szCs w:val="21"/>
                <w:highlight w:val="none"/>
              </w:rPr>
              <w:t>完全满足上述要求且内容完善，符合所投包件实际情况，能够保障所投包件顺利实施的得</w:t>
            </w:r>
            <w:r>
              <w:rPr>
                <w:rFonts w:hint="eastAsia" w:cs="黑体" w:asciiTheme="minorEastAsia" w:hAnsiTheme="minorEastAsia"/>
                <w:bCs/>
                <w:color w:val="auto"/>
                <w:szCs w:val="21"/>
                <w:highlight w:val="none"/>
                <w:lang w:val="en-US" w:eastAsia="zh-CN"/>
              </w:rPr>
              <w:t>13</w:t>
            </w:r>
            <w:r>
              <w:rPr>
                <w:rFonts w:hint="eastAsia" w:cs="黑体" w:asciiTheme="minorEastAsia" w:hAnsiTheme="minorEastAsia"/>
                <w:bCs/>
                <w:color w:val="auto"/>
                <w:szCs w:val="21"/>
                <w:highlight w:val="none"/>
              </w:rPr>
              <w:t>分。每缺少一项方案内容</w:t>
            </w:r>
            <w:bookmarkStart w:id="189" w:name="OLE_LINK17"/>
            <w:r>
              <w:rPr>
                <w:rFonts w:hint="eastAsia" w:cs="黑体" w:asciiTheme="minorEastAsia" w:hAnsiTheme="minorEastAsia"/>
                <w:bCs/>
                <w:color w:val="auto"/>
                <w:szCs w:val="21"/>
                <w:highlight w:val="none"/>
              </w:rPr>
              <w:t>①</w:t>
            </w:r>
            <w:r>
              <w:rPr>
                <w:rFonts w:hint="eastAsia" w:cs="黑体" w:asciiTheme="minorEastAsia" w:hAnsiTheme="minorEastAsia"/>
                <w:bCs/>
                <w:color w:val="auto"/>
                <w:szCs w:val="21"/>
                <w:highlight w:val="none"/>
                <w:lang w:val="en-US" w:eastAsia="zh-CN"/>
              </w:rPr>
              <w:t>--</w:t>
            </w:r>
            <w:r>
              <w:rPr>
                <w:rFonts w:hint="eastAsia" w:cs="黑体" w:asciiTheme="minorEastAsia" w:hAnsiTheme="minorEastAsia"/>
                <w:bCs/>
                <w:color w:val="auto"/>
                <w:szCs w:val="21"/>
                <w:highlight w:val="none"/>
              </w:rPr>
              <w:t>⑥</w:t>
            </w:r>
            <w:r>
              <w:rPr>
                <w:rFonts w:hint="eastAsia" w:cs="黑体" w:asciiTheme="minorEastAsia" w:hAnsiTheme="minorEastAsia"/>
                <w:bCs/>
                <w:color w:val="auto"/>
                <w:szCs w:val="21"/>
                <w:highlight w:val="none"/>
                <w:lang w:eastAsia="zh-CN"/>
              </w:rPr>
              <w:t>项每项各扣</w:t>
            </w:r>
            <w:r>
              <w:rPr>
                <w:rFonts w:hint="eastAsia" w:cs="黑体" w:asciiTheme="minorEastAsia" w:hAnsiTheme="minorEastAsia"/>
                <w:bCs/>
                <w:color w:val="auto"/>
                <w:szCs w:val="21"/>
                <w:highlight w:val="none"/>
                <w:lang w:val="en-US" w:eastAsia="zh-CN"/>
              </w:rPr>
              <w:t>1.5分，</w:t>
            </w:r>
            <w:r>
              <w:rPr>
                <w:rFonts w:hint="eastAsia" w:cs="黑体" w:asciiTheme="minorEastAsia" w:hAnsiTheme="minorEastAsia"/>
                <w:bCs/>
                <w:color w:val="auto"/>
                <w:szCs w:val="21"/>
                <w:highlight w:val="none"/>
              </w:rPr>
              <w:t>⑦</w:t>
            </w:r>
            <w:r>
              <w:rPr>
                <w:rFonts w:hint="eastAsia" w:cs="黑体" w:asciiTheme="minorEastAsia" w:hAnsiTheme="minorEastAsia"/>
                <w:bCs/>
                <w:color w:val="auto"/>
                <w:szCs w:val="21"/>
                <w:highlight w:val="none"/>
                <w:lang w:eastAsia="zh-CN"/>
              </w:rPr>
              <w:t>项扣</w:t>
            </w:r>
            <w:r>
              <w:rPr>
                <w:rFonts w:hint="eastAsia" w:cs="黑体" w:asciiTheme="minorEastAsia" w:hAnsiTheme="minorEastAsia"/>
                <w:bCs/>
                <w:color w:val="auto"/>
                <w:szCs w:val="21"/>
                <w:highlight w:val="none"/>
                <w:lang w:val="en-US" w:eastAsia="zh-CN"/>
              </w:rPr>
              <w:t>4分</w:t>
            </w:r>
            <w:bookmarkEnd w:id="189"/>
            <w:r>
              <w:rPr>
                <w:rFonts w:hint="eastAsia" w:cs="黑体" w:asciiTheme="minorEastAsia" w:hAnsiTheme="minorEastAsia"/>
                <w:bCs/>
                <w:color w:val="auto"/>
                <w:szCs w:val="21"/>
                <w:highlight w:val="none"/>
              </w:rPr>
              <w:t>；方案中每有一项内容缺陷或不足的</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①</w:t>
            </w:r>
            <w:r>
              <w:rPr>
                <w:rFonts w:hint="eastAsia" w:cs="黑体" w:asciiTheme="minorEastAsia" w:hAnsiTheme="minorEastAsia"/>
                <w:bCs/>
                <w:color w:val="auto"/>
                <w:szCs w:val="21"/>
                <w:highlight w:val="none"/>
                <w:lang w:val="en-US" w:eastAsia="zh-CN"/>
              </w:rPr>
              <w:t>--</w:t>
            </w:r>
            <w:r>
              <w:rPr>
                <w:rFonts w:hint="eastAsia" w:cs="黑体" w:asciiTheme="minorEastAsia" w:hAnsiTheme="minorEastAsia"/>
                <w:bCs/>
                <w:color w:val="auto"/>
                <w:szCs w:val="21"/>
                <w:highlight w:val="none"/>
              </w:rPr>
              <w:t>⑥</w:t>
            </w:r>
            <w:r>
              <w:rPr>
                <w:rFonts w:hint="eastAsia" w:cs="黑体" w:asciiTheme="minorEastAsia" w:hAnsiTheme="minorEastAsia"/>
                <w:bCs/>
                <w:color w:val="auto"/>
                <w:szCs w:val="21"/>
                <w:highlight w:val="none"/>
                <w:lang w:eastAsia="zh-CN"/>
              </w:rPr>
              <w:t>项每项各扣</w:t>
            </w:r>
            <w:r>
              <w:rPr>
                <w:rFonts w:hint="eastAsia" w:cs="黑体" w:asciiTheme="minorEastAsia" w:hAnsiTheme="minorEastAsia"/>
                <w:bCs/>
                <w:color w:val="auto"/>
                <w:szCs w:val="21"/>
                <w:highlight w:val="none"/>
                <w:lang w:val="en-US" w:eastAsia="zh-CN"/>
              </w:rPr>
              <w:t>0.75分，</w:t>
            </w:r>
            <w:r>
              <w:rPr>
                <w:rFonts w:hint="eastAsia" w:cs="黑体" w:asciiTheme="minorEastAsia" w:hAnsiTheme="minorEastAsia"/>
                <w:bCs/>
                <w:color w:val="auto"/>
                <w:szCs w:val="21"/>
                <w:highlight w:val="none"/>
              </w:rPr>
              <w:t>⑦</w:t>
            </w:r>
            <w:r>
              <w:rPr>
                <w:rFonts w:hint="eastAsia" w:cs="黑体" w:asciiTheme="minorEastAsia" w:hAnsiTheme="minorEastAsia"/>
                <w:bCs/>
                <w:color w:val="auto"/>
                <w:szCs w:val="21"/>
                <w:highlight w:val="none"/>
                <w:lang w:eastAsia="zh-CN"/>
              </w:rPr>
              <w:t>项扣</w:t>
            </w:r>
            <w:r>
              <w:rPr>
                <w:rFonts w:hint="eastAsia" w:cs="黑体" w:asciiTheme="minorEastAsia" w:hAnsiTheme="minorEastAsia"/>
                <w:bCs/>
                <w:color w:val="auto"/>
                <w:szCs w:val="21"/>
                <w:highlight w:val="none"/>
                <w:lang w:val="en-US" w:eastAsia="zh-CN"/>
              </w:rPr>
              <w:t>2分</w:t>
            </w:r>
            <w:r>
              <w:rPr>
                <w:rFonts w:hint="eastAsia" w:cs="黑体" w:asciiTheme="minorEastAsia" w:hAnsiTheme="minorEastAsia"/>
                <w:bCs/>
                <w:color w:val="auto"/>
                <w:szCs w:val="21"/>
                <w:highlight w:val="none"/>
              </w:rPr>
              <w:t>。</w:t>
            </w:r>
            <w:bookmarkEnd w:id="183"/>
            <w:bookmarkEnd w:id="186"/>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5" w:hRule="atLeast"/>
          <w:jc w:val="center"/>
        </w:trPr>
        <w:tc>
          <w:tcPr>
            <w:tcW w:w="770"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11</w:t>
            </w:r>
          </w:p>
        </w:tc>
        <w:tc>
          <w:tcPr>
            <w:tcW w:w="1122" w:type="dxa"/>
            <w:vAlign w:val="center"/>
          </w:tcPr>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安全生</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产、文明</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作业控制</w:t>
            </w:r>
          </w:p>
          <w:p>
            <w:pPr>
              <w:jc w:val="center"/>
              <w:rPr>
                <w:rFonts w:ascii="宋体" w:hAnsi="Calibri" w:eastAsia="宋体" w:cs="宋体"/>
                <w:color w:val="auto"/>
                <w:kern w:val="0"/>
                <w:sz w:val="21"/>
                <w:szCs w:val="21"/>
                <w:highlight w:val="none"/>
                <w:lang w:val="en-US" w:eastAsia="zh-CN" w:bidi="ar-SA"/>
              </w:rPr>
            </w:pPr>
            <w:r>
              <w:rPr>
                <w:rFonts w:hint="eastAsia" w:ascii="宋体" w:cs="宋体"/>
                <w:color w:val="auto"/>
                <w:kern w:val="0"/>
                <w:szCs w:val="21"/>
                <w:highlight w:val="none"/>
              </w:rPr>
              <w:t>措施5%</w:t>
            </w:r>
          </w:p>
        </w:tc>
        <w:tc>
          <w:tcPr>
            <w:tcW w:w="709" w:type="dxa"/>
            <w:vAlign w:val="center"/>
          </w:tcPr>
          <w:p>
            <w:pPr>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rPr>
              <w:t>5分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投标人针对所投包件提供安全、文明措施，包含但不限于：①安全、文明制度；②岗前培训；③安全教育；④环保措施；⑤职业病预防等。完全满足上述要求且内容完善，符合所投包件实际情况，能够保障所投包件顺利实施的得5分。每缺少一项方案内容扣1分；方案中每有一处分析内容缺陷或不足的扣0.5分。</w:t>
            </w:r>
          </w:p>
          <w:p>
            <w:pPr>
              <w:spacing w:line="400" w:lineRule="exact"/>
              <w:rPr>
                <w:rFonts w:hint="eastAsia" w:eastAsia="宋体" w:cs="黑体" w:asciiTheme="minorEastAsia" w:hAnsiTheme="minorEastAsia"/>
                <w:bCs/>
                <w:color w:val="auto"/>
                <w:kern w:val="2"/>
                <w:sz w:val="21"/>
                <w:szCs w:val="21"/>
                <w:highlight w:val="none"/>
                <w:lang w:val="en-US" w:eastAsia="zh-CN" w:bidi="ar-SA"/>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vAlign w:val="center"/>
          </w:tcPr>
          <w:p>
            <w:pPr>
              <w:snapToGrid w:val="0"/>
              <w:spacing w:line="400" w:lineRule="exact"/>
              <w:jc w:val="left"/>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5" w:hRule="atLeast"/>
          <w:jc w:val="center"/>
        </w:trPr>
        <w:tc>
          <w:tcPr>
            <w:tcW w:w="2601" w:type="dxa"/>
            <w:gridSpan w:val="3"/>
            <w:vAlign w:val="center"/>
          </w:tcPr>
          <w:p>
            <w:pPr>
              <w:autoSpaceDE w:val="0"/>
              <w:autoSpaceDN w:val="0"/>
              <w:adjustRightInd w:val="0"/>
              <w:spacing w:line="4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bCs/>
                <w:color w:val="auto"/>
                <w:szCs w:val="21"/>
                <w:highlight w:val="none"/>
              </w:rPr>
              <w:t>合计</w:t>
            </w:r>
          </w:p>
        </w:tc>
        <w:tc>
          <w:tcPr>
            <w:tcW w:w="7113" w:type="dxa"/>
            <w:gridSpan w:val="2"/>
            <w:vAlign w:val="center"/>
          </w:tcPr>
          <w:p>
            <w:pPr>
              <w:snapToGrid w:val="0"/>
              <w:spacing w:line="400" w:lineRule="exact"/>
              <w:jc w:val="left"/>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Cs w:val="21"/>
                <w:highlight w:val="none"/>
              </w:rPr>
              <w:t>100分</w:t>
            </w:r>
          </w:p>
        </w:tc>
      </w:tr>
    </w:tbl>
    <w:p>
      <w:pPr>
        <w:spacing w:line="360" w:lineRule="auto"/>
        <w:rPr>
          <w:rFonts w:ascii="宋体" w:hAnsi="宋体"/>
          <w:color w:val="auto"/>
          <w:sz w:val="28"/>
          <w:szCs w:val="28"/>
          <w:highlight w:val="none"/>
        </w:rPr>
      </w:pPr>
      <w:r>
        <w:rPr>
          <w:rFonts w:ascii="宋体" w:hAnsi="宋体"/>
          <w:color w:val="auto"/>
          <w:sz w:val="28"/>
          <w:szCs w:val="28"/>
          <w:highlight w:val="none"/>
        </w:rPr>
        <w:br w:type="page"/>
      </w:r>
      <w:r>
        <w:rPr>
          <w:rFonts w:hint="eastAsia" w:ascii="宋体" w:hAnsi="宋体"/>
          <w:color w:val="auto"/>
          <w:sz w:val="28"/>
          <w:szCs w:val="28"/>
          <w:highlight w:val="none"/>
          <w:lang w:eastAsia="zh-CN"/>
        </w:rPr>
        <w:t>包件2</w:t>
      </w:r>
      <w:r>
        <w:rPr>
          <w:rFonts w:hint="eastAsia" w:ascii="宋体" w:hAnsi="宋体"/>
          <w:color w:val="auto"/>
          <w:sz w:val="28"/>
          <w:szCs w:val="28"/>
          <w:highlight w:val="none"/>
        </w:rPr>
        <w:t>、</w:t>
      </w:r>
      <w:r>
        <w:rPr>
          <w:rFonts w:hint="eastAsia" w:ascii="宋体" w:hAnsi="宋体"/>
          <w:color w:val="auto"/>
          <w:sz w:val="28"/>
          <w:szCs w:val="28"/>
          <w:highlight w:val="none"/>
          <w:lang w:eastAsia="zh-CN"/>
        </w:rPr>
        <w:t>包件3</w:t>
      </w:r>
      <w:r>
        <w:rPr>
          <w:rFonts w:hint="eastAsia" w:ascii="宋体" w:hAnsi="宋体"/>
          <w:color w:val="auto"/>
          <w:sz w:val="28"/>
          <w:szCs w:val="28"/>
          <w:highlight w:val="none"/>
        </w:rPr>
        <w:t>、</w:t>
      </w:r>
      <w:r>
        <w:rPr>
          <w:rFonts w:hint="eastAsia" w:ascii="宋体" w:hAnsi="宋体"/>
          <w:color w:val="auto"/>
          <w:sz w:val="28"/>
          <w:szCs w:val="28"/>
          <w:highlight w:val="none"/>
          <w:lang w:eastAsia="zh-CN"/>
        </w:rPr>
        <w:t>包件5</w:t>
      </w:r>
      <w:r>
        <w:rPr>
          <w:rFonts w:hint="eastAsia" w:ascii="宋体" w:hAnsi="宋体"/>
          <w:color w:val="auto"/>
          <w:sz w:val="28"/>
          <w:szCs w:val="28"/>
          <w:highlight w:val="none"/>
        </w:rPr>
        <w:t>、</w:t>
      </w:r>
      <w:r>
        <w:rPr>
          <w:rFonts w:hint="eastAsia" w:ascii="宋体" w:hAnsi="宋体"/>
          <w:color w:val="auto"/>
          <w:sz w:val="28"/>
          <w:szCs w:val="28"/>
          <w:highlight w:val="none"/>
          <w:lang w:eastAsia="zh-CN"/>
        </w:rPr>
        <w:t>包件6</w:t>
      </w:r>
      <w:r>
        <w:rPr>
          <w:rFonts w:hint="eastAsia" w:ascii="宋体" w:hAnsi="宋体"/>
          <w:color w:val="auto"/>
          <w:sz w:val="28"/>
          <w:szCs w:val="28"/>
          <w:highlight w:val="none"/>
        </w:rPr>
        <w:t>评分标准</w:t>
      </w:r>
    </w:p>
    <w:tbl>
      <w:tblPr>
        <w:tblStyle w:val="59"/>
        <w:tblW w:w="971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70"/>
        <w:gridCol w:w="1122"/>
        <w:gridCol w:w="709"/>
        <w:gridCol w:w="4961"/>
        <w:gridCol w:w="21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39" w:hRule="atLeast"/>
          <w:jc w:val="center"/>
        </w:trPr>
        <w:tc>
          <w:tcPr>
            <w:tcW w:w="770"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序号</w:t>
            </w:r>
          </w:p>
        </w:tc>
        <w:tc>
          <w:tcPr>
            <w:tcW w:w="112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评分因素</w:t>
            </w:r>
          </w:p>
          <w:p>
            <w:pPr>
              <w:jc w:val="center"/>
              <w:rPr>
                <w:rFonts w:ascii="Times New Roman" w:hAnsi="Times New Roman"/>
                <w:color w:val="auto"/>
                <w:szCs w:val="21"/>
                <w:highlight w:val="none"/>
              </w:rPr>
            </w:pPr>
            <w:r>
              <w:rPr>
                <w:rFonts w:hint="eastAsia" w:ascii="Times New Roman" w:hAnsi="Times New Roman"/>
                <w:color w:val="auto"/>
                <w:szCs w:val="21"/>
                <w:highlight w:val="none"/>
              </w:rPr>
              <w:t>及权重</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分值</w:t>
            </w:r>
          </w:p>
        </w:tc>
        <w:tc>
          <w:tcPr>
            <w:tcW w:w="4961"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评分标准</w:t>
            </w:r>
          </w:p>
        </w:tc>
        <w:tc>
          <w:tcPr>
            <w:tcW w:w="2152" w:type="dxa"/>
          </w:tcPr>
          <w:p>
            <w:pPr>
              <w:jc w:val="center"/>
              <w:rPr>
                <w:rFonts w:ascii="Times New Roman" w:hAnsi="Times New Roman"/>
                <w:color w:val="auto"/>
                <w:szCs w:val="21"/>
                <w:highlight w:val="none"/>
              </w:rPr>
            </w:pPr>
            <w:r>
              <w:rPr>
                <w:rFonts w:hint="eastAsia" w:ascii="Times New Roman" w:hAnsi="Times New Roman"/>
                <w:color w:val="auto"/>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1</w:t>
            </w:r>
          </w:p>
        </w:tc>
        <w:tc>
          <w:tcPr>
            <w:tcW w:w="1122" w:type="dxa"/>
            <w:shd w:val="clear" w:color="auto" w:fill="auto"/>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投标报价15%</w:t>
            </w:r>
          </w:p>
        </w:tc>
        <w:tc>
          <w:tcPr>
            <w:tcW w:w="709" w:type="dxa"/>
            <w:shd w:val="clear" w:color="auto" w:fill="auto"/>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15分</w:t>
            </w:r>
          </w:p>
        </w:tc>
        <w:tc>
          <w:tcPr>
            <w:tcW w:w="4961" w:type="dxa"/>
            <w:vAlign w:val="center"/>
          </w:tcPr>
          <w:p>
            <w:pPr>
              <w:rPr>
                <w:rFonts w:ascii="Times New Roman" w:hAnsi="Times New Roman"/>
                <w:color w:val="auto"/>
                <w:szCs w:val="24"/>
                <w:highlight w:val="none"/>
              </w:rPr>
            </w:pPr>
            <w:r>
              <w:rPr>
                <w:rFonts w:hint="eastAsia" w:ascii="Times New Roman" w:hAnsi="Times New Roman"/>
                <w:color w:val="auto"/>
                <w:szCs w:val="24"/>
                <w:highlight w:val="none"/>
              </w:rPr>
              <w:t>1.以满足招标文件要求且投标价格最低的投标报价为评标基准价，其价格分为满分。其他投标人的价格分统一按照下列公式计算：投标报价得分=(评标基准价／投标报价)×</w:t>
            </w:r>
            <w:r>
              <w:rPr>
                <w:rFonts w:hint="eastAsia" w:ascii="Times New Roman" w:hAnsi="Times New Roman"/>
                <w:color w:val="auto"/>
                <w:szCs w:val="24"/>
                <w:highlight w:val="none"/>
                <w:lang w:val="en-US" w:eastAsia="zh-CN"/>
              </w:rPr>
              <w:t>15</w:t>
            </w:r>
            <w:r>
              <w:rPr>
                <w:rFonts w:hint="eastAsia" w:ascii="Times New Roman" w:hAnsi="Times New Roman"/>
                <w:color w:val="auto"/>
                <w:szCs w:val="24"/>
                <w:highlight w:val="none"/>
              </w:rPr>
              <w:t>；</w:t>
            </w:r>
          </w:p>
          <w:p>
            <w:pPr>
              <w:autoSpaceDE w:val="0"/>
              <w:autoSpaceDN w:val="0"/>
              <w:adjustRightInd w:val="0"/>
              <w:jc w:val="left"/>
              <w:rPr>
                <w:rFonts w:ascii="Times New Roman" w:hAnsi="Times New Roman"/>
                <w:color w:val="auto"/>
                <w:szCs w:val="24"/>
                <w:highlight w:val="none"/>
              </w:rPr>
            </w:pPr>
            <w:r>
              <w:rPr>
                <w:rFonts w:hint="eastAsia" w:ascii="Times New Roman" w:hAnsi="Times New Roman"/>
                <w:color w:val="auto"/>
                <w:szCs w:val="24"/>
                <w:highlight w:val="none"/>
              </w:rPr>
              <w:t>2.投标人如为小型和微型企业、残疾人福利性企业、监狱企业的，满足以上一项或多项的，给予其投标报价10%的价格扣除，用扣除后的价格参与评审。</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2</w:t>
            </w:r>
          </w:p>
        </w:tc>
        <w:tc>
          <w:tcPr>
            <w:tcW w:w="1122" w:type="dxa"/>
            <w:shd w:val="clear" w:color="auto" w:fill="auto"/>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企业实力及荣誉</w:t>
            </w:r>
            <w:r>
              <w:rPr>
                <w:rFonts w:hint="eastAsia" w:ascii="Times New Roman" w:hAnsi="Times New Roman"/>
                <w:color w:val="auto"/>
                <w:szCs w:val="24"/>
                <w:highlight w:val="none"/>
                <w:lang w:val="en-US" w:eastAsia="zh-CN"/>
              </w:rPr>
              <w:t>2</w:t>
            </w:r>
            <w:r>
              <w:rPr>
                <w:rFonts w:hint="eastAsia" w:ascii="Times New Roman" w:hAnsi="Times New Roman"/>
                <w:color w:val="auto"/>
                <w:szCs w:val="24"/>
                <w:highlight w:val="none"/>
              </w:rPr>
              <w:t>%</w:t>
            </w:r>
          </w:p>
        </w:tc>
        <w:tc>
          <w:tcPr>
            <w:tcW w:w="709" w:type="dxa"/>
            <w:shd w:val="clear" w:color="auto" w:fill="auto"/>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lang w:val="en-US" w:eastAsia="zh-CN"/>
              </w:rPr>
              <w:t>2</w:t>
            </w:r>
            <w:r>
              <w:rPr>
                <w:rFonts w:hint="eastAsia" w:ascii="Times New Roman" w:hAnsi="Times New Roman"/>
                <w:color w:val="auto"/>
                <w:szCs w:val="24"/>
                <w:highlight w:val="none"/>
              </w:rPr>
              <w:t>分</w:t>
            </w:r>
          </w:p>
        </w:tc>
        <w:tc>
          <w:tcPr>
            <w:tcW w:w="4961" w:type="dxa"/>
            <w:vAlign w:val="center"/>
          </w:tcPr>
          <w:p>
            <w:pPr>
              <w:autoSpaceDE w:val="0"/>
              <w:autoSpaceDN w:val="0"/>
              <w:adjustRightInd w:val="0"/>
              <w:jc w:val="lef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2018年1月1日至投标截止时间，每有一个行政主管部门</w:t>
            </w:r>
            <w:r>
              <w:rPr>
                <w:rFonts w:hint="eastAsia" w:ascii="Times New Roman" w:hAnsi="Times New Roman"/>
                <w:color w:val="auto"/>
                <w:szCs w:val="21"/>
                <w:highlight w:val="none"/>
              </w:rPr>
              <w:t>颁发</w:t>
            </w:r>
            <w:r>
              <w:rPr>
                <w:rFonts w:hint="eastAsia" w:cs="黑体" w:asciiTheme="minorEastAsia" w:hAnsiTheme="minorEastAsia"/>
                <w:bCs/>
                <w:color w:val="auto"/>
                <w:szCs w:val="21"/>
                <w:highlight w:val="none"/>
              </w:rPr>
              <w:t>的</w:t>
            </w:r>
            <w:r>
              <w:rPr>
                <w:rFonts w:hint="eastAsia" w:cs="黑体" w:asciiTheme="minorEastAsia" w:hAnsiTheme="minorEastAsia"/>
                <w:bCs/>
                <w:color w:val="auto"/>
                <w:szCs w:val="21"/>
                <w:highlight w:val="none"/>
                <w:lang w:eastAsia="zh-CN"/>
              </w:rPr>
              <w:t>获奖证书</w:t>
            </w:r>
            <w:r>
              <w:rPr>
                <w:rFonts w:hint="eastAsia" w:cs="黑体" w:asciiTheme="minorEastAsia" w:hAnsiTheme="minorEastAsia"/>
                <w:bCs/>
                <w:color w:val="auto"/>
                <w:szCs w:val="21"/>
                <w:highlight w:val="none"/>
              </w:rPr>
              <w:t>得</w:t>
            </w:r>
            <w:r>
              <w:rPr>
                <w:rFonts w:hint="eastAsia" w:cs="黑体" w:asciiTheme="minorEastAsia" w:hAnsiTheme="minorEastAsia"/>
                <w:bCs/>
                <w:color w:val="auto"/>
                <w:szCs w:val="21"/>
                <w:highlight w:val="none"/>
                <w:lang w:val="en-US" w:eastAsia="zh-CN"/>
              </w:rPr>
              <w:t>0.5</w:t>
            </w:r>
            <w:r>
              <w:rPr>
                <w:rFonts w:hint="eastAsia" w:cs="黑体" w:asciiTheme="minorEastAsia" w:hAnsiTheme="minorEastAsia"/>
                <w:bCs/>
                <w:color w:val="auto"/>
                <w:szCs w:val="21"/>
                <w:highlight w:val="none"/>
              </w:rPr>
              <w:t>分。本项目累计得分最多不超过</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分。</w:t>
            </w:r>
          </w:p>
          <w:p>
            <w:pPr>
              <w:autoSpaceDE w:val="0"/>
              <w:autoSpaceDN w:val="0"/>
              <w:adjustRightInd w:val="0"/>
              <w:jc w:val="left"/>
              <w:rPr>
                <w:rFonts w:ascii="Times New Roman" w:hAnsi="Times New Roman"/>
                <w:color w:val="auto"/>
                <w:szCs w:val="21"/>
                <w:highlight w:val="none"/>
              </w:rPr>
            </w:pPr>
            <w:r>
              <w:rPr>
                <w:rFonts w:hint="eastAsia" w:ascii="Times New Roman" w:hAnsi="Times New Roman"/>
                <w:color w:val="auto"/>
                <w:szCs w:val="21"/>
                <w:highlight w:val="none"/>
              </w:rPr>
              <w:t>（注：提供行政主管部门</w:t>
            </w:r>
            <w:bookmarkStart w:id="190" w:name="OLE_LINK5"/>
            <w:r>
              <w:rPr>
                <w:rFonts w:hint="eastAsia" w:ascii="Times New Roman" w:hAnsi="Times New Roman"/>
                <w:color w:val="auto"/>
                <w:szCs w:val="21"/>
                <w:highlight w:val="none"/>
              </w:rPr>
              <w:t>颁发</w:t>
            </w:r>
            <w:bookmarkEnd w:id="190"/>
            <w:r>
              <w:rPr>
                <w:rFonts w:hint="eastAsia" w:ascii="Times New Roman" w:hAnsi="Times New Roman"/>
                <w:color w:val="auto"/>
                <w:szCs w:val="21"/>
                <w:highlight w:val="none"/>
              </w:rPr>
              <w:t>的环卫保洁或环卫公厕或绿化管护或河道管护等获奖证书复印件或相关文件复印件）</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3</w:t>
            </w:r>
          </w:p>
        </w:tc>
        <w:tc>
          <w:tcPr>
            <w:tcW w:w="1122" w:type="dxa"/>
            <w:shd w:val="clear" w:color="auto" w:fill="auto"/>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企业业绩6%</w:t>
            </w:r>
          </w:p>
        </w:tc>
        <w:tc>
          <w:tcPr>
            <w:tcW w:w="709" w:type="dxa"/>
            <w:shd w:val="clear" w:color="auto" w:fill="auto"/>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6分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（1）2018年1月1日至投标截止时间，每有一个公共区域环卫保洁类似业绩，得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分，最多得</w:t>
            </w: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（2）2018年1月1日至投标截止时间，每有一个环卫公厕类似业绩，得0.</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5分，最多得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（3）2018年1月1日至投标截止时间，每有一个绿化管护类似业绩，得0.</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5分，最多得</w:t>
            </w:r>
            <w:r>
              <w:rPr>
                <w:rFonts w:hint="eastAsia" w:cs="黑体" w:asciiTheme="minorEastAsia" w:hAnsiTheme="minorEastAsia"/>
                <w:bCs/>
                <w:color w:val="auto"/>
                <w:szCs w:val="21"/>
                <w:highlight w:val="none"/>
                <w:lang w:val="en-US" w:eastAsia="zh-CN"/>
              </w:rPr>
              <w:t>0.5</w:t>
            </w:r>
            <w:r>
              <w:rPr>
                <w:rFonts w:hint="eastAsia" w:cs="黑体" w:asciiTheme="minorEastAsia" w:hAnsiTheme="minorEastAsia"/>
                <w:bCs/>
                <w:color w:val="auto"/>
                <w:szCs w:val="21"/>
                <w:highlight w:val="none"/>
              </w:rPr>
              <w:t>分。</w:t>
            </w:r>
          </w:p>
          <w:p>
            <w:pPr>
              <w:pStyle w:val="2"/>
              <w:rPr>
                <w:rFonts w:hint="default" w:eastAsia="宋体"/>
                <w:color w:val="auto"/>
                <w:highlight w:val="none"/>
                <w:lang w:val="en-US" w:eastAsia="zh-CN"/>
              </w:rPr>
            </w:pP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2018年1月1日至投标截止时间，每有一个</w:t>
            </w:r>
            <w:r>
              <w:rPr>
                <w:rFonts w:hint="eastAsia" w:cs="黑体" w:asciiTheme="minorEastAsia" w:hAnsiTheme="minorEastAsia"/>
                <w:bCs/>
                <w:color w:val="auto"/>
                <w:szCs w:val="21"/>
                <w:highlight w:val="none"/>
                <w:lang w:eastAsia="zh-CN"/>
              </w:rPr>
              <w:t>河道</w:t>
            </w:r>
            <w:r>
              <w:rPr>
                <w:rFonts w:hint="eastAsia" w:cs="黑体" w:asciiTheme="minorEastAsia" w:hAnsiTheme="minorEastAsia"/>
                <w:bCs/>
                <w:color w:val="auto"/>
                <w:szCs w:val="21"/>
                <w:highlight w:val="none"/>
              </w:rPr>
              <w:t>管护类似业绩，得0.</w:t>
            </w:r>
            <w:r>
              <w:rPr>
                <w:rFonts w:hint="eastAsia" w:cs="黑体" w:asciiTheme="minorEastAsia" w:hAnsiTheme="minorEastAsia"/>
                <w:bCs/>
                <w:color w:val="auto"/>
                <w:szCs w:val="21"/>
                <w:highlight w:val="none"/>
                <w:lang w:val="en-US" w:eastAsia="zh-CN"/>
              </w:rPr>
              <w:t>2</w:t>
            </w:r>
            <w:r>
              <w:rPr>
                <w:rFonts w:hint="eastAsia" w:cs="黑体" w:asciiTheme="minorEastAsia" w:hAnsiTheme="minorEastAsia"/>
                <w:bCs/>
                <w:color w:val="auto"/>
                <w:szCs w:val="21"/>
                <w:highlight w:val="none"/>
              </w:rPr>
              <w:t>5分，最多得</w:t>
            </w:r>
            <w:r>
              <w:rPr>
                <w:rFonts w:hint="eastAsia" w:cs="黑体" w:asciiTheme="minorEastAsia" w:hAnsiTheme="minorEastAsia"/>
                <w:bCs/>
                <w:color w:val="auto"/>
                <w:szCs w:val="21"/>
                <w:highlight w:val="none"/>
                <w:lang w:val="en-US" w:eastAsia="zh-CN"/>
              </w:rPr>
              <w:t>0.5</w:t>
            </w:r>
            <w:r>
              <w:rPr>
                <w:rFonts w:hint="eastAsia" w:cs="黑体" w:asciiTheme="minorEastAsia" w:hAnsiTheme="minorEastAsia"/>
                <w:bCs/>
                <w:color w:val="auto"/>
                <w:szCs w:val="21"/>
                <w:highlight w:val="none"/>
              </w:rPr>
              <w:t>分。</w:t>
            </w:r>
          </w:p>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注：（1）投标人须提供合同复印件或中标通知书复印件（加盖公章）。同一合同内如有环卫保洁、公厕、绿化时可同时计分。</w:t>
            </w:r>
          </w:p>
          <w:p>
            <w:pPr>
              <w:rPr>
                <w:rFonts w:ascii="Times New Roman" w:hAnsi="Times New Roman"/>
                <w:color w:val="auto"/>
                <w:szCs w:val="24"/>
                <w:highlight w:val="none"/>
              </w:rPr>
            </w:pP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4</w:t>
            </w:r>
          </w:p>
        </w:tc>
        <w:tc>
          <w:tcPr>
            <w:tcW w:w="1122" w:type="dxa"/>
            <w:shd w:val="clear" w:color="auto" w:fill="auto"/>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人员配置方案10%</w:t>
            </w:r>
          </w:p>
        </w:tc>
        <w:tc>
          <w:tcPr>
            <w:tcW w:w="709" w:type="dxa"/>
            <w:shd w:val="clear" w:color="auto" w:fill="auto"/>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10分</w:t>
            </w:r>
          </w:p>
        </w:tc>
        <w:tc>
          <w:tcPr>
            <w:tcW w:w="4961" w:type="dxa"/>
            <w:vAlign w:val="center"/>
          </w:tcPr>
          <w:p>
            <w:pPr>
              <w:rPr>
                <w:rFonts w:ascii="Times New Roman" w:hAnsi="Times New Roman"/>
                <w:color w:val="auto"/>
                <w:szCs w:val="24"/>
                <w:highlight w:val="none"/>
              </w:rPr>
            </w:pPr>
            <w:r>
              <w:rPr>
                <w:rFonts w:hint="eastAsia" w:ascii="Times New Roman" w:hAnsi="Times New Roman"/>
                <w:color w:val="auto"/>
                <w:szCs w:val="24"/>
                <w:highlight w:val="none"/>
              </w:rPr>
              <w:t>1.项目经理具有安全生产培训证书或安全培训合格证书得1分</w:t>
            </w:r>
            <w:r>
              <w:rPr>
                <w:rFonts w:hint="eastAsia" w:ascii="Times New Roman" w:hAnsi="Times New Roman"/>
                <w:color w:val="auto"/>
                <w:szCs w:val="24"/>
                <w:highlight w:val="none"/>
                <w:lang w:eastAsia="zh-CN"/>
              </w:rPr>
              <w:t>。</w:t>
            </w:r>
          </w:p>
          <w:p>
            <w:pPr>
              <w:rPr>
                <w:rFonts w:ascii="Times New Roman" w:hAnsi="Times New Roman"/>
                <w:color w:val="auto"/>
                <w:szCs w:val="24"/>
                <w:highlight w:val="none"/>
              </w:rPr>
            </w:pPr>
            <w:r>
              <w:rPr>
                <w:rFonts w:hint="eastAsia" w:ascii="Times New Roman" w:hAnsi="Times New Roman"/>
                <w:color w:val="auto"/>
                <w:szCs w:val="24"/>
                <w:highlight w:val="none"/>
              </w:rPr>
              <w:t>2.项目经理具有环卫作业类似项目经验2年（含）得1分，每增加1年加0.5分，最多得2分。</w:t>
            </w:r>
          </w:p>
          <w:p>
            <w:pPr>
              <w:autoSpaceDE w:val="0"/>
              <w:autoSpaceDN w:val="0"/>
              <w:adjustRightInd w:val="0"/>
              <w:jc w:val="left"/>
              <w:rPr>
                <w:rFonts w:ascii="Times New Roman" w:hAnsi="Times New Roman"/>
                <w:color w:val="auto"/>
                <w:szCs w:val="24"/>
                <w:highlight w:val="none"/>
              </w:rPr>
            </w:pPr>
            <w:r>
              <w:rPr>
                <w:rFonts w:hint="eastAsia" w:ascii="Times New Roman" w:hAnsi="Times New Roman"/>
                <w:color w:val="auto"/>
                <w:szCs w:val="24"/>
                <w:highlight w:val="none"/>
              </w:rPr>
              <w:t>3、拟派管理人员（项目经理除外）具有安全生产培训证书或安全培训合格证书，有1个得0.5分，最多得2分。</w:t>
            </w:r>
          </w:p>
          <w:p>
            <w:pPr>
              <w:spacing w:line="400" w:lineRule="exact"/>
              <w:rPr>
                <w:rFonts w:hint="eastAsia" w:cs="黑体" w:asciiTheme="minorEastAsia" w:hAnsiTheme="minorEastAsia"/>
                <w:bCs/>
                <w:color w:val="auto"/>
                <w:szCs w:val="21"/>
                <w:highlight w:val="none"/>
              </w:rPr>
            </w:pPr>
            <w:r>
              <w:rPr>
                <w:rFonts w:hint="eastAsia" w:ascii="Times New Roman" w:hAnsi="Times New Roman"/>
                <w:color w:val="auto"/>
                <w:szCs w:val="24"/>
                <w:highlight w:val="none"/>
              </w:rPr>
              <w:t>4、</w:t>
            </w:r>
            <w:r>
              <w:rPr>
                <w:rFonts w:hint="eastAsia" w:cs="黑体" w:asciiTheme="minorEastAsia" w:hAnsiTheme="minorEastAsia"/>
                <w:bCs/>
                <w:color w:val="auto"/>
                <w:szCs w:val="21"/>
                <w:highlight w:val="none"/>
              </w:rPr>
              <w:t>拟派绿化管护技术负责人</w:t>
            </w:r>
            <w:r>
              <w:rPr>
                <w:rFonts w:hint="eastAsia" w:cs="黑体" w:asciiTheme="minorEastAsia" w:hAnsiTheme="minorEastAsia"/>
                <w:bCs/>
                <w:color w:val="auto"/>
                <w:szCs w:val="21"/>
                <w:highlight w:val="none"/>
                <w:lang w:eastAsia="zh-CN"/>
              </w:rPr>
              <w:t>每有一人</w:t>
            </w:r>
            <w:r>
              <w:rPr>
                <w:rFonts w:hint="eastAsia" w:cs="黑体" w:asciiTheme="minorEastAsia" w:hAnsiTheme="minorEastAsia"/>
                <w:bCs/>
                <w:color w:val="auto"/>
                <w:szCs w:val="21"/>
                <w:highlight w:val="none"/>
              </w:rPr>
              <w:t>具有园林绿化相关专业中级职称得</w:t>
            </w:r>
            <w:r>
              <w:rPr>
                <w:rFonts w:hint="eastAsia" w:cs="黑体" w:asciiTheme="minorEastAsia" w:hAnsiTheme="minorEastAsia"/>
                <w:bCs/>
                <w:color w:val="auto"/>
                <w:szCs w:val="21"/>
                <w:highlight w:val="none"/>
                <w:lang w:val="en-US" w:eastAsia="zh-CN"/>
              </w:rPr>
              <w:t>0.5</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eastAsia="zh-CN"/>
              </w:rPr>
              <w:t>；每有一人</w:t>
            </w:r>
            <w:r>
              <w:rPr>
                <w:rFonts w:hint="eastAsia" w:cs="黑体" w:asciiTheme="minorEastAsia" w:hAnsiTheme="minorEastAsia"/>
                <w:bCs/>
                <w:color w:val="auto"/>
                <w:szCs w:val="21"/>
                <w:highlight w:val="none"/>
              </w:rPr>
              <w:t>具有园林绿化相关专业高级及以上职称得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分，最多得2分。</w:t>
            </w:r>
          </w:p>
          <w:p>
            <w:pPr>
              <w:autoSpaceDE w:val="0"/>
              <w:autoSpaceDN w:val="0"/>
              <w:adjustRightInd w:val="0"/>
              <w:jc w:val="left"/>
              <w:rPr>
                <w:rFonts w:ascii="Times New Roman" w:hAnsi="Times New Roman"/>
                <w:color w:val="auto"/>
                <w:szCs w:val="24"/>
                <w:highlight w:val="none"/>
              </w:rPr>
            </w:pPr>
            <w:r>
              <w:rPr>
                <w:rFonts w:hint="eastAsia" w:ascii="Times New Roman" w:hAnsi="Times New Roman"/>
                <w:color w:val="auto"/>
                <w:szCs w:val="24"/>
                <w:highlight w:val="none"/>
              </w:rPr>
              <w:t>5、拟派公厕维修人员具有电工证的得1分。</w:t>
            </w:r>
          </w:p>
          <w:p>
            <w:pPr>
              <w:autoSpaceDE w:val="0"/>
              <w:autoSpaceDN w:val="0"/>
              <w:adjustRightInd w:val="0"/>
              <w:jc w:val="left"/>
              <w:rPr>
                <w:rFonts w:ascii="Times New Roman" w:hAnsi="Times New Roman"/>
                <w:color w:val="auto"/>
                <w:szCs w:val="24"/>
                <w:highlight w:val="none"/>
              </w:rPr>
            </w:pPr>
            <w:r>
              <w:rPr>
                <w:rFonts w:hint="eastAsia" w:ascii="Times New Roman" w:hAnsi="Times New Roman"/>
                <w:color w:val="auto"/>
                <w:szCs w:val="24"/>
                <w:highlight w:val="none"/>
              </w:rPr>
              <w:t>6、在满足人员数量基本配置的基础上，每增加1名普扫环卫工人或绿化工人加0.2分，最多加2分。</w:t>
            </w:r>
          </w:p>
          <w:p>
            <w:pPr>
              <w:spacing w:line="400" w:lineRule="exact"/>
              <w:rPr>
                <w:rFonts w:hint="eastAsia" w:cs="黑体" w:asciiTheme="minorEastAsia" w:hAnsiTheme="minorEastAsia"/>
                <w:bCs/>
                <w:color w:val="auto"/>
                <w:szCs w:val="21"/>
                <w:highlight w:val="none"/>
                <w:lang w:val="en-US" w:eastAsia="zh-CN"/>
              </w:rPr>
            </w:pPr>
            <w:r>
              <w:rPr>
                <w:rFonts w:hint="eastAsia" w:cs="黑体" w:asciiTheme="minorEastAsia" w:hAnsiTheme="minorEastAsia"/>
                <w:bCs/>
                <w:color w:val="auto"/>
                <w:szCs w:val="21"/>
                <w:highlight w:val="none"/>
              </w:rPr>
              <w:t>注：以上人员提供人员配置情况表，其中1、3、4</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lang w:val="en-US" w:eastAsia="zh-CN"/>
              </w:rPr>
              <w:t>5</w:t>
            </w:r>
            <w:r>
              <w:rPr>
                <w:rFonts w:hint="eastAsia" w:cs="黑体" w:asciiTheme="minorEastAsia" w:hAnsiTheme="minorEastAsia"/>
                <w:bCs/>
                <w:color w:val="auto"/>
                <w:szCs w:val="21"/>
                <w:highlight w:val="none"/>
              </w:rPr>
              <w:t>项</w:t>
            </w:r>
            <w:r>
              <w:rPr>
                <w:rFonts w:hint="eastAsia" w:cs="黑体" w:asciiTheme="minorEastAsia" w:hAnsiTheme="minorEastAsia"/>
                <w:bCs/>
                <w:color w:val="auto"/>
                <w:szCs w:val="21"/>
                <w:highlight w:val="none"/>
                <w:lang w:eastAsia="zh-CN"/>
              </w:rPr>
              <w:t>需</w:t>
            </w:r>
            <w:r>
              <w:rPr>
                <w:rFonts w:hint="eastAsia" w:cs="黑体" w:asciiTheme="minorEastAsia" w:hAnsiTheme="minorEastAsia"/>
                <w:bCs/>
                <w:color w:val="auto"/>
                <w:szCs w:val="21"/>
                <w:highlight w:val="none"/>
              </w:rPr>
              <w:t>提供</w:t>
            </w:r>
            <w:r>
              <w:rPr>
                <w:rFonts w:hint="eastAsia" w:cs="黑体" w:asciiTheme="minorEastAsia" w:hAnsiTheme="minorEastAsia"/>
                <w:bCs/>
                <w:color w:val="auto"/>
                <w:szCs w:val="21"/>
                <w:highlight w:val="none"/>
                <w:lang w:eastAsia="zh-CN"/>
              </w:rPr>
              <w:t>人员证书和在职证明相关资料</w:t>
            </w:r>
            <w:r>
              <w:rPr>
                <w:rFonts w:hint="eastAsia" w:cs="黑体" w:asciiTheme="minorEastAsia" w:hAnsiTheme="minorEastAsia"/>
                <w:bCs/>
                <w:color w:val="auto"/>
                <w:szCs w:val="21"/>
                <w:highlight w:val="none"/>
              </w:rPr>
              <w:t>复印件并加盖</w:t>
            </w:r>
            <w:r>
              <w:rPr>
                <w:rFonts w:hint="eastAsia" w:cs="黑体" w:asciiTheme="minorEastAsia" w:hAnsiTheme="minorEastAsia"/>
                <w:bCs/>
                <w:color w:val="auto"/>
                <w:szCs w:val="21"/>
                <w:highlight w:val="none"/>
                <w:lang w:eastAsia="zh-CN"/>
              </w:rPr>
              <w:t>公章，第</w:t>
            </w:r>
            <w:r>
              <w:rPr>
                <w:rFonts w:hint="eastAsia" w:cs="黑体" w:asciiTheme="minorEastAsia" w:hAnsiTheme="minorEastAsia"/>
                <w:bCs/>
                <w:color w:val="auto"/>
                <w:szCs w:val="21"/>
                <w:highlight w:val="none"/>
                <w:lang w:val="en-US" w:eastAsia="zh-CN"/>
              </w:rPr>
              <w:t>2项提供投标单位及业主单位出具的相关证明材料复印件并加盖公章。</w:t>
            </w:r>
          </w:p>
          <w:p>
            <w:pPr>
              <w:autoSpaceDE w:val="0"/>
              <w:autoSpaceDN w:val="0"/>
              <w:adjustRightInd w:val="0"/>
              <w:jc w:val="left"/>
              <w:rPr>
                <w:rFonts w:ascii="Times New Roman" w:hAnsi="Times New Roman"/>
                <w:color w:val="auto"/>
                <w:szCs w:val="24"/>
                <w:highlight w:val="none"/>
              </w:rPr>
            </w:pP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6" w:hRule="atLeast"/>
          <w:jc w:val="center"/>
        </w:trPr>
        <w:tc>
          <w:tcPr>
            <w:tcW w:w="770" w:type="dxa"/>
            <w:vAlign w:val="center"/>
          </w:tcPr>
          <w:p>
            <w:pPr>
              <w:rPr>
                <w:rFonts w:hint="eastAsia" w:ascii="Times New Roman" w:hAnsi="Times New Roman"/>
                <w:color w:val="auto"/>
                <w:szCs w:val="24"/>
                <w:highlight w:val="none"/>
              </w:rPr>
            </w:pPr>
            <w:r>
              <w:rPr>
                <w:rFonts w:hint="eastAsia" w:ascii="Times New Roman" w:hAnsi="Times New Roman"/>
                <w:color w:val="auto"/>
                <w:szCs w:val="24"/>
                <w:highlight w:val="none"/>
              </w:rPr>
              <w:t>5</w:t>
            </w:r>
          </w:p>
        </w:tc>
        <w:tc>
          <w:tcPr>
            <w:tcW w:w="1122" w:type="dxa"/>
            <w:shd w:val="clear" w:color="auto" w:fill="auto"/>
            <w:vAlign w:val="center"/>
          </w:tcPr>
          <w:p>
            <w:pPr>
              <w:jc w:val="center"/>
              <w:rPr>
                <w:rFonts w:hint="eastAsia" w:ascii="Times New Roman" w:hAnsi="Times New Roman"/>
                <w:color w:val="auto"/>
                <w:szCs w:val="24"/>
                <w:highlight w:val="none"/>
              </w:rPr>
            </w:pPr>
            <w:r>
              <w:rPr>
                <w:rFonts w:hint="eastAsia" w:ascii="Times New Roman" w:hAnsi="Times New Roman"/>
                <w:color w:val="auto"/>
                <w:szCs w:val="24"/>
                <w:highlight w:val="none"/>
              </w:rPr>
              <w:t>设施设备配置方案</w:t>
            </w:r>
            <w:r>
              <w:rPr>
                <w:rFonts w:hint="eastAsia" w:ascii="Times New Roman" w:hAnsi="Times New Roman"/>
                <w:color w:val="auto"/>
                <w:szCs w:val="24"/>
                <w:highlight w:val="none"/>
                <w:lang w:val="en-US" w:eastAsia="zh-CN"/>
              </w:rPr>
              <w:t>12</w:t>
            </w:r>
            <w:r>
              <w:rPr>
                <w:rFonts w:hint="eastAsia" w:ascii="Times New Roman" w:hAnsi="Times New Roman"/>
                <w:color w:val="auto"/>
                <w:szCs w:val="24"/>
                <w:highlight w:val="none"/>
              </w:rPr>
              <w:t>%</w:t>
            </w:r>
          </w:p>
        </w:tc>
        <w:tc>
          <w:tcPr>
            <w:tcW w:w="709" w:type="dxa"/>
            <w:shd w:val="clear" w:color="auto" w:fill="auto"/>
            <w:vAlign w:val="center"/>
          </w:tcPr>
          <w:p>
            <w:pPr>
              <w:jc w:val="center"/>
              <w:rPr>
                <w:rFonts w:hint="eastAsia" w:ascii="Times New Roman" w:hAnsi="Times New Roman"/>
                <w:color w:val="auto"/>
                <w:szCs w:val="24"/>
                <w:highlight w:val="none"/>
              </w:rPr>
            </w:pPr>
            <w:r>
              <w:rPr>
                <w:rFonts w:hint="eastAsia" w:ascii="Times New Roman" w:hAnsi="Times New Roman"/>
                <w:color w:val="auto"/>
                <w:szCs w:val="24"/>
                <w:highlight w:val="none"/>
                <w:lang w:val="en-US" w:eastAsia="zh-CN"/>
              </w:rPr>
              <w:t>12</w:t>
            </w:r>
            <w:r>
              <w:rPr>
                <w:rFonts w:hint="eastAsia" w:ascii="Times New Roman" w:hAnsi="Times New Roman"/>
                <w:color w:val="auto"/>
                <w:szCs w:val="24"/>
                <w:highlight w:val="none"/>
              </w:rPr>
              <w:t>分</w:t>
            </w:r>
          </w:p>
        </w:tc>
        <w:tc>
          <w:tcPr>
            <w:tcW w:w="4961" w:type="dxa"/>
            <w:vAlign w:val="center"/>
          </w:tcPr>
          <w:p>
            <w:pPr>
              <w:spacing w:line="400" w:lineRule="exac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具体设施设备数量见《环卫保洁设施设备和人员数量表》、《绿化管护设施设备和人员数量表》。</w:t>
            </w:r>
          </w:p>
          <w:p>
            <w:pPr>
              <w:numPr>
                <w:ilvl w:val="0"/>
                <w:numId w:val="0"/>
              </w:numPr>
              <w:spacing w:line="400" w:lineRule="exact"/>
              <w:rPr>
                <w:rFonts w:hint="eastAsia" w:cs="黑体" w:asciiTheme="minorEastAsia" w:hAnsiTheme="minorEastAsia"/>
                <w:bCs/>
                <w:color w:val="auto"/>
                <w:szCs w:val="21"/>
                <w:highlight w:val="none"/>
                <w:lang w:eastAsia="zh-CN"/>
              </w:rPr>
            </w:pP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lang w:eastAsia="zh-CN"/>
              </w:rPr>
              <w:t>投标人提供承诺函：投标人所提供的车辆管理机关登记挂牌车辆中新能源车辆所占比例达到</w:t>
            </w:r>
            <w:r>
              <w:rPr>
                <w:rFonts w:hint="eastAsia" w:cs="黑体" w:asciiTheme="minorEastAsia" w:hAnsiTheme="minorEastAsia"/>
                <w:bCs/>
                <w:color w:val="auto"/>
                <w:szCs w:val="21"/>
                <w:highlight w:val="none"/>
                <w:lang w:val="en-US" w:eastAsia="zh-CN"/>
              </w:rPr>
              <w:t>6</w:t>
            </w:r>
            <w:r>
              <w:rPr>
                <w:rFonts w:hint="eastAsia" w:cs="黑体" w:asciiTheme="minorEastAsia" w:hAnsiTheme="minorEastAsia"/>
                <w:bCs/>
                <w:color w:val="auto"/>
                <w:szCs w:val="21"/>
                <w:highlight w:val="none"/>
              </w:rPr>
              <w:t>0%（含）以上的得</w:t>
            </w: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lang w:val="en-US" w:eastAsia="zh-CN"/>
              </w:rPr>
              <w:t>7</w:t>
            </w:r>
            <w:r>
              <w:rPr>
                <w:rFonts w:hint="eastAsia" w:cs="黑体" w:asciiTheme="minorEastAsia" w:hAnsiTheme="minorEastAsia"/>
                <w:bCs/>
                <w:color w:val="auto"/>
                <w:szCs w:val="21"/>
                <w:highlight w:val="none"/>
              </w:rPr>
              <w:t>0%（含）以上</w:t>
            </w:r>
            <w:r>
              <w:rPr>
                <w:rFonts w:hint="eastAsia" w:cs="黑体" w:asciiTheme="minorEastAsia" w:hAnsiTheme="minorEastAsia"/>
                <w:bCs/>
                <w:color w:val="auto"/>
                <w:szCs w:val="21"/>
                <w:highlight w:val="none"/>
                <w:lang w:eastAsia="zh-CN"/>
              </w:rPr>
              <w:t>的</w:t>
            </w:r>
            <w:r>
              <w:rPr>
                <w:rFonts w:hint="eastAsia" w:cs="黑体" w:asciiTheme="minorEastAsia" w:hAnsiTheme="minorEastAsia"/>
                <w:bCs/>
                <w:color w:val="auto"/>
                <w:szCs w:val="21"/>
                <w:highlight w:val="none"/>
              </w:rPr>
              <w:t>得</w:t>
            </w:r>
            <w:r>
              <w:rPr>
                <w:rFonts w:hint="eastAsia" w:cs="黑体" w:asciiTheme="minorEastAsia" w:hAnsiTheme="minorEastAsia"/>
                <w:bCs/>
                <w:color w:val="auto"/>
                <w:szCs w:val="21"/>
                <w:highlight w:val="none"/>
                <w:lang w:val="en-US" w:eastAsia="zh-CN"/>
              </w:rPr>
              <w:t>5</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val="en-US" w:eastAsia="zh-CN"/>
              </w:rPr>
              <w:t>8</w:t>
            </w:r>
            <w:r>
              <w:rPr>
                <w:rFonts w:hint="eastAsia" w:cs="黑体" w:asciiTheme="minorEastAsia" w:hAnsiTheme="minorEastAsia"/>
                <w:bCs/>
                <w:color w:val="auto"/>
                <w:szCs w:val="21"/>
                <w:highlight w:val="none"/>
              </w:rPr>
              <w:t>0%（含）以上</w:t>
            </w:r>
            <w:r>
              <w:rPr>
                <w:rFonts w:hint="eastAsia" w:cs="黑体" w:asciiTheme="minorEastAsia" w:hAnsiTheme="minorEastAsia"/>
                <w:bCs/>
                <w:color w:val="auto"/>
                <w:szCs w:val="21"/>
                <w:highlight w:val="none"/>
                <w:lang w:eastAsia="zh-CN"/>
              </w:rPr>
              <w:t>的</w:t>
            </w:r>
            <w:r>
              <w:rPr>
                <w:rFonts w:hint="eastAsia" w:cs="黑体" w:asciiTheme="minorEastAsia" w:hAnsiTheme="minorEastAsia"/>
                <w:bCs/>
                <w:color w:val="auto"/>
                <w:szCs w:val="21"/>
                <w:highlight w:val="none"/>
              </w:rPr>
              <w:t>得</w:t>
            </w:r>
            <w:r>
              <w:rPr>
                <w:rFonts w:hint="eastAsia" w:cs="黑体" w:asciiTheme="minorEastAsia" w:hAnsiTheme="minorEastAsia"/>
                <w:bCs/>
                <w:color w:val="auto"/>
                <w:szCs w:val="21"/>
                <w:highlight w:val="none"/>
                <w:lang w:val="en-US" w:eastAsia="zh-CN"/>
              </w:rPr>
              <w:t>6</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lang w:val="en-US" w:eastAsia="zh-CN"/>
              </w:rPr>
              <w:t>9</w:t>
            </w:r>
            <w:r>
              <w:rPr>
                <w:rFonts w:hint="eastAsia" w:cs="黑体" w:asciiTheme="minorEastAsia" w:hAnsiTheme="minorEastAsia"/>
                <w:bCs/>
                <w:color w:val="auto"/>
                <w:szCs w:val="21"/>
                <w:highlight w:val="none"/>
              </w:rPr>
              <w:t>0%（含）以上</w:t>
            </w:r>
            <w:r>
              <w:rPr>
                <w:rFonts w:hint="eastAsia" w:cs="黑体" w:asciiTheme="minorEastAsia" w:hAnsiTheme="minorEastAsia"/>
                <w:bCs/>
                <w:color w:val="auto"/>
                <w:szCs w:val="21"/>
                <w:highlight w:val="none"/>
                <w:lang w:eastAsia="zh-CN"/>
              </w:rPr>
              <w:t>的</w:t>
            </w:r>
            <w:r>
              <w:rPr>
                <w:rFonts w:hint="eastAsia" w:cs="黑体" w:asciiTheme="minorEastAsia" w:hAnsiTheme="minorEastAsia"/>
                <w:bCs/>
                <w:color w:val="auto"/>
                <w:szCs w:val="21"/>
                <w:highlight w:val="none"/>
              </w:rPr>
              <w:t>得</w:t>
            </w:r>
            <w:r>
              <w:rPr>
                <w:rFonts w:hint="eastAsia" w:cs="黑体" w:asciiTheme="minorEastAsia" w:hAnsiTheme="minorEastAsia"/>
                <w:bCs/>
                <w:color w:val="auto"/>
                <w:szCs w:val="21"/>
                <w:highlight w:val="none"/>
                <w:lang w:val="en-US" w:eastAsia="zh-CN"/>
              </w:rPr>
              <w:t>7</w:t>
            </w:r>
            <w:r>
              <w:rPr>
                <w:rFonts w:hint="eastAsia" w:cs="黑体" w:asciiTheme="minorEastAsia" w:hAnsiTheme="minorEastAsia"/>
                <w:bCs/>
                <w:color w:val="auto"/>
                <w:szCs w:val="21"/>
                <w:highlight w:val="none"/>
              </w:rPr>
              <w:t>分</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lang w:val="en-US" w:eastAsia="zh-CN"/>
              </w:rPr>
              <w:t>100%的得8分。（不同时计分，本项最多得8分）</w:t>
            </w:r>
          </w:p>
          <w:p>
            <w:pPr>
              <w:spacing w:line="400" w:lineRule="exact"/>
              <w:rPr>
                <w:rFonts w:hint="eastAsia"/>
                <w:color w:val="auto"/>
                <w:highlight w:val="none"/>
                <w:lang w:eastAsia="zh-CN"/>
              </w:rPr>
            </w:pPr>
            <w:r>
              <w:rPr>
                <w:rFonts w:hint="eastAsia" w:cs="黑体" w:asciiTheme="minorEastAsia" w:hAnsiTheme="minorEastAsia"/>
                <w:bCs/>
                <w:color w:val="auto"/>
                <w:szCs w:val="21"/>
                <w:highlight w:val="none"/>
              </w:rPr>
              <w:t>2、</w:t>
            </w:r>
            <w:r>
              <w:rPr>
                <w:rFonts w:hint="eastAsia" w:cs="黑体" w:asciiTheme="minorEastAsia" w:hAnsiTheme="minorEastAsia"/>
                <w:bCs/>
                <w:color w:val="auto"/>
                <w:szCs w:val="21"/>
                <w:highlight w:val="none"/>
                <w:lang w:eastAsia="zh-CN"/>
              </w:rPr>
              <w:t>投标人提供承诺函：</w:t>
            </w:r>
            <w:r>
              <w:rPr>
                <w:rFonts w:hint="eastAsia" w:cs="黑体" w:asciiTheme="minorEastAsia" w:hAnsiTheme="minorEastAsia"/>
                <w:bCs/>
                <w:color w:val="auto"/>
                <w:szCs w:val="21"/>
                <w:highlight w:val="none"/>
              </w:rPr>
              <w:t>在满足设施设备基本配置的基础上，每增加1台</w:t>
            </w:r>
            <w:r>
              <w:rPr>
                <w:rFonts w:hint="eastAsia" w:cs="黑体" w:asciiTheme="minorEastAsia" w:hAnsiTheme="minorEastAsia"/>
                <w:bCs/>
                <w:color w:val="auto"/>
                <w:szCs w:val="21"/>
                <w:highlight w:val="none"/>
                <w:lang w:eastAsia="zh-CN"/>
              </w:rPr>
              <w:t>新能源</w:t>
            </w:r>
            <w:r>
              <w:rPr>
                <w:rFonts w:hint="eastAsia" w:cs="黑体" w:asciiTheme="minorEastAsia" w:hAnsiTheme="minorEastAsia"/>
                <w:bCs/>
                <w:color w:val="auto"/>
                <w:szCs w:val="21"/>
                <w:highlight w:val="none"/>
              </w:rPr>
              <w:t>垃圾压缩车（核定载质量≥5吨）或</w:t>
            </w:r>
            <w:r>
              <w:rPr>
                <w:rFonts w:hint="eastAsia" w:cs="黑体" w:asciiTheme="minorEastAsia" w:hAnsiTheme="minorEastAsia"/>
                <w:bCs/>
                <w:color w:val="auto"/>
                <w:szCs w:val="21"/>
                <w:highlight w:val="none"/>
                <w:lang w:eastAsia="zh-CN"/>
              </w:rPr>
              <w:t>新能源</w:t>
            </w:r>
            <w:r>
              <w:rPr>
                <w:rFonts w:hint="eastAsia" w:cs="黑体" w:asciiTheme="minorEastAsia" w:hAnsiTheme="minorEastAsia"/>
                <w:bCs/>
                <w:color w:val="auto"/>
                <w:szCs w:val="21"/>
                <w:highlight w:val="none"/>
              </w:rPr>
              <w:t>洒水车（核定载质量≥8吨）或</w:t>
            </w:r>
            <w:r>
              <w:rPr>
                <w:rFonts w:hint="eastAsia" w:cs="黑体" w:asciiTheme="minorEastAsia" w:hAnsiTheme="minorEastAsia"/>
                <w:bCs/>
                <w:color w:val="auto"/>
                <w:szCs w:val="21"/>
                <w:highlight w:val="none"/>
                <w:lang w:eastAsia="zh-CN"/>
              </w:rPr>
              <w:t>新能源</w:t>
            </w:r>
            <w:r>
              <w:rPr>
                <w:rFonts w:hint="eastAsia" w:cs="黑体" w:asciiTheme="minorEastAsia" w:hAnsiTheme="minorEastAsia"/>
                <w:bCs/>
                <w:color w:val="auto"/>
                <w:szCs w:val="21"/>
                <w:highlight w:val="none"/>
              </w:rPr>
              <w:t>多功能洗扫车（核定载质量≥4吨）得</w:t>
            </w:r>
            <w:r>
              <w:rPr>
                <w:rFonts w:hint="eastAsia" w:cs="黑体" w:asciiTheme="minorEastAsia" w:hAnsiTheme="minorEastAsia"/>
                <w:bCs/>
                <w:color w:val="auto"/>
                <w:szCs w:val="21"/>
                <w:highlight w:val="none"/>
                <w:lang w:val="en-US" w:eastAsia="zh-CN"/>
              </w:rPr>
              <w:t>1</w:t>
            </w:r>
            <w:r>
              <w:rPr>
                <w:rFonts w:hint="eastAsia" w:cs="黑体" w:asciiTheme="minorEastAsia" w:hAnsiTheme="minorEastAsia"/>
                <w:bCs/>
                <w:color w:val="auto"/>
                <w:szCs w:val="21"/>
                <w:highlight w:val="none"/>
              </w:rPr>
              <w:t>分，最多得</w:t>
            </w:r>
            <w:r>
              <w:rPr>
                <w:rFonts w:hint="eastAsia" w:cs="黑体" w:asciiTheme="minorEastAsia" w:hAnsiTheme="minorEastAsia"/>
                <w:bCs/>
                <w:color w:val="auto"/>
                <w:szCs w:val="21"/>
                <w:highlight w:val="none"/>
                <w:lang w:val="en-US" w:eastAsia="zh-CN"/>
              </w:rPr>
              <w:t>4</w:t>
            </w:r>
            <w:r>
              <w:rPr>
                <w:rFonts w:hint="eastAsia" w:cs="黑体" w:asciiTheme="minorEastAsia" w:hAnsiTheme="minorEastAsia"/>
                <w:bCs/>
                <w:color w:val="auto"/>
                <w:szCs w:val="21"/>
                <w:highlight w:val="none"/>
              </w:rPr>
              <w:t>分。</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（共同评审）</w:t>
            </w:r>
          </w:p>
          <w:p>
            <w:pPr>
              <w:autoSpaceDE w:val="0"/>
              <w:autoSpaceDN w:val="0"/>
              <w:adjustRightInd w:val="0"/>
              <w:jc w:val="center"/>
              <w:rPr>
                <w:rFonts w:ascii="宋体" w:hAnsi="Times New Roman" w:cs="宋体"/>
                <w:color w:val="auto"/>
                <w:kern w:val="0"/>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95" w:hRule="atLeast"/>
          <w:jc w:val="center"/>
        </w:trPr>
        <w:tc>
          <w:tcPr>
            <w:tcW w:w="770" w:type="dxa"/>
            <w:tcBorders>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6</w:t>
            </w:r>
          </w:p>
        </w:tc>
        <w:tc>
          <w:tcPr>
            <w:tcW w:w="1122" w:type="dxa"/>
            <w:tcBorders>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项目情况了解及分析5%</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5分</w:t>
            </w:r>
          </w:p>
        </w:tc>
        <w:tc>
          <w:tcPr>
            <w:tcW w:w="4961" w:type="dxa"/>
            <w:vAlign w:val="center"/>
          </w:tcPr>
          <w:p>
            <w:pPr>
              <w:rPr>
                <w:rFonts w:ascii="宋体" w:hAnsi="宋体" w:cs="宋体"/>
                <w:color w:val="auto"/>
                <w:szCs w:val="21"/>
                <w:highlight w:val="none"/>
              </w:rPr>
            </w:pPr>
            <w:r>
              <w:rPr>
                <w:rFonts w:hint="eastAsia" w:ascii="Times New Roman" w:hAnsi="Times New Roman"/>
                <w:color w:val="auto"/>
                <w:szCs w:val="21"/>
                <w:highlight w:val="none"/>
              </w:rPr>
              <w:t>对投标人提供项目情况了</w:t>
            </w:r>
            <w:r>
              <w:rPr>
                <w:rFonts w:hint="eastAsia" w:ascii="宋体" w:hAnsi="宋体" w:cs="宋体"/>
                <w:color w:val="auto"/>
                <w:szCs w:val="21"/>
                <w:highlight w:val="none"/>
              </w:rPr>
              <w:t>解及分析进行评价，包括1、项目作业标准了解分析，标准具体，清晰、明确；2、对作业范围了解分析，范围准确，</w:t>
            </w:r>
            <w:r>
              <w:rPr>
                <w:rFonts w:hint="eastAsia" w:ascii="宋体" w:hAnsi="宋体" w:cs="宋体"/>
                <w:color w:val="auto"/>
                <w:szCs w:val="21"/>
                <w:highlight w:val="none"/>
                <w:lang w:eastAsia="zh-CN"/>
              </w:rPr>
              <w:t>边界</w:t>
            </w:r>
            <w:r>
              <w:rPr>
                <w:rFonts w:hint="eastAsia" w:ascii="宋体" w:hAnsi="宋体" w:cs="宋体"/>
                <w:color w:val="auto"/>
                <w:szCs w:val="21"/>
                <w:highlight w:val="none"/>
              </w:rPr>
              <w:t>清楚；3、作业内容了解分析，内容完整，数据准确；4、对作业的重点分析了解，重点把握准确，理由清楚；5、作业难点分析到位准确，解决措施有效；</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完全满足上述要求且内容完善，符合所投包件实际情况，能够保障所投包件顺利实施的得5分。每缺少一项方案内容扣1分；方案中每有一处分析内容缺陷或不足的扣0.5分。</w:t>
            </w:r>
          </w:p>
          <w:p>
            <w:pPr>
              <w:autoSpaceDE w:val="0"/>
              <w:autoSpaceDN w:val="0"/>
              <w:adjustRightInd w:val="0"/>
              <w:jc w:val="left"/>
              <w:rPr>
                <w:rFonts w:ascii="宋体" w:hAnsi="Times New Roman" w:cs="宋体"/>
                <w:color w:val="auto"/>
                <w:kern w:val="0"/>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95" w:hRule="atLeast"/>
          <w:jc w:val="center"/>
        </w:trPr>
        <w:tc>
          <w:tcPr>
            <w:tcW w:w="770" w:type="dxa"/>
            <w:tcBorders>
              <w:top w:val="single" w:color="auto" w:sz="4" w:space="0"/>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7</w:t>
            </w:r>
          </w:p>
        </w:tc>
        <w:tc>
          <w:tcPr>
            <w:tcW w:w="1122" w:type="dxa"/>
            <w:tcBorders>
              <w:top w:val="single" w:color="auto" w:sz="4" w:space="0"/>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组织机构管理制度7%</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7分</w:t>
            </w:r>
          </w:p>
        </w:tc>
        <w:tc>
          <w:tcPr>
            <w:tcW w:w="4961" w:type="dxa"/>
            <w:vAlign w:val="center"/>
          </w:tcPr>
          <w:p>
            <w:pPr>
              <w:rPr>
                <w:rFonts w:ascii="宋体" w:hAnsi="宋体" w:cs="宋体"/>
                <w:color w:val="auto"/>
                <w:szCs w:val="21"/>
                <w:highlight w:val="none"/>
              </w:rPr>
            </w:pPr>
            <w:r>
              <w:rPr>
                <w:rFonts w:hint="eastAsia" w:ascii="宋体" w:hAnsi="宋体" w:cs="宋体"/>
                <w:color w:val="auto"/>
                <w:szCs w:val="21"/>
                <w:highlight w:val="none"/>
              </w:rPr>
              <w:t>对投标人组织机构管理制度进行评价，包括</w:t>
            </w:r>
            <w:r>
              <w:rPr>
                <w:rFonts w:ascii="宋体" w:hAnsi="宋体" w:cs="宋体"/>
                <w:color w:val="auto"/>
                <w:szCs w:val="21"/>
                <w:highlight w:val="none"/>
              </w:rPr>
              <w:t>①</w:t>
            </w:r>
            <w:r>
              <w:rPr>
                <w:rFonts w:hint="eastAsia" w:ascii="宋体" w:hAnsi="宋体" w:cs="宋体"/>
                <w:color w:val="auto"/>
                <w:szCs w:val="21"/>
                <w:highlight w:val="none"/>
              </w:rPr>
              <w:t>项目管理机构设置情况</w:t>
            </w:r>
            <w:r>
              <w:rPr>
                <w:rFonts w:ascii="宋体" w:hAnsi="宋体" w:cs="宋体"/>
                <w:color w:val="auto"/>
                <w:szCs w:val="21"/>
                <w:highlight w:val="none"/>
              </w:rPr>
              <w:t>②</w:t>
            </w:r>
            <w:r>
              <w:rPr>
                <w:rFonts w:hint="eastAsia" w:ascii="宋体" w:hAnsi="宋体" w:cs="宋体"/>
                <w:color w:val="auto"/>
                <w:szCs w:val="21"/>
                <w:highlight w:val="none"/>
              </w:rPr>
              <w:t>项目经理及其他管理人员配备情况</w:t>
            </w:r>
            <w:r>
              <w:rPr>
                <w:rFonts w:ascii="宋体" w:hAnsi="宋体" w:cs="宋体"/>
                <w:color w:val="auto"/>
                <w:szCs w:val="21"/>
                <w:highlight w:val="none"/>
              </w:rPr>
              <w:t>③</w:t>
            </w:r>
            <w:r>
              <w:rPr>
                <w:rFonts w:hint="eastAsia" w:ascii="宋体" w:hAnsi="宋体" w:cs="宋体"/>
                <w:color w:val="auto"/>
                <w:szCs w:val="21"/>
                <w:highlight w:val="none"/>
              </w:rPr>
              <w:t>各岗位管理职能职责④内部日常管理制度⑤监督巡查机制⑥奖惩制度⑦考核办法等内容；</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完全满足上述要求且内容完善，符合所投包件实际情况，能够保障所投包件顺利实施的得7分。每缺少一项方案内容扣1分；方案中每有一处分析内容缺陷或不足的扣0.5分。</w:t>
            </w:r>
          </w:p>
          <w:p>
            <w:pPr>
              <w:autoSpaceDE w:val="0"/>
              <w:autoSpaceDN w:val="0"/>
              <w:adjustRightInd w:val="0"/>
              <w:jc w:val="left"/>
              <w:rPr>
                <w:rFonts w:ascii="宋体" w:hAnsi="Times New Roman" w:cs="宋体"/>
                <w:color w:val="auto"/>
                <w:kern w:val="0"/>
                <w:sz w:val="24"/>
                <w:szCs w:val="24"/>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86" w:hRule="atLeast"/>
          <w:jc w:val="center"/>
        </w:trPr>
        <w:tc>
          <w:tcPr>
            <w:tcW w:w="770" w:type="dxa"/>
            <w:tcBorders>
              <w:top w:val="single" w:color="auto" w:sz="4" w:space="0"/>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8</w:t>
            </w:r>
          </w:p>
        </w:tc>
        <w:tc>
          <w:tcPr>
            <w:tcW w:w="1122" w:type="dxa"/>
            <w:tcBorders>
              <w:top w:val="single" w:color="auto" w:sz="4" w:space="0"/>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作业方案2</w:t>
            </w:r>
            <w:r>
              <w:rPr>
                <w:rFonts w:hint="eastAsia" w:ascii="Times New Roman" w:hAnsi="Times New Roman"/>
                <w:color w:val="auto"/>
                <w:szCs w:val="21"/>
                <w:highlight w:val="none"/>
                <w:lang w:val="en-US" w:eastAsia="zh-CN"/>
              </w:rPr>
              <w:t>1</w:t>
            </w:r>
            <w:r>
              <w:rPr>
                <w:rFonts w:hint="eastAsia" w:ascii="Times New Roman" w:hAnsi="Times New Roman"/>
                <w:color w:val="auto"/>
                <w:szCs w:val="21"/>
                <w:highlight w:val="none"/>
              </w:rPr>
              <w:t>%</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2</w:t>
            </w:r>
            <w:r>
              <w:rPr>
                <w:rFonts w:hint="eastAsia" w:ascii="Times New Roman" w:hAnsi="Times New Roman"/>
                <w:color w:val="auto"/>
                <w:szCs w:val="21"/>
                <w:highlight w:val="none"/>
                <w:lang w:val="en-US" w:eastAsia="zh-CN"/>
              </w:rPr>
              <w:t>1</w:t>
            </w:r>
            <w:r>
              <w:rPr>
                <w:rFonts w:hint="eastAsia" w:ascii="Times New Roman" w:hAnsi="Times New Roman"/>
                <w:color w:val="auto"/>
                <w:szCs w:val="21"/>
                <w:highlight w:val="none"/>
              </w:rPr>
              <w:t>分</w:t>
            </w:r>
          </w:p>
        </w:tc>
        <w:tc>
          <w:tcPr>
            <w:tcW w:w="4961" w:type="dxa"/>
            <w:vAlign w:val="center"/>
          </w:tcPr>
          <w:p>
            <w:pPr>
              <w:jc w:val="left"/>
              <w:rPr>
                <w:rFonts w:ascii="Times New Roman" w:hAnsi="Times New Roman"/>
                <w:color w:val="auto"/>
                <w:szCs w:val="21"/>
                <w:highlight w:val="none"/>
              </w:rPr>
            </w:pPr>
            <w:r>
              <w:rPr>
                <w:rFonts w:hint="eastAsia" w:ascii="Times New Roman" w:hAnsi="Times New Roman"/>
                <w:color w:val="auto"/>
                <w:szCs w:val="21"/>
                <w:highlight w:val="none"/>
              </w:rPr>
              <w:t>投标人根据自身情况结合本项目需求拟定作业方案，针对本项目提供的内容包含：</w:t>
            </w:r>
          </w:p>
          <w:p>
            <w:pPr>
              <w:jc w:val="left"/>
              <w:rPr>
                <w:rFonts w:ascii="Times New Roman" w:hAnsi="宋体" w:cs="宋体"/>
                <w:color w:val="auto"/>
                <w:szCs w:val="21"/>
                <w:highlight w:val="none"/>
              </w:rPr>
            </w:pPr>
            <w:r>
              <w:rPr>
                <w:rFonts w:hint="eastAsia" w:ascii="Times New Roman" w:hAnsi="Times New Roman"/>
                <w:color w:val="auto"/>
                <w:szCs w:val="21"/>
                <w:highlight w:val="none"/>
              </w:rPr>
              <w:t>（1）具有环卫保洁工作方案，包括</w:t>
            </w:r>
            <w:r>
              <w:rPr>
                <w:rFonts w:hint="eastAsia" w:ascii="宋体" w:hAnsi="宋体" w:cs="宋体"/>
                <w:color w:val="auto"/>
                <w:szCs w:val="21"/>
                <w:highlight w:val="none"/>
              </w:rPr>
              <w:t>①</w:t>
            </w:r>
            <w:r>
              <w:rPr>
                <w:rFonts w:hint="eastAsia" w:ascii="Times New Roman" w:hAnsi="Times New Roman"/>
                <w:color w:val="auto"/>
                <w:szCs w:val="21"/>
                <w:highlight w:val="none"/>
              </w:rPr>
              <w:t>道路清扫保洁</w:t>
            </w:r>
            <w:r>
              <w:rPr>
                <w:rFonts w:hint="eastAsia" w:ascii="宋体" w:hAnsi="宋体" w:cs="宋体"/>
                <w:color w:val="auto"/>
                <w:szCs w:val="21"/>
                <w:highlight w:val="none"/>
              </w:rPr>
              <w:t>②</w:t>
            </w:r>
            <w:r>
              <w:rPr>
                <w:rFonts w:hint="eastAsia" w:ascii="Times New Roman" w:hAnsi="Times New Roman"/>
                <w:color w:val="auto"/>
                <w:szCs w:val="21"/>
                <w:highlight w:val="none"/>
              </w:rPr>
              <w:t>环卫设施管理维护</w:t>
            </w:r>
            <w:r>
              <w:rPr>
                <w:rFonts w:hint="eastAsia" w:ascii="宋体" w:hAnsi="宋体" w:cs="宋体"/>
                <w:color w:val="auto"/>
                <w:szCs w:val="21"/>
                <w:highlight w:val="none"/>
              </w:rPr>
              <w:t>③</w:t>
            </w:r>
            <w:r>
              <w:rPr>
                <w:rFonts w:ascii="Times New Roman" w:hAnsi="Times New Roman"/>
                <w:color w:val="auto"/>
                <w:szCs w:val="21"/>
                <w:highlight w:val="none"/>
              </w:rPr>
              <w:t>桥梁及道路隔离护栏保洁</w:t>
            </w:r>
            <w:r>
              <w:rPr>
                <w:rFonts w:hint="eastAsia" w:ascii="宋体" w:hAnsi="宋体" w:cs="宋体"/>
                <w:color w:val="auto"/>
                <w:szCs w:val="21"/>
                <w:highlight w:val="none"/>
              </w:rPr>
              <w:t>④生活垃圾分类收集、清运⑤</w:t>
            </w:r>
            <w:r>
              <w:rPr>
                <w:rFonts w:hint="eastAsia" w:cs="黑体" w:asciiTheme="minorEastAsia" w:hAnsiTheme="minorEastAsia"/>
                <w:bCs/>
                <w:color w:val="auto"/>
                <w:szCs w:val="21"/>
                <w:highlight w:val="none"/>
                <w:lang w:eastAsia="zh-CN"/>
              </w:rPr>
              <w:t>立面</w:t>
            </w:r>
            <w:r>
              <w:rPr>
                <w:rFonts w:hint="eastAsia" w:cs="黑体" w:asciiTheme="minorEastAsia" w:hAnsiTheme="minorEastAsia"/>
                <w:bCs/>
                <w:color w:val="auto"/>
                <w:szCs w:val="21"/>
                <w:highlight w:val="none"/>
                <w:lang w:val="en-US" w:eastAsia="zh-CN"/>
              </w:rPr>
              <w:t>2.0米以下</w:t>
            </w:r>
            <w:r>
              <w:rPr>
                <w:rFonts w:hint="eastAsia" w:ascii="宋体" w:hAnsi="宋体" w:cs="宋体"/>
                <w:color w:val="auto"/>
                <w:szCs w:val="21"/>
                <w:highlight w:val="none"/>
              </w:rPr>
              <w:t>各类广告及卡片的清除清理⑥共享单车规范停放⑦城市家具保洁⑧</w:t>
            </w:r>
            <w:r>
              <w:rPr>
                <w:rFonts w:hint="eastAsia" w:ascii="宋体" w:hAnsi="宋体" w:cs="宋体"/>
                <w:color w:val="auto"/>
                <w:szCs w:val="21"/>
                <w:highlight w:val="none"/>
                <w:lang w:eastAsia="zh-CN"/>
              </w:rPr>
              <w:t>道路冲洗除尘</w:t>
            </w:r>
            <w:r>
              <w:rPr>
                <w:rFonts w:hint="eastAsia" w:ascii="Times New Roman" w:hAnsi="宋体" w:cs="宋体"/>
                <w:color w:val="auto"/>
                <w:szCs w:val="21"/>
                <w:highlight w:val="none"/>
              </w:rPr>
              <w:t>。</w:t>
            </w:r>
          </w:p>
          <w:p>
            <w:pPr>
              <w:jc w:val="left"/>
              <w:rPr>
                <w:rFonts w:ascii="Times New Roman" w:hAnsi="Times New Roman"/>
                <w:color w:val="auto"/>
                <w:szCs w:val="21"/>
                <w:highlight w:val="none"/>
              </w:rPr>
            </w:pPr>
            <w:r>
              <w:rPr>
                <w:rFonts w:hint="eastAsia" w:ascii="Times New Roman" w:hAnsi="Times New Roman"/>
                <w:color w:val="auto"/>
                <w:szCs w:val="21"/>
                <w:highlight w:val="none"/>
              </w:rPr>
              <w:t>完全满足上述要求且内容完善，符合所投包件实际情况，能够保障所投包件顺利实施的得</w:t>
            </w:r>
            <w:r>
              <w:rPr>
                <w:rFonts w:hint="eastAsia" w:ascii="Times New Roman" w:hAnsi="Times New Roman"/>
                <w:color w:val="auto"/>
                <w:szCs w:val="21"/>
                <w:highlight w:val="none"/>
                <w:lang w:val="en-US" w:eastAsia="zh-CN"/>
              </w:rPr>
              <w:t>8</w:t>
            </w:r>
            <w:r>
              <w:rPr>
                <w:rFonts w:hint="eastAsia" w:ascii="Times New Roman" w:hAnsi="Times New Roman"/>
                <w:color w:val="auto"/>
                <w:szCs w:val="21"/>
                <w:highlight w:val="none"/>
              </w:rPr>
              <w:t>分。每缺少一项方案内容扣1分；方案中每有一处分析内容缺陷或不足的扣0.5分。</w:t>
            </w:r>
          </w:p>
          <w:p>
            <w:pPr>
              <w:jc w:val="left"/>
              <w:rPr>
                <w:rFonts w:ascii="Times New Roman" w:hAnsi="Times New Roman"/>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p>
            <w:pPr>
              <w:autoSpaceDE w:val="0"/>
              <w:autoSpaceDN w:val="0"/>
              <w:adjustRightInd w:val="0"/>
              <w:jc w:val="left"/>
              <w:rPr>
                <w:rFonts w:ascii="宋体" w:cs="宋体"/>
                <w:color w:val="auto"/>
                <w:kern w:val="0"/>
                <w:szCs w:val="21"/>
                <w:highlight w:val="none"/>
              </w:rPr>
            </w:pPr>
            <w:r>
              <w:rPr>
                <w:rFonts w:hint="eastAsia" w:ascii="Times New Roman" w:hAnsi="Times New Roman"/>
                <w:color w:val="auto"/>
                <w:szCs w:val="21"/>
                <w:highlight w:val="none"/>
              </w:rPr>
              <w:t>（2）具有公厕管理作业方案，包含①公厕清扫保洁班次作业流程②卫生、秩序管理制度③清掏方案④“四害”消杀方案⑤臭味</w:t>
            </w:r>
            <w:r>
              <w:rPr>
                <w:rFonts w:hint="eastAsia" w:ascii="Times New Roman" w:hAnsi="Times New Roman" w:cs="Calibri"/>
                <w:color w:val="auto"/>
                <w:szCs w:val="21"/>
                <w:highlight w:val="none"/>
              </w:rPr>
              <w:t>控制措施</w:t>
            </w:r>
            <w:r>
              <w:rPr>
                <w:rFonts w:hint="eastAsia" w:ascii="Times New Roman" w:hAnsi="Times New Roman"/>
                <w:color w:val="auto"/>
                <w:szCs w:val="21"/>
                <w:highlight w:val="none"/>
              </w:rPr>
              <w:t>⑥</w:t>
            </w:r>
            <w:r>
              <w:rPr>
                <w:rFonts w:hint="eastAsia" w:cs="黑体" w:asciiTheme="minorEastAsia" w:hAnsiTheme="minorEastAsia"/>
                <w:bCs/>
                <w:color w:val="auto"/>
                <w:szCs w:val="21"/>
                <w:highlight w:val="none"/>
              </w:rPr>
              <w:t>设施设备日常维护</w:t>
            </w:r>
            <w:r>
              <w:rPr>
                <w:rFonts w:hint="eastAsia" w:cs="黑体" w:asciiTheme="minorEastAsia" w:hAnsiTheme="minorEastAsia"/>
                <w:bCs/>
                <w:color w:val="auto"/>
                <w:szCs w:val="21"/>
                <w:highlight w:val="none"/>
                <w:lang w:eastAsia="zh-CN"/>
              </w:rPr>
              <w:t>、“两纸一液”</w:t>
            </w:r>
            <w:r>
              <w:rPr>
                <w:rFonts w:hint="eastAsia" w:cs="黑体" w:asciiTheme="minorEastAsia" w:hAnsiTheme="minorEastAsia"/>
                <w:bCs/>
                <w:color w:val="auto"/>
                <w:szCs w:val="21"/>
                <w:highlight w:val="none"/>
              </w:rPr>
              <w:t>等内容</w:t>
            </w:r>
            <w:r>
              <w:rPr>
                <w:rFonts w:hint="eastAsia" w:ascii="Times New Roman" w:hAnsi="Times New Roman"/>
                <w:color w:val="auto"/>
                <w:szCs w:val="21"/>
                <w:highlight w:val="none"/>
              </w:rPr>
              <w:t>；</w:t>
            </w:r>
            <w:r>
              <w:rPr>
                <w:rFonts w:hint="eastAsia" w:ascii="宋体" w:cs="宋体"/>
                <w:color w:val="auto"/>
                <w:kern w:val="0"/>
                <w:szCs w:val="21"/>
                <w:highlight w:val="none"/>
              </w:rPr>
              <w:t>完全满足上述要求且内容完善，符合所投包件实际情况，能够保障所投包件顺利实施的得6分。每缺少一项方案内容扣1分；方案中每有一处分析内容缺陷或不足的扣0.5分。</w:t>
            </w:r>
          </w:p>
          <w:p>
            <w:pPr>
              <w:jc w:val="left"/>
              <w:rPr>
                <w:rFonts w:ascii="Times New Roman" w:hAnsi="Times New Roman"/>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p>
            <w:pPr>
              <w:jc w:val="left"/>
              <w:rPr>
                <w:rFonts w:ascii="宋体" w:hAnsi="宋体" w:cs="宋体"/>
                <w:color w:val="auto"/>
                <w:szCs w:val="21"/>
                <w:highlight w:val="none"/>
              </w:rPr>
            </w:pPr>
            <w:r>
              <w:rPr>
                <w:rFonts w:hint="eastAsia" w:ascii="Times New Roman" w:hAnsi="Times New Roman"/>
                <w:color w:val="auto"/>
                <w:szCs w:val="24"/>
                <w:highlight w:val="none"/>
              </w:rPr>
              <w:t>（3）具有绿化管护作业方案，包含</w:t>
            </w:r>
            <w:r>
              <w:rPr>
                <w:rFonts w:hint="eastAsia" w:ascii="宋体" w:hAnsi="宋体" w:cs="宋体"/>
                <w:color w:val="auto"/>
                <w:szCs w:val="21"/>
                <w:highlight w:val="none"/>
              </w:rPr>
              <w:t>①</w:t>
            </w:r>
            <w:r>
              <w:rPr>
                <w:rFonts w:ascii="Times New Roman" w:hAnsi="Times New Roman"/>
                <w:color w:val="auto"/>
                <w:szCs w:val="21"/>
                <w:highlight w:val="none"/>
              </w:rPr>
              <w:t>区管绿地乔木、灌木、地被的养护、复壮、更换、降尘</w:t>
            </w:r>
            <w:r>
              <w:rPr>
                <w:rFonts w:hint="eastAsia" w:ascii="宋体" w:hAnsi="宋体" w:cs="宋体"/>
                <w:color w:val="auto"/>
                <w:szCs w:val="21"/>
                <w:highlight w:val="none"/>
              </w:rPr>
              <w:t>②</w:t>
            </w:r>
            <w:r>
              <w:rPr>
                <w:rFonts w:ascii="Times New Roman" w:hAnsi="Times New Roman"/>
                <w:color w:val="auto"/>
                <w:szCs w:val="21"/>
                <w:highlight w:val="none"/>
              </w:rPr>
              <w:t>时令鲜花及花境、立体绿化管护</w:t>
            </w:r>
            <w:r>
              <w:rPr>
                <w:rFonts w:hint="eastAsia" w:ascii="宋体" w:hAnsi="宋体" w:cs="宋体"/>
                <w:color w:val="auto"/>
                <w:szCs w:val="21"/>
                <w:highlight w:val="none"/>
              </w:rPr>
              <w:t>③</w:t>
            </w:r>
            <w:r>
              <w:rPr>
                <w:rFonts w:hint="eastAsia" w:ascii="Times New Roman" w:hAnsi="Times New Roman"/>
                <w:color w:val="auto"/>
                <w:szCs w:val="21"/>
                <w:highlight w:val="none"/>
              </w:rPr>
              <w:t>园林清扫保洁服务及园林垃圾处理转运</w:t>
            </w:r>
            <w:r>
              <w:rPr>
                <w:rFonts w:hint="eastAsia" w:ascii="宋体" w:hAnsi="宋体" w:cs="宋体"/>
                <w:color w:val="auto"/>
                <w:szCs w:val="21"/>
                <w:highlight w:val="none"/>
              </w:rPr>
              <w:t>④设施设备的维修保养。</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完全满足上述要求且内容完善，符合所投包件实际情况，能够保障所投包件顺利实施的得4分。每缺少一项方案内容扣1分；方案中每有一处分析内容缺陷或不足的扣0.5分。</w:t>
            </w:r>
          </w:p>
          <w:p>
            <w:pPr>
              <w:jc w:val="left"/>
              <w:rPr>
                <w:rFonts w:ascii="Times New Roman" w:hAnsi="Times New Roman"/>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p>
            <w:pPr>
              <w:jc w:val="left"/>
              <w:rPr>
                <w:rFonts w:ascii="Times New Roman" w:hAnsi="Times New Roman"/>
                <w:color w:val="auto"/>
                <w:szCs w:val="21"/>
                <w:highlight w:val="none"/>
              </w:rPr>
            </w:pPr>
            <w:r>
              <w:rPr>
                <w:rFonts w:hint="eastAsia" w:ascii="Times New Roman" w:hAnsi="Times New Roman"/>
                <w:color w:val="auto"/>
                <w:szCs w:val="24"/>
                <w:highlight w:val="none"/>
              </w:rPr>
              <w:t>（4）</w:t>
            </w:r>
            <w:r>
              <w:rPr>
                <w:rFonts w:hint="eastAsia" w:cs="Calibri"/>
                <w:color w:val="auto"/>
                <w:szCs w:val="24"/>
                <w:highlight w:val="none"/>
              </w:rPr>
              <w:t>具有河道管护作业方案，</w:t>
            </w:r>
            <w:r>
              <w:rPr>
                <w:rFonts w:hint="eastAsia" w:ascii="Times New Roman" w:hAnsi="Times New Roman"/>
                <w:color w:val="auto"/>
                <w:szCs w:val="21"/>
                <w:highlight w:val="none"/>
              </w:rPr>
              <w:t>包含</w:t>
            </w:r>
            <w:r>
              <w:rPr>
                <w:rFonts w:hint="eastAsia" w:ascii="宋体" w:hAnsi="宋体" w:cs="宋体"/>
                <w:color w:val="auto"/>
                <w:szCs w:val="21"/>
                <w:highlight w:val="none"/>
              </w:rPr>
              <w:t>①</w:t>
            </w:r>
            <w:r>
              <w:rPr>
                <w:rFonts w:ascii="Times New Roman" w:hAnsi="Times New Roman"/>
                <w:color w:val="auto"/>
                <w:szCs w:val="21"/>
                <w:highlight w:val="none"/>
              </w:rPr>
              <w:t>河床打漂及清理</w:t>
            </w:r>
            <w:r>
              <w:rPr>
                <w:rFonts w:hint="eastAsia" w:ascii="宋体" w:hAnsi="宋体" w:cs="宋体"/>
                <w:color w:val="auto"/>
                <w:szCs w:val="21"/>
                <w:highlight w:val="none"/>
              </w:rPr>
              <w:t>②</w:t>
            </w:r>
            <w:r>
              <w:rPr>
                <w:rFonts w:ascii="Times New Roman" w:hAnsi="Times New Roman"/>
                <w:color w:val="auto"/>
                <w:szCs w:val="21"/>
                <w:highlight w:val="none"/>
              </w:rPr>
              <w:t>巡查河道</w:t>
            </w:r>
            <w:r>
              <w:rPr>
                <w:rFonts w:hint="eastAsia" w:ascii="宋体" w:hAnsi="宋体" w:cs="宋体"/>
                <w:color w:val="auto"/>
                <w:szCs w:val="21"/>
                <w:highlight w:val="none"/>
              </w:rPr>
              <w:t>③</w:t>
            </w:r>
            <w:r>
              <w:rPr>
                <w:rFonts w:ascii="Times New Roman" w:hAnsi="Times New Roman"/>
                <w:color w:val="auto"/>
                <w:szCs w:val="21"/>
                <w:highlight w:val="none"/>
              </w:rPr>
              <w:t>河道管护范围内清扫保洁</w:t>
            </w:r>
            <w:r>
              <w:rPr>
                <w:rFonts w:hint="eastAsia" w:ascii="Times New Roman" w:hAnsi="Times New Roman"/>
                <w:color w:val="auto"/>
                <w:szCs w:val="21"/>
                <w:highlight w:val="none"/>
              </w:rPr>
              <w:t>。</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完全满足上述要求且内容完善，符合所投包件实际情况，能够保障所投包件顺利实施的得3分。每缺少一项方案内容扣1分；方案中每有一处分析内容缺陷或不足的扣0.5分。</w:t>
            </w:r>
          </w:p>
          <w:p>
            <w:pPr>
              <w:jc w:val="lef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p>
            <w:pPr>
              <w:jc w:val="left"/>
              <w:rPr>
                <w:rFonts w:ascii="Times New Roman" w:hAnsi="Times New Roman"/>
                <w:color w:val="auto"/>
                <w:szCs w:val="21"/>
                <w:highlight w:val="none"/>
              </w:rPr>
            </w:pPr>
            <w:r>
              <w:rPr>
                <w:rFonts w:hint="eastAsia" w:cs="Calibri"/>
                <w:color w:val="auto"/>
                <w:szCs w:val="24"/>
                <w:highlight w:val="none"/>
              </w:rPr>
              <w:t>本项作业方案最多得2</w:t>
            </w:r>
            <w:r>
              <w:rPr>
                <w:rFonts w:hint="eastAsia" w:cs="Calibri"/>
                <w:color w:val="auto"/>
                <w:szCs w:val="24"/>
                <w:highlight w:val="none"/>
                <w:lang w:val="en-US" w:eastAsia="zh-CN"/>
              </w:rPr>
              <w:t>1</w:t>
            </w:r>
            <w:r>
              <w:rPr>
                <w:rFonts w:hint="eastAsia" w:cs="Calibri"/>
                <w:color w:val="auto"/>
                <w:szCs w:val="24"/>
                <w:highlight w:val="none"/>
              </w:rPr>
              <w:t>分。</w:t>
            </w:r>
          </w:p>
        </w:tc>
        <w:tc>
          <w:tcPr>
            <w:tcW w:w="2152" w:type="dxa"/>
            <w:tcBorders>
              <w:bottom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1" w:hRule="atLeast"/>
          <w:jc w:val="center"/>
        </w:trPr>
        <w:tc>
          <w:tcPr>
            <w:tcW w:w="770"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9</w:t>
            </w:r>
          </w:p>
        </w:tc>
        <w:tc>
          <w:tcPr>
            <w:tcW w:w="1122"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质量控制措施4%</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4分</w:t>
            </w:r>
          </w:p>
        </w:tc>
        <w:tc>
          <w:tcPr>
            <w:tcW w:w="4961" w:type="dxa"/>
            <w:vAlign w:val="center"/>
          </w:tcPr>
          <w:p>
            <w:pPr>
              <w:rPr>
                <w:rFonts w:ascii="Times New Roman" w:hAnsi="Times New Roman"/>
                <w:color w:val="auto"/>
                <w:szCs w:val="21"/>
                <w:highlight w:val="none"/>
              </w:rPr>
            </w:pPr>
            <w:r>
              <w:rPr>
                <w:rFonts w:hint="eastAsia" w:ascii="Times New Roman" w:hAnsi="Times New Roman"/>
                <w:color w:val="auto"/>
                <w:szCs w:val="21"/>
                <w:highlight w:val="none"/>
              </w:rPr>
              <w:t>供应商提供质量控制措施，包括</w:t>
            </w:r>
            <w:r>
              <w:rPr>
                <w:rFonts w:hint="eastAsia" w:ascii="宋体" w:hAnsi="宋体" w:cs="宋体"/>
                <w:color w:val="auto"/>
                <w:szCs w:val="21"/>
                <w:highlight w:val="none"/>
              </w:rPr>
              <w:t>①</w:t>
            </w:r>
            <w:r>
              <w:rPr>
                <w:rFonts w:hint="eastAsia" w:ascii="Times New Roman" w:hAnsi="Times New Roman"/>
                <w:color w:val="auto"/>
                <w:szCs w:val="21"/>
                <w:highlight w:val="none"/>
              </w:rPr>
              <w:t>质量控制目标</w:t>
            </w:r>
            <w:r>
              <w:rPr>
                <w:rFonts w:hint="eastAsia" w:ascii="宋体" w:hAnsi="宋体" w:cs="宋体"/>
                <w:color w:val="auto"/>
                <w:szCs w:val="21"/>
                <w:highlight w:val="none"/>
              </w:rPr>
              <w:t>②</w:t>
            </w:r>
            <w:r>
              <w:rPr>
                <w:rFonts w:hint="eastAsia" w:ascii="Times New Roman" w:hAnsi="Times New Roman"/>
                <w:color w:val="auto"/>
                <w:szCs w:val="21"/>
                <w:highlight w:val="none"/>
              </w:rPr>
              <w:t>各环节作业服务质量控制措施</w:t>
            </w:r>
            <w:r>
              <w:rPr>
                <w:rFonts w:hint="eastAsia" w:ascii="宋体" w:hAnsi="宋体" w:cs="宋体"/>
                <w:color w:val="auto"/>
                <w:szCs w:val="21"/>
                <w:highlight w:val="none"/>
              </w:rPr>
              <w:t>③</w:t>
            </w:r>
            <w:r>
              <w:rPr>
                <w:rFonts w:hint="eastAsia" w:ascii="Times New Roman" w:hAnsi="Times New Roman"/>
                <w:color w:val="auto"/>
                <w:szCs w:val="21"/>
                <w:highlight w:val="none"/>
              </w:rPr>
              <w:t>特殊天气质量应急措施④重大迎检活动质量应急措施等内容；</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完全满足上述要求且内容完善，符合所投包件实际情况，能够保障所投包件顺利实施的得4分。每缺少一项方案内容扣1分；方案中每有一处分析内容缺陷或不足的扣0.5分。</w:t>
            </w:r>
          </w:p>
          <w:p>
            <w:pPr>
              <w:autoSpaceDE w:val="0"/>
              <w:autoSpaceDN w:val="0"/>
              <w:adjustRightInd w:val="0"/>
              <w:jc w:val="left"/>
              <w:rPr>
                <w:rFonts w:ascii="宋体" w:hAnsi="Times New Roman" w:cs="宋体"/>
                <w:color w:val="auto"/>
                <w:kern w:val="0"/>
                <w:sz w:val="24"/>
                <w:szCs w:val="24"/>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1" w:hRule="atLeast"/>
          <w:jc w:val="center"/>
        </w:trPr>
        <w:tc>
          <w:tcPr>
            <w:tcW w:w="770"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10</w:t>
            </w:r>
          </w:p>
        </w:tc>
        <w:tc>
          <w:tcPr>
            <w:tcW w:w="1122" w:type="dxa"/>
            <w:tcBorders>
              <w:top w:val="single" w:color="auto" w:sz="4" w:space="0"/>
            </w:tcBorders>
            <w:vAlign w:val="center"/>
          </w:tcPr>
          <w:p>
            <w:pPr>
              <w:jc w:val="center"/>
              <w:rPr>
                <w:rFonts w:ascii="Times New Roman" w:hAnsi="Times New Roman"/>
                <w:color w:val="auto"/>
                <w:szCs w:val="21"/>
                <w:highlight w:val="none"/>
              </w:rPr>
            </w:pPr>
            <w:r>
              <w:rPr>
                <w:rFonts w:hint="eastAsia" w:ascii="宋体" w:cs="宋体"/>
                <w:color w:val="auto"/>
                <w:kern w:val="0"/>
                <w:szCs w:val="21"/>
                <w:highlight w:val="none"/>
              </w:rPr>
              <w:t>应急措施</w:t>
            </w:r>
            <w:r>
              <w:rPr>
                <w:rFonts w:hint="eastAsia" w:ascii="宋体" w:cs="宋体"/>
                <w:color w:val="auto"/>
                <w:kern w:val="0"/>
                <w:szCs w:val="21"/>
                <w:highlight w:val="none"/>
                <w:lang w:val="en-US" w:eastAsia="zh-CN"/>
              </w:rPr>
              <w:t>13</w:t>
            </w:r>
            <w:r>
              <w:rPr>
                <w:rFonts w:hint="eastAsia" w:ascii="宋体" w:cs="宋体"/>
                <w:color w:val="auto"/>
                <w:kern w:val="0"/>
                <w:szCs w:val="21"/>
                <w:highlight w:val="none"/>
              </w:rPr>
              <w:t>%</w:t>
            </w:r>
          </w:p>
        </w:tc>
        <w:tc>
          <w:tcPr>
            <w:tcW w:w="709"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13</w:t>
            </w:r>
            <w:r>
              <w:rPr>
                <w:rFonts w:hint="eastAsia" w:ascii="Times New Roman" w:hAnsi="Times New Roman"/>
                <w:color w:val="auto"/>
                <w:szCs w:val="21"/>
                <w:highlight w:val="none"/>
              </w:rPr>
              <w:t>分</w:t>
            </w:r>
          </w:p>
        </w:tc>
        <w:tc>
          <w:tcPr>
            <w:tcW w:w="4961" w:type="dxa"/>
            <w:vAlign w:val="center"/>
          </w:tcPr>
          <w:p>
            <w:pPr>
              <w:autoSpaceDE w:val="0"/>
              <w:autoSpaceDN w:val="0"/>
              <w:adjustRightInd w:val="0"/>
              <w:jc w:val="left"/>
              <w:rPr>
                <w:rFonts w:hint="eastAsia" w:cs="黑体" w:asciiTheme="minorEastAsia" w:hAnsiTheme="minorEastAsia"/>
                <w:bCs/>
                <w:color w:val="auto"/>
                <w:szCs w:val="21"/>
                <w:highlight w:val="none"/>
              </w:rPr>
            </w:pPr>
            <w:r>
              <w:rPr>
                <w:rFonts w:hint="eastAsia" w:cs="黑体" w:asciiTheme="minorEastAsia" w:hAnsiTheme="minorEastAsia"/>
                <w:bCs/>
                <w:color w:val="auto"/>
                <w:szCs w:val="21"/>
                <w:highlight w:val="none"/>
              </w:rPr>
              <w:t>供应商提供应急措施，包括①应急人员配置；②突发性事件应急措施（包括但不限于自然灾害、公共卫生事件、人员等发生应急缺岗供应商应急保障措施承诺等）；③重大活动、节假日、迎检保障、突击整治方案；④意外伤害应急处置</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⑤新冠疫情防控</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⑥</w:t>
            </w:r>
            <w:r>
              <w:rPr>
                <w:rFonts w:hint="eastAsia" w:cs="黑体" w:asciiTheme="minorEastAsia" w:hAnsiTheme="minorEastAsia"/>
                <w:bCs/>
                <w:color w:val="auto"/>
                <w:szCs w:val="21"/>
                <w:highlight w:val="none"/>
                <w:lang w:eastAsia="zh-CN"/>
              </w:rPr>
              <w:t>车辆</w:t>
            </w:r>
            <w:r>
              <w:rPr>
                <w:rFonts w:hint="eastAsia"/>
                <w:color w:val="auto"/>
                <w:highlight w:val="none"/>
                <w:lang w:eastAsia="zh-CN"/>
              </w:rPr>
              <w:t>维修保养期应急措施；</w:t>
            </w:r>
            <w:r>
              <w:rPr>
                <w:rFonts w:hint="eastAsia" w:cs="黑体" w:asciiTheme="minorEastAsia" w:hAnsiTheme="minorEastAsia"/>
                <w:bCs/>
                <w:color w:val="auto"/>
                <w:szCs w:val="21"/>
                <w:highlight w:val="none"/>
              </w:rPr>
              <w:t>⑦</w:t>
            </w:r>
            <w:r>
              <w:rPr>
                <w:rFonts w:hint="eastAsia"/>
                <w:color w:val="auto"/>
                <w:highlight w:val="none"/>
                <w:lang w:eastAsia="zh-CN"/>
              </w:rPr>
              <w:t>新能源设施设备运营应急方案</w:t>
            </w:r>
            <w:r>
              <w:rPr>
                <w:rFonts w:hint="eastAsia" w:cs="黑体" w:asciiTheme="minorEastAsia" w:hAnsiTheme="minorEastAsia"/>
                <w:bCs/>
                <w:color w:val="auto"/>
                <w:szCs w:val="21"/>
                <w:highlight w:val="none"/>
              </w:rPr>
              <w:t>。</w:t>
            </w:r>
            <w:r>
              <w:rPr>
                <w:rFonts w:hint="eastAsia"/>
                <w:color w:val="auto"/>
                <w:highlight w:val="none"/>
                <w:lang w:eastAsia="zh-CN"/>
              </w:rPr>
              <w:t>以上方案</w:t>
            </w:r>
            <w:r>
              <w:rPr>
                <w:rFonts w:hint="eastAsia" w:cs="黑体" w:asciiTheme="minorEastAsia" w:hAnsiTheme="minorEastAsia"/>
                <w:bCs/>
                <w:color w:val="auto"/>
                <w:szCs w:val="21"/>
                <w:highlight w:val="none"/>
              </w:rPr>
              <w:t>①</w:t>
            </w:r>
            <w:r>
              <w:rPr>
                <w:rFonts w:hint="eastAsia" w:cs="黑体" w:asciiTheme="minorEastAsia" w:hAnsiTheme="minorEastAsia"/>
                <w:bCs/>
                <w:color w:val="auto"/>
                <w:szCs w:val="21"/>
                <w:highlight w:val="none"/>
                <w:lang w:val="en-US" w:eastAsia="zh-CN"/>
              </w:rPr>
              <w:t>--</w:t>
            </w:r>
            <w:r>
              <w:rPr>
                <w:rFonts w:hint="eastAsia" w:cs="黑体" w:asciiTheme="minorEastAsia" w:hAnsiTheme="minorEastAsia"/>
                <w:bCs/>
                <w:color w:val="auto"/>
                <w:szCs w:val="21"/>
                <w:highlight w:val="none"/>
              </w:rPr>
              <w:t>⑥</w:t>
            </w:r>
            <w:r>
              <w:rPr>
                <w:rFonts w:hint="eastAsia" w:cs="黑体" w:asciiTheme="minorEastAsia" w:hAnsiTheme="minorEastAsia"/>
                <w:bCs/>
                <w:color w:val="auto"/>
                <w:szCs w:val="21"/>
                <w:highlight w:val="none"/>
                <w:lang w:eastAsia="zh-CN"/>
              </w:rPr>
              <w:t>项每项各</w:t>
            </w:r>
            <w:r>
              <w:rPr>
                <w:rFonts w:hint="eastAsia" w:cs="黑体" w:asciiTheme="minorEastAsia" w:hAnsiTheme="minorEastAsia"/>
                <w:bCs/>
                <w:color w:val="auto"/>
                <w:szCs w:val="21"/>
                <w:highlight w:val="none"/>
                <w:lang w:val="en-US" w:eastAsia="zh-CN"/>
              </w:rPr>
              <w:t>1.5分，</w:t>
            </w:r>
            <w:r>
              <w:rPr>
                <w:rFonts w:hint="eastAsia" w:cs="黑体" w:asciiTheme="minorEastAsia" w:hAnsiTheme="minorEastAsia"/>
                <w:bCs/>
                <w:color w:val="auto"/>
                <w:szCs w:val="21"/>
                <w:highlight w:val="none"/>
              </w:rPr>
              <w:t>⑦</w:t>
            </w:r>
            <w:r>
              <w:rPr>
                <w:rFonts w:hint="eastAsia" w:cs="黑体" w:asciiTheme="minorEastAsia" w:hAnsiTheme="minorEastAsia"/>
                <w:bCs/>
                <w:color w:val="auto"/>
                <w:szCs w:val="21"/>
                <w:highlight w:val="none"/>
                <w:lang w:eastAsia="zh-CN"/>
              </w:rPr>
              <w:t>项</w:t>
            </w:r>
            <w:r>
              <w:rPr>
                <w:rFonts w:hint="eastAsia" w:cs="黑体" w:asciiTheme="minorEastAsia" w:hAnsiTheme="minorEastAsia"/>
                <w:bCs/>
                <w:color w:val="auto"/>
                <w:szCs w:val="21"/>
                <w:highlight w:val="none"/>
                <w:lang w:val="en-US" w:eastAsia="zh-CN"/>
              </w:rPr>
              <w:t>4分。</w:t>
            </w:r>
            <w:r>
              <w:rPr>
                <w:rFonts w:hint="eastAsia" w:cs="黑体" w:asciiTheme="minorEastAsia" w:hAnsiTheme="minorEastAsia"/>
                <w:bCs/>
                <w:color w:val="auto"/>
                <w:szCs w:val="21"/>
                <w:highlight w:val="none"/>
              </w:rPr>
              <w:t>完全满足上述要求且内容完善，符合所投包件实际情况，能够保障所投包件顺利实施的得</w:t>
            </w:r>
            <w:r>
              <w:rPr>
                <w:rFonts w:hint="eastAsia" w:cs="黑体" w:asciiTheme="minorEastAsia" w:hAnsiTheme="minorEastAsia"/>
                <w:bCs/>
                <w:color w:val="auto"/>
                <w:szCs w:val="21"/>
                <w:highlight w:val="none"/>
                <w:lang w:val="en-US" w:eastAsia="zh-CN"/>
              </w:rPr>
              <w:t>13</w:t>
            </w:r>
            <w:r>
              <w:rPr>
                <w:rFonts w:hint="eastAsia" w:cs="黑体" w:asciiTheme="minorEastAsia" w:hAnsiTheme="minorEastAsia"/>
                <w:bCs/>
                <w:color w:val="auto"/>
                <w:szCs w:val="21"/>
                <w:highlight w:val="none"/>
              </w:rPr>
              <w:t>分。每缺少一项方案内容①</w:t>
            </w:r>
            <w:r>
              <w:rPr>
                <w:rFonts w:hint="eastAsia" w:cs="黑体" w:asciiTheme="minorEastAsia" w:hAnsiTheme="minorEastAsia"/>
                <w:bCs/>
                <w:color w:val="auto"/>
                <w:szCs w:val="21"/>
                <w:highlight w:val="none"/>
                <w:lang w:val="en-US" w:eastAsia="zh-CN"/>
              </w:rPr>
              <w:t>--</w:t>
            </w:r>
            <w:r>
              <w:rPr>
                <w:rFonts w:hint="eastAsia" w:cs="黑体" w:asciiTheme="minorEastAsia" w:hAnsiTheme="minorEastAsia"/>
                <w:bCs/>
                <w:color w:val="auto"/>
                <w:szCs w:val="21"/>
                <w:highlight w:val="none"/>
              </w:rPr>
              <w:t>⑥</w:t>
            </w:r>
            <w:r>
              <w:rPr>
                <w:rFonts w:hint="eastAsia" w:cs="黑体" w:asciiTheme="minorEastAsia" w:hAnsiTheme="minorEastAsia"/>
                <w:bCs/>
                <w:color w:val="auto"/>
                <w:szCs w:val="21"/>
                <w:highlight w:val="none"/>
                <w:lang w:eastAsia="zh-CN"/>
              </w:rPr>
              <w:t>项每项各扣</w:t>
            </w:r>
            <w:r>
              <w:rPr>
                <w:rFonts w:hint="eastAsia" w:cs="黑体" w:asciiTheme="minorEastAsia" w:hAnsiTheme="minorEastAsia"/>
                <w:bCs/>
                <w:color w:val="auto"/>
                <w:szCs w:val="21"/>
                <w:highlight w:val="none"/>
                <w:lang w:val="en-US" w:eastAsia="zh-CN"/>
              </w:rPr>
              <w:t>1.5分，</w:t>
            </w:r>
            <w:r>
              <w:rPr>
                <w:rFonts w:hint="eastAsia" w:cs="黑体" w:asciiTheme="minorEastAsia" w:hAnsiTheme="minorEastAsia"/>
                <w:bCs/>
                <w:color w:val="auto"/>
                <w:szCs w:val="21"/>
                <w:highlight w:val="none"/>
              </w:rPr>
              <w:t>⑦</w:t>
            </w:r>
            <w:r>
              <w:rPr>
                <w:rFonts w:hint="eastAsia" w:cs="黑体" w:asciiTheme="minorEastAsia" w:hAnsiTheme="minorEastAsia"/>
                <w:bCs/>
                <w:color w:val="auto"/>
                <w:szCs w:val="21"/>
                <w:highlight w:val="none"/>
                <w:lang w:eastAsia="zh-CN"/>
              </w:rPr>
              <w:t>项扣</w:t>
            </w:r>
            <w:r>
              <w:rPr>
                <w:rFonts w:hint="eastAsia" w:cs="黑体" w:asciiTheme="minorEastAsia" w:hAnsiTheme="minorEastAsia"/>
                <w:bCs/>
                <w:color w:val="auto"/>
                <w:szCs w:val="21"/>
                <w:highlight w:val="none"/>
                <w:lang w:val="en-US" w:eastAsia="zh-CN"/>
              </w:rPr>
              <w:t>4分</w:t>
            </w:r>
            <w:r>
              <w:rPr>
                <w:rFonts w:hint="eastAsia" w:cs="黑体" w:asciiTheme="minorEastAsia" w:hAnsiTheme="minorEastAsia"/>
                <w:bCs/>
                <w:color w:val="auto"/>
                <w:szCs w:val="21"/>
                <w:highlight w:val="none"/>
              </w:rPr>
              <w:t>；方案中每有一项内容缺陷或不足的</w:t>
            </w:r>
            <w:r>
              <w:rPr>
                <w:rFonts w:hint="eastAsia" w:cs="黑体" w:asciiTheme="minorEastAsia" w:hAnsiTheme="minorEastAsia"/>
                <w:bCs/>
                <w:color w:val="auto"/>
                <w:szCs w:val="21"/>
                <w:highlight w:val="none"/>
                <w:lang w:eastAsia="zh-CN"/>
              </w:rPr>
              <w:t>，</w:t>
            </w:r>
            <w:r>
              <w:rPr>
                <w:rFonts w:hint="eastAsia" w:cs="黑体" w:asciiTheme="minorEastAsia" w:hAnsiTheme="minorEastAsia"/>
                <w:bCs/>
                <w:color w:val="auto"/>
                <w:szCs w:val="21"/>
                <w:highlight w:val="none"/>
              </w:rPr>
              <w:t>①</w:t>
            </w:r>
            <w:r>
              <w:rPr>
                <w:rFonts w:hint="eastAsia" w:cs="黑体" w:asciiTheme="minorEastAsia" w:hAnsiTheme="minorEastAsia"/>
                <w:bCs/>
                <w:color w:val="auto"/>
                <w:szCs w:val="21"/>
                <w:highlight w:val="none"/>
                <w:lang w:val="en-US" w:eastAsia="zh-CN"/>
              </w:rPr>
              <w:t>--</w:t>
            </w:r>
            <w:r>
              <w:rPr>
                <w:rFonts w:hint="eastAsia" w:cs="黑体" w:asciiTheme="minorEastAsia" w:hAnsiTheme="minorEastAsia"/>
                <w:bCs/>
                <w:color w:val="auto"/>
                <w:szCs w:val="21"/>
                <w:highlight w:val="none"/>
              </w:rPr>
              <w:t>⑥</w:t>
            </w:r>
            <w:r>
              <w:rPr>
                <w:rFonts w:hint="eastAsia" w:cs="黑体" w:asciiTheme="minorEastAsia" w:hAnsiTheme="minorEastAsia"/>
                <w:bCs/>
                <w:color w:val="auto"/>
                <w:szCs w:val="21"/>
                <w:highlight w:val="none"/>
                <w:lang w:eastAsia="zh-CN"/>
              </w:rPr>
              <w:t>项每项各扣</w:t>
            </w:r>
            <w:r>
              <w:rPr>
                <w:rFonts w:hint="eastAsia" w:cs="黑体" w:asciiTheme="minorEastAsia" w:hAnsiTheme="minorEastAsia"/>
                <w:bCs/>
                <w:color w:val="auto"/>
                <w:szCs w:val="21"/>
                <w:highlight w:val="none"/>
                <w:lang w:val="en-US" w:eastAsia="zh-CN"/>
              </w:rPr>
              <w:t>0.75分，</w:t>
            </w:r>
            <w:r>
              <w:rPr>
                <w:rFonts w:hint="eastAsia" w:cs="黑体" w:asciiTheme="minorEastAsia" w:hAnsiTheme="minorEastAsia"/>
                <w:bCs/>
                <w:color w:val="auto"/>
                <w:szCs w:val="21"/>
                <w:highlight w:val="none"/>
              </w:rPr>
              <w:t>⑦</w:t>
            </w:r>
            <w:r>
              <w:rPr>
                <w:rFonts w:hint="eastAsia" w:cs="黑体" w:asciiTheme="minorEastAsia" w:hAnsiTheme="minorEastAsia"/>
                <w:bCs/>
                <w:color w:val="auto"/>
                <w:szCs w:val="21"/>
                <w:highlight w:val="none"/>
                <w:lang w:eastAsia="zh-CN"/>
              </w:rPr>
              <w:t>项扣</w:t>
            </w:r>
            <w:r>
              <w:rPr>
                <w:rFonts w:hint="eastAsia" w:cs="黑体" w:asciiTheme="minorEastAsia" w:hAnsiTheme="minorEastAsia"/>
                <w:bCs/>
                <w:color w:val="auto"/>
                <w:szCs w:val="21"/>
                <w:highlight w:val="none"/>
                <w:lang w:val="en-US" w:eastAsia="zh-CN"/>
              </w:rPr>
              <w:t>2分</w:t>
            </w:r>
            <w:r>
              <w:rPr>
                <w:rFonts w:hint="eastAsia" w:cs="黑体" w:asciiTheme="minorEastAsia" w:hAnsiTheme="minorEastAsia"/>
                <w:bCs/>
                <w:color w:val="auto"/>
                <w:szCs w:val="21"/>
                <w:highlight w:val="none"/>
              </w:rPr>
              <w:t>。</w:t>
            </w:r>
          </w:p>
          <w:p>
            <w:pPr>
              <w:autoSpaceDE w:val="0"/>
              <w:autoSpaceDN w:val="0"/>
              <w:adjustRightInd w:val="0"/>
              <w:jc w:val="left"/>
              <w:rPr>
                <w:rFonts w:ascii="宋体" w:cs="宋体"/>
                <w:color w:val="auto"/>
                <w:kern w:val="0"/>
                <w:szCs w:val="21"/>
                <w:highlight w:val="none"/>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tcBorders>
              <w:top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5" w:hRule="atLeast"/>
          <w:jc w:val="center"/>
        </w:trPr>
        <w:tc>
          <w:tcPr>
            <w:tcW w:w="770"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11</w:t>
            </w:r>
          </w:p>
        </w:tc>
        <w:tc>
          <w:tcPr>
            <w:tcW w:w="1122" w:type="dxa"/>
            <w:vAlign w:val="center"/>
          </w:tcPr>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安全生</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产、文明</w:t>
            </w:r>
          </w:p>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作业控制</w:t>
            </w:r>
          </w:p>
          <w:p>
            <w:pPr>
              <w:jc w:val="center"/>
              <w:rPr>
                <w:rFonts w:ascii="宋体" w:hAnsi="Calibri" w:eastAsia="宋体" w:cs="宋体"/>
                <w:color w:val="auto"/>
                <w:kern w:val="0"/>
                <w:sz w:val="21"/>
                <w:szCs w:val="21"/>
                <w:highlight w:val="none"/>
                <w:lang w:val="en-US" w:eastAsia="zh-CN" w:bidi="ar-SA"/>
              </w:rPr>
            </w:pPr>
            <w:r>
              <w:rPr>
                <w:rFonts w:hint="eastAsia" w:ascii="宋体" w:cs="宋体"/>
                <w:color w:val="auto"/>
                <w:kern w:val="0"/>
                <w:szCs w:val="21"/>
                <w:highlight w:val="none"/>
              </w:rPr>
              <w:t>措施5%</w:t>
            </w:r>
          </w:p>
        </w:tc>
        <w:tc>
          <w:tcPr>
            <w:tcW w:w="709" w:type="dxa"/>
            <w:vAlign w:val="center"/>
          </w:tcPr>
          <w:p>
            <w:pPr>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rPr>
              <w:t>5分</w:t>
            </w:r>
          </w:p>
        </w:tc>
        <w:tc>
          <w:tcPr>
            <w:tcW w:w="4961" w:type="dxa"/>
            <w:vAlign w:val="center"/>
          </w:tcPr>
          <w:p>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投标人针对所投包件提供安全、文明措施，包含但不限于：①安全、文明制度；②岗前培训；③安全教育；④环保措施；⑤职业病预防等。完全满足上述要求且内容完善，符合所投包件实际情况，能够保障所投包件顺利实施的得</w:t>
            </w:r>
            <w:r>
              <w:rPr>
                <w:rFonts w:ascii="宋体" w:cs="宋体"/>
                <w:color w:val="auto"/>
                <w:kern w:val="0"/>
                <w:szCs w:val="21"/>
                <w:highlight w:val="none"/>
              </w:rPr>
              <w:t xml:space="preserve">5 </w:t>
            </w:r>
            <w:r>
              <w:rPr>
                <w:rFonts w:hint="eastAsia" w:ascii="宋体" w:cs="宋体"/>
                <w:color w:val="auto"/>
                <w:kern w:val="0"/>
                <w:szCs w:val="21"/>
                <w:highlight w:val="none"/>
              </w:rPr>
              <w:t>分。每缺少一项方案内容扣</w:t>
            </w:r>
            <w:r>
              <w:rPr>
                <w:rFonts w:ascii="宋体" w:cs="宋体"/>
                <w:color w:val="auto"/>
                <w:kern w:val="0"/>
                <w:szCs w:val="21"/>
                <w:highlight w:val="none"/>
              </w:rPr>
              <w:t>1</w:t>
            </w:r>
            <w:r>
              <w:rPr>
                <w:rFonts w:hint="eastAsia" w:ascii="宋体" w:cs="宋体"/>
                <w:color w:val="auto"/>
                <w:kern w:val="0"/>
                <w:szCs w:val="21"/>
                <w:highlight w:val="none"/>
              </w:rPr>
              <w:t>分；方案中每有一处分析内容缺陷或不足的扣</w:t>
            </w:r>
            <w:r>
              <w:rPr>
                <w:rFonts w:ascii="宋体" w:cs="宋体"/>
                <w:color w:val="auto"/>
                <w:kern w:val="0"/>
                <w:szCs w:val="21"/>
                <w:highlight w:val="none"/>
              </w:rPr>
              <w:t xml:space="preserve">0.5 </w:t>
            </w:r>
            <w:r>
              <w:rPr>
                <w:rFonts w:hint="eastAsia" w:ascii="宋体" w:cs="宋体"/>
                <w:color w:val="auto"/>
                <w:kern w:val="0"/>
                <w:szCs w:val="21"/>
                <w:highlight w:val="none"/>
              </w:rPr>
              <w:t>分。</w:t>
            </w:r>
          </w:p>
          <w:p>
            <w:pPr>
              <w:autoSpaceDE w:val="0"/>
              <w:autoSpaceDN w:val="0"/>
              <w:adjustRightInd w:val="0"/>
              <w:jc w:val="left"/>
              <w:rPr>
                <w:rFonts w:ascii="宋体" w:hAnsi="Calibri" w:eastAsia="宋体" w:cs="宋体"/>
                <w:color w:val="auto"/>
                <w:kern w:val="0"/>
                <w:sz w:val="21"/>
                <w:szCs w:val="21"/>
                <w:highlight w:val="none"/>
                <w:lang w:val="en-US" w:eastAsia="zh-CN" w:bidi="ar-SA"/>
              </w:rPr>
            </w:pPr>
            <w:r>
              <w:rPr>
                <w:rFonts w:hint="eastAsia" w:cs="黑体" w:asciiTheme="minorEastAsia" w:hAnsiTheme="minorEastAsia"/>
                <w:bCs/>
                <w:color w:val="auto"/>
                <w:szCs w:val="21"/>
                <w:highlight w:val="none"/>
              </w:rPr>
              <w:t>注：缺陷或不足是指存在不适用</w:t>
            </w:r>
            <w:r>
              <w:rPr>
                <w:rFonts w:hint="eastAsia" w:cs="黑体" w:asciiTheme="minorEastAsia" w:hAnsiTheme="minorEastAsia"/>
                <w:bCs/>
                <w:color w:val="auto"/>
                <w:szCs w:val="21"/>
                <w:highlight w:val="none"/>
                <w:lang w:eastAsia="zh-CN"/>
              </w:rPr>
              <w:t>于本</w:t>
            </w:r>
            <w:r>
              <w:rPr>
                <w:rFonts w:hint="eastAsia" w:cs="黑体" w:asciiTheme="minorEastAsia" w:hAnsiTheme="minorEastAsia"/>
                <w:bCs/>
                <w:color w:val="auto"/>
                <w:szCs w:val="21"/>
                <w:highlight w:val="none"/>
              </w:rPr>
              <w:t>项目的情形、方案中内容前后矛盾、涉及的规范及标准错误、地点区域错误、内容缺失、</w:t>
            </w:r>
            <w:r>
              <w:rPr>
                <w:rFonts w:hint="eastAsia" w:cs="黑体" w:asciiTheme="minorEastAsia" w:hAnsiTheme="minorEastAsia"/>
                <w:bCs/>
                <w:color w:val="auto"/>
                <w:szCs w:val="21"/>
                <w:highlight w:val="none"/>
                <w:lang w:eastAsia="zh-CN"/>
              </w:rPr>
              <w:t>不符合采购需求、方案内容与实际内容不相符合</w:t>
            </w:r>
            <w:r>
              <w:rPr>
                <w:rFonts w:hint="eastAsia" w:cs="黑体" w:asciiTheme="minorEastAsia" w:hAnsiTheme="minorEastAsia"/>
                <w:bCs/>
                <w:color w:val="auto"/>
                <w:szCs w:val="21"/>
                <w:highlight w:val="none"/>
              </w:rPr>
              <w:t>、方案不全面等。</w:t>
            </w:r>
          </w:p>
        </w:tc>
        <w:tc>
          <w:tcPr>
            <w:tcW w:w="2152" w:type="dxa"/>
            <w:vAlign w:val="center"/>
          </w:tcPr>
          <w:p>
            <w:pPr>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rPr>
              <w:t>（技术类评审）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5" w:hRule="atLeast"/>
          <w:jc w:val="center"/>
        </w:trPr>
        <w:tc>
          <w:tcPr>
            <w:tcW w:w="2601" w:type="dxa"/>
            <w:gridSpan w:val="3"/>
            <w:vAlign w:val="center"/>
          </w:tcPr>
          <w:p>
            <w:pPr>
              <w:autoSpaceDE w:val="0"/>
              <w:autoSpaceDN w:val="0"/>
              <w:adjustRightInd w:val="0"/>
              <w:spacing w:line="4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bCs/>
                <w:color w:val="auto"/>
                <w:szCs w:val="21"/>
                <w:highlight w:val="none"/>
              </w:rPr>
              <w:t>合计</w:t>
            </w:r>
          </w:p>
        </w:tc>
        <w:tc>
          <w:tcPr>
            <w:tcW w:w="7113" w:type="dxa"/>
            <w:gridSpan w:val="2"/>
            <w:vAlign w:val="center"/>
          </w:tcPr>
          <w:p>
            <w:pPr>
              <w:snapToGrid w:val="0"/>
              <w:spacing w:line="400" w:lineRule="exact"/>
              <w:jc w:val="left"/>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Cs w:val="21"/>
                <w:highlight w:val="none"/>
              </w:rPr>
              <w:t>100分</w:t>
            </w:r>
          </w:p>
        </w:tc>
      </w:tr>
    </w:tbl>
    <w:p>
      <w:pPr>
        <w:spacing w:line="560" w:lineRule="exact"/>
        <w:ind w:firstLine="560" w:firstLineChars="200"/>
        <w:rPr>
          <w:rFonts w:ascii="宋体" w:hAnsi="宋体"/>
          <w:color w:val="auto"/>
          <w:sz w:val="28"/>
          <w:highlight w:val="none"/>
        </w:rPr>
      </w:pPr>
      <w:r>
        <w:rPr>
          <w:rFonts w:hint="eastAsia" w:ascii="宋体" w:hAnsi="宋体"/>
          <w:color w:val="auto"/>
          <w:sz w:val="28"/>
          <w:highlight w:val="none"/>
        </w:rPr>
        <w:t>说明：</w:t>
      </w:r>
    </w:p>
    <w:p>
      <w:pPr>
        <w:spacing w:line="560" w:lineRule="exact"/>
        <w:ind w:firstLine="560" w:firstLineChars="200"/>
        <w:rPr>
          <w:rFonts w:ascii="宋体" w:hAnsi="宋体"/>
          <w:color w:val="auto"/>
          <w:sz w:val="28"/>
          <w:highlight w:val="none"/>
        </w:rPr>
      </w:pPr>
      <w:r>
        <w:rPr>
          <w:rFonts w:hint="eastAsia" w:ascii="宋体" w:hAnsi="宋体"/>
          <w:color w:val="auto"/>
          <w:sz w:val="28"/>
          <w:highlight w:val="none"/>
        </w:rPr>
        <w:t>1、评分的取值按四舍五入法，保留小数点后两位；</w:t>
      </w:r>
    </w:p>
    <w:p>
      <w:pPr>
        <w:spacing w:line="560" w:lineRule="exact"/>
        <w:ind w:firstLine="560" w:firstLineChars="200"/>
        <w:rPr>
          <w:rFonts w:ascii="宋体" w:hAnsi="宋体"/>
          <w:color w:val="auto"/>
          <w:sz w:val="28"/>
          <w:highlight w:val="none"/>
        </w:rPr>
      </w:pPr>
      <w:r>
        <w:rPr>
          <w:rFonts w:hint="eastAsia" w:ascii="宋体" w:hAnsi="宋体"/>
          <w:color w:val="auto"/>
          <w:sz w:val="28"/>
          <w:highlight w:val="none"/>
        </w:rPr>
        <w:t>2、评分标准中要求提供复印件的证明材料须清晰可辨。</w:t>
      </w:r>
    </w:p>
    <w:p>
      <w:pPr>
        <w:keepNext/>
        <w:keepLines/>
        <w:numPr>
          <w:ilvl w:val="1"/>
          <w:numId w:val="28"/>
        </w:numPr>
        <w:spacing w:before="260" w:after="260" w:line="360" w:lineRule="auto"/>
        <w:jc w:val="left"/>
        <w:outlineLvl w:val="1"/>
        <w:rPr>
          <w:rFonts w:ascii="宋体" w:hAnsi="宋体"/>
          <w:b/>
          <w:bCs/>
          <w:color w:val="auto"/>
          <w:sz w:val="28"/>
          <w:szCs w:val="28"/>
          <w:highlight w:val="none"/>
        </w:rPr>
      </w:pPr>
      <w:bookmarkStart w:id="191" w:name="_Toc30388"/>
      <w:r>
        <w:rPr>
          <w:rFonts w:hint="eastAsia" w:ascii="宋体" w:hAnsi="宋体"/>
          <w:b/>
          <w:bCs/>
          <w:color w:val="auto"/>
          <w:sz w:val="28"/>
          <w:szCs w:val="28"/>
          <w:highlight w:val="none"/>
        </w:rPr>
        <w:t>废标</w:t>
      </w:r>
      <w:bookmarkEnd w:id="191"/>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本次政府采购活动中，出现下列情形之一的，予以废标：</w:t>
      </w:r>
    </w:p>
    <w:p>
      <w:pPr>
        <w:numPr>
          <w:ilvl w:val="0"/>
          <w:numId w:val="79"/>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符合专业条件的投标人或者对招标文件作实质响应的投标人不足三家的；</w:t>
      </w:r>
    </w:p>
    <w:p>
      <w:pPr>
        <w:numPr>
          <w:ilvl w:val="0"/>
          <w:numId w:val="79"/>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出现影响采购公正的违法、违规行为的；</w:t>
      </w:r>
    </w:p>
    <w:p>
      <w:pPr>
        <w:numPr>
          <w:ilvl w:val="0"/>
          <w:numId w:val="79"/>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投标人的报价均超过了采购预算，采购人不能支付的；</w:t>
      </w:r>
    </w:p>
    <w:p>
      <w:pPr>
        <w:numPr>
          <w:ilvl w:val="0"/>
          <w:numId w:val="79"/>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因重大变故，采购任务取消的；</w:t>
      </w:r>
    </w:p>
    <w:p>
      <w:pPr>
        <w:numPr>
          <w:ilvl w:val="0"/>
          <w:numId w:val="79"/>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废标后，区采购中心将在“四川政府采购网”和“成都市</w:t>
      </w:r>
      <w:r>
        <w:rPr>
          <w:rFonts w:hint="eastAsia" w:ascii="宋体" w:hAnsi="宋体"/>
          <w:color w:val="auto"/>
          <w:sz w:val="28"/>
          <w:szCs w:val="28"/>
          <w:highlight w:val="none"/>
          <w:lang w:eastAsia="zh-CN"/>
        </w:rPr>
        <w:t>公共资源交易服务中心</w:t>
      </w:r>
      <w:r>
        <w:rPr>
          <w:rFonts w:hint="eastAsia" w:ascii="宋体" w:hAnsi="宋体"/>
          <w:color w:val="auto"/>
          <w:sz w:val="28"/>
          <w:szCs w:val="28"/>
          <w:highlight w:val="none"/>
        </w:rPr>
        <w:t>”网站上公告。</w:t>
      </w:r>
    </w:p>
    <w:p>
      <w:pPr>
        <w:keepNext/>
        <w:keepLines/>
        <w:numPr>
          <w:ilvl w:val="1"/>
          <w:numId w:val="28"/>
        </w:numPr>
        <w:spacing w:before="260" w:after="260" w:line="360" w:lineRule="auto"/>
        <w:jc w:val="left"/>
        <w:outlineLvl w:val="1"/>
        <w:rPr>
          <w:rFonts w:ascii="宋体" w:hAnsi="宋体"/>
          <w:b/>
          <w:bCs/>
          <w:color w:val="auto"/>
          <w:sz w:val="28"/>
          <w:szCs w:val="28"/>
          <w:highlight w:val="none"/>
        </w:rPr>
      </w:pPr>
      <w:bookmarkStart w:id="192" w:name="_Toc8774"/>
      <w:r>
        <w:rPr>
          <w:rFonts w:hint="eastAsia" w:ascii="宋体" w:hAnsi="宋体"/>
          <w:b/>
          <w:bCs/>
          <w:color w:val="auto"/>
          <w:sz w:val="28"/>
          <w:szCs w:val="28"/>
          <w:highlight w:val="none"/>
        </w:rPr>
        <w:t>定标</w:t>
      </w:r>
      <w:bookmarkEnd w:id="192"/>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定标原则</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color w:val="auto"/>
          <w:sz w:val="28"/>
          <w:szCs w:val="28"/>
          <w:highlight w:val="none"/>
        </w:rPr>
      </w:pPr>
      <w:r>
        <w:rPr>
          <w:rFonts w:hint="eastAsia" w:ascii="宋体" w:hAnsi="宋体" w:cs="Helvetica"/>
          <w:color w:val="auto"/>
          <w:kern w:val="0"/>
          <w:sz w:val="28"/>
          <w:szCs w:val="28"/>
          <w:highlight w:val="none"/>
        </w:rPr>
        <w:t>采购人在收到评标报告</w:t>
      </w:r>
      <w:r>
        <w:rPr>
          <w:rFonts w:hint="eastAsia" w:ascii="宋体" w:hAnsi="宋体" w:cs="宋体"/>
          <w:color w:val="auto"/>
          <w:kern w:val="0"/>
          <w:sz w:val="28"/>
          <w:szCs w:val="28"/>
          <w:highlight w:val="none"/>
        </w:rPr>
        <w:t>5</w:t>
      </w:r>
      <w:r>
        <w:rPr>
          <w:rFonts w:hint="eastAsia" w:ascii="宋体" w:hAnsi="宋体" w:cs="Helvetica"/>
          <w:color w:val="auto"/>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28"/>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定标程序</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一、评审委员会将评审情况写出书面报告。</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二、区采购中心在评审结束之日起2个工作日内将评审报告送采购人。</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四、根据采购人确定的中标（成交）人，区采购中心在“四川政府采购网”和“</w:t>
      </w:r>
      <w:r>
        <w:rPr>
          <w:rFonts w:hint="eastAsia" w:ascii="宋体" w:hAnsi="宋体"/>
          <w:color w:val="auto"/>
          <w:sz w:val="28"/>
          <w:szCs w:val="28"/>
          <w:highlight w:val="none"/>
        </w:rPr>
        <w:t>成都市</w:t>
      </w:r>
      <w:r>
        <w:rPr>
          <w:rFonts w:hint="eastAsia" w:ascii="宋体" w:hAnsi="宋体"/>
          <w:color w:val="auto"/>
          <w:sz w:val="28"/>
          <w:szCs w:val="28"/>
          <w:highlight w:val="none"/>
          <w:lang w:eastAsia="zh-CN"/>
        </w:rPr>
        <w:t>公共资源交易服务中心</w:t>
      </w:r>
      <w:r>
        <w:rPr>
          <w:rFonts w:hint="eastAsia" w:ascii="宋体" w:hAnsi="宋体" w:cs="Helvetica"/>
          <w:color w:val="auto"/>
          <w:sz w:val="28"/>
          <w:szCs w:val="28"/>
          <w:highlight w:val="none"/>
        </w:rPr>
        <w:t>”网站上发布中标（成交）公告，同时向中标（成交）人发出中标（成交）通知书。</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五、采购人、区采购中心不解释中标（成交）或未中标（成交）原因，不退回投标文件和其他投标资料。</w:t>
      </w:r>
    </w:p>
    <w:p>
      <w:pPr>
        <w:keepNext/>
        <w:keepLines/>
        <w:numPr>
          <w:ilvl w:val="1"/>
          <w:numId w:val="28"/>
        </w:numPr>
        <w:spacing w:line="360" w:lineRule="auto"/>
        <w:jc w:val="left"/>
        <w:outlineLvl w:val="1"/>
        <w:rPr>
          <w:rFonts w:ascii="宋体" w:hAnsi="宋体"/>
          <w:b/>
          <w:bCs/>
          <w:color w:val="auto"/>
          <w:sz w:val="28"/>
          <w:szCs w:val="28"/>
          <w:highlight w:val="none"/>
        </w:rPr>
      </w:pPr>
      <w:bookmarkStart w:id="193" w:name="_Toc28145"/>
      <w:r>
        <w:rPr>
          <w:rFonts w:hint="eastAsia" w:ascii="宋体" w:hAnsi="宋体"/>
          <w:b/>
          <w:bCs/>
          <w:color w:val="auto"/>
          <w:sz w:val="28"/>
          <w:szCs w:val="28"/>
          <w:highlight w:val="none"/>
        </w:rPr>
        <w:t>评审专家在政府采购活动中承担以下义务</w:t>
      </w:r>
      <w:bookmarkEnd w:id="193"/>
    </w:p>
    <w:p>
      <w:pPr>
        <w:pStyle w:val="163"/>
        <w:numPr>
          <w:ilvl w:val="0"/>
          <w:numId w:val="80"/>
        </w:numPr>
        <w:tabs>
          <w:tab w:val="left" w:pos="284"/>
        </w:tabs>
        <w:spacing w:line="360" w:lineRule="auto"/>
        <w:ind w:left="0" w:firstLine="420" w:firstLineChars="0"/>
        <w:jc w:val="left"/>
        <w:rPr>
          <w:color w:val="auto"/>
          <w:sz w:val="28"/>
          <w:szCs w:val="28"/>
          <w:highlight w:val="none"/>
        </w:rPr>
      </w:pPr>
      <w:r>
        <w:rPr>
          <w:rFonts w:hint="eastAsia"/>
          <w:color w:val="auto"/>
          <w:sz w:val="28"/>
          <w:szCs w:val="28"/>
          <w:highlight w:val="none"/>
        </w:rPr>
        <w:t>遵守评审工作纪律；</w:t>
      </w:r>
    </w:p>
    <w:p>
      <w:pPr>
        <w:pStyle w:val="163"/>
        <w:numPr>
          <w:ilvl w:val="0"/>
          <w:numId w:val="80"/>
        </w:numPr>
        <w:tabs>
          <w:tab w:val="left" w:pos="284"/>
        </w:tabs>
        <w:spacing w:line="360" w:lineRule="auto"/>
        <w:ind w:left="0" w:firstLine="420" w:firstLineChars="0"/>
        <w:jc w:val="left"/>
        <w:rPr>
          <w:color w:val="auto"/>
          <w:sz w:val="28"/>
          <w:szCs w:val="28"/>
          <w:highlight w:val="none"/>
        </w:rPr>
      </w:pPr>
      <w:r>
        <w:rPr>
          <w:rFonts w:hint="eastAsia"/>
          <w:color w:val="auto"/>
          <w:sz w:val="28"/>
          <w:szCs w:val="28"/>
          <w:highlight w:val="none"/>
        </w:rPr>
        <w:t>按照客观、公正、审慎的原则，根据招标文件规定的评审程序、评审方法和评审标准进行独立评审；</w:t>
      </w:r>
    </w:p>
    <w:p>
      <w:pPr>
        <w:pStyle w:val="163"/>
        <w:numPr>
          <w:ilvl w:val="0"/>
          <w:numId w:val="80"/>
        </w:numPr>
        <w:tabs>
          <w:tab w:val="left" w:pos="284"/>
        </w:tabs>
        <w:spacing w:line="360" w:lineRule="auto"/>
        <w:ind w:left="0" w:firstLine="420" w:firstLineChars="0"/>
        <w:jc w:val="left"/>
        <w:rPr>
          <w:color w:val="auto"/>
          <w:sz w:val="28"/>
          <w:szCs w:val="28"/>
          <w:highlight w:val="none"/>
        </w:rPr>
      </w:pPr>
      <w:r>
        <w:rPr>
          <w:rFonts w:hint="eastAsia"/>
          <w:color w:val="auto"/>
          <w:sz w:val="28"/>
          <w:szCs w:val="28"/>
          <w:highlight w:val="none"/>
        </w:rPr>
        <w:t>不得泄露评审文件、评审情况和在评审过程中获悉的商业秘密；</w:t>
      </w:r>
    </w:p>
    <w:p>
      <w:pPr>
        <w:pStyle w:val="163"/>
        <w:numPr>
          <w:ilvl w:val="0"/>
          <w:numId w:val="80"/>
        </w:numPr>
        <w:tabs>
          <w:tab w:val="left" w:pos="284"/>
        </w:tabs>
        <w:spacing w:line="360" w:lineRule="auto"/>
        <w:ind w:left="0" w:firstLine="420" w:firstLineChars="0"/>
        <w:jc w:val="left"/>
        <w:rPr>
          <w:color w:val="auto"/>
          <w:sz w:val="28"/>
          <w:szCs w:val="28"/>
          <w:highlight w:val="none"/>
        </w:rPr>
      </w:pPr>
      <w:r>
        <w:rPr>
          <w:rFonts w:hint="eastAsia"/>
          <w:color w:val="auto"/>
          <w:sz w:val="28"/>
          <w:szCs w:val="28"/>
          <w:highlight w:val="none"/>
        </w:rPr>
        <w:t>及时向财政部门报告评审过程中发现的采购人、采购代理机构向评审专家做倾向性、误导性的解释或者说明，以及供应商行贿、提供虚假材料或者串通等违法行为；</w:t>
      </w:r>
    </w:p>
    <w:p>
      <w:pPr>
        <w:pStyle w:val="163"/>
        <w:numPr>
          <w:ilvl w:val="0"/>
          <w:numId w:val="80"/>
        </w:numPr>
        <w:tabs>
          <w:tab w:val="left" w:pos="284"/>
        </w:tabs>
        <w:spacing w:line="360" w:lineRule="auto"/>
        <w:ind w:left="0" w:firstLine="420" w:firstLineChars="0"/>
        <w:jc w:val="left"/>
        <w:rPr>
          <w:color w:val="auto"/>
          <w:sz w:val="28"/>
          <w:szCs w:val="28"/>
          <w:highlight w:val="none"/>
        </w:rPr>
      </w:pPr>
      <w:r>
        <w:rPr>
          <w:rFonts w:hint="eastAsia"/>
          <w:color w:val="auto"/>
          <w:sz w:val="28"/>
          <w:szCs w:val="28"/>
          <w:highlight w:val="none"/>
        </w:rPr>
        <w:t>发现招标文件内容违反国家有关强制性规定或者招标文件存在歧义、重大缺陷导致评审工作无法进行时，停止评审并向采购人或者采购代理机构书面说明情况；</w:t>
      </w:r>
    </w:p>
    <w:p>
      <w:pPr>
        <w:pStyle w:val="163"/>
        <w:numPr>
          <w:ilvl w:val="0"/>
          <w:numId w:val="80"/>
        </w:numPr>
        <w:tabs>
          <w:tab w:val="left" w:pos="284"/>
        </w:tabs>
        <w:spacing w:line="360" w:lineRule="auto"/>
        <w:ind w:left="0" w:firstLine="420" w:firstLineChars="0"/>
        <w:jc w:val="left"/>
        <w:rPr>
          <w:color w:val="auto"/>
          <w:sz w:val="28"/>
          <w:szCs w:val="28"/>
          <w:highlight w:val="none"/>
        </w:rPr>
      </w:pPr>
      <w:r>
        <w:rPr>
          <w:rFonts w:hint="eastAsia"/>
          <w:color w:val="auto"/>
          <w:sz w:val="28"/>
          <w:szCs w:val="28"/>
          <w:highlight w:val="none"/>
        </w:rPr>
        <w:t>及时向财政、监察等部门举报在评审过程中受到非法干预的情况；</w:t>
      </w:r>
    </w:p>
    <w:p>
      <w:pPr>
        <w:pStyle w:val="163"/>
        <w:numPr>
          <w:ilvl w:val="0"/>
          <w:numId w:val="80"/>
        </w:numPr>
        <w:tabs>
          <w:tab w:val="left" w:pos="284"/>
        </w:tabs>
        <w:spacing w:line="360" w:lineRule="auto"/>
        <w:ind w:left="0" w:firstLine="420" w:firstLineChars="0"/>
        <w:jc w:val="left"/>
        <w:rPr>
          <w:color w:val="auto"/>
          <w:sz w:val="28"/>
          <w:szCs w:val="28"/>
          <w:highlight w:val="none"/>
        </w:rPr>
      </w:pPr>
      <w:r>
        <w:rPr>
          <w:rFonts w:hint="eastAsia"/>
          <w:color w:val="auto"/>
          <w:sz w:val="28"/>
          <w:szCs w:val="28"/>
          <w:highlight w:val="none"/>
        </w:rPr>
        <w:t>配合答复处理供应商的询问、质疑和投诉等事项；</w:t>
      </w:r>
    </w:p>
    <w:p>
      <w:pPr>
        <w:pStyle w:val="163"/>
        <w:numPr>
          <w:ilvl w:val="0"/>
          <w:numId w:val="80"/>
        </w:numPr>
        <w:tabs>
          <w:tab w:val="left" w:pos="284"/>
        </w:tabs>
        <w:spacing w:line="360" w:lineRule="auto"/>
        <w:ind w:left="0" w:firstLine="420" w:firstLineChars="0"/>
        <w:jc w:val="left"/>
        <w:rPr>
          <w:color w:val="auto"/>
          <w:sz w:val="28"/>
          <w:szCs w:val="28"/>
          <w:highlight w:val="none"/>
        </w:rPr>
      </w:pPr>
      <w:r>
        <w:rPr>
          <w:rFonts w:hint="eastAsia"/>
          <w:color w:val="auto"/>
          <w:sz w:val="28"/>
          <w:szCs w:val="28"/>
          <w:highlight w:val="none"/>
        </w:rPr>
        <w:t>法律、法规和规章规定的其他义务。</w:t>
      </w:r>
    </w:p>
    <w:p>
      <w:pPr>
        <w:keepNext/>
        <w:keepLines/>
        <w:numPr>
          <w:ilvl w:val="1"/>
          <w:numId w:val="28"/>
        </w:numPr>
        <w:spacing w:before="240" w:line="360" w:lineRule="auto"/>
        <w:jc w:val="left"/>
        <w:outlineLvl w:val="1"/>
        <w:rPr>
          <w:rFonts w:ascii="宋体" w:hAnsi="宋体"/>
          <w:b/>
          <w:bCs/>
          <w:color w:val="auto"/>
          <w:sz w:val="28"/>
          <w:szCs w:val="28"/>
          <w:highlight w:val="none"/>
        </w:rPr>
      </w:pPr>
      <w:bookmarkStart w:id="194" w:name="_Toc26235"/>
      <w:r>
        <w:rPr>
          <w:rFonts w:hint="eastAsia" w:ascii="宋体" w:hAnsi="宋体"/>
          <w:b/>
          <w:bCs/>
          <w:color w:val="auto"/>
          <w:sz w:val="28"/>
          <w:szCs w:val="28"/>
          <w:highlight w:val="none"/>
        </w:rPr>
        <w:t>评审专家在政府采购活动中应当遵守以下工作纪律</w:t>
      </w:r>
      <w:bookmarkEnd w:id="194"/>
    </w:p>
    <w:p>
      <w:pPr>
        <w:numPr>
          <w:ilvl w:val="0"/>
          <w:numId w:val="81"/>
        </w:numPr>
        <w:tabs>
          <w:tab w:val="left" w:pos="1155"/>
          <w:tab w:val="left" w:pos="1276"/>
          <w:tab w:val="left" w:pos="1418"/>
          <w:tab w:val="left" w:pos="7665"/>
        </w:tabs>
        <w:spacing w:line="360" w:lineRule="auto"/>
        <w:ind w:left="0" w:firstLine="567"/>
        <w:jc w:val="left"/>
        <w:rPr>
          <w:rFonts w:ascii="宋体" w:hAnsi="宋体"/>
          <w:color w:val="auto"/>
          <w:sz w:val="28"/>
          <w:szCs w:val="28"/>
          <w:highlight w:val="none"/>
        </w:rPr>
      </w:pPr>
      <w:r>
        <w:rPr>
          <w:rFonts w:hint="eastAsia" w:ascii="宋体" w:hAnsi="宋体"/>
          <w:color w:val="auto"/>
          <w:sz w:val="28"/>
          <w:szCs w:val="28"/>
          <w:highlight w:val="none"/>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81"/>
        </w:numPr>
        <w:tabs>
          <w:tab w:val="left" w:pos="1155"/>
          <w:tab w:val="left" w:pos="1276"/>
          <w:tab w:val="left" w:pos="1418"/>
          <w:tab w:val="left" w:pos="7665"/>
        </w:tabs>
        <w:spacing w:line="360" w:lineRule="auto"/>
        <w:ind w:left="0" w:firstLine="567"/>
        <w:jc w:val="left"/>
        <w:rPr>
          <w:rFonts w:ascii="宋体" w:hAnsi="宋体"/>
          <w:color w:val="auto"/>
          <w:sz w:val="28"/>
          <w:szCs w:val="28"/>
          <w:highlight w:val="none"/>
        </w:rPr>
      </w:pPr>
      <w:r>
        <w:rPr>
          <w:rFonts w:hint="eastAsia" w:ascii="宋体" w:hAnsi="宋体"/>
          <w:color w:val="auto"/>
          <w:sz w:val="28"/>
          <w:szCs w:val="28"/>
          <w:highlight w:val="none"/>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区采购中心，不得私自转托他人；</w:t>
      </w:r>
    </w:p>
    <w:p>
      <w:pPr>
        <w:numPr>
          <w:ilvl w:val="0"/>
          <w:numId w:val="81"/>
        </w:numPr>
        <w:tabs>
          <w:tab w:val="left" w:pos="1155"/>
          <w:tab w:val="left" w:pos="1276"/>
          <w:tab w:val="left" w:pos="1418"/>
          <w:tab w:val="left" w:pos="7665"/>
        </w:tabs>
        <w:spacing w:line="360" w:lineRule="auto"/>
        <w:ind w:left="0" w:firstLine="567"/>
        <w:jc w:val="left"/>
        <w:rPr>
          <w:rFonts w:ascii="宋体" w:hAnsi="宋体"/>
          <w:color w:val="auto"/>
          <w:sz w:val="28"/>
          <w:szCs w:val="28"/>
          <w:highlight w:val="none"/>
        </w:rPr>
      </w:pPr>
      <w:r>
        <w:rPr>
          <w:rFonts w:hint="eastAsia" w:ascii="宋体" w:hAnsi="宋体"/>
          <w:color w:val="auto"/>
          <w:sz w:val="28"/>
          <w:szCs w:val="28"/>
          <w:highlight w:val="none"/>
        </w:rPr>
        <w:t>对需要专业</w:t>
      </w:r>
      <w:r>
        <w:rPr>
          <w:rFonts w:ascii="宋体" w:hAnsi="宋体"/>
          <w:color w:val="auto"/>
          <w:sz w:val="28"/>
          <w:szCs w:val="28"/>
          <w:highlight w:val="none"/>
        </w:rPr>
        <w:t>判断的主管评审因素不得协商评分；</w:t>
      </w:r>
    </w:p>
    <w:p>
      <w:pPr>
        <w:numPr>
          <w:ilvl w:val="0"/>
          <w:numId w:val="81"/>
        </w:numPr>
        <w:tabs>
          <w:tab w:val="left" w:pos="1155"/>
          <w:tab w:val="left" w:pos="1276"/>
          <w:tab w:val="left" w:pos="1418"/>
          <w:tab w:val="left" w:pos="7665"/>
        </w:tabs>
        <w:spacing w:line="360" w:lineRule="auto"/>
        <w:ind w:left="0" w:firstLine="567"/>
        <w:jc w:val="left"/>
        <w:rPr>
          <w:rFonts w:ascii="宋体" w:hAnsi="宋体"/>
          <w:color w:val="auto"/>
          <w:sz w:val="28"/>
          <w:szCs w:val="28"/>
          <w:highlight w:val="none"/>
        </w:rPr>
      </w:pPr>
      <w:r>
        <w:rPr>
          <w:rFonts w:hint="eastAsia" w:ascii="宋体" w:hAnsi="宋体"/>
          <w:color w:val="auto"/>
          <w:sz w:val="28"/>
          <w:szCs w:val="28"/>
          <w:highlight w:val="none"/>
        </w:rPr>
        <w:t>在</w:t>
      </w:r>
      <w:r>
        <w:rPr>
          <w:rFonts w:ascii="宋体" w:hAnsi="宋体"/>
          <w:color w:val="auto"/>
          <w:sz w:val="28"/>
          <w:szCs w:val="28"/>
          <w:highlight w:val="none"/>
        </w:rPr>
        <w:t>评审过程中不得擅离职守，影响</w:t>
      </w:r>
      <w:r>
        <w:rPr>
          <w:rFonts w:hint="eastAsia" w:ascii="宋体" w:hAnsi="宋体"/>
          <w:color w:val="auto"/>
          <w:sz w:val="28"/>
          <w:szCs w:val="28"/>
          <w:highlight w:val="none"/>
        </w:rPr>
        <w:t>评审</w:t>
      </w:r>
      <w:r>
        <w:rPr>
          <w:rFonts w:ascii="宋体" w:hAnsi="宋体"/>
          <w:color w:val="auto"/>
          <w:sz w:val="28"/>
          <w:szCs w:val="28"/>
          <w:highlight w:val="none"/>
        </w:rPr>
        <w:t>程序</w:t>
      </w:r>
      <w:r>
        <w:rPr>
          <w:rFonts w:hint="eastAsia" w:ascii="宋体" w:hAnsi="宋体"/>
          <w:color w:val="auto"/>
          <w:sz w:val="28"/>
          <w:szCs w:val="28"/>
          <w:highlight w:val="none"/>
        </w:rPr>
        <w:t>正常进行；</w:t>
      </w:r>
    </w:p>
    <w:p>
      <w:pPr>
        <w:numPr>
          <w:ilvl w:val="0"/>
          <w:numId w:val="81"/>
        </w:numPr>
        <w:tabs>
          <w:tab w:val="left" w:pos="1155"/>
          <w:tab w:val="left" w:pos="1276"/>
          <w:tab w:val="left" w:pos="1418"/>
          <w:tab w:val="left" w:pos="7665"/>
        </w:tabs>
        <w:spacing w:line="360" w:lineRule="auto"/>
        <w:ind w:left="0" w:firstLine="567"/>
        <w:jc w:val="left"/>
        <w:rPr>
          <w:rFonts w:ascii="宋体" w:hAnsi="宋体"/>
          <w:color w:val="auto"/>
          <w:sz w:val="28"/>
          <w:szCs w:val="28"/>
          <w:highlight w:val="none"/>
        </w:rPr>
      </w:pPr>
      <w:r>
        <w:rPr>
          <w:rFonts w:hint="eastAsia" w:ascii="宋体" w:hAnsi="宋体"/>
          <w:color w:val="auto"/>
          <w:sz w:val="28"/>
          <w:szCs w:val="28"/>
          <w:highlight w:val="none"/>
        </w:rPr>
        <w:t>评审过程中，不得与外界联系，因发生不可预见情况，确实需要与外界联系的，应当在监督人员监督之下办理；</w:t>
      </w:r>
    </w:p>
    <w:p>
      <w:pPr>
        <w:numPr>
          <w:ilvl w:val="0"/>
          <w:numId w:val="81"/>
        </w:numPr>
        <w:tabs>
          <w:tab w:val="left" w:pos="1155"/>
          <w:tab w:val="left" w:pos="1276"/>
          <w:tab w:val="left" w:pos="1418"/>
          <w:tab w:val="left" w:pos="7665"/>
        </w:tabs>
        <w:spacing w:line="360" w:lineRule="auto"/>
        <w:ind w:left="0" w:firstLine="567"/>
        <w:jc w:val="left"/>
        <w:rPr>
          <w:rFonts w:ascii="宋体" w:hAnsi="宋体"/>
          <w:color w:val="auto"/>
          <w:sz w:val="28"/>
          <w:szCs w:val="28"/>
          <w:highlight w:val="none"/>
        </w:rPr>
      </w:pPr>
      <w:r>
        <w:rPr>
          <w:rFonts w:hint="eastAsia" w:ascii="宋体" w:hAnsi="宋体"/>
          <w:color w:val="auto"/>
          <w:sz w:val="28"/>
          <w:szCs w:val="28"/>
          <w:highlight w:val="none"/>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81"/>
        </w:numPr>
        <w:tabs>
          <w:tab w:val="left" w:pos="1155"/>
          <w:tab w:val="left" w:pos="1276"/>
          <w:tab w:val="left" w:pos="1418"/>
          <w:tab w:val="left" w:pos="7665"/>
        </w:tabs>
        <w:spacing w:line="360" w:lineRule="auto"/>
        <w:ind w:left="0" w:firstLine="567"/>
        <w:jc w:val="left"/>
        <w:rPr>
          <w:rFonts w:ascii="宋体" w:hAnsi="宋体"/>
          <w:color w:val="auto"/>
          <w:sz w:val="28"/>
          <w:szCs w:val="28"/>
          <w:highlight w:val="none"/>
        </w:rPr>
      </w:pPr>
      <w:r>
        <w:rPr>
          <w:rFonts w:hint="eastAsia" w:ascii="宋体" w:hAnsi="宋体"/>
          <w:color w:val="auto"/>
          <w:sz w:val="28"/>
          <w:szCs w:val="28"/>
          <w:highlight w:val="none"/>
        </w:rPr>
        <w:t>在评审过程中和评审结束后，不得记录、复制或带走任何评审资料，不得向外界透露评审内容；</w:t>
      </w:r>
    </w:p>
    <w:p>
      <w:pPr>
        <w:numPr>
          <w:ilvl w:val="0"/>
          <w:numId w:val="81"/>
        </w:numPr>
        <w:tabs>
          <w:tab w:val="left" w:pos="1155"/>
          <w:tab w:val="left" w:pos="1276"/>
          <w:tab w:val="left" w:pos="1418"/>
          <w:tab w:val="left" w:pos="7665"/>
        </w:tabs>
        <w:spacing w:line="360" w:lineRule="auto"/>
        <w:ind w:left="0" w:firstLine="567"/>
        <w:jc w:val="left"/>
        <w:rPr>
          <w:rFonts w:ascii="宋体" w:hAnsi="宋体"/>
          <w:color w:val="auto"/>
          <w:sz w:val="28"/>
          <w:szCs w:val="28"/>
          <w:highlight w:val="none"/>
        </w:rPr>
      </w:pPr>
      <w:r>
        <w:rPr>
          <w:rFonts w:hint="eastAsia" w:ascii="宋体" w:hAnsi="宋体"/>
          <w:color w:val="auto"/>
          <w:sz w:val="28"/>
          <w:szCs w:val="28"/>
          <w:highlight w:val="none"/>
        </w:rPr>
        <w:t>评审现场服从采购代理机构工作人员的管理，接受现场监督人员的合法监督；</w:t>
      </w:r>
    </w:p>
    <w:p>
      <w:pPr>
        <w:numPr>
          <w:ilvl w:val="0"/>
          <w:numId w:val="81"/>
        </w:numPr>
        <w:tabs>
          <w:tab w:val="left" w:pos="1155"/>
          <w:tab w:val="left" w:pos="1276"/>
          <w:tab w:val="left" w:pos="1418"/>
          <w:tab w:val="left" w:pos="7665"/>
        </w:tabs>
        <w:spacing w:line="360" w:lineRule="auto"/>
        <w:ind w:left="0" w:firstLine="567"/>
        <w:jc w:val="left"/>
        <w:rPr>
          <w:color w:val="auto"/>
          <w:highlight w:val="none"/>
        </w:rPr>
      </w:pPr>
      <w:r>
        <w:rPr>
          <w:rFonts w:hint="eastAsia" w:ascii="宋体" w:hAnsi="宋体"/>
          <w:color w:val="auto"/>
          <w:sz w:val="28"/>
          <w:szCs w:val="28"/>
          <w:highlight w:val="none"/>
        </w:rPr>
        <w:t>遵守有关廉洁自律规定，不得私下接触供应商，不得收受供应商及有关业务单位和个人的财物或好处，不得接受采购代理机构的请托。</w:t>
      </w:r>
    </w:p>
    <w:bookmarkEnd w:id="0"/>
    <w:bookmarkEnd w:id="1"/>
    <w:bookmarkEnd w:id="2"/>
    <w:bookmarkEnd w:id="3"/>
    <w:bookmarkEnd w:id="137"/>
    <w:bookmarkEnd w:id="138"/>
    <w:p>
      <w:pPr>
        <w:widowControl/>
        <w:jc w:val="left"/>
        <w:rPr>
          <w:rFonts w:ascii="宋体" w:hAnsi="宋体"/>
          <w:b/>
          <w:bCs/>
          <w:color w:val="auto"/>
          <w:spacing w:val="-20"/>
          <w:kern w:val="44"/>
          <w:sz w:val="32"/>
          <w:szCs w:val="32"/>
          <w:highlight w:val="none"/>
        </w:rPr>
      </w:pPr>
      <w:bookmarkStart w:id="195" w:name="_Toc217446108"/>
      <w:bookmarkStart w:id="196" w:name="_Toc8573798"/>
      <w:bookmarkStart w:id="197" w:name="_Toc34729074"/>
      <w:r>
        <w:rPr>
          <w:rFonts w:ascii="宋体" w:hAnsi="宋体"/>
          <w:b/>
          <w:bCs/>
          <w:color w:val="auto"/>
          <w:spacing w:val="-20"/>
          <w:kern w:val="44"/>
          <w:sz w:val="32"/>
          <w:szCs w:val="32"/>
          <w:highlight w:val="none"/>
        </w:rPr>
        <w:br w:type="page"/>
      </w:r>
    </w:p>
    <w:p>
      <w:pPr>
        <w:pStyle w:val="322"/>
        <w:tabs>
          <w:tab w:val="left" w:pos="1631"/>
        </w:tabs>
        <w:spacing w:line="480" w:lineRule="exact"/>
        <w:ind w:firstLine="320" w:firstLineChars="100"/>
        <w:jc w:val="both"/>
        <w:outlineLvl w:val="2"/>
        <w:rPr>
          <w:rFonts w:hint="default" w:hAnsi="宋体" w:cs="Times New Roman"/>
          <w:color w:val="auto"/>
          <w:sz w:val="28"/>
          <w:szCs w:val="28"/>
          <w:highlight w:val="none"/>
          <w:lang w:val="zh-TW"/>
        </w:rPr>
      </w:pPr>
    </w:p>
    <w:p>
      <w:pPr>
        <w:keepNext/>
        <w:keepLines/>
        <w:numPr>
          <w:ilvl w:val="0"/>
          <w:numId w:val="28"/>
        </w:numPr>
        <w:spacing w:before="340" w:after="330" w:line="400" w:lineRule="exact"/>
        <w:jc w:val="center"/>
        <w:outlineLvl w:val="0"/>
        <w:rPr>
          <w:rFonts w:ascii="宋体" w:hAnsi="宋体"/>
          <w:b/>
          <w:bCs/>
          <w:color w:val="auto"/>
          <w:spacing w:val="-20"/>
          <w:kern w:val="44"/>
          <w:sz w:val="32"/>
          <w:szCs w:val="32"/>
          <w:highlight w:val="none"/>
        </w:rPr>
      </w:pPr>
      <w:bookmarkStart w:id="198" w:name="_Toc22061"/>
      <w:r>
        <w:rPr>
          <w:rFonts w:hint="eastAsia" w:ascii="宋体" w:hAnsi="宋体"/>
          <w:b/>
          <w:bCs/>
          <w:color w:val="auto"/>
          <w:spacing w:val="-20"/>
          <w:kern w:val="44"/>
          <w:sz w:val="32"/>
          <w:szCs w:val="32"/>
          <w:highlight w:val="none"/>
        </w:rPr>
        <w:t>拟签订的合同文本</w:t>
      </w:r>
      <w:bookmarkEnd w:id="198"/>
    </w:p>
    <w:p>
      <w:pPr>
        <w:pStyle w:val="2"/>
        <w:jc w:val="center"/>
        <w:rPr>
          <w:rFonts w:ascii="方正小标宋简体" w:eastAsia="方正小标宋简体"/>
          <w:color w:val="auto"/>
          <w:sz w:val="36"/>
          <w:szCs w:val="36"/>
          <w:highlight w:val="none"/>
        </w:rPr>
      </w:pPr>
    </w:p>
    <w:p>
      <w:pPr>
        <w:spacing w:line="500" w:lineRule="exact"/>
        <w:jc w:val="center"/>
        <w:rPr>
          <w:rFonts w:ascii="Times New Roman" w:hAnsi="Times New Roman"/>
          <w:color w:val="auto"/>
          <w:sz w:val="36"/>
          <w:szCs w:val="36"/>
          <w:highlight w:val="none"/>
        </w:rPr>
      </w:pPr>
      <w:r>
        <w:rPr>
          <w:rFonts w:hint="eastAsia" w:ascii="Times New Roman" w:hAnsi="Times New Roman"/>
          <w:color w:val="auto"/>
          <w:sz w:val="36"/>
          <w:szCs w:val="36"/>
          <w:highlight w:val="none"/>
        </w:rPr>
        <w:t>政府采购合同（模板）</w:t>
      </w:r>
    </w:p>
    <w:p>
      <w:pPr>
        <w:spacing w:line="500" w:lineRule="exact"/>
        <w:rPr>
          <w:rFonts w:ascii="宋体" w:hAnsi="宋体" w:cs="宋体"/>
          <w:color w:val="auto"/>
          <w:sz w:val="28"/>
          <w:szCs w:val="28"/>
          <w:highlight w:val="none"/>
        </w:rPr>
      </w:pPr>
    </w:p>
    <w:p>
      <w:pPr>
        <w:spacing w:line="500" w:lineRule="exact"/>
        <w:rPr>
          <w:rFonts w:ascii="Times New Roman" w:hAnsi="Times New Roman" w:cs="宋体"/>
          <w:color w:val="auto"/>
          <w:sz w:val="24"/>
          <w:szCs w:val="24"/>
          <w:highlight w:val="none"/>
        </w:rPr>
      </w:pPr>
      <w:r>
        <w:rPr>
          <w:rFonts w:hint="eastAsia" w:ascii="Times New Roman" w:hAnsi="Times New Roman" w:cs="宋体"/>
          <w:color w:val="auto"/>
          <w:kern w:val="0"/>
          <w:sz w:val="24"/>
          <w:szCs w:val="24"/>
          <w:highlight w:val="none"/>
          <w:lang w:bidi="ar"/>
        </w:rPr>
        <w:t xml:space="preserve">合同编号：  </w:t>
      </w:r>
    </w:p>
    <w:p>
      <w:pPr>
        <w:spacing w:line="500" w:lineRule="exact"/>
        <w:rPr>
          <w:rFonts w:ascii="Times New Roman" w:hAnsi="Times New Roman" w:cs="宋体"/>
          <w:color w:val="auto"/>
          <w:sz w:val="24"/>
          <w:szCs w:val="24"/>
          <w:highlight w:val="none"/>
        </w:rPr>
      </w:pPr>
      <w:r>
        <w:rPr>
          <w:rFonts w:hint="eastAsia" w:ascii="Times New Roman" w:hAnsi="Times New Roman" w:cs="宋体"/>
          <w:color w:val="auto"/>
          <w:kern w:val="0"/>
          <w:sz w:val="24"/>
          <w:szCs w:val="24"/>
          <w:highlight w:val="none"/>
          <w:lang w:bidi="ar"/>
        </w:rPr>
        <w:t>签订地点：</w:t>
      </w:r>
    </w:p>
    <w:p>
      <w:pPr>
        <w:spacing w:line="500" w:lineRule="exact"/>
        <w:rPr>
          <w:rFonts w:ascii="Times New Roman" w:hAnsi="Times New Roman" w:cs="宋体"/>
          <w:color w:val="auto"/>
          <w:kern w:val="0"/>
          <w:sz w:val="24"/>
          <w:szCs w:val="24"/>
          <w:highlight w:val="none"/>
          <w:lang w:bidi="ar"/>
        </w:rPr>
      </w:pPr>
      <w:r>
        <w:rPr>
          <w:rFonts w:hint="eastAsia" w:ascii="Times New Roman" w:hAnsi="Times New Roman" w:cs="宋体"/>
          <w:color w:val="auto"/>
          <w:kern w:val="0"/>
          <w:sz w:val="24"/>
          <w:szCs w:val="24"/>
          <w:highlight w:val="none"/>
          <w:lang w:bidi="ar"/>
        </w:rPr>
        <w:t>签订时间： 年 月 日</w:t>
      </w:r>
    </w:p>
    <w:p>
      <w:pPr>
        <w:spacing w:line="500" w:lineRule="exact"/>
        <w:rPr>
          <w:rFonts w:ascii="Times New Roman" w:hAnsi="Times New Roman" w:cs="宋体"/>
          <w:color w:val="auto"/>
          <w:sz w:val="24"/>
          <w:szCs w:val="24"/>
          <w:highlight w:val="none"/>
        </w:rPr>
      </w:pPr>
      <w:r>
        <w:rPr>
          <w:rFonts w:hint="eastAsia" w:ascii="Times New Roman" w:hAnsi="Times New Roman" w:cs="宋体"/>
          <w:color w:val="auto"/>
          <w:kern w:val="0"/>
          <w:sz w:val="24"/>
          <w:szCs w:val="24"/>
          <w:highlight w:val="none"/>
          <w:lang w:bidi="ar"/>
        </w:rPr>
        <w:t>采购人（甲方）：</w:t>
      </w:r>
      <w:r>
        <w:rPr>
          <w:rFonts w:hint="eastAsia" w:ascii="Times New Roman" w:hAnsi="Times New Roman" w:cs="宋体"/>
          <w:color w:val="auto"/>
          <w:kern w:val="0"/>
          <w:sz w:val="24"/>
          <w:szCs w:val="24"/>
          <w:highlight w:val="none"/>
          <w:u w:val="single"/>
          <w:lang w:bidi="ar"/>
        </w:rPr>
        <w:t xml:space="preserve">                          </w:t>
      </w:r>
      <w:r>
        <w:rPr>
          <w:rFonts w:hint="eastAsia" w:ascii="Times New Roman" w:hAnsi="Times New Roman" w:cs="宋体"/>
          <w:color w:val="auto"/>
          <w:kern w:val="0"/>
          <w:sz w:val="24"/>
          <w:szCs w:val="24"/>
          <w:highlight w:val="none"/>
          <w:lang w:bidi="ar"/>
        </w:rPr>
        <w:t xml:space="preserve">    </w:t>
      </w:r>
    </w:p>
    <w:p>
      <w:pPr>
        <w:spacing w:line="500" w:lineRule="exact"/>
        <w:rPr>
          <w:rFonts w:ascii="Times New Roman" w:hAnsi="Times New Roman" w:cs="宋体"/>
          <w:color w:val="auto"/>
          <w:kern w:val="0"/>
          <w:sz w:val="24"/>
          <w:szCs w:val="24"/>
          <w:highlight w:val="none"/>
          <w:lang w:bidi="ar"/>
        </w:rPr>
      </w:pPr>
      <w:r>
        <w:rPr>
          <w:rFonts w:hint="eastAsia" w:ascii="Times New Roman" w:hAnsi="Times New Roman" w:cs="宋体"/>
          <w:color w:val="auto"/>
          <w:kern w:val="0"/>
          <w:sz w:val="24"/>
          <w:szCs w:val="24"/>
          <w:highlight w:val="none"/>
          <w:lang w:bidi="ar"/>
        </w:rPr>
        <w:t>供应商（乙方）：</w:t>
      </w:r>
      <w:r>
        <w:rPr>
          <w:rFonts w:hint="eastAsia" w:ascii="Times New Roman" w:hAnsi="Times New Roman" w:cs="宋体"/>
          <w:color w:val="auto"/>
          <w:kern w:val="0"/>
          <w:sz w:val="24"/>
          <w:szCs w:val="24"/>
          <w:highlight w:val="none"/>
          <w:u w:val="single"/>
          <w:lang w:bidi="ar"/>
        </w:rPr>
        <w:t xml:space="preserve">                          </w:t>
      </w:r>
      <w:r>
        <w:rPr>
          <w:rFonts w:hint="eastAsia" w:ascii="Times New Roman" w:hAnsi="Times New Roman" w:cs="宋体"/>
          <w:color w:val="auto"/>
          <w:kern w:val="0"/>
          <w:sz w:val="24"/>
          <w:szCs w:val="24"/>
          <w:highlight w:val="none"/>
          <w:lang w:bidi="ar"/>
        </w:rPr>
        <w:t xml:space="preserve">                                           </w:t>
      </w:r>
    </w:p>
    <w:p>
      <w:pPr>
        <w:spacing w:line="500" w:lineRule="exact"/>
        <w:ind w:firstLine="480" w:firstLineChars="200"/>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lang w:bidi="ar"/>
        </w:rPr>
        <w:t>根据《中华人民共和国政府采购法》、《中华人民共和国民法典》及“</w:t>
      </w:r>
      <w:r>
        <w:rPr>
          <w:rFonts w:hint="eastAsia" w:ascii="Times New Roman" w:hAnsi="Times New Roman" w:cs="宋体"/>
          <w:color w:val="auto"/>
          <w:sz w:val="24"/>
          <w:szCs w:val="24"/>
          <w:highlight w:val="none"/>
          <w:lang w:eastAsia="zh-CN" w:bidi="ar"/>
        </w:rPr>
        <w:t>成都市锦江区综合行政执法局2022—2024年锦江区环卫保洁、环卫公厕、绿化和河道管护一体化服务项目</w:t>
      </w:r>
      <w:r>
        <w:rPr>
          <w:rFonts w:hint="eastAsia" w:ascii="Times New Roman" w:hAnsi="Times New Roman" w:cs="宋体"/>
          <w:color w:val="auto"/>
          <w:sz w:val="24"/>
          <w:szCs w:val="24"/>
          <w:highlight w:val="none"/>
          <w:lang w:bidi="ar"/>
        </w:rPr>
        <w:t>”（招标编号：xxx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第一条 项目基本情况</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（一）项目名称：成都市锦江区综合行政执法局2022—2024年环卫保洁、环卫公厕、绿化和河道管护一体化服务项目</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（二）项目范围：xxx街道办事处辖区环卫保洁、环卫公厕、绿化和河道管护：</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1、道路保洁面积xxx平方米。其中特级道路xxxxx平方米，一级道路xxxxx平方米，二级道路xxxxx平方米，三级道路xxxxx平方米。</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2、市管绿化面积xxx平方米。</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3、生活垃圾xxx吨/日，厨余垃圾xxx吨/日。</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4、道路桥梁护栏xxx米。</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5、环卫公厕：定时开放xx座；24小时开放xx座。</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6</w:t>
      </w:r>
      <w:r>
        <w:rPr>
          <w:rFonts w:hint="eastAsia" w:ascii="Times New Roman" w:hAnsi="Times New Roman"/>
          <w:color w:val="auto"/>
          <w:sz w:val="24"/>
          <w:szCs w:val="24"/>
          <w:highlight w:val="none"/>
        </w:rPr>
        <w:t>、河道名称：</w:t>
      </w:r>
      <w:r>
        <w:rPr>
          <w:rFonts w:ascii="Times New Roman" w:hAnsi="Times New Roman"/>
          <w:color w:val="auto"/>
          <w:sz w:val="24"/>
          <w:szCs w:val="24"/>
          <w:highlight w:val="none"/>
        </w:rPr>
        <w:t>xxx</w:t>
      </w:r>
      <w:r>
        <w:rPr>
          <w:rFonts w:hint="eastAsia" w:ascii="Times New Roman" w:hAnsi="Times New Roman"/>
          <w:color w:val="auto"/>
          <w:sz w:val="24"/>
          <w:szCs w:val="24"/>
          <w:highlight w:val="none"/>
        </w:rPr>
        <w:t>；河道长度：</w:t>
      </w:r>
      <w:r>
        <w:rPr>
          <w:rFonts w:ascii="Times New Roman" w:hAnsi="Times New Roman"/>
          <w:color w:val="auto"/>
          <w:sz w:val="24"/>
          <w:szCs w:val="24"/>
          <w:highlight w:val="none"/>
        </w:rPr>
        <w:t>xxx</w:t>
      </w:r>
      <w:r>
        <w:rPr>
          <w:rFonts w:hint="eastAsia" w:ascii="Times New Roman" w:hAnsi="Times New Roman"/>
          <w:color w:val="auto"/>
          <w:sz w:val="24"/>
          <w:szCs w:val="24"/>
          <w:highlight w:val="none"/>
        </w:rPr>
        <w:t>；河床面积xxx平方米；河道栏杆xxx米；</w:t>
      </w:r>
      <w:r>
        <w:rPr>
          <w:rFonts w:hint="eastAsia" w:ascii="Times New Roman" w:hAnsi="Times New Roman"/>
          <w:color w:val="auto"/>
          <w:sz w:val="24"/>
          <w:szCs w:val="24"/>
          <w:highlight w:val="none"/>
          <w:lang w:bidi="ar"/>
        </w:rPr>
        <w:t>河道绿化面积</w:t>
      </w:r>
      <w:r>
        <w:rPr>
          <w:rFonts w:hint="eastAsia" w:ascii="Times New Roman" w:hAnsi="Times New Roman"/>
          <w:color w:val="auto"/>
          <w:sz w:val="24"/>
          <w:szCs w:val="24"/>
          <w:highlight w:val="none"/>
        </w:rPr>
        <w:t>xxx平方米。</w:t>
      </w:r>
    </w:p>
    <w:p>
      <w:pPr>
        <w:spacing w:line="500" w:lineRule="exact"/>
        <w:ind w:firstLine="480" w:firstLineChars="200"/>
        <w:rPr>
          <w:rFonts w:ascii="Times New Roman" w:hAnsi="Times New Roman"/>
          <w:color w:val="auto"/>
          <w:sz w:val="24"/>
          <w:szCs w:val="24"/>
          <w:highlight w:val="none"/>
          <w:lang w:bidi="ar"/>
        </w:rPr>
      </w:pPr>
      <w:r>
        <w:rPr>
          <w:rFonts w:ascii="Times New Roman" w:hAnsi="Times New Roman"/>
          <w:color w:val="auto"/>
          <w:sz w:val="24"/>
          <w:szCs w:val="24"/>
          <w:highlight w:val="none"/>
          <w:lang w:bidi="ar"/>
        </w:rPr>
        <w:t>7</w:t>
      </w:r>
      <w:r>
        <w:rPr>
          <w:rFonts w:hint="eastAsia" w:ascii="Times New Roman" w:hAnsi="Times New Roman"/>
          <w:color w:val="auto"/>
          <w:sz w:val="24"/>
          <w:szCs w:val="24"/>
          <w:highlight w:val="none"/>
          <w:lang w:bidi="ar"/>
        </w:rPr>
        <w:t>、区管绿化面积</w:t>
      </w:r>
      <w:r>
        <w:rPr>
          <w:rFonts w:hint="eastAsia" w:ascii="Times New Roman" w:hAnsi="Times New Roman"/>
          <w:color w:val="auto"/>
          <w:sz w:val="24"/>
          <w:szCs w:val="24"/>
          <w:highlight w:val="none"/>
        </w:rPr>
        <w:t>xxx平方米：其中绿地面积xxx平方米；广场游园面积xxx平方米；</w:t>
      </w:r>
      <w:r>
        <w:rPr>
          <w:rFonts w:hint="eastAsia" w:ascii="Times New Roman" w:hAnsi="Times New Roman"/>
          <w:color w:val="auto"/>
          <w:sz w:val="24"/>
          <w:szCs w:val="24"/>
          <w:highlight w:val="none"/>
          <w:lang w:bidi="ar"/>
        </w:rPr>
        <w:t>地栽花面积</w:t>
      </w:r>
      <w:r>
        <w:rPr>
          <w:rFonts w:hint="eastAsia" w:ascii="Times New Roman" w:hAnsi="Times New Roman"/>
          <w:color w:val="auto"/>
          <w:sz w:val="24"/>
          <w:szCs w:val="24"/>
          <w:highlight w:val="none"/>
        </w:rPr>
        <w:t>xxx平方米。</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第二条 服务期限</w:t>
      </w:r>
    </w:p>
    <w:p>
      <w:pPr>
        <w:topLinePunct/>
        <w:spacing w:line="500" w:lineRule="exact"/>
        <w:ind w:firstLine="480" w:firstLineChars="200"/>
        <w:rPr>
          <w:rFonts w:ascii="Times New Roman" w:hAnsi="Times New Roman"/>
          <w:color w:val="auto"/>
          <w:sz w:val="24"/>
          <w:szCs w:val="24"/>
          <w:highlight w:val="none"/>
        </w:rPr>
      </w:pPr>
      <w:bookmarkStart w:id="199" w:name="_Toc185395249"/>
      <w:bookmarkStart w:id="200" w:name="_Toc239568418"/>
      <w:bookmarkStart w:id="201" w:name="_Toc247334841"/>
      <w:bookmarkStart w:id="202" w:name="_Toc239233914"/>
      <w:bookmarkStart w:id="203" w:name="_Toc232492928"/>
      <w:bookmarkStart w:id="204" w:name="_Toc225654644"/>
      <w:bookmarkStart w:id="205" w:name="_Toc238984975"/>
      <w:bookmarkStart w:id="206" w:name="_Toc211911348"/>
      <w:bookmarkStart w:id="207" w:name="_Toc286993786"/>
      <w:bookmarkStart w:id="208" w:name="_Toc282696226"/>
      <w:bookmarkStart w:id="209" w:name="_Toc211854449"/>
      <w:bookmarkStart w:id="210" w:name="_Toc251768862"/>
      <w:bookmarkStart w:id="211" w:name="_Toc225244852"/>
      <w:bookmarkStart w:id="212" w:name="_Toc241833903"/>
      <w:bookmarkStart w:id="213" w:name="_Toc283019214"/>
      <w:bookmarkStart w:id="214" w:name="_Toc225670751"/>
      <w:bookmarkStart w:id="215" w:name="_Toc237145406"/>
      <w:bookmarkStart w:id="216" w:name="_Toc212019594"/>
      <w:r>
        <w:rPr>
          <w:rFonts w:hint="eastAsia" w:ascii="Times New Roman" w:hAnsi="Times New Roman"/>
          <w:color w:val="auto"/>
          <w:sz w:val="24"/>
          <w:szCs w:val="24"/>
          <w:highlight w:val="none"/>
          <w:lang w:bidi="ar"/>
        </w:rPr>
        <w:t>本轮项目服务期限为3年（</w:t>
      </w:r>
      <w:r>
        <w:rPr>
          <w:rFonts w:hint="eastAsia" w:ascii="Times New Roman" w:hAnsi="Times New Roman"/>
          <w:color w:val="auto"/>
          <w:sz w:val="24"/>
          <w:szCs w:val="24"/>
          <w:highlight w:val="none"/>
        </w:rPr>
        <w:t>xxxx</w:t>
      </w:r>
      <w:r>
        <w:rPr>
          <w:rFonts w:hint="eastAsia" w:ascii="Times New Roman" w:hAnsi="Times New Roman"/>
          <w:color w:val="auto"/>
          <w:sz w:val="24"/>
          <w:szCs w:val="24"/>
          <w:highlight w:val="none"/>
          <w:lang w:bidi="ar"/>
        </w:rPr>
        <w:t>年</w:t>
      </w:r>
      <w:r>
        <w:rPr>
          <w:rFonts w:hint="eastAsia" w:ascii="Times New Roman" w:hAnsi="Times New Roman"/>
          <w:color w:val="auto"/>
          <w:sz w:val="24"/>
          <w:szCs w:val="24"/>
          <w:highlight w:val="none"/>
        </w:rPr>
        <w:t>xx</w:t>
      </w:r>
      <w:r>
        <w:rPr>
          <w:rFonts w:hint="eastAsia" w:ascii="Times New Roman" w:hAnsi="Times New Roman"/>
          <w:color w:val="auto"/>
          <w:sz w:val="24"/>
          <w:szCs w:val="24"/>
          <w:highlight w:val="none"/>
          <w:lang w:bidi="ar"/>
        </w:rPr>
        <w:t>月</w:t>
      </w:r>
      <w:r>
        <w:rPr>
          <w:rFonts w:hint="eastAsia" w:ascii="Times New Roman" w:hAnsi="Times New Roman"/>
          <w:color w:val="auto"/>
          <w:sz w:val="24"/>
          <w:szCs w:val="24"/>
          <w:highlight w:val="none"/>
        </w:rPr>
        <w:t>xx</w:t>
      </w:r>
      <w:r>
        <w:rPr>
          <w:rFonts w:hint="eastAsia" w:ascii="Times New Roman" w:hAnsi="Times New Roman"/>
          <w:color w:val="auto"/>
          <w:sz w:val="24"/>
          <w:szCs w:val="24"/>
          <w:highlight w:val="none"/>
          <w:lang w:bidi="ar"/>
        </w:rPr>
        <w:t>日至</w:t>
      </w:r>
      <w:r>
        <w:rPr>
          <w:rFonts w:hint="eastAsia" w:ascii="Times New Roman" w:hAnsi="Times New Roman"/>
          <w:color w:val="auto"/>
          <w:sz w:val="24"/>
          <w:szCs w:val="24"/>
          <w:highlight w:val="none"/>
        </w:rPr>
        <w:t>xxxx</w:t>
      </w:r>
      <w:r>
        <w:rPr>
          <w:rFonts w:hint="eastAsia" w:ascii="Times New Roman" w:hAnsi="Times New Roman"/>
          <w:color w:val="auto"/>
          <w:sz w:val="24"/>
          <w:szCs w:val="24"/>
          <w:highlight w:val="none"/>
          <w:lang w:bidi="ar"/>
        </w:rPr>
        <w:t>年</w:t>
      </w:r>
      <w:r>
        <w:rPr>
          <w:rFonts w:hint="eastAsia" w:ascii="Times New Roman" w:hAnsi="Times New Roman"/>
          <w:color w:val="auto"/>
          <w:sz w:val="24"/>
          <w:szCs w:val="24"/>
          <w:highlight w:val="none"/>
        </w:rPr>
        <w:t>xx</w:t>
      </w:r>
      <w:r>
        <w:rPr>
          <w:rFonts w:hint="eastAsia" w:ascii="Times New Roman" w:hAnsi="Times New Roman"/>
          <w:color w:val="auto"/>
          <w:sz w:val="24"/>
          <w:szCs w:val="24"/>
          <w:highlight w:val="none"/>
          <w:lang w:bidi="ar"/>
        </w:rPr>
        <w:t>月</w:t>
      </w:r>
      <w:r>
        <w:rPr>
          <w:rFonts w:hint="eastAsia" w:ascii="Times New Roman" w:hAnsi="Times New Roman"/>
          <w:color w:val="auto"/>
          <w:sz w:val="24"/>
          <w:szCs w:val="24"/>
          <w:highlight w:val="none"/>
        </w:rPr>
        <w:t>xx</w:t>
      </w:r>
      <w:r>
        <w:rPr>
          <w:rFonts w:hint="eastAsia" w:ascii="Times New Roman" w:hAnsi="Times New Roman"/>
          <w:color w:val="auto"/>
          <w:sz w:val="24"/>
          <w:szCs w:val="24"/>
          <w:highlight w:val="none"/>
          <w:lang w:bidi="ar"/>
        </w:rPr>
        <w:t>日），合同一年一签。本合同服务有效期为</w:t>
      </w:r>
      <w:r>
        <w:rPr>
          <w:rFonts w:hint="eastAsia" w:ascii="Times New Roman" w:hAnsi="Times New Roman"/>
          <w:color w:val="auto"/>
          <w:sz w:val="24"/>
          <w:szCs w:val="24"/>
          <w:highlight w:val="none"/>
          <w:u w:val="single"/>
          <w:lang w:bidi="ar"/>
        </w:rPr>
        <w:t xml:space="preserve">           </w:t>
      </w:r>
      <w:r>
        <w:rPr>
          <w:rFonts w:hint="eastAsia" w:ascii="Times New Roman" w:hAnsi="Times New Roman"/>
          <w:color w:val="auto"/>
          <w:sz w:val="24"/>
          <w:szCs w:val="24"/>
          <w:highlight w:val="none"/>
          <w:lang w:bidi="ar"/>
        </w:rPr>
        <w:t>至</w:t>
      </w:r>
      <w:r>
        <w:rPr>
          <w:rFonts w:hint="eastAsia" w:ascii="Times New Roman" w:hAnsi="Times New Roman"/>
          <w:color w:val="auto"/>
          <w:sz w:val="24"/>
          <w:szCs w:val="24"/>
          <w:highlight w:val="none"/>
          <w:u w:val="single"/>
          <w:lang w:bidi="ar"/>
        </w:rPr>
        <w:t xml:space="preserve">          </w:t>
      </w:r>
      <w:r>
        <w:rPr>
          <w:rFonts w:hint="eastAsia" w:ascii="Times New Roman" w:hAnsi="Times New Roman"/>
          <w:color w:val="auto"/>
          <w:sz w:val="24"/>
          <w:szCs w:val="24"/>
          <w:highlight w:val="none"/>
          <w:lang w:bidi="ar"/>
        </w:rPr>
        <w:t>。</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第三条 服务内容与质量标准</w:t>
      </w:r>
    </w:p>
    <w:p>
      <w:pPr>
        <w:topLinePunct/>
        <w:spacing w:line="500" w:lineRule="exact"/>
        <w:ind w:firstLine="352" w:firstLineChars="147"/>
        <w:rPr>
          <w:rFonts w:ascii="Times New Roman" w:hAnsi="Times New Roman"/>
          <w:color w:val="auto"/>
          <w:sz w:val="24"/>
          <w:szCs w:val="24"/>
          <w:highlight w:val="none"/>
        </w:rPr>
      </w:pPr>
      <w:r>
        <w:rPr>
          <w:rFonts w:hint="eastAsia" w:ascii="Times New Roman" w:hAnsi="Times New Roman"/>
          <w:color w:val="auto"/>
          <w:sz w:val="24"/>
          <w:szCs w:val="24"/>
          <w:highlight w:val="none"/>
        </w:rPr>
        <w:t>一、服务内容：</w:t>
      </w:r>
    </w:p>
    <w:p>
      <w:pPr>
        <w:topLinePunct/>
        <w:spacing w:line="500" w:lineRule="exact"/>
        <w:ind w:firstLine="352" w:firstLineChars="147"/>
        <w:rPr>
          <w:rFonts w:ascii="Times New Roman" w:hAnsi="Times New Roman"/>
          <w:b/>
          <w:color w:val="auto"/>
          <w:sz w:val="24"/>
          <w:szCs w:val="24"/>
          <w:highlight w:val="none"/>
        </w:rPr>
      </w:pPr>
      <w:r>
        <w:rPr>
          <w:rFonts w:hint="eastAsia" w:ascii="Times New Roman" w:hAnsi="Times New Roman"/>
          <w:color w:val="auto"/>
          <w:sz w:val="24"/>
          <w:szCs w:val="24"/>
          <w:highlight w:val="none"/>
        </w:rPr>
        <w:t>（1）环卫保洁。1．道路清扫保洁(含市政公用道路，涉农街道办事处村社道路)和市管绿化带的白色垃圾清理，清除道路上粪渣粪袋、狗粪、建渣等污染物。2．铁路控制线（单侧铁轨至坡脚8米，坡脚向外延伸12米，12米向外延伸2米界桩，共22米）以外属地管理区域的清扫保洁。3．清理雨水篦子下面的落叶及垃圾。4．道路冲洗降尘，定期冲洗道路（按规范标准）及路沿石、人行道方砖、公交站台、人行天桥和雨水篦子，清洗道路标识标线，道路污染突击保洁。5．生活垃圾分类收集和运输，其中其他垃圾运输至锦江区垃圾压缩站，厨余垃圾运输至市级餐厨垃圾处置厂，可回收物运输至再生资源回收站点，有害垃圾运输至区环卫清运中心暂存点。6．小区内（具体范围详见附表）及街面丢弃的大件垃圾清理。7．对果屑箱、垃圾桶等环卫设施接受管理及使用，并进行日常维修维护，保证功能使用。道路施工时果屑箱的收集保管，果屑箱箱体固定，果屑箱内箱的垃圾清掏和箱体的内、外清洗，每日垃圾袋更换和垃圾桶清洗，室外城市家具的保洁。8．环卫工人工作服装按适时标准要求配置和更新。9．垃圾桶、垃圾中转房、垃圾池、垃圾转运点和垃圾转运车等环卫设施和中转站（点）现场的日常管理、冲洗、维护。各类环卫车辆日常管理及维修，环卫车辆喷涂统一的外观、颜色和标志。10．非法张贴、书写的地面及2米以下立面各类广告及卡片的清除清理。11．环卫工人作息房日常管理和维护。12．道路护栏、隔离墩、隔离桩、桥梁中央分隔带、防撞墙内侧、人行道栏杆、人行天桥栏杆、声屏障内侧保洁。13．做好环卫作业安全生产工作，落实安全责任制和各项规章制度。14．各类检查、接待及突发事件，环卫作业的应急保障工作。15．在辖区主街干道、重要路段或出入城通道实施精品示范街道环卫作业。16．完成省、市、区等各级部门和街道交办的各项突击整治任务。17.按作业辖区落实疫情防控和消防工作。18.在中央商务区、特色街区开展智能扫地机器人等人工智能环卫作业试点示范。</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2）环卫公厕。作业范围包括辖区内环卫公厕内地面、墙面、天花板、门窗、设施设备等，室外周边10米。内容包括环卫公厕保洁服务管理（环卫公厕整体提档升级除外所有维护内容）、周边或者附属绿化维护管护、环卫公厕维护管理、清掏公厕化粪池，水电费缴纳。</w:t>
      </w:r>
      <w:r>
        <w:rPr>
          <w:rFonts w:hint="eastAsia" w:ascii="Times New Roman" w:hAnsi="Times New Roman"/>
          <w:color w:val="auto"/>
          <w:sz w:val="24"/>
          <w:szCs w:val="24"/>
          <w:highlight w:val="none"/>
          <w:lang w:eastAsia="zh-CN"/>
        </w:rPr>
        <w:t>按采购人统一的标准和材质要求购买、更换和安装环卫公厕相关标识、标牌、公示牌，提供环卫公厕厕纸、洗手液日常耗材等（环卫公厕厕纸以清风、心相印、维达等同类品质的，且符合国家相关标准的为标准。洗手液以蓝月亮、滴露、威露士等同类品质的，且符合国家相关标准的为标准），</w:t>
      </w:r>
      <w:r>
        <w:rPr>
          <w:rFonts w:hint="eastAsia" w:ascii="Times New Roman" w:hAnsi="Times New Roman"/>
          <w:color w:val="auto"/>
          <w:sz w:val="24"/>
          <w:szCs w:val="24"/>
          <w:highlight w:val="none"/>
        </w:rPr>
        <w:t>新增或维修维护公厕内所有窗户纱窗。设施设备的维修保养。对易损耗材料、照明设施、防水、供水及排水设施、电力设施、护栏、便池、水龙头、马桶、脚踏器等设施设备的检修、翻新、</w:t>
      </w:r>
      <w:r>
        <w:rPr>
          <w:rFonts w:hint="eastAsia" w:ascii="Times New Roman" w:hAnsi="Times New Roman"/>
          <w:color w:val="auto"/>
          <w:sz w:val="24"/>
          <w:szCs w:val="24"/>
          <w:highlight w:val="none"/>
          <w:lang w:eastAsia="zh-CN"/>
        </w:rPr>
        <w:t>更换（所需耗材质量标准均不能低于原有耗材标准），按照实际需求配备移动厕所，并负责运输和管理</w:t>
      </w:r>
      <w:r>
        <w:rPr>
          <w:rFonts w:hint="eastAsia" w:ascii="Times New Roman" w:hAnsi="Times New Roman"/>
          <w:color w:val="auto"/>
          <w:sz w:val="24"/>
          <w:szCs w:val="24"/>
          <w:highlight w:val="none"/>
        </w:rPr>
        <w:t>。公共秩序及公共安全管理。积极配合相关部门检查、考察、参观；做好文明指教测评等相关工作；积极配合主管部门，完成临时交办的管护工作和其他任务等。按作业辖区落实疫情防控和消防工作。</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3）绿化管护。区管绿地乔木、灌木、地被的养护（除草、修剪、浇水、施肥、防病虫害等）、复壮、更换、降尘；时令鲜花及花境、立体绿化管护，包括购置、种植、更换及管护等；清扫保洁服务：包括绿地、游步道、绿道、设施设备的清扫保洁，以及园林绿化垃圾的集中处理、收集转运等。设施设备的维修保养：对易损耗材料、灯杆、照明设施、供水及排水设施、电力设施健身设施、小品雕塑、花箱、廊架、坐凳、树池盖板、树木支撑、绿化护栏等设施设备的检修、翻新、更换等（所需耗材质量标准均不能低于原有耗材标准）。</w:t>
      </w:r>
      <w:r>
        <w:rPr>
          <w:rFonts w:hint="eastAsia" w:ascii="Times New Roman" w:hAnsi="Times New Roman"/>
          <w:color w:val="auto"/>
          <w:sz w:val="24"/>
          <w:szCs w:val="24"/>
          <w:highlight w:val="none"/>
          <w:lang w:eastAsia="zh-CN"/>
        </w:rPr>
        <w:t>绿化作业安全生产管理，绿化垃圾分类运输并送至专业机构处理</w:t>
      </w:r>
      <w:r>
        <w:rPr>
          <w:rFonts w:hint="eastAsia" w:ascii="Times New Roman" w:hAnsi="Times New Roman"/>
          <w:color w:val="auto"/>
          <w:sz w:val="24"/>
          <w:szCs w:val="24"/>
          <w:highlight w:val="none"/>
        </w:rPr>
        <w:t>。按作业辖区落实疫情防控和消防工作。</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4）河道管护。区管河道河床打漂及清理：打捞河面漂浮物，清理河床堆积的垃圾、挡水障碍物等；巡查河道：对河道基础设施、河道水质、下河口排污、河长公示牌破损、涉河乱挖乱占乱建等情况进行巡查，栏杆破损等安全隐患应及时上报巡查发现的问题；河道管护范围内清扫保洁：对河道管护范围内人行步道清扫保洁，对河堤栏杆、河长公示牌、排水口标识牌等进行清洗维护，对滨河绿化带进行管护保洁。配合做好排口治理、水质监测、公示牌更换等河道管护工作。省、市管河道应对步行道实施日常管护。按作业辖区落实疫情防控和消防工作。</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二、服务标准。</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1）环卫保洁：作业流程规范，保洁质量达到精细化管理标准，能实施机械化清扫作业的城市城区道路全部实施机械化清扫作业，机械化清扫率达到市、区规定标准。生活垃圾日产日清。环卫作业车辆全部使用新能源车。</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2）环卫公厕：环卫公厕管理应达到“四净三无二通一明”要求，即：地面净、墙壁净、厕位净、周边净，无溢流、无蚊蝇、无臭味，水通、电通，灯明。环卫公共厕所内采光、照明和通风良好，无异味，无蚊蝇。厕所内地面洁净，无积水，无烟头，无纸屑，无痰迹和其他杂物。墙面、天花板、门窗和隔断板洁净，无积灰，无污迹，无蛛网，无乱涂乱画，无破损；卫生洁具整洁，无积存物，无粪便痕迹，无积尿积水，管道畅通无堵塞。公厕标志牌、公示牌洁净，无积尘。</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3）绿化管护：每年对乔木进行大修一次，每年对现有地被、灌木更新率不低于20%；时令鲜花的更换次数每年不少于8次、花境的更换次数每年不少于4次、立体绿化根据植物品种适时更换；设施设备的检修、翻新、更换等，翻新、刷漆每年不得少于1次；所有垃圾（绿化垃圾、生活垃圾等）均做无害化处理。</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（4）河道管护：每天巡查河道一遍；每100米河道零星垃圾不超过3处；河道栏杆及时擦拭、清理；每100米栏杆污渍、侵蚀不超过5处；每日上报排口情况；每500米河堤零星垃圾不超过3处。</w:t>
      </w:r>
    </w:p>
    <w:p>
      <w:pPr>
        <w:spacing w:line="500" w:lineRule="exact"/>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    三、</w:t>
      </w:r>
      <w:r>
        <w:rPr>
          <w:rFonts w:ascii="Times New Roman" w:hAnsi="Times New Roman"/>
          <w:color w:val="auto"/>
          <w:sz w:val="24"/>
          <w:szCs w:val="24"/>
          <w:highlight w:val="none"/>
        </w:rPr>
        <w:t xml:space="preserve"> 作业规范。</w:t>
      </w:r>
    </w:p>
    <w:p>
      <w:pPr>
        <w:spacing w:line="500" w:lineRule="exact"/>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环卫保洁：按照成都市城市管理委员会《关于印发〈成都市环卫清扫保洁精细化监督管理办法〉的通知》（成城发〔2019〕48号）、《关于印发〈成都市环卫清扫保洁精细化作业规则〉的通知》（成城发〔2019〕47号）、《关于印发&lt;关于统一规范成都市环卫作业机动车、小型机具自编号及外观、涂装工作实施方案&gt;&lt;成都市环卫作业机动车、小型车自编号及外观、涂装原则&gt;的通知》《生活垃圾分类标准》（GB/T19095-2019）《成都市锦江区环境卫生监督管理办法》（锦综执【2019】70号）要求作业</w:t>
      </w:r>
      <w:r>
        <w:rPr>
          <w:rFonts w:ascii="Times New Roman" w:hAnsi="Times New Roman"/>
          <w:color w:val="auto"/>
          <w:sz w:val="24"/>
          <w:szCs w:val="24"/>
          <w:highlight w:val="none"/>
        </w:rPr>
        <w:t>；</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（2）环卫公厕管护：按照</w:t>
      </w:r>
      <w:r>
        <w:rPr>
          <w:rFonts w:hint="eastAsia" w:ascii="Times New Roman" w:hAnsi="Times New Roman"/>
          <w:color w:val="auto"/>
          <w:sz w:val="24"/>
          <w:szCs w:val="24"/>
          <w:highlight w:val="none"/>
        </w:rPr>
        <w:t>《成都市环卫公厕管理规范》（成城函【2017】205号）</w:t>
      </w:r>
      <w:r>
        <w:rPr>
          <w:rFonts w:ascii="Times New Roman" w:hAnsi="Times New Roman"/>
          <w:color w:val="auto"/>
          <w:sz w:val="24"/>
          <w:szCs w:val="24"/>
          <w:highlight w:val="none"/>
        </w:rPr>
        <w:t>、《锦江区环卫公厕管理规范（试行）》要求作业；</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（3）绿化管护：按照</w:t>
      </w:r>
      <w:r>
        <w:rPr>
          <w:rFonts w:hint="eastAsia" w:ascii="Times New Roman" w:hAnsi="Times New Roman"/>
          <w:color w:val="auto"/>
          <w:sz w:val="24"/>
          <w:szCs w:val="24"/>
          <w:highlight w:val="none"/>
        </w:rPr>
        <w:t>《四川省城市园林绿化技术操作规程》DB51/50016-1998</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《成都市城市绿化养护技术规程》（DB510100/T 238-2017）</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《成都市城市绿化养护质量等级划分》(DB510100/T 239-2017)</w:t>
      </w:r>
      <w:r>
        <w:rPr>
          <w:rFonts w:ascii="Times New Roman" w:hAnsi="Times New Roman"/>
          <w:color w:val="auto"/>
          <w:sz w:val="24"/>
          <w:szCs w:val="24"/>
          <w:highlight w:val="none"/>
        </w:rPr>
        <w:t>、《成都市锦江区园林绿化管护标准》要求作业；</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（4）河道管护：按照《中心城区河道管护经费标准（试行）》等要求作业。</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第四条 服务费用及支付方式</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一、</w:t>
      </w:r>
      <w:r>
        <w:rPr>
          <w:rFonts w:ascii="Times New Roman" w:hAnsi="Times New Roman"/>
          <w:color w:val="auto"/>
          <w:sz w:val="24"/>
          <w:szCs w:val="24"/>
          <w:highlight w:val="none"/>
        </w:rPr>
        <w:t>本项目服务费用：</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本合同一年总服务费为人民币xxxx元/年（大写：xxx），月价款：人民币xxxx元（大写：xxx）</w:t>
      </w:r>
      <w:r>
        <w:rPr>
          <w:rFonts w:hint="eastAsia" w:ascii="Times New Roman" w:hAnsi="Times New Roman"/>
          <w:color w:val="auto"/>
          <w:sz w:val="24"/>
          <w:szCs w:val="24"/>
          <w:highlight w:val="none"/>
        </w:rPr>
        <w:t>（每月作业经费根据当月实际作业内容、作业面积和对应单价等确定）</w:t>
      </w:r>
      <w:r>
        <w:rPr>
          <w:rFonts w:ascii="Times New Roman" w:hAnsi="Times New Roman"/>
          <w:color w:val="auto"/>
          <w:sz w:val="24"/>
          <w:szCs w:val="24"/>
          <w:highlight w:val="none"/>
        </w:rPr>
        <w:t>。合同经费包含道路清扫保洁、生活垃圾收运、大件垃圾清运、环卫公厕、绿化、河道管护等所有费用。主要包括：</w:t>
      </w:r>
    </w:p>
    <w:tbl>
      <w:tblPr>
        <w:tblStyle w:val="59"/>
        <w:tblW w:w="71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4178"/>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16"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序号</w:t>
            </w:r>
          </w:p>
        </w:tc>
        <w:tc>
          <w:tcPr>
            <w:tcW w:w="4178" w:type="dxa"/>
            <w:vAlign w:val="center"/>
          </w:tcPr>
          <w:p>
            <w:pPr>
              <w:topLinePunct/>
              <w:autoSpaceDE w:val="0"/>
              <w:autoSpaceDN w:val="0"/>
              <w:spacing w:line="500" w:lineRule="exact"/>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服务内容</w:t>
            </w:r>
          </w:p>
        </w:tc>
        <w:tc>
          <w:tcPr>
            <w:tcW w:w="2067"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单价（元/月）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16"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1</w:t>
            </w:r>
          </w:p>
        </w:tc>
        <w:tc>
          <w:tcPr>
            <w:tcW w:w="4178"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p>
        </w:tc>
        <w:tc>
          <w:tcPr>
            <w:tcW w:w="2067"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916"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2</w:t>
            </w:r>
          </w:p>
        </w:tc>
        <w:tc>
          <w:tcPr>
            <w:tcW w:w="4178"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p>
        </w:tc>
        <w:tc>
          <w:tcPr>
            <w:tcW w:w="2067"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6"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3</w:t>
            </w:r>
          </w:p>
        </w:tc>
        <w:tc>
          <w:tcPr>
            <w:tcW w:w="4178"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p>
        </w:tc>
        <w:tc>
          <w:tcPr>
            <w:tcW w:w="2067"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16"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r>
              <w:rPr>
                <w:rFonts w:ascii="Times New Roman" w:hAnsi="Times New Roman" w:cs="宋体"/>
                <w:color w:val="auto"/>
                <w:sz w:val="24"/>
                <w:szCs w:val="24"/>
                <w:highlight w:val="none"/>
              </w:rPr>
              <w:t>…</w:t>
            </w:r>
          </w:p>
        </w:tc>
        <w:tc>
          <w:tcPr>
            <w:tcW w:w="4178"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p>
        </w:tc>
        <w:tc>
          <w:tcPr>
            <w:tcW w:w="2067" w:type="dxa"/>
            <w:vAlign w:val="center"/>
          </w:tcPr>
          <w:p>
            <w:pPr>
              <w:topLinePunct/>
              <w:autoSpaceDE w:val="0"/>
              <w:autoSpaceDN w:val="0"/>
              <w:spacing w:line="500" w:lineRule="exact"/>
              <w:jc w:val="center"/>
              <w:rPr>
                <w:rFonts w:ascii="Times New Roman" w:hAnsi="Times New Roman" w:cs="宋体"/>
                <w:color w:val="auto"/>
                <w:sz w:val="24"/>
                <w:szCs w:val="24"/>
                <w:highlight w:val="none"/>
              </w:rPr>
            </w:pPr>
          </w:p>
        </w:tc>
      </w:tr>
    </w:tbl>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二、</w:t>
      </w:r>
      <w:r>
        <w:rPr>
          <w:rFonts w:ascii="Times New Roman" w:hAnsi="Times New Roman"/>
          <w:color w:val="auto"/>
          <w:sz w:val="24"/>
          <w:szCs w:val="24"/>
          <w:highlight w:val="none"/>
        </w:rPr>
        <w:t>服务费支付方式：</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（一）</w:t>
      </w:r>
      <w:r>
        <w:rPr>
          <w:rFonts w:ascii="Times New Roman" w:hAnsi="Times New Roman"/>
          <w:color w:val="auto"/>
          <w:sz w:val="24"/>
          <w:szCs w:val="24"/>
          <w:highlight w:val="none"/>
        </w:rPr>
        <w:t>费用核算方式：由甲方根据</w:t>
      </w:r>
      <w:r>
        <w:rPr>
          <w:rFonts w:hint="eastAsia" w:ascii="Times New Roman" w:hAnsi="Times New Roman"/>
          <w:color w:val="auto"/>
          <w:sz w:val="24"/>
          <w:szCs w:val="24"/>
          <w:highlight w:val="none"/>
        </w:rPr>
        <w:t>每月考核结果</w:t>
      </w:r>
      <w:r>
        <w:rPr>
          <w:rFonts w:ascii="Times New Roman" w:hAnsi="Times New Roman"/>
          <w:color w:val="auto"/>
          <w:sz w:val="24"/>
          <w:szCs w:val="24"/>
          <w:highlight w:val="none"/>
        </w:rPr>
        <w:t>，结合其他违约情况核定每月作业经费。</w:t>
      </w:r>
      <w:r>
        <w:rPr>
          <w:rFonts w:hint="eastAsia" w:ascii="Times New Roman" w:hAnsi="Times New Roman"/>
          <w:color w:val="auto"/>
          <w:sz w:val="24"/>
          <w:szCs w:val="24"/>
          <w:highlight w:val="none"/>
        </w:rPr>
        <w:t>考核要求详见合同附件《考核办法》。</w:t>
      </w:r>
    </w:p>
    <w:p>
      <w:pPr>
        <w:autoSpaceDE w:val="0"/>
        <w:autoSpaceDN w:val="0"/>
        <w:adjustRightInd w:val="0"/>
        <w:spacing w:line="560" w:lineRule="exact"/>
        <w:ind w:firstLine="480" w:firstLineChars="200"/>
        <w:jc w:val="left"/>
        <w:rPr>
          <w:rFonts w:ascii="Times New Roman" w:hAnsi="Times New Roman" w:eastAsia="方正仿宋"/>
          <w:color w:val="auto"/>
          <w:sz w:val="32"/>
          <w:szCs w:val="32"/>
          <w:highlight w:val="none"/>
        </w:rPr>
      </w:pPr>
      <w:r>
        <w:rPr>
          <w:rFonts w:hint="eastAsia" w:ascii="宋体" w:hAnsi="Times New Roman" w:cs="宋体"/>
          <w:color w:val="auto"/>
          <w:kern w:val="0"/>
          <w:sz w:val="24"/>
          <w:szCs w:val="24"/>
          <w:highlight w:val="none"/>
        </w:rPr>
        <w:t>（二）</w:t>
      </w:r>
      <w:r>
        <w:rPr>
          <w:rFonts w:ascii="宋体" w:hAnsi="Times New Roman" w:cs="宋体"/>
          <w:color w:val="auto"/>
          <w:kern w:val="0"/>
          <w:sz w:val="24"/>
          <w:szCs w:val="24"/>
          <w:highlight w:val="none"/>
        </w:rPr>
        <w:t>评分方式：</w:t>
      </w:r>
      <w:r>
        <w:rPr>
          <w:rFonts w:hint="eastAsia" w:ascii="Times New Roman" w:hAnsi="Times New Roman" w:eastAsia="方正仿宋"/>
          <w:color w:val="auto"/>
          <w:sz w:val="32"/>
          <w:szCs w:val="32"/>
          <w:highlight w:val="none"/>
        </w:rPr>
        <w:t>月</w:t>
      </w:r>
      <w:r>
        <w:rPr>
          <w:rFonts w:ascii="Times New Roman" w:hAnsi="Times New Roman" w:eastAsia="方正仿宋"/>
          <w:color w:val="auto"/>
          <w:sz w:val="32"/>
          <w:szCs w:val="32"/>
          <w:highlight w:val="none"/>
        </w:rPr>
        <w:t>实际</w:t>
      </w:r>
      <w:r>
        <w:rPr>
          <w:rFonts w:hint="eastAsia" w:ascii="Times New Roman" w:hAnsi="Times New Roman" w:eastAsia="方正仿宋"/>
          <w:color w:val="auto"/>
          <w:sz w:val="32"/>
          <w:szCs w:val="32"/>
          <w:highlight w:val="none"/>
        </w:rPr>
        <w:t>拨付</w:t>
      </w:r>
      <w:r>
        <w:rPr>
          <w:rFonts w:ascii="Times New Roman" w:hAnsi="Times New Roman" w:eastAsia="方正仿宋"/>
          <w:color w:val="auto"/>
          <w:sz w:val="32"/>
          <w:szCs w:val="32"/>
          <w:highlight w:val="none"/>
        </w:rPr>
        <w:t>经费=月考核经费－日常</w:t>
      </w:r>
      <w:r>
        <w:rPr>
          <w:rFonts w:hint="eastAsia" w:ascii="Times New Roman" w:hAnsi="Times New Roman" w:eastAsia="方正仿宋"/>
          <w:color w:val="auto"/>
          <w:sz w:val="32"/>
          <w:szCs w:val="32"/>
          <w:highlight w:val="none"/>
        </w:rPr>
        <w:t>巡查</w:t>
      </w:r>
      <w:r>
        <w:rPr>
          <w:rFonts w:ascii="Times New Roman" w:hAnsi="Times New Roman" w:eastAsia="方正仿宋"/>
          <w:color w:val="auto"/>
          <w:sz w:val="32"/>
          <w:szCs w:val="32"/>
          <w:highlight w:val="none"/>
        </w:rPr>
        <w:t>扣减经费</w:t>
      </w:r>
      <w:r>
        <w:rPr>
          <w:rFonts w:hint="eastAsia" w:ascii="Times New Roman" w:hAnsi="Times New Roman" w:eastAsia="方正仿宋"/>
          <w:color w:val="auto"/>
          <w:sz w:val="32"/>
          <w:szCs w:val="32"/>
          <w:highlight w:val="none"/>
        </w:rPr>
        <w:t>。</w:t>
      </w:r>
      <w:r>
        <w:rPr>
          <w:rFonts w:ascii="Times New Roman" w:hAnsi="Times New Roman" w:eastAsia="方正仿宋"/>
          <w:color w:val="auto"/>
          <w:sz w:val="32"/>
          <w:szCs w:val="32"/>
          <w:highlight w:val="none"/>
        </w:rPr>
        <w:t>月</w:t>
      </w:r>
      <w:r>
        <w:rPr>
          <w:rFonts w:hint="eastAsia" w:ascii="Times New Roman" w:hAnsi="Times New Roman" w:eastAsia="方正仿宋"/>
          <w:color w:val="auto"/>
          <w:sz w:val="32"/>
          <w:szCs w:val="32"/>
          <w:highlight w:val="none"/>
        </w:rPr>
        <w:t>考核</w:t>
      </w:r>
      <w:r>
        <w:rPr>
          <w:rFonts w:ascii="Times New Roman" w:hAnsi="Times New Roman" w:eastAsia="方正仿宋"/>
          <w:color w:val="auto"/>
          <w:sz w:val="32"/>
          <w:szCs w:val="32"/>
          <w:highlight w:val="none"/>
        </w:rPr>
        <w:t>经费=月</w:t>
      </w:r>
      <w:r>
        <w:rPr>
          <w:rFonts w:hint="eastAsia" w:ascii="Times New Roman" w:hAnsi="Times New Roman" w:eastAsia="方正仿宋"/>
          <w:color w:val="auto"/>
          <w:sz w:val="32"/>
          <w:szCs w:val="32"/>
          <w:highlight w:val="none"/>
        </w:rPr>
        <w:t>作业</w:t>
      </w:r>
      <w:r>
        <w:rPr>
          <w:rFonts w:ascii="Times New Roman" w:hAnsi="Times New Roman" w:eastAsia="方正仿宋"/>
          <w:color w:val="auto"/>
          <w:sz w:val="32"/>
          <w:szCs w:val="32"/>
          <w:highlight w:val="none"/>
        </w:rPr>
        <w:t>经费×A</w:t>
      </w:r>
      <w:r>
        <w:rPr>
          <w:rFonts w:ascii="Times New Roman" w:hAnsi="Times New Roman" w:eastAsia="方正仿宋"/>
          <w:color w:val="auto"/>
          <w:sz w:val="18"/>
          <w:szCs w:val="18"/>
          <w:highlight w:val="none"/>
        </w:rPr>
        <w:t>(考核得</w:t>
      </w:r>
      <w:r>
        <w:rPr>
          <w:rFonts w:hint="eastAsia" w:ascii="Times New Roman" w:hAnsi="Times New Roman" w:eastAsia="方正仿宋"/>
          <w:color w:val="auto"/>
          <w:sz w:val="18"/>
          <w:szCs w:val="18"/>
          <w:highlight w:val="none"/>
        </w:rPr>
        <w:t>分</w:t>
      </w:r>
      <w:r>
        <w:rPr>
          <w:rFonts w:ascii="Times New Roman" w:hAnsi="Times New Roman" w:eastAsia="方正仿宋"/>
          <w:color w:val="auto"/>
          <w:sz w:val="18"/>
          <w:szCs w:val="18"/>
          <w:highlight w:val="none"/>
        </w:rPr>
        <w:t>）</w:t>
      </w:r>
      <w:r>
        <w:rPr>
          <w:rFonts w:ascii="Times New Roman" w:hAnsi="Times New Roman" w:eastAsia="方正仿宋"/>
          <w:color w:val="auto"/>
          <w:sz w:val="32"/>
          <w:szCs w:val="32"/>
          <w:highlight w:val="none"/>
        </w:rPr>
        <w:t>%。</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（三）</w:t>
      </w:r>
      <w:r>
        <w:rPr>
          <w:rFonts w:ascii="Times New Roman" w:hAnsi="Times New Roman"/>
          <w:color w:val="auto"/>
          <w:sz w:val="24"/>
          <w:szCs w:val="24"/>
          <w:highlight w:val="none"/>
        </w:rPr>
        <w:t>支付方式：</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甲方根据考核检查情况，于次月15日前向乙方支付上月作业经费。甲方付款前，乙方应向甲方提供付款申请及符合规定的发票，否则甲方有权拒绝付款，并不视为违约。</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甲方每月考核检查凭据、考核分数、安全生产情况等书面材料作为考核结算的具体依据。</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（四）</w:t>
      </w:r>
      <w:r>
        <w:rPr>
          <w:rFonts w:ascii="Times New Roman" w:hAnsi="Times New Roman"/>
          <w:color w:val="auto"/>
          <w:sz w:val="24"/>
          <w:szCs w:val="24"/>
          <w:highlight w:val="none"/>
        </w:rPr>
        <w:t>合同保证金：</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本合同签订之日起5日内，乙方向甲方支付</w:t>
      </w:r>
      <w:r>
        <w:rPr>
          <w:rFonts w:hint="eastAsia" w:ascii="Times New Roman" w:hAnsi="Times New Roman"/>
          <w:color w:val="auto"/>
          <w:sz w:val="24"/>
          <w:szCs w:val="24"/>
          <w:highlight w:val="none"/>
        </w:rPr>
        <w:t>合同经费的5%，</w:t>
      </w:r>
      <w:r>
        <w:rPr>
          <w:rFonts w:ascii="Times New Roman" w:hAnsi="Times New Roman"/>
          <w:color w:val="auto"/>
          <w:sz w:val="24"/>
          <w:szCs w:val="24"/>
          <w:highlight w:val="none"/>
        </w:rPr>
        <w:t>人民币xxx元（大写：xxx）作为</w:t>
      </w:r>
      <w:r>
        <w:rPr>
          <w:rFonts w:hint="eastAsia" w:ascii="Times New Roman" w:hAnsi="Times New Roman"/>
          <w:color w:val="auto"/>
          <w:sz w:val="24"/>
          <w:szCs w:val="24"/>
          <w:highlight w:val="none"/>
        </w:rPr>
        <w:t>履约</w:t>
      </w:r>
      <w:r>
        <w:rPr>
          <w:rFonts w:ascii="Times New Roman" w:hAnsi="Times New Roman"/>
          <w:color w:val="auto"/>
          <w:sz w:val="24"/>
          <w:szCs w:val="24"/>
          <w:highlight w:val="none"/>
        </w:rPr>
        <w:t>保证金。如乙方未支付，甲方可以在向乙方支付的服务经费中予以扣除。</w:t>
      </w:r>
    </w:p>
    <w:p>
      <w:pPr>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服务</w:t>
      </w:r>
      <w:r>
        <w:rPr>
          <w:rFonts w:ascii="Times New Roman" w:hAnsi="Times New Roman"/>
          <w:color w:val="auto"/>
          <w:sz w:val="24"/>
          <w:szCs w:val="24"/>
          <w:highlight w:val="none"/>
        </w:rPr>
        <w:t>期满，乙方作业质量达到标准并按照《</w:t>
      </w:r>
      <w:r>
        <w:rPr>
          <w:rFonts w:hint="eastAsia" w:ascii="Times New Roman" w:hAnsi="Times New Roman"/>
          <w:color w:val="auto"/>
          <w:sz w:val="24"/>
          <w:szCs w:val="24"/>
          <w:highlight w:val="none"/>
        </w:rPr>
        <w:t>中华人民共和国</w:t>
      </w:r>
      <w:r>
        <w:rPr>
          <w:rFonts w:ascii="Times New Roman" w:hAnsi="Times New Roman"/>
          <w:color w:val="auto"/>
          <w:sz w:val="24"/>
          <w:szCs w:val="24"/>
          <w:highlight w:val="none"/>
        </w:rPr>
        <w:t>劳动法》规定做好环卫工人善后处理工作，</w:t>
      </w:r>
      <w:r>
        <w:rPr>
          <w:rFonts w:hint="eastAsia" w:ascii="Times New Roman" w:hAnsi="Times New Roman"/>
          <w:color w:val="auto"/>
          <w:sz w:val="24"/>
          <w:szCs w:val="24"/>
          <w:highlight w:val="none"/>
        </w:rPr>
        <w:t>经甲方履约验收合格后，甲方</w:t>
      </w:r>
      <w:r>
        <w:rPr>
          <w:rFonts w:ascii="Times New Roman" w:hAnsi="Times New Roman"/>
          <w:color w:val="auto"/>
          <w:sz w:val="24"/>
          <w:szCs w:val="24"/>
          <w:highlight w:val="none"/>
        </w:rPr>
        <w:t>一次性退还乙方服务保证金（无息），否则扣除乙方相应金额的保证金。</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第五条 知识产权</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乙方应保证所提供的服务或其任何一部分均不会侵犯任何第三方的专利权、商标权或著作权</w:t>
      </w:r>
      <w:r>
        <w:rPr>
          <w:rFonts w:hint="eastAsia" w:ascii="Times New Roman" w:hAnsi="Times New Roman"/>
          <w:color w:val="auto"/>
          <w:sz w:val="24"/>
          <w:szCs w:val="24"/>
          <w:highlight w:val="none"/>
        </w:rPr>
        <w:t>等其他权利</w:t>
      </w:r>
      <w:r>
        <w:rPr>
          <w:rFonts w:ascii="Times New Roman" w:hAnsi="Times New Roman"/>
          <w:color w:val="auto"/>
          <w:sz w:val="24"/>
          <w:szCs w:val="24"/>
          <w:highlight w:val="none"/>
        </w:rPr>
        <w:t>。</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第六条 无产权瑕疵条款</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乙方保证</w:t>
      </w:r>
      <w:r>
        <w:rPr>
          <w:rFonts w:hint="eastAsia" w:ascii="Times New Roman" w:hAnsi="Times New Roman"/>
          <w:color w:val="auto"/>
          <w:sz w:val="24"/>
          <w:szCs w:val="24"/>
          <w:highlight w:val="none"/>
        </w:rPr>
        <w:t>具有</w:t>
      </w:r>
      <w:r>
        <w:rPr>
          <w:rFonts w:ascii="Times New Roman" w:hAnsi="Times New Roman"/>
          <w:color w:val="auto"/>
          <w:sz w:val="24"/>
          <w:szCs w:val="24"/>
          <w:highlight w:val="none"/>
        </w:rPr>
        <w:t>所提供服务的</w:t>
      </w:r>
      <w:r>
        <w:rPr>
          <w:rFonts w:hint="eastAsia" w:ascii="Times New Roman" w:hAnsi="Times New Roman"/>
          <w:color w:val="auto"/>
          <w:sz w:val="24"/>
          <w:szCs w:val="24"/>
          <w:highlight w:val="none"/>
        </w:rPr>
        <w:t>相应资质、服务所涉及的设备设施等</w:t>
      </w:r>
      <w:r>
        <w:rPr>
          <w:rFonts w:ascii="Times New Roman" w:hAnsi="Times New Roman"/>
          <w:color w:val="auto"/>
          <w:sz w:val="24"/>
          <w:szCs w:val="24"/>
          <w:highlight w:val="none"/>
        </w:rPr>
        <w:t>所有权完全属于乙方且无任何抵押、查封等产权瑕疵。如有</w:t>
      </w:r>
      <w:r>
        <w:rPr>
          <w:rFonts w:hint="eastAsia" w:ascii="Times New Roman" w:hAnsi="Times New Roman"/>
          <w:color w:val="auto"/>
          <w:sz w:val="24"/>
          <w:szCs w:val="24"/>
          <w:highlight w:val="none"/>
        </w:rPr>
        <w:t>资质问题、服务问题或者</w:t>
      </w:r>
      <w:r>
        <w:rPr>
          <w:rFonts w:ascii="Times New Roman" w:hAnsi="Times New Roman"/>
          <w:color w:val="auto"/>
          <w:sz w:val="24"/>
          <w:szCs w:val="24"/>
          <w:highlight w:val="none"/>
        </w:rPr>
        <w:t>产权瑕疵的，视为乙方违约。乙方应负担由此而产生的一切损失。</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第七条 甲方的权利和义务</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1、告知乙方本合同项下作业的界址。</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2、甲方有权对合同规定范围内乙方的服务行为进行监督和检查，拥有监管权。有权定期核对乙方提供服务所配备的人员数量。对甲方认为不合理的部分有权下达整改通知书，并要求乙方限期整改。</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3、甲方对乙方服务进行督查检查，检查情况通过书面或电话等形式通知乙方,乙方及时整改。</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4、甲方有权依据考</w:t>
      </w:r>
      <w:r>
        <w:rPr>
          <w:rFonts w:hint="eastAsia" w:ascii="Times New Roman" w:hAnsi="Times New Roman"/>
          <w:color w:val="auto"/>
          <w:sz w:val="24"/>
          <w:szCs w:val="24"/>
          <w:highlight w:val="none"/>
        </w:rPr>
        <w:t>核</w:t>
      </w:r>
      <w:r>
        <w:rPr>
          <w:rFonts w:ascii="Times New Roman" w:hAnsi="Times New Roman"/>
          <w:color w:val="auto"/>
          <w:sz w:val="24"/>
          <w:szCs w:val="24"/>
          <w:highlight w:val="none"/>
        </w:rPr>
        <w:t>办法对乙方提供的服务进行定期考评，并将考评情况通过书面或电话等形式通知乙方。</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5、甲方可以书面或电话等形式向乙方提出服务要求，乙方代表在收到通知或电话后及时处理甲方的服务要求。</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6、检查监督乙方管理工作的实施及制度的执行情况。</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7、检查监督乙方投标文件及本合同执行情况。</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8、根据本合同规定，按时向乙方支付应付服务费用。</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9、国家法律、法规所规定由甲方承担的其它责任。</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第八条 乙方的权利和义务</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1、对本合同规定的委托服务范围内的项目享有管理权及服务义务。</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2、根据本合同的规定向甲方收取相关服务费用，并有权在本项目管理范围内管理及合理使用。</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3、及时向甲方通告本项目服务范围内有关服务的重大事项，及时配合处理投诉。</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4、接受项目行业管理部门及政府有关部门的指导，接受甲方的监督。</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5、在签</w:t>
      </w:r>
      <w:r>
        <w:rPr>
          <w:rFonts w:hint="eastAsia" w:ascii="Times New Roman" w:hAnsi="Times New Roman"/>
          <w:color w:val="auto"/>
          <w:sz w:val="24"/>
          <w:szCs w:val="24"/>
          <w:highlight w:val="none"/>
        </w:rPr>
        <w:t>订</w:t>
      </w:r>
      <w:r>
        <w:rPr>
          <w:rFonts w:ascii="Times New Roman" w:hAnsi="Times New Roman"/>
          <w:color w:val="auto"/>
          <w:sz w:val="24"/>
          <w:szCs w:val="24"/>
          <w:highlight w:val="none"/>
        </w:rPr>
        <w:t>本合同三日内向甲方交履约保证书一份。</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6、乙方应建立健全管理机构、人员落实到位，同时配齐相应的管理人员，作业机具配备齐全。变更项目经理必须提前15日书面通知甲方，否则视为违约。</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7、乙方接受甲方对服务项目全过程质量控制和“三项监管”（安全生产管理、文明作业管理、作业合同履行情况管理）。每个标段原则上应为</w:t>
      </w:r>
      <w:r>
        <w:rPr>
          <w:rFonts w:hint="eastAsia" w:ascii="Times New Roman" w:hAnsi="Times New Roman"/>
          <w:color w:val="auto"/>
          <w:sz w:val="24"/>
          <w:szCs w:val="24"/>
          <w:highlight w:val="none"/>
        </w:rPr>
        <w:t>作业</w:t>
      </w:r>
      <w:r>
        <w:rPr>
          <w:rFonts w:ascii="Times New Roman" w:hAnsi="Times New Roman"/>
          <w:color w:val="auto"/>
          <w:sz w:val="24"/>
          <w:szCs w:val="24"/>
          <w:highlight w:val="none"/>
        </w:rPr>
        <w:t>工人配备1-2处工人休息房。</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8、乙方应采取有效措施，达到本合同约定的作业标准，确保保洁服务质量。</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9、乙方应严格执行国家劳动保障相关政策规定，按照国家有关法律法规和合同要求，与职工签订合同，</w:t>
      </w:r>
      <w:r>
        <w:rPr>
          <w:rFonts w:hint="eastAsia" w:ascii="Times New Roman" w:hAnsi="Times New Roman"/>
          <w:color w:val="auto"/>
          <w:sz w:val="24"/>
          <w:szCs w:val="24"/>
          <w:highlight w:val="none"/>
        </w:rPr>
        <w:t>参</w:t>
      </w:r>
      <w:r>
        <w:rPr>
          <w:rFonts w:ascii="Times New Roman" w:hAnsi="Times New Roman"/>
          <w:color w:val="auto"/>
          <w:sz w:val="24"/>
          <w:szCs w:val="24"/>
          <w:highlight w:val="none"/>
        </w:rPr>
        <w:t>照《成都市人民政府关于调整全市最低工资标准的通知》（成府发﹝2018年﹞9号）和《成都市环卫工人健康安全关爱办法》相关规定，切实落实</w:t>
      </w:r>
      <w:r>
        <w:rPr>
          <w:rFonts w:hint="eastAsia" w:ascii="Times New Roman" w:hAnsi="Times New Roman"/>
          <w:color w:val="auto"/>
          <w:sz w:val="24"/>
          <w:szCs w:val="24"/>
          <w:highlight w:val="none"/>
        </w:rPr>
        <w:t>作业</w:t>
      </w:r>
      <w:r>
        <w:rPr>
          <w:rFonts w:ascii="Times New Roman" w:hAnsi="Times New Roman"/>
          <w:color w:val="auto"/>
          <w:sz w:val="24"/>
          <w:szCs w:val="24"/>
          <w:highlight w:val="none"/>
        </w:rPr>
        <w:t>工人的工作和福利待遇，包括基础工资、岗位津贴、加班工作，社保（商保）、酷暑寒冬补助和劳保用品等。切实维护</w:t>
      </w:r>
      <w:r>
        <w:rPr>
          <w:rFonts w:hint="eastAsia" w:ascii="Times New Roman" w:hAnsi="Times New Roman"/>
          <w:color w:val="auto"/>
          <w:sz w:val="24"/>
          <w:szCs w:val="24"/>
          <w:highlight w:val="none"/>
        </w:rPr>
        <w:t>作业</w:t>
      </w:r>
      <w:r>
        <w:rPr>
          <w:rFonts w:ascii="Times New Roman" w:hAnsi="Times New Roman"/>
          <w:color w:val="auto"/>
          <w:sz w:val="24"/>
          <w:szCs w:val="24"/>
          <w:highlight w:val="none"/>
        </w:rPr>
        <w:t>工人的各项合法权益，合理安排酷暑、寒冬季度作业方式。</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10、服务期间如遇成都市</w:t>
      </w:r>
      <w:r>
        <w:rPr>
          <w:rFonts w:hint="eastAsia" w:ascii="Times New Roman" w:hAnsi="Times New Roman"/>
          <w:color w:val="auto"/>
          <w:sz w:val="24"/>
          <w:szCs w:val="24"/>
          <w:highlight w:val="none"/>
        </w:rPr>
        <w:t>作业</w:t>
      </w:r>
      <w:r>
        <w:rPr>
          <w:rFonts w:ascii="Times New Roman" w:hAnsi="Times New Roman"/>
          <w:color w:val="auto"/>
          <w:sz w:val="24"/>
          <w:szCs w:val="24"/>
          <w:highlight w:val="none"/>
        </w:rPr>
        <w:t>工人最低工资标准刚性政策调整等增资情况，乙方应及时按标准调整</w:t>
      </w:r>
      <w:r>
        <w:rPr>
          <w:rFonts w:hint="eastAsia" w:ascii="Times New Roman" w:hAnsi="Times New Roman"/>
          <w:color w:val="auto"/>
          <w:sz w:val="24"/>
          <w:szCs w:val="24"/>
          <w:highlight w:val="none"/>
        </w:rPr>
        <w:t>作业</w:t>
      </w:r>
      <w:r>
        <w:rPr>
          <w:rFonts w:ascii="Times New Roman" w:hAnsi="Times New Roman"/>
          <w:color w:val="auto"/>
          <w:sz w:val="24"/>
          <w:szCs w:val="24"/>
          <w:highlight w:val="none"/>
        </w:rPr>
        <w:t>工人基础工资。</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11、乙方每年组织一次</w:t>
      </w:r>
      <w:r>
        <w:rPr>
          <w:rFonts w:hint="eastAsia" w:ascii="Times New Roman" w:hAnsi="Times New Roman"/>
          <w:color w:val="auto"/>
          <w:sz w:val="24"/>
          <w:szCs w:val="24"/>
          <w:highlight w:val="none"/>
        </w:rPr>
        <w:t>作业</w:t>
      </w:r>
      <w:r>
        <w:rPr>
          <w:rFonts w:ascii="Times New Roman" w:hAnsi="Times New Roman"/>
          <w:color w:val="auto"/>
          <w:sz w:val="24"/>
          <w:szCs w:val="24"/>
          <w:highlight w:val="none"/>
        </w:rPr>
        <w:t>工人职业健康体检。</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12、乙方定期组织</w:t>
      </w:r>
      <w:r>
        <w:rPr>
          <w:rFonts w:hint="eastAsia" w:ascii="Times New Roman" w:hAnsi="Times New Roman"/>
          <w:color w:val="auto"/>
          <w:sz w:val="24"/>
          <w:szCs w:val="24"/>
          <w:highlight w:val="none"/>
        </w:rPr>
        <w:t>作业</w:t>
      </w:r>
      <w:r>
        <w:rPr>
          <w:rFonts w:ascii="Times New Roman" w:hAnsi="Times New Roman"/>
          <w:color w:val="auto"/>
          <w:sz w:val="24"/>
          <w:szCs w:val="24"/>
          <w:highlight w:val="none"/>
        </w:rPr>
        <w:t>工人进行</w:t>
      </w:r>
      <w:r>
        <w:rPr>
          <w:rFonts w:hint="eastAsia" w:ascii="Times New Roman" w:hAnsi="Times New Roman"/>
          <w:color w:val="auto"/>
          <w:sz w:val="24"/>
          <w:szCs w:val="24"/>
          <w:highlight w:val="none"/>
        </w:rPr>
        <w:t>核酸</w:t>
      </w:r>
      <w:r>
        <w:rPr>
          <w:rFonts w:ascii="Times New Roman" w:hAnsi="Times New Roman"/>
          <w:color w:val="auto"/>
          <w:sz w:val="24"/>
          <w:szCs w:val="24"/>
          <w:highlight w:val="none"/>
        </w:rPr>
        <w:t>检测。</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13、乙方自行承担履行本合同项下义务的全部成本和费用。乙方在履行本合同过程中</w:t>
      </w:r>
      <w:r>
        <w:rPr>
          <w:rFonts w:hint="eastAsia" w:ascii="Times New Roman" w:hAnsi="Times New Roman"/>
          <w:color w:val="auto"/>
          <w:sz w:val="24"/>
          <w:szCs w:val="24"/>
          <w:highlight w:val="none"/>
        </w:rPr>
        <w:t>所</w:t>
      </w:r>
      <w:r>
        <w:rPr>
          <w:rFonts w:ascii="Times New Roman" w:hAnsi="Times New Roman"/>
          <w:color w:val="auto"/>
          <w:sz w:val="24"/>
          <w:szCs w:val="24"/>
          <w:highlight w:val="none"/>
        </w:rPr>
        <w:t>造成的财产损失或人员伤害（死亡），由乙方负责赔偿。乙方应高度重视安全生产作业，承担因安全事故造成的所有损失。甲方因此被先行追责的，乙方应全额赔偿。</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13、乙方完成甲方交办的与合同相关的临时性、突发性任务；对于保洁服务范围内发生的违反城市环境卫生管理法律法规的人和事，应积极采取劝阻、制止等措施并及时通知甲方。</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14、乙方应履行社会责任，切实关心照顾困难环卫职工和家庭，落实维护辖区社会稳定责任。</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15、乙方应履行辖区社会治理工作职责。</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16、乙方应在合同签订10日内，严格按照投标文件配齐、配足机械和人员。</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17、乙方工作人员的安全、作业工具等相关费用由乙方自行负责，乙方在工作中发生的一切安全事故由乙方自行承担全部责任。</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18、国家法律、法规所规定由乙方承担的其它责任。</w:t>
      </w:r>
    </w:p>
    <w:p>
      <w:pPr>
        <w:topLinePunct/>
        <w:spacing w:line="500" w:lineRule="exact"/>
        <w:ind w:firstLine="482" w:firstLineChars="200"/>
        <w:jc w:val="left"/>
        <w:textAlignment w:val="baseline"/>
        <w:rPr>
          <w:rFonts w:ascii="Times New Roman" w:hAnsi="Times New Roman"/>
          <w:b/>
          <w:color w:val="auto"/>
          <w:sz w:val="24"/>
          <w:szCs w:val="24"/>
          <w:highlight w:val="none"/>
        </w:rPr>
      </w:pPr>
      <w:r>
        <w:rPr>
          <w:rFonts w:hint="eastAsia" w:ascii="Times New Roman" w:hAnsi="Times New Roman"/>
          <w:b/>
          <w:color w:val="auto"/>
          <w:sz w:val="24"/>
          <w:szCs w:val="24"/>
          <w:highlight w:val="none"/>
        </w:rPr>
        <w:t>第九条  违约责任</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1、甲乙双方必须遵守本合同并执行合同中的各项规定，保证本合同的正常履行。</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2、如因乙方工作人员在履行职务过程中的疏忽、失职、过错等故意或者过失原因给甲方造成损失或侵害，包括但不限于甲方本身的财产损失、由此而导致的甲方对任何第三方的法律责任等，乙方对此均应承担全部的赔偿责任。 </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 3、</w:t>
      </w:r>
      <w:r>
        <w:rPr>
          <w:rFonts w:hint="eastAsia" w:ascii="Times New Roman" w:hAnsi="Times New Roman"/>
          <w:color w:val="auto"/>
          <w:sz w:val="24"/>
          <w:szCs w:val="24"/>
          <w:highlight w:val="none"/>
        </w:rPr>
        <w:t>除不可抗力的原因或由双方协商一致同意变更或解除外，任何一方违约应承担以下责任：</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）任何一方单方面擅自终止或解除合同，视为违约，违约方应按合同总价的10﹪向守约方支付违约金，并承担因合同终止或解除给对方造成的全部经济损失。</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）乙方违反本合同约定的，甲方视其情节有权终止合同，并有权要求乙方按合同总价的5﹪承担违约金及赔偿其它损失。</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w:t>
      </w:r>
      <w:r>
        <w:rPr>
          <w:rFonts w:ascii="Times New Roman" w:hAnsi="Times New Roman"/>
          <w:color w:val="auto"/>
          <w:sz w:val="24"/>
          <w:szCs w:val="24"/>
          <w:highlight w:val="none"/>
        </w:rPr>
        <w:t>3</w:t>
      </w:r>
      <w:r>
        <w:rPr>
          <w:rFonts w:hint="eastAsia" w:ascii="Times New Roman" w:hAnsi="Times New Roman"/>
          <w:color w:val="auto"/>
          <w:sz w:val="24"/>
          <w:szCs w:val="24"/>
          <w:highlight w:val="none"/>
        </w:rPr>
        <w:t>）乙方与工人发生劳资纠纷，乙方未积极解决，引起群体信访事件，甲方视其情节有权终止合同，并有权要求乙方按合同总价的5﹪承担违约金及赔偿其它损失。</w:t>
      </w:r>
    </w:p>
    <w:p>
      <w:pPr>
        <w:tabs>
          <w:tab w:val="left" w:pos="1440"/>
        </w:tabs>
        <w:topLinePunct/>
        <w:spacing w:line="500" w:lineRule="exact"/>
        <w:ind w:firstLine="480" w:firstLineChars="200"/>
        <w:jc w:val="left"/>
        <w:rPr>
          <w:rFonts w:ascii="Times New Roman" w:hAnsi="Times New Roman"/>
          <w:b/>
          <w:color w:val="auto"/>
          <w:sz w:val="24"/>
          <w:szCs w:val="24"/>
          <w:highlight w:val="none"/>
        </w:rPr>
      </w:pPr>
      <w:r>
        <w:rPr>
          <w:rFonts w:hint="eastAsia" w:ascii="Times New Roman" w:hAnsi="Times New Roman"/>
          <w:color w:val="auto"/>
          <w:sz w:val="24"/>
          <w:szCs w:val="24"/>
          <w:highlight w:val="none"/>
        </w:rPr>
        <w:t>（</w:t>
      </w:r>
      <w:r>
        <w:rPr>
          <w:rFonts w:ascii="Times New Roman" w:hAnsi="Times New Roman"/>
          <w:color w:val="auto"/>
          <w:sz w:val="24"/>
          <w:szCs w:val="24"/>
          <w:highlight w:val="none"/>
        </w:rPr>
        <w:t>4</w:t>
      </w:r>
      <w:r>
        <w:rPr>
          <w:rFonts w:hint="eastAsia" w:ascii="Times New Roman" w:hAnsi="Times New Roman"/>
          <w:color w:val="auto"/>
          <w:sz w:val="24"/>
          <w:szCs w:val="24"/>
          <w:highlight w:val="none"/>
        </w:rPr>
        <w:t>）因乙方管理或操作等原因造重大安全事故，甲方视其情节有权终止合同，并有权要求乙方按合同总价的5﹪承担违约金及赔偿其它损失。</w:t>
      </w:r>
      <w:r>
        <w:rPr>
          <w:rFonts w:hint="eastAsia" w:ascii="Times New Roman" w:hAnsi="Times New Roman"/>
          <w:b/>
          <w:color w:val="auto"/>
          <w:sz w:val="24"/>
          <w:szCs w:val="24"/>
          <w:highlight w:val="none"/>
        </w:rPr>
        <w:t xml:space="preserve">  </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w:t>
      </w:r>
      <w:r>
        <w:rPr>
          <w:rFonts w:hint="eastAsia" w:ascii="Times New Roman" w:hAnsi="Times New Roman"/>
          <w:color w:val="auto"/>
          <w:sz w:val="24"/>
          <w:szCs w:val="24"/>
          <w:highlight w:val="none"/>
        </w:rPr>
        <w:t>5</w:t>
      </w:r>
      <w:r>
        <w:rPr>
          <w:rFonts w:ascii="Times New Roman" w:hAnsi="Times New Roman"/>
          <w:color w:val="auto"/>
          <w:sz w:val="24"/>
          <w:szCs w:val="24"/>
          <w:highlight w:val="none"/>
        </w:rPr>
        <w:t>）乙方不按规定完成任务或未按投标书承诺投入人力、物力和设备或自身存在其他原因致使合同约定内容无法根本履行的，甲方书面要求乙方限期整改，乙方在甲方规定整改期限内未整改或整改后仍达不到合同约定标准的，甲方有权单方面解除合同并书面通知乙方。</w:t>
      </w:r>
    </w:p>
    <w:p>
      <w:pPr>
        <w:autoSpaceDE w:val="0"/>
        <w:autoSpaceDN w:val="0"/>
        <w:adjustRightInd w:val="0"/>
        <w:jc w:val="left"/>
        <w:rPr>
          <w:rFonts w:ascii="宋体" w:hAnsi="Times New Roman" w:cs="宋体"/>
          <w:color w:val="auto"/>
          <w:kern w:val="0"/>
          <w:sz w:val="24"/>
          <w:szCs w:val="24"/>
          <w:highlight w:val="none"/>
        </w:rPr>
      </w:pPr>
      <w:r>
        <w:rPr>
          <w:rFonts w:hint="eastAsia" w:ascii="宋体" w:hAnsi="Times New Roman" w:cs="宋体"/>
          <w:b/>
          <w:color w:val="auto"/>
          <w:kern w:val="0"/>
          <w:sz w:val="24"/>
          <w:szCs w:val="24"/>
          <w:highlight w:val="none"/>
        </w:rPr>
        <w:t xml:space="preserve">    第十条  其他条款</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（一）</w:t>
      </w:r>
      <w:r>
        <w:rPr>
          <w:rFonts w:ascii="Times New Roman" w:hAnsi="Times New Roman"/>
          <w:color w:val="auto"/>
          <w:sz w:val="24"/>
          <w:szCs w:val="24"/>
          <w:highlight w:val="none"/>
        </w:rPr>
        <w:t>年度考核最后一名得分与倒数第二名得分相差3分及以上，且第二年年度考核排名依然为最后一名，甲方有权单方面解除合同并书面通知乙方</w:t>
      </w:r>
      <w:r>
        <w:rPr>
          <w:rFonts w:hint="eastAsia" w:ascii="Times New Roman" w:hAnsi="Times New Roman"/>
          <w:color w:val="auto"/>
          <w:sz w:val="24"/>
          <w:szCs w:val="24"/>
          <w:highlight w:val="none"/>
        </w:rPr>
        <w:t>，同时不退还履约保证金</w:t>
      </w:r>
      <w:r>
        <w:rPr>
          <w:rFonts w:ascii="Times New Roman" w:hAnsi="Times New Roman"/>
          <w:color w:val="auto"/>
          <w:sz w:val="24"/>
          <w:szCs w:val="24"/>
          <w:highlight w:val="none"/>
        </w:rPr>
        <w:t>。</w:t>
      </w:r>
    </w:p>
    <w:p>
      <w:pPr>
        <w:tabs>
          <w:tab w:val="left" w:pos="1440"/>
        </w:tabs>
        <w:topLinePunct/>
        <w:spacing w:line="500" w:lineRule="exact"/>
        <w:ind w:firstLine="480" w:firstLineChars="200"/>
        <w:rPr>
          <w:rFonts w:ascii="Times New Roman" w:hAnsi="Times New Roman"/>
          <w:color w:val="auto"/>
          <w:szCs w:val="24"/>
          <w:highlight w:val="none"/>
        </w:rPr>
      </w:pP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zh-CN"/>
        </w:rPr>
        <w:t>二</w:t>
      </w:r>
      <w:r>
        <w:rPr>
          <w:rFonts w:hint="eastAsia" w:ascii="Times New Roman" w:hAnsi="Times New Roman"/>
          <w:color w:val="auto"/>
          <w:sz w:val="24"/>
          <w:szCs w:val="24"/>
          <w:highlight w:val="none"/>
        </w:rPr>
        <w:t>）出现重大安全事故，</w:t>
      </w:r>
      <w:r>
        <w:rPr>
          <w:rFonts w:ascii="Times New Roman" w:hAnsi="Times New Roman"/>
          <w:color w:val="auto"/>
          <w:sz w:val="24"/>
          <w:szCs w:val="24"/>
          <w:highlight w:val="none"/>
        </w:rPr>
        <w:t>甲方有权单方面解除合同并书面通知乙方</w:t>
      </w:r>
      <w:r>
        <w:rPr>
          <w:rFonts w:hint="eastAsia" w:ascii="Times New Roman" w:hAnsi="Times New Roman"/>
          <w:color w:val="auto"/>
          <w:sz w:val="24"/>
          <w:szCs w:val="24"/>
          <w:highlight w:val="none"/>
        </w:rPr>
        <w:t>，同时不退还履约保证金</w:t>
      </w:r>
      <w:r>
        <w:rPr>
          <w:rFonts w:ascii="Times New Roman" w:hAnsi="Times New Roman"/>
          <w:color w:val="auto"/>
          <w:sz w:val="24"/>
          <w:szCs w:val="24"/>
          <w:highlight w:val="none"/>
        </w:rPr>
        <w:t>。</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退出机制启动后，由区综合执法局重新招标确定服务企业，</w:t>
      </w:r>
      <w:r>
        <w:rPr>
          <w:rFonts w:hint="eastAsia" w:ascii="Times New Roman" w:hAnsi="Times New Roman"/>
          <w:color w:val="auto"/>
          <w:sz w:val="24"/>
          <w:szCs w:val="24"/>
          <w:highlight w:val="none"/>
        </w:rPr>
        <w:t>乙方需</w:t>
      </w:r>
      <w:r>
        <w:rPr>
          <w:rFonts w:ascii="Times New Roman" w:hAnsi="Times New Roman"/>
          <w:color w:val="auto"/>
          <w:sz w:val="24"/>
          <w:szCs w:val="24"/>
          <w:highlight w:val="none"/>
        </w:rPr>
        <w:t>继续履约</w:t>
      </w:r>
      <w:r>
        <w:rPr>
          <w:rFonts w:hint="eastAsia" w:ascii="Times New Roman" w:hAnsi="Times New Roman"/>
          <w:color w:val="auto"/>
          <w:sz w:val="24"/>
          <w:szCs w:val="24"/>
          <w:highlight w:val="none"/>
        </w:rPr>
        <w:t>至</w:t>
      </w:r>
      <w:r>
        <w:rPr>
          <w:rFonts w:ascii="Times New Roman" w:hAnsi="Times New Roman"/>
          <w:color w:val="auto"/>
          <w:sz w:val="24"/>
          <w:szCs w:val="24"/>
          <w:highlight w:val="none"/>
        </w:rPr>
        <w:t>与新服务企业完成交接</w:t>
      </w:r>
      <w:r>
        <w:rPr>
          <w:rFonts w:hint="eastAsia" w:ascii="Times New Roman" w:hAnsi="Times New Roman"/>
          <w:color w:val="auto"/>
          <w:sz w:val="24"/>
          <w:szCs w:val="24"/>
          <w:highlight w:val="none"/>
        </w:rPr>
        <w:t>为止</w:t>
      </w:r>
      <w:r>
        <w:rPr>
          <w:rFonts w:ascii="Times New Roman" w:hAnsi="Times New Roman"/>
          <w:color w:val="auto"/>
          <w:sz w:val="24"/>
          <w:szCs w:val="24"/>
          <w:highlight w:val="none"/>
        </w:rPr>
        <w:t>。因此造成的损失，乙方自行承担。</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第十一条 不可抗力事件处理</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1、在合同有效期内，任何一方因不可抗力事件导致不能履行合同，则合同履行期可延长，其延长期与不可抗力影响期相同。</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2、不可抗力事件发生后，受不可抗力影响的一方应在xx个工作日内书面通知对方，并寄送有关权威机构出具的证明，方可免除相应违约责任。</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3、不可抗力事件延续xx天以上，双方应通过友好协商，确定是否继续履行合同。</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Start w:id="217" w:name="_Toc211911353"/>
      <w:bookmarkStart w:id="218" w:name="_Toc241833908"/>
      <w:bookmarkStart w:id="219" w:name="_Toc286993792"/>
      <w:bookmarkStart w:id="220" w:name="_Toc232492933"/>
      <w:bookmarkStart w:id="221" w:name="_Toc212019599"/>
      <w:bookmarkStart w:id="222" w:name="_Toc225244857"/>
      <w:bookmarkStart w:id="223" w:name="_Toc247334846"/>
      <w:bookmarkStart w:id="224" w:name="_Toc211854454"/>
      <w:bookmarkStart w:id="225" w:name="_Toc225670756"/>
      <w:bookmarkStart w:id="226" w:name="_Toc251768867"/>
      <w:bookmarkStart w:id="227" w:name="_Toc238984980"/>
      <w:bookmarkStart w:id="228" w:name="_Toc239233919"/>
      <w:bookmarkStart w:id="229" w:name="_Toc185395254"/>
      <w:bookmarkStart w:id="230" w:name="_Toc239568423"/>
      <w:bookmarkStart w:id="231" w:name="_Toc237145411"/>
      <w:bookmarkStart w:id="232" w:name="_Toc225654649"/>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4、因国家或四川省、成都市政府政策调整导致本合同无法履行时，甲方有权立即终止或解除合同，双方互不承担责任。</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第十二条 解决合同纠纷的方式</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1、在执行本合同中发生的或与本合同有关的争端，双方应通过友好协商解决，经协商在xx天内不能达成协议时，应提交成都仲裁委员会仲裁。</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2、仲裁裁决应为最终决定，并对双方具有约束力。</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3、除另有裁决外，仲裁费应由败诉方负担。</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4、在仲裁期间，除正在进行仲裁部分外，合同其他部分继续执行。</w:t>
      </w:r>
    </w:p>
    <w:p>
      <w:pPr>
        <w:topLinePunct/>
        <w:spacing w:line="500" w:lineRule="exact"/>
        <w:ind w:firstLine="354" w:firstLineChars="147"/>
        <w:rPr>
          <w:rFonts w:ascii="Times New Roman" w:hAnsi="Times New Roman"/>
          <w:b/>
          <w:color w:val="auto"/>
          <w:sz w:val="24"/>
          <w:szCs w:val="24"/>
          <w:highlight w:val="none"/>
        </w:rPr>
      </w:pPr>
      <w:bookmarkStart w:id="233" w:name="_Toc286993793"/>
      <w:bookmarkStart w:id="234" w:name="_Toc232492934"/>
      <w:bookmarkStart w:id="235" w:name="_Toc282696231"/>
      <w:bookmarkStart w:id="236" w:name="_Toc241833909"/>
      <w:bookmarkStart w:id="237" w:name="_Toc225244858"/>
      <w:bookmarkStart w:id="238" w:name="_Toc239568424"/>
      <w:bookmarkStart w:id="239" w:name="_Toc283019219"/>
      <w:bookmarkStart w:id="240" w:name="_Toc225654650"/>
      <w:bookmarkStart w:id="241" w:name="_Toc239233920"/>
      <w:bookmarkStart w:id="242" w:name="_Toc225670757"/>
      <w:bookmarkStart w:id="243" w:name="_Toc211911354"/>
      <w:bookmarkStart w:id="244" w:name="_Toc247334847"/>
      <w:bookmarkStart w:id="245" w:name="_Toc238984981"/>
      <w:bookmarkStart w:id="246" w:name="_Toc237145412"/>
      <w:bookmarkStart w:id="247" w:name="_Toc185395255"/>
      <w:bookmarkStart w:id="248" w:name="_Toc251768868"/>
      <w:bookmarkStart w:id="249" w:name="_Toc212019600"/>
      <w:bookmarkStart w:id="250" w:name="_Toc211854455"/>
      <w:r>
        <w:rPr>
          <w:rFonts w:hint="eastAsia" w:ascii="Times New Roman" w:hAnsi="Times New Roman"/>
          <w:b/>
          <w:color w:val="auto"/>
          <w:sz w:val="24"/>
          <w:szCs w:val="24"/>
          <w:highlight w:val="none"/>
        </w:rPr>
        <w:t>第十三条 合同</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rFonts w:hint="eastAsia" w:ascii="Times New Roman" w:hAnsi="Times New Roman"/>
          <w:b/>
          <w:color w:val="auto"/>
          <w:sz w:val="24"/>
          <w:szCs w:val="24"/>
          <w:highlight w:val="none"/>
        </w:rPr>
        <w:t>生效及其他</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1、合同经双方法定代表人或授权委托代理人签字并加盖单位公章后生效。</w:t>
      </w:r>
    </w:p>
    <w:p>
      <w:pPr>
        <w:tabs>
          <w:tab w:val="left" w:pos="1440"/>
        </w:tabs>
        <w:topLinePunct/>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2、本合同一式</w:t>
      </w:r>
      <w:r>
        <w:rPr>
          <w:rFonts w:hint="eastAsia" w:ascii="Times New Roman" w:hAnsi="Times New Roman"/>
          <w:color w:val="auto"/>
          <w:sz w:val="24"/>
          <w:szCs w:val="24"/>
          <w:highlight w:val="none"/>
        </w:rPr>
        <w:t>陆</w:t>
      </w:r>
      <w:r>
        <w:rPr>
          <w:rFonts w:ascii="Times New Roman" w:hAnsi="Times New Roman"/>
          <w:color w:val="auto"/>
          <w:sz w:val="24"/>
          <w:szCs w:val="24"/>
          <w:highlight w:val="none"/>
        </w:rPr>
        <w:t>份，自双方签章之日起起效。甲方贰份，乙方壹份，招标采购代理机构壹份，上级主管部门备案壹份，财政部门备案壹份，具有同等法律效力。</w:t>
      </w: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第十四条 特别约定</w:t>
      </w:r>
    </w:p>
    <w:p>
      <w:pPr>
        <w:autoSpaceDE w:val="0"/>
        <w:autoSpaceDN w:val="0"/>
        <w:adjustRightInd w:val="0"/>
        <w:spacing w:line="500" w:lineRule="exact"/>
        <w:ind w:firstLine="420"/>
        <w:jc w:val="left"/>
        <w:rPr>
          <w:rFonts w:ascii="Times New Roman" w:hAnsi="Times New Roman"/>
          <w:color w:val="auto"/>
          <w:sz w:val="24"/>
          <w:szCs w:val="24"/>
          <w:highlight w:val="none"/>
        </w:rPr>
      </w:pPr>
      <w:r>
        <w:rPr>
          <w:rFonts w:hint="eastAsia" w:ascii="Times New Roman" w:hAnsi="Times New Roman"/>
          <w:color w:val="auto"/>
          <w:sz w:val="24"/>
          <w:szCs w:val="24"/>
          <w:highlight w:val="none"/>
        </w:rPr>
        <w:t>1、管护期间，若有新增环卫保洁、环卫公厕、绿化和河道管护内容，甲乙双方就新增服务项目签订补充协议。</w:t>
      </w:r>
    </w:p>
    <w:p>
      <w:pPr>
        <w:keepNext w:val="0"/>
        <w:keepLines w:val="0"/>
        <w:pageBreakBefore w:val="0"/>
        <w:widowControl w:val="0"/>
        <w:kinsoku/>
        <w:wordWrap/>
        <w:overflowPunct/>
        <w:topLinePunct w:val="0"/>
        <w:autoSpaceDE w:val="0"/>
        <w:autoSpaceDN w:val="0"/>
        <w:bidi w:val="0"/>
        <w:adjustRightInd w:val="0"/>
        <w:snapToGrid/>
        <w:spacing w:line="500" w:lineRule="atLeast"/>
        <w:ind w:firstLine="420"/>
        <w:jc w:val="left"/>
        <w:textAlignment w:val="auto"/>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2、实行总经理带班制，由当月代班公司协助</w:t>
      </w:r>
      <w:r>
        <w:rPr>
          <w:rFonts w:hint="eastAsia" w:ascii="Times New Roman" w:hAnsi="Times New Roman"/>
          <w:color w:val="auto"/>
          <w:sz w:val="24"/>
          <w:szCs w:val="24"/>
          <w:highlight w:val="none"/>
          <w:lang w:eastAsia="zh-CN"/>
        </w:rPr>
        <w:t>区行业主管部门对全区一体化服务作业内容进行指导、承担示范创新等工作，配合区行业主管部门加强与市行业主管部门沟通、汇报等工作</w:t>
      </w:r>
      <w:r>
        <w:rPr>
          <w:rFonts w:hint="eastAsia" w:ascii="Times New Roman" w:hAnsi="Times New Roman"/>
          <w:color w:val="auto"/>
          <w:sz w:val="24"/>
          <w:szCs w:val="24"/>
          <w:highlight w:val="none"/>
        </w:rPr>
        <w:t>。</w:t>
      </w:r>
    </w:p>
    <w:p>
      <w:pPr>
        <w:topLinePunct/>
        <w:spacing w:line="500" w:lineRule="exact"/>
        <w:ind w:firstLine="354" w:firstLineChars="147"/>
        <w:rPr>
          <w:rFonts w:hint="eastAsia" w:ascii="Times New Roman" w:hAnsi="Times New Roman"/>
          <w:b/>
          <w:color w:val="auto"/>
          <w:sz w:val="24"/>
          <w:szCs w:val="24"/>
          <w:highlight w:val="none"/>
        </w:rPr>
      </w:pPr>
    </w:p>
    <w:p>
      <w:pPr>
        <w:topLinePunct/>
        <w:spacing w:line="500" w:lineRule="exact"/>
        <w:ind w:firstLine="354" w:firstLineChars="147"/>
        <w:rPr>
          <w:rFonts w:ascii="Times New Roman" w:hAnsi="Times New Roman"/>
          <w:b/>
          <w:color w:val="auto"/>
          <w:sz w:val="24"/>
          <w:szCs w:val="24"/>
          <w:highlight w:val="none"/>
        </w:rPr>
      </w:pPr>
      <w:r>
        <w:rPr>
          <w:rFonts w:hint="eastAsia" w:ascii="Times New Roman" w:hAnsi="Times New Roman"/>
          <w:b/>
          <w:color w:val="auto"/>
          <w:sz w:val="24"/>
          <w:szCs w:val="24"/>
          <w:highlight w:val="none"/>
        </w:rPr>
        <w:t xml:space="preserve"> 附件</w:t>
      </w:r>
    </w:p>
    <w:p>
      <w:pPr>
        <w:topLinePunct/>
        <w:spacing w:line="500" w:lineRule="exact"/>
        <w:rPr>
          <w:rFonts w:ascii="Times New Roman" w:hAnsi="Times New Roman"/>
          <w:color w:val="auto"/>
          <w:sz w:val="24"/>
          <w:szCs w:val="24"/>
          <w:highlight w:val="none"/>
        </w:rPr>
      </w:pPr>
      <w:r>
        <w:rPr>
          <w:rFonts w:hint="eastAsia" w:ascii="Times New Roman" w:hAnsi="宋体"/>
          <w:color w:val="auto"/>
          <w:sz w:val="24"/>
          <w:szCs w:val="24"/>
          <w:highlight w:val="none"/>
        </w:rPr>
        <w:t xml:space="preserve">    </w:t>
      </w:r>
      <w:r>
        <w:rPr>
          <w:rFonts w:ascii="Times New Roman" w:hAnsi="宋体"/>
          <w:color w:val="auto"/>
          <w:sz w:val="24"/>
          <w:szCs w:val="24"/>
          <w:highlight w:val="none"/>
        </w:rPr>
        <w:t>1</w:t>
      </w:r>
      <w:r>
        <w:rPr>
          <w:rFonts w:hint="eastAsia" w:ascii="Times New Roman" w:hAnsi="宋体"/>
          <w:color w:val="auto"/>
          <w:sz w:val="24"/>
          <w:szCs w:val="24"/>
          <w:highlight w:val="none"/>
        </w:rPr>
        <w:t>、项目招标文件</w:t>
      </w:r>
    </w:p>
    <w:p>
      <w:pPr>
        <w:topLinePunct/>
        <w:spacing w:line="500" w:lineRule="exact"/>
        <w:rPr>
          <w:rFonts w:ascii="Times New Roman" w:hAnsi="Times New Roman"/>
          <w:color w:val="auto"/>
          <w:sz w:val="24"/>
          <w:szCs w:val="24"/>
          <w:highlight w:val="none"/>
        </w:rPr>
      </w:pPr>
      <w:r>
        <w:rPr>
          <w:rFonts w:hint="eastAsia" w:ascii="Times New Roman" w:hAnsi="宋体"/>
          <w:color w:val="auto"/>
          <w:sz w:val="24"/>
          <w:szCs w:val="24"/>
          <w:highlight w:val="none"/>
        </w:rPr>
        <w:t xml:space="preserve">    </w:t>
      </w:r>
      <w:r>
        <w:rPr>
          <w:rFonts w:ascii="Times New Roman" w:hAnsi="宋体"/>
          <w:color w:val="auto"/>
          <w:sz w:val="24"/>
          <w:szCs w:val="24"/>
          <w:highlight w:val="none"/>
        </w:rPr>
        <w:t>2</w:t>
      </w:r>
      <w:r>
        <w:rPr>
          <w:rFonts w:hint="eastAsia" w:ascii="Times New Roman" w:hAnsi="宋体"/>
          <w:color w:val="auto"/>
          <w:sz w:val="24"/>
          <w:szCs w:val="24"/>
          <w:highlight w:val="none"/>
        </w:rPr>
        <w:t>、项目修改澄清文件</w:t>
      </w:r>
    </w:p>
    <w:p>
      <w:pPr>
        <w:topLinePunct/>
        <w:spacing w:line="500" w:lineRule="exact"/>
        <w:rPr>
          <w:rFonts w:ascii="Times New Roman" w:hAnsi="Times New Roman"/>
          <w:color w:val="auto"/>
          <w:sz w:val="24"/>
          <w:szCs w:val="24"/>
          <w:highlight w:val="none"/>
        </w:rPr>
      </w:pPr>
      <w:r>
        <w:rPr>
          <w:rFonts w:hint="eastAsia" w:ascii="Times New Roman" w:hAnsi="宋体"/>
          <w:color w:val="auto"/>
          <w:sz w:val="24"/>
          <w:szCs w:val="24"/>
          <w:highlight w:val="none"/>
        </w:rPr>
        <w:t xml:space="preserve">    </w:t>
      </w:r>
      <w:r>
        <w:rPr>
          <w:rFonts w:ascii="Times New Roman" w:hAnsi="宋体"/>
          <w:color w:val="auto"/>
          <w:sz w:val="24"/>
          <w:szCs w:val="24"/>
          <w:highlight w:val="none"/>
        </w:rPr>
        <w:t>3</w:t>
      </w:r>
      <w:r>
        <w:rPr>
          <w:rFonts w:hint="eastAsia" w:ascii="Times New Roman" w:hAnsi="宋体"/>
          <w:color w:val="auto"/>
          <w:sz w:val="24"/>
          <w:szCs w:val="24"/>
          <w:highlight w:val="none"/>
        </w:rPr>
        <w:t>、项目投标文件</w:t>
      </w:r>
    </w:p>
    <w:p>
      <w:pPr>
        <w:topLinePunct/>
        <w:spacing w:line="500" w:lineRule="exact"/>
        <w:ind w:firstLine="480" w:firstLineChars="200"/>
        <w:rPr>
          <w:rFonts w:ascii="Times New Roman" w:hAnsi="宋体"/>
          <w:color w:val="auto"/>
          <w:sz w:val="24"/>
          <w:szCs w:val="24"/>
          <w:highlight w:val="none"/>
        </w:rPr>
      </w:pPr>
      <w:r>
        <w:rPr>
          <w:rFonts w:hint="eastAsia" w:ascii="Times New Roman" w:hAnsi="宋体"/>
          <w:color w:val="auto"/>
          <w:sz w:val="24"/>
          <w:szCs w:val="24"/>
          <w:highlight w:val="none"/>
        </w:rPr>
        <w:t>4、中标通知书</w:t>
      </w:r>
    </w:p>
    <w:p>
      <w:pPr>
        <w:topLinePunct/>
        <w:spacing w:line="500" w:lineRule="exact"/>
        <w:ind w:firstLine="480" w:firstLineChars="200"/>
        <w:rPr>
          <w:rFonts w:ascii="Times New Roman" w:hAnsi="宋体"/>
          <w:color w:val="auto"/>
          <w:sz w:val="24"/>
          <w:szCs w:val="24"/>
          <w:highlight w:val="none"/>
        </w:rPr>
      </w:pPr>
      <w:r>
        <w:rPr>
          <w:rFonts w:hint="eastAsia" w:ascii="Times New Roman" w:hAnsi="宋体"/>
          <w:color w:val="auto"/>
          <w:sz w:val="24"/>
          <w:szCs w:val="24"/>
          <w:highlight w:val="none"/>
        </w:rPr>
        <w:t>5. 作业明细表</w:t>
      </w:r>
    </w:p>
    <w:p>
      <w:pPr>
        <w:topLinePunct/>
        <w:spacing w:line="500" w:lineRule="exact"/>
        <w:ind w:firstLine="480" w:firstLineChars="200"/>
        <w:rPr>
          <w:rFonts w:ascii="Times New Roman" w:hAnsi="宋体"/>
          <w:color w:val="auto"/>
          <w:sz w:val="24"/>
          <w:szCs w:val="24"/>
          <w:highlight w:val="none"/>
        </w:rPr>
      </w:pPr>
      <w:r>
        <w:rPr>
          <w:rFonts w:hint="eastAsia" w:ascii="Times New Roman" w:hAnsi="宋体"/>
          <w:color w:val="auto"/>
          <w:sz w:val="24"/>
          <w:szCs w:val="24"/>
          <w:highlight w:val="none"/>
        </w:rPr>
        <w:t>6. 考核办法</w:t>
      </w:r>
    </w:p>
    <w:p>
      <w:pPr>
        <w:topLinePunct/>
        <w:spacing w:line="500" w:lineRule="exact"/>
        <w:rPr>
          <w:rFonts w:ascii="Times New Roman" w:hAnsi="宋体"/>
          <w:color w:val="auto"/>
          <w:sz w:val="24"/>
          <w:szCs w:val="24"/>
          <w:highlight w:val="none"/>
        </w:rPr>
      </w:pPr>
      <w:r>
        <w:rPr>
          <w:rFonts w:hint="eastAsia" w:ascii="Times New Roman" w:hAnsi="宋体"/>
          <w:color w:val="auto"/>
          <w:sz w:val="24"/>
          <w:szCs w:val="24"/>
          <w:highlight w:val="none"/>
        </w:rPr>
        <w:t xml:space="preserve">    7、其他</w:t>
      </w:r>
    </w:p>
    <w:p>
      <w:pPr>
        <w:spacing w:line="500" w:lineRule="exact"/>
        <w:rPr>
          <w:rFonts w:ascii="Times New Roman" w:hAnsi="Times New Roman"/>
          <w:color w:val="auto"/>
          <w:szCs w:val="24"/>
          <w:highlight w:val="none"/>
        </w:rPr>
      </w:pPr>
    </w:p>
    <w:p>
      <w:pPr>
        <w:tabs>
          <w:tab w:val="left" w:pos="373"/>
        </w:tabs>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甲方：（盖章）</w:t>
      </w:r>
      <w:r>
        <w:rPr>
          <w:rFonts w:ascii="Times New Roman" w:hAnsi="Times New Roman"/>
          <w:color w:val="auto"/>
          <w:sz w:val="24"/>
          <w:szCs w:val="24"/>
          <w:highlight w:val="none"/>
        </w:rPr>
        <w:tab/>
      </w:r>
      <w:r>
        <w:rPr>
          <w:rFonts w:ascii="Times New Roman" w:hAnsi="Times New Roman"/>
          <w:color w:val="auto"/>
          <w:sz w:val="24"/>
          <w:szCs w:val="24"/>
          <w:highlight w:val="none"/>
        </w:rPr>
        <w:tab/>
      </w:r>
      <w:r>
        <w:rPr>
          <w:rFonts w:ascii="Times New Roman" w:hAnsi="Times New Roman"/>
          <w:color w:val="auto"/>
          <w:sz w:val="24"/>
          <w:szCs w:val="24"/>
          <w:highlight w:val="none"/>
        </w:rPr>
        <w:tab/>
      </w:r>
      <w:r>
        <w:rPr>
          <w:rFonts w:hint="eastAsia" w:ascii="Times New Roman" w:hAnsi="Times New Roman"/>
          <w:color w:val="auto"/>
          <w:sz w:val="24"/>
          <w:szCs w:val="24"/>
          <w:highlight w:val="none"/>
        </w:rPr>
        <w:t xml:space="preserve">       乙方：（盖章）</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法定代表人（授权代表）：       法定代表人（授权代表）：</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地址：                         地址：</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开户银行：                     开户银行：</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账号：                         账号：</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电话：                         电话：</w:t>
      </w:r>
    </w:p>
    <w:p>
      <w:pPr>
        <w:topLinePunct/>
        <w:spacing w:line="500" w:lineRule="exact"/>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传真：                         传真：</w:t>
      </w:r>
    </w:p>
    <w:p>
      <w:pPr>
        <w:spacing w:line="500" w:lineRule="exact"/>
        <w:ind w:firstLine="480" w:firstLineChars="200"/>
        <w:rPr>
          <w:rFonts w:ascii="Times New Roman" w:hAnsi="Times New Roman"/>
          <w:color w:val="auto"/>
          <w:szCs w:val="24"/>
          <w:highlight w:val="none"/>
        </w:rPr>
      </w:pPr>
      <w:r>
        <w:rPr>
          <w:rFonts w:hint="eastAsia" w:ascii="Times New Roman" w:hAnsi="Times New Roman"/>
          <w:color w:val="auto"/>
          <w:sz w:val="24"/>
          <w:szCs w:val="24"/>
          <w:highlight w:val="none"/>
        </w:rPr>
        <w:t>签约日期：   年   月   日</w:t>
      </w:r>
      <w:r>
        <w:rPr>
          <w:rFonts w:ascii="Times New Roman" w:hAnsi="Times New Roman"/>
          <w:color w:val="auto"/>
          <w:sz w:val="24"/>
          <w:szCs w:val="24"/>
          <w:highlight w:val="none"/>
        </w:rPr>
        <w:tab/>
      </w:r>
      <w:r>
        <w:rPr>
          <w:rFonts w:ascii="Times New Roman" w:hAnsi="Times New Roman"/>
          <w:color w:val="auto"/>
          <w:sz w:val="24"/>
          <w:szCs w:val="24"/>
          <w:highlight w:val="none"/>
        </w:rPr>
        <w:tab/>
      </w:r>
      <w:r>
        <w:rPr>
          <w:rFonts w:hint="eastAsia" w:ascii="Times New Roman" w:hAnsi="Times New Roman"/>
          <w:color w:val="auto"/>
          <w:sz w:val="24"/>
          <w:szCs w:val="24"/>
          <w:highlight w:val="none"/>
        </w:rPr>
        <w:t>签约日期：   年   月   日</w:t>
      </w:r>
    </w:p>
    <w:p>
      <w:pPr>
        <w:spacing w:line="360" w:lineRule="auto"/>
        <w:ind w:firstLine="480" w:firstLineChars="200"/>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 xml:space="preserve"> </w:t>
      </w:r>
    </w:p>
    <w:p>
      <w:pPr>
        <w:spacing w:after="120"/>
        <w:rPr>
          <w:color w:val="auto"/>
          <w:highlight w:val="none"/>
        </w:rPr>
      </w:pPr>
      <w:r>
        <w:rPr>
          <w:rFonts w:ascii="宋体" w:hAnsi="宋体"/>
          <w:color w:val="auto"/>
          <w:sz w:val="28"/>
          <w:szCs w:val="28"/>
          <w:highlight w:val="none"/>
        </w:rPr>
        <w:t xml:space="preserve"> </w:t>
      </w:r>
    </w:p>
    <w:bookmarkEnd w:id="195"/>
    <w:bookmarkEnd w:id="196"/>
    <w:bookmarkEnd w:id="197"/>
    <w:p>
      <w:pPr>
        <w:widowControl/>
        <w:jc w:val="left"/>
        <w:rPr>
          <w:rFonts w:ascii="黑体" w:hAnsi="黑体" w:eastAsia="黑体"/>
          <w:color w:val="auto"/>
          <w:sz w:val="32"/>
          <w:szCs w:val="32"/>
          <w:highlight w:val="none"/>
        </w:rPr>
      </w:pPr>
    </w:p>
    <w:p>
      <w:pPr>
        <w:rPr>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eastAsia="宋体"/>
          <w:color w:val="auto"/>
          <w:sz w:val="28"/>
          <w:szCs w:val="28"/>
          <w:highlight w:val="none"/>
          <w:lang w:eastAsia="zh-CN"/>
        </w:rPr>
      </w:pPr>
      <w:r>
        <w:rPr>
          <w:rFonts w:hint="eastAsia"/>
          <w:color w:val="auto"/>
          <w:sz w:val="28"/>
          <w:szCs w:val="28"/>
          <w:highlight w:val="none"/>
          <w:lang w:eastAsia="zh-CN"/>
        </w:rPr>
        <w:t>附件：</w:t>
      </w:r>
    </w:p>
    <w:p>
      <w:pPr>
        <w:rPr>
          <w:color w:val="auto"/>
          <w:highlight w:val="none"/>
        </w:rPr>
      </w:pPr>
      <w:r>
        <w:rPr>
          <w:rFonts w:hint="eastAsia"/>
          <w:color w:val="auto"/>
          <w:highlight w:val="none"/>
        </w:rPr>
        <w:drawing>
          <wp:inline distT="0" distB="0" distL="0" distR="0">
            <wp:extent cx="5274310" cy="7463790"/>
            <wp:effectExtent l="0" t="0" r="2540" b="3810"/>
            <wp:docPr id="674"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5"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76"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7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9"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80"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8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7"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99"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0"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1"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2"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drawing>
          <wp:inline distT="0" distB="0" distL="0" distR="0">
            <wp:extent cx="5783580" cy="7386955"/>
            <wp:effectExtent l="0" t="0" r="762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20"/>
                    <a:stretch>
                      <a:fillRect/>
                    </a:stretch>
                  </pic:blipFill>
                  <pic:spPr>
                    <a:xfrm>
                      <a:off x="0" y="0"/>
                      <a:ext cx="5783651" cy="738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drawing>
          <wp:inline distT="0" distB="0" distL="0" distR="0">
            <wp:extent cx="5487035" cy="7415530"/>
            <wp:effectExtent l="0" t="0" r="1841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1"/>
                    <a:stretch>
                      <a:fillRect/>
                    </a:stretch>
                  </pic:blipFill>
                  <pic:spPr>
                    <a:xfrm>
                      <a:off x="0" y="0"/>
                      <a:ext cx="5487291" cy="74160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ascii="宋体" w:hAnsi="宋体"/>
          <w:color w:val="auto"/>
          <w:szCs w:val="21"/>
          <w:highlight w:val="none"/>
        </w:rPr>
        <w:drawing>
          <wp:inline distT="0" distB="0" distL="0" distR="0">
            <wp:extent cx="5033010" cy="7296785"/>
            <wp:effectExtent l="0" t="0" r="1524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22"/>
                    <a:stretch>
                      <a:fillRect/>
                    </a:stretch>
                  </pic:blipFill>
                  <pic:spPr>
                    <a:xfrm>
                      <a:off x="0" y="0"/>
                      <a:ext cx="5033260" cy="729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ascii="宋体" w:hAnsi="宋体"/>
          <w:color w:val="auto"/>
          <w:szCs w:val="21"/>
          <w:highlight w:val="none"/>
        </w:rPr>
        <w:drawing>
          <wp:inline distT="0" distB="0" distL="0" distR="0">
            <wp:extent cx="5226685" cy="7203440"/>
            <wp:effectExtent l="0" t="0" r="12065"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23"/>
                    <a:stretch>
                      <a:fillRect/>
                    </a:stretch>
                  </pic:blipFill>
                  <pic:spPr>
                    <a:xfrm>
                      <a:off x="0" y="0"/>
                      <a:ext cx="5227193" cy="72036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ascii="宋体" w:hAnsi="宋体"/>
          <w:color w:val="auto"/>
          <w:szCs w:val="21"/>
          <w:highlight w:val="none"/>
        </w:rPr>
        <w:drawing>
          <wp:inline distT="0" distB="0" distL="0" distR="0">
            <wp:extent cx="5353050" cy="7541895"/>
            <wp:effectExtent l="0" t="0" r="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24"/>
                    <a:stretch>
                      <a:fillRect/>
                    </a:stretch>
                  </pic:blipFill>
                  <pic:spPr>
                    <a:xfrm>
                      <a:off x="0" y="0"/>
                      <a:ext cx="5353050" cy="7541895"/>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ascii="宋体" w:hAnsi="宋体"/>
          <w:color w:val="auto"/>
          <w:szCs w:val="21"/>
          <w:highlight w:val="none"/>
        </w:rPr>
        <w:drawing>
          <wp:inline distT="0" distB="0" distL="0" distR="0">
            <wp:extent cx="5466080" cy="7868920"/>
            <wp:effectExtent l="0" t="0" r="127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25"/>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color w:val="auto"/>
          <w:szCs w:val="21"/>
          <w:highlight w:val="none"/>
        </w:rPr>
        <w:drawing>
          <wp:inline distT="0" distB="0" distL="0" distR="0">
            <wp:extent cx="4883785" cy="7260590"/>
            <wp:effectExtent l="0" t="0" r="12065" b="1651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26"/>
                    <a:stretch>
                      <a:fillRect/>
                    </a:stretch>
                  </pic:blipFill>
                  <pic:spPr>
                    <a:xfrm>
                      <a:off x="0" y="0"/>
                      <a:ext cx="4884117" cy="7261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ascii="宋体" w:hAnsi="宋体"/>
          <w:color w:val="auto"/>
          <w:szCs w:val="21"/>
          <w:highlight w:val="none"/>
        </w:rPr>
        <w:drawing>
          <wp:inline distT="0" distB="0" distL="0" distR="0">
            <wp:extent cx="5086985" cy="7430135"/>
            <wp:effectExtent l="0" t="0" r="18415" b="1841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27"/>
                    <a:stretch>
                      <a:fillRect/>
                    </a:stretch>
                  </pic:blipFill>
                  <pic:spPr>
                    <a:xfrm>
                      <a:off x="0" y="0"/>
                      <a:ext cx="5087026" cy="74304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pStyle w:val="2"/>
        <w:kinsoku w:val="0"/>
        <w:overflowPunct w:val="0"/>
        <w:rPr>
          <w:rFonts w:ascii="方正小标宋_GBK" w:hAnsi="方正小标宋_GBK" w:eastAsia="方正小标宋_GBK" w:cs="方正小标宋_GBK"/>
          <w:color w:val="auto"/>
          <w:sz w:val="30"/>
          <w:szCs w:val="30"/>
          <w:highlight w:val="none"/>
        </w:rPr>
      </w:pPr>
    </w:p>
    <w:p>
      <w:pPr>
        <w:pStyle w:val="2"/>
        <w:kinsoku w:val="0"/>
        <w:overflowPunct w:val="0"/>
        <w:jc w:val="center"/>
        <w:rPr>
          <w:rFonts w:hint="eastAsia" w:ascii="宋体" w:hAnsi="宋体"/>
          <w:b/>
          <w:color w:val="auto"/>
          <w:sz w:val="44"/>
          <w:szCs w:val="44"/>
          <w:highlight w:val="none"/>
        </w:rPr>
      </w:pPr>
      <w:r>
        <w:rPr>
          <w:rFonts w:hint="eastAsia" w:ascii="宋体" w:hAnsi="宋体"/>
          <w:b/>
          <w:color w:val="auto"/>
          <w:sz w:val="44"/>
          <w:szCs w:val="44"/>
          <w:highlight w:val="none"/>
        </w:rPr>
        <w:t>锦江区政府采购信用融资机构名单</w:t>
      </w:r>
    </w:p>
    <w:tbl>
      <w:tblPr>
        <w:tblStyle w:val="59"/>
        <w:tblW w:w="8780" w:type="dxa"/>
        <w:jc w:val="center"/>
        <w:tblInd w:w="0" w:type="dxa"/>
        <w:tblLayout w:type="fixed"/>
        <w:tblCellMar>
          <w:top w:w="0" w:type="dxa"/>
          <w:left w:w="108" w:type="dxa"/>
          <w:bottom w:w="0" w:type="dxa"/>
          <w:right w:w="108" w:type="dxa"/>
        </w:tblCellMar>
      </w:tblPr>
      <w:tblGrid>
        <w:gridCol w:w="724"/>
        <w:gridCol w:w="2292"/>
        <w:gridCol w:w="2638"/>
        <w:gridCol w:w="3126"/>
      </w:tblGrid>
      <w:tr>
        <w:tblPrEx>
          <w:tblLayout w:type="fixed"/>
          <w:tblCellMar>
            <w:top w:w="0" w:type="dxa"/>
            <w:left w:w="108" w:type="dxa"/>
            <w:bottom w:w="0" w:type="dxa"/>
            <w:right w:w="108" w:type="dxa"/>
          </w:tblCellMar>
        </w:tblPrEx>
        <w:trPr>
          <w:trHeight w:val="369"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ind w:left="0" w:leftChars="0" w:firstLine="0" w:firstLineChars="0"/>
              <w:rPr>
                <w:rFonts w:ascii="黑体" w:hAnsi="黑体" w:eastAsia="黑体"/>
                <w:color w:val="auto"/>
                <w:sz w:val="21"/>
                <w:szCs w:val="21"/>
                <w:highlight w:val="none"/>
              </w:rPr>
            </w:pPr>
            <w:r>
              <w:rPr>
                <w:rFonts w:hint="eastAsia" w:ascii="黑体" w:hAnsi="黑体" w:eastAsia="黑体"/>
                <w:color w:val="auto"/>
                <w:sz w:val="21"/>
                <w:szCs w:val="21"/>
                <w:highlight w:val="none"/>
              </w:rPr>
              <w:t>序号</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center"/>
              <w:rPr>
                <w:rFonts w:ascii="黑体" w:hAnsi="黑体" w:eastAsia="黑体"/>
                <w:color w:val="auto"/>
                <w:sz w:val="21"/>
                <w:szCs w:val="21"/>
                <w:highlight w:val="none"/>
              </w:rPr>
            </w:pPr>
            <w:r>
              <w:rPr>
                <w:rFonts w:hint="eastAsia" w:ascii="黑体" w:hAnsi="黑体" w:eastAsia="黑体"/>
                <w:color w:val="auto"/>
                <w:sz w:val="21"/>
                <w:szCs w:val="21"/>
                <w:highlight w:val="none"/>
              </w:rPr>
              <w:t>银行名称</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center"/>
              <w:rPr>
                <w:rFonts w:ascii="黑体" w:hAnsi="黑体" w:eastAsia="黑体"/>
                <w:color w:val="auto"/>
                <w:sz w:val="21"/>
                <w:szCs w:val="21"/>
                <w:highlight w:val="none"/>
              </w:rPr>
            </w:pPr>
            <w:r>
              <w:rPr>
                <w:rFonts w:hint="eastAsia" w:ascii="黑体" w:hAnsi="黑体" w:eastAsia="黑体"/>
                <w:color w:val="auto"/>
                <w:sz w:val="21"/>
                <w:szCs w:val="21"/>
                <w:highlight w:val="none"/>
              </w:rPr>
              <w:t>银行地址</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rPr>
                <w:rFonts w:ascii="黑体" w:hAnsi="黑体" w:eastAsia="黑体"/>
                <w:color w:val="auto"/>
                <w:sz w:val="21"/>
                <w:szCs w:val="21"/>
                <w:highlight w:val="none"/>
              </w:rPr>
            </w:pPr>
            <w:r>
              <w:rPr>
                <w:rFonts w:hint="eastAsia" w:ascii="黑体" w:hAnsi="黑体" w:eastAsia="黑体"/>
                <w:color w:val="auto"/>
                <w:sz w:val="21"/>
                <w:szCs w:val="21"/>
                <w:highlight w:val="none"/>
              </w:rPr>
              <w:t>联系人及联系电话</w:t>
            </w:r>
          </w:p>
        </w:tc>
      </w:tr>
      <w:tr>
        <w:tblPrEx>
          <w:tblLayout w:type="fixed"/>
          <w:tblCellMar>
            <w:top w:w="0" w:type="dxa"/>
            <w:left w:w="108" w:type="dxa"/>
            <w:bottom w:w="0" w:type="dxa"/>
            <w:right w:w="108" w:type="dxa"/>
          </w:tblCellMar>
        </w:tblPrEx>
        <w:trPr>
          <w:trHeight w:val="727"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center"/>
              <w:rPr>
                <w:rFonts w:eastAsiaTheme="minorEastAsia"/>
                <w:color w:val="auto"/>
                <w:sz w:val="21"/>
                <w:szCs w:val="21"/>
                <w:highlight w:val="none"/>
              </w:rPr>
            </w:pPr>
          </w:p>
          <w:p>
            <w:pPr>
              <w:pStyle w:val="318"/>
              <w:kinsoku w:val="0"/>
              <w:overflowPunct w:val="0"/>
              <w:ind w:firstLine="210" w:firstLineChars="100"/>
              <w:rPr>
                <w:rFonts w:eastAsiaTheme="minorEastAsia"/>
                <w:color w:val="auto"/>
                <w:sz w:val="21"/>
                <w:szCs w:val="21"/>
                <w:highlight w:val="none"/>
              </w:rPr>
            </w:pPr>
            <w:r>
              <w:rPr>
                <w:rFonts w:hint="eastAsia" w:eastAsiaTheme="minorEastAsia"/>
                <w:color w:val="auto"/>
                <w:sz w:val="21"/>
                <w:szCs w:val="21"/>
                <w:highlight w:val="none"/>
              </w:rPr>
              <w:t>1</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中国工商银行成都芷泉支行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成都市锦江区一环路东五段</w:t>
            </w:r>
            <w:r>
              <w:rPr>
                <w:color w:val="auto"/>
                <w:sz w:val="21"/>
                <w:szCs w:val="21"/>
                <w:highlight w:val="none"/>
              </w:rPr>
              <w:t xml:space="preserve">103 </w:t>
            </w:r>
            <w:r>
              <w:rPr>
                <w:rFonts w:hint="eastAsia" w:ascii="宋体" w:hAnsi="宋体" w:eastAsia="宋体"/>
                <w:color w:val="auto"/>
                <w:sz w:val="21"/>
                <w:szCs w:val="21"/>
                <w:highlight w:val="none"/>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after="0"/>
              <w:jc w:val="left"/>
              <w:rPr>
                <w:color w:val="auto"/>
                <w:sz w:val="21"/>
                <w:szCs w:val="21"/>
                <w:highlight w:val="none"/>
              </w:rPr>
            </w:pPr>
            <w:r>
              <w:rPr>
                <w:rFonts w:hint="eastAsia" w:ascii="宋体" w:hAnsi="宋体" w:eastAsia="宋体"/>
                <w:color w:val="auto"/>
                <w:sz w:val="21"/>
                <w:szCs w:val="21"/>
                <w:highlight w:val="none"/>
              </w:rPr>
              <w:t xml:space="preserve">杨可 </w:t>
            </w:r>
            <w:r>
              <w:rPr>
                <w:color w:val="auto"/>
                <w:sz w:val="21"/>
                <w:szCs w:val="21"/>
                <w:highlight w:val="none"/>
              </w:rPr>
              <w:t>18583269666</w:t>
            </w:r>
          </w:p>
          <w:p>
            <w:pPr>
              <w:pStyle w:val="318"/>
              <w:kinsoku w:val="0"/>
              <w:overflowPunct w:val="0"/>
              <w:spacing w:after="0" w:line="291" w:lineRule="exact"/>
              <w:jc w:val="left"/>
              <w:rPr>
                <w:color w:val="auto"/>
                <w:sz w:val="21"/>
                <w:szCs w:val="21"/>
                <w:highlight w:val="none"/>
              </w:rPr>
            </w:pPr>
            <w:r>
              <w:rPr>
                <w:rFonts w:hint="eastAsia" w:ascii="宋体" w:hAnsi="宋体" w:eastAsia="宋体"/>
                <w:color w:val="auto"/>
                <w:sz w:val="21"/>
                <w:szCs w:val="21"/>
                <w:highlight w:val="none"/>
              </w:rPr>
              <w:t xml:space="preserve">何小亮 </w:t>
            </w:r>
            <w:r>
              <w:rPr>
                <w:color w:val="auto"/>
                <w:sz w:val="21"/>
                <w:szCs w:val="21"/>
                <w:highlight w:val="none"/>
              </w:rPr>
              <w:t>13880995541</w:t>
            </w:r>
          </w:p>
        </w:tc>
      </w:tr>
      <w:tr>
        <w:tblPrEx>
          <w:tblLayout w:type="fixed"/>
          <w:tblCellMar>
            <w:top w:w="0" w:type="dxa"/>
            <w:left w:w="108" w:type="dxa"/>
            <w:bottom w:w="0" w:type="dxa"/>
            <w:right w:w="108" w:type="dxa"/>
          </w:tblCellMar>
        </w:tblPrEx>
        <w:trPr>
          <w:trHeight w:val="1086"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rPr>
                <w:rFonts w:ascii="方正小标宋简体" w:hAnsi="方正小标宋简体" w:eastAsia="方正小标宋简体"/>
                <w:color w:val="auto"/>
                <w:sz w:val="21"/>
                <w:szCs w:val="21"/>
                <w:highlight w:val="none"/>
              </w:rPr>
            </w:pPr>
          </w:p>
          <w:p>
            <w:pPr>
              <w:pStyle w:val="318"/>
              <w:kinsoku w:val="0"/>
              <w:overflowPunct w:val="0"/>
              <w:jc w:val="center"/>
              <w:rPr>
                <w:color w:val="auto"/>
                <w:sz w:val="21"/>
                <w:szCs w:val="21"/>
                <w:highlight w:val="none"/>
              </w:rPr>
            </w:pPr>
            <w:r>
              <w:rPr>
                <w:color w:val="auto"/>
                <w:sz w:val="21"/>
                <w:szCs w:val="21"/>
                <w:highlight w:val="none"/>
              </w:rPr>
              <w:t>2</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成都农村商业银行锦江支行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成都市锦江区经天路 </w:t>
            </w:r>
            <w:r>
              <w:rPr>
                <w:color w:val="auto"/>
                <w:sz w:val="21"/>
                <w:szCs w:val="21"/>
                <w:highlight w:val="none"/>
              </w:rPr>
              <w:t xml:space="preserve">2 </w:t>
            </w:r>
            <w:r>
              <w:rPr>
                <w:rFonts w:hint="eastAsia" w:ascii="宋体" w:hAnsi="宋体" w:eastAsia="宋体"/>
                <w:color w:val="auto"/>
                <w:sz w:val="21"/>
                <w:szCs w:val="21"/>
                <w:highlight w:val="none"/>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after="0"/>
              <w:jc w:val="left"/>
              <w:rPr>
                <w:color w:val="auto"/>
                <w:sz w:val="21"/>
                <w:szCs w:val="21"/>
                <w:highlight w:val="none"/>
              </w:rPr>
            </w:pPr>
            <w:r>
              <w:rPr>
                <w:rFonts w:hint="eastAsia" w:ascii="宋体" w:hAnsi="宋体" w:eastAsia="宋体"/>
                <w:color w:val="auto"/>
                <w:sz w:val="21"/>
                <w:szCs w:val="21"/>
                <w:highlight w:val="none"/>
              </w:rPr>
              <w:t xml:space="preserve">向茜 </w:t>
            </w:r>
            <w:r>
              <w:rPr>
                <w:color w:val="auto"/>
                <w:sz w:val="21"/>
                <w:szCs w:val="21"/>
                <w:highlight w:val="none"/>
              </w:rPr>
              <w:t>13882194997</w:t>
            </w:r>
          </w:p>
          <w:p>
            <w:pPr>
              <w:pStyle w:val="318"/>
              <w:kinsoku w:val="0"/>
              <w:overflowPunct w:val="0"/>
              <w:spacing w:after="0"/>
              <w:jc w:val="left"/>
              <w:rPr>
                <w:color w:val="auto"/>
                <w:sz w:val="21"/>
                <w:szCs w:val="21"/>
                <w:highlight w:val="none"/>
              </w:rPr>
            </w:pPr>
            <w:r>
              <w:rPr>
                <w:rFonts w:hint="eastAsia" w:ascii="宋体" w:hAnsi="宋体" w:eastAsia="宋体"/>
                <w:color w:val="auto"/>
                <w:sz w:val="21"/>
                <w:szCs w:val="21"/>
                <w:highlight w:val="none"/>
              </w:rPr>
              <w:t xml:space="preserve">吴姜鼗 </w:t>
            </w:r>
            <w:r>
              <w:rPr>
                <w:color w:val="auto"/>
                <w:sz w:val="21"/>
                <w:szCs w:val="21"/>
                <w:highlight w:val="none"/>
              </w:rPr>
              <w:t>18981735117</w:t>
            </w:r>
          </w:p>
        </w:tc>
      </w:tr>
      <w:tr>
        <w:tblPrEx>
          <w:tblLayout w:type="fixed"/>
          <w:tblCellMar>
            <w:top w:w="0" w:type="dxa"/>
            <w:left w:w="108" w:type="dxa"/>
            <w:bottom w:w="0" w:type="dxa"/>
            <w:right w:w="108" w:type="dxa"/>
          </w:tblCellMar>
        </w:tblPrEx>
        <w:trPr>
          <w:trHeight w:val="3450"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rPr>
                <w:rFonts w:ascii="方正小标宋简体" w:hAnsi="方正小标宋简体" w:eastAsia="方正小标宋简体"/>
                <w:color w:val="auto"/>
                <w:sz w:val="21"/>
                <w:szCs w:val="21"/>
                <w:highlight w:val="none"/>
              </w:rPr>
            </w:pPr>
          </w:p>
          <w:p>
            <w:pPr>
              <w:pStyle w:val="318"/>
              <w:kinsoku w:val="0"/>
              <w:overflowPunct w:val="0"/>
              <w:jc w:val="center"/>
              <w:rPr>
                <w:color w:val="auto"/>
                <w:sz w:val="21"/>
                <w:szCs w:val="21"/>
                <w:highlight w:val="none"/>
              </w:rPr>
            </w:pPr>
            <w:r>
              <w:rPr>
                <w:color w:val="auto"/>
                <w:sz w:val="21"/>
                <w:szCs w:val="21"/>
                <w:highlight w:val="none"/>
              </w:rPr>
              <w:t>3</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方正小标宋简体" w:hAnsi="方正小标宋简体" w:eastAsia="方正小标宋简体"/>
                <w:color w:val="auto"/>
                <w:sz w:val="21"/>
                <w:szCs w:val="21"/>
                <w:highlight w:val="none"/>
              </w:rPr>
            </w:pPr>
          </w:p>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中国银行成都锦江支行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方正小标宋简体" w:hAnsi="方正小标宋简体" w:eastAsia="方正小标宋简体"/>
                <w:color w:val="auto"/>
                <w:sz w:val="21"/>
                <w:szCs w:val="21"/>
                <w:highlight w:val="none"/>
              </w:rPr>
            </w:pPr>
          </w:p>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成都市锦江区汇泉南路 </w:t>
            </w:r>
            <w:r>
              <w:rPr>
                <w:color w:val="auto"/>
                <w:sz w:val="21"/>
                <w:szCs w:val="21"/>
                <w:highlight w:val="none"/>
              </w:rPr>
              <w:t xml:space="preserve">1 </w:t>
            </w:r>
            <w:r>
              <w:rPr>
                <w:rFonts w:hint="eastAsia" w:ascii="宋体" w:hAnsi="宋体" w:eastAsia="宋体"/>
                <w:color w:val="auto"/>
                <w:sz w:val="21"/>
                <w:szCs w:val="21"/>
                <w:highlight w:val="none"/>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after="0" w:line="256" w:lineRule="auto"/>
              <w:jc w:val="left"/>
              <w:rPr>
                <w:rFonts w:ascii="宋体" w:hAnsi="宋体" w:eastAsia="宋体"/>
                <w:color w:val="auto"/>
                <w:spacing w:val="-16"/>
                <w:sz w:val="21"/>
                <w:szCs w:val="21"/>
                <w:highlight w:val="none"/>
              </w:rPr>
            </w:pPr>
            <w:r>
              <w:rPr>
                <w:rFonts w:hint="eastAsia" w:ascii="宋体" w:hAnsi="宋体" w:eastAsia="宋体"/>
                <w:color w:val="auto"/>
                <w:spacing w:val="-16"/>
                <w:sz w:val="21"/>
                <w:szCs w:val="21"/>
                <w:highlight w:val="none"/>
              </w:rPr>
              <w:t>李经理</w:t>
            </w:r>
          </w:p>
          <w:p>
            <w:pPr>
              <w:pStyle w:val="318"/>
              <w:kinsoku w:val="0"/>
              <w:overflowPunct w:val="0"/>
              <w:spacing w:after="0" w:line="256" w:lineRule="auto"/>
              <w:ind w:hanging="458"/>
              <w:jc w:val="left"/>
              <w:rPr>
                <w:color w:val="auto"/>
                <w:sz w:val="21"/>
                <w:szCs w:val="21"/>
                <w:highlight w:val="none"/>
              </w:rPr>
            </w:pPr>
            <w:r>
              <w:rPr>
                <w:color w:val="auto"/>
                <w:spacing w:val="-2"/>
                <w:sz w:val="21"/>
                <w:szCs w:val="21"/>
                <w:highlight w:val="none"/>
              </w:rPr>
              <w:t xml:space="preserve">028-69262125/ </w:t>
            </w:r>
            <w:r>
              <w:rPr>
                <w:color w:val="auto"/>
                <w:sz w:val="21"/>
                <w:szCs w:val="21"/>
                <w:highlight w:val="none"/>
              </w:rPr>
              <w:t>13880694826</w:t>
            </w:r>
          </w:p>
          <w:p>
            <w:pPr>
              <w:pStyle w:val="318"/>
              <w:kinsoku w:val="0"/>
              <w:overflowPunct w:val="0"/>
              <w:spacing w:after="0" w:line="256" w:lineRule="auto"/>
              <w:jc w:val="left"/>
              <w:rPr>
                <w:rFonts w:ascii="宋体" w:hAnsi="宋体" w:eastAsia="宋体"/>
                <w:color w:val="auto"/>
                <w:spacing w:val="-16"/>
                <w:sz w:val="21"/>
                <w:szCs w:val="21"/>
                <w:highlight w:val="none"/>
              </w:rPr>
            </w:pPr>
            <w:r>
              <w:rPr>
                <w:rFonts w:hint="eastAsia" w:ascii="宋体" w:hAnsi="宋体" w:eastAsia="宋体"/>
                <w:color w:val="auto"/>
                <w:spacing w:val="-16"/>
                <w:sz w:val="21"/>
                <w:szCs w:val="21"/>
                <w:highlight w:val="none"/>
              </w:rPr>
              <w:t xml:space="preserve">程经理 </w:t>
            </w:r>
          </w:p>
          <w:p>
            <w:pPr>
              <w:pStyle w:val="318"/>
              <w:kinsoku w:val="0"/>
              <w:overflowPunct w:val="0"/>
              <w:spacing w:after="0" w:line="256" w:lineRule="auto"/>
              <w:jc w:val="left"/>
              <w:rPr>
                <w:color w:val="auto"/>
                <w:sz w:val="21"/>
                <w:szCs w:val="21"/>
                <w:highlight w:val="none"/>
              </w:rPr>
            </w:pPr>
            <w:r>
              <w:rPr>
                <w:color w:val="auto"/>
                <w:spacing w:val="-2"/>
                <w:sz w:val="21"/>
                <w:szCs w:val="21"/>
                <w:highlight w:val="none"/>
              </w:rPr>
              <w:t xml:space="preserve">028-69262124/ </w:t>
            </w:r>
            <w:r>
              <w:rPr>
                <w:color w:val="auto"/>
                <w:sz w:val="21"/>
                <w:szCs w:val="21"/>
                <w:highlight w:val="none"/>
              </w:rPr>
              <w:t>15982295640</w:t>
            </w:r>
          </w:p>
          <w:p>
            <w:pPr>
              <w:pStyle w:val="318"/>
              <w:kinsoku w:val="0"/>
              <w:overflowPunct w:val="0"/>
              <w:spacing w:after="0" w:line="256" w:lineRule="auto"/>
              <w:jc w:val="left"/>
              <w:rPr>
                <w:rFonts w:ascii="宋体" w:hAnsi="宋体" w:eastAsia="宋体"/>
                <w:color w:val="auto"/>
                <w:spacing w:val="-16"/>
                <w:sz w:val="21"/>
                <w:szCs w:val="21"/>
                <w:highlight w:val="none"/>
              </w:rPr>
            </w:pPr>
            <w:r>
              <w:rPr>
                <w:rFonts w:hint="eastAsia" w:ascii="宋体" w:hAnsi="宋体" w:eastAsia="宋体"/>
                <w:color w:val="auto"/>
                <w:spacing w:val="-16"/>
                <w:sz w:val="21"/>
                <w:szCs w:val="21"/>
                <w:highlight w:val="none"/>
              </w:rPr>
              <w:t xml:space="preserve">张经理 </w:t>
            </w:r>
          </w:p>
          <w:p>
            <w:pPr>
              <w:pStyle w:val="318"/>
              <w:kinsoku w:val="0"/>
              <w:overflowPunct w:val="0"/>
              <w:spacing w:after="0" w:line="256" w:lineRule="auto"/>
              <w:jc w:val="left"/>
              <w:rPr>
                <w:color w:val="auto"/>
                <w:sz w:val="21"/>
                <w:szCs w:val="21"/>
                <w:highlight w:val="none"/>
              </w:rPr>
            </w:pPr>
            <w:r>
              <w:rPr>
                <w:color w:val="auto"/>
                <w:spacing w:val="-2"/>
                <w:sz w:val="21"/>
                <w:szCs w:val="21"/>
                <w:highlight w:val="none"/>
              </w:rPr>
              <w:t xml:space="preserve">028-69262122/ </w:t>
            </w:r>
            <w:r>
              <w:rPr>
                <w:color w:val="auto"/>
                <w:sz w:val="21"/>
                <w:szCs w:val="21"/>
                <w:highlight w:val="none"/>
              </w:rPr>
              <w:t>186160.5547868</w:t>
            </w:r>
          </w:p>
        </w:tc>
      </w:tr>
      <w:tr>
        <w:tblPrEx>
          <w:tblLayout w:type="fixed"/>
          <w:tblCellMar>
            <w:top w:w="0" w:type="dxa"/>
            <w:left w:w="108" w:type="dxa"/>
            <w:bottom w:w="0" w:type="dxa"/>
            <w:right w:w="108" w:type="dxa"/>
          </w:tblCellMar>
        </w:tblPrEx>
        <w:trPr>
          <w:trHeight w:val="2161"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rPr>
                <w:rFonts w:ascii="方正小标宋简体" w:hAnsi="方正小标宋简体" w:eastAsia="方正小标宋简体"/>
                <w:color w:val="auto"/>
                <w:sz w:val="21"/>
                <w:szCs w:val="21"/>
                <w:highlight w:val="none"/>
              </w:rPr>
            </w:pPr>
          </w:p>
          <w:p>
            <w:pPr>
              <w:pStyle w:val="318"/>
              <w:kinsoku w:val="0"/>
              <w:overflowPunct w:val="0"/>
              <w:jc w:val="center"/>
              <w:rPr>
                <w:color w:val="auto"/>
                <w:sz w:val="21"/>
                <w:szCs w:val="21"/>
                <w:highlight w:val="none"/>
              </w:rPr>
            </w:pPr>
            <w:r>
              <w:rPr>
                <w:color w:val="auto"/>
                <w:sz w:val="21"/>
                <w:szCs w:val="21"/>
                <w:highlight w:val="none"/>
              </w:rPr>
              <w:t>4</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方正小标宋简体" w:hAnsi="方正小标宋简体" w:eastAsia="方正小标宋简体"/>
                <w:color w:val="auto"/>
                <w:sz w:val="21"/>
                <w:szCs w:val="21"/>
                <w:highlight w:val="none"/>
              </w:rPr>
            </w:pPr>
          </w:p>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中国建设银行成都第九支行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p>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成都市武侯区人民南路三段 </w:t>
            </w:r>
            <w:r>
              <w:rPr>
                <w:color w:val="auto"/>
                <w:sz w:val="21"/>
                <w:szCs w:val="21"/>
                <w:highlight w:val="none"/>
              </w:rPr>
              <w:t>17</w:t>
            </w:r>
            <w:r>
              <w:rPr>
                <w:rFonts w:hint="eastAsia" w:ascii="宋体" w:hAnsi="宋体" w:eastAsia="宋体"/>
                <w:color w:val="auto"/>
                <w:sz w:val="21"/>
                <w:szCs w:val="21"/>
                <w:highlight w:val="none"/>
              </w:rPr>
              <w:t xml:space="preserve">号附 </w:t>
            </w:r>
            <w:r>
              <w:rPr>
                <w:color w:val="auto"/>
                <w:sz w:val="21"/>
                <w:szCs w:val="21"/>
                <w:highlight w:val="none"/>
              </w:rPr>
              <w:t xml:space="preserve">1 </w:t>
            </w:r>
            <w:r>
              <w:rPr>
                <w:rFonts w:hint="eastAsia" w:ascii="宋体" w:hAnsi="宋体" w:eastAsia="宋体"/>
                <w:color w:val="auto"/>
                <w:sz w:val="21"/>
                <w:szCs w:val="21"/>
                <w:highlight w:val="none"/>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after="0"/>
              <w:jc w:val="left"/>
              <w:rPr>
                <w:rFonts w:ascii="宋体" w:hAnsi="宋体" w:eastAsia="宋体"/>
                <w:color w:val="auto"/>
                <w:sz w:val="21"/>
                <w:szCs w:val="21"/>
                <w:highlight w:val="none"/>
              </w:rPr>
            </w:pPr>
            <w:r>
              <w:rPr>
                <w:rFonts w:hint="eastAsia" w:ascii="宋体" w:hAnsi="宋体" w:eastAsia="宋体"/>
                <w:color w:val="auto"/>
                <w:sz w:val="21"/>
                <w:szCs w:val="21"/>
                <w:highlight w:val="none"/>
              </w:rPr>
              <w:t>陈劲松</w:t>
            </w:r>
          </w:p>
          <w:p>
            <w:pPr>
              <w:pStyle w:val="318"/>
              <w:kinsoku w:val="0"/>
              <w:overflowPunct w:val="0"/>
              <w:spacing w:after="0"/>
              <w:jc w:val="left"/>
              <w:rPr>
                <w:color w:val="auto"/>
                <w:sz w:val="21"/>
                <w:szCs w:val="21"/>
                <w:highlight w:val="none"/>
              </w:rPr>
            </w:pPr>
            <w:r>
              <w:rPr>
                <w:color w:val="auto"/>
                <w:sz w:val="21"/>
                <w:szCs w:val="21"/>
                <w:highlight w:val="none"/>
              </w:rPr>
              <w:t>028-85442391/</w:t>
            </w:r>
          </w:p>
          <w:p>
            <w:pPr>
              <w:pStyle w:val="318"/>
              <w:kinsoku w:val="0"/>
              <w:overflowPunct w:val="0"/>
              <w:spacing w:after="0"/>
              <w:jc w:val="left"/>
              <w:rPr>
                <w:color w:val="auto"/>
                <w:sz w:val="21"/>
                <w:szCs w:val="21"/>
                <w:highlight w:val="none"/>
              </w:rPr>
            </w:pPr>
            <w:r>
              <w:rPr>
                <w:color w:val="auto"/>
                <w:sz w:val="21"/>
                <w:szCs w:val="21"/>
                <w:highlight w:val="none"/>
              </w:rPr>
              <w:t>13808042188</w:t>
            </w:r>
          </w:p>
          <w:p>
            <w:pPr>
              <w:pStyle w:val="318"/>
              <w:kinsoku w:val="0"/>
              <w:overflowPunct w:val="0"/>
              <w:spacing w:after="0"/>
              <w:jc w:val="left"/>
              <w:rPr>
                <w:rFonts w:ascii="宋体" w:hAnsi="宋体" w:eastAsia="宋体"/>
                <w:color w:val="auto"/>
                <w:sz w:val="21"/>
                <w:szCs w:val="21"/>
                <w:highlight w:val="none"/>
              </w:rPr>
            </w:pPr>
            <w:r>
              <w:rPr>
                <w:rFonts w:hint="eastAsia" w:ascii="宋体" w:hAnsi="宋体" w:eastAsia="宋体"/>
                <w:color w:val="auto"/>
                <w:sz w:val="21"/>
                <w:szCs w:val="21"/>
                <w:highlight w:val="none"/>
              </w:rPr>
              <w:t>张易伟</w:t>
            </w:r>
          </w:p>
          <w:p>
            <w:pPr>
              <w:pStyle w:val="318"/>
              <w:kinsoku w:val="0"/>
              <w:overflowPunct w:val="0"/>
              <w:spacing w:after="0"/>
              <w:jc w:val="left"/>
              <w:rPr>
                <w:color w:val="auto"/>
                <w:sz w:val="21"/>
                <w:szCs w:val="21"/>
                <w:highlight w:val="none"/>
              </w:rPr>
            </w:pPr>
            <w:r>
              <w:rPr>
                <w:color w:val="auto"/>
                <w:sz w:val="21"/>
                <w:szCs w:val="21"/>
                <w:highlight w:val="none"/>
              </w:rPr>
              <w:t>028-85289896/</w:t>
            </w:r>
          </w:p>
          <w:p>
            <w:pPr>
              <w:pStyle w:val="318"/>
              <w:kinsoku w:val="0"/>
              <w:overflowPunct w:val="0"/>
              <w:spacing w:after="0"/>
              <w:jc w:val="left"/>
              <w:rPr>
                <w:color w:val="auto"/>
                <w:sz w:val="21"/>
                <w:szCs w:val="21"/>
                <w:highlight w:val="none"/>
              </w:rPr>
            </w:pPr>
            <w:r>
              <w:rPr>
                <w:color w:val="auto"/>
                <w:sz w:val="21"/>
                <w:szCs w:val="21"/>
                <w:highlight w:val="none"/>
              </w:rPr>
              <w:t>18628249617</w:t>
            </w:r>
          </w:p>
        </w:tc>
      </w:tr>
      <w:tr>
        <w:tblPrEx>
          <w:tblLayout w:type="fixed"/>
          <w:tblCellMar>
            <w:top w:w="0" w:type="dxa"/>
            <w:left w:w="108" w:type="dxa"/>
            <w:bottom w:w="0" w:type="dxa"/>
            <w:right w:w="108" w:type="dxa"/>
          </w:tblCellMar>
        </w:tblPrEx>
        <w:trPr>
          <w:trHeight w:val="1086"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rPr>
                <w:rFonts w:ascii="方正小标宋简体" w:hAnsi="方正小标宋简体" w:eastAsia="方正小标宋简体"/>
                <w:color w:val="auto"/>
                <w:sz w:val="21"/>
                <w:szCs w:val="21"/>
                <w:highlight w:val="none"/>
              </w:rPr>
            </w:pPr>
          </w:p>
          <w:p>
            <w:pPr>
              <w:pStyle w:val="318"/>
              <w:kinsoku w:val="0"/>
              <w:overflowPunct w:val="0"/>
              <w:jc w:val="center"/>
              <w:rPr>
                <w:color w:val="auto"/>
                <w:sz w:val="21"/>
                <w:szCs w:val="21"/>
                <w:highlight w:val="none"/>
              </w:rPr>
            </w:pPr>
            <w:r>
              <w:rPr>
                <w:color w:val="auto"/>
                <w:sz w:val="21"/>
                <w:szCs w:val="21"/>
                <w:highlight w:val="none"/>
              </w:rPr>
              <w:t>5</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成都银行锦江支行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成都市锦江区书院西街 </w:t>
            </w:r>
            <w:r>
              <w:rPr>
                <w:color w:val="auto"/>
                <w:sz w:val="21"/>
                <w:szCs w:val="21"/>
                <w:highlight w:val="none"/>
              </w:rPr>
              <w:t xml:space="preserve">1-33 </w:t>
            </w:r>
            <w:r>
              <w:rPr>
                <w:rFonts w:hint="eastAsia" w:ascii="宋体" w:hAnsi="宋体" w:eastAsia="宋体"/>
                <w:color w:val="auto"/>
                <w:sz w:val="21"/>
                <w:szCs w:val="21"/>
                <w:highlight w:val="none"/>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after="0"/>
              <w:jc w:val="left"/>
              <w:rPr>
                <w:color w:val="auto"/>
                <w:sz w:val="21"/>
                <w:szCs w:val="21"/>
                <w:highlight w:val="none"/>
              </w:rPr>
            </w:pPr>
            <w:r>
              <w:rPr>
                <w:rFonts w:hint="eastAsia" w:ascii="宋体" w:hAnsi="宋体" w:eastAsia="宋体"/>
                <w:color w:val="auto"/>
                <w:spacing w:val="-20"/>
                <w:sz w:val="21"/>
                <w:szCs w:val="21"/>
                <w:highlight w:val="none"/>
              </w:rPr>
              <w:t xml:space="preserve">徐强 </w:t>
            </w:r>
            <w:r>
              <w:rPr>
                <w:color w:val="auto"/>
                <w:sz w:val="21"/>
                <w:szCs w:val="21"/>
                <w:highlight w:val="none"/>
              </w:rPr>
              <w:t>136160.5551573</w:t>
            </w:r>
          </w:p>
          <w:p>
            <w:pPr>
              <w:pStyle w:val="318"/>
              <w:kinsoku w:val="0"/>
              <w:overflowPunct w:val="0"/>
              <w:spacing w:after="0"/>
              <w:jc w:val="left"/>
              <w:rPr>
                <w:color w:val="auto"/>
                <w:sz w:val="21"/>
                <w:szCs w:val="21"/>
                <w:highlight w:val="none"/>
              </w:rPr>
            </w:pPr>
            <w:r>
              <w:rPr>
                <w:rFonts w:hint="eastAsia" w:ascii="宋体" w:hAnsi="宋体" w:eastAsia="宋体"/>
                <w:color w:val="auto"/>
                <w:spacing w:val="-20"/>
                <w:sz w:val="21"/>
                <w:szCs w:val="21"/>
                <w:highlight w:val="none"/>
              </w:rPr>
              <w:t xml:space="preserve">郑蓓 </w:t>
            </w:r>
            <w:r>
              <w:rPr>
                <w:color w:val="auto"/>
                <w:sz w:val="21"/>
                <w:szCs w:val="21"/>
                <w:highlight w:val="none"/>
              </w:rPr>
              <w:t>13982294491</w:t>
            </w:r>
          </w:p>
          <w:p>
            <w:pPr>
              <w:pStyle w:val="318"/>
              <w:kinsoku w:val="0"/>
              <w:overflowPunct w:val="0"/>
              <w:spacing w:after="0"/>
              <w:jc w:val="left"/>
              <w:rPr>
                <w:color w:val="auto"/>
                <w:sz w:val="21"/>
                <w:szCs w:val="21"/>
                <w:highlight w:val="none"/>
              </w:rPr>
            </w:pPr>
            <w:r>
              <w:rPr>
                <w:rFonts w:hint="eastAsia" w:ascii="宋体" w:hAnsi="宋体" w:eastAsia="宋体"/>
                <w:color w:val="auto"/>
                <w:sz w:val="21"/>
                <w:szCs w:val="21"/>
                <w:highlight w:val="none"/>
              </w:rPr>
              <w:t xml:space="preserve">余继龙 </w:t>
            </w:r>
            <w:r>
              <w:rPr>
                <w:color w:val="auto"/>
                <w:sz w:val="21"/>
                <w:szCs w:val="21"/>
                <w:highlight w:val="none"/>
              </w:rPr>
              <w:t>18180671127</w:t>
            </w:r>
          </w:p>
        </w:tc>
      </w:tr>
      <w:tr>
        <w:tblPrEx>
          <w:tblLayout w:type="fixed"/>
          <w:tblCellMar>
            <w:top w:w="0" w:type="dxa"/>
            <w:left w:w="108" w:type="dxa"/>
            <w:bottom w:w="0" w:type="dxa"/>
            <w:right w:w="108" w:type="dxa"/>
          </w:tblCellMar>
        </w:tblPrEx>
        <w:trPr>
          <w:trHeight w:val="1086"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rPr>
                <w:rFonts w:ascii="方正小标宋简体" w:hAnsi="方正小标宋简体" w:eastAsia="方正小标宋简体"/>
                <w:color w:val="auto"/>
                <w:sz w:val="21"/>
                <w:szCs w:val="21"/>
                <w:highlight w:val="none"/>
              </w:rPr>
            </w:pPr>
          </w:p>
          <w:p>
            <w:pPr>
              <w:pStyle w:val="318"/>
              <w:kinsoku w:val="0"/>
              <w:overflowPunct w:val="0"/>
              <w:jc w:val="center"/>
              <w:rPr>
                <w:color w:val="auto"/>
                <w:sz w:val="21"/>
                <w:szCs w:val="21"/>
                <w:highlight w:val="none"/>
              </w:rPr>
            </w:pPr>
            <w:r>
              <w:rPr>
                <w:color w:val="auto"/>
                <w:sz w:val="21"/>
                <w:szCs w:val="21"/>
                <w:highlight w:val="none"/>
              </w:rPr>
              <w:t>6</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中国工商银行成都春熙支行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成都市提督街 </w:t>
            </w:r>
            <w:r>
              <w:rPr>
                <w:color w:val="auto"/>
                <w:sz w:val="21"/>
                <w:szCs w:val="21"/>
                <w:highlight w:val="none"/>
              </w:rPr>
              <w:t xml:space="preserve">50 </w:t>
            </w:r>
            <w:r>
              <w:rPr>
                <w:rFonts w:hint="eastAsia" w:ascii="宋体" w:hAnsi="宋体" w:eastAsia="宋体"/>
                <w:color w:val="auto"/>
                <w:sz w:val="21"/>
                <w:szCs w:val="21"/>
                <w:highlight w:val="none"/>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after="0"/>
              <w:jc w:val="left"/>
              <w:rPr>
                <w:color w:val="auto"/>
                <w:sz w:val="21"/>
                <w:szCs w:val="21"/>
                <w:highlight w:val="none"/>
              </w:rPr>
            </w:pPr>
            <w:r>
              <w:rPr>
                <w:rFonts w:hint="eastAsia" w:ascii="宋体" w:hAnsi="宋体" w:eastAsia="宋体"/>
                <w:color w:val="auto"/>
                <w:spacing w:val="-20"/>
                <w:sz w:val="21"/>
                <w:szCs w:val="21"/>
                <w:highlight w:val="none"/>
              </w:rPr>
              <w:t xml:space="preserve">曾曦 </w:t>
            </w:r>
            <w:r>
              <w:rPr>
                <w:color w:val="auto"/>
                <w:sz w:val="21"/>
                <w:szCs w:val="21"/>
                <w:highlight w:val="none"/>
              </w:rPr>
              <w:t>13982183613</w:t>
            </w:r>
          </w:p>
          <w:p>
            <w:pPr>
              <w:pStyle w:val="318"/>
              <w:kinsoku w:val="0"/>
              <w:overflowPunct w:val="0"/>
              <w:spacing w:after="0"/>
              <w:jc w:val="left"/>
              <w:rPr>
                <w:color w:val="auto"/>
                <w:sz w:val="21"/>
                <w:szCs w:val="21"/>
                <w:highlight w:val="none"/>
              </w:rPr>
            </w:pPr>
            <w:r>
              <w:rPr>
                <w:rFonts w:hint="eastAsia" w:ascii="宋体" w:hAnsi="宋体" w:eastAsia="宋体"/>
                <w:color w:val="auto"/>
                <w:spacing w:val="-20"/>
                <w:sz w:val="21"/>
                <w:szCs w:val="21"/>
                <w:highlight w:val="none"/>
              </w:rPr>
              <w:t xml:space="preserve">何煦 </w:t>
            </w:r>
            <w:r>
              <w:rPr>
                <w:color w:val="auto"/>
                <w:sz w:val="21"/>
                <w:szCs w:val="21"/>
                <w:highlight w:val="none"/>
              </w:rPr>
              <w:t>13666223231</w:t>
            </w:r>
          </w:p>
          <w:p>
            <w:pPr>
              <w:pStyle w:val="318"/>
              <w:kinsoku w:val="0"/>
              <w:overflowPunct w:val="0"/>
              <w:spacing w:after="0"/>
              <w:jc w:val="left"/>
              <w:rPr>
                <w:color w:val="auto"/>
                <w:sz w:val="21"/>
                <w:szCs w:val="21"/>
                <w:highlight w:val="none"/>
              </w:rPr>
            </w:pPr>
            <w:r>
              <w:rPr>
                <w:rFonts w:hint="eastAsia" w:ascii="宋体" w:hAnsi="宋体" w:eastAsia="宋体"/>
                <w:color w:val="auto"/>
                <w:sz w:val="21"/>
                <w:szCs w:val="21"/>
                <w:highlight w:val="none"/>
              </w:rPr>
              <w:t xml:space="preserve">青呈伟 </w:t>
            </w:r>
            <w:r>
              <w:rPr>
                <w:color w:val="auto"/>
                <w:sz w:val="21"/>
                <w:szCs w:val="21"/>
                <w:highlight w:val="none"/>
              </w:rPr>
              <w:t>13880968977</w:t>
            </w:r>
          </w:p>
        </w:tc>
      </w:tr>
      <w:tr>
        <w:tblPrEx>
          <w:tblLayout w:type="fixed"/>
          <w:tblCellMar>
            <w:top w:w="0" w:type="dxa"/>
            <w:left w:w="108" w:type="dxa"/>
            <w:bottom w:w="0" w:type="dxa"/>
            <w:right w:w="108" w:type="dxa"/>
          </w:tblCellMar>
        </w:tblPrEx>
        <w:trPr>
          <w:trHeight w:val="1094"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rPr>
                <w:rFonts w:ascii="方正小标宋简体" w:hAnsi="方正小标宋简体" w:eastAsia="方正小标宋简体"/>
                <w:color w:val="auto"/>
                <w:sz w:val="21"/>
                <w:szCs w:val="21"/>
                <w:highlight w:val="none"/>
              </w:rPr>
            </w:pPr>
          </w:p>
          <w:p>
            <w:pPr>
              <w:pStyle w:val="318"/>
              <w:kinsoku w:val="0"/>
              <w:overflowPunct w:val="0"/>
              <w:jc w:val="center"/>
              <w:rPr>
                <w:color w:val="auto"/>
                <w:sz w:val="21"/>
                <w:szCs w:val="21"/>
                <w:highlight w:val="none"/>
              </w:rPr>
            </w:pPr>
            <w:r>
              <w:rPr>
                <w:color w:val="auto"/>
                <w:sz w:val="21"/>
                <w:szCs w:val="21"/>
                <w:highlight w:val="none"/>
              </w:rPr>
              <w:t>7</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上海银行成都东大街支行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line="242" w:lineRule="auto"/>
              <w:jc w:val="lef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成都市锦江区东大路 </w:t>
            </w:r>
            <w:r>
              <w:rPr>
                <w:color w:val="auto"/>
                <w:sz w:val="21"/>
                <w:szCs w:val="21"/>
                <w:highlight w:val="none"/>
              </w:rPr>
              <w:t xml:space="preserve">100 </w:t>
            </w:r>
            <w:r>
              <w:rPr>
                <w:rFonts w:hint="eastAsia" w:ascii="宋体" w:hAnsi="宋体" w:eastAsia="宋体"/>
                <w:color w:val="auto"/>
                <w:sz w:val="21"/>
                <w:szCs w:val="21"/>
                <w:highlight w:val="none"/>
              </w:rPr>
              <w:t xml:space="preserve">号商会大厦 </w:t>
            </w:r>
            <w:r>
              <w:rPr>
                <w:color w:val="auto"/>
                <w:sz w:val="21"/>
                <w:szCs w:val="21"/>
                <w:highlight w:val="none"/>
              </w:rPr>
              <w:t xml:space="preserve">A </w:t>
            </w:r>
            <w:r>
              <w:rPr>
                <w:rFonts w:hint="eastAsia" w:ascii="宋体" w:hAnsi="宋体" w:eastAsia="宋体"/>
                <w:color w:val="auto"/>
                <w:sz w:val="21"/>
                <w:szCs w:val="21"/>
                <w:highlight w:val="none"/>
              </w:rPr>
              <w:t xml:space="preserve">座 </w:t>
            </w:r>
            <w:r>
              <w:rPr>
                <w:color w:val="auto"/>
                <w:sz w:val="21"/>
                <w:szCs w:val="21"/>
                <w:highlight w:val="none"/>
              </w:rPr>
              <w:t xml:space="preserve">2 </w:t>
            </w:r>
            <w:r>
              <w:rPr>
                <w:rFonts w:hint="eastAsia" w:ascii="宋体" w:hAnsi="宋体" w:eastAsia="宋体"/>
                <w:color w:val="auto"/>
                <w:sz w:val="21"/>
                <w:szCs w:val="21"/>
                <w:highlight w:val="none"/>
              </w:rPr>
              <w:t>楼</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after="0" w:line="256" w:lineRule="auto"/>
              <w:jc w:val="left"/>
              <w:rPr>
                <w:color w:val="auto"/>
                <w:sz w:val="21"/>
                <w:szCs w:val="21"/>
                <w:highlight w:val="none"/>
              </w:rPr>
            </w:pPr>
            <w:r>
              <w:rPr>
                <w:rFonts w:hint="eastAsia" w:ascii="宋体" w:hAnsi="宋体" w:eastAsia="宋体"/>
                <w:color w:val="auto"/>
                <w:sz w:val="21"/>
                <w:szCs w:val="21"/>
                <w:highlight w:val="none"/>
              </w:rPr>
              <w:t xml:space="preserve">金鑫 </w:t>
            </w:r>
            <w:r>
              <w:rPr>
                <w:color w:val="auto"/>
                <w:sz w:val="21"/>
                <w:szCs w:val="21"/>
                <w:highlight w:val="none"/>
              </w:rPr>
              <w:t>028-61303012/ 17721885710</w:t>
            </w:r>
          </w:p>
        </w:tc>
      </w:tr>
      <w:tr>
        <w:tblPrEx>
          <w:tblLayout w:type="fixed"/>
          <w:tblCellMar>
            <w:top w:w="0" w:type="dxa"/>
            <w:left w:w="108" w:type="dxa"/>
            <w:bottom w:w="0" w:type="dxa"/>
            <w:right w:w="108" w:type="dxa"/>
          </w:tblCellMar>
        </w:tblPrEx>
        <w:trPr>
          <w:trHeight w:val="786"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center"/>
              <w:rPr>
                <w:rFonts w:eastAsia="宋体"/>
                <w:color w:val="auto"/>
                <w:sz w:val="21"/>
                <w:szCs w:val="21"/>
                <w:highlight w:val="none"/>
              </w:rPr>
            </w:pPr>
            <w:r>
              <w:rPr>
                <w:rFonts w:hint="eastAsia" w:eastAsia="宋体"/>
                <w:color w:val="auto"/>
                <w:sz w:val="21"/>
                <w:szCs w:val="21"/>
                <w:highlight w:val="none"/>
              </w:rPr>
              <w:t>8</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jc w:val="left"/>
              <w:rPr>
                <w:rFonts w:ascii="宋体" w:hAnsi="宋体" w:eastAsia="宋体"/>
                <w:color w:val="auto"/>
                <w:sz w:val="21"/>
                <w:szCs w:val="21"/>
                <w:highlight w:val="none"/>
              </w:rPr>
            </w:pPr>
            <w:r>
              <w:rPr>
                <w:rFonts w:hint="eastAsia" w:ascii="宋体" w:hAnsi="宋体" w:eastAsia="宋体"/>
                <w:color w:val="auto"/>
                <w:sz w:val="21"/>
                <w:szCs w:val="21"/>
                <w:highlight w:val="none"/>
              </w:rPr>
              <w:t>四川天府银行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line="242" w:lineRule="auto"/>
              <w:jc w:val="left"/>
              <w:rPr>
                <w:rFonts w:ascii="宋体" w:hAnsi="宋体" w:eastAsia="宋体"/>
                <w:color w:val="auto"/>
                <w:sz w:val="21"/>
                <w:szCs w:val="21"/>
                <w:highlight w:val="none"/>
              </w:rPr>
            </w:pPr>
            <w:r>
              <w:rPr>
                <w:rFonts w:hint="eastAsia" w:ascii="宋体" w:hAnsi="宋体" w:eastAsia="宋体"/>
                <w:color w:val="auto"/>
                <w:sz w:val="21"/>
                <w:szCs w:val="21"/>
                <w:highlight w:val="none"/>
              </w:rPr>
              <w:t>四川天府银行</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18"/>
              <w:kinsoku w:val="0"/>
              <w:overflowPunct w:val="0"/>
              <w:spacing w:after="0" w:line="256" w:lineRule="auto"/>
              <w:jc w:val="left"/>
              <w:rPr>
                <w:rFonts w:ascii="宋体" w:hAnsi="宋体" w:eastAsia="宋体"/>
                <w:color w:val="auto"/>
                <w:sz w:val="21"/>
                <w:szCs w:val="21"/>
                <w:highlight w:val="none"/>
              </w:rPr>
            </w:pPr>
            <w:r>
              <w:rPr>
                <w:rFonts w:hint="eastAsia" w:ascii="宋体" w:hAnsi="宋体" w:eastAsia="宋体"/>
                <w:color w:val="auto"/>
                <w:sz w:val="21"/>
                <w:szCs w:val="21"/>
                <w:highlight w:val="none"/>
              </w:rPr>
              <w:t>刘艺婷15108295326</w:t>
            </w:r>
          </w:p>
          <w:p>
            <w:pPr>
              <w:pStyle w:val="318"/>
              <w:kinsoku w:val="0"/>
              <w:overflowPunct w:val="0"/>
              <w:spacing w:after="0" w:line="256" w:lineRule="auto"/>
              <w:jc w:val="left"/>
              <w:rPr>
                <w:rFonts w:ascii="宋体" w:hAnsi="宋体" w:eastAsia="宋体"/>
                <w:color w:val="auto"/>
                <w:sz w:val="21"/>
                <w:szCs w:val="21"/>
                <w:highlight w:val="none"/>
              </w:rPr>
            </w:pPr>
            <w:r>
              <w:rPr>
                <w:rFonts w:hint="eastAsia" w:ascii="宋体" w:hAnsi="宋体" w:eastAsia="宋体"/>
                <w:color w:val="auto"/>
                <w:sz w:val="21"/>
                <w:szCs w:val="21"/>
                <w:highlight w:val="none"/>
              </w:rPr>
              <w:t>郑瑶瑶13438008900</w:t>
            </w:r>
          </w:p>
        </w:tc>
      </w:tr>
    </w:tbl>
    <w:p>
      <w:pPr>
        <w:rPr>
          <w:color w:val="auto"/>
          <w:highlight w:val="none"/>
        </w:rPr>
      </w:pPr>
    </w:p>
    <w:p>
      <w:pPr>
        <w:spacing w:line="360" w:lineRule="auto"/>
        <w:ind w:firstLine="422" w:firstLineChars="200"/>
        <w:rPr>
          <w:rFonts w:ascii="宋体" w:hAnsi="宋体"/>
          <w:b/>
          <w:color w:val="auto"/>
          <w:szCs w:val="21"/>
          <w:highlight w:val="none"/>
        </w:rPr>
      </w:pPr>
    </w:p>
    <w:p>
      <w:pPr>
        <w:rPr>
          <w:color w:val="auto"/>
          <w:highlight w:val="none"/>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decorative"/>
    <w:pitch w:val="default"/>
    <w:sig w:usb0="00000000" w:usb1="00000000" w:usb2="00000000" w:usb3="00000000" w:csb0="2000009F" w:csb1="DFD70000"/>
  </w:font>
  <w:font w:name="楷体_GB2312">
    <w:altName w:val="楷体"/>
    <w:panose1 w:val="02010609030101010101"/>
    <w:charset w:val="86"/>
    <w:family w:val="swiss"/>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swiss"/>
    <w:pitch w:val="default"/>
    <w:sig w:usb0="00000000" w:usb1="00000000" w:usb2="00000000" w:usb3="00000000" w:csb0="00040000" w:csb1="00000000"/>
  </w:font>
  <w:font w:name="Tahoma">
    <w:panose1 w:val="020B0604030504040204"/>
    <w:charset w:val="00"/>
    <w:family w:val="decorative"/>
    <w:pitch w:val="default"/>
    <w:sig w:usb0="E1002EFF" w:usb1="C000605B" w:usb2="00000029" w:usb3="00000000" w:csb0="200101FF" w:csb1="20280000"/>
  </w:font>
  <w:font w:name="Verdana">
    <w:panose1 w:val="020B0604030504040204"/>
    <w:charset w:val="00"/>
    <w:family w:val="decorative"/>
    <w:pitch w:val="default"/>
    <w:sig w:usb0="A10006FF" w:usb1="4000205B" w:usb2="00000010" w:usb3="00000000" w:csb0="2000019F" w:csb1="00000000"/>
  </w:font>
  <w:font w:name="Times New (W1)">
    <w:altName w:val="Times New Roman"/>
    <w:panose1 w:val="00000000000000000000"/>
    <w:charset w:val="00"/>
    <w:family w:val="modern"/>
    <w:pitch w:val="default"/>
    <w:sig w:usb0="00000000" w:usb1="00000000" w:usb2="00000000" w:usb3="00000000" w:csb0="00000000" w:csb1="00000000"/>
  </w:font>
  <w:font w:name="Arial (W1)">
    <w:altName w:val="Arial"/>
    <w:panose1 w:val="00000000000000000000"/>
    <w:charset w:val="00"/>
    <w:family w:val="decorative"/>
    <w:pitch w:val="default"/>
    <w:sig w:usb0="00000000" w:usb1="00000000" w:usb2="00000008" w:usb3="00000000" w:csb0="000001FF" w:csb1="00000000"/>
  </w:font>
  <w:font w:name="隶书">
    <w:altName w:val="微软雅黑"/>
    <w:panose1 w:val="02010509060101010101"/>
    <w:charset w:val="86"/>
    <w:family w:val="swiss"/>
    <w:pitch w:val="default"/>
    <w:sig w:usb0="00000000" w:usb1="00000000" w:usb2="00000000" w:usb3="00000000" w:csb0="00040000" w:csb1="00000000"/>
  </w:font>
  <w:font w:name="Arial Unicode MS">
    <w:altName w:val="宋体"/>
    <w:panose1 w:val="020B0604020202020204"/>
    <w:charset w:val="86"/>
    <w:family w:val="decorative"/>
    <w:pitch w:val="default"/>
    <w:sig w:usb0="00000000" w:usb1="00000000"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504020202030204"/>
    <w:charset w:val="00"/>
    <w:family w:val="decorative"/>
    <w:pitch w:val="default"/>
    <w:sig w:usb0="00000000" w:usb1="00000000" w:usb2="00000000" w:usb3="00000000" w:csb0="00000093" w:csb1="00000000"/>
  </w:font>
  <w:font w:name="方正仿宋简体">
    <w:altName w:val="微软雅黑"/>
    <w:panose1 w:val="02010601030101010101"/>
    <w:charset w:val="86"/>
    <w:family w:val="script"/>
    <w:pitch w:val="default"/>
    <w:sig w:usb0="00000000" w:usb1="00000000" w:usb2="00000000" w:usb3="00000000" w:csb0="00040000" w:csb1="00000000"/>
  </w:font>
  <w:font w:name="华文黑体">
    <w:altName w:val="宋体"/>
    <w:panose1 w:val="00000000000000000000"/>
    <w:charset w:val="86"/>
    <w:family w:val="modern"/>
    <w:pitch w:val="default"/>
    <w:sig w:usb0="00000000" w:usb1="00000000" w:usb2="00000010" w:usb3="00000000" w:csb0="00040000" w:csb1="00000000"/>
  </w:font>
  <w:font w:name="方正黑体简体">
    <w:altName w:val="微软雅黑"/>
    <w:panose1 w:val="02010601030101010101"/>
    <w:charset w:val="86"/>
    <w:family w:val="auto"/>
    <w:pitch w:val="default"/>
    <w:sig w:usb0="00000000" w:usb1="00000000" w:usb2="00000000" w:usb3="00000000" w:csb0="00040000" w:csb1="00000000"/>
  </w:font>
  <w:font w:name="方正小标宋简体">
    <w:altName w:val="微软雅黑"/>
    <w:panose1 w:val="02010601030101010101"/>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方正仿宋">
    <w:altName w:val="仿宋"/>
    <w:panose1 w:val="03000509000000000000"/>
    <w:charset w:val="86"/>
    <w:family w:val="script"/>
    <w:pitch w:val="default"/>
    <w:sig w:usb0="00000000" w:usb1="00000000" w:usb2="00000000" w:usb3="00000000" w:csb0="00040000" w:csb1="00000000"/>
  </w:font>
  <w:font w:name="..ì.">
    <w:altName w:val="黑体"/>
    <w:panose1 w:val="00000000000000000000"/>
    <w:charset w:val="86"/>
    <w:family w:val="swiss"/>
    <w:pitch w:val="default"/>
    <w:sig w:usb0="00000000" w:usb1="00000000" w:usb2="00000010" w:usb3="00000000" w:csb0="00040000" w:csb1="00000000"/>
  </w:font>
  <w:font w:name="方正小标宋_GBK">
    <w:altName w:val="微软雅黑"/>
    <w:panose1 w:val="03000509000000000000"/>
    <w:charset w:val="86"/>
    <w:family w:val="swiss"/>
    <w:pitch w:val="default"/>
    <w:sig w:usb0="00000000" w:usb1="00000000" w:usb2="00000000" w:usb3="00000000" w:csb0="00040001"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Monospaced Number">
    <w:altName w:val="Segoe Print"/>
    <w:panose1 w:val="00000000000000000000"/>
    <w:charset w:val="00"/>
    <w:family w:val="auto"/>
    <w:pitch w:val="default"/>
    <w:sig w:usb0="00000000" w:usb1="00000000" w:usb2="00000000" w:usb3="00000000" w:csb0="00000000" w:csb1="00000000"/>
  </w:font>
  <w:font w:name="ˎ̥">
    <w:altName w:val="Times New Roman"/>
    <w:panose1 w:val="00000000000000000000"/>
    <w:charset w:val="00"/>
    <w:family w:val="decorative"/>
    <w:pitch w:val="default"/>
    <w:sig w:usb0="00000000" w:usb1="00000000" w:usb2="00000000" w:usb3="00000000" w:csb0="00000000" w:csb1="00000000"/>
  </w:font>
  <w:font w:name="Tms Rmn">
    <w:altName w:val="Segoe Print"/>
    <w:panose1 w:val="02020603040505020304"/>
    <w:charset w:val="00"/>
    <w:family w:val="decorative"/>
    <w:pitch w:val="default"/>
    <w:sig w:usb0="00000000" w:usb1="00000000" w:usb2="00000000" w:usb3="00000000" w:csb0="00000001" w:csb1="00000000"/>
  </w:font>
  <w:font w:name="楷体à.ā">
    <w:altName w:val="黑体"/>
    <w:panose1 w:val="00000000000000000000"/>
    <w:charset w:val="86"/>
    <w:family w:val="roman"/>
    <w:pitch w:val="default"/>
    <w:sig w:usb0="00000000" w:usb1="00000000" w:usb2="00000010" w:usb3="00000000" w:csb0="00040000" w:csb1="00000000"/>
  </w:font>
  <w:font w:name="MingLiU">
    <w:panose1 w:val="02020509000000000000"/>
    <w:charset w:val="88"/>
    <w:family w:val="roman"/>
    <w:pitch w:val="default"/>
    <w:sig w:usb0="A00002FF" w:usb1="28CFFCFA" w:usb2="00000016" w:usb3="00000000" w:csb0="00100001" w:csb1="00000000"/>
  </w:font>
  <w:font w:name="等线">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decorative"/>
    <w:pitch w:val="default"/>
    <w:sig w:usb0="E10002FF" w:usb1="4000FCFF" w:usb2="00000009" w:usb3="00000000" w:csb0="6000019F" w:csb1="DFD70000"/>
  </w:font>
  <w:font w:name="Microsoft YaHei UI">
    <w:altName w:val="宋体"/>
    <w:panose1 w:val="020B0503020204020204"/>
    <w:charset w:val="86"/>
    <w:family w:val="roman"/>
    <w:pitch w:val="default"/>
    <w:sig w:usb0="00000000" w:usb1="00000000" w:usb2="00000016" w:usb3="00000000" w:csb0="0004001F" w:csb1="00000000"/>
  </w:font>
  <w:font w:name="Calibri Light">
    <w:panose1 w:val="020F0302020204030204"/>
    <w:charset w:val="00"/>
    <w:family w:val="modern"/>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方正黑体">
    <w:altName w:val="宋体"/>
    <w:panose1 w:val="00000000000000000000"/>
    <w:charset w:val="86"/>
    <w:family w:val="roman"/>
    <w:pitch w:val="default"/>
    <w:sig w:usb0="00000000" w:usb1="00000000" w:usb2="00000000" w:usb3="00000000" w:csb0="00000000" w:csb1="00000000"/>
  </w:font>
  <w:font w:name="Chinese Quote">
    <w:altName w:val="Segoe Print"/>
    <w:panose1 w:val="00000000000000000000"/>
    <w:charset w:val="00"/>
    <w:family w:val="auto"/>
    <w:pitch w:val="default"/>
    <w:sig w:usb0="00000000" w:usb1="00000000" w:usb2="00000000" w:usb3="00000000" w:csb0="00000000" w:csb1="00000000"/>
  </w:font>
  <w:font w:name="anticon">
    <w:altName w:val="Segoe Print"/>
    <w:panose1 w:val="00000000000000000000"/>
    <w:charset w:val="00"/>
    <w:family w:val="auto"/>
    <w:pitch w:val="default"/>
    <w:sig w:usb0="00000000" w:usb1="00000000" w:usb2="00000000" w:usb3="00000000" w:csb0="00000000" w:csb1="00000000"/>
  </w:font>
  <w:font w:name="SFMono-Regular">
    <w:altName w:val="Segoe Print"/>
    <w:panose1 w:val="00000000000000000000"/>
    <w:charset w:val="00"/>
    <w:family w:val="auto"/>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汉仪仿宋简">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moder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roman"/>
    <w:pitch w:val="default"/>
    <w:sig w:usb0="8000006F" w:usb1="1200FBEF" w:usb2="0064C000" w:usb3="00000002" w:csb0="00000001" w:csb1="40000000"/>
  </w:font>
  <w:font w:name="Cambria Math">
    <w:panose1 w:val="02040503050406030204"/>
    <w:charset w:val="01"/>
    <w:family w:val="swiss"/>
    <w:pitch w:val="default"/>
    <w:sig w:usb0="E00002FF" w:usb1="420024FF" w:usb2="0000000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00"/>
    <w:family w:val="auto"/>
    <w:pitch w:val="default"/>
    <w:sig w:usb0="00000000" w:usb1="00000000" w:usb2="00000000" w:usb3="00000000" w:csb0="00000000" w:csb1="00000000"/>
  </w:font>
  <w:font w:name="Cambria Math">
    <w:panose1 w:val="02040503050406030204"/>
    <w:charset w:val="00"/>
    <w:family w:val="decorative"/>
    <w:pitch w:val="default"/>
    <w:sig w:usb0="E00002FF" w:usb1="420024FF" w:usb2="00000000" w:usb3="00000000" w:csb0="2000019F" w:csb1="00000000"/>
  </w:font>
  <w:font w:name="Wingdings 2">
    <w:altName w:val="Wingdings"/>
    <w:panose1 w:val="05020102010507070707"/>
    <w:charset w:val="02"/>
    <w:family w:val="decorative"/>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_GB2312">
    <w:altName w:val="Times New Roman"/>
    <w:panose1 w:val="00000000000000000000"/>
    <w:charset w:val="00"/>
    <w:family w:val="swiss"/>
    <w:pitch w:val="default"/>
    <w:sig w:usb0="00000000" w:usb1="00000000" w:usb2="00000000" w:usb3="00000000" w:csb0="00000001" w:csb1="00000000"/>
  </w:font>
  <w:font w:name="PingFang SC">
    <w:altName w:val="Segoe Print"/>
    <w:panose1 w:val="00000000000000000000"/>
    <w:charset w:val="00"/>
    <w:family w:val="auto"/>
    <w:pitch w:val="default"/>
    <w:sig w:usb0="00000000" w:usb1="00000000" w:usb2="00000000" w:usb3="00000000" w:csb0="00000000" w:csb1="00000000"/>
  </w:font>
  <w:font w:name="MingLiU_HKSCS">
    <w:panose1 w:val="02020500000000000000"/>
    <w:charset w:val="88"/>
    <w:family w:val="auto"/>
    <w:pitch w:val="default"/>
    <w:sig w:usb0="A00002FF" w:usb1="38CFFCFA" w:usb2="00000016" w:usb3="00000000" w:csb0="00100001" w:csb1="00000000"/>
  </w:font>
  <w:font w:name="新宋体">
    <w:panose1 w:val="02010609030101010101"/>
    <w:charset w:val="86"/>
    <w:family w:val="decorative"/>
    <w:pitch w:val="default"/>
    <w:sig w:usb0="00000003" w:usb1="288F0000" w:usb2="0000000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enlo">
    <w:altName w:val="Courier New"/>
    <w:panose1 w:val="00000000000000000000"/>
    <w:charset w:val="00"/>
    <w:family w:val="auto"/>
    <w:pitch w:val="default"/>
    <w:sig w:usb0="00000000" w:usb1="00000000" w:usb2="00000000" w:usb3="00000000" w:csb0="00040001" w:csb1="00000000"/>
  </w:font>
  <w:font w:name="Arial Black">
    <w:panose1 w:val="020B0A04020102020204"/>
    <w:charset w:val="00"/>
    <w:family w:val="auto"/>
    <w:pitch w:val="default"/>
    <w:sig w:usb0="00000287" w:usb1="00000000" w:usb2="00000000" w:usb3="00000000" w:csb0="2000009F" w:csb1="DFD70000"/>
  </w:font>
  <w:font w:name="DejaVu Sans">
    <w:altName w:val="Times New Roman"/>
    <w:panose1 w:val="02020603050405020304"/>
    <w:charset w:val="00"/>
    <w:family w:val="roman"/>
    <w:pitch w:val="default"/>
    <w:sig w:usb0="00000000" w:usb1="00000000" w:usb2="00000008" w:usb3="00000000" w:csb0="000001FF" w:csb1="00000000"/>
  </w:font>
  <w:font w:name="方正书宋_GBK">
    <w:altName w:val="微软雅黑"/>
    <w:panose1 w:val="02000000000000000000"/>
    <w:charset w:val="86"/>
    <w:family w:val="auto"/>
    <w:pitch w:val="default"/>
    <w:sig w:usb0="00000000" w:usb1="00000000" w:usb2="00082016" w:usb3="00000000" w:csb0="00040001" w:csb1="00000000"/>
  </w:font>
  <w:font w:name="方正黑体_GBK">
    <w:altName w:val="微软雅黑"/>
    <w:panose1 w:val="02000000000000000000"/>
    <w:charset w:val="00"/>
    <w:family w:val="auto"/>
    <w:pitch w:val="default"/>
    <w:sig w:usb0="00000000" w:usb1="00000000" w:usb2="00000000" w:usb3="00000000" w:csb0="00040000" w:csb1="00000000"/>
  </w:font>
  <w:font w:name="汉仪书宋二KW">
    <w:altName w:val="宋体"/>
    <w:panose1 w:val="00020600040101010101"/>
    <w:charset w:val="86"/>
    <w:family w:val="auto"/>
    <w:pitch w:val="default"/>
    <w:sig w:usb0="00000000" w:usb1="00000000" w:usb2="00000016" w:usb3="00000000" w:csb0="00040000" w:csb1="00000000"/>
  </w:font>
  <w:font w:name="苹方-简">
    <w:altName w:val="宋体"/>
    <w:panose1 w:val="020B0400000000000000"/>
    <w:charset w:val="86"/>
    <w:family w:val="auto"/>
    <w:pitch w:val="default"/>
    <w:sig w:usb0="00000000" w:usb1="00000000" w:usb2="00000017" w:usb3="00000000" w:csb0="00040001" w:csb1="00000000"/>
  </w:font>
  <w:font w:name="Helvetica Neue">
    <w:altName w:val="Corbel"/>
    <w:panose1 w:val="02000503000000020004"/>
    <w:charset w:val="00"/>
    <w:family w:val="auto"/>
    <w:pitch w:val="default"/>
    <w:sig w:usb0="00000000" w:usb1="00000000" w:usb2="00000010" w:usb3="00000000" w:csb0="00000000" w:csb1="00000000"/>
  </w:font>
  <w:font w:name="汉仪中黑KW">
    <w:altName w:val="黑体"/>
    <w:panose1 w:val="00020600040101010101"/>
    <w:charset w:val="86"/>
    <w:family w:val="auto"/>
    <w:pitch w:val="default"/>
    <w:sig w:usb0="00000000" w:usb1="00000000" w:usb2="00000016" w:usb3="00000000" w:csb0="00040000" w:csb1="00000000"/>
  </w:font>
  <w:font w:name="汉仪旗黑">
    <w:altName w:val="黑体"/>
    <w:panose1 w:val="00020600040101010101"/>
    <w:charset w:val="86"/>
    <w:family w:val="auto"/>
    <w:pitch w:val="default"/>
    <w:sig w:usb0="00000000" w:usb1="00000000" w:usb2="00000016" w:usb3="00000000" w:csb0="0004009F" w:csb1="DFD70000"/>
  </w:font>
  <w:font w:name="报隶-简">
    <w:altName w:val="宋体"/>
    <w:panose1 w:val="02010600040101010101"/>
    <w:charset w:val="86"/>
    <w:family w:val="auto"/>
    <w:pitch w:val="default"/>
    <w:sig w:usb0="00000000" w:usb1="00000000" w:usb2="00000016" w:usb3="00000000" w:csb0="0004001F" w:csb1="00000000"/>
  </w:font>
  <w:font w:name="汉仪楷体KW">
    <w:altName w:val="宋体"/>
    <w:panose1 w:val="00020600040101010101"/>
    <w:charset w:val="86"/>
    <w:family w:val="auto"/>
    <w:pitch w:val="default"/>
    <w:sig w:usb0="00000000" w:usb1="00000000" w:usb2="00000016" w:usb3="00000000" w:csb0="00040000" w:csb1="00000000"/>
  </w:font>
  <w:font w:name="汉仪楷体简">
    <w:altName w:val="宋体"/>
    <w:panose1 w:val="02010600000101010101"/>
    <w:charset w:val="86"/>
    <w:family w:val="auto"/>
    <w:pitch w:val="default"/>
    <w:sig w:usb0="00000000" w:usb1="00000000" w:usb2="00000002" w:usb3="00000000" w:csb0="00040000" w:csb1="00000000"/>
  </w:font>
  <w:font w:name="Kingsoft Sign">
    <w:altName w:val="Segoe Print"/>
    <w:panose1 w:val="05050102010706020507"/>
    <w:charset w:val="00"/>
    <w:family w:val="auto"/>
    <w:pitch w:val="default"/>
    <w:sig w:usb0="00000000" w:usb1="00000000" w:usb2="00000000" w:usb3="00000000" w:csb0="00000001" w:csb1="00000000"/>
  </w:font>
  <w:font w:name="PingFangHK">
    <w:altName w:val="Segoe Print"/>
    <w:panose1 w:val="00000000000000000000"/>
    <w:charset w:val="00"/>
    <w:family w:val="auto"/>
    <w:pitch w:val="default"/>
    <w:sig w:usb0="00000000" w:usb1="00000000" w:usb2="00000000" w:usb3="00000000" w:csb0="00000000" w:csb1="00000000"/>
  </w:font>
  <w:font w:name="Apple Color Emoji">
    <w:altName w:val="Segoe Print"/>
    <w:panose1 w:val="00000000000000000000"/>
    <w:charset w:val="00"/>
    <w:family w:val="auto"/>
    <w:pitch w:val="default"/>
    <w:sig w:usb0="00000000" w:usb1="00000000" w:usb2="14000000" w:usb3="00000000" w:csb0="00000001" w:csb1="00000000"/>
  </w:font>
  <w:font w:name="楷体_GB2312">
    <w:altName w:val="楷体"/>
    <w:panose1 w:val="02010609030101010101"/>
    <w:charset w:val="00"/>
    <w:family w:val="modern"/>
    <w:pitch w:val="default"/>
    <w:sig w:usb0="00000000" w:usb1="00000000" w:usb2="00000010" w:usb3="00000000" w:csb0="00040000" w:csb1="00000000"/>
  </w:font>
  <w:font w:name="新宋体-18030">
    <w:altName w:val="微软雅黑"/>
    <w:panose1 w:val="02010609060101010101"/>
    <w:charset w:val="00"/>
    <w:family w:val="modern"/>
    <w:pitch w:val="default"/>
    <w:sig w:usb0="00000000" w:usb1="00000000" w:usb2="000A005E" w:usb3="00000000" w:csb0="00040001" w:csb1="00000000"/>
  </w:font>
  <w:font w:name="Lucida Console">
    <w:panose1 w:val="020B0609040504020204"/>
    <w:charset w:val="00"/>
    <w:family w:val="modern"/>
    <w:pitch w:val="default"/>
    <w:sig w:usb0="8000028F" w:usb1="00001800" w:usb2="00000000" w:usb3="00000000" w:csb0="0000001F" w:csb1="D7D70000"/>
  </w:font>
  <w:font w:name="inherit">
    <w:altName w:val="微软雅黑"/>
    <w:panose1 w:val="00000000000000000000"/>
    <w:charset w:val="00"/>
    <w:family w:val="roman"/>
    <w:pitch w:val="default"/>
    <w:sig w:usb0="00000000" w:usb1="00000000" w:usb2="00000000" w:usb3="00000000" w:csb0="00040001" w:csb1="00000000"/>
  </w:font>
  <w:font w:name="宋体-简">
    <w:altName w:val="宋体"/>
    <w:panose1 w:val="02010800040101010101"/>
    <w:charset w:val="86"/>
    <w:family w:val="auto"/>
    <w:pitch w:val="default"/>
    <w:sig w:usb0="00000000" w:usb1="00000000" w:usb2="00000000" w:usb3="00000000" w:csb0="00040000" w:csb1="00000000"/>
  </w:font>
  <w:font w:name="Traditional Arabic">
    <w:panose1 w:val="02020603050405020304"/>
    <w:charset w:val="00"/>
    <w:family w:val="auto"/>
    <w:pitch w:val="default"/>
    <w:sig w:usb0="00006003" w:usb1="80000000" w:usb2="00000008" w:usb3="00000000" w:csb0="00000041" w:csb1="20080000"/>
  </w:font>
  <w:font w:name="NumberOnly">
    <w:panose1 w:val="020B0500000000000000"/>
    <w:charset w:val="00"/>
    <w:family w:val="auto"/>
    <w:pitch w:val="default"/>
    <w:sig w:usb0="8000002F" w:usb1="10000048" w:usb2="00000000" w:usb3="00000000" w:csb0="00000111" w:csb1="40000000"/>
  </w:font>
  <w:font w:name="Calibri">
    <w:panose1 w:val="020F0502020204030204"/>
    <w:charset w:val="86"/>
    <w:family w:val="swiss"/>
    <w:pitch w:val="default"/>
    <w:sig w:usb0="E00002FF" w:usb1="4000ACFF" w:usb2="00000001" w:usb3="00000000" w:csb0="2000019F" w:csb1="00000000"/>
  </w:font>
  <w:font w:name="Meiryo">
    <w:panose1 w:val="020B0604030504040204"/>
    <w:charset w:val="80"/>
    <w:family w:val="auto"/>
    <w:pitch w:val="default"/>
    <w:sig w:usb0="E10102FF" w:usb1="EAC7FFFF" w:usb2="00010012" w:usb3="00000000" w:csb0="6002009F" w:csb1="DFD70000"/>
  </w:font>
  <w:font w:name="Aharoni">
    <w:panose1 w:val="02010803020104030203"/>
    <w:charset w:val="00"/>
    <w:family w:val="auto"/>
    <w:pitch w:val="default"/>
    <w:sig w:usb0="00000801" w:usb1="00000000" w:usb2="00000000" w:usb3="00000000" w:csb0="00000020" w:csb1="00200000"/>
  </w:font>
  <w:font w:name="Arabic Typesetting">
    <w:panose1 w:val="03020402040406030203"/>
    <w:charset w:val="00"/>
    <w:family w:val="auto"/>
    <w:pitch w:val="default"/>
    <w:sig w:usb0="A000206F" w:usb1="C0000000" w:usb2="00000008" w:usb3="00000000" w:csb0="200000D3" w:csb1="00000000"/>
  </w:font>
  <w:font w:name="Browallia New">
    <w:panose1 w:val="020B0604020202020204"/>
    <w:charset w:val="00"/>
    <w:family w:val="auto"/>
    <w:pitch w:val="default"/>
    <w:sig w:usb0="81000003" w:usb1="00000000" w:usb2="00000000" w:usb3="00000000" w:csb0="00010001" w:csb1="00000000"/>
  </w:font>
  <w:font w:name="BrowalliaUPC">
    <w:panose1 w:val="020B0604020202020204"/>
    <w:charset w:val="00"/>
    <w:family w:val="auto"/>
    <w:pitch w:val="default"/>
    <w:sig w:usb0="81000003" w:usb1="00000000" w:usb2="00000000" w:usb3="00000000" w:csb0="00010001" w:csb1="00000000"/>
  </w:font>
  <w:font w:name="Angsana New">
    <w:panose1 w:val="02020603050405020304"/>
    <w:charset w:val="00"/>
    <w:family w:val="auto"/>
    <w:pitch w:val="default"/>
    <w:sig w:usb0="81000003" w:usb1="00000000" w:usb2="00000000" w:usb3="00000000" w:csb0="00010001" w:csb1="00000000"/>
  </w:font>
  <w:font w:name="Microsoft JhengHei">
    <w:panose1 w:val="020B0604030504040204"/>
    <w:charset w:val="88"/>
    <w:family w:val="auto"/>
    <w:pitch w:val="default"/>
    <w:sig w:usb0="00000087" w:usb1="28AF4000" w:usb2="00000016" w:usb3="00000000" w:csb0="00100009" w:csb1="0000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方正楷体简体">
    <w:altName w:val="宋体"/>
    <w:panose1 w:val="02010601030101010101"/>
    <w:charset w:val="86"/>
    <w:family w:val="script"/>
    <w:pitch w:val="default"/>
    <w:sig w:usb0="00000000" w:usb1="00000000" w:usb2="00000000" w:usb3="00000000" w:csb0="00040000" w:csb1="00000000"/>
  </w:font>
  <w:font w:name="Yu Gothic UI">
    <w:altName w:val="Meiryo UI"/>
    <w:panose1 w:val="020B0500000000000000"/>
    <w:charset w:val="80"/>
    <w:family w:val="auto"/>
    <w:pitch w:val="default"/>
    <w:sig w:usb0="00000000" w:usb1="00000000" w:usb2="00000016" w:usb3="00000000" w:csb0="2002009F" w:csb1="00000000"/>
  </w:font>
  <w:font w:name="Corbel">
    <w:panose1 w:val="020B0503020204020204"/>
    <w:charset w:val="00"/>
    <w:family w:val="auto"/>
    <w:pitch w:val="default"/>
    <w:sig w:usb0="A00002EF" w:usb1="4000A44B" w:usb2="00000000" w:usb3="00000000" w:csb0="2000019F" w:csb1="00000000"/>
  </w:font>
  <w:font w:name="Sitka Text">
    <w:altName w:val="NumberOnly"/>
    <w:panose1 w:val="02000505000000020004"/>
    <w:charset w:val="00"/>
    <w:family w:val="auto"/>
    <w:pitch w:val="default"/>
    <w:sig w:usb0="00000000" w:usb1="00000000" w:usb2="00000000" w:usb3="00000000" w:csb0="2000019F" w:csb1="00000000"/>
  </w:font>
  <w:font w:name="Yu Gothic UI Semibold">
    <w:altName w:val="Meiryo UI"/>
    <w:panose1 w:val="020B0700000000000000"/>
    <w:charset w:val="80"/>
    <w:family w:val="auto"/>
    <w:pitch w:val="default"/>
    <w:sig w:usb0="00000000" w:usb1="00000000" w:usb2="00000016" w:usb3="00000000" w:csb0="2002009F" w:csb1="00000000"/>
  </w:font>
  <w:font w:name="Ink Free">
    <w:altName w:val="Mongolian Baiti"/>
    <w:panose1 w:val="03080402000500000000"/>
    <w:charset w:val="00"/>
    <w:family w:val="auto"/>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 w:name="MingLiU-ExtB">
    <w:panose1 w:val="02020500000000000000"/>
    <w:charset w:val="88"/>
    <w:family w:val="auto"/>
    <w:pitch w:val="default"/>
    <w:sig w:usb0="8000002F" w:usb1="02000008" w:usb2="00000000" w:usb3="00000000" w:csb0="00100001" w:csb1="00000000"/>
  </w:font>
  <w:font w:name="Vrinda">
    <w:panose1 w:val="020B0502040204020203"/>
    <w:charset w:val="00"/>
    <w:family w:val="auto"/>
    <w:pitch w:val="default"/>
    <w:sig w:usb0="00010003" w:usb1="00000000" w:usb2="00000000" w:usb3="00000000" w:csb0="00000001" w:csb1="00000000"/>
  </w:font>
  <w:font w:name="Impact">
    <w:panose1 w:val="020B0806030902050204"/>
    <w:charset w:val="00"/>
    <w:family w:val="auto"/>
    <w:pitch w:val="default"/>
    <w:sig w:usb0="00000287" w:usb1="00000000" w:usb2="00000000" w:usb3="00000000" w:csb0="2000009F" w:csb1="DFD70000"/>
  </w:font>
  <w:font w:name="Mongolian Baiti">
    <w:panose1 w:val="03000500000000000000"/>
    <w:charset w:val="00"/>
    <w:family w:val="auto"/>
    <w:pitch w:val="default"/>
    <w:sig w:usb0="80000023" w:usb1="00000000" w:usb2="00020000" w:usb3="00000000" w:csb0="00000001" w:csb1="00000000"/>
  </w:font>
  <w:font w:name="Meiryo UI">
    <w:panose1 w:val="020B0604030504040204"/>
    <w:charset w:val="80"/>
    <w:family w:val="auto"/>
    <w:pitch w:val="default"/>
    <w:sig w:usb0="E10102FF" w:usb1="EAC7FFFF" w:usb2="00010012" w:usb3="00000000" w:csb0="6002009F" w:csb1="DFD70000"/>
  </w:font>
  <w:font w:name="PMingLiU">
    <w:panose1 w:val="02020500000000000000"/>
    <w:charset w:val="88"/>
    <w:family w:val="decorative"/>
    <w:pitch w:val="default"/>
    <w:sig w:usb0="A00002FF" w:usb1="28CFFCFA" w:usb2="00000016" w:usb3="00000000" w:csb0="00100001" w:csb1="00000000"/>
  </w:font>
  <w:font w:name="Yu Gothic UI">
    <w:altName w:val="Vrinda"/>
    <w:panose1 w:val="020B0500000000000000"/>
    <w:charset w:val="00"/>
    <w:family w:val="auto"/>
    <w:pitch w:val="default"/>
    <w:sig w:usb0="00000000" w:usb1="00000000" w:usb2="00000016" w:usb3="00000000" w:csb0="2002009F" w:csb1="00000000"/>
  </w:font>
  <w:font w:name="Yu Gothic UI Semibold">
    <w:altName w:val="Impact"/>
    <w:panose1 w:val="020B0700000000000000"/>
    <w:charset w:val="00"/>
    <w:family w:val="auto"/>
    <w:pitch w:val="default"/>
    <w:sig w:usb0="00000000" w:usb1="00000000"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053614"/>
    </w:sdtPr>
    <w:sdtContent>
      <w:p>
        <w:pPr>
          <w:pStyle w:val="30"/>
          <w:jc w:val="center"/>
        </w:pPr>
        <w:r>
          <w:fldChar w:fldCharType="begin"/>
        </w:r>
        <w:r>
          <w:instrText xml:space="preserve">PAGE   \* MERGEFORMAT</w:instrText>
        </w:r>
        <w:r>
          <w:fldChar w:fldCharType="separate"/>
        </w:r>
        <w:r>
          <w:rPr>
            <w:lang w:val="zh-CN"/>
          </w:rPr>
          <w:t>155</w:t>
        </w:r>
        <w:r>
          <w:fldChar w:fldCharType="end"/>
        </w:r>
      </w:p>
    </w:sdtContent>
  </w:sdt>
  <w:p>
    <w:pPr>
      <w:pStyle w:val="3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05C07D"/>
    <w:multiLevelType w:val="multilevel"/>
    <w:tmpl w:val="8605C07D"/>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8BE8A305"/>
    <w:multiLevelType w:val="singleLevel"/>
    <w:tmpl w:val="8BE8A305"/>
    <w:lvl w:ilvl="0" w:tentative="0">
      <w:start w:val="2"/>
      <w:numFmt w:val="decimal"/>
      <w:suff w:val="space"/>
      <w:lvlText w:val="%1."/>
      <w:lvlJc w:val="left"/>
    </w:lvl>
  </w:abstractNum>
  <w:abstractNum w:abstractNumId="2">
    <w:nsid w:val="8C196B41"/>
    <w:multiLevelType w:val="singleLevel"/>
    <w:tmpl w:val="8C196B41"/>
    <w:lvl w:ilvl="0" w:tentative="0">
      <w:start w:val="3"/>
      <w:numFmt w:val="chineseCounting"/>
      <w:suff w:val="nothing"/>
      <w:lvlText w:val="（%1）"/>
      <w:lvlJc w:val="left"/>
      <w:rPr>
        <w:rFonts w:hint="eastAsia"/>
      </w:rPr>
    </w:lvl>
  </w:abstractNum>
  <w:abstractNum w:abstractNumId="3">
    <w:nsid w:val="A8BD370C"/>
    <w:multiLevelType w:val="singleLevel"/>
    <w:tmpl w:val="A8BD370C"/>
    <w:lvl w:ilvl="0" w:tentative="0">
      <w:start w:val="1"/>
      <w:numFmt w:val="chineseCounting"/>
      <w:suff w:val="nothing"/>
      <w:lvlText w:val="%1、"/>
      <w:lvlJc w:val="left"/>
      <w:rPr>
        <w:rFonts w:hint="eastAsia"/>
      </w:rPr>
    </w:lvl>
  </w:abstractNum>
  <w:abstractNum w:abstractNumId="4">
    <w:nsid w:val="ABD409B4"/>
    <w:multiLevelType w:val="singleLevel"/>
    <w:tmpl w:val="ABD409B4"/>
    <w:lvl w:ilvl="0" w:tentative="0">
      <w:start w:val="1"/>
      <w:numFmt w:val="upperLetter"/>
      <w:lvlText w:val="%1."/>
      <w:lvlJc w:val="left"/>
      <w:pPr>
        <w:tabs>
          <w:tab w:val="left" w:pos="312"/>
        </w:tabs>
      </w:pPr>
    </w:lvl>
  </w:abstractNum>
  <w:abstractNum w:abstractNumId="5">
    <w:nsid w:val="C9169FC6"/>
    <w:multiLevelType w:val="singleLevel"/>
    <w:tmpl w:val="C9169FC6"/>
    <w:lvl w:ilvl="0" w:tentative="0">
      <w:start w:val="1"/>
      <w:numFmt w:val="decimal"/>
      <w:lvlText w:val="%1."/>
      <w:lvlJc w:val="left"/>
      <w:pPr>
        <w:tabs>
          <w:tab w:val="left" w:pos="312"/>
        </w:tabs>
      </w:pPr>
    </w:lvl>
  </w:abstractNum>
  <w:abstractNum w:abstractNumId="6">
    <w:nsid w:val="E4537D93"/>
    <w:multiLevelType w:val="singleLevel"/>
    <w:tmpl w:val="E4537D93"/>
    <w:lvl w:ilvl="0" w:tentative="0">
      <w:start w:val="9"/>
      <w:numFmt w:val="chineseCounting"/>
      <w:suff w:val="nothing"/>
      <w:lvlText w:val="%1、"/>
      <w:lvlJc w:val="left"/>
      <w:rPr>
        <w:rFonts w:hint="eastAsia"/>
      </w:rPr>
    </w:lvl>
  </w:abstractNum>
  <w:abstractNum w:abstractNumId="7">
    <w:nsid w:val="E9FB7946"/>
    <w:multiLevelType w:val="singleLevel"/>
    <w:tmpl w:val="E9FB7946"/>
    <w:lvl w:ilvl="0" w:tentative="0">
      <w:start w:val="1"/>
      <w:numFmt w:val="decimal"/>
      <w:lvlText w:val="%1."/>
      <w:lvlJc w:val="left"/>
      <w:pPr>
        <w:tabs>
          <w:tab w:val="left" w:pos="312"/>
        </w:tabs>
      </w:pPr>
    </w:lvl>
  </w:abstractNum>
  <w:abstractNum w:abstractNumId="8">
    <w:nsid w:val="EC2116A4"/>
    <w:multiLevelType w:val="singleLevel"/>
    <w:tmpl w:val="EC2116A4"/>
    <w:lvl w:ilvl="0" w:tentative="0">
      <w:start w:val="2"/>
      <w:numFmt w:val="chineseCounting"/>
      <w:suff w:val="nothing"/>
      <w:lvlText w:val="（%1）"/>
      <w:lvlJc w:val="left"/>
      <w:rPr>
        <w:rFonts w:hint="eastAsia"/>
      </w:rPr>
    </w:lvl>
  </w:abstractNum>
  <w:abstractNum w:abstractNumId="9">
    <w:nsid w:val="ED1DB19E"/>
    <w:multiLevelType w:val="singleLevel"/>
    <w:tmpl w:val="ED1DB19E"/>
    <w:lvl w:ilvl="0" w:tentative="0">
      <w:start w:val="2"/>
      <w:numFmt w:val="chineseCounting"/>
      <w:suff w:val="nothing"/>
      <w:lvlText w:val="%1、"/>
      <w:lvlJc w:val="left"/>
      <w:rPr>
        <w:rFonts w:hint="eastAsia"/>
      </w:rPr>
    </w:lvl>
  </w:abstractNum>
  <w:abstractNum w:abstractNumId="10">
    <w:nsid w:val="EE7D1A81"/>
    <w:multiLevelType w:val="singleLevel"/>
    <w:tmpl w:val="EE7D1A81"/>
    <w:lvl w:ilvl="0" w:tentative="0">
      <w:start w:val="1"/>
      <w:numFmt w:val="decimal"/>
      <w:suff w:val="space"/>
      <w:lvlText w:val="%1."/>
      <w:lvlJc w:val="left"/>
      <w:pPr>
        <w:ind w:left="-10"/>
      </w:pPr>
    </w:lvl>
  </w:abstractNum>
  <w:abstractNum w:abstractNumId="11">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10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2">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9"/>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10"/>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3">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6"/>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7"/>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8"/>
      <w:suff w:val="nothing"/>
      <w:lvlText w:val="%1.%2.%3.%4"/>
      <w:lvlJc w:val="left"/>
      <w:pPr>
        <w:ind w:left="2830"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4">
    <w:nsid w:val="00A12F36"/>
    <w:multiLevelType w:val="singleLevel"/>
    <w:tmpl w:val="00A12F36"/>
    <w:lvl w:ilvl="0" w:tentative="0">
      <w:start w:val="5"/>
      <w:numFmt w:val="chineseCounting"/>
      <w:suff w:val="space"/>
      <w:lvlText w:val="第%1条"/>
      <w:lvlJc w:val="left"/>
      <w:rPr>
        <w:rFonts w:hint="eastAsia"/>
      </w:rPr>
    </w:lvl>
  </w:abstractNum>
  <w:abstractNum w:abstractNumId="15">
    <w:nsid w:val="04795BD3"/>
    <w:multiLevelType w:val="singleLevel"/>
    <w:tmpl w:val="04795BD3"/>
    <w:lvl w:ilvl="0" w:tentative="0">
      <w:start w:val="1"/>
      <w:numFmt w:val="decimal"/>
      <w:suff w:val="space"/>
      <w:lvlText w:val="%1."/>
      <w:lvlJc w:val="left"/>
    </w:lvl>
  </w:abstractNum>
  <w:abstractNum w:abstractNumId="16">
    <w:nsid w:val="04B659B8"/>
    <w:multiLevelType w:val="singleLevel"/>
    <w:tmpl w:val="04B659B8"/>
    <w:lvl w:ilvl="0" w:tentative="0">
      <w:start w:val="1"/>
      <w:numFmt w:val="chineseCounting"/>
      <w:suff w:val="nothing"/>
      <w:lvlText w:val="（%1）"/>
      <w:lvlJc w:val="left"/>
      <w:rPr>
        <w:rFonts w:hint="eastAsia"/>
      </w:rPr>
    </w:lvl>
  </w:abstractNum>
  <w:abstractNum w:abstractNumId="17">
    <w:nsid w:val="082A8941"/>
    <w:multiLevelType w:val="singleLevel"/>
    <w:tmpl w:val="082A8941"/>
    <w:lvl w:ilvl="0" w:tentative="0">
      <w:start w:val="3"/>
      <w:numFmt w:val="chineseCounting"/>
      <w:suff w:val="space"/>
      <w:lvlText w:val="第%1章"/>
      <w:lvlJc w:val="left"/>
      <w:rPr>
        <w:rFonts w:hint="eastAsia"/>
      </w:rPr>
    </w:lvl>
  </w:abstractNum>
  <w:abstractNum w:abstractNumId="18">
    <w:nsid w:val="12C8DE96"/>
    <w:multiLevelType w:val="singleLevel"/>
    <w:tmpl w:val="12C8DE96"/>
    <w:lvl w:ilvl="0" w:tentative="0">
      <w:start w:val="1"/>
      <w:numFmt w:val="chineseCounting"/>
      <w:suff w:val="nothing"/>
      <w:lvlText w:val="%1、"/>
      <w:lvlJc w:val="left"/>
      <w:rPr>
        <w:rFonts w:hint="eastAsia"/>
      </w:rPr>
    </w:lvl>
  </w:abstractNum>
  <w:abstractNum w:abstractNumId="19">
    <w:nsid w:val="14A76C13"/>
    <w:multiLevelType w:val="singleLevel"/>
    <w:tmpl w:val="14A76C13"/>
    <w:lvl w:ilvl="0" w:tentative="0">
      <w:start w:val="1"/>
      <w:numFmt w:val="chineseCounting"/>
      <w:suff w:val="space"/>
      <w:lvlText w:val="第%1章"/>
      <w:lvlJc w:val="left"/>
      <w:rPr>
        <w:rFonts w:hint="eastAsia"/>
      </w:rPr>
    </w:lvl>
  </w:abstractNum>
  <w:abstractNum w:abstractNumId="20">
    <w:nsid w:val="1CB76B8D"/>
    <w:multiLevelType w:val="singleLevel"/>
    <w:tmpl w:val="1CB76B8D"/>
    <w:lvl w:ilvl="0" w:tentative="0">
      <w:start w:val="1"/>
      <w:numFmt w:val="decimal"/>
      <w:suff w:val="space"/>
      <w:lvlText w:val="%1."/>
      <w:lvlJc w:val="left"/>
    </w:lvl>
  </w:abstractNum>
  <w:abstractNum w:abstractNumId="21">
    <w:nsid w:val="214FE33F"/>
    <w:multiLevelType w:val="singleLevel"/>
    <w:tmpl w:val="214FE33F"/>
    <w:lvl w:ilvl="0" w:tentative="0">
      <w:start w:val="1"/>
      <w:numFmt w:val="chineseCounting"/>
      <w:suff w:val="nothing"/>
      <w:lvlText w:val="%1、"/>
      <w:lvlJc w:val="left"/>
      <w:rPr>
        <w:rFonts w:hint="eastAsia"/>
      </w:rPr>
    </w:lvl>
  </w:abstractNum>
  <w:abstractNum w:abstractNumId="22">
    <w:nsid w:val="219B62D6"/>
    <w:multiLevelType w:val="multilevel"/>
    <w:tmpl w:val="219B62D6"/>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25DA445"/>
    <w:multiLevelType w:val="singleLevel"/>
    <w:tmpl w:val="225DA445"/>
    <w:lvl w:ilvl="0" w:tentative="0">
      <w:start w:val="2"/>
      <w:numFmt w:val="chineseCounting"/>
      <w:suff w:val="space"/>
      <w:lvlText w:val="第%1条"/>
      <w:lvlJc w:val="left"/>
      <w:pPr>
        <w:ind w:left="488"/>
      </w:pPr>
      <w:rPr>
        <w:rFonts w:hint="eastAsia"/>
      </w:rPr>
    </w:lvl>
  </w:abstractNum>
  <w:abstractNum w:abstractNumId="24">
    <w:nsid w:val="2365EF63"/>
    <w:multiLevelType w:val="singleLevel"/>
    <w:tmpl w:val="2365EF63"/>
    <w:lvl w:ilvl="0" w:tentative="0">
      <w:start w:val="1"/>
      <w:numFmt w:val="chineseCounting"/>
      <w:suff w:val="nothing"/>
      <w:lvlText w:val="%1、"/>
      <w:lvlJc w:val="left"/>
      <w:rPr>
        <w:rFonts w:hint="eastAsia"/>
      </w:rPr>
    </w:lvl>
  </w:abstractNum>
  <w:abstractNum w:abstractNumId="25">
    <w:nsid w:val="2C5917C3"/>
    <w:multiLevelType w:val="multilevel"/>
    <w:tmpl w:val="2C5917C3"/>
    <w:lvl w:ilvl="0" w:tentative="0">
      <w:start w:val="1"/>
      <w:numFmt w:val="none"/>
      <w:pStyle w:val="167"/>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6">
    <w:nsid w:val="2F3E174F"/>
    <w:multiLevelType w:val="singleLevel"/>
    <w:tmpl w:val="2F3E174F"/>
    <w:lvl w:ilvl="0" w:tentative="0">
      <w:start w:val="1"/>
      <w:numFmt w:val="decimal"/>
      <w:suff w:val="nothing"/>
      <w:lvlText w:val="%1、"/>
      <w:lvlJc w:val="left"/>
    </w:lvl>
  </w:abstractNum>
  <w:abstractNum w:abstractNumId="27">
    <w:nsid w:val="30ED50ED"/>
    <w:multiLevelType w:val="singleLevel"/>
    <w:tmpl w:val="30ED50ED"/>
    <w:lvl w:ilvl="0" w:tentative="0">
      <w:start w:val="1"/>
      <w:numFmt w:val="decimal"/>
      <w:suff w:val="space"/>
      <w:lvlText w:val="%1."/>
      <w:lvlJc w:val="left"/>
      <w:rPr>
        <w:rFonts w:hint="default"/>
        <w:sz w:val="32"/>
        <w:szCs w:val="32"/>
      </w:rPr>
    </w:lvl>
  </w:abstractNum>
  <w:abstractNum w:abstractNumId="28">
    <w:nsid w:val="3228F246"/>
    <w:multiLevelType w:val="singleLevel"/>
    <w:tmpl w:val="3228F246"/>
    <w:lvl w:ilvl="0" w:tentative="0">
      <w:start w:val="2"/>
      <w:numFmt w:val="chineseCounting"/>
      <w:suff w:val="nothing"/>
      <w:lvlText w:val="（%1）"/>
      <w:lvlJc w:val="left"/>
      <w:rPr>
        <w:rFonts w:hint="eastAsia"/>
      </w:rPr>
    </w:lvl>
  </w:abstractNum>
  <w:abstractNum w:abstractNumId="29">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0">
    <w:nsid w:val="44785355"/>
    <w:multiLevelType w:val="singleLevel"/>
    <w:tmpl w:val="44785355"/>
    <w:lvl w:ilvl="0" w:tentative="0">
      <w:start w:val="1"/>
      <w:numFmt w:val="decimal"/>
      <w:suff w:val="space"/>
      <w:lvlText w:val="%1."/>
      <w:lvlJc w:val="left"/>
    </w:lvl>
  </w:abstractNum>
  <w:abstractNum w:abstractNumId="31">
    <w:nsid w:val="45F06F31"/>
    <w:multiLevelType w:val="singleLevel"/>
    <w:tmpl w:val="45F06F31"/>
    <w:lvl w:ilvl="0" w:tentative="0">
      <w:start w:val="2"/>
      <w:numFmt w:val="chineseCounting"/>
      <w:suff w:val="space"/>
      <w:lvlText w:val="第%1章"/>
      <w:lvlJc w:val="left"/>
      <w:rPr>
        <w:rFonts w:hint="eastAsia"/>
      </w:rPr>
    </w:lvl>
  </w:abstractNum>
  <w:abstractNum w:abstractNumId="32">
    <w:nsid w:val="4AFAAA9C"/>
    <w:multiLevelType w:val="singleLevel"/>
    <w:tmpl w:val="4AFAAA9C"/>
    <w:lvl w:ilvl="0" w:tentative="0">
      <w:start w:val="1"/>
      <w:numFmt w:val="chineseCounting"/>
      <w:suff w:val="nothing"/>
      <w:lvlText w:val="（%1）"/>
      <w:lvlJc w:val="left"/>
      <w:rPr>
        <w:rFonts w:hint="eastAsia"/>
      </w:rPr>
    </w:lvl>
  </w:abstractNum>
  <w:abstractNum w:abstractNumId="33">
    <w:nsid w:val="4BF5DF54"/>
    <w:multiLevelType w:val="singleLevel"/>
    <w:tmpl w:val="4BF5DF54"/>
    <w:lvl w:ilvl="0" w:tentative="0">
      <w:start w:val="1"/>
      <w:numFmt w:val="upperLetter"/>
      <w:suff w:val="nothing"/>
      <w:lvlText w:val="%1．"/>
      <w:lvlJc w:val="left"/>
    </w:lvl>
  </w:abstractNum>
  <w:abstractNum w:abstractNumId="34">
    <w:nsid w:val="51CE1322"/>
    <w:multiLevelType w:val="multilevel"/>
    <w:tmpl w:val="51CE1322"/>
    <w:lvl w:ilvl="0" w:tentative="0">
      <w:start w:val="1"/>
      <w:numFmt w:val="japaneseCounting"/>
      <w:lvlText w:val="%1、"/>
      <w:lvlJc w:val="left"/>
      <w:pPr>
        <w:ind w:left="1430" w:hanging="720"/>
      </w:pPr>
      <w:rPr>
        <w:rFonts w:hint="default"/>
      </w:rPr>
    </w:lvl>
    <w:lvl w:ilvl="1" w:tentative="0">
      <w:start w:val="1"/>
      <w:numFmt w:val="japaneseCounting"/>
      <w:lvlText w:val="（%2）"/>
      <w:lvlJc w:val="left"/>
      <w:pPr>
        <w:ind w:left="1850" w:hanging="720"/>
      </w:pPr>
      <w:rPr>
        <w:rFonts w:hint="default"/>
      </w:r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5">
    <w:nsid w:val="5861427B"/>
    <w:multiLevelType w:val="singleLevel"/>
    <w:tmpl w:val="5861427B"/>
    <w:lvl w:ilvl="0" w:tentative="0">
      <w:start w:val="1"/>
      <w:numFmt w:val="chineseCounting"/>
      <w:suff w:val="space"/>
      <w:lvlText w:val="第%1章"/>
      <w:lvlJc w:val="left"/>
      <w:rPr>
        <w:rFonts w:hint="eastAsia"/>
      </w:r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17CB86B"/>
    <w:multiLevelType w:val="singleLevel"/>
    <w:tmpl w:val="617CB86B"/>
    <w:lvl w:ilvl="0" w:tentative="0">
      <w:start w:val="1"/>
      <w:numFmt w:val="decimal"/>
      <w:suff w:val="nothing"/>
      <w:lvlText w:val="%1、"/>
      <w:lvlJc w:val="left"/>
    </w:lvl>
  </w:abstractNum>
  <w:abstractNum w:abstractNumId="38">
    <w:nsid w:val="618B38A4"/>
    <w:multiLevelType w:val="singleLevel"/>
    <w:tmpl w:val="618B38A4"/>
    <w:lvl w:ilvl="0" w:tentative="0">
      <w:start w:val="1"/>
      <w:numFmt w:val="decimal"/>
      <w:suff w:val="nothing"/>
      <w:lvlText w:val="%1."/>
      <w:lvlJc w:val="left"/>
    </w:lvl>
  </w:abstractNum>
  <w:abstractNum w:abstractNumId="39">
    <w:nsid w:val="619C9442"/>
    <w:multiLevelType w:val="singleLevel"/>
    <w:tmpl w:val="619C9442"/>
    <w:lvl w:ilvl="0" w:tentative="0">
      <w:start w:val="2"/>
      <w:numFmt w:val="chineseCounting"/>
      <w:suff w:val="nothing"/>
      <w:lvlText w:val="（%1）"/>
      <w:lvlJc w:val="left"/>
    </w:lvl>
  </w:abstractNum>
  <w:abstractNum w:abstractNumId="40">
    <w:nsid w:val="619EE84C"/>
    <w:multiLevelType w:val="multilevel"/>
    <w:tmpl w:val="619EE84C"/>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619EEA3E"/>
    <w:multiLevelType w:val="singleLevel"/>
    <w:tmpl w:val="619EEA3E"/>
    <w:lvl w:ilvl="0" w:tentative="0">
      <w:start w:val="6"/>
      <w:numFmt w:val="chineseCounting"/>
      <w:suff w:val="space"/>
      <w:lvlText w:val="第%1条"/>
      <w:lvlJc w:val="left"/>
    </w:lvl>
  </w:abstractNum>
  <w:abstractNum w:abstractNumId="42">
    <w:nsid w:val="619EFCC8"/>
    <w:multiLevelType w:val="multilevel"/>
    <w:tmpl w:val="619EFCC8"/>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61A4C609"/>
    <w:multiLevelType w:val="singleLevel"/>
    <w:tmpl w:val="61A4C609"/>
    <w:lvl w:ilvl="0" w:tentative="0">
      <w:start w:val="1"/>
      <w:numFmt w:val="decimal"/>
      <w:suff w:val="nothing"/>
      <w:lvlText w:val="%1、"/>
      <w:lvlJc w:val="left"/>
    </w:lvl>
  </w:abstractNum>
  <w:abstractNum w:abstractNumId="44">
    <w:nsid w:val="61A5BF11"/>
    <w:multiLevelType w:val="multilevel"/>
    <w:tmpl w:val="61A5BF11"/>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5">
    <w:nsid w:val="61A5F368"/>
    <w:multiLevelType w:val="multilevel"/>
    <w:tmpl w:val="61A5F368"/>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46">
    <w:nsid w:val="61A5F373"/>
    <w:multiLevelType w:val="multilevel"/>
    <w:tmpl w:val="61A5F373"/>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7">
    <w:nsid w:val="61A5F37E"/>
    <w:multiLevelType w:val="multilevel"/>
    <w:tmpl w:val="61A5F37E"/>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61A5F389"/>
    <w:multiLevelType w:val="multilevel"/>
    <w:tmpl w:val="61A5F389"/>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49">
    <w:nsid w:val="61A5F394"/>
    <w:multiLevelType w:val="multilevel"/>
    <w:tmpl w:val="61A5F394"/>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50">
    <w:nsid w:val="61A5F39F"/>
    <w:multiLevelType w:val="multilevel"/>
    <w:tmpl w:val="61A5F39F"/>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51">
    <w:nsid w:val="61A5F3AA"/>
    <w:multiLevelType w:val="multilevel"/>
    <w:tmpl w:val="61A5F3AA"/>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1A5F3B5"/>
    <w:multiLevelType w:val="multilevel"/>
    <w:tmpl w:val="61A5F3B5"/>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53">
    <w:nsid w:val="61A5F3C0"/>
    <w:multiLevelType w:val="multilevel"/>
    <w:tmpl w:val="61A5F3C0"/>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4">
    <w:nsid w:val="61A5F3CB"/>
    <w:multiLevelType w:val="multilevel"/>
    <w:tmpl w:val="61A5F3CB"/>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55">
    <w:nsid w:val="61A5F3D6"/>
    <w:multiLevelType w:val="multilevel"/>
    <w:tmpl w:val="61A5F3D6"/>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6">
    <w:nsid w:val="61A5F3E1"/>
    <w:multiLevelType w:val="multilevel"/>
    <w:tmpl w:val="61A5F3E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1A5F3EC"/>
    <w:multiLevelType w:val="multilevel"/>
    <w:tmpl w:val="61A5F3EC"/>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8">
    <w:nsid w:val="61A5F3F7"/>
    <w:multiLevelType w:val="multilevel"/>
    <w:tmpl w:val="61A5F3F7"/>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59">
    <w:nsid w:val="61A5F402"/>
    <w:multiLevelType w:val="multilevel"/>
    <w:tmpl w:val="61A5F402"/>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0">
    <w:nsid w:val="61A5F40D"/>
    <w:multiLevelType w:val="multilevel"/>
    <w:tmpl w:val="61A5F40D"/>
    <w:lvl w:ilvl="0" w:tentative="0">
      <w:start w:val="1"/>
      <w:numFmt w:val="decimal"/>
      <w:lvlText w:val="%1."/>
      <w:lvlJc w:val="left"/>
      <w:pPr>
        <w:ind w:left="958" w:hanging="420"/>
      </w:pPr>
    </w:lvl>
    <w:lvl w:ilvl="1" w:tentative="0">
      <w:start w:val="1"/>
      <w:numFmt w:val="chineseCountingThousand"/>
      <w:lvlText w:val="%2、"/>
      <w:lvlJc w:val="left"/>
      <w:pPr>
        <w:ind w:left="1271"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1">
    <w:nsid w:val="61A5F418"/>
    <w:multiLevelType w:val="multilevel"/>
    <w:tmpl w:val="61A5F418"/>
    <w:lvl w:ilvl="0" w:tentative="0">
      <w:start w:val="1"/>
      <w:numFmt w:val="japaneseCounting"/>
      <w:lvlText w:val="%1、"/>
      <w:lvlJc w:val="left"/>
      <w:pPr>
        <w:ind w:left="1715"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2">
    <w:nsid w:val="61A5F423"/>
    <w:multiLevelType w:val="multilevel"/>
    <w:tmpl w:val="61A5F423"/>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63">
    <w:nsid w:val="61A5F42E"/>
    <w:multiLevelType w:val="multilevel"/>
    <w:tmpl w:val="61A5F42E"/>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4">
    <w:nsid w:val="61A5F439"/>
    <w:multiLevelType w:val="multilevel"/>
    <w:tmpl w:val="61A5F439"/>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5">
    <w:nsid w:val="61A5F444"/>
    <w:multiLevelType w:val="multilevel"/>
    <w:tmpl w:val="61A5F444"/>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6">
    <w:nsid w:val="61A5F450"/>
    <w:multiLevelType w:val="multilevel"/>
    <w:tmpl w:val="61A5F450"/>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61A5F45B"/>
    <w:multiLevelType w:val="multilevel"/>
    <w:tmpl w:val="61A5F45B"/>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68">
    <w:nsid w:val="61A5F466"/>
    <w:multiLevelType w:val="multilevel"/>
    <w:tmpl w:val="61A5F466"/>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9">
    <w:nsid w:val="61A5F471"/>
    <w:multiLevelType w:val="multilevel"/>
    <w:tmpl w:val="61A5F471"/>
    <w:lvl w:ilvl="0" w:tentative="0">
      <w:start w:val="1"/>
      <w:numFmt w:val="japaneseCounting"/>
      <w:lvlText w:val="（%1）"/>
      <w:lvlJc w:val="left"/>
      <w:pPr>
        <w:ind w:left="3123"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70">
    <w:nsid w:val="61A5F47C"/>
    <w:multiLevelType w:val="multilevel"/>
    <w:tmpl w:val="61A5F47C"/>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71">
    <w:nsid w:val="61A5F487"/>
    <w:multiLevelType w:val="multilevel"/>
    <w:tmpl w:val="61A5F487"/>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72">
    <w:nsid w:val="61A5F492"/>
    <w:multiLevelType w:val="multilevel"/>
    <w:tmpl w:val="61A5F492"/>
    <w:lvl w:ilvl="0" w:tentative="0">
      <w:start w:val="1"/>
      <w:numFmt w:val="chineseCountingThousand"/>
      <w:lvlText w:val="%1、"/>
      <w:lvlJc w:val="left"/>
      <w:pPr>
        <w:ind w:left="1270" w:hanging="420"/>
      </w:p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73">
    <w:nsid w:val="667732F4"/>
    <w:multiLevelType w:val="singleLevel"/>
    <w:tmpl w:val="667732F4"/>
    <w:lvl w:ilvl="0" w:tentative="0">
      <w:start w:val="1"/>
      <w:numFmt w:val="chineseCounting"/>
      <w:suff w:val="space"/>
      <w:lvlText w:val="第%1章"/>
      <w:lvlJc w:val="left"/>
      <w:rPr>
        <w:rFonts w:hint="eastAsia"/>
      </w:rPr>
    </w:lvl>
  </w:abstractNum>
  <w:abstractNum w:abstractNumId="74">
    <w:nsid w:val="6900E7BF"/>
    <w:multiLevelType w:val="singleLevel"/>
    <w:tmpl w:val="6900E7BF"/>
    <w:lvl w:ilvl="0" w:tentative="0">
      <w:start w:val="1"/>
      <w:numFmt w:val="decimal"/>
      <w:suff w:val="space"/>
      <w:lvlText w:val="%1."/>
      <w:lvlJc w:val="left"/>
    </w:lvl>
  </w:abstractNum>
  <w:abstractNum w:abstractNumId="75">
    <w:nsid w:val="75A382A3"/>
    <w:multiLevelType w:val="singleLevel"/>
    <w:tmpl w:val="75A382A3"/>
    <w:lvl w:ilvl="0" w:tentative="0">
      <w:start w:val="1"/>
      <w:numFmt w:val="decimal"/>
      <w:suff w:val="space"/>
      <w:lvlText w:val="%1."/>
      <w:lvlJc w:val="left"/>
    </w:lvl>
  </w:abstractNum>
  <w:abstractNum w:abstractNumId="76">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3"/>
  </w:num>
  <w:num w:numId="2">
    <w:abstractNumId w:val="12"/>
  </w:num>
  <w:num w:numId="3">
    <w:abstractNumId w:val="11"/>
  </w:num>
  <w:num w:numId="4">
    <w:abstractNumId w:val="25"/>
  </w:num>
  <w:num w:numId="5">
    <w:abstractNumId w:val="13"/>
    <w:lvlOverride w:ilvl="0">
      <w:startOverride w:val="1"/>
    </w:lvlOverride>
  </w:num>
  <w:num w:numId="6">
    <w:abstractNumId w:val="45"/>
    <w:lvlOverride w:ilvl="0">
      <w:startOverride w:val="1"/>
    </w:lvlOverride>
  </w:num>
  <w:num w:numId="7">
    <w:abstractNumId w:val="46"/>
    <w:lvlOverride w:ilvl="1">
      <w:startOverride w:val="1"/>
    </w:lvlOverride>
  </w:num>
  <w:num w:numId="8">
    <w:abstractNumId w:val="44"/>
  </w:num>
  <w:num w:numId="9">
    <w:abstractNumId w:val="13"/>
    <w:lvlOverride w:ilvl="1">
      <w:startOverride w:val="1"/>
    </w:lvlOverride>
  </w:num>
  <w:num w:numId="10">
    <w:abstractNumId w:val="47"/>
    <w:lvlOverride w:ilvl="0">
      <w:startOverride w:val="1"/>
    </w:lvlOverride>
  </w:num>
  <w:num w:numId="11">
    <w:abstractNumId w:val="13"/>
    <w:lvlOverride w:ilvl="2">
      <w:startOverride w:val="1"/>
    </w:lvlOverride>
  </w:num>
  <w:num w:numId="12">
    <w:abstractNumId w:val="48"/>
    <w:lvlOverride w:ilvl="0">
      <w:startOverride w:val="1"/>
    </w:lvlOverride>
  </w:num>
  <w:num w:numId="13">
    <w:abstractNumId w:val="49"/>
    <w:lvlOverride w:ilvl="0">
      <w:startOverride w:val="1"/>
    </w:lvlOverride>
  </w:num>
  <w:num w:numId="14">
    <w:abstractNumId w:val="40"/>
  </w:num>
  <w:num w:numId="15">
    <w:abstractNumId w:val="50"/>
    <w:lvlOverride w:ilvl="0">
      <w:startOverride w:val="1"/>
    </w:lvlOverride>
  </w:num>
  <w:num w:numId="16">
    <w:abstractNumId w:val="51"/>
    <w:lvlOverride w:ilvl="1">
      <w:startOverride w:val="1"/>
    </w:lvlOverride>
  </w:num>
  <w:num w:numId="17">
    <w:abstractNumId w:val="52"/>
    <w:lvlOverride w:ilvl="0">
      <w:startOverride w:val="1"/>
    </w:lvlOverride>
  </w:num>
  <w:num w:numId="18">
    <w:abstractNumId w:val="53"/>
    <w:lvlOverride w:ilvl="0">
      <w:startOverride w:val="1"/>
    </w:lvlOverride>
  </w:num>
  <w:num w:numId="19">
    <w:abstractNumId w:val="54"/>
    <w:lvlOverride w:ilvl="0">
      <w:startOverride w:val="1"/>
    </w:lvlOverride>
  </w:num>
  <w:num w:numId="20">
    <w:abstractNumId w:val="42"/>
  </w:num>
  <w:num w:numId="21">
    <w:abstractNumId w:val="29"/>
  </w:num>
  <w:num w:numId="22">
    <w:abstractNumId w:val="55"/>
    <w:lvlOverride w:ilvl="0">
      <w:startOverride w:val="1"/>
    </w:lvlOverride>
  </w:num>
  <w:num w:numId="23">
    <w:abstractNumId w:val="56"/>
    <w:lvlOverride w:ilvl="0">
      <w:startOverride w:val="1"/>
    </w:lvlOverride>
  </w:num>
  <w:num w:numId="24">
    <w:abstractNumId w:val="57"/>
    <w:lvlOverride w:ilvl="0">
      <w:startOverride w:val="1"/>
    </w:lvlOverride>
  </w:num>
  <w:num w:numId="25">
    <w:abstractNumId w:val="58"/>
    <w:lvlOverride w:ilvl="0">
      <w:startOverride w:val="1"/>
    </w:lvlOverride>
  </w:num>
  <w:num w:numId="26">
    <w:abstractNumId w:val="59"/>
    <w:lvlOverride w:ilvl="0">
      <w:startOverride w:val="1"/>
    </w:lvlOverride>
  </w:num>
  <w:num w:numId="27">
    <w:abstractNumId w:val="21"/>
  </w:num>
  <w:num w:numId="28">
    <w:abstractNumId w:val="13"/>
    <w:lvlOverride w:ilvl="3">
      <w:startOverride w:val="1"/>
    </w:lvlOverride>
  </w:num>
  <w:num w:numId="29">
    <w:abstractNumId w:val="60"/>
    <w:lvlOverride w:ilvl="1">
      <w:startOverride w:val="1"/>
    </w:lvlOverride>
  </w:num>
  <w:num w:numId="30">
    <w:abstractNumId w:val="61"/>
    <w:lvlOverride w:ilvl="0">
      <w:startOverride w:val="1"/>
    </w:lvlOverride>
  </w:num>
  <w:num w:numId="31">
    <w:abstractNumId w:val="62"/>
    <w:lvlOverride w:ilvl="1">
      <w:startOverride w:val="1"/>
    </w:lvlOverride>
  </w:num>
  <w:num w:numId="32">
    <w:abstractNumId w:val="63"/>
    <w:lvlOverride w:ilvl="2">
      <w:startOverride w:val="1"/>
    </w:lvlOverride>
  </w:num>
  <w:num w:numId="33">
    <w:abstractNumId w:val="64"/>
    <w:lvlOverride w:ilvl="0">
      <w:startOverride w:val="1"/>
    </w:lvlOverride>
  </w:num>
  <w:num w:numId="34">
    <w:abstractNumId w:val="65"/>
    <w:lvlOverride w:ilvl="1">
      <w:startOverride w:val="1"/>
    </w:lvlOverride>
  </w:num>
  <w:num w:numId="35">
    <w:abstractNumId w:val="3"/>
  </w:num>
  <w:num w:numId="36">
    <w:abstractNumId w:val="34"/>
  </w:num>
  <w:num w:numId="37">
    <w:abstractNumId w:val="28"/>
  </w:num>
  <w:num w:numId="38">
    <w:abstractNumId w:val="8"/>
  </w:num>
  <w:num w:numId="39">
    <w:abstractNumId w:val="2"/>
  </w:num>
  <w:num w:numId="40">
    <w:abstractNumId w:val="22"/>
  </w:num>
  <w:num w:numId="41">
    <w:abstractNumId w:val="32"/>
  </w:num>
  <w:num w:numId="42">
    <w:abstractNumId w:val="39"/>
  </w:num>
  <w:num w:numId="43">
    <w:abstractNumId w:val="9"/>
  </w:num>
  <w:num w:numId="44">
    <w:abstractNumId w:val="6"/>
  </w:num>
  <w:num w:numId="45">
    <w:abstractNumId w:val="1"/>
  </w:num>
  <w:num w:numId="46">
    <w:abstractNumId w:val="31"/>
  </w:num>
  <w:num w:numId="47">
    <w:abstractNumId w:val="27"/>
  </w:num>
  <w:num w:numId="48">
    <w:abstractNumId w:val="14"/>
  </w:num>
  <w:num w:numId="49">
    <w:abstractNumId w:val="74"/>
  </w:num>
  <w:num w:numId="50">
    <w:abstractNumId w:val="15"/>
  </w:num>
  <w:num w:numId="51">
    <w:abstractNumId w:val="19"/>
  </w:num>
  <w:num w:numId="52">
    <w:abstractNumId w:val="26"/>
  </w:num>
  <w:num w:numId="53">
    <w:abstractNumId w:val="24"/>
  </w:num>
  <w:num w:numId="54">
    <w:abstractNumId w:val="75"/>
  </w:num>
  <w:num w:numId="55">
    <w:abstractNumId w:val="16"/>
  </w:num>
  <w:num w:numId="56">
    <w:abstractNumId w:val="20"/>
  </w:num>
  <w:num w:numId="57">
    <w:abstractNumId w:val="35"/>
  </w:num>
  <w:num w:numId="58">
    <w:abstractNumId w:val="23"/>
  </w:num>
  <w:num w:numId="59">
    <w:abstractNumId w:val="7"/>
  </w:num>
  <w:num w:numId="60">
    <w:abstractNumId w:val="4"/>
  </w:num>
  <w:num w:numId="61">
    <w:abstractNumId w:val="33"/>
  </w:num>
  <w:num w:numId="62">
    <w:abstractNumId w:val="5"/>
  </w:num>
  <w:num w:numId="63">
    <w:abstractNumId w:val="0"/>
  </w:num>
  <w:num w:numId="64">
    <w:abstractNumId w:val="17"/>
  </w:num>
  <w:num w:numId="65">
    <w:abstractNumId w:val="73"/>
  </w:num>
  <w:num w:numId="66">
    <w:abstractNumId w:val="18"/>
  </w:num>
  <w:num w:numId="67">
    <w:abstractNumId w:val="37"/>
  </w:num>
  <w:num w:numId="68">
    <w:abstractNumId w:val="38"/>
  </w:num>
  <w:num w:numId="69">
    <w:abstractNumId w:val="10"/>
  </w:num>
  <w:num w:numId="70">
    <w:abstractNumId w:val="41"/>
  </w:num>
  <w:num w:numId="71">
    <w:abstractNumId w:val="66"/>
    <w:lvlOverride w:ilvl="1">
      <w:startOverride w:val="1"/>
    </w:lvlOverride>
  </w:num>
  <w:num w:numId="72">
    <w:abstractNumId w:val="67"/>
    <w:lvlOverride w:ilvl="0">
      <w:startOverride w:val="1"/>
    </w:lvlOverride>
  </w:num>
  <w:num w:numId="73">
    <w:abstractNumId w:val="68"/>
    <w:lvlOverride w:ilvl="0">
      <w:startOverride w:val="1"/>
    </w:lvlOverride>
  </w:num>
  <w:num w:numId="74">
    <w:abstractNumId w:val="69"/>
    <w:lvlOverride w:ilvl="0">
      <w:startOverride w:val="1"/>
    </w:lvlOverride>
  </w:num>
  <w:num w:numId="75">
    <w:abstractNumId w:val="30"/>
  </w:num>
  <w:num w:numId="76">
    <w:abstractNumId w:val="70"/>
    <w:lvlOverride w:ilvl="0">
      <w:startOverride w:val="1"/>
    </w:lvlOverride>
  </w:num>
  <w:num w:numId="77">
    <w:abstractNumId w:val="71"/>
    <w:lvlOverride w:ilvl="0">
      <w:startOverride w:val="1"/>
    </w:lvlOverride>
  </w:num>
  <w:num w:numId="78">
    <w:abstractNumId w:val="43"/>
  </w:num>
  <w:num w:numId="79">
    <w:abstractNumId w:val="72"/>
    <w:lvlOverride w:ilvl="0">
      <w:startOverride w:val="1"/>
    </w:lvlOverride>
  </w:num>
  <w:num w:numId="80">
    <w:abstractNumId w:val="76"/>
  </w:num>
  <w:num w:numId="8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1662B"/>
    <w:rsid w:val="000174E4"/>
    <w:rsid w:val="0002126F"/>
    <w:rsid w:val="0002424F"/>
    <w:rsid w:val="00025A57"/>
    <w:rsid w:val="00026529"/>
    <w:rsid w:val="00026535"/>
    <w:rsid w:val="00026B21"/>
    <w:rsid w:val="00027703"/>
    <w:rsid w:val="0003136B"/>
    <w:rsid w:val="00033F49"/>
    <w:rsid w:val="0003438F"/>
    <w:rsid w:val="00045F57"/>
    <w:rsid w:val="00051C0A"/>
    <w:rsid w:val="0005344D"/>
    <w:rsid w:val="000610AF"/>
    <w:rsid w:val="0006474F"/>
    <w:rsid w:val="00065981"/>
    <w:rsid w:val="000713C0"/>
    <w:rsid w:val="00072234"/>
    <w:rsid w:val="00074521"/>
    <w:rsid w:val="000777D1"/>
    <w:rsid w:val="0008655E"/>
    <w:rsid w:val="00086E37"/>
    <w:rsid w:val="00092D67"/>
    <w:rsid w:val="000A0B0A"/>
    <w:rsid w:val="000A1D3B"/>
    <w:rsid w:val="000A4B6A"/>
    <w:rsid w:val="000A5233"/>
    <w:rsid w:val="000B2356"/>
    <w:rsid w:val="000B33FA"/>
    <w:rsid w:val="000B3D82"/>
    <w:rsid w:val="000B43E4"/>
    <w:rsid w:val="000B6A1D"/>
    <w:rsid w:val="000C688A"/>
    <w:rsid w:val="000C6C5E"/>
    <w:rsid w:val="000C7BCC"/>
    <w:rsid w:val="000D268F"/>
    <w:rsid w:val="000D722D"/>
    <w:rsid w:val="000D75ED"/>
    <w:rsid w:val="000E0284"/>
    <w:rsid w:val="000E3112"/>
    <w:rsid w:val="000F5178"/>
    <w:rsid w:val="000F546F"/>
    <w:rsid w:val="000F554C"/>
    <w:rsid w:val="000F59D2"/>
    <w:rsid w:val="00100866"/>
    <w:rsid w:val="00101BE9"/>
    <w:rsid w:val="0010265F"/>
    <w:rsid w:val="00103A52"/>
    <w:rsid w:val="001108D6"/>
    <w:rsid w:val="00110A0B"/>
    <w:rsid w:val="00120D30"/>
    <w:rsid w:val="001346A7"/>
    <w:rsid w:val="00152860"/>
    <w:rsid w:val="001565CC"/>
    <w:rsid w:val="00161402"/>
    <w:rsid w:val="0016758C"/>
    <w:rsid w:val="00167755"/>
    <w:rsid w:val="00167B1D"/>
    <w:rsid w:val="0017400D"/>
    <w:rsid w:val="00175BA2"/>
    <w:rsid w:val="00183360"/>
    <w:rsid w:val="00186F16"/>
    <w:rsid w:val="00187861"/>
    <w:rsid w:val="0019367D"/>
    <w:rsid w:val="001968B4"/>
    <w:rsid w:val="001A18E5"/>
    <w:rsid w:val="001B1D79"/>
    <w:rsid w:val="001B7C8D"/>
    <w:rsid w:val="001C02C9"/>
    <w:rsid w:val="001C5E7E"/>
    <w:rsid w:val="001D54DB"/>
    <w:rsid w:val="001D56CD"/>
    <w:rsid w:val="001E3CAD"/>
    <w:rsid w:val="001E7017"/>
    <w:rsid w:val="001F0037"/>
    <w:rsid w:val="001F0E31"/>
    <w:rsid w:val="001F19C5"/>
    <w:rsid w:val="001F4627"/>
    <w:rsid w:val="001F6251"/>
    <w:rsid w:val="001F73B0"/>
    <w:rsid w:val="00201633"/>
    <w:rsid w:val="00202454"/>
    <w:rsid w:val="0020287B"/>
    <w:rsid w:val="00203649"/>
    <w:rsid w:val="0020671B"/>
    <w:rsid w:val="002067B1"/>
    <w:rsid w:val="0021701C"/>
    <w:rsid w:val="00220DA3"/>
    <w:rsid w:val="00222D10"/>
    <w:rsid w:val="0022692C"/>
    <w:rsid w:val="00255928"/>
    <w:rsid w:val="00262433"/>
    <w:rsid w:val="00265BDE"/>
    <w:rsid w:val="00277F16"/>
    <w:rsid w:val="00280E6A"/>
    <w:rsid w:val="00295F97"/>
    <w:rsid w:val="0029697C"/>
    <w:rsid w:val="002A261C"/>
    <w:rsid w:val="002A3A1C"/>
    <w:rsid w:val="002B1434"/>
    <w:rsid w:val="002B2023"/>
    <w:rsid w:val="002C6672"/>
    <w:rsid w:val="002C764F"/>
    <w:rsid w:val="002D02C0"/>
    <w:rsid w:val="002D11D5"/>
    <w:rsid w:val="002E123D"/>
    <w:rsid w:val="002E236A"/>
    <w:rsid w:val="002E4596"/>
    <w:rsid w:val="002E4801"/>
    <w:rsid w:val="002F26D2"/>
    <w:rsid w:val="002F4342"/>
    <w:rsid w:val="002F6F67"/>
    <w:rsid w:val="0030035A"/>
    <w:rsid w:val="00300CA1"/>
    <w:rsid w:val="0030225B"/>
    <w:rsid w:val="003025FE"/>
    <w:rsid w:val="00305097"/>
    <w:rsid w:val="003053DA"/>
    <w:rsid w:val="0031394D"/>
    <w:rsid w:val="0031411F"/>
    <w:rsid w:val="00316913"/>
    <w:rsid w:val="0032282D"/>
    <w:rsid w:val="00323C1A"/>
    <w:rsid w:val="00340235"/>
    <w:rsid w:val="003420BA"/>
    <w:rsid w:val="00342B69"/>
    <w:rsid w:val="00346403"/>
    <w:rsid w:val="00346943"/>
    <w:rsid w:val="003514B8"/>
    <w:rsid w:val="0035201E"/>
    <w:rsid w:val="00354EA2"/>
    <w:rsid w:val="003623D7"/>
    <w:rsid w:val="00363C67"/>
    <w:rsid w:val="003646B9"/>
    <w:rsid w:val="00370D4D"/>
    <w:rsid w:val="003710A5"/>
    <w:rsid w:val="00371B12"/>
    <w:rsid w:val="00372ECF"/>
    <w:rsid w:val="00374619"/>
    <w:rsid w:val="00383D6E"/>
    <w:rsid w:val="00391A87"/>
    <w:rsid w:val="00392E65"/>
    <w:rsid w:val="003944EB"/>
    <w:rsid w:val="003A09B9"/>
    <w:rsid w:val="003A4409"/>
    <w:rsid w:val="003A7FD2"/>
    <w:rsid w:val="003B0AE5"/>
    <w:rsid w:val="003B1162"/>
    <w:rsid w:val="003B256D"/>
    <w:rsid w:val="003B317D"/>
    <w:rsid w:val="003B5C98"/>
    <w:rsid w:val="003C2195"/>
    <w:rsid w:val="003C2D62"/>
    <w:rsid w:val="003D27CA"/>
    <w:rsid w:val="003D2A89"/>
    <w:rsid w:val="003D2F7D"/>
    <w:rsid w:val="003D4F92"/>
    <w:rsid w:val="003D7BD8"/>
    <w:rsid w:val="003D7D0F"/>
    <w:rsid w:val="003E2110"/>
    <w:rsid w:val="003E3793"/>
    <w:rsid w:val="003E4B6B"/>
    <w:rsid w:val="003F0236"/>
    <w:rsid w:val="003F0EDE"/>
    <w:rsid w:val="003F222E"/>
    <w:rsid w:val="003F3C42"/>
    <w:rsid w:val="003F50CC"/>
    <w:rsid w:val="003F598B"/>
    <w:rsid w:val="003F6487"/>
    <w:rsid w:val="004013FD"/>
    <w:rsid w:val="004022F4"/>
    <w:rsid w:val="00402344"/>
    <w:rsid w:val="00402D0F"/>
    <w:rsid w:val="00404442"/>
    <w:rsid w:val="004051C9"/>
    <w:rsid w:val="00411516"/>
    <w:rsid w:val="0041221B"/>
    <w:rsid w:val="004134AF"/>
    <w:rsid w:val="004238EB"/>
    <w:rsid w:val="004273F2"/>
    <w:rsid w:val="00430BFF"/>
    <w:rsid w:val="004311E9"/>
    <w:rsid w:val="00431A3C"/>
    <w:rsid w:val="004357C7"/>
    <w:rsid w:val="0043700B"/>
    <w:rsid w:val="00437836"/>
    <w:rsid w:val="00437E6C"/>
    <w:rsid w:val="0044346E"/>
    <w:rsid w:val="00445184"/>
    <w:rsid w:val="00445E0E"/>
    <w:rsid w:val="00446126"/>
    <w:rsid w:val="00447C57"/>
    <w:rsid w:val="004517C9"/>
    <w:rsid w:val="00452ACF"/>
    <w:rsid w:val="00460489"/>
    <w:rsid w:val="00467476"/>
    <w:rsid w:val="0047177D"/>
    <w:rsid w:val="00484CF8"/>
    <w:rsid w:val="00486594"/>
    <w:rsid w:val="00487A84"/>
    <w:rsid w:val="00495010"/>
    <w:rsid w:val="00496797"/>
    <w:rsid w:val="00497555"/>
    <w:rsid w:val="004A4458"/>
    <w:rsid w:val="004A5EC3"/>
    <w:rsid w:val="004B06E4"/>
    <w:rsid w:val="004B1CA7"/>
    <w:rsid w:val="004B337C"/>
    <w:rsid w:val="004D1568"/>
    <w:rsid w:val="004D48DE"/>
    <w:rsid w:val="004D599A"/>
    <w:rsid w:val="004E1E1E"/>
    <w:rsid w:val="004E6200"/>
    <w:rsid w:val="004E7635"/>
    <w:rsid w:val="004F1F81"/>
    <w:rsid w:val="004F3133"/>
    <w:rsid w:val="004F4893"/>
    <w:rsid w:val="005029F2"/>
    <w:rsid w:val="00503936"/>
    <w:rsid w:val="00504133"/>
    <w:rsid w:val="00510FC6"/>
    <w:rsid w:val="0052113C"/>
    <w:rsid w:val="00523994"/>
    <w:rsid w:val="00531A79"/>
    <w:rsid w:val="00531B44"/>
    <w:rsid w:val="005430FD"/>
    <w:rsid w:val="005446FD"/>
    <w:rsid w:val="005538C1"/>
    <w:rsid w:val="005569F5"/>
    <w:rsid w:val="00556F88"/>
    <w:rsid w:val="005570C1"/>
    <w:rsid w:val="0056027F"/>
    <w:rsid w:val="00564730"/>
    <w:rsid w:val="00564FA0"/>
    <w:rsid w:val="00567D64"/>
    <w:rsid w:val="0057517B"/>
    <w:rsid w:val="00576E1A"/>
    <w:rsid w:val="00576EE9"/>
    <w:rsid w:val="0057742C"/>
    <w:rsid w:val="005776CC"/>
    <w:rsid w:val="00582B28"/>
    <w:rsid w:val="005830E8"/>
    <w:rsid w:val="0059336C"/>
    <w:rsid w:val="005975EC"/>
    <w:rsid w:val="005A0484"/>
    <w:rsid w:val="005A5831"/>
    <w:rsid w:val="005B41FA"/>
    <w:rsid w:val="005C2589"/>
    <w:rsid w:val="005C3C4F"/>
    <w:rsid w:val="005D055B"/>
    <w:rsid w:val="005D6B69"/>
    <w:rsid w:val="005D7B75"/>
    <w:rsid w:val="005E1230"/>
    <w:rsid w:val="005E123D"/>
    <w:rsid w:val="005E269C"/>
    <w:rsid w:val="005E35EF"/>
    <w:rsid w:val="005E43E2"/>
    <w:rsid w:val="005E599B"/>
    <w:rsid w:val="005F676E"/>
    <w:rsid w:val="005F7685"/>
    <w:rsid w:val="00600377"/>
    <w:rsid w:val="00607F95"/>
    <w:rsid w:val="00611A72"/>
    <w:rsid w:val="00614AFD"/>
    <w:rsid w:val="00620548"/>
    <w:rsid w:val="00624151"/>
    <w:rsid w:val="0063097C"/>
    <w:rsid w:val="0063107A"/>
    <w:rsid w:val="00633F88"/>
    <w:rsid w:val="00634B5C"/>
    <w:rsid w:val="006435DE"/>
    <w:rsid w:val="00645B37"/>
    <w:rsid w:val="006663D9"/>
    <w:rsid w:val="00673C2B"/>
    <w:rsid w:val="0067533C"/>
    <w:rsid w:val="006766EC"/>
    <w:rsid w:val="0067729F"/>
    <w:rsid w:val="0068036F"/>
    <w:rsid w:val="006970C0"/>
    <w:rsid w:val="006A5E19"/>
    <w:rsid w:val="006B4FC1"/>
    <w:rsid w:val="006B54C4"/>
    <w:rsid w:val="006B7421"/>
    <w:rsid w:val="006C10D5"/>
    <w:rsid w:val="006C1FB4"/>
    <w:rsid w:val="006C3900"/>
    <w:rsid w:val="006C4CE8"/>
    <w:rsid w:val="006C7335"/>
    <w:rsid w:val="006D3124"/>
    <w:rsid w:val="006D4AEC"/>
    <w:rsid w:val="006D595F"/>
    <w:rsid w:val="006D6972"/>
    <w:rsid w:val="006E50A2"/>
    <w:rsid w:val="006E6231"/>
    <w:rsid w:val="006F320A"/>
    <w:rsid w:val="006F4B1C"/>
    <w:rsid w:val="006F789F"/>
    <w:rsid w:val="007106A3"/>
    <w:rsid w:val="00713541"/>
    <w:rsid w:val="00715A71"/>
    <w:rsid w:val="00720519"/>
    <w:rsid w:val="00730B24"/>
    <w:rsid w:val="00733724"/>
    <w:rsid w:val="0073414A"/>
    <w:rsid w:val="007345B7"/>
    <w:rsid w:val="0073713B"/>
    <w:rsid w:val="007407F8"/>
    <w:rsid w:val="00743020"/>
    <w:rsid w:val="00744EFD"/>
    <w:rsid w:val="00744F10"/>
    <w:rsid w:val="00750983"/>
    <w:rsid w:val="00756241"/>
    <w:rsid w:val="00760560"/>
    <w:rsid w:val="00761A8D"/>
    <w:rsid w:val="0076602A"/>
    <w:rsid w:val="007754EF"/>
    <w:rsid w:val="00780DA1"/>
    <w:rsid w:val="00780DA4"/>
    <w:rsid w:val="00783D0C"/>
    <w:rsid w:val="00786A79"/>
    <w:rsid w:val="00792287"/>
    <w:rsid w:val="007970C5"/>
    <w:rsid w:val="007B1592"/>
    <w:rsid w:val="007B1DF0"/>
    <w:rsid w:val="007B3969"/>
    <w:rsid w:val="007B3BB8"/>
    <w:rsid w:val="007B4E18"/>
    <w:rsid w:val="007B6E21"/>
    <w:rsid w:val="007C1D34"/>
    <w:rsid w:val="007C41A7"/>
    <w:rsid w:val="007D1114"/>
    <w:rsid w:val="007D5E6F"/>
    <w:rsid w:val="007D69A9"/>
    <w:rsid w:val="007E017C"/>
    <w:rsid w:val="007E14ED"/>
    <w:rsid w:val="007E3C07"/>
    <w:rsid w:val="007F3094"/>
    <w:rsid w:val="007F6422"/>
    <w:rsid w:val="00800943"/>
    <w:rsid w:val="00801195"/>
    <w:rsid w:val="00804D91"/>
    <w:rsid w:val="00812794"/>
    <w:rsid w:val="0081441A"/>
    <w:rsid w:val="0082347A"/>
    <w:rsid w:val="00823DE8"/>
    <w:rsid w:val="00825CAB"/>
    <w:rsid w:val="008266D3"/>
    <w:rsid w:val="00833D36"/>
    <w:rsid w:val="00834A7F"/>
    <w:rsid w:val="0083586D"/>
    <w:rsid w:val="008361D5"/>
    <w:rsid w:val="00843B93"/>
    <w:rsid w:val="00846650"/>
    <w:rsid w:val="00847895"/>
    <w:rsid w:val="00853FEC"/>
    <w:rsid w:val="008567F1"/>
    <w:rsid w:val="00861D7A"/>
    <w:rsid w:val="00865F44"/>
    <w:rsid w:val="008716D3"/>
    <w:rsid w:val="00872312"/>
    <w:rsid w:val="00872B11"/>
    <w:rsid w:val="008835ED"/>
    <w:rsid w:val="008900B3"/>
    <w:rsid w:val="00890F59"/>
    <w:rsid w:val="008956BE"/>
    <w:rsid w:val="0089574F"/>
    <w:rsid w:val="00896A3B"/>
    <w:rsid w:val="008A015F"/>
    <w:rsid w:val="008A0201"/>
    <w:rsid w:val="008A1E44"/>
    <w:rsid w:val="008A2104"/>
    <w:rsid w:val="008A78E9"/>
    <w:rsid w:val="008B25E2"/>
    <w:rsid w:val="008B2E66"/>
    <w:rsid w:val="008B3FCC"/>
    <w:rsid w:val="008C15E6"/>
    <w:rsid w:val="008C7C54"/>
    <w:rsid w:val="008D4D2E"/>
    <w:rsid w:val="008D64BC"/>
    <w:rsid w:val="008E687B"/>
    <w:rsid w:val="008F40CC"/>
    <w:rsid w:val="008F4D64"/>
    <w:rsid w:val="008F77CB"/>
    <w:rsid w:val="00904079"/>
    <w:rsid w:val="009205E7"/>
    <w:rsid w:val="00922252"/>
    <w:rsid w:val="00923918"/>
    <w:rsid w:val="009309A5"/>
    <w:rsid w:val="00932889"/>
    <w:rsid w:val="009358AF"/>
    <w:rsid w:val="00941FD8"/>
    <w:rsid w:val="0094658B"/>
    <w:rsid w:val="00961E7C"/>
    <w:rsid w:val="00962A42"/>
    <w:rsid w:val="00964532"/>
    <w:rsid w:val="0096458D"/>
    <w:rsid w:val="0096528F"/>
    <w:rsid w:val="00965A4C"/>
    <w:rsid w:val="00967937"/>
    <w:rsid w:val="00967C85"/>
    <w:rsid w:val="00970A58"/>
    <w:rsid w:val="00970E2F"/>
    <w:rsid w:val="009710C8"/>
    <w:rsid w:val="0097199C"/>
    <w:rsid w:val="0097213B"/>
    <w:rsid w:val="00990AC6"/>
    <w:rsid w:val="009A15A6"/>
    <w:rsid w:val="009A317C"/>
    <w:rsid w:val="009A5138"/>
    <w:rsid w:val="009B44E4"/>
    <w:rsid w:val="009B74D5"/>
    <w:rsid w:val="009C3BFE"/>
    <w:rsid w:val="009C4CB6"/>
    <w:rsid w:val="009D0BEB"/>
    <w:rsid w:val="009D1302"/>
    <w:rsid w:val="009D1BB3"/>
    <w:rsid w:val="009D2860"/>
    <w:rsid w:val="009D62EA"/>
    <w:rsid w:val="009D78B5"/>
    <w:rsid w:val="009F3945"/>
    <w:rsid w:val="009F54B5"/>
    <w:rsid w:val="00A0136A"/>
    <w:rsid w:val="00A01F37"/>
    <w:rsid w:val="00A0638C"/>
    <w:rsid w:val="00A11BA9"/>
    <w:rsid w:val="00A14A7E"/>
    <w:rsid w:val="00A26121"/>
    <w:rsid w:val="00A26D4A"/>
    <w:rsid w:val="00A3002C"/>
    <w:rsid w:val="00A33268"/>
    <w:rsid w:val="00A35B76"/>
    <w:rsid w:val="00A35F40"/>
    <w:rsid w:val="00A36339"/>
    <w:rsid w:val="00A43C7A"/>
    <w:rsid w:val="00A44684"/>
    <w:rsid w:val="00A446EB"/>
    <w:rsid w:val="00A44FB9"/>
    <w:rsid w:val="00A47DD6"/>
    <w:rsid w:val="00A532C0"/>
    <w:rsid w:val="00A606EE"/>
    <w:rsid w:val="00A62B86"/>
    <w:rsid w:val="00A63656"/>
    <w:rsid w:val="00A752AC"/>
    <w:rsid w:val="00A84F11"/>
    <w:rsid w:val="00A870EB"/>
    <w:rsid w:val="00A87B7C"/>
    <w:rsid w:val="00A90EB2"/>
    <w:rsid w:val="00A916FD"/>
    <w:rsid w:val="00A919C4"/>
    <w:rsid w:val="00A9315A"/>
    <w:rsid w:val="00A94DE0"/>
    <w:rsid w:val="00AA3CE3"/>
    <w:rsid w:val="00AC2F50"/>
    <w:rsid w:val="00AD114C"/>
    <w:rsid w:val="00AE029F"/>
    <w:rsid w:val="00AE1EE1"/>
    <w:rsid w:val="00AE31D5"/>
    <w:rsid w:val="00AE3933"/>
    <w:rsid w:val="00AE3D5D"/>
    <w:rsid w:val="00AE5115"/>
    <w:rsid w:val="00AF04F6"/>
    <w:rsid w:val="00AF344C"/>
    <w:rsid w:val="00AF4CB3"/>
    <w:rsid w:val="00B046CA"/>
    <w:rsid w:val="00B04AFD"/>
    <w:rsid w:val="00B05122"/>
    <w:rsid w:val="00B15863"/>
    <w:rsid w:val="00B15A3D"/>
    <w:rsid w:val="00B21BB0"/>
    <w:rsid w:val="00B21C24"/>
    <w:rsid w:val="00B2508B"/>
    <w:rsid w:val="00B26CE9"/>
    <w:rsid w:val="00B26EAF"/>
    <w:rsid w:val="00B31DA4"/>
    <w:rsid w:val="00B34616"/>
    <w:rsid w:val="00B412D3"/>
    <w:rsid w:val="00B43A7C"/>
    <w:rsid w:val="00B442EE"/>
    <w:rsid w:val="00B51B2E"/>
    <w:rsid w:val="00B53116"/>
    <w:rsid w:val="00B53566"/>
    <w:rsid w:val="00B56BFB"/>
    <w:rsid w:val="00B6046D"/>
    <w:rsid w:val="00B632AD"/>
    <w:rsid w:val="00B63629"/>
    <w:rsid w:val="00B73285"/>
    <w:rsid w:val="00B75DCE"/>
    <w:rsid w:val="00B75E95"/>
    <w:rsid w:val="00B83FE9"/>
    <w:rsid w:val="00B86086"/>
    <w:rsid w:val="00B90F33"/>
    <w:rsid w:val="00B91410"/>
    <w:rsid w:val="00BA3661"/>
    <w:rsid w:val="00BC217F"/>
    <w:rsid w:val="00BD6D61"/>
    <w:rsid w:val="00BD6DE0"/>
    <w:rsid w:val="00BD73C5"/>
    <w:rsid w:val="00BE4117"/>
    <w:rsid w:val="00BE52DB"/>
    <w:rsid w:val="00BE5D06"/>
    <w:rsid w:val="00BE633F"/>
    <w:rsid w:val="00BF1380"/>
    <w:rsid w:val="00BF1B5A"/>
    <w:rsid w:val="00C00004"/>
    <w:rsid w:val="00C04ECC"/>
    <w:rsid w:val="00C0568F"/>
    <w:rsid w:val="00C06090"/>
    <w:rsid w:val="00C1157F"/>
    <w:rsid w:val="00C160C2"/>
    <w:rsid w:val="00C24F42"/>
    <w:rsid w:val="00C346C6"/>
    <w:rsid w:val="00C35095"/>
    <w:rsid w:val="00C35605"/>
    <w:rsid w:val="00C419D6"/>
    <w:rsid w:val="00C43381"/>
    <w:rsid w:val="00C44CBC"/>
    <w:rsid w:val="00C50FEC"/>
    <w:rsid w:val="00C529C0"/>
    <w:rsid w:val="00C61D17"/>
    <w:rsid w:val="00C62C16"/>
    <w:rsid w:val="00C6309B"/>
    <w:rsid w:val="00C71076"/>
    <w:rsid w:val="00C71357"/>
    <w:rsid w:val="00C71725"/>
    <w:rsid w:val="00C74E87"/>
    <w:rsid w:val="00C7520E"/>
    <w:rsid w:val="00C771FF"/>
    <w:rsid w:val="00C80609"/>
    <w:rsid w:val="00C91790"/>
    <w:rsid w:val="00C919FA"/>
    <w:rsid w:val="00CA0318"/>
    <w:rsid w:val="00CA26DF"/>
    <w:rsid w:val="00CA2CC5"/>
    <w:rsid w:val="00CA62AD"/>
    <w:rsid w:val="00CB0C32"/>
    <w:rsid w:val="00CB0D2E"/>
    <w:rsid w:val="00CB22F2"/>
    <w:rsid w:val="00CB2337"/>
    <w:rsid w:val="00CB4707"/>
    <w:rsid w:val="00CB5A9B"/>
    <w:rsid w:val="00CB702E"/>
    <w:rsid w:val="00CB719B"/>
    <w:rsid w:val="00CB74E9"/>
    <w:rsid w:val="00CC1DDC"/>
    <w:rsid w:val="00CC23FE"/>
    <w:rsid w:val="00CC4F5C"/>
    <w:rsid w:val="00CC4F73"/>
    <w:rsid w:val="00CC6F6B"/>
    <w:rsid w:val="00CD0B7F"/>
    <w:rsid w:val="00CD2582"/>
    <w:rsid w:val="00CD54C6"/>
    <w:rsid w:val="00CD5760"/>
    <w:rsid w:val="00CD70F8"/>
    <w:rsid w:val="00CE1CF0"/>
    <w:rsid w:val="00CE2477"/>
    <w:rsid w:val="00CE2669"/>
    <w:rsid w:val="00CE27BD"/>
    <w:rsid w:val="00CE32B7"/>
    <w:rsid w:val="00CE4639"/>
    <w:rsid w:val="00CE4A43"/>
    <w:rsid w:val="00CE4C21"/>
    <w:rsid w:val="00CF3593"/>
    <w:rsid w:val="00CF394A"/>
    <w:rsid w:val="00CF6148"/>
    <w:rsid w:val="00D04E6C"/>
    <w:rsid w:val="00D15522"/>
    <w:rsid w:val="00D15755"/>
    <w:rsid w:val="00D17694"/>
    <w:rsid w:val="00D23726"/>
    <w:rsid w:val="00D238E8"/>
    <w:rsid w:val="00D23FF0"/>
    <w:rsid w:val="00D258C2"/>
    <w:rsid w:val="00D321C4"/>
    <w:rsid w:val="00D325E8"/>
    <w:rsid w:val="00D34AA2"/>
    <w:rsid w:val="00D379AA"/>
    <w:rsid w:val="00D4100D"/>
    <w:rsid w:val="00D43A41"/>
    <w:rsid w:val="00D44B46"/>
    <w:rsid w:val="00D46BB2"/>
    <w:rsid w:val="00D51CD9"/>
    <w:rsid w:val="00D53098"/>
    <w:rsid w:val="00D53896"/>
    <w:rsid w:val="00D559E0"/>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684"/>
    <w:rsid w:val="00E06B61"/>
    <w:rsid w:val="00E13610"/>
    <w:rsid w:val="00E170E6"/>
    <w:rsid w:val="00E17558"/>
    <w:rsid w:val="00E22FAC"/>
    <w:rsid w:val="00E27149"/>
    <w:rsid w:val="00E345DE"/>
    <w:rsid w:val="00E372E1"/>
    <w:rsid w:val="00E37998"/>
    <w:rsid w:val="00E439B0"/>
    <w:rsid w:val="00E45375"/>
    <w:rsid w:val="00E4675A"/>
    <w:rsid w:val="00E55B86"/>
    <w:rsid w:val="00E572D4"/>
    <w:rsid w:val="00E615C3"/>
    <w:rsid w:val="00E61E2B"/>
    <w:rsid w:val="00E6373B"/>
    <w:rsid w:val="00E7290F"/>
    <w:rsid w:val="00E75525"/>
    <w:rsid w:val="00E77521"/>
    <w:rsid w:val="00E80670"/>
    <w:rsid w:val="00E820F4"/>
    <w:rsid w:val="00E8589B"/>
    <w:rsid w:val="00E87B94"/>
    <w:rsid w:val="00E916FF"/>
    <w:rsid w:val="00EA2B43"/>
    <w:rsid w:val="00EA3447"/>
    <w:rsid w:val="00EB2AE7"/>
    <w:rsid w:val="00EB472E"/>
    <w:rsid w:val="00EB4CD6"/>
    <w:rsid w:val="00EB7F88"/>
    <w:rsid w:val="00EC1B80"/>
    <w:rsid w:val="00EC3C04"/>
    <w:rsid w:val="00EC75AF"/>
    <w:rsid w:val="00ED4215"/>
    <w:rsid w:val="00ED469C"/>
    <w:rsid w:val="00ED7517"/>
    <w:rsid w:val="00EE394F"/>
    <w:rsid w:val="00EF045D"/>
    <w:rsid w:val="00EF51B1"/>
    <w:rsid w:val="00F00A4F"/>
    <w:rsid w:val="00F0222D"/>
    <w:rsid w:val="00F03763"/>
    <w:rsid w:val="00F04B7A"/>
    <w:rsid w:val="00F12B8A"/>
    <w:rsid w:val="00F1576F"/>
    <w:rsid w:val="00F21769"/>
    <w:rsid w:val="00F22B4C"/>
    <w:rsid w:val="00F2508D"/>
    <w:rsid w:val="00F30A98"/>
    <w:rsid w:val="00F33ED8"/>
    <w:rsid w:val="00F367A9"/>
    <w:rsid w:val="00F42C44"/>
    <w:rsid w:val="00F4391B"/>
    <w:rsid w:val="00F4418B"/>
    <w:rsid w:val="00F4485C"/>
    <w:rsid w:val="00F46378"/>
    <w:rsid w:val="00F53213"/>
    <w:rsid w:val="00F53550"/>
    <w:rsid w:val="00F60576"/>
    <w:rsid w:val="00F60591"/>
    <w:rsid w:val="00F60613"/>
    <w:rsid w:val="00F61D52"/>
    <w:rsid w:val="00F62EAD"/>
    <w:rsid w:val="00F65A28"/>
    <w:rsid w:val="00F70283"/>
    <w:rsid w:val="00F72F70"/>
    <w:rsid w:val="00F7371D"/>
    <w:rsid w:val="00F7503C"/>
    <w:rsid w:val="00F77716"/>
    <w:rsid w:val="00F8144F"/>
    <w:rsid w:val="00F85A7B"/>
    <w:rsid w:val="00F9037D"/>
    <w:rsid w:val="00F91B56"/>
    <w:rsid w:val="00F93C71"/>
    <w:rsid w:val="00FA2A16"/>
    <w:rsid w:val="00FA318B"/>
    <w:rsid w:val="00FB7100"/>
    <w:rsid w:val="00FC0A2B"/>
    <w:rsid w:val="00FD19F2"/>
    <w:rsid w:val="00FD70FA"/>
    <w:rsid w:val="00FE1559"/>
    <w:rsid w:val="00FE182B"/>
    <w:rsid w:val="00FE5D02"/>
    <w:rsid w:val="02113806"/>
    <w:rsid w:val="02F04A0F"/>
    <w:rsid w:val="02FE503E"/>
    <w:rsid w:val="031F1F3F"/>
    <w:rsid w:val="035347B0"/>
    <w:rsid w:val="03825CD6"/>
    <w:rsid w:val="05222CA7"/>
    <w:rsid w:val="05450FD3"/>
    <w:rsid w:val="054B4292"/>
    <w:rsid w:val="058A1CAE"/>
    <w:rsid w:val="05A7612F"/>
    <w:rsid w:val="05DB75EA"/>
    <w:rsid w:val="0667664C"/>
    <w:rsid w:val="067B4B4F"/>
    <w:rsid w:val="072D3722"/>
    <w:rsid w:val="081B7B78"/>
    <w:rsid w:val="08427A79"/>
    <w:rsid w:val="085A7D0E"/>
    <w:rsid w:val="08B36841"/>
    <w:rsid w:val="095D5684"/>
    <w:rsid w:val="09955CA0"/>
    <w:rsid w:val="09B538F1"/>
    <w:rsid w:val="09FC77A3"/>
    <w:rsid w:val="0AF71A49"/>
    <w:rsid w:val="0C225226"/>
    <w:rsid w:val="0C7C4110"/>
    <w:rsid w:val="0CE53047"/>
    <w:rsid w:val="0CF10BD3"/>
    <w:rsid w:val="0D0D5D31"/>
    <w:rsid w:val="0D12146D"/>
    <w:rsid w:val="0D180CEC"/>
    <w:rsid w:val="0D483AB4"/>
    <w:rsid w:val="0DC1621F"/>
    <w:rsid w:val="0EDB2781"/>
    <w:rsid w:val="0EDE6977"/>
    <w:rsid w:val="0F1B0275"/>
    <w:rsid w:val="0F774501"/>
    <w:rsid w:val="0F801C90"/>
    <w:rsid w:val="0F942C35"/>
    <w:rsid w:val="0FB61CDC"/>
    <w:rsid w:val="103B1021"/>
    <w:rsid w:val="10D84CE9"/>
    <w:rsid w:val="112A53E2"/>
    <w:rsid w:val="11B85CAC"/>
    <w:rsid w:val="135C4CF2"/>
    <w:rsid w:val="156C6807"/>
    <w:rsid w:val="16293AC8"/>
    <w:rsid w:val="16F90698"/>
    <w:rsid w:val="181A63F7"/>
    <w:rsid w:val="1820292F"/>
    <w:rsid w:val="19EA4A5E"/>
    <w:rsid w:val="1A0C36BB"/>
    <w:rsid w:val="1AC50599"/>
    <w:rsid w:val="1B460BE8"/>
    <w:rsid w:val="1B602EC3"/>
    <w:rsid w:val="1B9D47B8"/>
    <w:rsid w:val="1BDD7FDB"/>
    <w:rsid w:val="1C0A1D1E"/>
    <w:rsid w:val="1CBB0831"/>
    <w:rsid w:val="1D01125B"/>
    <w:rsid w:val="1D3F0D40"/>
    <w:rsid w:val="1D64335D"/>
    <w:rsid w:val="1DC20C9E"/>
    <w:rsid w:val="1DDA4CC4"/>
    <w:rsid w:val="1DDA67CD"/>
    <w:rsid w:val="1E8130CF"/>
    <w:rsid w:val="1EA330B9"/>
    <w:rsid w:val="1F7B7336"/>
    <w:rsid w:val="1FAE28EF"/>
    <w:rsid w:val="1FAF557A"/>
    <w:rsid w:val="1FE90F79"/>
    <w:rsid w:val="203B452A"/>
    <w:rsid w:val="212D0FA5"/>
    <w:rsid w:val="21303E8B"/>
    <w:rsid w:val="217838C6"/>
    <w:rsid w:val="21FA1852"/>
    <w:rsid w:val="222C2B00"/>
    <w:rsid w:val="232A332A"/>
    <w:rsid w:val="23733CC5"/>
    <w:rsid w:val="23801031"/>
    <w:rsid w:val="239B2715"/>
    <w:rsid w:val="23C35D37"/>
    <w:rsid w:val="244914BD"/>
    <w:rsid w:val="248B49C8"/>
    <w:rsid w:val="24D000E3"/>
    <w:rsid w:val="24F479AF"/>
    <w:rsid w:val="269F106B"/>
    <w:rsid w:val="27071EC6"/>
    <w:rsid w:val="283E10EE"/>
    <w:rsid w:val="291642FB"/>
    <w:rsid w:val="293D61E7"/>
    <w:rsid w:val="29CD335D"/>
    <w:rsid w:val="29EB00DB"/>
    <w:rsid w:val="2A9E7F4C"/>
    <w:rsid w:val="2DF906C5"/>
    <w:rsid w:val="2F8E5602"/>
    <w:rsid w:val="307B2717"/>
    <w:rsid w:val="308D4B79"/>
    <w:rsid w:val="30F4023B"/>
    <w:rsid w:val="32291291"/>
    <w:rsid w:val="323D1808"/>
    <w:rsid w:val="33BA493A"/>
    <w:rsid w:val="33EA26F6"/>
    <w:rsid w:val="34167AA0"/>
    <w:rsid w:val="34B12C1F"/>
    <w:rsid w:val="35385327"/>
    <w:rsid w:val="355D7A0A"/>
    <w:rsid w:val="357D5ACE"/>
    <w:rsid w:val="35AF34A4"/>
    <w:rsid w:val="35CA6C17"/>
    <w:rsid w:val="35EE39A6"/>
    <w:rsid w:val="371942C5"/>
    <w:rsid w:val="3723731E"/>
    <w:rsid w:val="37AB3C23"/>
    <w:rsid w:val="37F278B1"/>
    <w:rsid w:val="3864147D"/>
    <w:rsid w:val="38E579A2"/>
    <w:rsid w:val="398C590D"/>
    <w:rsid w:val="39E87CBE"/>
    <w:rsid w:val="3AEA04C9"/>
    <w:rsid w:val="3BA00890"/>
    <w:rsid w:val="3C385439"/>
    <w:rsid w:val="3C4147FD"/>
    <w:rsid w:val="3C941696"/>
    <w:rsid w:val="3C951B66"/>
    <w:rsid w:val="3D7838A1"/>
    <w:rsid w:val="3ECE00C6"/>
    <w:rsid w:val="3EE7531C"/>
    <w:rsid w:val="3EEE2050"/>
    <w:rsid w:val="3F01138F"/>
    <w:rsid w:val="3FAC563C"/>
    <w:rsid w:val="3FE33995"/>
    <w:rsid w:val="40011C70"/>
    <w:rsid w:val="41031A19"/>
    <w:rsid w:val="41AF26D6"/>
    <w:rsid w:val="43CC7701"/>
    <w:rsid w:val="45BD59F1"/>
    <w:rsid w:val="45F815AD"/>
    <w:rsid w:val="46623F1C"/>
    <w:rsid w:val="468E4C9D"/>
    <w:rsid w:val="47311928"/>
    <w:rsid w:val="475F6D20"/>
    <w:rsid w:val="49390B26"/>
    <w:rsid w:val="49965FC8"/>
    <w:rsid w:val="4AD56D70"/>
    <w:rsid w:val="4C4F60C5"/>
    <w:rsid w:val="4CD310EA"/>
    <w:rsid w:val="4E9802BA"/>
    <w:rsid w:val="4ED07203"/>
    <w:rsid w:val="4F6A2E34"/>
    <w:rsid w:val="4F9A3E18"/>
    <w:rsid w:val="50082F83"/>
    <w:rsid w:val="50774D39"/>
    <w:rsid w:val="50D45BDC"/>
    <w:rsid w:val="51661F68"/>
    <w:rsid w:val="51851B58"/>
    <w:rsid w:val="518C74EB"/>
    <w:rsid w:val="52710510"/>
    <w:rsid w:val="52973092"/>
    <w:rsid w:val="52A372F4"/>
    <w:rsid w:val="52CB0F01"/>
    <w:rsid w:val="53CA0592"/>
    <w:rsid w:val="54347424"/>
    <w:rsid w:val="54EC3C29"/>
    <w:rsid w:val="54FF773A"/>
    <w:rsid w:val="552F53EA"/>
    <w:rsid w:val="5568271A"/>
    <w:rsid w:val="55804190"/>
    <w:rsid w:val="57EB233C"/>
    <w:rsid w:val="592C1793"/>
    <w:rsid w:val="59E14089"/>
    <w:rsid w:val="5A2E056D"/>
    <w:rsid w:val="5BBE42D4"/>
    <w:rsid w:val="5BD01D75"/>
    <w:rsid w:val="5C272404"/>
    <w:rsid w:val="5D92736F"/>
    <w:rsid w:val="5DBD090F"/>
    <w:rsid w:val="5E2A7BF7"/>
    <w:rsid w:val="5E545884"/>
    <w:rsid w:val="5EC94920"/>
    <w:rsid w:val="5F15146D"/>
    <w:rsid w:val="5F923927"/>
    <w:rsid w:val="60BB378C"/>
    <w:rsid w:val="61285FB2"/>
    <w:rsid w:val="617C1087"/>
    <w:rsid w:val="61A23345"/>
    <w:rsid w:val="61DF1CED"/>
    <w:rsid w:val="63155766"/>
    <w:rsid w:val="64834155"/>
    <w:rsid w:val="64AC35F9"/>
    <w:rsid w:val="653267BA"/>
    <w:rsid w:val="65620B1F"/>
    <w:rsid w:val="664851AC"/>
    <w:rsid w:val="66AB5A82"/>
    <w:rsid w:val="67C11507"/>
    <w:rsid w:val="684A231F"/>
    <w:rsid w:val="68F70A31"/>
    <w:rsid w:val="6930777F"/>
    <w:rsid w:val="6943410F"/>
    <w:rsid w:val="699E769D"/>
    <w:rsid w:val="6A807D16"/>
    <w:rsid w:val="6AA4419D"/>
    <w:rsid w:val="6AD7155E"/>
    <w:rsid w:val="6B062C1F"/>
    <w:rsid w:val="6B105B62"/>
    <w:rsid w:val="6B2D53A2"/>
    <w:rsid w:val="6BB4327D"/>
    <w:rsid w:val="6BE1312D"/>
    <w:rsid w:val="6BF25EAE"/>
    <w:rsid w:val="6CD54525"/>
    <w:rsid w:val="6D375489"/>
    <w:rsid w:val="6D3F50F4"/>
    <w:rsid w:val="6DA97D78"/>
    <w:rsid w:val="6E053D53"/>
    <w:rsid w:val="6EB80C6F"/>
    <w:rsid w:val="6EF92E29"/>
    <w:rsid w:val="6F7E042E"/>
    <w:rsid w:val="6F8D3DFE"/>
    <w:rsid w:val="6FB823B9"/>
    <w:rsid w:val="701C5148"/>
    <w:rsid w:val="70D8163A"/>
    <w:rsid w:val="711D2A5B"/>
    <w:rsid w:val="71672C95"/>
    <w:rsid w:val="717E16A3"/>
    <w:rsid w:val="71C241AC"/>
    <w:rsid w:val="71D16EFE"/>
    <w:rsid w:val="728E2EEB"/>
    <w:rsid w:val="729350C8"/>
    <w:rsid w:val="72FE1503"/>
    <w:rsid w:val="733001EA"/>
    <w:rsid w:val="73EA616A"/>
    <w:rsid w:val="748A5AB6"/>
    <w:rsid w:val="76B65922"/>
    <w:rsid w:val="76FE6579"/>
    <w:rsid w:val="77A03A22"/>
    <w:rsid w:val="77CD7B6D"/>
    <w:rsid w:val="77D01459"/>
    <w:rsid w:val="77FA6C1F"/>
    <w:rsid w:val="79290CA2"/>
    <w:rsid w:val="79D01179"/>
    <w:rsid w:val="7AD80B29"/>
    <w:rsid w:val="7B5876A1"/>
    <w:rsid w:val="7B9B08E1"/>
    <w:rsid w:val="7BCA5013"/>
    <w:rsid w:val="7C2637F5"/>
    <w:rsid w:val="7CEA3A76"/>
    <w:rsid w:val="7D6A582E"/>
    <w:rsid w:val="7D8F1C84"/>
    <w:rsid w:val="7DBD4BCB"/>
    <w:rsid w:val="7DE32ACA"/>
    <w:rsid w:val="7E7F1376"/>
    <w:rsid w:val="7EA37FC5"/>
    <w:rsid w:val="7F7C64B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qFormat="1" w:unhideWhenUsed="0" w:uiPriority="99" w:semiHidden="0" w:name="Body Text First Indent 2"/>
    <w:lsdException w:unhideWhenUsed="0"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0"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5"/>
    <w:next w:val="1"/>
    <w:link w:val="62"/>
    <w:qFormat/>
    <w:uiPriority w:val="0"/>
    <w:pPr>
      <w:keepNext/>
      <w:keepLines/>
      <w:numPr>
        <w:ilvl w:val="0"/>
        <w:numId w:val="1"/>
      </w:numPr>
      <w:spacing w:before="340" w:after="330" w:line="400" w:lineRule="exact"/>
    </w:pPr>
    <w:rPr>
      <w:rFonts w:ascii="宋体" w:hAnsi="宋体" w:cs="宋体"/>
      <w:spacing w:val="-20"/>
      <w:kern w:val="44"/>
      <w:sz w:val="32"/>
    </w:rPr>
  </w:style>
  <w:style w:type="paragraph" w:styleId="6">
    <w:name w:val="heading 2"/>
    <w:basedOn w:val="1"/>
    <w:next w:val="1"/>
    <w:link w:val="63"/>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7">
    <w:name w:val="heading 3"/>
    <w:basedOn w:val="1"/>
    <w:next w:val="1"/>
    <w:link w:val="64"/>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8">
    <w:name w:val="heading 4"/>
    <w:basedOn w:val="1"/>
    <w:next w:val="1"/>
    <w:link w:val="65"/>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9">
    <w:name w:val="heading 5"/>
    <w:basedOn w:val="1"/>
    <w:next w:val="1"/>
    <w:link w:val="66"/>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10">
    <w:name w:val="heading 6"/>
    <w:basedOn w:val="1"/>
    <w:next w:val="1"/>
    <w:link w:val="67"/>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11">
    <w:name w:val="heading 7"/>
    <w:basedOn w:val="1"/>
    <w:next w:val="1"/>
    <w:link w:val="68"/>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2">
    <w:name w:val="heading 8"/>
    <w:basedOn w:val="1"/>
    <w:next w:val="1"/>
    <w:link w:val="69"/>
    <w:unhideWhenUsed/>
    <w:qFormat/>
    <w:uiPriority w:val="0"/>
    <w:pPr>
      <w:keepNext/>
      <w:keepLines/>
      <w:spacing w:before="240" w:after="64" w:line="314" w:lineRule="auto"/>
      <w:outlineLvl w:val="7"/>
    </w:pPr>
    <w:rPr>
      <w:rFonts w:ascii="Arial" w:hAnsi="Arial" w:eastAsia="黑体"/>
      <w:kern w:val="0"/>
      <w:sz w:val="24"/>
      <w:szCs w:val="24"/>
    </w:rPr>
  </w:style>
  <w:style w:type="paragraph" w:styleId="13">
    <w:name w:val="heading 9"/>
    <w:basedOn w:val="1"/>
    <w:next w:val="1"/>
    <w:link w:val="70"/>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unhideWhenUsed/>
    <w:qFormat/>
    <w:uiPriority w:val="1"/>
  </w:style>
  <w:style w:type="table" w:default="1" w:styleId="59">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196"/>
    <w:unhideWhenUsed/>
    <w:qFormat/>
    <w:uiPriority w:val="99"/>
    <w:pPr>
      <w:spacing w:after="120"/>
    </w:pPr>
  </w:style>
  <w:style w:type="paragraph" w:styleId="3">
    <w:name w:val="Body Text First Indent"/>
    <w:basedOn w:val="2"/>
    <w:link w:val="80"/>
    <w:unhideWhenUsed/>
    <w:qFormat/>
    <w:uiPriority w:val="0"/>
    <w:pPr>
      <w:ind w:firstLine="420" w:firstLineChars="100"/>
    </w:pPr>
    <w:rPr>
      <w:rFonts w:ascii="Times New Roman" w:hAnsi="Times New Roman"/>
      <w:kern w:val="0"/>
      <w:sz w:val="18"/>
      <w:szCs w:val="18"/>
    </w:rPr>
  </w:style>
  <w:style w:type="paragraph" w:styleId="5">
    <w:name w:val="Title"/>
    <w:basedOn w:val="1"/>
    <w:next w:val="1"/>
    <w:qFormat/>
    <w:uiPriority w:val="99"/>
    <w:pPr>
      <w:spacing w:before="240" w:after="60"/>
      <w:jc w:val="center"/>
      <w:outlineLvl w:val="0"/>
    </w:pPr>
    <w:rPr>
      <w:rFonts w:ascii="Cambria" w:hAnsi="Cambria"/>
      <w:b/>
      <w:bCs/>
      <w:szCs w:val="32"/>
    </w:rPr>
  </w:style>
  <w:style w:type="paragraph" w:styleId="14">
    <w:name w:val="annotation subject"/>
    <w:basedOn w:val="15"/>
    <w:next w:val="15"/>
    <w:link w:val="87"/>
    <w:unhideWhenUsed/>
    <w:qFormat/>
    <w:uiPriority w:val="99"/>
    <w:rPr>
      <w:rFonts w:ascii="Calibri" w:hAnsi="Calibri"/>
      <w:b/>
      <w:bCs/>
      <w:kern w:val="2"/>
      <w:sz w:val="21"/>
      <w:szCs w:val="22"/>
    </w:rPr>
  </w:style>
  <w:style w:type="paragraph" w:styleId="15">
    <w:name w:val="annotation text"/>
    <w:basedOn w:val="1"/>
    <w:link w:val="73"/>
    <w:unhideWhenUsed/>
    <w:qFormat/>
    <w:uiPriority w:val="99"/>
    <w:pPr>
      <w:jc w:val="left"/>
    </w:pPr>
    <w:rPr>
      <w:rFonts w:ascii="Times New Roman" w:hAnsi="Times New Roman"/>
      <w:kern w:val="0"/>
      <w:sz w:val="18"/>
      <w:szCs w:val="18"/>
    </w:rPr>
  </w:style>
  <w:style w:type="paragraph" w:styleId="16">
    <w:name w:val="toc 7"/>
    <w:basedOn w:val="1"/>
    <w:next w:val="1"/>
    <w:unhideWhenUsed/>
    <w:qFormat/>
    <w:uiPriority w:val="0"/>
    <w:pPr>
      <w:ind w:left="2520" w:leftChars="1200"/>
    </w:pPr>
    <w:rPr>
      <w:rFonts w:ascii="Times New Roman" w:hAnsi="Times New Roman"/>
      <w:szCs w:val="24"/>
    </w:rPr>
  </w:style>
  <w:style w:type="paragraph" w:styleId="17">
    <w:name w:val="Normal Indent"/>
    <w:basedOn w:val="1"/>
    <w:link w:val="71"/>
    <w:unhideWhenUsed/>
    <w:qFormat/>
    <w:uiPriority w:val="0"/>
    <w:pPr>
      <w:spacing w:after="180" w:line="307" w:lineRule="auto"/>
      <w:ind w:firstLine="420"/>
    </w:pPr>
    <w:rPr>
      <w:rFonts w:asciiTheme="minorHAnsi" w:hAnsiTheme="minorHAnsi" w:eastAsiaTheme="minorEastAsia" w:cstheme="minorBidi"/>
    </w:rPr>
  </w:style>
  <w:style w:type="paragraph" w:styleId="18">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9">
    <w:name w:val="Document Map"/>
    <w:basedOn w:val="1"/>
    <w:link w:val="85"/>
    <w:unhideWhenUsed/>
    <w:qFormat/>
    <w:uiPriority w:val="99"/>
    <w:pPr>
      <w:shd w:val="clear" w:color="auto" w:fill="000080"/>
    </w:pPr>
    <w:rPr>
      <w:rFonts w:ascii="Times New Roman" w:hAnsi="Times New Roman"/>
      <w:kern w:val="0"/>
      <w:sz w:val="18"/>
      <w:szCs w:val="18"/>
    </w:rPr>
  </w:style>
  <w:style w:type="paragraph" w:styleId="20">
    <w:name w:val="Body Text 3"/>
    <w:basedOn w:val="1"/>
    <w:link w:val="82"/>
    <w:unhideWhenUsed/>
    <w:qFormat/>
    <w:uiPriority w:val="0"/>
    <w:pPr>
      <w:jc w:val="center"/>
    </w:pPr>
    <w:rPr>
      <w:rFonts w:ascii="Times New Roman" w:hAnsi="Times New Roman" w:eastAsia="黑体"/>
      <w:sz w:val="44"/>
      <w:szCs w:val="24"/>
    </w:rPr>
  </w:style>
  <w:style w:type="paragraph" w:styleId="21">
    <w:name w:val="Body Text Indent"/>
    <w:basedOn w:val="1"/>
    <w:link w:val="77"/>
    <w:unhideWhenUsed/>
    <w:qFormat/>
    <w:uiPriority w:val="99"/>
    <w:pPr>
      <w:spacing w:after="120"/>
      <w:ind w:left="420" w:leftChars="200"/>
    </w:pPr>
    <w:rPr>
      <w:rFonts w:ascii="Times New Roman" w:hAnsi="Times New Roman"/>
      <w:kern w:val="0"/>
      <w:sz w:val="20"/>
      <w:szCs w:val="24"/>
    </w:rPr>
  </w:style>
  <w:style w:type="paragraph" w:styleId="22">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3">
    <w:name w:val="toc 5"/>
    <w:basedOn w:val="1"/>
    <w:next w:val="1"/>
    <w:unhideWhenUsed/>
    <w:qFormat/>
    <w:uiPriority w:val="0"/>
    <w:pPr>
      <w:ind w:left="1680" w:leftChars="800"/>
    </w:pPr>
    <w:rPr>
      <w:rFonts w:ascii="Times New Roman" w:hAnsi="Times New Roman"/>
      <w:sz w:val="18"/>
      <w:szCs w:val="18"/>
    </w:rPr>
  </w:style>
  <w:style w:type="paragraph" w:styleId="24">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5">
    <w:name w:val="Plain Text"/>
    <w:basedOn w:val="1"/>
    <w:link w:val="201"/>
    <w:unhideWhenUsed/>
    <w:qFormat/>
    <w:uiPriority w:val="0"/>
    <w:rPr>
      <w:rFonts w:ascii="宋体" w:hAnsi="Courier New"/>
      <w:kern w:val="0"/>
      <w:sz w:val="20"/>
      <w:szCs w:val="18"/>
    </w:rPr>
  </w:style>
  <w:style w:type="paragraph" w:styleId="26">
    <w:name w:val="toc 8"/>
    <w:basedOn w:val="1"/>
    <w:next w:val="1"/>
    <w:unhideWhenUsed/>
    <w:qFormat/>
    <w:uiPriority w:val="0"/>
    <w:pPr>
      <w:ind w:left="2940" w:leftChars="1400"/>
    </w:pPr>
    <w:rPr>
      <w:rFonts w:ascii="Times New Roman" w:hAnsi="Times New Roman"/>
      <w:szCs w:val="24"/>
    </w:rPr>
  </w:style>
  <w:style w:type="paragraph" w:styleId="27">
    <w:name w:val="Date"/>
    <w:basedOn w:val="1"/>
    <w:next w:val="1"/>
    <w:link w:val="79"/>
    <w:unhideWhenUsed/>
    <w:qFormat/>
    <w:uiPriority w:val="99"/>
    <w:pPr>
      <w:ind w:left="100" w:leftChars="2500"/>
    </w:pPr>
    <w:rPr>
      <w:rFonts w:ascii="Times New Roman" w:hAnsi="Times New Roman"/>
      <w:kern w:val="0"/>
      <w:sz w:val="24"/>
      <w:szCs w:val="24"/>
    </w:rPr>
  </w:style>
  <w:style w:type="paragraph" w:styleId="28">
    <w:name w:val="Body Text Indent 2"/>
    <w:basedOn w:val="1"/>
    <w:link w:val="83"/>
    <w:unhideWhenUsed/>
    <w:qFormat/>
    <w:uiPriority w:val="0"/>
    <w:pPr>
      <w:spacing w:after="120" w:line="480" w:lineRule="auto"/>
      <w:ind w:left="420" w:leftChars="200"/>
    </w:pPr>
  </w:style>
  <w:style w:type="paragraph" w:styleId="29">
    <w:name w:val="Balloon Text"/>
    <w:basedOn w:val="1"/>
    <w:link w:val="88"/>
    <w:unhideWhenUsed/>
    <w:qFormat/>
    <w:uiPriority w:val="99"/>
    <w:rPr>
      <w:rFonts w:ascii="Times New Roman" w:hAnsi="Times New Roman"/>
      <w:kern w:val="0"/>
      <w:sz w:val="18"/>
      <w:szCs w:val="18"/>
    </w:rPr>
  </w:style>
  <w:style w:type="paragraph" w:styleId="30">
    <w:name w:val="footer"/>
    <w:basedOn w:val="1"/>
    <w:link w:val="75"/>
    <w:unhideWhenUsed/>
    <w:qFormat/>
    <w:uiPriority w:val="99"/>
    <w:pPr>
      <w:tabs>
        <w:tab w:val="center" w:pos="4153"/>
        <w:tab w:val="right" w:pos="8306"/>
      </w:tabs>
      <w:snapToGrid w:val="0"/>
      <w:jc w:val="left"/>
    </w:pPr>
    <w:rPr>
      <w:kern w:val="0"/>
      <w:sz w:val="18"/>
      <w:szCs w:val="18"/>
    </w:rPr>
  </w:style>
  <w:style w:type="paragraph" w:styleId="31">
    <w:name w:val="Body Text First Indent 2"/>
    <w:basedOn w:val="21"/>
    <w:link w:val="332"/>
    <w:qFormat/>
    <w:uiPriority w:val="99"/>
    <w:pPr>
      <w:spacing w:before="100" w:beforeAutospacing="1"/>
      <w:ind w:firstLine="640" w:firstLineChars="200"/>
    </w:pPr>
    <w:rPr>
      <w:kern w:val="2"/>
      <w:sz w:val="21"/>
    </w:rPr>
  </w:style>
  <w:style w:type="paragraph" w:styleId="32">
    <w:name w:val="header"/>
    <w:basedOn w:val="1"/>
    <w:link w:val="7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4">
    <w:name w:val="toc 4"/>
    <w:basedOn w:val="1"/>
    <w:next w:val="1"/>
    <w:unhideWhenUsed/>
    <w:qFormat/>
    <w:uiPriority w:val="0"/>
    <w:pPr>
      <w:ind w:left="1260" w:leftChars="600"/>
    </w:pPr>
    <w:rPr>
      <w:rFonts w:ascii="Times New Roman" w:hAnsi="Times New Roman"/>
      <w:sz w:val="18"/>
      <w:szCs w:val="18"/>
    </w:rPr>
  </w:style>
  <w:style w:type="paragraph" w:styleId="35">
    <w:name w:val="Subtitle"/>
    <w:basedOn w:val="1"/>
    <w:next w:val="1"/>
    <w:link w:val="78"/>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72"/>
    <w:unhideWhenUsed/>
    <w:qFormat/>
    <w:uiPriority w:val="0"/>
    <w:pPr>
      <w:snapToGrid w:val="0"/>
      <w:jc w:val="left"/>
    </w:pPr>
    <w:rPr>
      <w:sz w:val="18"/>
      <w:szCs w:val="18"/>
    </w:rPr>
  </w:style>
  <w:style w:type="paragraph" w:styleId="37">
    <w:name w:val="toc 6"/>
    <w:basedOn w:val="1"/>
    <w:next w:val="1"/>
    <w:unhideWhenUsed/>
    <w:qFormat/>
    <w:uiPriority w:val="0"/>
    <w:pPr>
      <w:ind w:left="2100" w:leftChars="1000"/>
    </w:pPr>
    <w:rPr>
      <w:rFonts w:ascii="Times New Roman" w:hAnsi="Times New Roman"/>
      <w:szCs w:val="24"/>
    </w:rPr>
  </w:style>
  <w:style w:type="paragraph" w:styleId="38">
    <w:name w:val="Body Text Indent 3"/>
    <w:basedOn w:val="1"/>
    <w:link w:val="84"/>
    <w:unhideWhenUsed/>
    <w:qFormat/>
    <w:uiPriority w:val="0"/>
    <w:pPr>
      <w:spacing w:line="360" w:lineRule="auto"/>
      <w:ind w:left="153" w:leftChars="85" w:firstLine="560" w:firstLineChars="200"/>
    </w:pPr>
    <w:rPr>
      <w:rFonts w:ascii="宋体" w:hAnsi="宋体"/>
      <w:kern w:val="0"/>
      <w:sz w:val="28"/>
      <w:szCs w:val="28"/>
    </w:rPr>
  </w:style>
  <w:style w:type="paragraph" w:styleId="39">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40">
    <w:name w:val="toc 9"/>
    <w:basedOn w:val="1"/>
    <w:next w:val="1"/>
    <w:unhideWhenUsed/>
    <w:qFormat/>
    <w:uiPriority w:val="0"/>
    <w:pPr>
      <w:ind w:left="3360" w:leftChars="1600"/>
    </w:pPr>
    <w:rPr>
      <w:rFonts w:ascii="Times New Roman" w:hAnsi="Times New Roman"/>
      <w:szCs w:val="24"/>
    </w:rPr>
  </w:style>
  <w:style w:type="paragraph" w:styleId="41">
    <w:name w:val="Body Text 2"/>
    <w:basedOn w:val="1"/>
    <w:link w:val="81"/>
    <w:unhideWhenUsed/>
    <w:qFormat/>
    <w:uiPriority w:val="0"/>
    <w:pPr>
      <w:spacing w:after="120" w:line="480" w:lineRule="auto"/>
    </w:pPr>
    <w:rPr>
      <w:rFonts w:ascii="Times New Roman" w:hAnsi="Times New Roman"/>
      <w:kern w:val="0"/>
      <w:sz w:val="18"/>
      <w:szCs w:val="18"/>
    </w:rPr>
  </w:style>
  <w:style w:type="paragraph" w:styleId="42">
    <w:name w:val="HTML Preformatted"/>
    <w:basedOn w:val="1"/>
    <w:link w:val="212"/>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43">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4">
    <w:name w:val="index 1"/>
    <w:basedOn w:val="1"/>
    <w:next w:val="1"/>
    <w:unhideWhenUsed/>
    <w:qFormat/>
    <w:uiPriority w:val="0"/>
    <w:pPr>
      <w:ind w:firstLine="560" w:firstLineChars="200"/>
    </w:pPr>
    <w:rPr>
      <w:rFonts w:ascii="宋体" w:hAnsi="宋体" w:cs="宋体"/>
      <w:sz w:val="28"/>
      <w:szCs w:val="28"/>
    </w:rPr>
  </w:style>
  <w:style w:type="character" w:styleId="46">
    <w:name w:val="Strong"/>
    <w:qFormat/>
    <w:uiPriority w:val="22"/>
    <w:rPr>
      <w:b/>
      <w:bCs/>
    </w:rPr>
  </w:style>
  <w:style w:type="character" w:styleId="47">
    <w:name w:val="page number"/>
    <w:basedOn w:val="45"/>
    <w:qFormat/>
    <w:uiPriority w:val="0"/>
  </w:style>
  <w:style w:type="character" w:styleId="48">
    <w:name w:val="FollowedHyperlink"/>
    <w:basedOn w:val="45"/>
    <w:unhideWhenUsed/>
    <w:qFormat/>
    <w:uiPriority w:val="99"/>
    <w:rPr>
      <w:color w:val="800080" w:themeColor="followedHyperlink"/>
      <w:u w:val="single"/>
      <w14:textFill>
        <w14:solidFill>
          <w14:schemeClr w14:val="folHlink"/>
        </w14:solidFill>
      </w14:textFill>
    </w:rPr>
  </w:style>
  <w:style w:type="character" w:styleId="49">
    <w:name w:val="Emphasis"/>
    <w:qFormat/>
    <w:uiPriority w:val="20"/>
  </w:style>
  <w:style w:type="character" w:styleId="50">
    <w:name w:val="HTML Definition"/>
    <w:unhideWhenUsed/>
    <w:qFormat/>
    <w:uiPriority w:val="99"/>
  </w:style>
  <w:style w:type="character" w:styleId="51">
    <w:name w:val="HTML Variable"/>
    <w:unhideWhenUsed/>
    <w:qFormat/>
    <w:uiPriority w:val="99"/>
  </w:style>
  <w:style w:type="character" w:styleId="52">
    <w:name w:val="Hyperlink"/>
    <w:unhideWhenUsed/>
    <w:qFormat/>
    <w:uiPriority w:val="99"/>
    <w:rPr>
      <w:color w:val="0000FF"/>
      <w:u w:val="single"/>
    </w:rPr>
  </w:style>
  <w:style w:type="character" w:styleId="53">
    <w:name w:val="HTML Code"/>
    <w:unhideWhenUsed/>
    <w:qFormat/>
    <w:uiPriority w:val="99"/>
    <w:rPr>
      <w:rFonts w:hint="default" w:ascii="serif" w:hAnsi="serif" w:eastAsia="serif" w:cs="serif"/>
      <w:sz w:val="21"/>
      <w:szCs w:val="21"/>
    </w:rPr>
  </w:style>
  <w:style w:type="character" w:styleId="54">
    <w:name w:val="annotation reference"/>
    <w:unhideWhenUsed/>
    <w:qFormat/>
    <w:uiPriority w:val="99"/>
    <w:rPr>
      <w:sz w:val="21"/>
      <w:szCs w:val="21"/>
    </w:rPr>
  </w:style>
  <w:style w:type="character" w:styleId="55">
    <w:name w:val="HTML Cite"/>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serif" w:hAnsi="serif" w:eastAsia="serif" w:cs="serif"/>
      <w:sz w:val="21"/>
      <w:szCs w:val="21"/>
    </w:rPr>
  </w:style>
  <w:style w:type="character" w:styleId="58">
    <w:name w:val="HTML Sample"/>
    <w:unhideWhenUsed/>
    <w:qFormat/>
    <w:uiPriority w:val="99"/>
    <w:rPr>
      <w:rFonts w:ascii="serif" w:hAnsi="serif" w:eastAsia="serif" w:cs="serif"/>
      <w:sz w:val="21"/>
      <w:szCs w:val="21"/>
    </w:rPr>
  </w:style>
  <w:style w:type="table" w:styleId="60">
    <w:name w:val="Table Grid"/>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标题 1 Char"/>
    <w:basedOn w:val="45"/>
    <w:link w:val="4"/>
    <w:qFormat/>
    <w:uiPriority w:val="0"/>
    <w:rPr>
      <w:rFonts w:ascii="宋体" w:hAnsi="宋体" w:cs="宋体"/>
      <w:b/>
      <w:bCs/>
      <w:spacing w:val="-20"/>
      <w:kern w:val="44"/>
      <w:sz w:val="32"/>
      <w:szCs w:val="32"/>
    </w:rPr>
  </w:style>
  <w:style w:type="character" w:customStyle="1" w:styleId="63">
    <w:name w:val="标题 2 Char"/>
    <w:basedOn w:val="45"/>
    <w:link w:val="6"/>
    <w:qFormat/>
    <w:uiPriority w:val="0"/>
    <w:rPr>
      <w:rFonts w:ascii="宋体" w:hAnsi="宋体" w:cs="宋体"/>
      <w:b/>
      <w:bCs/>
      <w:kern w:val="2"/>
      <w:sz w:val="28"/>
      <w:szCs w:val="28"/>
    </w:rPr>
  </w:style>
  <w:style w:type="character" w:customStyle="1" w:styleId="64">
    <w:name w:val="标题 3 Char"/>
    <w:basedOn w:val="45"/>
    <w:link w:val="7"/>
    <w:qFormat/>
    <w:uiPriority w:val="0"/>
    <w:rPr>
      <w:rFonts w:ascii="宋体" w:hAnsi="宋体" w:cs="宋体"/>
      <w:b/>
      <w:bCs/>
      <w:color w:val="000000"/>
      <w:sz w:val="28"/>
      <w:szCs w:val="28"/>
    </w:rPr>
  </w:style>
  <w:style w:type="character" w:customStyle="1" w:styleId="65">
    <w:name w:val="标题 4 Char"/>
    <w:basedOn w:val="45"/>
    <w:link w:val="8"/>
    <w:qFormat/>
    <w:uiPriority w:val="0"/>
    <w:rPr>
      <w:rFonts w:ascii="Arial" w:hAnsi="Arial"/>
      <w:b/>
      <w:bCs/>
      <w:sz w:val="28"/>
      <w:szCs w:val="28"/>
    </w:rPr>
  </w:style>
  <w:style w:type="character" w:customStyle="1" w:styleId="66">
    <w:name w:val="标题 5 Char"/>
    <w:basedOn w:val="45"/>
    <w:link w:val="9"/>
    <w:qFormat/>
    <w:uiPriority w:val="0"/>
    <w:rPr>
      <w:rFonts w:ascii="Calibri" w:hAnsi="Calibri" w:cs="宋体"/>
      <w:b/>
      <w:bCs/>
      <w:sz w:val="28"/>
      <w:szCs w:val="28"/>
    </w:rPr>
  </w:style>
  <w:style w:type="character" w:customStyle="1" w:styleId="67">
    <w:name w:val="标题 6 Char"/>
    <w:basedOn w:val="45"/>
    <w:link w:val="10"/>
    <w:qFormat/>
    <w:uiPriority w:val="0"/>
    <w:rPr>
      <w:rFonts w:ascii="Arial" w:hAnsi="Arial"/>
      <w:b/>
      <w:bCs/>
      <w:sz w:val="28"/>
      <w:szCs w:val="18"/>
    </w:rPr>
  </w:style>
  <w:style w:type="character" w:customStyle="1" w:styleId="68">
    <w:name w:val="标题 7 Char"/>
    <w:basedOn w:val="45"/>
    <w:link w:val="11"/>
    <w:qFormat/>
    <w:uiPriority w:val="0"/>
    <w:rPr>
      <w:rFonts w:ascii="Arial Narrow" w:hAnsi="Arial Narrow" w:eastAsia="宋体" w:cs="Times New Roman"/>
      <w:b/>
      <w:bCs/>
      <w:iCs/>
      <w:kern w:val="0"/>
      <w:sz w:val="20"/>
      <w:szCs w:val="24"/>
      <w:lang w:eastAsia="en-US"/>
    </w:rPr>
  </w:style>
  <w:style w:type="character" w:customStyle="1" w:styleId="69">
    <w:name w:val="标题 8 Char"/>
    <w:basedOn w:val="45"/>
    <w:link w:val="12"/>
    <w:semiHidden/>
    <w:qFormat/>
    <w:uiPriority w:val="0"/>
    <w:rPr>
      <w:rFonts w:ascii="Arial" w:hAnsi="Arial" w:eastAsia="黑体" w:cs="Times New Roman"/>
      <w:kern w:val="0"/>
      <w:sz w:val="24"/>
      <w:szCs w:val="24"/>
    </w:rPr>
  </w:style>
  <w:style w:type="character" w:customStyle="1" w:styleId="70">
    <w:name w:val="标题 9 Char"/>
    <w:basedOn w:val="45"/>
    <w:link w:val="13"/>
    <w:semiHidden/>
    <w:qFormat/>
    <w:uiPriority w:val="0"/>
    <w:rPr>
      <w:rFonts w:ascii="Arial" w:hAnsi="Arial" w:eastAsia="黑体" w:cs="Times New Roman"/>
      <w:kern w:val="0"/>
      <w:sz w:val="20"/>
      <w:szCs w:val="21"/>
    </w:rPr>
  </w:style>
  <w:style w:type="character" w:customStyle="1" w:styleId="71">
    <w:name w:val="正文缩进 Char1"/>
    <w:link w:val="17"/>
    <w:qFormat/>
    <w:locked/>
    <w:uiPriority w:val="0"/>
  </w:style>
  <w:style w:type="character" w:customStyle="1" w:styleId="72">
    <w:name w:val="脚注文本 Char"/>
    <w:basedOn w:val="45"/>
    <w:link w:val="36"/>
    <w:semiHidden/>
    <w:qFormat/>
    <w:uiPriority w:val="0"/>
    <w:rPr>
      <w:rFonts w:ascii="Calibri" w:hAnsi="Calibri" w:eastAsia="宋体" w:cs="Times New Roman"/>
      <w:sz w:val="18"/>
      <w:szCs w:val="18"/>
    </w:rPr>
  </w:style>
  <w:style w:type="character" w:customStyle="1" w:styleId="73">
    <w:name w:val="批注文字 Char3"/>
    <w:basedOn w:val="45"/>
    <w:link w:val="15"/>
    <w:qFormat/>
    <w:uiPriority w:val="99"/>
    <w:rPr>
      <w:rFonts w:ascii="Times New Roman" w:hAnsi="Times New Roman" w:eastAsia="宋体" w:cs="Times New Roman"/>
      <w:kern w:val="0"/>
      <w:sz w:val="18"/>
      <w:szCs w:val="18"/>
    </w:rPr>
  </w:style>
  <w:style w:type="character" w:customStyle="1" w:styleId="74">
    <w:name w:val="页眉 Char"/>
    <w:basedOn w:val="45"/>
    <w:link w:val="32"/>
    <w:qFormat/>
    <w:uiPriority w:val="99"/>
    <w:rPr>
      <w:rFonts w:ascii="Calibri" w:hAnsi="Calibri" w:eastAsia="宋体" w:cs="Times New Roman"/>
      <w:kern w:val="0"/>
      <w:sz w:val="18"/>
      <w:szCs w:val="18"/>
    </w:rPr>
  </w:style>
  <w:style w:type="character" w:customStyle="1" w:styleId="75">
    <w:name w:val="页脚 Char"/>
    <w:basedOn w:val="45"/>
    <w:link w:val="30"/>
    <w:qFormat/>
    <w:uiPriority w:val="99"/>
    <w:rPr>
      <w:rFonts w:ascii="Calibri" w:hAnsi="Calibri" w:eastAsia="宋体" w:cs="Times New Roman"/>
      <w:kern w:val="0"/>
      <w:sz w:val="18"/>
      <w:szCs w:val="18"/>
    </w:rPr>
  </w:style>
  <w:style w:type="character" w:customStyle="1" w:styleId="76">
    <w:name w:val="正文文本 Char"/>
    <w:basedOn w:val="45"/>
    <w:qFormat/>
    <w:uiPriority w:val="99"/>
    <w:rPr>
      <w:rFonts w:ascii="Calibri" w:hAnsi="Calibri" w:eastAsia="宋体" w:cs="Times New Roman"/>
    </w:rPr>
  </w:style>
  <w:style w:type="character" w:customStyle="1" w:styleId="77">
    <w:name w:val="正文文本缩进 Char"/>
    <w:basedOn w:val="45"/>
    <w:link w:val="21"/>
    <w:qFormat/>
    <w:uiPriority w:val="99"/>
    <w:rPr>
      <w:rFonts w:ascii="Times New Roman" w:hAnsi="Times New Roman" w:eastAsia="宋体" w:cs="Times New Roman"/>
      <w:kern w:val="0"/>
      <w:sz w:val="20"/>
      <w:szCs w:val="24"/>
    </w:rPr>
  </w:style>
  <w:style w:type="character" w:customStyle="1" w:styleId="78">
    <w:name w:val="副标题 Char"/>
    <w:basedOn w:val="45"/>
    <w:link w:val="35"/>
    <w:qFormat/>
    <w:uiPriority w:val="0"/>
    <w:rPr>
      <w:rFonts w:ascii="Cambria" w:hAnsi="Cambria" w:eastAsia="宋体" w:cs="Times New Roman"/>
      <w:b/>
      <w:bCs/>
      <w:kern w:val="28"/>
      <w:sz w:val="32"/>
      <w:szCs w:val="32"/>
    </w:rPr>
  </w:style>
  <w:style w:type="character" w:customStyle="1" w:styleId="79">
    <w:name w:val="日期 Char"/>
    <w:basedOn w:val="45"/>
    <w:link w:val="27"/>
    <w:qFormat/>
    <w:uiPriority w:val="99"/>
    <w:rPr>
      <w:rFonts w:ascii="Times New Roman" w:hAnsi="Times New Roman" w:eastAsia="宋体" w:cs="Times New Roman"/>
      <w:kern w:val="0"/>
      <w:sz w:val="24"/>
      <w:szCs w:val="24"/>
    </w:rPr>
  </w:style>
  <w:style w:type="character" w:customStyle="1" w:styleId="80">
    <w:name w:val="正文首行缩进 Char"/>
    <w:basedOn w:val="76"/>
    <w:link w:val="3"/>
    <w:semiHidden/>
    <w:qFormat/>
    <w:uiPriority w:val="0"/>
    <w:rPr>
      <w:rFonts w:ascii="Times New Roman" w:hAnsi="Times New Roman" w:eastAsia="宋体" w:cs="Times New Roman"/>
      <w:kern w:val="0"/>
      <w:sz w:val="18"/>
      <w:szCs w:val="18"/>
    </w:rPr>
  </w:style>
  <w:style w:type="character" w:customStyle="1" w:styleId="81">
    <w:name w:val="正文文本 2 Char"/>
    <w:basedOn w:val="45"/>
    <w:link w:val="41"/>
    <w:semiHidden/>
    <w:qFormat/>
    <w:uiPriority w:val="0"/>
    <w:rPr>
      <w:rFonts w:ascii="Times New Roman" w:hAnsi="Times New Roman" w:eastAsia="宋体" w:cs="Times New Roman"/>
      <w:kern w:val="0"/>
      <w:sz w:val="18"/>
      <w:szCs w:val="18"/>
    </w:rPr>
  </w:style>
  <w:style w:type="character" w:customStyle="1" w:styleId="82">
    <w:name w:val="正文文本 3 Char"/>
    <w:basedOn w:val="45"/>
    <w:link w:val="20"/>
    <w:semiHidden/>
    <w:qFormat/>
    <w:uiPriority w:val="0"/>
    <w:rPr>
      <w:rFonts w:ascii="Times New Roman" w:hAnsi="Times New Roman" w:eastAsia="黑体" w:cs="Times New Roman"/>
      <w:sz w:val="44"/>
      <w:szCs w:val="24"/>
    </w:rPr>
  </w:style>
  <w:style w:type="character" w:customStyle="1" w:styleId="83">
    <w:name w:val="正文文本缩进 2 Char"/>
    <w:basedOn w:val="45"/>
    <w:link w:val="28"/>
    <w:qFormat/>
    <w:uiPriority w:val="0"/>
    <w:rPr>
      <w:rFonts w:ascii="Calibri" w:hAnsi="Calibri" w:eastAsia="宋体" w:cs="Times New Roman"/>
    </w:rPr>
  </w:style>
  <w:style w:type="character" w:customStyle="1" w:styleId="84">
    <w:name w:val="正文文本缩进 3 Char"/>
    <w:basedOn w:val="45"/>
    <w:link w:val="38"/>
    <w:semiHidden/>
    <w:qFormat/>
    <w:uiPriority w:val="0"/>
    <w:rPr>
      <w:rFonts w:ascii="宋体" w:hAnsi="宋体" w:eastAsia="宋体" w:cs="Times New Roman"/>
      <w:kern w:val="0"/>
      <w:sz w:val="28"/>
      <w:szCs w:val="28"/>
    </w:rPr>
  </w:style>
  <w:style w:type="character" w:customStyle="1" w:styleId="85">
    <w:name w:val="文档结构图 Char"/>
    <w:basedOn w:val="45"/>
    <w:link w:val="19"/>
    <w:qFormat/>
    <w:uiPriority w:val="99"/>
    <w:rPr>
      <w:rFonts w:ascii="Times New Roman" w:hAnsi="Times New Roman" w:eastAsia="宋体" w:cs="Times New Roman"/>
      <w:kern w:val="0"/>
      <w:sz w:val="18"/>
      <w:szCs w:val="18"/>
      <w:shd w:val="clear" w:color="auto" w:fill="000080"/>
    </w:rPr>
  </w:style>
  <w:style w:type="character" w:customStyle="1" w:styleId="86">
    <w:name w:val="纯文本 Char"/>
    <w:basedOn w:val="45"/>
    <w:qFormat/>
    <w:uiPriority w:val="0"/>
    <w:rPr>
      <w:rFonts w:ascii="宋体" w:hAnsi="Courier New" w:eastAsia="宋体" w:cs="Courier New"/>
      <w:szCs w:val="21"/>
    </w:rPr>
  </w:style>
  <w:style w:type="character" w:customStyle="1" w:styleId="87">
    <w:name w:val="批注主题 Char"/>
    <w:basedOn w:val="73"/>
    <w:link w:val="14"/>
    <w:qFormat/>
    <w:uiPriority w:val="99"/>
    <w:rPr>
      <w:rFonts w:ascii="Calibri" w:hAnsi="Calibri" w:eastAsia="宋体" w:cs="Times New Roman"/>
      <w:b/>
      <w:bCs/>
      <w:kern w:val="0"/>
      <w:sz w:val="18"/>
      <w:szCs w:val="18"/>
    </w:rPr>
  </w:style>
  <w:style w:type="character" w:customStyle="1" w:styleId="88">
    <w:name w:val="批注框文本 Char"/>
    <w:basedOn w:val="45"/>
    <w:link w:val="29"/>
    <w:qFormat/>
    <w:uiPriority w:val="99"/>
    <w:rPr>
      <w:rFonts w:ascii="Times New Roman" w:hAnsi="Times New Roman" w:eastAsia="宋体" w:cs="Times New Roman"/>
      <w:kern w:val="0"/>
      <w:sz w:val="18"/>
      <w:szCs w:val="18"/>
    </w:rPr>
  </w:style>
  <w:style w:type="paragraph" w:customStyle="1" w:styleId="8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0">
    <w:name w:val="列出段落 Char"/>
    <w:link w:val="91"/>
    <w:qFormat/>
    <w:locked/>
    <w:uiPriority w:val="0"/>
    <w:rPr>
      <w:rFonts w:ascii="Calibri" w:hAnsi="Calibri"/>
    </w:rPr>
  </w:style>
  <w:style w:type="paragraph" w:customStyle="1" w:styleId="91">
    <w:name w:val="List Paragraph"/>
    <w:basedOn w:val="1"/>
    <w:link w:val="90"/>
    <w:qFormat/>
    <w:uiPriority w:val="34"/>
    <w:pPr>
      <w:ind w:firstLine="420" w:firstLineChars="200"/>
    </w:pPr>
    <w:rPr>
      <w:rFonts w:eastAsiaTheme="minorEastAsia" w:cstheme="minorBidi"/>
    </w:rPr>
  </w:style>
  <w:style w:type="character" w:customStyle="1" w:styleId="92">
    <w:name w:val="彩色列表 - 强调文字颜色 1 Char"/>
    <w:link w:val="93"/>
    <w:qFormat/>
    <w:locked/>
    <w:uiPriority w:val="0"/>
    <w:rPr>
      <w:rFonts w:ascii="Calibri" w:hAnsi="Calibri"/>
    </w:rPr>
  </w:style>
  <w:style w:type="paragraph" w:customStyle="1" w:styleId="93">
    <w:name w:val="彩色列表 - 强调文字颜色 11"/>
    <w:basedOn w:val="1"/>
    <w:link w:val="92"/>
    <w:qFormat/>
    <w:uiPriority w:val="0"/>
    <w:pPr>
      <w:ind w:firstLine="420" w:firstLineChars="200"/>
    </w:pPr>
    <w:rPr>
      <w:rFonts w:eastAsiaTheme="minorEastAsia" w:cstheme="minorBidi"/>
    </w:rPr>
  </w:style>
  <w:style w:type="paragraph" w:customStyle="1" w:styleId="94">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95">
    <w:name w:val="MM Title"/>
    <w:basedOn w:val="1"/>
    <w:qFormat/>
    <w:uiPriority w:val="0"/>
    <w:pPr>
      <w:spacing w:before="240" w:after="60"/>
      <w:jc w:val="center"/>
      <w:outlineLvl w:val="0"/>
    </w:pPr>
    <w:rPr>
      <w:rFonts w:ascii="Arial" w:hAnsi="Arial" w:cs="Arial"/>
      <w:b/>
      <w:bCs/>
      <w:sz w:val="32"/>
      <w:szCs w:val="32"/>
    </w:rPr>
  </w:style>
  <w:style w:type="paragraph" w:customStyle="1" w:styleId="9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9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98">
    <w:name w:val="gb_master正文"/>
    <w:basedOn w:val="1"/>
    <w:qFormat/>
    <w:uiPriority w:val="0"/>
    <w:pPr>
      <w:ind w:firstLine="200" w:firstLineChars="200"/>
    </w:pPr>
    <w:rPr>
      <w:rFonts w:ascii="Times New Roman" w:hAnsi="Times New Roman"/>
      <w:szCs w:val="24"/>
    </w:rPr>
  </w:style>
  <w:style w:type="paragraph" w:customStyle="1" w:styleId="9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101">
    <w:name w:val="Char2 Char Char Char"/>
    <w:basedOn w:val="1"/>
    <w:qFormat/>
    <w:uiPriority w:val="0"/>
    <w:rPr>
      <w:rFonts w:ascii="仿宋_GB2312" w:hAnsi="Times New Roman"/>
      <w:b/>
      <w:sz w:val="30"/>
      <w:szCs w:val="32"/>
    </w:rPr>
  </w:style>
  <w:style w:type="paragraph" w:customStyle="1" w:styleId="102">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10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04">
    <w:name w:val="默认段落字体 Para Char"/>
    <w:basedOn w:val="1"/>
    <w:qFormat/>
    <w:uiPriority w:val="0"/>
    <w:rPr>
      <w:rFonts w:ascii="Tahoma" w:hAnsi="Tahoma"/>
      <w:sz w:val="24"/>
      <w:szCs w:val="20"/>
    </w:rPr>
  </w:style>
  <w:style w:type="paragraph" w:customStyle="1" w:styleId="10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107">
    <w:name w:val="样式 正文缩进 + (中文) 仿宋_GB2312 小四 Char"/>
    <w:basedOn w:val="17"/>
    <w:qFormat/>
    <w:uiPriority w:val="0"/>
    <w:pPr>
      <w:spacing w:after="0" w:line="360" w:lineRule="auto"/>
      <w:ind w:firstLine="480" w:firstLineChars="200"/>
    </w:pPr>
    <w:rPr>
      <w:rFonts w:ascii="宋体" w:hAnsi="宋体"/>
      <w:sz w:val="24"/>
      <w:szCs w:val="24"/>
    </w:rPr>
  </w:style>
  <w:style w:type="paragraph" w:customStyle="1" w:styleId="108">
    <w:name w:val="表格文字"/>
    <w:basedOn w:val="1"/>
    <w:link w:val="319"/>
    <w:qFormat/>
    <w:uiPriority w:val="0"/>
    <w:pPr>
      <w:spacing w:beforeLines="25"/>
    </w:pPr>
    <w:rPr>
      <w:rFonts w:ascii="Times New (W1)" w:hAnsi="Times New (W1)"/>
      <w:spacing w:val="10"/>
      <w:szCs w:val="24"/>
    </w:rPr>
  </w:style>
  <w:style w:type="paragraph" w:customStyle="1" w:styleId="109">
    <w:name w:val="文章正文"/>
    <w:basedOn w:val="1"/>
    <w:qFormat/>
    <w:uiPriority w:val="0"/>
    <w:pPr>
      <w:spacing w:line="360" w:lineRule="auto"/>
      <w:ind w:firstLine="420"/>
    </w:pPr>
    <w:rPr>
      <w:rFonts w:ascii="Times New Roman" w:hAnsi="Times New Roman"/>
      <w:sz w:val="24"/>
      <w:szCs w:val="24"/>
    </w:rPr>
  </w:style>
  <w:style w:type="paragraph" w:customStyle="1" w:styleId="110">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11">
    <w:name w:val="默认段落字体 Para Char Char"/>
    <w:basedOn w:val="1"/>
    <w:qFormat/>
    <w:uiPriority w:val="0"/>
    <w:rPr>
      <w:rFonts w:ascii="Times New Roman" w:hAnsi="Times New Roman"/>
      <w:szCs w:val="24"/>
    </w:rPr>
  </w:style>
  <w:style w:type="paragraph" w:customStyle="1" w:styleId="112">
    <w:name w:val="MM Topic 6"/>
    <w:basedOn w:val="10"/>
    <w:qFormat/>
    <w:uiPriority w:val="0"/>
    <w:pPr>
      <w:tabs>
        <w:tab w:val="left" w:pos="3260"/>
        <w:tab w:val="clear" w:pos="1702"/>
      </w:tabs>
      <w:ind w:left="0" w:firstLine="0"/>
    </w:pPr>
    <w:rPr>
      <w:rFonts w:eastAsia="黑体"/>
    </w:rPr>
  </w:style>
  <w:style w:type="paragraph" w:customStyle="1" w:styleId="113">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14">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15">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16">
    <w:name w:val="标题 5 + 首行缩进:  2 字符"/>
    <w:basedOn w:val="9"/>
    <w:next w:val="21"/>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17">
    <w:name w:val="Char2 Char Char Char Char Char Char"/>
    <w:basedOn w:val="1"/>
    <w:qFormat/>
    <w:uiPriority w:val="0"/>
    <w:rPr>
      <w:rFonts w:ascii="仿宋_GB2312" w:hAnsi="Times New Roman"/>
      <w:b/>
      <w:sz w:val="30"/>
      <w:szCs w:val="32"/>
    </w:rPr>
  </w:style>
  <w:style w:type="paragraph" w:customStyle="1" w:styleId="118">
    <w:name w:val="MM Topic 2"/>
    <w:basedOn w:val="6"/>
    <w:qFormat/>
    <w:uiPriority w:val="0"/>
    <w:pPr>
      <w:numPr>
        <w:ilvl w:val="0"/>
        <w:numId w:val="0"/>
      </w:numPr>
      <w:tabs>
        <w:tab w:val="left" w:pos="992"/>
      </w:tabs>
    </w:pPr>
    <w:rPr>
      <w:rFonts w:cs="Times New Roman"/>
    </w:rPr>
  </w:style>
  <w:style w:type="paragraph" w:customStyle="1" w:styleId="119">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20">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21">
    <w:name w:val="MM Topic 8"/>
    <w:basedOn w:val="12"/>
    <w:qFormat/>
    <w:uiPriority w:val="0"/>
    <w:pPr>
      <w:tabs>
        <w:tab w:val="left" w:pos="4394"/>
      </w:tabs>
    </w:pPr>
  </w:style>
  <w:style w:type="paragraph" w:customStyle="1" w:styleId="122">
    <w:name w:val="Char1 Char Char Char Char Char Char"/>
    <w:basedOn w:val="1"/>
    <w:qFormat/>
    <w:uiPriority w:val="0"/>
    <w:rPr>
      <w:rFonts w:ascii="Tahoma" w:hAnsi="Tahoma"/>
      <w:sz w:val="24"/>
      <w:szCs w:val="20"/>
    </w:rPr>
  </w:style>
  <w:style w:type="paragraph" w:customStyle="1" w:styleId="123">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24">
    <w:name w:val="样式 小四2"/>
    <w:basedOn w:val="1"/>
    <w:qFormat/>
    <w:uiPriority w:val="0"/>
    <w:rPr>
      <w:rFonts w:ascii="宋体" w:hAnsi="宋体"/>
      <w:sz w:val="24"/>
      <w:szCs w:val="24"/>
    </w:rPr>
  </w:style>
  <w:style w:type="paragraph" w:customStyle="1" w:styleId="12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2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27">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2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9">
    <w:name w:val="文章正文 Char Char1"/>
    <w:basedOn w:val="1"/>
    <w:qFormat/>
    <w:uiPriority w:val="0"/>
    <w:pPr>
      <w:spacing w:line="360" w:lineRule="auto"/>
      <w:ind w:firstLine="420"/>
    </w:pPr>
    <w:rPr>
      <w:rFonts w:ascii="Times New Roman" w:hAnsi="Times New Roman"/>
      <w:sz w:val="24"/>
      <w:szCs w:val="24"/>
    </w:rPr>
  </w:style>
  <w:style w:type="paragraph" w:customStyle="1" w:styleId="13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31">
    <w:name w:val="样式"/>
    <w:link w:val="214"/>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32">
    <w:name w:val="图"/>
    <w:basedOn w:val="1"/>
    <w:qFormat/>
    <w:uiPriority w:val="0"/>
    <w:pPr>
      <w:widowControl/>
      <w:adjustRightInd w:val="0"/>
      <w:snapToGrid w:val="0"/>
      <w:jc w:val="center"/>
    </w:pPr>
    <w:rPr>
      <w:rFonts w:ascii="宋体" w:hAnsi="宋体"/>
      <w:bCs/>
      <w:szCs w:val="24"/>
    </w:rPr>
  </w:style>
  <w:style w:type="paragraph" w:customStyle="1" w:styleId="133">
    <w:name w:val="Char1 Char Char Char Char Char Char1"/>
    <w:basedOn w:val="1"/>
    <w:qFormat/>
    <w:uiPriority w:val="99"/>
    <w:rPr>
      <w:rFonts w:ascii="Tahoma" w:hAnsi="Tahoma"/>
      <w:sz w:val="24"/>
      <w:szCs w:val="20"/>
    </w:rPr>
  </w:style>
  <w:style w:type="paragraph" w:customStyle="1" w:styleId="134">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35">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36">
    <w:name w:val="MM Topic 1"/>
    <w:basedOn w:val="4"/>
    <w:qFormat/>
    <w:uiPriority w:val="0"/>
    <w:pPr>
      <w:tabs>
        <w:tab w:val="left" w:pos="425"/>
      </w:tabs>
    </w:pPr>
    <w:rPr>
      <w:rFonts w:cs="Times New Roman"/>
      <w:sz w:val="44"/>
    </w:rPr>
  </w:style>
  <w:style w:type="paragraph" w:customStyle="1" w:styleId="137">
    <w:name w:val="样式 标题 5 + 倾斜"/>
    <w:basedOn w:val="9"/>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38">
    <w:name w:val="我的正文"/>
    <w:basedOn w:val="1"/>
    <w:qFormat/>
    <w:uiPriority w:val="0"/>
    <w:pPr>
      <w:spacing w:line="360" w:lineRule="auto"/>
      <w:ind w:firstLine="420" w:firstLineChars="200"/>
    </w:pPr>
    <w:rPr>
      <w:rFonts w:ascii="宋体" w:hAnsi="宋体"/>
      <w:szCs w:val="24"/>
    </w:rPr>
  </w:style>
  <w:style w:type="paragraph" w:customStyle="1" w:styleId="139">
    <w:name w:val="MM Topic 7"/>
    <w:basedOn w:val="11"/>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40">
    <w:name w:val="标书（正文）"/>
    <w:basedOn w:val="1"/>
    <w:qFormat/>
    <w:uiPriority w:val="0"/>
    <w:pPr>
      <w:spacing w:line="360" w:lineRule="auto"/>
      <w:ind w:firstLine="560" w:firstLineChars="200"/>
    </w:pPr>
    <w:rPr>
      <w:rFonts w:ascii="宋体" w:hAnsi="宋体"/>
      <w:kern w:val="10"/>
      <w:sz w:val="28"/>
      <w:szCs w:val="28"/>
    </w:rPr>
  </w:style>
  <w:style w:type="paragraph" w:customStyle="1" w:styleId="141">
    <w:name w:val="样式 标题 3 + (西文) 仿宋_GB2312 (中文) 仿宋_GB2312 四号"/>
    <w:basedOn w:val="7"/>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42">
    <w:name w:val="论文正文"/>
    <w:basedOn w:val="1"/>
    <w:qFormat/>
    <w:uiPriority w:val="0"/>
    <w:pPr>
      <w:spacing w:line="360" w:lineRule="auto"/>
      <w:ind w:firstLine="700" w:firstLineChars="250"/>
    </w:pPr>
    <w:rPr>
      <w:rFonts w:ascii="宋体" w:hAnsi="宋体"/>
      <w:bCs/>
      <w:sz w:val="28"/>
      <w:szCs w:val="28"/>
    </w:rPr>
  </w:style>
  <w:style w:type="paragraph" w:customStyle="1" w:styleId="143">
    <w:name w:val="样式1"/>
    <w:basedOn w:val="1"/>
    <w:qFormat/>
    <w:uiPriority w:val="0"/>
    <w:rPr>
      <w:rFonts w:ascii="Times New Roman" w:hAnsi="Times New Roman" w:eastAsia="隶书"/>
      <w:i/>
      <w:dstrike/>
      <w:sz w:val="28"/>
      <w:szCs w:val="18"/>
    </w:rPr>
  </w:style>
  <w:style w:type="paragraph" w:customStyle="1" w:styleId="144">
    <w:name w:val="表格"/>
    <w:basedOn w:val="1"/>
    <w:qFormat/>
    <w:uiPriority w:val="0"/>
    <w:pPr>
      <w:spacing w:line="400" w:lineRule="exact"/>
    </w:pPr>
    <w:rPr>
      <w:rFonts w:ascii="Times New Roman" w:hAnsi="Times New Roman"/>
      <w:sz w:val="24"/>
      <w:szCs w:val="24"/>
    </w:rPr>
  </w:style>
  <w:style w:type="paragraph" w:customStyle="1" w:styleId="145">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46">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47">
    <w:name w:val="Char Char Char Char Char Char Char Char Char Char Char Char Char"/>
    <w:basedOn w:val="19"/>
    <w:qFormat/>
    <w:uiPriority w:val="0"/>
    <w:rPr>
      <w:rFonts w:ascii="Tahoma" w:hAnsi="Tahoma"/>
      <w:sz w:val="24"/>
      <w:szCs w:val="24"/>
    </w:rPr>
  </w:style>
  <w:style w:type="paragraph" w:customStyle="1" w:styleId="148">
    <w:name w:val="MM Topic 3"/>
    <w:basedOn w:val="7"/>
    <w:qFormat/>
    <w:uiPriority w:val="0"/>
    <w:pPr>
      <w:numPr>
        <w:ilvl w:val="0"/>
        <w:numId w:val="0"/>
      </w:numPr>
      <w:tabs>
        <w:tab w:val="left" w:pos="1418"/>
      </w:tabs>
    </w:pPr>
    <w:rPr>
      <w:rFonts w:cs="Times New Roman"/>
    </w:rPr>
  </w:style>
  <w:style w:type="paragraph" w:customStyle="1" w:styleId="149">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50">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51">
    <w:name w:val="Char Char Char Char"/>
    <w:basedOn w:val="1"/>
    <w:qFormat/>
    <w:uiPriority w:val="0"/>
    <w:rPr>
      <w:rFonts w:ascii="Tahoma" w:hAnsi="Tahoma"/>
      <w:sz w:val="24"/>
      <w:szCs w:val="20"/>
    </w:rPr>
  </w:style>
  <w:style w:type="paragraph" w:customStyle="1" w:styleId="152">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53">
    <w:name w:val="MM Topic 9"/>
    <w:basedOn w:val="13"/>
    <w:qFormat/>
    <w:uiPriority w:val="0"/>
    <w:pPr>
      <w:tabs>
        <w:tab w:val="left" w:pos="5102"/>
      </w:tabs>
    </w:pPr>
  </w:style>
  <w:style w:type="paragraph" w:customStyle="1" w:styleId="154">
    <w:name w:val="MM Topic 5"/>
    <w:basedOn w:val="9"/>
    <w:qFormat/>
    <w:uiPriority w:val="0"/>
    <w:pPr>
      <w:tabs>
        <w:tab w:val="left" w:pos="2551"/>
        <w:tab w:val="clear" w:pos="1134"/>
        <w:tab w:val="clear" w:pos="1560"/>
      </w:tabs>
      <w:ind w:left="0" w:firstLine="0"/>
    </w:pPr>
    <w:rPr>
      <w:rFonts w:cs="Times New Roman"/>
    </w:rPr>
  </w:style>
  <w:style w:type="paragraph" w:customStyle="1" w:styleId="155">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56">
    <w:name w:val="MM Topic 4"/>
    <w:basedOn w:val="8"/>
    <w:qFormat/>
    <w:uiPriority w:val="0"/>
    <w:pPr>
      <w:tabs>
        <w:tab w:val="left" w:pos="1984"/>
      </w:tabs>
      <w:ind w:left="0" w:firstLine="0"/>
    </w:pPr>
  </w:style>
  <w:style w:type="paragraph" w:customStyle="1" w:styleId="15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8">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9">
    <w:name w:val="样式 标题 2H2第一章 标题 2Heading 2 HiddenHeading 2 CCBSheading 2h2..."/>
    <w:basedOn w:val="6"/>
    <w:qFormat/>
    <w:uiPriority w:val="0"/>
    <w:pPr>
      <w:tabs>
        <w:tab w:val="left" w:pos="-2493"/>
      </w:tabs>
    </w:pPr>
    <w:rPr>
      <w:rFonts w:cs="Times New Roman"/>
      <w:szCs w:val="20"/>
    </w:rPr>
  </w:style>
  <w:style w:type="paragraph" w:customStyle="1" w:styleId="16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61">
    <w:name w:val="列出段落2"/>
    <w:basedOn w:val="1"/>
    <w:qFormat/>
    <w:uiPriority w:val="0"/>
    <w:pPr>
      <w:ind w:firstLine="420" w:firstLineChars="200"/>
    </w:pPr>
  </w:style>
  <w:style w:type="paragraph" w:customStyle="1" w:styleId="162">
    <w:name w:val="列出段落4"/>
    <w:basedOn w:val="1"/>
    <w:qFormat/>
    <w:uiPriority w:val="34"/>
    <w:pPr>
      <w:ind w:firstLine="420" w:firstLineChars="200"/>
    </w:pPr>
    <w:rPr>
      <w:rFonts w:ascii="Times New Roman" w:hAnsi="Times New Roman"/>
      <w:szCs w:val="24"/>
    </w:rPr>
  </w:style>
  <w:style w:type="paragraph" w:customStyle="1" w:styleId="163">
    <w:name w:val="列出段落1"/>
    <w:basedOn w:val="1"/>
    <w:link w:val="321"/>
    <w:qFormat/>
    <w:uiPriority w:val="0"/>
    <w:pPr>
      <w:ind w:firstLine="420" w:firstLineChars="200"/>
    </w:pPr>
  </w:style>
  <w:style w:type="paragraph" w:customStyle="1" w:styleId="164">
    <w:name w:val="修订1"/>
    <w:qFormat/>
    <w:uiPriority w:val="99"/>
    <w:rPr>
      <w:rFonts w:ascii="Calibri" w:hAnsi="Calibri" w:eastAsia="宋体" w:cs="Times New Roman"/>
      <w:kern w:val="2"/>
      <w:sz w:val="21"/>
      <w:szCs w:val="22"/>
      <w:lang w:val="en-US" w:eastAsia="zh-CN" w:bidi="ar-SA"/>
    </w:rPr>
  </w:style>
  <w:style w:type="paragraph" w:customStyle="1" w:styleId="165">
    <w:name w:val="彩色列表 - 强调文字颜色 12"/>
    <w:basedOn w:val="1"/>
    <w:qFormat/>
    <w:uiPriority w:val="0"/>
    <w:pPr>
      <w:ind w:firstLine="420" w:firstLineChars="200"/>
    </w:pPr>
  </w:style>
  <w:style w:type="paragraph" w:customStyle="1" w:styleId="166">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67">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68">
    <w:name w:val="0-CD Char"/>
    <w:link w:val="169"/>
    <w:qFormat/>
    <w:locked/>
    <w:uiPriority w:val="0"/>
    <w:rPr>
      <w:rFonts w:ascii="宋体" w:hAnsi="宋体" w:eastAsia="宋体"/>
      <w:sz w:val="28"/>
      <w:szCs w:val="24"/>
    </w:rPr>
  </w:style>
  <w:style w:type="paragraph" w:customStyle="1" w:styleId="169">
    <w:name w:val="0-CD"/>
    <w:basedOn w:val="1"/>
    <w:link w:val="168"/>
    <w:qFormat/>
    <w:uiPriority w:val="0"/>
    <w:pPr>
      <w:spacing w:line="360" w:lineRule="auto"/>
      <w:ind w:firstLine="708" w:firstLineChars="253"/>
      <w:jc w:val="left"/>
    </w:pPr>
    <w:rPr>
      <w:rFonts w:ascii="宋体" w:hAnsi="宋体" w:cstheme="minorBidi"/>
      <w:sz w:val="28"/>
      <w:szCs w:val="24"/>
    </w:rPr>
  </w:style>
  <w:style w:type="character" w:customStyle="1" w:styleId="170">
    <w:name w:val="Char Char8"/>
    <w:qFormat/>
    <w:uiPriority w:val="0"/>
    <w:rPr>
      <w:rFonts w:hint="eastAsia" w:ascii="宋体" w:hAnsi="宋体" w:eastAsia="宋体"/>
      <w:kern w:val="2"/>
      <w:sz w:val="28"/>
      <w:szCs w:val="28"/>
    </w:rPr>
  </w:style>
  <w:style w:type="character" w:customStyle="1" w:styleId="171">
    <w:name w:val="Char Char5"/>
    <w:qFormat/>
    <w:uiPriority w:val="0"/>
    <w:rPr>
      <w:kern w:val="2"/>
      <w:sz w:val="21"/>
      <w:szCs w:val="24"/>
    </w:rPr>
  </w:style>
  <w:style w:type="character" w:customStyle="1" w:styleId="172">
    <w:name w:val="列出段落 Char Char"/>
    <w:qFormat/>
    <w:uiPriority w:val="0"/>
    <w:rPr>
      <w:rFonts w:hint="default" w:ascii="Calibri" w:hAnsi="Calibri" w:cs="Calibri"/>
      <w:kern w:val="2"/>
      <w:sz w:val="21"/>
      <w:szCs w:val="22"/>
    </w:rPr>
  </w:style>
  <w:style w:type="character" w:customStyle="1" w:styleId="173">
    <w:name w:val="正文文本 Char Char"/>
    <w:qFormat/>
    <w:uiPriority w:val="0"/>
    <w:rPr>
      <w:kern w:val="2"/>
      <w:sz w:val="21"/>
      <w:szCs w:val="24"/>
    </w:rPr>
  </w:style>
  <w:style w:type="character" w:customStyle="1" w:styleId="174">
    <w:name w:val="Char Char11"/>
    <w:qFormat/>
    <w:uiPriority w:val="0"/>
    <w:rPr>
      <w:rFonts w:hint="default" w:ascii="Arial Narrow" w:hAnsi="Arial Narrow"/>
      <w:b/>
      <w:bCs/>
      <w:iCs/>
      <w:szCs w:val="24"/>
      <w:lang w:eastAsia="en-US"/>
    </w:rPr>
  </w:style>
  <w:style w:type="character" w:customStyle="1" w:styleId="175">
    <w:name w:val="标书（正文） Char Char"/>
    <w:qFormat/>
    <w:uiPriority w:val="0"/>
    <w:rPr>
      <w:rFonts w:hint="eastAsia" w:ascii="宋体" w:hAnsi="宋体" w:eastAsia="宋体"/>
      <w:b/>
      <w:kern w:val="10"/>
      <w:sz w:val="21"/>
      <w:szCs w:val="21"/>
      <w:lang w:val="en-US" w:eastAsia="zh-CN" w:bidi="ar-SA"/>
    </w:rPr>
  </w:style>
  <w:style w:type="character" w:customStyle="1" w:styleId="176">
    <w:name w:val="line2"/>
    <w:basedOn w:val="45"/>
    <w:qFormat/>
    <w:uiPriority w:val="0"/>
  </w:style>
  <w:style w:type="character" w:customStyle="1" w:styleId="177">
    <w:name w:val="Char Char10"/>
    <w:qFormat/>
    <w:uiPriority w:val="0"/>
    <w:rPr>
      <w:kern w:val="2"/>
      <w:sz w:val="24"/>
      <w:szCs w:val="24"/>
    </w:rPr>
  </w:style>
  <w:style w:type="character" w:customStyle="1" w:styleId="178">
    <w:name w:val="MM Topic 4 Char Char"/>
    <w:qFormat/>
    <w:uiPriority w:val="0"/>
    <w:rPr>
      <w:rFonts w:hint="default" w:ascii="Arial" w:hAnsi="Arial" w:cs="Arial"/>
      <w:b/>
      <w:bCs/>
      <w:kern w:val="2"/>
      <w:sz w:val="28"/>
      <w:szCs w:val="28"/>
    </w:rPr>
  </w:style>
  <w:style w:type="character" w:customStyle="1" w:styleId="179">
    <w:name w:val="标书正文:  0.74 厘米 Char Char"/>
    <w:qFormat/>
    <w:uiPriority w:val="0"/>
    <w:rPr>
      <w:kern w:val="2"/>
      <w:sz w:val="24"/>
    </w:rPr>
  </w:style>
  <w:style w:type="character" w:customStyle="1" w:styleId="180">
    <w:name w:val="访问过的超链接1"/>
    <w:qFormat/>
    <w:uiPriority w:val="99"/>
    <w:rPr>
      <w:color w:val="800080"/>
      <w:u w:val="single"/>
    </w:rPr>
  </w:style>
  <w:style w:type="character" w:customStyle="1" w:styleId="181">
    <w:name w:val="标题 3 Char Char Char"/>
    <w:qFormat/>
    <w:uiPriority w:val="0"/>
    <w:rPr>
      <w:rFonts w:hint="eastAsia" w:ascii="宋体" w:hAnsi="宋体" w:eastAsia="宋体"/>
      <w:b/>
      <w:kern w:val="2"/>
      <w:sz w:val="32"/>
      <w:lang w:val="en-US" w:eastAsia="zh-CN" w:bidi="ar-SA"/>
    </w:rPr>
  </w:style>
  <w:style w:type="character" w:customStyle="1" w:styleId="182">
    <w:name w:val="（符号）邀请函中一、"/>
    <w:qFormat/>
    <w:uiPriority w:val="0"/>
    <w:rPr>
      <w:rFonts w:hint="eastAsia" w:ascii="黑体" w:hAnsi="黑体" w:eastAsia="黑体"/>
      <w:b/>
      <w:bCs/>
      <w:sz w:val="24"/>
    </w:rPr>
  </w:style>
  <w:style w:type="character" w:customStyle="1" w:styleId="183">
    <w:name w:val="tt Char"/>
    <w:qFormat/>
    <w:uiPriority w:val="0"/>
    <w:rPr>
      <w:rFonts w:hint="default" w:ascii="Arial" w:hAnsi="Arial" w:eastAsia="黑体" w:cs="Arial"/>
      <w:kern w:val="2"/>
      <w:sz w:val="21"/>
      <w:szCs w:val="21"/>
    </w:rPr>
  </w:style>
  <w:style w:type="character" w:customStyle="1" w:styleId="184">
    <w:name w:val="Char Char9"/>
    <w:qFormat/>
    <w:uiPriority w:val="0"/>
    <w:rPr>
      <w:kern w:val="2"/>
      <w:sz w:val="18"/>
      <w:szCs w:val="18"/>
    </w:rPr>
  </w:style>
  <w:style w:type="character" w:customStyle="1" w:styleId="185">
    <w:name w:val="MM Topic 3 Char Char"/>
    <w:qFormat/>
    <w:uiPriority w:val="0"/>
    <w:rPr>
      <w:rFonts w:hint="eastAsia" w:ascii="宋体" w:hAnsi="宋体" w:eastAsia="宋体"/>
      <w:b/>
      <w:bCs/>
      <w:color w:val="000000"/>
      <w:kern w:val="2"/>
      <w:sz w:val="28"/>
      <w:szCs w:val="28"/>
    </w:rPr>
  </w:style>
  <w:style w:type="character" w:customStyle="1" w:styleId="186">
    <w:name w:val="样式 小四2 Char Char"/>
    <w:qFormat/>
    <w:uiPriority w:val="0"/>
    <w:rPr>
      <w:rFonts w:hint="eastAsia" w:ascii="宋体" w:hAnsi="宋体" w:eastAsia="宋体"/>
      <w:kern w:val="2"/>
      <w:sz w:val="24"/>
      <w:szCs w:val="24"/>
    </w:rPr>
  </w:style>
  <w:style w:type="character" w:customStyle="1" w:styleId="187">
    <w:name w:val="Char Char7"/>
    <w:qFormat/>
    <w:uiPriority w:val="0"/>
    <w:rPr>
      <w:kern w:val="2"/>
      <w:sz w:val="18"/>
      <w:szCs w:val="18"/>
    </w:rPr>
  </w:style>
  <w:style w:type="character" w:customStyle="1" w:styleId="188">
    <w:name w:val="Char Char3"/>
    <w:qFormat/>
    <w:uiPriority w:val="0"/>
    <w:rPr>
      <w:b/>
      <w:bCs/>
      <w:kern w:val="2"/>
      <w:sz w:val="18"/>
      <w:szCs w:val="18"/>
    </w:rPr>
  </w:style>
  <w:style w:type="character" w:customStyle="1" w:styleId="189">
    <w:name w:val="apple-style-span"/>
    <w:basedOn w:val="45"/>
    <w:qFormat/>
    <w:uiPriority w:val="0"/>
  </w:style>
  <w:style w:type="character" w:customStyle="1" w:styleId="190">
    <w:name w:val="Char Char4"/>
    <w:qFormat/>
    <w:uiPriority w:val="0"/>
    <w:rPr>
      <w:kern w:val="2"/>
      <w:sz w:val="18"/>
      <w:szCs w:val="18"/>
    </w:rPr>
  </w:style>
  <w:style w:type="character" w:customStyle="1" w:styleId="191">
    <w:name w:val="副标题 Char1"/>
    <w:qFormat/>
    <w:uiPriority w:val="11"/>
    <w:rPr>
      <w:rFonts w:hint="default" w:ascii="Cambria" w:hAnsi="Cambria" w:cs="Times New Roman"/>
      <w:b/>
      <w:bCs/>
      <w:kern w:val="28"/>
      <w:sz w:val="32"/>
      <w:szCs w:val="32"/>
    </w:rPr>
  </w:style>
  <w:style w:type="character" w:customStyle="1" w:styleId="192">
    <w:name w:val="small"/>
    <w:basedOn w:val="45"/>
    <w:qFormat/>
    <w:uiPriority w:val="0"/>
  </w:style>
  <w:style w:type="character" w:customStyle="1" w:styleId="193">
    <w:name w:val="Legal Level 1.1.1. Char"/>
    <w:qFormat/>
    <w:uiPriority w:val="0"/>
    <w:rPr>
      <w:rFonts w:hint="default" w:ascii="Arial" w:hAnsi="Arial" w:eastAsia="黑体" w:cs="Arial"/>
      <w:kern w:val="2"/>
      <w:sz w:val="24"/>
      <w:szCs w:val="24"/>
    </w:rPr>
  </w:style>
  <w:style w:type="character" w:customStyle="1" w:styleId="194">
    <w:name w:val="文章正文 Char Char"/>
    <w:qFormat/>
    <w:uiPriority w:val="0"/>
    <w:rPr>
      <w:rFonts w:hint="eastAsia" w:ascii="宋体" w:hAnsi="宋体" w:eastAsia="宋体"/>
      <w:kern w:val="2"/>
      <w:sz w:val="24"/>
      <w:szCs w:val="24"/>
      <w:lang w:val="en-US" w:eastAsia="zh-CN" w:bidi="ar-SA"/>
    </w:rPr>
  </w:style>
  <w:style w:type="character" w:customStyle="1" w:styleId="195">
    <w:name w:val="正文文本 Char1"/>
    <w:qFormat/>
    <w:uiPriority w:val="0"/>
    <w:rPr>
      <w:rFonts w:hint="default" w:ascii="Times New Roman" w:hAnsi="Times New Roman" w:eastAsia="宋体" w:cs="Times New Roman"/>
      <w:kern w:val="0"/>
      <w:sz w:val="18"/>
      <w:szCs w:val="18"/>
    </w:rPr>
  </w:style>
  <w:style w:type="character" w:customStyle="1" w:styleId="196">
    <w:name w:val="正文文本 Char4"/>
    <w:basedOn w:val="45"/>
    <w:link w:val="2"/>
    <w:qFormat/>
    <w:locked/>
    <w:uiPriority w:val="99"/>
    <w:rPr>
      <w:rFonts w:ascii="Calibri" w:hAnsi="Calibri" w:eastAsia="宋体" w:cs="Times New Roman"/>
    </w:rPr>
  </w:style>
  <w:style w:type="character" w:customStyle="1" w:styleId="197">
    <w:name w:val="CD正文 Char Char"/>
    <w:qFormat/>
    <w:uiPriority w:val="0"/>
    <w:rPr>
      <w:rFonts w:hint="eastAsia" w:ascii="宋体" w:hAnsi="宋体" w:eastAsia="宋体"/>
      <w:kern w:val="2"/>
      <w:sz w:val="30"/>
      <w:szCs w:val="28"/>
      <w:lang w:val="en-US" w:eastAsia="zh-CN" w:bidi="ar-SA"/>
    </w:rPr>
  </w:style>
  <w:style w:type="character" w:customStyle="1" w:styleId="198">
    <w:name w:val="Char Char2"/>
    <w:qFormat/>
    <w:uiPriority w:val="0"/>
    <w:rPr>
      <w:kern w:val="2"/>
      <w:sz w:val="18"/>
      <w:szCs w:val="18"/>
    </w:rPr>
  </w:style>
  <w:style w:type="character" w:customStyle="1" w:styleId="199">
    <w:name w:val="标题 1 Char1"/>
    <w:qFormat/>
    <w:uiPriority w:val="0"/>
    <w:rPr>
      <w:b/>
      <w:bCs/>
      <w:kern w:val="44"/>
      <w:sz w:val="44"/>
      <w:szCs w:val="44"/>
    </w:rPr>
  </w:style>
  <w:style w:type="character" w:customStyle="1" w:styleId="200">
    <w:name w:val="表正文 Char1"/>
    <w:qFormat/>
    <w:uiPriority w:val="0"/>
    <w:rPr>
      <w:rFonts w:hint="eastAsia" w:ascii="宋体" w:hAnsi="宋体" w:eastAsia="宋体"/>
      <w:kern w:val="2"/>
      <w:sz w:val="21"/>
      <w:lang w:val="en-US" w:eastAsia="zh-CN" w:bidi="ar-SA"/>
    </w:rPr>
  </w:style>
  <w:style w:type="character" w:customStyle="1" w:styleId="201">
    <w:name w:val="纯文本 Char1"/>
    <w:link w:val="25"/>
    <w:qFormat/>
    <w:locked/>
    <w:uiPriority w:val="99"/>
    <w:rPr>
      <w:rFonts w:ascii="宋体" w:hAnsi="Courier New" w:eastAsia="宋体" w:cs="Times New Roman"/>
      <w:kern w:val="0"/>
      <w:sz w:val="20"/>
      <w:szCs w:val="18"/>
    </w:rPr>
  </w:style>
  <w:style w:type="character" w:customStyle="1" w:styleId="202">
    <w:name w:val="Char Char Char"/>
    <w:qFormat/>
    <w:uiPriority w:val="0"/>
    <w:rPr>
      <w:rFonts w:hint="eastAsia" w:ascii="宋体" w:hAnsi="宋体" w:eastAsia="宋体"/>
      <w:kern w:val="2"/>
      <w:sz w:val="18"/>
      <w:szCs w:val="18"/>
      <w:lang w:val="en-US" w:eastAsia="zh-CN" w:bidi="ar-SA"/>
    </w:rPr>
  </w:style>
  <w:style w:type="character" w:customStyle="1" w:styleId="203">
    <w:name w:val="Char Char6"/>
    <w:qFormat/>
    <w:uiPriority w:val="0"/>
    <w:rPr>
      <w:kern w:val="2"/>
      <w:sz w:val="21"/>
      <w:szCs w:val="24"/>
    </w:rPr>
  </w:style>
  <w:style w:type="character" w:customStyle="1" w:styleId="204">
    <w:name w:val="正文缩进 Char"/>
    <w:qFormat/>
    <w:uiPriority w:val="0"/>
    <w:rPr>
      <w:kern w:val="2"/>
      <w:sz w:val="21"/>
      <w:lang w:val="zh-CN" w:eastAsia="zh-CN"/>
    </w:rPr>
  </w:style>
  <w:style w:type="character" w:customStyle="1" w:styleId="205">
    <w:name w:val="font11"/>
    <w:basedOn w:val="45"/>
    <w:qFormat/>
    <w:uiPriority w:val="0"/>
    <w:rPr>
      <w:rFonts w:hint="eastAsia" w:ascii="宋体" w:hAnsi="宋体" w:eastAsia="宋体" w:cs="宋体"/>
      <w:b/>
      <w:color w:val="000000"/>
      <w:sz w:val="22"/>
      <w:szCs w:val="22"/>
      <w:u w:val="none"/>
    </w:rPr>
  </w:style>
  <w:style w:type="character" w:customStyle="1" w:styleId="206">
    <w:name w:val="font01"/>
    <w:basedOn w:val="45"/>
    <w:qFormat/>
    <w:uiPriority w:val="0"/>
    <w:rPr>
      <w:rFonts w:hint="eastAsia" w:ascii="宋体" w:hAnsi="宋体" w:eastAsia="宋体" w:cs="宋体"/>
      <w:color w:val="000000"/>
      <w:sz w:val="22"/>
      <w:szCs w:val="22"/>
      <w:u w:val="none"/>
    </w:rPr>
  </w:style>
  <w:style w:type="character" w:customStyle="1" w:styleId="207">
    <w:name w:val="页脚 Char1"/>
    <w:basedOn w:val="45"/>
    <w:qFormat/>
    <w:uiPriority w:val="99"/>
    <w:rPr>
      <w:sz w:val="18"/>
      <w:szCs w:val="18"/>
    </w:rPr>
  </w:style>
  <w:style w:type="character" w:customStyle="1" w:styleId="208">
    <w:name w:val="批注文字 Char2"/>
    <w:qFormat/>
    <w:uiPriority w:val="0"/>
    <w:rPr>
      <w:rFonts w:hint="eastAsia" w:ascii="宋体" w:hAnsi="宋体" w:eastAsia="宋体"/>
      <w:sz w:val="18"/>
      <w:szCs w:val="18"/>
    </w:rPr>
  </w:style>
  <w:style w:type="character" w:customStyle="1" w:styleId="209">
    <w:name w:val="列出段落 Char1"/>
    <w:qFormat/>
    <w:uiPriority w:val="0"/>
    <w:rPr>
      <w:rFonts w:hint="default" w:ascii="Calibri" w:hAnsi="Calibri"/>
      <w:kern w:val="2"/>
      <w:sz w:val="21"/>
      <w:szCs w:val="22"/>
    </w:rPr>
  </w:style>
  <w:style w:type="paragraph" w:customStyle="1" w:styleId="210">
    <w:name w:val="CD正文"/>
    <w:basedOn w:val="109"/>
    <w:link w:val="215"/>
    <w:qFormat/>
    <w:uiPriority w:val="0"/>
  </w:style>
  <w:style w:type="paragraph" w:customStyle="1" w:styleId="211">
    <w:name w:val="项目符号：一级"/>
    <w:basedOn w:val="96"/>
    <w:next w:val="96"/>
    <w:qFormat/>
    <w:uiPriority w:val="0"/>
  </w:style>
  <w:style w:type="character" w:customStyle="1" w:styleId="212">
    <w:name w:val="HTML 预设格式 Char"/>
    <w:basedOn w:val="45"/>
    <w:link w:val="42"/>
    <w:qFormat/>
    <w:uiPriority w:val="0"/>
    <w:rPr>
      <w:rFonts w:ascii="宋体" w:hAnsi="宋体" w:eastAsia="宋体" w:cs="Times New Roman"/>
      <w:kern w:val="0"/>
      <w:sz w:val="24"/>
      <w:szCs w:val="24"/>
    </w:rPr>
  </w:style>
  <w:style w:type="paragraph" w:customStyle="1" w:styleId="213">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14">
    <w:name w:val="样式 Char Char"/>
    <w:link w:val="131"/>
    <w:qFormat/>
    <w:locked/>
    <w:uiPriority w:val="0"/>
    <w:rPr>
      <w:rFonts w:ascii="宋体" w:hAnsi="宋体" w:eastAsia="宋体" w:cs="宋体"/>
      <w:kern w:val="0"/>
      <w:sz w:val="24"/>
      <w:szCs w:val="24"/>
    </w:rPr>
  </w:style>
  <w:style w:type="character" w:customStyle="1" w:styleId="215">
    <w:name w:val="CD正文 Char"/>
    <w:link w:val="210"/>
    <w:qFormat/>
    <w:locked/>
    <w:uiPriority w:val="0"/>
    <w:rPr>
      <w:rFonts w:ascii="Times New Roman" w:hAnsi="Times New Roman" w:eastAsia="宋体" w:cs="Times New Roman"/>
      <w:sz w:val="24"/>
      <w:szCs w:val="24"/>
    </w:rPr>
  </w:style>
  <w:style w:type="paragraph" w:customStyle="1" w:styleId="216">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17">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18">
    <w:name w:val="列出段落5"/>
    <w:basedOn w:val="1"/>
    <w:qFormat/>
    <w:uiPriority w:val="99"/>
    <w:pPr>
      <w:ind w:firstLine="420" w:firstLineChars="200"/>
    </w:pPr>
    <w:rPr>
      <w:rFonts w:ascii="Times New Roman" w:hAnsi="Times New Roman"/>
    </w:rPr>
  </w:style>
  <w:style w:type="paragraph" w:customStyle="1" w:styleId="219">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20">
    <w:name w:val="图题标题"/>
    <w:basedOn w:val="1"/>
    <w:qFormat/>
    <w:uiPriority w:val="99"/>
    <w:pPr>
      <w:spacing w:line="400" w:lineRule="exact"/>
      <w:jc w:val="center"/>
    </w:pPr>
    <w:rPr>
      <w:rFonts w:ascii="Times New Roman" w:hAnsi="Times New Roman" w:eastAsia="黑体"/>
      <w:sz w:val="24"/>
      <w:szCs w:val="24"/>
    </w:rPr>
  </w:style>
  <w:style w:type="paragraph" w:customStyle="1" w:styleId="221">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22">
    <w:name w:val="列出段落11"/>
    <w:basedOn w:val="1"/>
    <w:qFormat/>
    <w:uiPriority w:val="99"/>
    <w:pPr>
      <w:spacing w:after="200" w:line="276" w:lineRule="auto"/>
      <w:ind w:firstLine="420" w:firstLineChars="200"/>
    </w:pPr>
  </w:style>
  <w:style w:type="paragraph" w:customStyle="1" w:styleId="223">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24">
    <w:name w:val="UserStyle_26"/>
    <w:link w:val="225"/>
    <w:qFormat/>
    <w:locked/>
    <w:uiPriority w:val="0"/>
  </w:style>
  <w:style w:type="paragraph" w:customStyle="1" w:styleId="225">
    <w:name w:val="NormalIndent"/>
    <w:basedOn w:val="1"/>
    <w:link w:val="224"/>
    <w:qFormat/>
    <w:uiPriority w:val="0"/>
    <w:pPr>
      <w:widowControl/>
      <w:spacing w:after="200" w:line="276" w:lineRule="auto"/>
      <w:ind w:firstLine="420"/>
    </w:pPr>
    <w:rPr>
      <w:rFonts w:asciiTheme="minorHAnsi" w:hAnsiTheme="minorHAnsi" w:eastAsiaTheme="minorEastAsia" w:cstheme="minorBidi"/>
    </w:rPr>
  </w:style>
  <w:style w:type="paragraph" w:customStyle="1" w:styleId="226">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27">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28">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29">
    <w:name w:val="UserStyle_40"/>
    <w:basedOn w:val="1"/>
    <w:qFormat/>
    <w:uiPriority w:val="99"/>
    <w:pPr>
      <w:widowControl/>
      <w:spacing w:after="200" w:line="276" w:lineRule="auto"/>
      <w:ind w:firstLine="420" w:firstLineChars="200"/>
    </w:pPr>
    <w:rPr>
      <w:szCs w:val="21"/>
    </w:rPr>
  </w:style>
  <w:style w:type="paragraph" w:customStyle="1" w:styleId="230">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31">
    <w:name w:val="BodyText"/>
    <w:basedOn w:val="1"/>
    <w:qFormat/>
    <w:uiPriority w:val="0"/>
    <w:pPr>
      <w:spacing w:after="120" w:line="276" w:lineRule="auto"/>
    </w:pPr>
  </w:style>
  <w:style w:type="paragraph" w:customStyle="1" w:styleId="232">
    <w:name w:val="_Style 2"/>
    <w:basedOn w:val="1"/>
    <w:qFormat/>
    <w:uiPriority w:val="99"/>
    <w:pPr>
      <w:spacing w:after="200" w:line="276" w:lineRule="auto"/>
      <w:ind w:firstLine="420" w:firstLineChars="200"/>
    </w:pPr>
  </w:style>
  <w:style w:type="paragraph" w:customStyle="1" w:styleId="233">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34">
    <w:name w:val="标准文本 Char Char"/>
    <w:link w:val="235"/>
    <w:qFormat/>
    <w:locked/>
    <w:uiPriority w:val="0"/>
    <w:rPr>
      <w:sz w:val="24"/>
    </w:rPr>
  </w:style>
  <w:style w:type="paragraph" w:customStyle="1" w:styleId="235">
    <w:name w:val="标准文本"/>
    <w:basedOn w:val="1"/>
    <w:link w:val="234"/>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36">
    <w:name w:val="正文360首行缩进 Char"/>
    <w:basedOn w:val="45"/>
    <w:link w:val="237"/>
    <w:qFormat/>
    <w:locked/>
    <w:uiPriority w:val="0"/>
    <w:rPr>
      <w:rFonts w:ascii="Times New Roman" w:hAnsi="Times New Roman" w:eastAsia="宋体" w:cs="Times New Roman"/>
      <w:sz w:val="24"/>
    </w:rPr>
  </w:style>
  <w:style w:type="paragraph" w:customStyle="1" w:styleId="237">
    <w:name w:val="正文360首行缩进"/>
    <w:basedOn w:val="1"/>
    <w:link w:val="236"/>
    <w:qFormat/>
    <w:uiPriority w:val="0"/>
    <w:pPr>
      <w:widowControl/>
      <w:spacing w:before="120" w:line="300" w:lineRule="auto"/>
      <w:ind w:firstLine="200" w:firstLineChars="200"/>
      <w:jc w:val="left"/>
    </w:pPr>
    <w:rPr>
      <w:rFonts w:ascii="Times New Roman" w:hAnsi="Times New Roman"/>
      <w:sz w:val="24"/>
    </w:rPr>
  </w:style>
  <w:style w:type="paragraph" w:customStyle="1" w:styleId="238">
    <w:name w:val="列出段落1_0"/>
    <w:basedOn w:val="1"/>
    <w:qFormat/>
    <w:uiPriority w:val="99"/>
    <w:pPr>
      <w:ind w:firstLine="420" w:firstLineChars="200"/>
    </w:pPr>
    <w:rPr>
      <w:szCs w:val="21"/>
    </w:rPr>
  </w:style>
  <w:style w:type="paragraph" w:customStyle="1" w:styleId="239">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40">
    <w:name w:val="Char1 Char Char Char Char Char Char_0"/>
    <w:basedOn w:val="1"/>
    <w:qFormat/>
    <w:uiPriority w:val="0"/>
    <w:rPr>
      <w:rFonts w:ascii="Tahoma" w:hAnsi="Tahoma"/>
      <w:sz w:val="24"/>
      <w:szCs w:val="20"/>
    </w:rPr>
  </w:style>
  <w:style w:type="paragraph" w:customStyle="1" w:styleId="241">
    <w:name w:val="样式 标题 2 + Times New Roman 四号 非加粗 段前: 5 磅 段后: 0 磅 行距: 固定值 20..."/>
    <w:basedOn w:val="6"/>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42">
    <w:name w:val="列出段落111"/>
    <w:basedOn w:val="1"/>
    <w:qFormat/>
    <w:uiPriority w:val="99"/>
    <w:pPr>
      <w:ind w:firstLine="420" w:firstLineChars="200"/>
    </w:pPr>
    <w:rPr>
      <w:rFonts w:ascii="Times New Roman" w:hAnsi="Times New Roman"/>
    </w:rPr>
  </w:style>
  <w:style w:type="paragraph" w:customStyle="1" w:styleId="243">
    <w:name w:val="修订3"/>
    <w:qFormat/>
    <w:uiPriority w:val="99"/>
    <w:rPr>
      <w:rFonts w:ascii="Calibri" w:hAnsi="Calibri" w:eastAsia="宋体" w:cs="Times New Roman"/>
      <w:kern w:val="2"/>
      <w:sz w:val="21"/>
      <w:szCs w:val="22"/>
      <w:lang w:val="en-US" w:eastAsia="zh-CN" w:bidi="ar-SA"/>
    </w:rPr>
  </w:style>
  <w:style w:type="paragraph" w:customStyle="1" w:styleId="244">
    <w:name w:val="List Paragraph1"/>
    <w:basedOn w:val="1"/>
    <w:qFormat/>
    <w:uiPriority w:val="99"/>
    <w:pPr>
      <w:ind w:firstLine="420" w:firstLineChars="200"/>
    </w:pPr>
    <w:rPr>
      <w:rFonts w:ascii="Times New Roman" w:hAnsi="Times New Roman"/>
      <w:szCs w:val="24"/>
    </w:rPr>
  </w:style>
  <w:style w:type="paragraph" w:customStyle="1" w:styleId="245">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6">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47">
    <w:name w:val="标题 5（有编号）（绿盟科技）"/>
    <w:basedOn w:val="1"/>
    <w:next w:val="246"/>
    <w:qFormat/>
    <w:uiPriority w:val="0"/>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48">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49">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50">
    <w:name w:val="修订11"/>
    <w:qFormat/>
    <w:uiPriority w:val="99"/>
    <w:rPr>
      <w:rFonts w:ascii="Calibri" w:hAnsi="Calibri" w:eastAsia="宋体" w:cs="Times New Roman"/>
      <w:kern w:val="2"/>
      <w:sz w:val="21"/>
      <w:szCs w:val="22"/>
      <w:lang w:val="en-US" w:eastAsia="zh-CN" w:bidi="ar-SA"/>
    </w:rPr>
  </w:style>
  <w:style w:type="paragraph" w:customStyle="1" w:styleId="251">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52">
    <w:name w:val="Placeholder Text"/>
    <w:basedOn w:val="45"/>
    <w:semiHidden/>
    <w:qFormat/>
    <w:uiPriority w:val="99"/>
    <w:rPr>
      <w:color w:val="808080"/>
    </w:rPr>
  </w:style>
  <w:style w:type="character" w:customStyle="1" w:styleId="253">
    <w:name w:val="页眉 字符1"/>
    <w:basedOn w:val="45"/>
    <w:semiHidden/>
    <w:qFormat/>
    <w:locked/>
    <w:uiPriority w:val="99"/>
    <w:rPr>
      <w:rFonts w:ascii="Calibri" w:hAnsi="Calibri" w:eastAsia="宋体" w:cs="Times New Roman"/>
      <w:kern w:val="0"/>
      <w:sz w:val="18"/>
      <w:szCs w:val="18"/>
    </w:rPr>
  </w:style>
  <w:style w:type="character" w:customStyle="1" w:styleId="254">
    <w:name w:val="正文文本 字符1"/>
    <w:basedOn w:val="45"/>
    <w:semiHidden/>
    <w:qFormat/>
    <w:locked/>
    <w:uiPriority w:val="99"/>
    <w:rPr>
      <w:rFonts w:ascii="Calibri" w:hAnsi="Calibri" w:eastAsia="宋体" w:cs="Times New Roman"/>
    </w:rPr>
  </w:style>
  <w:style w:type="character" w:customStyle="1" w:styleId="255">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56">
    <w:name w:val="NormalCharacter"/>
    <w:qFormat/>
    <w:uiPriority w:val="0"/>
  </w:style>
  <w:style w:type="paragraph" w:customStyle="1" w:styleId="257">
    <w:name w:val="BodyText1I"/>
    <w:basedOn w:val="1"/>
    <w:link w:val="258"/>
    <w:qFormat/>
    <w:uiPriority w:val="0"/>
  </w:style>
  <w:style w:type="character" w:customStyle="1" w:styleId="258">
    <w:name w:val="UserStyle_9"/>
    <w:basedOn w:val="45"/>
    <w:link w:val="257"/>
    <w:qFormat/>
    <w:locked/>
    <w:uiPriority w:val="0"/>
    <w:rPr>
      <w:rFonts w:ascii="Calibri" w:hAnsi="Calibri" w:eastAsia="宋体" w:cs="Times New Roman"/>
    </w:rPr>
  </w:style>
  <w:style w:type="character" w:customStyle="1" w:styleId="259">
    <w:name w:val="15"/>
    <w:basedOn w:val="45"/>
    <w:qFormat/>
    <w:uiPriority w:val="0"/>
    <w:rPr>
      <w:rFonts w:hint="default" w:ascii="Calibri" w:hAnsi="Calibri"/>
    </w:rPr>
  </w:style>
  <w:style w:type="character" w:customStyle="1" w:styleId="260">
    <w:name w:val="批注文字 Char1"/>
    <w:basedOn w:val="45"/>
    <w:semiHidden/>
    <w:qFormat/>
    <w:locked/>
    <w:uiPriority w:val="0"/>
    <w:rPr>
      <w:rFonts w:hint="default" w:ascii="Calibri" w:hAnsi="Calibri" w:eastAsia="宋体" w:cs="Times New Roman"/>
    </w:rPr>
  </w:style>
  <w:style w:type="character" w:customStyle="1" w:styleId="261">
    <w:name w:val="font21"/>
    <w:qFormat/>
    <w:uiPriority w:val="0"/>
    <w:rPr>
      <w:rFonts w:hint="default" w:ascii="Arial" w:hAnsi="Arial" w:cs="Arial"/>
      <w:color w:val="000000"/>
      <w:sz w:val="18"/>
      <w:szCs w:val="18"/>
      <w:u w:val="none"/>
    </w:rPr>
  </w:style>
  <w:style w:type="character" w:customStyle="1" w:styleId="262">
    <w:name w:val="_Style 8"/>
    <w:qFormat/>
    <w:uiPriority w:val="32"/>
    <w:rPr>
      <w:b/>
      <w:bCs/>
      <w:smallCaps/>
      <w:color w:val="C0504D"/>
      <w:spacing w:val="5"/>
      <w:u w:val="single"/>
    </w:rPr>
  </w:style>
  <w:style w:type="character" w:customStyle="1" w:styleId="263">
    <w:name w:val="l-btn-icon-left"/>
    <w:basedOn w:val="45"/>
    <w:qFormat/>
    <w:uiPriority w:val="0"/>
  </w:style>
  <w:style w:type="character" w:customStyle="1" w:styleId="264">
    <w:name w:val="l-btn-icon-left1"/>
    <w:basedOn w:val="45"/>
    <w:qFormat/>
    <w:uiPriority w:val="0"/>
  </w:style>
  <w:style w:type="character" w:customStyle="1" w:styleId="265">
    <w:name w:val="l-btn-empty"/>
    <w:basedOn w:val="45"/>
    <w:qFormat/>
    <w:uiPriority w:val="0"/>
  </w:style>
  <w:style w:type="character" w:customStyle="1" w:styleId="266">
    <w:name w:val="l-btn-icon-right"/>
    <w:basedOn w:val="45"/>
    <w:qFormat/>
    <w:uiPriority w:val="0"/>
  </w:style>
  <w:style w:type="character" w:customStyle="1" w:styleId="267">
    <w:name w:val="l-btn-left2"/>
    <w:basedOn w:val="45"/>
    <w:qFormat/>
    <w:uiPriority w:val="0"/>
  </w:style>
  <w:style w:type="character" w:customStyle="1" w:styleId="268">
    <w:name w:val="l-btn-left3"/>
    <w:basedOn w:val="45"/>
    <w:qFormat/>
    <w:uiPriority w:val="0"/>
  </w:style>
  <w:style w:type="character" w:customStyle="1" w:styleId="269">
    <w:name w:val="l-btn-left4"/>
    <w:basedOn w:val="45"/>
    <w:qFormat/>
    <w:uiPriority w:val="0"/>
  </w:style>
  <w:style w:type="character" w:customStyle="1" w:styleId="270">
    <w:name w:val="l-btn-left5"/>
    <w:basedOn w:val="45"/>
    <w:qFormat/>
    <w:uiPriority w:val="0"/>
  </w:style>
  <w:style w:type="character" w:customStyle="1" w:styleId="271">
    <w:name w:val="l-btn-left6"/>
    <w:basedOn w:val="45"/>
    <w:qFormat/>
    <w:uiPriority w:val="0"/>
  </w:style>
  <w:style w:type="character" w:customStyle="1" w:styleId="272">
    <w:name w:val="l-btn-text"/>
    <w:basedOn w:val="45"/>
    <w:qFormat/>
    <w:uiPriority w:val="0"/>
    <w:rPr>
      <w:vertAlign w:val="baseline"/>
    </w:rPr>
  </w:style>
  <w:style w:type="character" w:customStyle="1" w:styleId="273">
    <w:name w:val="l-btn-text1"/>
    <w:basedOn w:val="45"/>
    <w:qFormat/>
    <w:uiPriority w:val="0"/>
    <w:rPr>
      <w:vertAlign w:val="baseline"/>
    </w:rPr>
  </w:style>
  <w:style w:type="character" w:customStyle="1" w:styleId="274">
    <w:name w:val="ajaxtitle"/>
    <w:basedOn w:val="45"/>
    <w:qFormat/>
    <w:uiPriority w:val="0"/>
  </w:style>
  <w:style w:type="character" w:customStyle="1" w:styleId="275">
    <w:name w:val="json_key"/>
    <w:basedOn w:val="45"/>
    <w:qFormat/>
    <w:uiPriority w:val="0"/>
  </w:style>
  <w:style w:type="character" w:customStyle="1" w:styleId="276">
    <w:name w:val="json_string"/>
    <w:basedOn w:val="45"/>
    <w:qFormat/>
    <w:uiPriority w:val="0"/>
  </w:style>
  <w:style w:type="character" w:customStyle="1" w:styleId="277">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78">
    <w:name w:val="标题 3 Char1"/>
    <w:basedOn w:val="45"/>
    <w:semiHidden/>
    <w:qFormat/>
    <w:uiPriority w:val="99"/>
    <w:rPr>
      <w:rFonts w:hint="default" w:ascii="Calibri" w:hAnsi="Calibri"/>
      <w:b/>
      <w:bCs/>
      <w:kern w:val="2"/>
      <w:sz w:val="32"/>
      <w:szCs w:val="32"/>
    </w:rPr>
  </w:style>
  <w:style w:type="character" w:customStyle="1" w:styleId="279">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80">
    <w:name w:val="正文文本缩进 2 Char1"/>
    <w:basedOn w:val="45"/>
    <w:semiHidden/>
    <w:qFormat/>
    <w:uiPriority w:val="99"/>
    <w:rPr>
      <w:rFonts w:hint="default" w:ascii="Calibri" w:hAnsi="Calibri" w:cs="Calibri"/>
      <w:kern w:val="2"/>
      <w:sz w:val="21"/>
      <w:szCs w:val="22"/>
    </w:rPr>
  </w:style>
  <w:style w:type="character" w:customStyle="1" w:styleId="281">
    <w:name w:val="正文文本缩进 Char1"/>
    <w:basedOn w:val="45"/>
    <w:semiHidden/>
    <w:qFormat/>
    <w:uiPriority w:val="99"/>
    <w:rPr>
      <w:rFonts w:hint="default" w:ascii="Calibri" w:hAnsi="Calibri" w:cs="Calibri"/>
      <w:kern w:val="2"/>
      <w:sz w:val="21"/>
      <w:szCs w:val="22"/>
    </w:rPr>
  </w:style>
  <w:style w:type="character" w:customStyle="1" w:styleId="282">
    <w:name w:val="正文文本 3 Char1"/>
    <w:basedOn w:val="45"/>
    <w:semiHidden/>
    <w:qFormat/>
    <w:uiPriority w:val="99"/>
    <w:rPr>
      <w:rFonts w:hint="default" w:ascii="Calibri" w:hAnsi="Calibri" w:cs="Calibri"/>
      <w:kern w:val="2"/>
      <w:sz w:val="16"/>
      <w:szCs w:val="16"/>
    </w:rPr>
  </w:style>
  <w:style w:type="character" w:customStyle="1" w:styleId="283">
    <w:name w:val="正文文本缩进 3 Char1"/>
    <w:basedOn w:val="45"/>
    <w:semiHidden/>
    <w:qFormat/>
    <w:uiPriority w:val="99"/>
    <w:rPr>
      <w:rFonts w:hint="default" w:ascii="Calibri" w:hAnsi="Calibri" w:cs="Calibri"/>
      <w:kern w:val="2"/>
      <w:sz w:val="16"/>
      <w:szCs w:val="16"/>
    </w:rPr>
  </w:style>
  <w:style w:type="character" w:customStyle="1" w:styleId="284">
    <w:name w:val="批注框文本 Char1"/>
    <w:basedOn w:val="45"/>
    <w:semiHidden/>
    <w:qFormat/>
    <w:uiPriority w:val="99"/>
    <w:rPr>
      <w:rFonts w:hint="default" w:ascii="Calibri" w:hAnsi="Calibri" w:cs="Calibri"/>
      <w:kern w:val="2"/>
      <w:sz w:val="18"/>
      <w:szCs w:val="18"/>
    </w:rPr>
  </w:style>
  <w:style w:type="character" w:customStyle="1" w:styleId="285">
    <w:name w:val="文档结构图 Char1"/>
    <w:basedOn w:val="45"/>
    <w:semiHidden/>
    <w:qFormat/>
    <w:uiPriority w:val="99"/>
    <w:rPr>
      <w:rFonts w:hint="eastAsia" w:ascii="宋体" w:hAnsi="Calibri" w:eastAsia="宋体"/>
      <w:kern w:val="2"/>
      <w:sz w:val="18"/>
      <w:szCs w:val="18"/>
    </w:rPr>
  </w:style>
  <w:style w:type="character" w:customStyle="1" w:styleId="286">
    <w:name w:val="页眉 Char1"/>
    <w:basedOn w:val="45"/>
    <w:semiHidden/>
    <w:qFormat/>
    <w:uiPriority w:val="99"/>
    <w:rPr>
      <w:rFonts w:hint="default" w:ascii="Calibri" w:hAnsi="Calibri" w:cs="Calibri"/>
      <w:kern w:val="2"/>
      <w:sz w:val="18"/>
      <w:szCs w:val="18"/>
    </w:rPr>
  </w:style>
  <w:style w:type="character" w:customStyle="1" w:styleId="287">
    <w:name w:val="日期 Char1"/>
    <w:basedOn w:val="45"/>
    <w:semiHidden/>
    <w:qFormat/>
    <w:uiPriority w:val="99"/>
    <w:rPr>
      <w:rFonts w:hint="default" w:ascii="Calibri" w:hAnsi="Calibri" w:cs="Calibri"/>
      <w:kern w:val="2"/>
      <w:sz w:val="21"/>
      <w:szCs w:val="22"/>
    </w:rPr>
  </w:style>
  <w:style w:type="character" w:customStyle="1" w:styleId="288">
    <w:name w:val="正文文本 Char3"/>
    <w:basedOn w:val="45"/>
    <w:qFormat/>
    <w:uiPriority w:val="99"/>
    <w:rPr>
      <w:rFonts w:hint="default" w:ascii="Calibri" w:hAnsi="Calibri" w:cs="Calibri"/>
      <w:kern w:val="2"/>
      <w:sz w:val="21"/>
      <w:szCs w:val="22"/>
    </w:rPr>
  </w:style>
  <w:style w:type="character" w:customStyle="1" w:styleId="289">
    <w:name w:val="纯文本 Char2"/>
    <w:basedOn w:val="45"/>
    <w:qFormat/>
    <w:uiPriority w:val="99"/>
    <w:rPr>
      <w:rFonts w:hint="eastAsia" w:ascii="宋体" w:hAnsi="Courier New" w:eastAsia="宋体" w:cs="Courier New"/>
      <w:kern w:val="2"/>
      <w:sz w:val="21"/>
      <w:szCs w:val="21"/>
    </w:rPr>
  </w:style>
  <w:style w:type="character" w:customStyle="1" w:styleId="290">
    <w:name w:val="正文首行缩进 Char1"/>
    <w:basedOn w:val="288"/>
    <w:semiHidden/>
    <w:qFormat/>
    <w:uiPriority w:val="99"/>
    <w:rPr>
      <w:rFonts w:hint="default" w:ascii="Calibri" w:hAnsi="Calibri" w:cs="Calibri"/>
      <w:kern w:val="2"/>
      <w:sz w:val="21"/>
      <w:szCs w:val="22"/>
    </w:rPr>
  </w:style>
  <w:style w:type="character" w:customStyle="1" w:styleId="291">
    <w:name w:val="正文文本 2 Char1"/>
    <w:basedOn w:val="45"/>
    <w:semiHidden/>
    <w:qFormat/>
    <w:uiPriority w:val="99"/>
    <w:rPr>
      <w:rFonts w:hint="default" w:ascii="Calibri" w:hAnsi="Calibri" w:cs="Calibri"/>
      <w:kern w:val="2"/>
      <w:sz w:val="21"/>
      <w:szCs w:val="22"/>
    </w:rPr>
  </w:style>
  <w:style w:type="character" w:customStyle="1" w:styleId="292">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93">
    <w:name w:val="font61"/>
    <w:qFormat/>
    <w:uiPriority w:val="0"/>
    <w:rPr>
      <w:rFonts w:hint="eastAsia" w:ascii="仿宋_GB2312" w:eastAsia="仿宋_GB2312" w:cs="仿宋_GB2312"/>
      <w:color w:val="000000"/>
      <w:sz w:val="24"/>
      <w:szCs w:val="24"/>
      <w:u w:val="none"/>
    </w:rPr>
  </w:style>
  <w:style w:type="character" w:customStyle="1" w:styleId="294">
    <w:name w:val="font31"/>
    <w:qFormat/>
    <w:uiPriority w:val="0"/>
    <w:rPr>
      <w:rFonts w:hint="eastAsia" w:ascii="宋体" w:hAnsi="宋体" w:eastAsia="宋体" w:cs="宋体"/>
      <w:color w:val="FF0000"/>
      <w:sz w:val="24"/>
      <w:szCs w:val="24"/>
      <w:u w:val="none"/>
    </w:rPr>
  </w:style>
  <w:style w:type="character" w:customStyle="1" w:styleId="295">
    <w:name w:val="font221"/>
    <w:qFormat/>
    <w:uiPriority w:val="0"/>
    <w:rPr>
      <w:rFonts w:hint="eastAsia" w:ascii="宋体" w:hAnsi="宋体" w:eastAsia="宋体" w:cs="宋体"/>
      <w:color w:val="000000"/>
      <w:sz w:val="24"/>
      <w:szCs w:val="24"/>
      <w:u w:val="none"/>
    </w:rPr>
  </w:style>
  <w:style w:type="character" w:customStyle="1" w:styleId="296">
    <w:name w:val="font121"/>
    <w:basedOn w:val="45"/>
    <w:qFormat/>
    <w:uiPriority w:val="0"/>
    <w:rPr>
      <w:rFonts w:hint="eastAsia" w:ascii="宋体" w:hAnsi="宋体" w:eastAsia="宋体" w:cs="宋体"/>
      <w:color w:val="000000"/>
      <w:sz w:val="22"/>
      <w:szCs w:val="22"/>
      <w:u w:val="none"/>
    </w:rPr>
  </w:style>
  <w:style w:type="character" w:customStyle="1" w:styleId="297">
    <w:name w:val="font41"/>
    <w:basedOn w:val="45"/>
    <w:qFormat/>
    <w:uiPriority w:val="0"/>
    <w:rPr>
      <w:rFonts w:hint="eastAsia" w:ascii="宋体" w:hAnsi="宋体" w:eastAsia="宋体" w:cs="宋体"/>
      <w:b/>
      <w:color w:val="000000"/>
      <w:sz w:val="22"/>
      <w:szCs w:val="22"/>
      <w:u w:val="none"/>
    </w:rPr>
  </w:style>
  <w:style w:type="character" w:customStyle="1" w:styleId="298">
    <w:name w:val="font71"/>
    <w:basedOn w:val="45"/>
    <w:qFormat/>
    <w:uiPriority w:val="0"/>
    <w:rPr>
      <w:rFonts w:hint="eastAsia" w:ascii="宋体" w:hAnsi="宋体" w:eastAsia="宋体" w:cs="宋体"/>
      <w:color w:val="0D0D0D"/>
      <w:sz w:val="22"/>
      <w:szCs w:val="22"/>
      <w:u w:val="none"/>
    </w:rPr>
  </w:style>
  <w:style w:type="character" w:customStyle="1" w:styleId="299">
    <w:name w:val="qowt-font2"/>
    <w:basedOn w:val="45"/>
    <w:qFormat/>
    <w:uiPriority w:val="0"/>
  </w:style>
  <w:style w:type="character" w:customStyle="1" w:styleId="300">
    <w:name w:val="font91"/>
    <w:qFormat/>
    <w:uiPriority w:val="0"/>
    <w:rPr>
      <w:rFonts w:hint="eastAsia" w:ascii="宋体" w:hAnsi="宋体" w:eastAsia="宋体" w:cs="宋体"/>
      <w:color w:val="000000"/>
      <w:sz w:val="20"/>
      <w:szCs w:val="20"/>
      <w:u w:val="none"/>
      <w:vertAlign w:val="superscript"/>
    </w:rPr>
  </w:style>
  <w:style w:type="table" w:customStyle="1" w:styleId="301">
    <w:name w:val="网格型2"/>
    <w:basedOn w:val="59"/>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02">
    <w:name w:val="标题 1 字符1"/>
    <w:basedOn w:val="45"/>
    <w:qFormat/>
    <w:uiPriority w:val="0"/>
    <w:rPr>
      <w:rFonts w:eastAsia="宋体" w:cs="Times New Roman"/>
      <w:b/>
      <w:bCs/>
      <w:kern w:val="44"/>
      <w:sz w:val="44"/>
      <w:szCs w:val="44"/>
    </w:rPr>
  </w:style>
  <w:style w:type="character" w:customStyle="1" w:styleId="303">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304">
    <w:name w:val="标题 3 字符1"/>
    <w:basedOn w:val="45"/>
    <w:semiHidden/>
    <w:qFormat/>
    <w:uiPriority w:val="9"/>
    <w:rPr>
      <w:rFonts w:eastAsia="宋体" w:cs="Times New Roman"/>
      <w:b/>
      <w:bCs/>
      <w:kern w:val="2"/>
      <w:sz w:val="32"/>
      <w:szCs w:val="32"/>
    </w:rPr>
  </w:style>
  <w:style w:type="character" w:customStyle="1" w:styleId="305">
    <w:name w:val="批注文字 Char"/>
    <w:basedOn w:val="45"/>
    <w:qFormat/>
    <w:uiPriority w:val="99"/>
    <w:rPr>
      <w:rFonts w:ascii="Calibri" w:hAnsi="Calibri" w:eastAsia="宋体" w:cs="Times New Roman"/>
    </w:rPr>
  </w:style>
  <w:style w:type="paragraph" w:customStyle="1" w:styleId="306">
    <w:name w:val="修订4"/>
    <w:semiHidden/>
    <w:qFormat/>
    <w:uiPriority w:val="99"/>
    <w:rPr>
      <w:rFonts w:ascii="Calibri" w:hAnsi="Calibri" w:eastAsia="宋体" w:cs="Times New Roman"/>
      <w:kern w:val="2"/>
      <w:sz w:val="21"/>
      <w:szCs w:val="22"/>
      <w:lang w:val="en-US" w:eastAsia="zh-CN" w:bidi="ar-SA"/>
    </w:rPr>
  </w:style>
  <w:style w:type="paragraph" w:customStyle="1" w:styleId="307">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308">
    <w:name w:val="正文文本 Char2"/>
    <w:basedOn w:val="45"/>
    <w:qFormat/>
    <w:locked/>
    <w:uiPriority w:val="99"/>
    <w:rPr>
      <w:rFonts w:hint="default" w:ascii="Times New Roman" w:hAnsi="Times New Roman" w:eastAsia="宋体" w:cs="Times New Roman"/>
      <w:kern w:val="0"/>
      <w:sz w:val="20"/>
      <w:szCs w:val="20"/>
    </w:rPr>
  </w:style>
  <w:style w:type="character" w:customStyle="1" w:styleId="309">
    <w:name w:val="p121"/>
    <w:qFormat/>
    <w:uiPriority w:val="0"/>
    <w:rPr>
      <w:sz w:val="24"/>
    </w:rPr>
  </w:style>
  <w:style w:type="paragraph" w:customStyle="1" w:styleId="310">
    <w:name w:val="列表段落1"/>
    <w:basedOn w:val="1"/>
    <w:qFormat/>
    <w:uiPriority w:val="99"/>
    <w:pPr>
      <w:ind w:firstLine="420" w:firstLineChars="200"/>
    </w:pPr>
    <w:rPr>
      <w:rFonts w:ascii="宋体" w:hAnsi="宋体" w:cs="宋体"/>
      <w:sz w:val="28"/>
      <w:szCs w:val="28"/>
    </w:rPr>
  </w:style>
  <w:style w:type="character" w:customStyle="1" w:styleId="311">
    <w:name w:val="AnnotationReference"/>
    <w:qFormat/>
    <w:uiPriority w:val="0"/>
    <w:rPr>
      <w:sz w:val="21"/>
      <w:szCs w:val="21"/>
    </w:rPr>
  </w:style>
  <w:style w:type="paragraph" w:customStyle="1" w:styleId="312">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13">
    <w:name w:val="Heading3"/>
    <w:basedOn w:val="1"/>
    <w:next w:val="1"/>
    <w:link w:val="314"/>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14">
    <w:name w:val="UserStyle_4"/>
    <w:link w:val="313"/>
    <w:qFormat/>
    <w:uiPriority w:val="0"/>
    <w:rPr>
      <w:rFonts w:ascii="宋体" w:hAnsi="宋体" w:eastAsia="宋体" w:cs="宋体"/>
      <w:b/>
      <w:bCs/>
      <w:kern w:val="0"/>
      <w:sz w:val="27"/>
      <w:szCs w:val="27"/>
    </w:rPr>
  </w:style>
  <w:style w:type="paragraph" w:customStyle="1" w:styleId="315">
    <w:name w:val="_Style 48"/>
    <w:basedOn w:val="1"/>
    <w:qFormat/>
    <w:uiPriority w:val="0"/>
    <w:pPr>
      <w:ind w:firstLine="420" w:firstLineChars="200"/>
    </w:pPr>
    <w:rPr>
      <w:rFonts w:ascii="宋体" w:hAnsi="宋体" w:cs="宋体"/>
      <w:sz w:val="28"/>
      <w:szCs w:val="28"/>
    </w:rPr>
  </w:style>
  <w:style w:type="character" w:customStyle="1" w:styleId="316">
    <w:name w:val="font101"/>
    <w:basedOn w:val="45"/>
    <w:qFormat/>
    <w:uiPriority w:val="0"/>
    <w:rPr>
      <w:rFonts w:hint="eastAsia" w:ascii="宋体" w:hAnsi="宋体" w:eastAsia="宋体" w:cs="宋体"/>
      <w:color w:val="FF0000"/>
      <w:sz w:val="18"/>
      <w:szCs w:val="18"/>
      <w:u w:val="none"/>
    </w:rPr>
  </w:style>
  <w:style w:type="character" w:customStyle="1" w:styleId="317">
    <w:name w:val="font51"/>
    <w:basedOn w:val="45"/>
    <w:qFormat/>
    <w:uiPriority w:val="0"/>
    <w:rPr>
      <w:rFonts w:ascii="Calibri" w:hAnsi="Calibri" w:cs="Calibri"/>
      <w:color w:val="000000"/>
      <w:sz w:val="21"/>
      <w:szCs w:val="21"/>
      <w:u w:val="none"/>
    </w:rPr>
  </w:style>
  <w:style w:type="paragraph" w:customStyle="1" w:styleId="318">
    <w:name w:val="Table Paragraph"/>
    <w:basedOn w:val="1"/>
    <w:qFormat/>
    <w:uiPriority w:val="1"/>
    <w:pPr>
      <w:ind w:firstLine="560" w:firstLineChars="200"/>
    </w:pPr>
    <w:rPr>
      <w:rFonts w:ascii="宋体" w:hAnsi="宋体" w:cs="宋体"/>
      <w:sz w:val="28"/>
      <w:szCs w:val="28"/>
      <w:lang w:val="zh-CN" w:bidi="zh-CN"/>
    </w:rPr>
  </w:style>
  <w:style w:type="character" w:customStyle="1" w:styleId="319">
    <w:name w:val="表格文字 字符"/>
    <w:basedOn w:val="45"/>
    <w:link w:val="108"/>
    <w:qFormat/>
    <w:uiPriority w:val="0"/>
    <w:rPr>
      <w:rFonts w:ascii="Times New (W1)" w:hAnsi="Times New (W1)" w:eastAsia="宋体" w:cs="Times New Roman"/>
      <w:spacing w:val="10"/>
      <w:szCs w:val="24"/>
    </w:rPr>
  </w:style>
  <w:style w:type="paragraph" w:customStyle="1" w:styleId="320">
    <w:name w:val="_Style 1"/>
    <w:basedOn w:val="1"/>
    <w:qFormat/>
    <w:uiPriority w:val="0"/>
    <w:pPr>
      <w:adjustRightInd w:val="0"/>
      <w:spacing w:line="360" w:lineRule="auto"/>
    </w:pPr>
    <w:rPr>
      <w:rFonts w:ascii="Times New Roman" w:hAnsi="Times New Roman"/>
      <w:szCs w:val="20"/>
    </w:rPr>
  </w:style>
  <w:style w:type="character" w:customStyle="1" w:styleId="321">
    <w:name w:val="列出段落 字符"/>
    <w:link w:val="163"/>
    <w:qFormat/>
    <w:locked/>
    <w:uiPriority w:val="99"/>
    <w:rPr>
      <w:rFonts w:ascii="Calibri" w:hAnsi="Calibri"/>
      <w:kern w:val="2"/>
      <w:sz w:val="21"/>
      <w:szCs w:val="22"/>
    </w:rPr>
  </w:style>
  <w:style w:type="paragraph" w:customStyle="1" w:styleId="322">
    <w:name w:val="Body text (2)1"/>
    <w:basedOn w:val="1"/>
    <w:link w:val="324"/>
    <w:unhideWhenUsed/>
    <w:qFormat/>
    <w:uiPriority w:val="99"/>
    <w:pPr>
      <w:shd w:val="clear" w:color="auto" w:fill="FFFFFF"/>
      <w:spacing w:line="493" w:lineRule="exact"/>
      <w:jc w:val="distribute"/>
    </w:pPr>
    <w:rPr>
      <w:rFonts w:hint="eastAsia" w:ascii="宋体" w:cs="宋体"/>
      <w:spacing w:val="20"/>
      <w:sz w:val="22"/>
    </w:rPr>
  </w:style>
  <w:style w:type="character" w:customStyle="1" w:styleId="323">
    <w:name w:val="Body text (2)"/>
    <w:basedOn w:val="324"/>
    <w:unhideWhenUsed/>
    <w:qFormat/>
    <w:uiPriority w:val="99"/>
    <w:rPr>
      <w:rFonts w:hint="eastAsia" w:ascii="宋体" w:eastAsia="宋体" w:cs="宋体"/>
      <w:spacing w:val="20"/>
      <w:sz w:val="22"/>
      <w:szCs w:val="22"/>
    </w:rPr>
  </w:style>
  <w:style w:type="character" w:customStyle="1" w:styleId="324">
    <w:name w:val="Body text (2)_"/>
    <w:basedOn w:val="45"/>
    <w:link w:val="322"/>
    <w:unhideWhenUsed/>
    <w:qFormat/>
    <w:locked/>
    <w:uiPriority w:val="99"/>
    <w:rPr>
      <w:rFonts w:hint="eastAsia" w:ascii="宋体" w:eastAsia="宋体" w:cs="宋体"/>
      <w:spacing w:val="20"/>
      <w:sz w:val="22"/>
      <w:szCs w:val="22"/>
    </w:rPr>
  </w:style>
  <w:style w:type="paragraph" w:customStyle="1" w:styleId="325">
    <w:name w:val="Heading #1"/>
    <w:basedOn w:val="1"/>
    <w:link w:val="327"/>
    <w:unhideWhenUsed/>
    <w:qFormat/>
    <w:uiPriority w:val="99"/>
    <w:pPr>
      <w:shd w:val="clear" w:color="auto" w:fill="FFFFFF"/>
      <w:spacing w:after="300" w:line="240" w:lineRule="atLeast"/>
      <w:jc w:val="distribute"/>
      <w:outlineLvl w:val="0"/>
    </w:pPr>
    <w:rPr>
      <w:rFonts w:hint="eastAsia" w:ascii="宋体" w:cs="宋体"/>
      <w:sz w:val="28"/>
      <w:szCs w:val="28"/>
    </w:rPr>
  </w:style>
  <w:style w:type="character" w:customStyle="1" w:styleId="326">
    <w:name w:val="Heading #1 + Spacing 1 pt"/>
    <w:basedOn w:val="327"/>
    <w:unhideWhenUsed/>
    <w:qFormat/>
    <w:uiPriority w:val="99"/>
    <w:rPr>
      <w:rFonts w:hint="eastAsia" w:ascii="宋体" w:eastAsia="宋体" w:cs="宋体"/>
      <w:spacing w:val="30"/>
      <w:sz w:val="28"/>
      <w:szCs w:val="28"/>
    </w:rPr>
  </w:style>
  <w:style w:type="character" w:customStyle="1" w:styleId="327">
    <w:name w:val="Heading #1_"/>
    <w:basedOn w:val="45"/>
    <w:link w:val="325"/>
    <w:unhideWhenUsed/>
    <w:qFormat/>
    <w:locked/>
    <w:uiPriority w:val="99"/>
    <w:rPr>
      <w:rFonts w:hint="eastAsia" w:ascii="宋体" w:eastAsia="宋体" w:cs="宋体"/>
      <w:sz w:val="28"/>
      <w:szCs w:val="28"/>
    </w:rPr>
  </w:style>
  <w:style w:type="character" w:customStyle="1" w:styleId="328">
    <w:name w:val="标题 3 字符_1"/>
    <w:link w:val="329"/>
    <w:qFormat/>
    <w:uiPriority w:val="0"/>
    <w:rPr>
      <w:b/>
      <w:sz w:val="24"/>
    </w:rPr>
  </w:style>
  <w:style w:type="paragraph" w:customStyle="1" w:styleId="329">
    <w:name w:val="标题 3_1"/>
    <w:basedOn w:val="330"/>
    <w:next w:val="330"/>
    <w:link w:val="328"/>
    <w:qFormat/>
    <w:uiPriority w:val="0"/>
    <w:pPr>
      <w:keepNext/>
      <w:keepLines/>
      <w:spacing w:line="360" w:lineRule="auto"/>
      <w:outlineLvl w:val="2"/>
    </w:pPr>
    <w:rPr>
      <w:b/>
      <w:kern w:val="0"/>
      <w:sz w:val="24"/>
      <w:szCs w:val="20"/>
    </w:rPr>
  </w:style>
  <w:style w:type="paragraph" w:customStyle="1" w:styleId="330">
    <w:name w:val="正文_1_1"/>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31">
    <w:name w:val="fontstrikethrough"/>
    <w:qFormat/>
    <w:uiPriority w:val="0"/>
    <w:rPr>
      <w:strike/>
    </w:rPr>
  </w:style>
  <w:style w:type="character" w:customStyle="1" w:styleId="332">
    <w:name w:val="正文首行缩进 2 Char"/>
    <w:link w:val="31"/>
    <w:qFormat/>
    <w:uiPriority w:val="99"/>
    <w:rPr>
      <w:kern w:val="2"/>
      <w:sz w:val="21"/>
      <w:szCs w:val="24"/>
    </w:rPr>
  </w:style>
  <w:style w:type="character" w:customStyle="1" w:styleId="333">
    <w:name w:val="标题 3 字符_5"/>
    <w:link w:val="334"/>
    <w:qFormat/>
    <w:uiPriority w:val="0"/>
    <w:rPr>
      <w:b/>
      <w:sz w:val="24"/>
    </w:rPr>
  </w:style>
  <w:style w:type="paragraph" w:customStyle="1" w:styleId="334">
    <w:name w:val="标题 3_5"/>
    <w:basedOn w:val="335"/>
    <w:next w:val="335"/>
    <w:link w:val="333"/>
    <w:qFormat/>
    <w:uiPriority w:val="0"/>
    <w:pPr>
      <w:keepNext/>
      <w:keepLines/>
      <w:spacing w:line="360" w:lineRule="auto"/>
      <w:outlineLvl w:val="2"/>
    </w:pPr>
    <w:rPr>
      <w:b/>
      <w:kern w:val="0"/>
      <w:sz w:val="24"/>
      <w:szCs w:val="20"/>
    </w:rPr>
  </w:style>
  <w:style w:type="paragraph" w:customStyle="1" w:styleId="335">
    <w:name w:val="正文_5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36">
    <w:name w:val="标题 3 字符_0"/>
    <w:link w:val="337"/>
    <w:qFormat/>
    <w:uiPriority w:val="0"/>
    <w:rPr>
      <w:b/>
      <w:sz w:val="24"/>
    </w:rPr>
  </w:style>
  <w:style w:type="paragraph" w:customStyle="1" w:styleId="337">
    <w:name w:val="标题 3_0"/>
    <w:basedOn w:val="338"/>
    <w:next w:val="338"/>
    <w:link w:val="336"/>
    <w:qFormat/>
    <w:uiPriority w:val="0"/>
    <w:pPr>
      <w:keepNext/>
      <w:keepLines/>
      <w:spacing w:line="360" w:lineRule="auto"/>
      <w:outlineLvl w:val="2"/>
    </w:pPr>
    <w:rPr>
      <w:b/>
      <w:kern w:val="0"/>
      <w:sz w:val="24"/>
      <w:szCs w:val="20"/>
    </w:rPr>
  </w:style>
  <w:style w:type="paragraph" w:customStyle="1" w:styleId="338">
    <w:name w:val="正文_5"/>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39">
    <w:name w:val="fontborder"/>
    <w:qFormat/>
    <w:uiPriority w:val="0"/>
    <w:rPr>
      <w:bdr w:val="single" w:color="000000" w:sz="4" w:space="0"/>
    </w:rPr>
  </w:style>
  <w:style w:type="character" w:customStyle="1" w:styleId="340">
    <w:name w:val="标题 3 字符_3"/>
    <w:link w:val="341"/>
    <w:qFormat/>
    <w:uiPriority w:val="0"/>
    <w:rPr>
      <w:b/>
      <w:sz w:val="24"/>
    </w:rPr>
  </w:style>
  <w:style w:type="paragraph" w:customStyle="1" w:styleId="341">
    <w:name w:val="标题 3_3"/>
    <w:basedOn w:val="342"/>
    <w:next w:val="342"/>
    <w:link w:val="340"/>
    <w:qFormat/>
    <w:uiPriority w:val="0"/>
    <w:pPr>
      <w:keepNext/>
      <w:keepLines/>
      <w:spacing w:line="360" w:lineRule="auto"/>
      <w:outlineLvl w:val="2"/>
    </w:pPr>
    <w:rPr>
      <w:b/>
      <w:kern w:val="0"/>
      <w:sz w:val="24"/>
      <w:szCs w:val="20"/>
    </w:rPr>
  </w:style>
  <w:style w:type="paragraph" w:customStyle="1" w:styleId="342">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43">
    <w:name w:val="标题 3 字符_6"/>
    <w:link w:val="344"/>
    <w:qFormat/>
    <w:uiPriority w:val="0"/>
    <w:rPr>
      <w:b/>
      <w:sz w:val="24"/>
    </w:rPr>
  </w:style>
  <w:style w:type="paragraph" w:customStyle="1" w:styleId="344">
    <w:name w:val="标题 3_6"/>
    <w:basedOn w:val="345"/>
    <w:next w:val="345"/>
    <w:link w:val="343"/>
    <w:qFormat/>
    <w:uiPriority w:val="0"/>
    <w:pPr>
      <w:keepNext/>
      <w:keepLines/>
      <w:spacing w:line="360" w:lineRule="auto"/>
      <w:outlineLvl w:val="2"/>
    </w:pPr>
    <w:rPr>
      <w:b/>
      <w:kern w:val="0"/>
      <w:sz w:val="24"/>
      <w:szCs w:val="20"/>
    </w:rPr>
  </w:style>
  <w:style w:type="paragraph" w:customStyle="1" w:styleId="345">
    <w:name w:val="正文_9"/>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46">
    <w:name w:val="标题 3 字符_4"/>
    <w:link w:val="347"/>
    <w:qFormat/>
    <w:uiPriority w:val="0"/>
    <w:rPr>
      <w:b/>
      <w:sz w:val="24"/>
    </w:rPr>
  </w:style>
  <w:style w:type="paragraph" w:customStyle="1" w:styleId="347">
    <w:name w:val="标题 3_4"/>
    <w:basedOn w:val="348"/>
    <w:next w:val="348"/>
    <w:link w:val="346"/>
    <w:qFormat/>
    <w:uiPriority w:val="0"/>
    <w:pPr>
      <w:keepNext/>
      <w:keepLines/>
      <w:spacing w:line="360" w:lineRule="auto"/>
      <w:outlineLvl w:val="2"/>
    </w:pPr>
    <w:rPr>
      <w:b/>
      <w:kern w:val="0"/>
      <w:sz w:val="24"/>
      <w:szCs w:val="20"/>
    </w:rPr>
  </w:style>
  <w:style w:type="paragraph" w:customStyle="1" w:styleId="348">
    <w:name w:val="正文_4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49">
    <w:name w:val="font81"/>
    <w:qFormat/>
    <w:uiPriority w:val="0"/>
    <w:rPr>
      <w:rFonts w:hint="eastAsia" w:ascii="宋体" w:hAnsi="宋体" w:eastAsia="宋体" w:cs="宋体"/>
      <w:color w:val="FF0000"/>
      <w:sz w:val="20"/>
      <w:szCs w:val="20"/>
      <w:u w:val="none"/>
    </w:rPr>
  </w:style>
  <w:style w:type="character" w:customStyle="1" w:styleId="350">
    <w:name w:val="标题 3 字符_0_0"/>
    <w:link w:val="351"/>
    <w:qFormat/>
    <w:uiPriority w:val="0"/>
    <w:rPr>
      <w:b/>
      <w:sz w:val="24"/>
    </w:rPr>
  </w:style>
  <w:style w:type="paragraph" w:customStyle="1" w:styleId="351">
    <w:name w:val="标题 3_0_0"/>
    <w:basedOn w:val="352"/>
    <w:next w:val="352"/>
    <w:link w:val="350"/>
    <w:qFormat/>
    <w:uiPriority w:val="0"/>
    <w:pPr>
      <w:keepNext/>
      <w:keepLines/>
      <w:spacing w:line="360" w:lineRule="auto"/>
      <w:outlineLvl w:val="2"/>
    </w:pPr>
    <w:rPr>
      <w:b/>
      <w:kern w:val="0"/>
      <w:sz w:val="24"/>
      <w:szCs w:val="20"/>
    </w:rPr>
  </w:style>
  <w:style w:type="paragraph" w:customStyle="1" w:styleId="352">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53">
    <w:name w:val="标题 3 字符_2"/>
    <w:link w:val="354"/>
    <w:qFormat/>
    <w:uiPriority w:val="0"/>
    <w:rPr>
      <w:b/>
      <w:sz w:val="24"/>
    </w:rPr>
  </w:style>
  <w:style w:type="paragraph" w:customStyle="1" w:styleId="354">
    <w:name w:val="标题 3_2"/>
    <w:basedOn w:val="355"/>
    <w:next w:val="355"/>
    <w:link w:val="353"/>
    <w:qFormat/>
    <w:uiPriority w:val="0"/>
    <w:pPr>
      <w:keepNext/>
      <w:keepLines/>
      <w:spacing w:line="360" w:lineRule="auto"/>
      <w:outlineLvl w:val="2"/>
    </w:pPr>
    <w:rPr>
      <w:b/>
      <w:kern w:val="0"/>
      <w:sz w:val="24"/>
      <w:szCs w:val="20"/>
    </w:rPr>
  </w:style>
  <w:style w:type="paragraph" w:customStyle="1" w:styleId="355">
    <w:name w:val="正文_2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56">
    <w:name w:val="Normal_8"/>
    <w:qFormat/>
    <w:uiPriority w:val="0"/>
    <w:rPr>
      <w:rFonts w:ascii="Times New Roman" w:hAnsi="Times New Roman" w:eastAsia="Times New Roman" w:cs="Times New Roman"/>
      <w:sz w:val="24"/>
      <w:szCs w:val="24"/>
      <w:lang w:val="en-US" w:eastAsia="zh-CN" w:bidi="ar-SA"/>
    </w:rPr>
  </w:style>
  <w:style w:type="character" w:customStyle="1" w:styleId="357">
    <w:name w:val="正文首行缩进 2 Char1"/>
    <w:basedOn w:val="77"/>
    <w:semiHidden/>
    <w:qFormat/>
    <w:uiPriority w:val="99"/>
    <w:rPr>
      <w:rFonts w:ascii="Calibri" w:hAnsi="Calibri" w:eastAsia="宋体" w:cs="Times New Roman"/>
      <w:kern w:val="2"/>
      <w:sz w:val="21"/>
      <w:szCs w:val="22"/>
    </w:rPr>
  </w:style>
  <w:style w:type="paragraph" w:customStyle="1" w:styleId="358">
    <w:name w:val="Normal_21"/>
    <w:qFormat/>
    <w:uiPriority w:val="0"/>
    <w:rPr>
      <w:rFonts w:ascii="Times New Roman" w:hAnsi="Times New Roman" w:eastAsia="Times New Roman" w:cs="Times New Roman"/>
      <w:sz w:val="24"/>
      <w:szCs w:val="24"/>
      <w:lang w:val="en-US" w:eastAsia="zh-CN" w:bidi="ar-SA"/>
    </w:rPr>
  </w:style>
  <w:style w:type="paragraph" w:customStyle="1" w:styleId="359">
    <w:name w:val="Normal_11"/>
    <w:qFormat/>
    <w:uiPriority w:val="0"/>
    <w:rPr>
      <w:rFonts w:ascii="Times New Roman" w:hAnsi="Times New Roman" w:eastAsia="Times New Roman" w:cs="Times New Roman"/>
      <w:sz w:val="24"/>
      <w:szCs w:val="24"/>
      <w:lang w:val="en-US" w:eastAsia="zh-CN" w:bidi="ar-SA"/>
    </w:rPr>
  </w:style>
  <w:style w:type="paragraph" w:customStyle="1" w:styleId="360">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1">
    <w:name w:val="Normal_13"/>
    <w:qFormat/>
    <w:uiPriority w:val="0"/>
    <w:rPr>
      <w:rFonts w:ascii="Times New Roman" w:hAnsi="Times New Roman" w:eastAsia="Times New Roman" w:cs="Times New Roman"/>
      <w:sz w:val="24"/>
      <w:szCs w:val="24"/>
      <w:lang w:val="en-US" w:eastAsia="zh-CN" w:bidi="ar-SA"/>
    </w:rPr>
  </w:style>
  <w:style w:type="paragraph" w:customStyle="1" w:styleId="362">
    <w:name w:val="Normal_17"/>
    <w:qFormat/>
    <w:uiPriority w:val="0"/>
    <w:rPr>
      <w:rFonts w:ascii="Times New Roman" w:hAnsi="Times New Roman" w:eastAsia="Times New Roman" w:cs="Times New Roman"/>
      <w:sz w:val="24"/>
      <w:szCs w:val="24"/>
      <w:lang w:val="en-US" w:eastAsia="zh-CN" w:bidi="ar-SA"/>
    </w:rPr>
  </w:style>
  <w:style w:type="paragraph" w:customStyle="1" w:styleId="363">
    <w:name w:val="Normal_6"/>
    <w:qFormat/>
    <w:uiPriority w:val="0"/>
    <w:rPr>
      <w:rFonts w:ascii="Times New Roman" w:hAnsi="Times New Roman" w:eastAsia="Times New Roman" w:cs="Times New Roman"/>
      <w:sz w:val="24"/>
      <w:szCs w:val="24"/>
      <w:lang w:val="en-US" w:eastAsia="zh-CN" w:bidi="ar-SA"/>
    </w:rPr>
  </w:style>
  <w:style w:type="paragraph" w:customStyle="1" w:styleId="364">
    <w:name w:val="Normal_19"/>
    <w:qFormat/>
    <w:uiPriority w:val="0"/>
    <w:rPr>
      <w:rFonts w:ascii="Times New Roman" w:hAnsi="Times New Roman" w:eastAsia="Times New Roman" w:cs="Times New Roman"/>
      <w:sz w:val="24"/>
      <w:szCs w:val="24"/>
      <w:lang w:val="en-US" w:eastAsia="zh-CN" w:bidi="ar-SA"/>
    </w:rPr>
  </w:style>
  <w:style w:type="paragraph" w:customStyle="1" w:styleId="365">
    <w:name w:val="Normal_0_0"/>
    <w:qFormat/>
    <w:uiPriority w:val="0"/>
    <w:rPr>
      <w:rFonts w:ascii="Times New Roman" w:hAnsi="Times New Roman" w:eastAsia="Times New Roman" w:cs="Times New Roman"/>
      <w:sz w:val="24"/>
      <w:szCs w:val="24"/>
      <w:lang w:val="en-US" w:eastAsia="zh-CN" w:bidi="ar-SA"/>
    </w:rPr>
  </w:style>
  <w:style w:type="paragraph" w:customStyle="1" w:styleId="366">
    <w:name w:val="Normal_15"/>
    <w:qFormat/>
    <w:uiPriority w:val="0"/>
    <w:rPr>
      <w:rFonts w:ascii="Times New Roman" w:hAnsi="Times New Roman" w:eastAsia="Times New Roman" w:cs="Times New Roman"/>
      <w:sz w:val="24"/>
      <w:szCs w:val="24"/>
      <w:lang w:val="en-US" w:eastAsia="zh-CN" w:bidi="ar-SA"/>
    </w:rPr>
  </w:style>
  <w:style w:type="paragraph" w:customStyle="1" w:styleId="367">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8">
    <w:name w:val="正文_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9">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70">
    <w:name w:val="正文_1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1">
    <w:name w:val="Normal_1"/>
    <w:qFormat/>
    <w:uiPriority w:val="0"/>
    <w:rPr>
      <w:rFonts w:ascii="Times New Roman" w:hAnsi="Times New Roman" w:eastAsia="Times New Roman" w:cs="Times New Roman"/>
      <w:sz w:val="24"/>
      <w:szCs w:val="24"/>
      <w:lang w:val="en-US" w:eastAsia="zh-CN" w:bidi="ar-SA"/>
    </w:rPr>
  </w:style>
  <w:style w:type="paragraph" w:customStyle="1" w:styleId="372">
    <w:name w:val="Normal_9"/>
    <w:qFormat/>
    <w:uiPriority w:val="0"/>
    <w:rPr>
      <w:rFonts w:ascii="Times New Roman" w:hAnsi="Times New Roman" w:eastAsia="Times New Roman" w:cs="Times New Roman"/>
      <w:sz w:val="24"/>
      <w:szCs w:val="24"/>
      <w:lang w:val="en-US" w:eastAsia="zh-CN" w:bidi="ar-SA"/>
    </w:rPr>
  </w:style>
  <w:style w:type="paragraph" w:customStyle="1" w:styleId="373">
    <w:name w:val="正文Land"/>
    <w:basedOn w:val="1"/>
    <w:qFormat/>
    <w:uiPriority w:val="0"/>
    <w:pPr>
      <w:spacing w:beforeLines="20" w:line="360" w:lineRule="auto"/>
      <w:ind w:firstLine="200" w:firstLineChars="200"/>
    </w:pPr>
    <w:rPr>
      <w:rFonts w:ascii="宋体" w:hAnsi="Times New Roman"/>
      <w:sz w:val="24"/>
      <w:szCs w:val="24"/>
    </w:rPr>
  </w:style>
  <w:style w:type="paragraph" w:customStyle="1" w:styleId="374">
    <w:name w:val="Normal_3"/>
    <w:qFormat/>
    <w:uiPriority w:val="0"/>
    <w:rPr>
      <w:rFonts w:ascii="Times New Roman" w:hAnsi="Times New Roman" w:eastAsia="Times New Roman" w:cs="Times New Roman"/>
      <w:sz w:val="24"/>
      <w:szCs w:val="24"/>
      <w:lang w:val="en-US" w:eastAsia="zh-CN" w:bidi="ar-SA"/>
    </w:rPr>
  </w:style>
  <w:style w:type="paragraph" w:customStyle="1" w:styleId="375">
    <w:name w:val="样式2"/>
    <w:basedOn w:val="1"/>
    <w:qFormat/>
    <w:uiPriority w:val="0"/>
    <w:pPr>
      <w:spacing w:before="232" w:beforeLines="50" w:after="232" w:afterLines="50"/>
      <w:outlineLvl w:val="0"/>
    </w:pPr>
    <w:rPr>
      <w:rFonts w:eastAsia="黑体"/>
      <w:b/>
      <w:bCs/>
      <w:sz w:val="30"/>
    </w:rPr>
  </w:style>
  <w:style w:type="paragraph" w:customStyle="1" w:styleId="376">
    <w:name w:val="列表段落_1"/>
    <w:basedOn w:val="355"/>
    <w:qFormat/>
    <w:uiPriority w:val="34"/>
    <w:pPr>
      <w:ind w:firstLine="420" w:firstLineChars="200"/>
    </w:pPr>
  </w:style>
  <w:style w:type="paragraph" w:customStyle="1" w:styleId="377">
    <w:name w:val="Normal_20"/>
    <w:qFormat/>
    <w:uiPriority w:val="0"/>
    <w:rPr>
      <w:rFonts w:ascii="Times New Roman" w:hAnsi="Times New Roman" w:eastAsia="Times New Roman" w:cs="Times New Roman"/>
      <w:sz w:val="24"/>
      <w:szCs w:val="24"/>
      <w:lang w:val="en-US" w:eastAsia="zh-CN" w:bidi="ar-SA"/>
    </w:rPr>
  </w:style>
  <w:style w:type="paragraph" w:customStyle="1" w:styleId="378">
    <w:name w:val="Normal_10"/>
    <w:qFormat/>
    <w:uiPriority w:val="0"/>
    <w:rPr>
      <w:rFonts w:ascii="Times New Roman" w:hAnsi="Times New Roman" w:eastAsia="Times New Roman" w:cs="Times New Roman"/>
      <w:sz w:val="24"/>
      <w:szCs w:val="24"/>
      <w:lang w:val="en-US" w:eastAsia="zh-CN" w:bidi="ar-SA"/>
    </w:rPr>
  </w:style>
  <w:style w:type="paragraph" w:customStyle="1" w:styleId="379">
    <w:name w:val="样式4"/>
    <w:basedOn w:val="1"/>
    <w:qFormat/>
    <w:uiPriority w:val="0"/>
    <w:pPr>
      <w:ind w:firstLine="480" w:firstLineChars="200"/>
    </w:pPr>
    <w:rPr>
      <w:color w:val="000000"/>
      <w:kern w:val="0"/>
    </w:rPr>
  </w:style>
  <w:style w:type="paragraph" w:customStyle="1" w:styleId="380">
    <w:name w:val="Normal_0"/>
    <w:qFormat/>
    <w:uiPriority w:val="0"/>
    <w:rPr>
      <w:rFonts w:ascii="Times New Roman" w:hAnsi="Times New Roman" w:eastAsia="Times New Roman" w:cs="Times New Roman"/>
      <w:sz w:val="24"/>
      <w:szCs w:val="24"/>
      <w:lang w:val="en-US" w:eastAsia="zh-CN" w:bidi="ar-SA"/>
    </w:rPr>
  </w:style>
  <w:style w:type="paragraph" w:customStyle="1" w:styleId="381">
    <w:name w:val="正文_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2">
    <w:name w:val="cjk"/>
    <w:basedOn w:val="1"/>
    <w:qFormat/>
    <w:uiPriority w:val="0"/>
    <w:pPr>
      <w:widowControl/>
      <w:spacing w:before="100" w:beforeAutospacing="1" w:after="142" w:line="288" w:lineRule="auto"/>
    </w:pPr>
    <w:rPr>
      <w:rFonts w:ascii="宋体" w:hAnsi="宋体" w:cs="宋体"/>
      <w:color w:val="000000"/>
      <w:kern w:val="0"/>
      <w:sz w:val="20"/>
      <w:szCs w:val="20"/>
    </w:rPr>
  </w:style>
  <w:style w:type="paragraph" w:customStyle="1" w:styleId="383">
    <w:name w:val="Normal_16"/>
    <w:qFormat/>
    <w:uiPriority w:val="0"/>
    <w:rPr>
      <w:rFonts w:ascii="Times New Roman" w:hAnsi="Times New Roman" w:eastAsia="Times New Roman" w:cs="Times New Roman"/>
      <w:sz w:val="24"/>
      <w:szCs w:val="24"/>
      <w:lang w:val="en-US" w:eastAsia="zh-CN" w:bidi="ar-SA"/>
    </w:rPr>
  </w:style>
  <w:style w:type="paragraph" w:customStyle="1" w:styleId="384">
    <w:name w:val="正文_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5">
    <w:name w:val="Normal_7"/>
    <w:qFormat/>
    <w:uiPriority w:val="0"/>
    <w:rPr>
      <w:rFonts w:ascii="Times New Roman" w:hAnsi="Times New Roman" w:eastAsia="Times New Roman" w:cs="Times New Roman"/>
      <w:sz w:val="24"/>
      <w:szCs w:val="24"/>
      <w:lang w:val="en-US" w:eastAsia="zh-CN" w:bidi="ar-SA"/>
    </w:rPr>
  </w:style>
  <w:style w:type="paragraph" w:customStyle="1" w:styleId="386">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7">
    <w:name w:val="TOC 标题1"/>
    <w:basedOn w:val="4"/>
    <w:next w:val="1"/>
    <w:qFormat/>
    <w:uiPriority w:val="39"/>
    <w:pPr>
      <w:widowControl/>
      <w:numPr>
        <w:numId w:val="0"/>
      </w:numPr>
      <w:spacing w:before="240" w:after="0" w:line="259" w:lineRule="auto"/>
      <w:jc w:val="left"/>
      <w:outlineLvl w:val="9"/>
    </w:pPr>
    <w:rPr>
      <w:rFonts w:ascii="Cambria" w:hAnsi="Cambria" w:cs="Times New Roman"/>
      <w:b w:val="0"/>
      <w:bCs w:val="0"/>
      <w:color w:val="365F91"/>
      <w:spacing w:val="0"/>
      <w:kern w:val="0"/>
    </w:rPr>
  </w:style>
  <w:style w:type="paragraph" w:customStyle="1" w:styleId="388">
    <w:name w:val="Normal_4"/>
    <w:qFormat/>
    <w:uiPriority w:val="0"/>
    <w:rPr>
      <w:rFonts w:ascii="Times New Roman" w:hAnsi="Times New Roman" w:eastAsia="Times New Roman" w:cs="Times New Roman"/>
      <w:sz w:val="24"/>
      <w:szCs w:val="24"/>
      <w:lang w:val="en-US" w:eastAsia="zh-CN" w:bidi="ar-SA"/>
    </w:rPr>
  </w:style>
  <w:style w:type="paragraph" w:customStyle="1" w:styleId="389">
    <w:name w:val="Normal_5"/>
    <w:qFormat/>
    <w:uiPriority w:val="0"/>
    <w:rPr>
      <w:rFonts w:ascii="Times New Roman" w:hAnsi="Times New Roman" w:eastAsia="Times New Roman" w:cs="Times New Roman"/>
      <w:sz w:val="24"/>
      <w:szCs w:val="24"/>
      <w:lang w:val="en-US" w:eastAsia="zh-CN" w:bidi="ar-SA"/>
    </w:rPr>
  </w:style>
  <w:style w:type="paragraph" w:customStyle="1" w:styleId="390">
    <w:name w:val="Normal_12"/>
    <w:qFormat/>
    <w:uiPriority w:val="0"/>
    <w:rPr>
      <w:rFonts w:ascii="Times New Roman" w:hAnsi="Times New Roman" w:eastAsia="Times New Roman" w:cs="Times New Roman"/>
      <w:sz w:val="24"/>
      <w:szCs w:val="24"/>
      <w:lang w:val="en-US" w:eastAsia="zh-CN" w:bidi="ar-SA"/>
    </w:rPr>
  </w:style>
  <w:style w:type="paragraph" w:customStyle="1" w:styleId="391">
    <w:name w:val="Normal_0_1"/>
    <w:qFormat/>
    <w:uiPriority w:val="0"/>
    <w:rPr>
      <w:rFonts w:ascii="Times New Roman" w:hAnsi="Times New Roman" w:eastAsia="Times New Roman" w:cs="Times New Roman"/>
      <w:sz w:val="24"/>
      <w:szCs w:val="24"/>
      <w:lang w:val="en-US" w:eastAsia="zh-CN" w:bidi="ar-SA"/>
    </w:rPr>
  </w:style>
  <w:style w:type="paragraph" w:customStyle="1" w:styleId="392">
    <w:name w:val="Normal_14"/>
    <w:qFormat/>
    <w:uiPriority w:val="0"/>
    <w:rPr>
      <w:rFonts w:ascii="Times New Roman" w:hAnsi="Times New Roman" w:eastAsia="Times New Roman" w:cs="Times New Roman"/>
      <w:sz w:val="24"/>
      <w:szCs w:val="24"/>
      <w:lang w:val="en-US" w:eastAsia="zh-CN" w:bidi="ar-SA"/>
    </w:rPr>
  </w:style>
  <w:style w:type="paragraph" w:customStyle="1" w:styleId="393">
    <w:name w:val="Normal_2"/>
    <w:qFormat/>
    <w:uiPriority w:val="0"/>
    <w:rPr>
      <w:rFonts w:ascii="Times New Roman" w:hAnsi="Times New Roman" w:eastAsia="Times New Roman" w:cs="Times New Roman"/>
      <w:sz w:val="24"/>
      <w:szCs w:val="24"/>
      <w:lang w:val="en-US" w:eastAsia="zh-CN" w:bidi="ar-SA"/>
    </w:rPr>
  </w:style>
  <w:style w:type="paragraph" w:customStyle="1" w:styleId="394">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5">
    <w:name w:val="Normal_1_0"/>
    <w:qFormat/>
    <w:uiPriority w:val="0"/>
    <w:rPr>
      <w:rFonts w:ascii="Times New Roman" w:hAnsi="Times New Roman" w:eastAsia="Times New Roman" w:cs="Times New Roman"/>
      <w:sz w:val="24"/>
      <w:szCs w:val="24"/>
      <w:lang w:val="en-US" w:eastAsia="zh-CN" w:bidi="ar-SA"/>
    </w:rPr>
  </w:style>
  <w:style w:type="paragraph" w:customStyle="1" w:styleId="396">
    <w:name w:val="Normal_18"/>
    <w:qFormat/>
    <w:uiPriority w:val="0"/>
    <w:rPr>
      <w:rFonts w:ascii="Times New Roman" w:hAnsi="Times New Roman" w:eastAsia="Times New Roman" w:cs="Times New Roman"/>
      <w:sz w:val="24"/>
      <w:szCs w:val="24"/>
      <w:lang w:val="en-US" w:eastAsia="zh-CN" w:bidi="ar-SA"/>
    </w:rPr>
  </w:style>
  <w:style w:type="paragraph" w:customStyle="1" w:styleId="397">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8">
    <w:name w:val="列出段落6"/>
    <w:basedOn w:val="1"/>
    <w:qFormat/>
    <w:uiPriority w:val="34"/>
    <w:pPr>
      <w:ind w:firstLine="420" w:firstLineChars="200"/>
    </w:pPr>
    <w:rPr>
      <w:rFonts w:ascii="Times New Roman" w:hAnsi="Times New Roman"/>
      <w:szCs w:val="24"/>
    </w:rPr>
  </w:style>
  <w:style w:type="paragraph" w:customStyle="1" w:styleId="399">
    <w:name w:val="无间隔2"/>
    <w:basedOn w:val="1"/>
    <w:qFormat/>
    <w:uiPriority w:val="0"/>
    <w:pPr>
      <w:widowControl/>
      <w:jc w:val="left"/>
    </w:pPr>
    <w:rPr>
      <w:rFonts w:ascii="Times New Roman" w:hAnsi="Times New Roman"/>
      <w:kern w:val="0"/>
      <w:sz w:val="22"/>
      <w:szCs w:val="24"/>
      <w:lang w:eastAsia="en-US" w:bidi="en-US"/>
    </w:rPr>
  </w:style>
  <w:style w:type="paragraph" w:customStyle="1" w:styleId="400">
    <w:name w:val="正文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1">
    <w:name w:val="列表段落_0"/>
    <w:basedOn w:val="360"/>
    <w:qFormat/>
    <w:uiPriority w:val="1"/>
    <w:pPr>
      <w:ind w:firstLine="420" w:firstLineChars="200"/>
    </w:pPr>
  </w:style>
  <w:style w:type="table" w:customStyle="1" w:styleId="402">
    <w:name w:val="网格型1"/>
    <w:basedOn w:val="5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03">
    <w:name w:val="网格型3"/>
    <w:basedOn w:val="5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04">
    <w:name w:val="List Paragraph2"/>
    <w:basedOn w:val="1"/>
    <w:qFormat/>
    <w:uiPriority w:val="34"/>
    <w:pPr>
      <w:ind w:firstLine="420" w:firstLineChars="200"/>
    </w:pPr>
    <w:rPr>
      <w:rFonts w:ascii="Times New Roman" w:hAnsi="Times New Roman"/>
      <w:szCs w:val="24"/>
    </w:rPr>
  </w:style>
  <w:style w:type="character" w:customStyle="1" w:styleId="405">
    <w:name w:val="button"/>
    <w:basedOn w:val="45"/>
    <w:qFormat/>
    <w:uiPriority w:val="0"/>
  </w:style>
  <w:style w:type="character" w:customStyle="1" w:styleId="406">
    <w:name w:val="tmpztreemove_arrow"/>
    <w:basedOn w:val="45"/>
    <w:qFormat/>
    <w:uiPriority w:val="0"/>
  </w:style>
  <w:style w:type="table" w:customStyle="1" w:styleId="407">
    <w:name w:val="网格型4"/>
    <w:basedOn w:val="5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08">
    <w:name w:val="TOC Heading"/>
    <w:basedOn w:val="4"/>
    <w:next w:val="1"/>
    <w:qFormat/>
    <w:uiPriority w:val="39"/>
    <w:pPr>
      <w:widowControl/>
      <w:numPr>
        <w:numId w:val="0"/>
      </w:numPr>
      <w:spacing w:before="240" w:after="0" w:line="259" w:lineRule="auto"/>
      <w:jc w:val="left"/>
      <w:outlineLvl w:val="9"/>
    </w:pPr>
    <w:rPr>
      <w:rFonts w:ascii="Cambria" w:hAnsi="Cambria" w:cs="Times New Roman"/>
      <w:b w:val="0"/>
      <w:bCs w:val="0"/>
      <w:color w:val="365F91"/>
      <w:spacing w:val="0"/>
      <w:kern w:val="0"/>
    </w:rPr>
  </w:style>
  <w:style w:type="paragraph" w:customStyle="1" w:styleId="409">
    <w:name w:val="列出段落7"/>
    <w:basedOn w:val="1"/>
    <w:qFormat/>
    <w:uiPriority w:val="34"/>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D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208944-18C1-453D-B888-1636EF51306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240</Pages>
  <Words>25364</Words>
  <Characters>144577</Characters>
  <Lines>1204</Lines>
  <Paragraphs>339</Paragraphs>
  <ScaleCrop>false</ScaleCrop>
  <LinksUpToDate>false</LinksUpToDate>
  <CharactersWithSpaces>169602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2021-08-30T03:26:00Z</dcterms:created>
  <dc:creator>高文豪</dc:creator>
  <cp:lastModifiedBy>郑晓惠</cp:lastModifiedBy>
  <cp:lastPrinted>2021-11-30T00:16:00Z</cp:lastPrinted>
  <dcterms:modified xsi:type="dcterms:W3CDTF">2021-11-30T10:38:52Z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2052-10.8.0.5715</vt:lpwstr>
  </property>
  <property fmtid="{D5CDD505-2E9C-101B-9397-08002B2CF9AE}" pid="4" name="ICV">
    <vt:lpwstr>69E6670963444FBF82409A3DD729A515</vt:lpwstr>
  </property>
</Properties>
</file>