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华文中宋" w:hAnsi="华文中宋" w:eastAsia="华文中宋"/>
          <w:color w:val="auto"/>
          <w:spacing w:val="42"/>
          <w:sz w:val="84"/>
        </w:rPr>
      </w:pPr>
    </w:p>
    <w:p>
      <w:pPr>
        <w:spacing w:line="360" w:lineRule="auto"/>
        <w:jc w:val="center"/>
        <w:rPr>
          <w:rFonts w:ascii="华文中宋" w:hAnsi="华文中宋" w:eastAsia="华文中宋"/>
          <w:color w:val="auto"/>
          <w:spacing w:val="42"/>
          <w:sz w:val="130"/>
          <w:szCs w:val="130"/>
        </w:rPr>
      </w:pPr>
      <w:r>
        <w:rPr>
          <w:rFonts w:hint="eastAsia" w:ascii="华文中宋" w:hAnsi="华文中宋" w:eastAsia="华文中宋"/>
          <w:color w:val="auto"/>
          <w:spacing w:val="42"/>
          <w:sz w:val="130"/>
          <w:szCs w:val="130"/>
        </w:rPr>
        <w:t>招 标 文 件</w:t>
      </w:r>
    </w:p>
    <w:p>
      <w:pPr>
        <w:spacing w:line="360" w:lineRule="auto"/>
        <w:jc w:val="center"/>
        <w:rPr>
          <w:rFonts w:ascii="华文中宋" w:hAnsi="华文中宋" w:eastAsia="华文中宋"/>
          <w:color w:val="auto"/>
          <w:sz w:val="32"/>
          <w:szCs w:val="32"/>
        </w:rPr>
      </w:pPr>
    </w:p>
    <w:p>
      <w:pPr>
        <w:spacing w:line="360" w:lineRule="auto"/>
        <w:rPr>
          <w:rFonts w:ascii="华文中宋" w:hAnsi="华文中宋" w:eastAsia="华文中宋"/>
          <w:color w:val="auto"/>
        </w:rPr>
      </w:pPr>
    </w:p>
    <w:p>
      <w:pPr>
        <w:spacing w:line="360" w:lineRule="auto"/>
        <w:ind w:left="2409" w:leftChars="338" w:hanging="1699" w:hangingChars="531"/>
        <w:rPr>
          <w:rFonts w:ascii="华文中宋" w:hAnsi="华文中宋" w:eastAsia="华文中宋"/>
          <w:color w:val="auto"/>
          <w:sz w:val="32"/>
          <w:szCs w:val="32"/>
        </w:rPr>
      </w:pPr>
      <w:r>
        <w:rPr>
          <w:rFonts w:hint="eastAsia" w:ascii="华文中宋" w:hAnsi="华文中宋" w:eastAsia="华文中宋"/>
          <w:color w:val="auto"/>
          <w:sz w:val="32"/>
          <w:szCs w:val="32"/>
        </w:rPr>
        <w:t>项目名称：</w:t>
      </w:r>
      <w:r>
        <w:rPr>
          <w:rFonts w:hint="eastAsia" w:ascii="华文中宋" w:hAnsi="华文中宋" w:eastAsia="华文中宋"/>
          <w:color w:val="auto"/>
          <w:spacing w:val="-20"/>
          <w:sz w:val="32"/>
          <w:szCs w:val="32"/>
          <w:lang w:eastAsia="zh-CN"/>
        </w:rPr>
        <w:t>成都市锦江区殡葬服务中心悼念厅观光电梯及安装（二次）采购项目</w:t>
      </w:r>
    </w:p>
    <w:p>
      <w:pPr>
        <w:spacing w:line="360" w:lineRule="auto"/>
        <w:ind w:left="2409" w:leftChars="338" w:hanging="1699" w:hangingChars="531"/>
        <w:rPr>
          <w:rFonts w:ascii="华文中宋" w:hAnsi="华文中宋" w:eastAsia="华文中宋"/>
          <w:color w:val="auto"/>
          <w:sz w:val="32"/>
          <w:szCs w:val="32"/>
        </w:rPr>
      </w:pPr>
      <w:r>
        <w:rPr>
          <w:rFonts w:hint="eastAsia" w:ascii="华文中宋" w:hAnsi="华文中宋" w:eastAsia="华文中宋"/>
          <w:color w:val="auto"/>
          <w:sz w:val="32"/>
          <w:szCs w:val="32"/>
        </w:rPr>
        <w:t>项目编号：</w:t>
      </w:r>
      <w:r>
        <w:rPr>
          <w:rFonts w:hint="eastAsia" w:ascii="华文中宋" w:hAnsi="华文中宋" w:eastAsia="华文中宋"/>
          <w:color w:val="auto"/>
          <w:sz w:val="32"/>
          <w:szCs w:val="32"/>
          <w:lang w:eastAsia="zh-CN"/>
        </w:rPr>
        <w:t xml:space="preserve"> 锦江政采（2021）A0013号-2</w:t>
      </w:r>
    </w:p>
    <w:p>
      <w:pPr>
        <w:spacing w:line="360" w:lineRule="auto"/>
        <w:ind w:firstLine="1280" w:firstLineChars="400"/>
        <w:rPr>
          <w:rFonts w:ascii="华文中宋" w:hAnsi="华文中宋" w:eastAsia="华文中宋"/>
          <w:color w:val="auto"/>
          <w:sz w:val="32"/>
          <w:szCs w:val="32"/>
        </w:rPr>
      </w:pPr>
    </w:p>
    <w:p>
      <w:pPr>
        <w:spacing w:line="360" w:lineRule="auto"/>
        <w:ind w:firstLine="1256" w:firstLineChars="349"/>
        <w:rPr>
          <w:rFonts w:ascii="华文中宋" w:hAnsi="华文中宋" w:eastAsia="华文中宋"/>
          <w:color w:val="auto"/>
          <w:spacing w:val="20"/>
          <w:sz w:val="32"/>
          <w:szCs w:val="32"/>
        </w:rPr>
      </w:pPr>
    </w:p>
    <w:p>
      <w:pPr>
        <w:spacing w:line="360" w:lineRule="auto"/>
        <w:jc w:val="center"/>
        <w:rPr>
          <w:rFonts w:ascii="华文中宋" w:hAnsi="华文中宋" w:eastAsia="华文中宋"/>
          <w:color w:val="auto"/>
          <w:kern w:val="24"/>
          <w:sz w:val="32"/>
          <w:szCs w:val="32"/>
        </w:rPr>
      </w:pPr>
    </w:p>
    <w:p>
      <w:pPr>
        <w:spacing w:line="360" w:lineRule="auto"/>
        <w:jc w:val="center"/>
        <w:rPr>
          <w:rFonts w:ascii="华文中宋" w:hAnsi="华文中宋" w:eastAsia="华文中宋"/>
          <w:color w:val="auto"/>
          <w:sz w:val="32"/>
          <w:szCs w:val="32"/>
        </w:rPr>
      </w:pPr>
    </w:p>
    <w:p>
      <w:pPr>
        <w:spacing w:line="360" w:lineRule="auto"/>
        <w:jc w:val="center"/>
        <w:rPr>
          <w:rFonts w:ascii="华文中宋" w:hAnsi="华文中宋" w:eastAsia="华文中宋"/>
          <w:color w:val="auto"/>
          <w:sz w:val="32"/>
          <w:szCs w:val="32"/>
        </w:rPr>
      </w:pPr>
      <w:r>
        <w:rPr>
          <w:rFonts w:hint="eastAsia" w:ascii="华文中宋" w:hAnsi="华文中宋" w:eastAsia="华文中宋"/>
          <w:color w:val="auto"/>
          <w:spacing w:val="-20"/>
          <w:sz w:val="32"/>
          <w:szCs w:val="32"/>
          <w:lang w:eastAsia="zh-CN"/>
        </w:rPr>
        <w:t>成都市锦江区殡葬服务中心</w:t>
      </w:r>
      <w:r>
        <w:rPr>
          <w:rFonts w:hint="eastAsia" w:ascii="华文中宋" w:hAnsi="华文中宋" w:eastAsia="华文中宋"/>
          <w:color w:val="auto"/>
          <w:sz w:val="32"/>
          <w:szCs w:val="32"/>
        </w:rPr>
        <w:t>、</w:t>
      </w:r>
    </w:p>
    <w:p>
      <w:pPr>
        <w:spacing w:line="360" w:lineRule="auto"/>
        <w:jc w:val="center"/>
        <w:rPr>
          <w:rFonts w:ascii="华文中宋" w:hAnsi="华文中宋" w:eastAsia="华文中宋"/>
          <w:color w:val="auto"/>
          <w:sz w:val="32"/>
          <w:szCs w:val="32"/>
        </w:rPr>
      </w:pPr>
      <w:r>
        <w:rPr>
          <w:rFonts w:hint="eastAsia" w:ascii="华文中宋" w:hAnsi="华文中宋" w:eastAsia="华文中宋"/>
          <w:color w:val="auto"/>
          <w:sz w:val="32"/>
          <w:szCs w:val="32"/>
          <w:lang w:eastAsia="zh-CN"/>
        </w:rPr>
        <w:t>成都市锦江区政府采购中心</w:t>
      </w:r>
      <w:r>
        <w:rPr>
          <w:rFonts w:hint="eastAsia" w:ascii="华文中宋" w:hAnsi="华文中宋" w:eastAsia="华文中宋"/>
          <w:color w:val="auto"/>
          <w:sz w:val="32"/>
          <w:szCs w:val="32"/>
        </w:rPr>
        <w:t>共同编制</w:t>
      </w:r>
    </w:p>
    <w:p>
      <w:pPr>
        <w:spacing w:line="360" w:lineRule="auto"/>
        <w:jc w:val="center"/>
        <w:rPr>
          <w:rFonts w:ascii="华文中宋" w:hAnsi="华文中宋" w:eastAsia="华文中宋"/>
          <w:color w:val="auto"/>
          <w:sz w:val="32"/>
          <w:szCs w:val="32"/>
        </w:rPr>
      </w:pPr>
      <w:r>
        <w:rPr>
          <w:rFonts w:hint="eastAsia" w:ascii="华文中宋" w:hAnsi="华文中宋" w:eastAsia="华文中宋"/>
          <w:color w:val="auto"/>
          <w:sz w:val="32"/>
          <w:szCs w:val="32"/>
        </w:rPr>
        <w:t>二〇二一年</w:t>
      </w:r>
      <w:r>
        <w:rPr>
          <w:rFonts w:hint="eastAsia" w:ascii="华文中宋" w:hAnsi="华文中宋" w:eastAsia="华文中宋"/>
          <w:color w:val="auto"/>
          <w:sz w:val="32"/>
          <w:szCs w:val="32"/>
          <w:lang w:eastAsia="zh-CN"/>
        </w:rPr>
        <w:t>十</w:t>
      </w:r>
      <w:r>
        <w:rPr>
          <w:rFonts w:hint="eastAsia" w:ascii="华文中宋" w:hAnsi="华文中宋" w:eastAsia="华文中宋"/>
          <w:color w:val="auto"/>
          <w:sz w:val="32"/>
          <w:szCs w:val="32"/>
        </w:rPr>
        <w:t>月</w:t>
      </w:r>
    </w:p>
    <w:p>
      <w:pPr>
        <w:spacing w:line="360" w:lineRule="auto"/>
        <w:jc w:val="center"/>
        <w:rPr>
          <w:rFonts w:ascii="华文中宋" w:hAnsi="华文中宋" w:eastAsia="华文中宋"/>
          <w:color w:val="auto"/>
          <w:sz w:val="32"/>
          <w:szCs w:val="32"/>
        </w:rPr>
      </w:pPr>
    </w:p>
    <w:p>
      <w:pPr>
        <w:spacing w:line="360" w:lineRule="auto"/>
        <w:jc w:val="center"/>
        <w:rPr>
          <w:rFonts w:ascii="华文中宋" w:hAnsi="华文中宋" w:eastAsia="华文中宋"/>
          <w:color w:val="auto"/>
          <w:sz w:val="32"/>
          <w:szCs w:val="32"/>
        </w:rPr>
      </w:pPr>
    </w:p>
    <w:p>
      <w:pPr>
        <w:spacing w:line="360" w:lineRule="auto"/>
        <w:jc w:val="center"/>
        <w:rPr>
          <w:rFonts w:ascii="华文中宋" w:hAnsi="华文中宋" w:eastAsia="华文中宋"/>
          <w:color w:val="auto"/>
          <w:sz w:val="32"/>
          <w:szCs w:val="32"/>
        </w:rPr>
      </w:pPr>
    </w:p>
    <w:p>
      <w:pPr>
        <w:spacing w:line="360" w:lineRule="auto"/>
        <w:jc w:val="center"/>
        <w:rPr>
          <w:rFonts w:ascii="宋体" w:hAnsi="宋体"/>
          <w:b/>
          <w:color w:val="auto"/>
          <w:sz w:val="36"/>
        </w:rPr>
      </w:pPr>
      <w:bookmarkStart w:id="0" w:name="_Toc101328520"/>
      <w:bookmarkStart w:id="1" w:name="_Toc148505181"/>
      <w:bookmarkStart w:id="2" w:name="_Toc101234248"/>
      <w:bookmarkStart w:id="3" w:name="_Toc101247312"/>
      <w:r>
        <w:rPr>
          <w:rFonts w:hint="eastAsia" w:ascii="宋体" w:hAnsi="宋体"/>
          <w:b/>
          <w:color w:val="auto"/>
          <w:sz w:val="32"/>
          <w:szCs w:val="32"/>
        </w:rPr>
        <w:t>目 录</w:t>
      </w:r>
    </w:p>
    <w:p>
      <w:pPr>
        <w:pStyle w:val="31"/>
        <w:tabs>
          <w:tab w:val="right" w:leader="dot" w:pos="8640"/>
          <w:tab w:val="clear" w:pos="709"/>
          <w:tab w:val="clear" w:pos="8364"/>
        </w:tabs>
        <w:rPr>
          <w:rFonts w:ascii="Calibri" w:hAnsi="Calibri" w:eastAsia="宋体" w:cs="Times New Roman"/>
          <w:color w:val="auto"/>
          <w:kern w:val="2"/>
          <w:szCs w:val="22"/>
          <w:lang w:val="en-US" w:eastAsia="zh-CN" w:bidi="ar-SA"/>
        </w:rPr>
      </w:pPr>
      <w:r>
        <w:rPr>
          <w:rFonts w:hint="eastAsia"/>
          <w:color w:val="auto"/>
        </w:rPr>
        <w:fldChar w:fldCharType="begin"/>
      </w:r>
      <w:r>
        <w:rPr>
          <w:rFonts w:hint="eastAsia" w:ascii="宋体" w:hAnsi="宋体"/>
          <w:smallCaps/>
          <w:color w:val="auto"/>
        </w:rPr>
        <w:instrText xml:space="preserve"> TOC \o "1-2" \h \z \u </w:instrText>
      </w:r>
      <w:r>
        <w:rPr>
          <w:rFonts w:hint="eastAsia"/>
          <w:color w:val="auto"/>
        </w:rPr>
        <w:fldChar w:fldCharType="separate"/>
      </w:r>
      <w:r>
        <w:rPr>
          <w:rFonts w:hint="eastAsia" w:ascii="Calibri" w:hAnsi="Calibri" w:eastAsia="宋体" w:cs="Times New Roman"/>
          <w:color w:val="auto"/>
          <w:kern w:val="2"/>
          <w:szCs w:val="22"/>
          <w:lang w:val="en-US" w:eastAsia="zh-CN" w:bidi="ar-SA"/>
        </w:rPr>
        <w:fldChar w:fldCharType="begin"/>
      </w:r>
      <w:r>
        <w:rPr>
          <w:rFonts w:hint="eastAsia" w:ascii="Calibri" w:hAnsi="Calibri" w:eastAsia="宋体" w:cs="Times New Roman"/>
          <w:color w:val="auto"/>
          <w:kern w:val="2"/>
          <w:szCs w:val="22"/>
          <w:lang w:val="en-US" w:eastAsia="zh-CN" w:bidi="ar-SA"/>
        </w:rPr>
        <w:instrText xml:space="preserve"> HYPERLINK \l _Toc29558 </w:instrText>
      </w:r>
      <w:r>
        <w:rPr>
          <w:rFonts w:hint="eastAsia"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第</w:t>
      </w:r>
      <w:r>
        <w:rPr>
          <w:rFonts w:hint="default" w:ascii="Times New Roman" w:hAnsi="Times New Roman" w:eastAsia="宋体" w:cs="Times New Roman"/>
          <w:bCs/>
          <w:i w:val="0"/>
          <w:color w:val="auto"/>
          <w:spacing w:val="-20"/>
          <w:kern w:val="44"/>
          <w:szCs w:val="32"/>
          <w:lang w:val="en-US" w:eastAsia="zh-CN" w:bidi="ar-SA"/>
        </w:rPr>
        <w:t xml:space="preserve">1章 </w:t>
      </w:r>
      <w:r>
        <w:rPr>
          <w:rFonts w:hint="eastAsia" w:ascii="宋体" w:hAnsi="宋体" w:eastAsia="宋体" w:cs="Times New Roman"/>
          <w:bCs/>
          <w:color w:val="auto"/>
          <w:spacing w:val="-20"/>
          <w:kern w:val="44"/>
          <w:szCs w:val="32"/>
          <w:lang w:val="en-US" w:eastAsia="zh-CN" w:bidi="ar-SA"/>
        </w:rPr>
        <w:t>投标邀请</w:t>
      </w:r>
      <w:r>
        <w:rPr>
          <w:rFonts w:ascii="Calibri" w:hAnsi="Calibri" w:eastAsia="宋体" w:cs="Times New Roman"/>
          <w:color w:val="auto"/>
          <w:kern w:val="2"/>
          <w:szCs w:val="22"/>
          <w:lang w:val="en-US" w:eastAsia="zh-CN" w:bidi="ar-SA"/>
        </w:rPr>
        <w:tab/>
      </w:r>
      <w:r>
        <w:rPr>
          <w:rFonts w:ascii="Calibri" w:hAnsi="Calibri" w:eastAsia="宋体" w:cs="Times New Roman"/>
          <w:color w:val="auto"/>
          <w:kern w:val="2"/>
          <w:szCs w:val="22"/>
          <w:lang w:val="en-US" w:eastAsia="zh-CN" w:bidi="ar-SA"/>
        </w:rPr>
        <w:fldChar w:fldCharType="begin"/>
      </w:r>
      <w:r>
        <w:rPr>
          <w:rFonts w:ascii="Calibri" w:hAnsi="Calibri" w:eastAsia="宋体" w:cs="Times New Roman"/>
          <w:color w:val="auto"/>
          <w:kern w:val="2"/>
          <w:szCs w:val="22"/>
          <w:lang w:val="en-US" w:eastAsia="zh-CN" w:bidi="ar-SA"/>
        </w:rPr>
        <w:instrText xml:space="preserve"> PAGEREF _Toc29558 </w:instrText>
      </w:r>
      <w:r>
        <w:rPr>
          <w:rFonts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4</w:t>
      </w:r>
      <w:r>
        <w:rPr>
          <w:rFonts w:ascii="Calibri" w:hAnsi="Calibri" w:eastAsia="宋体" w:cs="Times New Roman"/>
          <w:color w:val="auto"/>
          <w:kern w:val="2"/>
          <w:szCs w:val="22"/>
          <w:lang w:val="en-US" w:eastAsia="zh-CN" w:bidi="ar-SA"/>
        </w:rPr>
        <w:fldChar w:fldCharType="end"/>
      </w:r>
      <w:r>
        <w:rPr>
          <w:rFonts w:hint="default" w:ascii="Times New Roman" w:hAnsi="Times New Roman" w:eastAsia="宋体" w:cs="Times New Roman"/>
          <w:bCs/>
          <w:i w:val="0"/>
          <w:color w:val="auto"/>
          <w:spacing w:val="-20"/>
          <w:kern w:val="44"/>
          <w:szCs w:val="32"/>
          <w:lang w:val="en-US" w:eastAsia="zh-CN" w:bidi="ar-SA"/>
        </w:rPr>
        <w:fldChar w:fldCharType="end"/>
      </w:r>
    </w:p>
    <w:p>
      <w:pPr>
        <w:pStyle w:val="31"/>
        <w:tabs>
          <w:tab w:val="right" w:leader="dot" w:pos="8640"/>
          <w:tab w:val="clear" w:pos="709"/>
          <w:tab w:val="clear" w:pos="8364"/>
        </w:tabs>
        <w:rPr>
          <w:rFonts w:ascii="Calibri" w:hAnsi="Calibri" w:eastAsia="宋体" w:cs="Times New Roman"/>
          <w:color w:val="auto"/>
          <w:kern w:val="2"/>
          <w:szCs w:val="22"/>
          <w:lang w:val="en-US" w:eastAsia="zh-CN" w:bidi="ar-SA"/>
        </w:rPr>
      </w:pPr>
      <w:r>
        <w:rPr>
          <w:rFonts w:hint="eastAsia" w:ascii="Calibri" w:hAnsi="Calibri" w:eastAsia="宋体" w:cs="Times New Roman"/>
          <w:color w:val="auto"/>
          <w:kern w:val="2"/>
          <w:szCs w:val="22"/>
          <w:lang w:val="en-US" w:eastAsia="zh-CN" w:bidi="ar-SA"/>
        </w:rPr>
        <w:fldChar w:fldCharType="begin"/>
      </w:r>
      <w:r>
        <w:rPr>
          <w:rFonts w:hint="eastAsia" w:ascii="Calibri" w:hAnsi="Calibri" w:eastAsia="宋体" w:cs="Times New Roman"/>
          <w:color w:val="auto"/>
          <w:kern w:val="2"/>
          <w:szCs w:val="22"/>
          <w:lang w:val="en-US" w:eastAsia="zh-CN" w:bidi="ar-SA"/>
        </w:rPr>
        <w:instrText xml:space="preserve"> HYPERLINK \l _Toc2801 </w:instrText>
      </w:r>
      <w:r>
        <w:rPr>
          <w:rFonts w:hint="eastAsia"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第</w:t>
      </w:r>
      <w:r>
        <w:rPr>
          <w:rFonts w:hint="default" w:ascii="Times New Roman" w:hAnsi="Times New Roman" w:eastAsia="宋体" w:cs="Times New Roman"/>
          <w:bCs/>
          <w:i w:val="0"/>
          <w:color w:val="auto"/>
          <w:spacing w:val="-20"/>
          <w:kern w:val="44"/>
          <w:szCs w:val="32"/>
          <w:lang w:val="en-US" w:eastAsia="zh-CN" w:bidi="ar-SA"/>
        </w:rPr>
        <w:t xml:space="preserve">2章 </w:t>
      </w:r>
      <w:r>
        <w:rPr>
          <w:rFonts w:hint="eastAsia" w:ascii="宋体" w:hAnsi="宋体" w:eastAsia="宋体" w:cs="Times New Roman"/>
          <w:bCs/>
          <w:color w:val="auto"/>
          <w:spacing w:val="-20"/>
          <w:kern w:val="44"/>
          <w:szCs w:val="32"/>
          <w:lang w:val="en-US" w:eastAsia="zh-CN" w:bidi="ar-SA"/>
        </w:rPr>
        <w:t>投标人须知</w:t>
      </w:r>
      <w:r>
        <w:rPr>
          <w:rFonts w:ascii="Calibri" w:hAnsi="Calibri" w:eastAsia="宋体" w:cs="Times New Roman"/>
          <w:color w:val="auto"/>
          <w:kern w:val="2"/>
          <w:szCs w:val="22"/>
          <w:lang w:val="en-US" w:eastAsia="zh-CN" w:bidi="ar-SA"/>
        </w:rPr>
        <w:tab/>
      </w:r>
      <w:r>
        <w:rPr>
          <w:rFonts w:ascii="Calibri" w:hAnsi="Calibri" w:eastAsia="宋体" w:cs="Times New Roman"/>
          <w:color w:val="auto"/>
          <w:kern w:val="2"/>
          <w:szCs w:val="22"/>
          <w:lang w:val="en-US" w:eastAsia="zh-CN" w:bidi="ar-SA"/>
        </w:rPr>
        <w:fldChar w:fldCharType="begin"/>
      </w:r>
      <w:r>
        <w:rPr>
          <w:rFonts w:ascii="Calibri" w:hAnsi="Calibri" w:eastAsia="宋体" w:cs="Times New Roman"/>
          <w:color w:val="auto"/>
          <w:kern w:val="2"/>
          <w:szCs w:val="22"/>
          <w:lang w:val="en-US" w:eastAsia="zh-CN" w:bidi="ar-SA"/>
        </w:rPr>
        <w:instrText xml:space="preserve"> PAGEREF _Toc2801 </w:instrText>
      </w:r>
      <w:r>
        <w:rPr>
          <w:rFonts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9</w:t>
      </w:r>
      <w:r>
        <w:rPr>
          <w:rFonts w:ascii="Calibri" w:hAnsi="Calibri" w:eastAsia="宋体" w:cs="Times New Roman"/>
          <w:color w:val="auto"/>
          <w:kern w:val="2"/>
          <w:szCs w:val="22"/>
          <w:lang w:val="en-US" w:eastAsia="zh-CN" w:bidi="ar-SA"/>
        </w:rPr>
        <w:fldChar w:fldCharType="end"/>
      </w:r>
      <w:r>
        <w:rPr>
          <w:rFonts w:hint="default" w:ascii="Times New Roman" w:hAnsi="Times New Roman" w:eastAsia="宋体" w:cs="Times New Roman"/>
          <w:bCs/>
          <w:i w:val="0"/>
          <w:color w:val="auto"/>
          <w:spacing w:val="-20"/>
          <w:kern w:val="44"/>
          <w:szCs w:val="32"/>
          <w:lang w:val="en-US" w:eastAsia="zh-CN" w:bidi="ar-SA"/>
        </w:rPr>
        <w:fldChar w:fldCharType="end"/>
      </w:r>
    </w:p>
    <w:p>
      <w:pPr>
        <w:pStyle w:val="37"/>
        <w:tabs>
          <w:tab w:val="right" w:leader="dot" w:pos="8640"/>
          <w:tab w:val="clear" w:pos="620"/>
          <w:tab w:val="clear" w:pos="8364"/>
        </w:tabs>
        <w:rPr>
          <w:rFonts w:ascii="Calibri" w:hAnsi="Calibri" w:eastAsia="宋体" w:cs="Times New Roman"/>
          <w:color w:val="auto"/>
          <w:kern w:val="2"/>
          <w:szCs w:val="22"/>
          <w:lang w:val="en-US" w:eastAsia="zh-CN" w:bidi="ar-SA"/>
        </w:rPr>
      </w:pPr>
      <w:r>
        <w:rPr>
          <w:rFonts w:hint="eastAsia" w:ascii="Calibri" w:hAnsi="Calibri" w:eastAsia="宋体" w:cs="Times New Roman"/>
          <w:color w:val="auto"/>
          <w:kern w:val="2"/>
          <w:szCs w:val="22"/>
          <w:lang w:val="en-US" w:eastAsia="zh-CN" w:bidi="ar-SA"/>
        </w:rPr>
        <w:fldChar w:fldCharType="begin"/>
      </w:r>
      <w:r>
        <w:rPr>
          <w:rFonts w:hint="eastAsia" w:ascii="Calibri" w:hAnsi="Calibri" w:eastAsia="宋体" w:cs="Times New Roman"/>
          <w:color w:val="auto"/>
          <w:kern w:val="2"/>
          <w:szCs w:val="22"/>
          <w:lang w:val="en-US" w:eastAsia="zh-CN" w:bidi="ar-SA"/>
        </w:rPr>
        <w:instrText xml:space="preserve"> HYPERLINK \l _Toc2253 </w:instrText>
      </w:r>
      <w:r>
        <w:rPr>
          <w:rFonts w:hint="eastAsia"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2</w:t>
      </w:r>
      <w:r>
        <w:rPr>
          <w:rFonts w:hint="default" w:ascii="Times New Roman" w:hAnsi="Times New Roman" w:eastAsia="宋体" w:cs="Times New Roman"/>
          <w:bCs/>
          <w:i w:val="0"/>
          <w:color w:val="auto"/>
          <w:kern w:val="2"/>
          <w:szCs w:val="28"/>
          <w:lang w:val="en-US" w:eastAsia="zh-CN" w:bidi="ar-SA"/>
        </w:rPr>
        <w:t xml:space="preserve">.1 </w:t>
      </w:r>
      <w:r>
        <w:rPr>
          <w:rFonts w:hint="eastAsia" w:ascii="宋体" w:hAnsi="宋体" w:eastAsia="宋体" w:cs="Times New Roman"/>
          <w:bCs/>
          <w:color w:val="auto"/>
          <w:kern w:val="2"/>
          <w:szCs w:val="28"/>
          <w:lang w:val="en-US" w:eastAsia="zh-CN" w:bidi="ar-SA"/>
        </w:rPr>
        <w:t>投标人须知前附表</w:t>
      </w:r>
      <w:r>
        <w:rPr>
          <w:rFonts w:ascii="Calibri" w:hAnsi="Calibri" w:eastAsia="宋体" w:cs="Times New Roman"/>
          <w:color w:val="auto"/>
          <w:kern w:val="2"/>
          <w:szCs w:val="22"/>
          <w:lang w:val="en-US" w:eastAsia="zh-CN" w:bidi="ar-SA"/>
        </w:rPr>
        <w:tab/>
      </w:r>
      <w:r>
        <w:rPr>
          <w:rFonts w:ascii="Calibri" w:hAnsi="Calibri" w:eastAsia="宋体" w:cs="Times New Roman"/>
          <w:color w:val="auto"/>
          <w:kern w:val="2"/>
          <w:szCs w:val="22"/>
          <w:lang w:val="en-US" w:eastAsia="zh-CN" w:bidi="ar-SA"/>
        </w:rPr>
        <w:fldChar w:fldCharType="begin"/>
      </w:r>
      <w:r>
        <w:rPr>
          <w:rFonts w:ascii="Calibri" w:hAnsi="Calibri" w:eastAsia="宋体" w:cs="Times New Roman"/>
          <w:color w:val="auto"/>
          <w:kern w:val="2"/>
          <w:szCs w:val="22"/>
          <w:lang w:val="en-US" w:eastAsia="zh-CN" w:bidi="ar-SA"/>
        </w:rPr>
        <w:instrText xml:space="preserve"> PAGEREF _Toc2253 </w:instrText>
      </w:r>
      <w:r>
        <w:rPr>
          <w:rFonts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9</w:t>
      </w:r>
      <w:r>
        <w:rPr>
          <w:rFonts w:ascii="Calibri" w:hAnsi="Calibri" w:eastAsia="宋体" w:cs="Times New Roman"/>
          <w:color w:val="auto"/>
          <w:kern w:val="2"/>
          <w:szCs w:val="22"/>
          <w:lang w:val="en-US" w:eastAsia="zh-CN" w:bidi="ar-SA"/>
        </w:rPr>
        <w:fldChar w:fldCharType="end"/>
      </w:r>
      <w:r>
        <w:rPr>
          <w:rFonts w:hint="default" w:ascii="Times New Roman" w:hAnsi="Times New Roman" w:eastAsia="宋体" w:cs="Times New Roman"/>
          <w:bCs/>
          <w:i w:val="0"/>
          <w:color w:val="auto"/>
          <w:kern w:val="2"/>
          <w:szCs w:val="28"/>
          <w:lang w:val="en-US" w:eastAsia="zh-CN" w:bidi="ar-SA"/>
        </w:rPr>
        <w:fldChar w:fldCharType="end"/>
      </w:r>
    </w:p>
    <w:p>
      <w:pPr>
        <w:pStyle w:val="37"/>
        <w:tabs>
          <w:tab w:val="right" w:leader="dot" w:pos="8640"/>
          <w:tab w:val="clear" w:pos="620"/>
          <w:tab w:val="clear" w:pos="8364"/>
        </w:tabs>
        <w:rPr>
          <w:rFonts w:ascii="Calibri" w:hAnsi="Calibri" w:eastAsia="宋体" w:cs="Times New Roman"/>
          <w:color w:val="auto"/>
          <w:kern w:val="2"/>
          <w:szCs w:val="22"/>
          <w:lang w:val="en-US" w:eastAsia="zh-CN" w:bidi="ar-SA"/>
        </w:rPr>
      </w:pPr>
      <w:r>
        <w:rPr>
          <w:rFonts w:hint="eastAsia" w:ascii="Calibri" w:hAnsi="Calibri" w:eastAsia="宋体" w:cs="Times New Roman"/>
          <w:color w:val="auto"/>
          <w:kern w:val="2"/>
          <w:szCs w:val="22"/>
          <w:lang w:val="en-US" w:eastAsia="zh-CN" w:bidi="ar-SA"/>
        </w:rPr>
        <w:fldChar w:fldCharType="begin"/>
      </w:r>
      <w:r>
        <w:rPr>
          <w:rFonts w:hint="eastAsia" w:ascii="Calibri" w:hAnsi="Calibri" w:eastAsia="宋体" w:cs="Times New Roman"/>
          <w:color w:val="auto"/>
          <w:kern w:val="2"/>
          <w:szCs w:val="22"/>
          <w:lang w:val="en-US" w:eastAsia="zh-CN" w:bidi="ar-SA"/>
        </w:rPr>
        <w:instrText xml:space="preserve"> HYPERLINK \l _Toc573 </w:instrText>
      </w:r>
      <w:r>
        <w:rPr>
          <w:rFonts w:hint="eastAsia"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2</w:t>
      </w:r>
      <w:r>
        <w:rPr>
          <w:rFonts w:hint="default" w:ascii="Times New Roman" w:hAnsi="Times New Roman" w:eastAsia="宋体" w:cs="Times New Roman"/>
          <w:bCs/>
          <w:i w:val="0"/>
          <w:color w:val="auto"/>
          <w:kern w:val="2"/>
          <w:szCs w:val="28"/>
          <w:lang w:val="en-US" w:eastAsia="zh-CN" w:bidi="ar-SA"/>
        </w:rPr>
        <w:t xml:space="preserve">.2 </w:t>
      </w:r>
      <w:r>
        <w:rPr>
          <w:rFonts w:hint="eastAsia" w:ascii="宋体" w:hAnsi="宋体" w:eastAsia="宋体" w:cs="Times New Roman"/>
          <w:bCs/>
          <w:color w:val="auto"/>
          <w:kern w:val="2"/>
          <w:szCs w:val="28"/>
          <w:lang w:val="en-US" w:eastAsia="zh-CN" w:bidi="ar-SA"/>
        </w:rPr>
        <w:t>总则</w:t>
      </w:r>
      <w:r>
        <w:rPr>
          <w:rFonts w:ascii="Calibri" w:hAnsi="Calibri" w:eastAsia="宋体" w:cs="Times New Roman"/>
          <w:color w:val="auto"/>
          <w:kern w:val="2"/>
          <w:szCs w:val="22"/>
          <w:lang w:val="en-US" w:eastAsia="zh-CN" w:bidi="ar-SA"/>
        </w:rPr>
        <w:tab/>
      </w:r>
      <w:r>
        <w:rPr>
          <w:rFonts w:ascii="Calibri" w:hAnsi="Calibri" w:eastAsia="宋体" w:cs="Times New Roman"/>
          <w:color w:val="auto"/>
          <w:kern w:val="2"/>
          <w:szCs w:val="22"/>
          <w:lang w:val="en-US" w:eastAsia="zh-CN" w:bidi="ar-SA"/>
        </w:rPr>
        <w:fldChar w:fldCharType="begin"/>
      </w:r>
      <w:r>
        <w:rPr>
          <w:rFonts w:ascii="Calibri" w:hAnsi="Calibri" w:eastAsia="宋体" w:cs="Times New Roman"/>
          <w:color w:val="auto"/>
          <w:kern w:val="2"/>
          <w:szCs w:val="22"/>
          <w:lang w:val="en-US" w:eastAsia="zh-CN" w:bidi="ar-SA"/>
        </w:rPr>
        <w:instrText xml:space="preserve"> PAGEREF _Toc573 </w:instrText>
      </w:r>
      <w:r>
        <w:rPr>
          <w:rFonts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12</w:t>
      </w:r>
      <w:r>
        <w:rPr>
          <w:rFonts w:ascii="Calibri" w:hAnsi="Calibri" w:eastAsia="宋体" w:cs="Times New Roman"/>
          <w:color w:val="auto"/>
          <w:kern w:val="2"/>
          <w:szCs w:val="22"/>
          <w:lang w:val="en-US" w:eastAsia="zh-CN" w:bidi="ar-SA"/>
        </w:rPr>
        <w:fldChar w:fldCharType="end"/>
      </w:r>
      <w:r>
        <w:rPr>
          <w:rFonts w:hint="default" w:ascii="Times New Roman" w:hAnsi="Times New Roman" w:eastAsia="宋体" w:cs="Times New Roman"/>
          <w:bCs/>
          <w:i w:val="0"/>
          <w:color w:val="auto"/>
          <w:kern w:val="2"/>
          <w:szCs w:val="28"/>
          <w:lang w:val="en-US" w:eastAsia="zh-CN" w:bidi="ar-SA"/>
        </w:rPr>
        <w:fldChar w:fldCharType="end"/>
      </w:r>
    </w:p>
    <w:p>
      <w:pPr>
        <w:pStyle w:val="37"/>
        <w:tabs>
          <w:tab w:val="right" w:leader="dot" w:pos="8640"/>
          <w:tab w:val="clear" w:pos="620"/>
          <w:tab w:val="clear" w:pos="8364"/>
        </w:tabs>
        <w:rPr>
          <w:rFonts w:ascii="Calibri" w:hAnsi="Calibri" w:eastAsia="宋体" w:cs="Times New Roman"/>
          <w:color w:val="auto"/>
          <w:kern w:val="2"/>
          <w:szCs w:val="22"/>
          <w:lang w:val="en-US" w:eastAsia="zh-CN" w:bidi="ar-SA"/>
        </w:rPr>
      </w:pPr>
      <w:r>
        <w:rPr>
          <w:rFonts w:hint="eastAsia" w:ascii="Calibri" w:hAnsi="Calibri" w:eastAsia="宋体" w:cs="Times New Roman"/>
          <w:color w:val="auto"/>
          <w:kern w:val="2"/>
          <w:szCs w:val="22"/>
          <w:lang w:val="en-US" w:eastAsia="zh-CN" w:bidi="ar-SA"/>
        </w:rPr>
        <w:fldChar w:fldCharType="begin"/>
      </w:r>
      <w:r>
        <w:rPr>
          <w:rFonts w:hint="eastAsia" w:ascii="Calibri" w:hAnsi="Calibri" w:eastAsia="宋体" w:cs="Times New Roman"/>
          <w:color w:val="auto"/>
          <w:kern w:val="2"/>
          <w:szCs w:val="22"/>
          <w:lang w:val="en-US" w:eastAsia="zh-CN" w:bidi="ar-SA"/>
        </w:rPr>
        <w:instrText xml:space="preserve"> HYPERLINK \l _Toc15638 </w:instrText>
      </w:r>
      <w:r>
        <w:rPr>
          <w:rFonts w:hint="eastAsia"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2</w:t>
      </w:r>
      <w:r>
        <w:rPr>
          <w:rFonts w:hint="default" w:ascii="Times New Roman" w:hAnsi="Times New Roman" w:eastAsia="宋体" w:cs="Times New Roman"/>
          <w:bCs/>
          <w:i w:val="0"/>
          <w:color w:val="auto"/>
          <w:kern w:val="2"/>
          <w:szCs w:val="28"/>
          <w:lang w:val="en-US" w:eastAsia="zh-CN" w:bidi="ar-SA"/>
        </w:rPr>
        <w:t xml:space="preserve">.3 </w:t>
      </w:r>
      <w:r>
        <w:rPr>
          <w:rFonts w:hint="eastAsia" w:ascii="宋体" w:hAnsi="宋体" w:eastAsia="宋体" w:cs="Times New Roman"/>
          <w:bCs/>
          <w:color w:val="auto"/>
          <w:kern w:val="2"/>
          <w:szCs w:val="28"/>
          <w:lang w:val="en-US" w:eastAsia="zh-CN" w:bidi="ar-SA"/>
        </w:rPr>
        <w:t>招标文件</w:t>
      </w:r>
      <w:r>
        <w:rPr>
          <w:rFonts w:ascii="Calibri" w:hAnsi="Calibri" w:eastAsia="宋体" w:cs="Times New Roman"/>
          <w:color w:val="auto"/>
          <w:kern w:val="2"/>
          <w:szCs w:val="22"/>
          <w:lang w:val="en-US" w:eastAsia="zh-CN" w:bidi="ar-SA"/>
        </w:rPr>
        <w:tab/>
      </w:r>
      <w:r>
        <w:rPr>
          <w:rFonts w:ascii="Calibri" w:hAnsi="Calibri" w:eastAsia="宋体" w:cs="Times New Roman"/>
          <w:color w:val="auto"/>
          <w:kern w:val="2"/>
          <w:szCs w:val="22"/>
          <w:lang w:val="en-US" w:eastAsia="zh-CN" w:bidi="ar-SA"/>
        </w:rPr>
        <w:fldChar w:fldCharType="begin"/>
      </w:r>
      <w:r>
        <w:rPr>
          <w:rFonts w:ascii="Calibri" w:hAnsi="Calibri" w:eastAsia="宋体" w:cs="Times New Roman"/>
          <w:color w:val="auto"/>
          <w:kern w:val="2"/>
          <w:szCs w:val="22"/>
          <w:lang w:val="en-US" w:eastAsia="zh-CN" w:bidi="ar-SA"/>
        </w:rPr>
        <w:instrText xml:space="preserve"> PAGEREF _Toc15638 </w:instrText>
      </w:r>
      <w:r>
        <w:rPr>
          <w:rFonts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14</w:t>
      </w:r>
      <w:r>
        <w:rPr>
          <w:rFonts w:ascii="Calibri" w:hAnsi="Calibri" w:eastAsia="宋体" w:cs="Times New Roman"/>
          <w:color w:val="auto"/>
          <w:kern w:val="2"/>
          <w:szCs w:val="22"/>
          <w:lang w:val="en-US" w:eastAsia="zh-CN" w:bidi="ar-SA"/>
        </w:rPr>
        <w:fldChar w:fldCharType="end"/>
      </w:r>
      <w:r>
        <w:rPr>
          <w:rFonts w:hint="default" w:ascii="Times New Roman" w:hAnsi="Times New Roman" w:eastAsia="宋体" w:cs="Times New Roman"/>
          <w:bCs/>
          <w:i w:val="0"/>
          <w:color w:val="auto"/>
          <w:kern w:val="2"/>
          <w:szCs w:val="28"/>
          <w:lang w:val="en-US" w:eastAsia="zh-CN" w:bidi="ar-SA"/>
        </w:rPr>
        <w:fldChar w:fldCharType="end"/>
      </w:r>
    </w:p>
    <w:p>
      <w:pPr>
        <w:pStyle w:val="37"/>
        <w:tabs>
          <w:tab w:val="right" w:leader="dot" w:pos="8640"/>
          <w:tab w:val="clear" w:pos="620"/>
          <w:tab w:val="clear" w:pos="8364"/>
        </w:tabs>
        <w:rPr>
          <w:rFonts w:ascii="Calibri" w:hAnsi="Calibri" w:eastAsia="宋体" w:cs="Times New Roman"/>
          <w:color w:val="auto"/>
          <w:kern w:val="2"/>
          <w:szCs w:val="22"/>
          <w:lang w:val="en-US" w:eastAsia="zh-CN" w:bidi="ar-SA"/>
        </w:rPr>
      </w:pPr>
      <w:r>
        <w:rPr>
          <w:rFonts w:hint="eastAsia" w:ascii="Calibri" w:hAnsi="Calibri" w:eastAsia="宋体" w:cs="Times New Roman"/>
          <w:color w:val="auto"/>
          <w:kern w:val="2"/>
          <w:szCs w:val="22"/>
          <w:lang w:val="en-US" w:eastAsia="zh-CN" w:bidi="ar-SA"/>
        </w:rPr>
        <w:fldChar w:fldCharType="begin"/>
      </w:r>
      <w:r>
        <w:rPr>
          <w:rFonts w:hint="eastAsia" w:ascii="Calibri" w:hAnsi="Calibri" w:eastAsia="宋体" w:cs="Times New Roman"/>
          <w:color w:val="auto"/>
          <w:kern w:val="2"/>
          <w:szCs w:val="22"/>
          <w:lang w:val="en-US" w:eastAsia="zh-CN" w:bidi="ar-SA"/>
        </w:rPr>
        <w:instrText xml:space="preserve"> HYPERLINK \l _Toc22144 </w:instrText>
      </w:r>
      <w:r>
        <w:rPr>
          <w:rFonts w:hint="eastAsia"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2</w:t>
      </w:r>
      <w:r>
        <w:rPr>
          <w:rFonts w:hint="default" w:ascii="Times New Roman" w:hAnsi="Times New Roman" w:eastAsia="宋体" w:cs="Times New Roman"/>
          <w:bCs/>
          <w:i w:val="0"/>
          <w:color w:val="auto"/>
          <w:kern w:val="2"/>
          <w:szCs w:val="28"/>
          <w:lang w:val="en-US" w:eastAsia="zh-CN" w:bidi="ar-SA"/>
        </w:rPr>
        <w:t xml:space="preserve">.4 </w:t>
      </w:r>
      <w:r>
        <w:rPr>
          <w:rFonts w:hint="eastAsia" w:ascii="宋体" w:hAnsi="宋体" w:eastAsia="宋体" w:cs="Times New Roman"/>
          <w:bCs/>
          <w:color w:val="auto"/>
          <w:kern w:val="2"/>
          <w:szCs w:val="28"/>
          <w:lang w:val="en-US" w:eastAsia="zh-CN" w:bidi="ar-SA"/>
        </w:rPr>
        <w:t>投标文件</w:t>
      </w:r>
      <w:r>
        <w:rPr>
          <w:rFonts w:ascii="Calibri" w:hAnsi="Calibri" w:eastAsia="宋体" w:cs="Times New Roman"/>
          <w:color w:val="auto"/>
          <w:kern w:val="2"/>
          <w:szCs w:val="22"/>
          <w:lang w:val="en-US" w:eastAsia="zh-CN" w:bidi="ar-SA"/>
        </w:rPr>
        <w:tab/>
      </w:r>
      <w:r>
        <w:rPr>
          <w:rFonts w:ascii="Calibri" w:hAnsi="Calibri" w:eastAsia="宋体" w:cs="Times New Roman"/>
          <w:color w:val="auto"/>
          <w:kern w:val="2"/>
          <w:szCs w:val="22"/>
          <w:lang w:val="en-US" w:eastAsia="zh-CN" w:bidi="ar-SA"/>
        </w:rPr>
        <w:fldChar w:fldCharType="begin"/>
      </w:r>
      <w:r>
        <w:rPr>
          <w:rFonts w:ascii="Calibri" w:hAnsi="Calibri" w:eastAsia="宋体" w:cs="Times New Roman"/>
          <w:color w:val="auto"/>
          <w:kern w:val="2"/>
          <w:szCs w:val="22"/>
          <w:lang w:val="en-US" w:eastAsia="zh-CN" w:bidi="ar-SA"/>
        </w:rPr>
        <w:instrText xml:space="preserve"> PAGEREF _Toc22144 </w:instrText>
      </w:r>
      <w:r>
        <w:rPr>
          <w:rFonts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15</w:t>
      </w:r>
      <w:r>
        <w:rPr>
          <w:rFonts w:ascii="Calibri" w:hAnsi="Calibri" w:eastAsia="宋体" w:cs="Times New Roman"/>
          <w:color w:val="auto"/>
          <w:kern w:val="2"/>
          <w:szCs w:val="22"/>
          <w:lang w:val="en-US" w:eastAsia="zh-CN" w:bidi="ar-SA"/>
        </w:rPr>
        <w:fldChar w:fldCharType="end"/>
      </w:r>
      <w:r>
        <w:rPr>
          <w:rFonts w:hint="default" w:ascii="Times New Roman" w:hAnsi="Times New Roman" w:eastAsia="宋体" w:cs="Times New Roman"/>
          <w:bCs/>
          <w:i w:val="0"/>
          <w:color w:val="auto"/>
          <w:kern w:val="2"/>
          <w:szCs w:val="28"/>
          <w:lang w:val="en-US" w:eastAsia="zh-CN" w:bidi="ar-SA"/>
        </w:rPr>
        <w:fldChar w:fldCharType="end"/>
      </w:r>
    </w:p>
    <w:p>
      <w:pPr>
        <w:pStyle w:val="37"/>
        <w:tabs>
          <w:tab w:val="right" w:leader="dot" w:pos="8640"/>
          <w:tab w:val="clear" w:pos="620"/>
          <w:tab w:val="clear" w:pos="8364"/>
        </w:tabs>
        <w:rPr>
          <w:rFonts w:ascii="Calibri" w:hAnsi="Calibri" w:eastAsia="宋体" w:cs="Times New Roman"/>
          <w:color w:val="auto"/>
          <w:kern w:val="2"/>
          <w:szCs w:val="22"/>
          <w:lang w:val="en-US" w:eastAsia="zh-CN" w:bidi="ar-SA"/>
        </w:rPr>
      </w:pPr>
      <w:r>
        <w:rPr>
          <w:rFonts w:hint="eastAsia" w:ascii="Calibri" w:hAnsi="Calibri" w:eastAsia="宋体" w:cs="Times New Roman"/>
          <w:color w:val="auto"/>
          <w:kern w:val="2"/>
          <w:szCs w:val="22"/>
          <w:lang w:val="en-US" w:eastAsia="zh-CN" w:bidi="ar-SA"/>
        </w:rPr>
        <w:fldChar w:fldCharType="begin"/>
      </w:r>
      <w:r>
        <w:rPr>
          <w:rFonts w:hint="eastAsia" w:ascii="Calibri" w:hAnsi="Calibri" w:eastAsia="宋体" w:cs="Times New Roman"/>
          <w:color w:val="auto"/>
          <w:kern w:val="2"/>
          <w:szCs w:val="22"/>
          <w:lang w:val="en-US" w:eastAsia="zh-CN" w:bidi="ar-SA"/>
        </w:rPr>
        <w:instrText xml:space="preserve"> HYPERLINK \l _Toc11795 </w:instrText>
      </w:r>
      <w:r>
        <w:rPr>
          <w:rFonts w:hint="eastAsia"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2</w:t>
      </w:r>
      <w:r>
        <w:rPr>
          <w:rFonts w:hint="default" w:ascii="Times New Roman" w:hAnsi="Times New Roman" w:eastAsia="宋体" w:cs="Times New Roman"/>
          <w:bCs/>
          <w:i w:val="0"/>
          <w:color w:val="auto"/>
          <w:kern w:val="2"/>
          <w:szCs w:val="28"/>
          <w:lang w:val="en-US" w:eastAsia="zh-CN" w:bidi="ar-SA"/>
        </w:rPr>
        <w:t xml:space="preserve">.5 </w:t>
      </w:r>
      <w:r>
        <w:rPr>
          <w:rFonts w:hint="eastAsia" w:ascii="宋体" w:hAnsi="宋体" w:eastAsia="宋体" w:cs="Times New Roman"/>
          <w:bCs/>
          <w:color w:val="auto"/>
          <w:kern w:val="2"/>
          <w:szCs w:val="28"/>
          <w:lang w:val="en-US" w:eastAsia="zh-CN" w:bidi="ar-SA"/>
        </w:rPr>
        <w:t>开标、资格审查、评标和中标</w:t>
      </w:r>
      <w:r>
        <w:rPr>
          <w:rFonts w:ascii="Calibri" w:hAnsi="Calibri" w:eastAsia="宋体" w:cs="Times New Roman"/>
          <w:color w:val="auto"/>
          <w:kern w:val="2"/>
          <w:szCs w:val="22"/>
          <w:lang w:val="en-US" w:eastAsia="zh-CN" w:bidi="ar-SA"/>
        </w:rPr>
        <w:tab/>
      </w:r>
      <w:r>
        <w:rPr>
          <w:rFonts w:ascii="Calibri" w:hAnsi="Calibri" w:eastAsia="宋体" w:cs="Times New Roman"/>
          <w:color w:val="auto"/>
          <w:kern w:val="2"/>
          <w:szCs w:val="22"/>
          <w:lang w:val="en-US" w:eastAsia="zh-CN" w:bidi="ar-SA"/>
        </w:rPr>
        <w:fldChar w:fldCharType="begin"/>
      </w:r>
      <w:r>
        <w:rPr>
          <w:rFonts w:ascii="Calibri" w:hAnsi="Calibri" w:eastAsia="宋体" w:cs="Times New Roman"/>
          <w:color w:val="auto"/>
          <w:kern w:val="2"/>
          <w:szCs w:val="22"/>
          <w:lang w:val="en-US" w:eastAsia="zh-CN" w:bidi="ar-SA"/>
        </w:rPr>
        <w:instrText xml:space="preserve"> PAGEREF _Toc11795 </w:instrText>
      </w:r>
      <w:r>
        <w:rPr>
          <w:rFonts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22</w:t>
      </w:r>
      <w:r>
        <w:rPr>
          <w:rFonts w:ascii="Calibri" w:hAnsi="Calibri" w:eastAsia="宋体" w:cs="Times New Roman"/>
          <w:color w:val="auto"/>
          <w:kern w:val="2"/>
          <w:szCs w:val="22"/>
          <w:lang w:val="en-US" w:eastAsia="zh-CN" w:bidi="ar-SA"/>
        </w:rPr>
        <w:fldChar w:fldCharType="end"/>
      </w:r>
      <w:r>
        <w:rPr>
          <w:rFonts w:hint="default" w:ascii="Times New Roman" w:hAnsi="Times New Roman" w:eastAsia="宋体" w:cs="Times New Roman"/>
          <w:bCs/>
          <w:i w:val="0"/>
          <w:color w:val="auto"/>
          <w:kern w:val="2"/>
          <w:szCs w:val="28"/>
          <w:lang w:val="en-US" w:eastAsia="zh-CN" w:bidi="ar-SA"/>
        </w:rPr>
        <w:fldChar w:fldCharType="end"/>
      </w:r>
    </w:p>
    <w:p>
      <w:pPr>
        <w:pStyle w:val="37"/>
        <w:tabs>
          <w:tab w:val="right" w:leader="dot" w:pos="8640"/>
          <w:tab w:val="clear" w:pos="620"/>
          <w:tab w:val="clear" w:pos="8364"/>
        </w:tabs>
        <w:rPr>
          <w:rFonts w:ascii="Calibri" w:hAnsi="Calibri" w:eastAsia="宋体" w:cs="Times New Roman"/>
          <w:color w:val="auto"/>
          <w:kern w:val="2"/>
          <w:szCs w:val="22"/>
          <w:lang w:val="en-US" w:eastAsia="zh-CN" w:bidi="ar-SA"/>
        </w:rPr>
      </w:pPr>
      <w:r>
        <w:rPr>
          <w:rFonts w:hint="eastAsia" w:ascii="Calibri" w:hAnsi="Calibri" w:eastAsia="宋体" w:cs="Times New Roman"/>
          <w:color w:val="auto"/>
          <w:kern w:val="2"/>
          <w:szCs w:val="22"/>
          <w:lang w:val="en-US" w:eastAsia="zh-CN" w:bidi="ar-SA"/>
        </w:rPr>
        <w:fldChar w:fldCharType="begin"/>
      </w:r>
      <w:r>
        <w:rPr>
          <w:rFonts w:hint="eastAsia" w:ascii="Calibri" w:hAnsi="Calibri" w:eastAsia="宋体" w:cs="Times New Roman"/>
          <w:color w:val="auto"/>
          <w:kern w:val="2"/>
          <w:szCs w:val="22"/>
          <w:lang w:val="en-US" w:eastAsia="zh-CN" w:bidi="ar-SA"/>
        </w:rPr>
        <w:instrText xml:space="preserve"> HYPERLINK \l _Toc30421 </w:instrText>
      </w:r>
      <w:r>
        <w:rPr>
          <w:rFonts w:hint="eastAsia"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2</w:t>
      </w:r>
      <w:r>
        <w:rPr>
          <w:rFonts w:hint="default" w:ascii="Times New Roman" w:hAnsi="Times New Roman" w:eastAsia="宋体" w:cs="Times New Roman"/>
          <w:bCs/>
          <w:i w:val="0"/>
          <w:color w:val="auto"/>
          <w:kern w:val="2"/>
          <w:szCs w:val="28"/>
          <w:lang w:val="en-US" w:eastAsia="zh-CN" w:bidi="ar-SA"/>
        </w:rPr>
        <w:t xml:space="preserve">.6 </w:t>
      </w:r>
      <w:r>
        <w:rPr>
          <w:rFonts w:hint="eastAsia" w:ascii="宋体" w:hAnsi="宋体" w:eastAsia="宋体" w:cs="Times New Roman"/>
          <w:bCs/>
          <w:color w:val="auto"/>
          <w:kern w:val="2"/>
          <w:szCs w:val="28"/>
          <w:lang w:val="en-US" w:eastAsia="zh-CN" w:bidi="ar-SA"/>
        </w:rPr>
        <w:t>签订及履行合同和验收</w:t>
      </w:r>
      <w:r>
        <w:rPr>
          <w:rFonts w:ascii="Calibri" w:hAnsi="Calibri" w:eastAsia="宋体" w:cs="Times New Roman"/>
          <w:color w:val="auto"/>
          <w:kern w:val="2"/>
          <w:szCs w:val="22"/>
          <w:lang w:val="en-US" w:eastAsia="zh-CN" w:bidi="ar-SA"/>
        </w:rPr>
        <w:tab/>
      </w:r>
      <w:r>
        <w:rPr>
          <w:rFonts w:ascii="Calibri" w:hAnsi="Calibri" w:eastAsia="宋体" w:cs="Times New Roman"/>
          <w:color w:val="auto"/>
          <w:kern w:val="2"/>
          <w:szCs w:val="22"/>
          <w:lang w:val="en-US" w:eastAsia="zh-CN" w:bidi="ar-SA"/>
        </w:rPr>
        <w:fldChar w:fldCharType="begin"/>
      </w:r>
      <w:r>
        <w:rPr>
          <w:rFonts w:ascii="Calibri" w:hAnsi="Calibri" w:eastAsia="宋体" w:cs="Times New Roman"/>
          <w:color w:val="auto"/>
          <w:kern w:val="2"/>
          <w:szCs w:val="22"/>
          <w:lang w:val="en-US" w:eastAsia="zh-CN" w:bidi="ar-SA"/>
        </w:rPr>
        <w:instrText xml:space="preserve"> PAGEREF _Toc30421 </w:instrText>
      </w:r>
      <w:r>
        <w:rPr>
          <w:rFonts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24</w:t>
      </w:r>
      <w:r>
        <w:rPr>
          <w:rFonts w:ascii="Calibri" w:hAnsi="Calibri" w:eastAsia="宋体" w:cs="Times New Roman"/>
          <w:color w:val="auto"/>
          <w:kern w:val="2"/>
          <w:szCs w:val="22"/>
          <w:lang w:val="en-US" w:eastAsia="zh-CN" w:bidi="ar-SA"/>
        </w:rPr>
        <w:fldChar w:fldCharType="end"/>
      </w:r>
      <w:r>
        <w:rPr>
          <w:rFonts w:hint="default" w:ascii="Times New Roman" w:hAnsi="Times New Roman" w:eastAsia="宋体" w:cs="Times New Roman"/>
          <w:bCs/>
          <w:i w:val="0"/>
          <w:color w:val="auto"/>
          <w:kern w:val="2"/>
          <w:szCs w:val="28"/>
          <w:lang w:val="en-US" w:eastAsia="zh-CN" w:bidi="ar-SA"/>
        </w:rPr>
        <w:fldChar w:fldCharType="end"/>
      </w:r>
    </w:p>
    <w:p>
      <w:pPr>
        <w:pStyle w:val="37"/>
        <w:tabs>
          <w:tab w:val="right" w:leader="dot" w:pos="8640"/>
          <w:tab w:val="clear" w:pos="620"/>
          <w:tab w:val="clear" w:pos="8364"/>
        </w:tabs>
        <w:rPr>
          <w:rFonts w:ascii="Calibri" w:hAnsi="Calibri" w:eastAsia="宋体" w:cs="Times New Roman"/>
          <w:color w:val="auto"/>
          <w:kern w:val="2"/>
          <w:szCs w:val="22"/>
          <w:lang w:val="en-US" w:eastAsia="zh-CN" w:bidi="ar-SA"/>
        </w:rPr>
      </w:pPr>
      <w:r>
        <w:rPr>
          <w:rFonts w:hint="eastAsia" w:ascii="Calibri" w:hAnsi="Calibri" w:eastAsia="宋体" w:cs="Times New Roman"/>
          <w:color w:val="auto"/>
          <w:kern w:val="2"/>
          <w:szCs w:val="22"/>
          <w:lang w:val="en-US" w:eastAsia="zh-CN" w:bidi="ar-SA"/>
        </w:rPr>
        <w:fldChar w:fldCharType="begin"/>
      </w:r>
      <w:r>
        <w:rPr>
          <w:rFonts w:hint="eastAsia" w:ascii="Calibri" w:hAnsi="Calibri" w:eastAsia="宋体" w:cs="Times New Roman"/>
          <w:color w:val="auto"/>
          <w:kern w:val="2"/>
          <w:szCs w:val="22"/>
          <w:lang w:val="en-US" w:eastAsia="zh-CN" w:bidi="ar-SA"/>
        </w:rPr>
        <w:instrText xml:space="preserve"> HYPERLINK \l _Toc15696 </w:instrText>
      </w:r>
      <w:r>
        <w:rPr>
          <w:rFonts w:hint="eastAsia"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2</w:t>
      </w:r>
      <w:r>
        <w:rPr>
          <w:rFonts w:hint="default" w:ascii="Times New Roman" w:hAnsi="Times New Roman" w:eastAsia="宋体" w:cs="Times New Roman"/>
          <w:bCs/>
          <w:i w:val="0"/>
          <w:color w:val="auto"/>
          <w:kern w:val="2"/>
          <w:szCs w:val="28"/>
          <w:lang w:val="en-US" w:eastAsia="zh-CN" w:bidi="ar-SA"/>
        </w:rPr>
        <w:t xml:space="preserve">.7 </w:t>
      </w:r>
      <w:r>
        <w:rPr>
          <w:rFonts w:hint="eastAsia" w:ascii="宋体" w:hAnsi="宋体" w:eastAsia="宋体" w:cs="Times New Roman"/>
          <w:bCs/>
          <w:color w:val="auto"/>
          <w:kern w:val="2"/>
          <w:szCs w:val="28"/>
          <w:lang w:val="en-US" w:eastAsia="zh-CN" w:bidi="ar-SA"/>
        </w:rPr>
        <w:t>投标纪律要求</w:t>
      </w:r>
      <w:r>
        <w:rPr>
          <w:rFonts w:ascii="Calibri" w:hAnsi="Calibri" w:eastAsia="宋体" w:cs="Times New Roman"/>
          <w:color w:val="auto"/>
          <w:kern w:val="2"/>
          <w:szCs w:val="22"/>
          <w:lang w:val="en-US" w:eastAsia="zh-CN" w:bidi="ar-SA"/>
        </w:rPr>
        <w:tab/>
      </w:r>
      <w:r>
        <w:rPr>
          <w:rFonts w:ascii="Calibri" w:hAnsi="Calibri" w:eastAsia="宋体" w:cs="Times New Roman"/>
          <w:color w:val="auto"/>
          <w:kern w:val="2"/>
          <w:szCs w:val="22"/>
          <w:lang w:val="en-US" w:eastAsia="zh-CN" w:bidi="ar-SA"/>
        </w:rPr>
        <w:fldChar w:fldCharType="begin"/>
      </w:r>
      <w:r>
        <w:rPr>
          <w:rFonts w:ascii="Calibri" w:hAnsi="Calibri" w:eastAsia="宋体" w:cs="Times New Roman"/>
          <w:color w:val="auto"/>
          <w:kern w:val="2"/>
          <w:szCs w:val="22"/>
          <w:lang w:val="en-US" w:eastAsia="zh-CN" w:bidi="ar-SA"/>
        </w:rPr>
        <w:instrText xml:space="preserve"> PAGEREF _Toc15696 </w:instrText>
      </w:r>
      <w:r>
        <w:rPr>
          <w:rFonts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27</w:t>
      </w:r>
      <w:r>
        <w:rPr>
          <w:rFonts w:ascii="Calibri" w:hAnsi="Calibri" w:eastAsia="宋体" w:cs="Times New Roman"/>
          <w:color w:val="auto"/>
          <w:kern w:val="2"/>
          <w:szCs w:val="22"/>
          <w:lang w:val="en-US" w:eastAsia="zh-CN" w:bidi="ar-SA"/>
        </w:rPr>
        <w:fldChar w:fldCharType="end"/>
      </w:r>
      <w:r>
        <w:rPr>
          <w:rFonts w:hint="default" w:ascii="Times New Roman" w:hAnsi="Times New Roman" w:eastAsia="宋体" w:cs="Times New Roman"/>
          <w:bCs/>
          <w:i w:val="0"/>
          <w:color w:val="auto"/>
          <w:kern w:val="2"/>
          <w:szCs w:val="28"/>
          <w:lang w:val="en-US" w:eastAsia="zh-CN" w:bidi="ar-SA"/>
        </w:rPr>
        <w:fldChar w:fldCharType="end"/>
      </w:r>
    </w:p>
    <w:p>
      <w:pPr>
        <w:pStyle w:val="37"/>
        <w:tabs>
          <w:tab w:val="right" w:leader="dot" w:pos="8640"/>
          <w:tab w:val="clear" w:pos="620"/>
          <w:tab w:val="clear" w:pos="8364"/>
        </w:tabs>
        <w:rPr>
          <w:rFonts w:ascii="Calibri" w:hAnsi="Calibri" w:eastAsia="宋体" w:cs="Times New Roman"/>
          <w:color w:val="auto"/>
          <w:kern w:val="2"/>
          <w:szCs w:val="22"/>
          <w:lang w:val="en-US" w:eastAsia="zh-CN" w:bidi="ar-SA"/>
        </w:rPr>
      </w:pPr>
      <w:r>
        <w:rPr>
          <w:rFonts w:hint="eastAsia" w:ascii="Calibri" w:hAnsi="Calibri" w:eastAsia="宋体" w:cs="Times New Roman"/>
          <w:color w:val="auto"/>
          <w:kern w:val="2"/>
          <w:szCs w:val="22"/>
          <w:lang w:val="en-US" w:eastAsia="zh-CN" w:bidi="ar-SA"/>
        </w:rPr>
        <w:fldChar w:fldCharType="begin"/>
      </w:r>
      <w:r>
        <w:rPr>
          <w:rFonts w:hint="eastAsia" w:ascii="Calibri" w:hAnsi="Calibri" w:eastAsia="宋体" w:cs="Times New Roman"/>
          <w:color w:val="auto"/>
          <w:kern w:val="2"/>
          <w:szCs w:val="22"/>
          <w:lang w:val="en-US" w:eastAsia="zh-CN" w:bidi="ar-SA"/>
        </w:rPr>
        <w:instrText xml:space="preserve"> HYPERLINK \l _Toc6665 </w:instrText>
      </w:r>
      <w:r>
        <w:rPr>
          <w:rFonts w:hint="eastAsia"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2</w:t>
      </w:r>
      <w:r>
        <w:rPr>
          <w:rFonts w:hint="default" w:ascii="Times New Roman" w:hAnsi="Times New Roman" w:eastAsia="宋体" w:cs="Times New Roman"/>
          <w:bCs/>
          <w:i w:val="0"/>
          <w:color w:val="auto"/>
          <w:kern w:val="2"/>
          <w:szCs w:val="28"/>
          <w:lang w:val="en-US" w:eastAsia="zh-CN" w:bidi="ar-SA"/>
        </w:rPr>
        <w:t xml:space="preserve">.8 </w:t>
      </w:r>
      <w:r>
        <w:rPr>
          <w:rFonts w:hint="eastAsia" w:ascii="宋体" w:hAnsi="宋体" w:eastAsia="宋体" w:cs="Times New Roman"/>
          <w:bCs/>
          <w:color w:val="auto"/>
          <w:kern w:val="2"/>
          <w:szCs w:val="28"/>
          <w:lang w:val="en-US" w:eastAsia="zh-CN" w:bidi="ar-SA"/>
        </w:rPr>
        <w:t>询问、质疑和投诉</w:t>
      </w:r>
      <w:r>
        <w:rPr>
          <w:rFonts w:ascii="Calibri" w:hAnsi="Calibri" w:eastAsia="宋体" w:cs="Times New Roman"/>
          <w:color w:val="auto"/>
          <w:kern w:val="2"/>
          <w:szCs w:val="22"/>
          <w:lang w:val="en-US" w:eastAsia="zh-CN" w:bidi="ar-SA"/>
        </w:rPr>
        <w:tab/>
      </w:r>
      <w:r>
        <w:rPr>
          <w:rFonts w:ascii="Calibri" w:hAnsi="Calibri" w:eastAsia="宋体" w:cs="Times New Roman"/>
          <w:color w:val="auto"/>
          <w:kern w:val="2"/>
          <w:szCs w:val="22"/>
          <w:lang w:val="en-US" w:eastAsia="zh-CN" w:bidi="ar-SA"/>
        </w:rPr>
        <w:fldChar w:fldCharType="begin"/>
      </w:r>
      <w:r>
        <w:rPr>
          <w:rFonts w:ascii="Calibri" w:hAnsi="Calibri" w:eastAsia="宋体" w:cs="Times New Roman"/>
          <w:color w:val="auto"/>
          <w:kern w:val="2"/>
          <w:szCs w:val="22"/>
          <w:lang w:val="en-US" w:eastAsia="zh-CN" w:bidi="ar-SA"/>
        </w:rPr>
        <w:instrText xml:space="preserve"> PAGEREF _Toc6665 </w:instrText>
      </w:r>
      <w:r>
        <w:rPr>
          <w:rFonts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29</w:t>
      </w:r>
      <w:r>
        <w:rPr>
          <w:rFonts w:ascii="Calibri" w:hAnsi="Calibri" w:eastAsia="宋体" w:cs="Times New Roman"/>
          <w:color w:val="auto"/>
          <w:kern w:val="2"/>
          <w:szCs w:val="22"/>
          <w:lang w:val="en-US" w:eastAsia="zh-CN" w:bidi="ar-SA"/>
        </w:rPr>
        <w:fldChar w:fldCharType="end"/>
      </w:r>
      <w:r>
        <w:rPr>
          <w:rFonts w:hint="default" w:ascii="Times New Roman" w:hAnsi="Times New Roman" w:eastAsia="宋体" w:cs="Times New Roman"/>
          <w:bCs/>
          <w:i w:val="0"/>
          <w:color w:val="auto"/>
          <w:kern w:val="2"/>
          <w:szCs w:val="28"/>
          <w:lang w:val="en-US" w:eastAsia="zh-CN" w:bidi="ar-SA"/>
        </w:rPr>
        <w:fldChar w:fldCharType="end"/>
      </w:r>
    </w:p>
    <w:p>
      <w:pPr>
        <w:pStyle w:val="37"/>
        <w:tabs>
          <w:tab w:val="right" w:leader="dot" w:pos="8640"/>
          <w:tab w:val="clear" w:pos="620"/>
          <w:tab w:val="clear" w:pos="8364"/>
        </w:tabs>
        <w:rPr>
          <w:rFonts w:ascii="Calibri" w:hAnsi="Calibri" w:eastAsia="宋体" w:cs="Times New Roman"/>
          <w:color w:val="auto"/>
          <w:kern w:val="2"/>
          <w:szCs w:val="22"/>
          <w:lang w:val="en-US" w:eastAsia="zh-CN" w:bidi="ar-SA"/>
        </w:rPr>
      </w:pPr>
      <w:r>
        <w:rPr>
          <w:rFonts w:hint="eastAsia" w:ascii="Calibri" w:hAnsi="Calibri" w:eastAsia="宋体" w:cs="Times New Roman"/>
          <w:color w:val="auto"/>
          <w:kern w:val="2"/>
          <w:szCs w:val="22"/>
          <w:lang w:val="en-US" w:eastAsia="zh-CN" w:bidi="ar-SA"/>
        </w:rPr>
        <w:fldChar w:fldCharType="begin"/>
      </w:r>
      <w:r>
        <w:rPr>
          <w:rFonts w:hint="eastAsia" w:ascii="Calibri" w:hAnsi="Calibri" w:eastAsia="宋体" w:cs="Times New Roman"/>
          <w:color w:val="auto"/>
          <w:kern w:val="2"/>
          <w:szCs w:val="22"/>
          <w:lang w:val="en-US" w:eastAsia="zh-CN" w:bidi="ar-SA"/>
        </w:rPr>
        <w:instrText xml:space="preserve"> HYPERLINK \l _Toc31760 </w:instrText>
      </w:r>
      <w:r>
        <w:rPr>
          <w:rFonts w:hint="eastAsia"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2</w:t>
      </w:r>
      <w:r>
        <w:rPr>
          <w:rFonts w:hint="default" w:ascii="Times New Roman" w:hAnsi="Times New Roman" w:eastAsia="宋体" w:cs="Times New Roman"/>
          <w:bCs/>
          <w:i w:val="0"/>
          <w:color w:val="auto"/>
          <w:kern w:val="2"/>
          <w:szCs w:val="28"/>
          <w:lang w:val="en-US" w:eastAsia="zh-CN" w:bidi="ar-SA"/>
        </w:rPr>
        <w:t xml:space="preserve">.9 </w:t>
      </w:r>
      <w:r>
        <w:rPr>
          <w:rFonts w:hint="eastAsia" w:ascii="宋体" w:hAnsi="宋体" w:eastAsia="宋体" w:cs="Times New Roman"/>
          <w:bCs/>
          <w:color w:val="auto"/>
          <w:kern w:val="2"/>
          <w:szCs w:val="28"/>
          <w:lang w:val="en-US" w:eastAsia="zh-CN" w:bidi="ar-SA"/>
        </w:rPr>
        <w:t>中小企业政府采购信用融资</w:t>
      </w:r>
      <w:r>
        <w:rPr>
          <w:rFonts w:ascii="Calibri" w:hAnsi="Calibri" w:eastAsia="宋体" w:cs="Times New Roman"/>
          <w:color w:val="auto"/>
          <w:kern w:val="2"/>
          <w:szCs w:val="22"/>
          <w:lang w:val="en-US" w:eastAsia="zh-CN" w:bidi="ar-SA"/>
        </w:rPr>
        <w:tab/>
      </w:r>
      <w:r>
        <w:rPr>
          <w:rFonts w:ascii="Calibri" w:hAnsi="Calibri" w:eastAsia="宋体" w:cs="Times New Roman"/>
          <w:color w:val="auto"/>
          <w:kern w:val="2"/>
          <w:szCs w:val="22"/>
          <w:lang w:val="en-US" w:eastAsia="zh-CN" w:bidi="ar-SA"/>
        </w:rPr>
        <w:fldChar w:fldCharType="begin"/>
      </w:r>
      <w:r>
        <w:rPr>
          <w:rFonts w:ascii="Calibri" w:hAnsi="Calibri" w:eastAsia="宋体" w:cs="Times New Roman"/>
          <w:color w:val="auto"/>
          <w:kern w:val="2"/>
          <w:szCs w:val="22"/>
          <w:lang w:val="en-US" w:eastAsia="zh-CN" w:bidi="ar-SA"/>
        </w:rPr>
        <w:instrText xml:space="preserve"> PAGEREF _Toc31760 </w:instrText>
      </w:r>
      <w:r>
        <w:rPr>
          <w:rFonts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31</w:t>
      </w:r>
      <w:r>
        <w:rPr>
          <w:rFonts w:ascii="Calibri" w:hAnsi="Calibri" w:eastAsia="宋体" w:cs="Times New Roman"/>
          <w:color w:val="auto"/>
          <w:kern w:val="2"/>
          <w:szCs w:val="22"/>
          <w:lang w:val="en-US" w:eastAsia="zh-CN" w:bidi="ar-SA"/>
        </w:rPr>
        <w:fldChar w:fldCharType="end"/>
      </w:r>
      <w:r>
        <w:rPr>
          <w:rFonts w:hint="default" w:ascii="Times New Roman" w:hAnsi="Times New Roman" w:eastAsia="宋体" w:cs="Times New Roman"/>
          <w:bCs/>
          <w:i w:val="0"/>
          <w:color w:val="auto"/>
          <w:kern w:val="2"/>
          <w:szCs w:val="28"/>
          <w:lang w:val="en-US" w:eastAsia="zh-CN" w:bidi="ar-SA"/>
        </w:rPr>
        <w:fldChar w:fldCharType="end"/>
      </w:r>
    </w:p>
    <w:p>
      <w:pPr>
        <w:pStyle w:val="31"/>
        <w:tabs>
          <w:tab w:val="right" w:leader="dot" w:pos="8640"/>
          <w:tab w:val="clear" w:pos="709"/>
          <w:tab w:val="clear" w:pos="8364"/>
        </w:tabs>
        <w:rPr>
          <w:rFonts w:ascii="Calibri" w:hAnsi="Calibri" w:eastAsia="宋体" w:cs="Times New Roman"/>
          <w:color w:val="auto"/>
          <w:kern w:val="2"/>
          <w:szCs w:val="22"/>
          <w:lang w:val="en-US" w:eastAsia="zh-CN" w:bidi="ar-SA"/>
        </w:rPr>
      </w:pPr>
      <w:r>
        <w:rPr>
          <w:rFonts w:hint="eastAsia" w:ascii="Calibri" w:hAnsi="Calibri" w:eastAsia="宋体" w:cs="Times New Roman"/>
          <w:color w:val="auto"/>
          <w:kern w:val="2"/>
          <w:szCs w:val="22"/>
          <w:lang w:val="en-US" w:eastAsia="zh-CN" w:bidi="ar-SA"/>
        </w:rPr>
        <w:fldChar w:fldCharType="begin"/>
      </w:r>
      <w:r>
        <w:rPr>
          <w:rFonts w:hint="eastAsia" w:ascii="Calibri" w:hAnsi="Calibri" w:eastAsia="宋体" w:cs="Times New Roman"/>
          <w:color w:val="auto"/>
          <w:kern w:val="2"/>
          <w:szCs w:val="22"/>
          <w:lang w:val="en-US" w:eastAsia="zh-CN" w:bidi="ar-SA"/>
        </w:rPr>
        <w:instrText xml:space="preserve"> HYPERLINK \l _Toc4952 </w:instrText>
      </w:r>
      <w:r>
        <w:rPr>
          <w:rFonts w:hint="eastAsia"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第</w:t>
      </w:r>
      <w:r>
        <w:rPr>
          <w:rFonts w:hint="default" w:ascii="Times New Roman" w:hAnsi="Times New Roman" w:eastAsia="宋体" w:cs="Times New Roman"/>
          <w:bCs/>
          <w:i w:val="0"/>
          <w:color w:val="auto"/>
          <w:spacing w:val="-20"/>
          <w:kern w:val="44"/>
          <w:szCs w:val="32"/>
          <w:lang w:val="en-US" w:eastAsia="zh-CN" w:bidi="ar-SA"/>
        </w:rPr>
        <w:t xml:space="preserve">3章 </w:t>
      </w:r>
      <w:r>
        <w:rPr>
          <w:rFonts w:hint="eastAsia" w:ascii="宋体" w:hAnsi="宋体" w:eastAsia="宋体" w:cs="Times New Roman"/>
          <w:bCs/>
          <w:color w:val="auto"/>
          <w:spacing w:val="-20"/>
          <w:kern w:val="44"/>
          <w:szCs w:val="32"/>
          <w:lang w:val="en-US" w:eastAsia="zh-CN" w:bidi="ar-SA"/>
        </w:rPr>
        <w:t>投标文件格式</w:t>
      </w:r>
      <w:r>
        <w:rPr>
          <w:rFonts w:ascii="Calibri" w:hAnsi="Calibri" w:eastAsia="宋体" w:cs="Times New Roman"/>
          <w:color w:val="auto"/>
          <w:kern w:val="2"/>
          <w:szCs w:val="22"/>
          <w:lang w:val="en-US" w:eastAsia="zh-CN" w:bidi="ar-SA"/>
        </w:rPr>
        <w:tab/>
      </w:r>
      <w:r>
        <w:rPr>
          <w:rFonts w:ascii="Calibri" w:hAnsi="Calibri" w:eastAsia="宋体" w:cs="Times New Roman"/>
          <w:color w:val="auto"/>
          <w:kern w:val="2"/>
          <w:szCs w:val="22"/>
          <w:lang w:val="en-US" w:eastAsia="zh-CN" w:bidi="ar-SA"/>
        </w:rPr>
        <w:fldChar w:fldCharType="begin"/>
      </w:r>
      <w:r>
        <w:rPr>
          <w:rFonts w:ascii="Calibri" w:hAnsi="Calibri" w:eastAsia="宋体" w:cs="Times New Roman"/>
          <w:color w:val="auto"/>
          <w:kern w:val="2"/>
          <w:szCs w:val="22"/>
          <w:lang w:val="en-US" w:eastAsia="zh-CN" w:bidi="ar-SA"/>
        </w:rPr>
        <w:instrText xml:space="preserve"> PAGEREF _Toc4952 </w:instrText>
      </w:r>
      <w:r>
        <w:rPr>
          <w:rFonts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32</w:t>
      </w:r>
      <w:r>
        <w:rPr>
          <w:rFonts w:ascii="Calibri" w:hAnsi="Calibri" w:eastAsia="宋体" w:cs="Times New Roman"/>
          <w:color w:val="auto"/>
          <w:kern w:val="2"/>
          <w:szCs w:val="22"/>
          <w:lang w:val="en-US" w:eastAsia="zh-CN" w:bidi="ar-SA"/>
        </w:rPr>
        <w:fldChar w:fldCharType="end"/>
      </w:r>
      <w:r>
        <w:rPr>
          <w:rFonts w:hint="default" w:ascii="Times New Roman" w:hAnsi="Times New Roman" w:eastAsia="宋体" w:cs="Times New Roman"/>
          <w:bCs/>
          <w:i w:val="0"/>
          <w:color w:val="auto"/>
          <w:spacing w:val="-20"/>
          <w:kern w:val="44"/>
          <w:szCs w:val="32"/>
          <w:lang w:val="en-US" w:eastAsia="zh-CN" w:bidi="ar-SA"/>
        </w:rPr>
        <w:fldChar w:fldCharType="end"/>
      </w:r>
    </w:p>
    <w:p>
      <w:pPr>
        <w:pStyle w:val="37"/>
        <w:tabs>
          <w:tab w:val="right" w:leader="dot" w:pos="8640"/>
          <w:tab w:val="clear" w:pos="620"/>
          <w:tab w:val="clear" w:pos="8364"/>
        </w:tabs>
        <w:rPr>
          <w:rFonts w:ascii="Calibri" w:hAnsi="Calibri" w:eastAsia="宋体" w:cs="Times New Roman"/>
          <w:color w:val="auto"/>
          <w:kern w:val="2"/>
          <w:szCs w:val="22"/>
          <w:lang w:val="en-US" w:eastAsia="zh-CN" w:bidi="ar-SA"/>
        </w:rPr>
      </w:pPr>
      <w:r>
        <w:rPr>
          <w:rFonts w:hint="eastAsia" w:ascii="Calibri" w:hAnsi="Calibri" w:eastAsia="宋体" w:cs="Times New Roman"/>
          <w:color w:val="auto"/>
          <w:kern w:val="2"/>
          <w:szCs w:val="22"/>
          <w:lang w:val="en-US" w:eastAsia="zh-CN" w:bidi="ar-SA"/>
        </w:rPr>
        <w:fldChar w:fldCharType="begin"/>
      </w:r>
      <w:r>
        <w:rPr>
          <w:rFonts w:hint="eastAsia" w:ascii="Calibri" w:hAnsi="Calibri" w:eastAsia="宋体" w:cs="Times New Roman"/>
          <w:color w:val="auto"/>
          <w:kern w:val="2"/>
          <w:szCs w:val="22"/>
          <w:lang w:val="en-US" w:eastAsia="zh-CN" w:bidi="ar-SA"/>
        </w:rPr>
        <w:instrText xml:space="preserve"> HYPERLINK \l _Toc25495 </w:instrText>
      </w:r>
      <w:r>
        <w:rPr>
          <w:rFonts w:hint="eastAsia"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3</w:t>
      </w:r>
      <w:r>
        <w:rPr>
          <w:rFonts w:hint="default" w:ascii="Times New Roman" w:hAnsi="Times New Roman" w:eastAsia="宋体" w:cs="Times New Roman"/>
          <w:bCs/>
          <w:i w:val="0"/>
          <w:color w:val="auto"/>
          <w:kern w:val="2"/>
          <w:szCs w:val="28"/>
          <w:lang w:val="en-US" w:eastAsia="zh-CN" w:bidi="ar-SA"/>
        </w:rPr>
        <w:t xml:space="preserve">.1 </w:t>
      </w:r>
      <w:r>
        <w:rPr>
          <w:rFonts w:hint="eastAsia" w:ascii="宋体" w:hAnsi="宋体" w:eastAsia="宋体" w:cs="Times New Roman"/>
          <w:bCs/>
          <w:color w:val="auto"/>
          <w:kern w:val="2"/>
          <w:szCs w:val="28"/>
          <w:lang w:val="en-US" w:eastAsia="zh-CN" w:bidi="ar-SA"/>
        </w:rPr>
        <w:t>投标文件封面格式</w:t>
      </w:r>
      <w:r>
        <w:rPr>
          <w:rFonts w:ascii="Calibri" w:hAnsi="Calibri" w:eastAsia="宋体" w:cs="Times New Roman"/>
          <w:color w:val="auto"/>
          <w:kern w:val="2"/>
          <w:szCs w:val="22"/>
          <w:lang w:val="en-US" w:eastAsia="zh-CN" w:bidi="ar-SA"/>
        </w:rPr>
        <w:tab/>
      </w:r>
      <w:r>
        <w:rPr>
          <w:rFonts w:ascii="Calibri" w:hAnsi="Calibri" w:eastAsia="宋体" w:cs="Times New Roman"/>
          <w:color w:val="auto"/>
          <w:kern w:val="2"/>
          <w:szCs w:val="22"/>
          <w:lang w:val="en-US" w:eastAsia="zh-CN" w:bidi="ar-SA"/>
        </w:rPr>
        <w:fldChar w:fldCharType="begin"/>
      </w:r>
      <w:r>
        <w:rPr>
          <w:rFonts w:ascii="Calibri" w:hAnsi="Calibri" w:eastAsia="宋体" w:cs="Times New Roman"/>
          <w:color w:val="auto"/>
          <w:kern w:val="2"/>
          <w:szCs w:val="22"/>
          <w:lang w:val="en-US" w:eastAsia="zh-CN" w:bidi="ar-SA"/>
        </w:rPr>
        <w:instrText xml:space="preserve"> PAGEREF _Toc25495 </w:instrText>
      </w:r>
      <w:r>
        <w:rPr>
          <w:rFonts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32</w:t>
      </w:r>
      <w:r>
        <w:rPr>
          <w:rFonts w:ascii="Calibri" w:hAnsi="Calibri" w:eastAsia="宋体" w:cs="Times New Roman"/>
          <w:color w:val="auto"/>
          <w:kern w:val="2"/>
          <w:szCs w:val="22"/>
          <w:lang w:val="en-US" w:eastAsia="zh-CN" w:bidi="ar-SA"/>
        </w:rPr>
        <w:fldChar w:fldCharType="end"/>
      </w:r>
      <w:r>
        <w:rPr>
          <w:rFonts w:hint="default" w:ascii="Times New Roman" w:hAnsi="Times New Roman" w:eastAsia="宋体" w:cs="Times New Roman"/>
          <w:bCs/>
          <w:i w:val="0"/>
          <w:color w:val="auto"/>
          <w:kern w:val="2"/>
          <w:szCs w:val="28"/>
          <w:lang w:val="en-US" w:eastAsia="zh-CN" w:bidi="ar-SA"/>
        </w:rPr>
        <w:fldChar w:fldCharType="end"/>
      </w:r>
    </w:p>
    <w:p>
      <w:pPr>
        <w:pStyle w:val="37"/>
        <w:tabs>
          <w:tab w:val="right" w:leader="dot" w:pos="8640"/>
          <w:tab w:val="clear" w:pos="620"/>
          <w:tab w:val="clear" w:pos="8364"/>
        </w:tabs>
        <w:rPr>
          <w:rFonts w:ascii="Calibri" w:hAnsi="Calibri" w:eastAsia="宋体" w:cs="Times New Roman"/>
          <w:color w:val="auto"/>
          <w:kern w:val="2"/>
          <w:szCs w:val="22"/>
          <w:lang w:val="en-US" w:eastAsia="zh-CN" w:bidi="ar-SA"/>
        </w:rPr>
      </w:pPr>
      <w:r>
        <w:rPr>
          <w:rFonts w:hint="eastAsia" w:ascii="Calibri" w:hAnsi="Calibri" w:eastAsia="宋体" w:cs="Times New Roman"/>
          <w:color w:val="auto"/>
          <w:kern w:val="2"/>
          <w:szCs w:val="22"/>
          <w:lang w:val="en-US" w:eastAsia="zh-CN" w:bidi="ar-SA"/>
        </w:rPr>
        <w:fldChar w:fldCharType="begin"/>
      </w:r>
      <w:r>
        <w:rPr>
          <w:rFonts w:hint="eastAsia" w:ascii="Calibri" w:hAnsi="Calibri" w:eastAsia="宋体" w:cs="Times New Roman"/>
          <w:color w:val="auto"/>
          <w:kern w:val="2"/>
          <w:szCs w:val="22"/>
          <w:lang w:val="en-US" w:eastAsia="zh-CN" w:bidi="ar-SA"/>
        </w:rPr>
        <w:instrText xml:space="preserve"> HYPERLINK \l _Toc1543 </w:instrText>
      </w:r>
      <w:r>
        <w:rPr>
          <w:rFonts w:hint="eastAsia"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3</w:t>
      </w:r>
      <w:r>
        <w:rPr>
          <w:rFonts w:hint="default" w:ascii="Times New Roman" w:hAnsi="Times New Roman" w:eastAsia="宋体" w:cs="Times New Roman"/>
          <w:bCs/>
          <w:i w:val="0"/>
          <w:color w:val="auto"/>
          <w:kern w:val="2"/>
          <w:szCs w:val="28"/>
          <w:lang w:val="en-US" w:eastAsia="zh-CN" w:bidi="ar-SA"/>
        </w:rPr>
        <w:t xml:space="preserve">.2 </w:t>
      </w:r>
      <w:r>
        <w:rPr>
          <w:rFonts w:hint="eastAsia" w:ascii="宋体" w:hAnsi="宋体" w:eastAsia="宋体" w:cs="Times New Roman"/>
          <w:bCs/>
          <w:color w:val="auto"/>
          <w:kern w:val="2"/>
          <w:szCs w:val="28"/>
          <w:lang w:val="en-US" w:eastAsia="zh-CN" w:bidi="ar-SA"/>
        </w:rPr>
        <w:t>资格响应文件</w:t>
      </w:r>
      <w:r>
        <w:rPr>
          <w:rFonts w:ascii="Calibri" w:hAnsi="Calibri" w:eastAsia="宋体" w:cs="Times New Roman"/>
          <w:color w:val="auto"/>
          <w:kern w:val="2"/>
          <w:szCs w:val="22"/>
          <w:lang w:val="en-US" w:eastAsia="zh-CN" w:bidi="ar-SA"/>
        </w:rPr>
        <w:tab/>
      </w:r>
      <w:r>
        <w:rPr>
          <w:rFonts w:ascii="Calibri" w:hAnsi="Calibri" w:eastAsia="宋体" w:cs="Times New Roman"/>
          <w:color w:val="auto"/>
          <w:kern w:val="2"/>
          <w:szCs w:val="22"/>
          <w:lang w:val="en-US" w:eastAsia="zh-CN" w:bidi="ar-SA"/>
        </w:rPr>
        <w:fldChar w:fldCharType="begin"/>
      </w:r>
      <w:r>
        <w:rPr>
          <w:rFonts w:ascii="Calibri" w:hAnsi="Calibri" w:eastAsia="宋体" w:cs="Times New Roman"/>
          <w:color w:val="auto"/>
          <w:kern w:val="2"/>
          <w:szCs w:val="22"/>
          <w:lang w:val="en-US" w:eastAsia="zh-CN" w:bidi="ar-SA"/>
        </w:rPr>
        <w:instrText xml:space="preserve"> PAGEREF _Toc1543 </w:instrText>
      </w:r>
      <w:r>
        <w:rPr>
          <w:rFonts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33</w:t>
      </w:r>
      <w:r>
        <w:rPr>
          <w:rFonts w:ascii="Calibri" w:hAnsi="Calibri" w:eastAsia="宋体" w:cs="Times New Roman"/>
          <w:color w:val="auto"/>
          <w:kern w:val="2"/>
          <w:szCs w:val="22"/>
          <w:lang w:val="en-US" w:eastAsia="zh-CN" w:bidi="ar-SA"/>
        </w:rPr>
        <w:fldChar w:fldCharType="end"/>
      </w:r>
      <w:r>
        <w:rPr>
          <w:rFonts w:hint="default" w:ascii="Times New Roman" w:hAnsi="Times New Roman" w:eastAsia="宋体" w:cs="Times New Roman"/>
          <w:bCs/>
          <w:i w:val="0"/>
          <w:color w:val="auto"/>
          <w:kern w:val="2"/>
          <w:szCs w:val="28"/>
          <w:lang w:val="en-US" w:eastAsia="zh-CN" w:bidi="ar-SA"/>
        </w:rPr>
        <w:fldChar w:fldCharType="end"/>
      </w:r>
    </w:p>
    <w:p>
      <w:pPr>
        <w:pStyle w:val="37"/>
        <w:tabs>
          <w:tab w:val="right" w:leader="dot" w:pos="8640"/>
          <w:tab w:val="clear" w:pos="620"/>
          <w:tab w:val="clear" w:pos="8364"/>
        </w:tabs>
        <w:rPr>
          <w:rFonts w:ascii="Calibri" w:hAnsi="Calibri" w:eastAsia="宋体" w:cs="Times New Roman"/>
          <w:color w:val="auto"/>
          <w:kern w:val="2"/>
          <w:szCs w:val="22"/>
          <w:lang w:val="en-US" w:eastAsia="zh-CN" w:bidi="ar-SA"/>
        </w:rPr>
      </w:pPr>
      <w:r>
        <w:rPr>
          <w:rFonts w:hint="eastAsia" w:ascii="Calibri" w:hAnsi="Calibri" w:eastAsia="宋体" w:cs="Times New Roman"/>
          <w:color w:val="auto"/>
          <w:kern w:val="2"/>
          <w:szCs w:val="22"/>
          <w:lang w:val="en-US" w:eastAsia="zh-CN" w:bidi="ar-SA"/>
        </w:rPr>
        <w:fldChar w:fldCharType="begin"/>
      </w:r>
      <w:r>
        <w:rPr>
          <w:rFonts w:hint="eastAsia" w:ascii="Calibri" w:hAnsi="Calibri" w:eastAsia="宋体" w:cs="Times New Roman"/>
          <w:color w:val="auto"/>
          <w:kern w:val="2"/>
          <w:szCs w:val="22"/>
          <w:lang w:val="en-US" w:eastAsia="zh-CN" w:bidi="ar-SA"/>
        </w:rPr>
        <w:instrText xml:space="preserve"> HYPERLINK \l _Toc9442 </w:instrText>
      </w:r>
      <w:r>
        <w:rPr>
          <w:rFonts w:hint="eastAsia"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3</w:t>
      </w:r>
      <w:r>
        <w:rPr>
          <w:rFonts w:hint="default" w:ascii="Times New Roman" w:hAnsi="Times New Roman" w:eastAsia="宋体" w:cs="Times New Roman"/>
          <w:bCs/>
          <w:i w:val="0"/>
          <w:color w:val="auto"/>
          <w:kern w:val="2"/>
          <w:szCs w:val="28"/>
          <w:lang w:val="en-US" w:eastAsia="zh-CN" w:bidi="ar-SA"/>
        </w:rPr>
        <w:t xml:space="preserve">.3 </w:t>
      </w:r>
      <w:r>
        <w:rPr>
          <w:rFonts w:hint="eastAsia" w:ascii="宋体" w:hAnsi="宋体" w:eastAsia="宋体" w:cs="Times New Roman"/>
          <w:bCs/>
          <w:color w:val="auto"/>
          <w:kern w:val="2"/>
          <w:szCs w:val="28"/>
          <w:lang w:val="en-US" w:eastAsia="zh-CN" w:bidi="ar-SA"/>
        </w:rPr>
        <w:t>商务技术</w:t>
      </w:r>
      <w:r>
        <w:rPr>
          <w:rFonts w:ascii="宋体" w:hAnsi="宋体" w:eastAsia="宋体" w:cs="Times New Roman"/>
          <w:bCs/>
          <w:color w:val="auto"/>
          <w:kern w:val="2"/>
          <w:szCs w:val="28"/>
          <w:lang w:val="en-US" w:eastAsia="zh-CN" w:bidi="ar-SA"/>
        </w:rPr>
        <w:t>响应文件</w:t>
      </w:r>
      <w:r>
        <w:rPr>
          <w:rFonts w:ascii="Calibri" w:hAnsi="Calibri" w:eastAsia="宋体" w:cs="Times New Roman"/>
          <w:color w:val="auto"/>
          <w:kern w:val="2"/>
          <w:szCs w:val="22"/>
          <w:lang w:val="en-US" w:eastAsia="zh-CN" w:bidi="ar-SA"/>
        </w:rPr>
        <w:tab/>
      </w:r>
      <w:r>
        <w:rPr>
          <w:rFonts w:ascii="Calibri" w:hAnsi="Calibri" w:eastAsia="宋体" w:cs="Times New Roman"/>
          <w:color w:val="auto"/>
          <w:kern w:val="2"/>
          <w:szCs w:val="22"/>
          <w:lang w:val="en-US" w:eastAsia="zh-CN" w:bidi="ar-SA"/>
        </w:rPr>
        <w:fldChar w:fldCharType="begin"/>
      </w:r>
      <w:r>
        <w:rPr>
          <w:rFonts w:ascii="Calibri" w:hAnsi="Calibri" w:eastAsia="宋体" w:cs="Times New Roman"/>
          <w:color w:val="auto"/>
          <w:kern w:val="2"/>
          <w:szCs w:val="22"/>
          <w:lang w:val="en-US" w:eastAsia="zh-CN" w:bidi="ar-SA"/>
        </w:rPr>
        <w:instrText xml:space="preserve"> PAGEREF _Toc9442 </w:instrText>
      </w:r>
      <w:r>
        <w:rPr>
          <w:rFonts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43</w:t>
      </w:r>
      <w:r>
        <w:rPr>
          <w:rFonts w:ascii="Calibri" w:hAnsi="Calibri" w:eastAsia="宋体" w:cs="Times New Roman"/>
          <w:color w:val="auto"/>
          <w:kern w:val="2"/>
          <w:szCs w:val="22"/>
          <w:lang w:val="en-US" w:eastAsia="zh-CN" w:bidi="ar-SA"/>
        </w:rPr>
        <w:fldChar w:fldCharType="end"/>
      </w:r>
      <w:r>
        <w:rPr>
          <w:rFonts w:hint="default" w:ascii="Times New Roman" w:hAnsi="Times New Roman" w:eastAsia="宋体" w:cs="Times New Roman"/>
          <w:bCs/>
          <w:i w:val="0"/>
          <w:color w:val="auto"/>
          <w:kern w:val="2"/>
          <w:szCs w:val="28"/>
          <w:lang w:val="en-US" w:eastAsia="zh-CN" w:bidi="ar-SA"/>
        </w:rPr>
        <w:fldChar w:fldCharType="end"/>
      </w:r>
    </w:p>
    <w:p>
      <w:pPr>
        <w:pStyle w:val="37"/>
        <w:tabs>
          <w:tab w:val="right" w:leader="dot" w:pos="8640"/>
          <w:tab w:val="clear" w:pos="620"/>
          <w:tab w:val="clear" w:pos="8364"/>
        </w:tabs>
        <w:rPr>
          <w:rFonts w:ascii="Calibri" w:hAnsi="Calibri" w:eastAsia="宋体" w:cs="Times New Roman"/>
          <w:color w:val="auto"/>
          <w:kern w:val="2"/>
          <w:szCs w:val="22"/>
          <w:lang w:val="en-US" w:eastAsia="zh-CN" w:bidi="ar-SA"/>
        </w:rPr>
      </w:pPr>
      <w:r>
        <w:rPr>
          <w:rFonts w:hint="eastAsia" w:ascii="Calibri" w:hAnsi="Calibri" w:eastAsia="宋体" w:cs="Times New Roman"/>
          <w:color w:val="auto"/>
          <w:kern w:val="2"/>
          <w:szCs w:val="22"/>
          <w:lang w:val="en-US" w:eastAsia="zh-CN" w:bidi="ar-SA"/>
        </w:rPr>
        <w:fldChar w:fldCharType="begin"/>
      </w:r>
      <w:r>
        <w:rPr>
          <w:rFonts w:hint="eastAsia" w:ascii="Calibri" w:hAnsi="Calibri" w:eastAsia="宋体" w:cs="Times New Roman"/>
          <w:color w:val="auto"/>
          <w:kern w:val="2"/>
          <w:szCs w:val="22"/>
          <w:lang w:val="en-US" w:eastAsia="zh-CN" w:bidi="ar-SA"/>
        </w:rPr>
        <w:instrText xml:space="preserve"> HYPERLINK \l _Toc14015 </w:instrText>
      </w:r>
      <w:r>
        <w:rPr>
          <w:rFonts w:hint="eastAsia"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3</w:t>
      </w:r>
      <w:r>
        <w:rPr>
          <w:rFonts w:hint="default" w:ascii="Times New Roman" w:hAnsi="Times New Roman" w:eastAsia="宋体" w:cs="Times New Roman"/>
          <w:bCs/>
          <w:i w:val="0"/>
          <w:color w:val="auto"/>
          <w:kern w:val="2"/>
          <w:szCs w:val="28"/>
          <w:lang w:val="en-US" w:eastAsia="zh-CN" w:bidi="ar-SA"/>
        </w:rPr>
        <w:t xml:space="preserve">.4 </w:t>
      </w:r>
      <w:r>
        <w:rPr>
          <w:rFonts w:hint="eastAsia" w:ascii="宋体" w:hAnsi="宋体" w:eastAsia="宋体" w:cs="Times New Roman"/>
          <w:bCs/>
          <w:color w:val="auto"/>
          <w:kern w:val="2"/>
          <w:szCs w:val="28"/>
          <w:lang w:val="en-US" w:eastAsia="zh-CN" w:bidi="ar-SA"/>
        </w:rPr>
        <w:t>报价</w:t>
      </w:r>
      <w:r>
        <w:rPr>
          <w:rFonts w:ascii="宋体" w:hAnsi="宋体" w:eastAsia="宋体" w:cs="Times New Roman"/>
          <w:bCs/>
          <w:color w:val="auto"/>
          <w:kern w:val="2"/>
          <w:szCs w:val="28"/>
          <w:lang w:val="en-US" w:eastAsia="zh-CN" w:bidi="ar-SA"/>
        </w:rPr>
        <w:t>要求响应文件</w:t>
      </w:r>
      <w:r>
        <w:rPr>
          <w:rFonts w:ascii="Calibri" w:hAnsi="Calibri" w:eastAsia="宋体" w:cs="Times New Roman"/>
          <w:color w:val="auto"/>
          <w:kern w:val="2"/>
          <w:szCs w:val="22"/>
          <w:lang w:val="en-US" w:eastAsia="zh-CN" w:bidi="ar-SA"/>
        </w:rPr>
        <w:tab/>
      </w:r>
      <w:r>
        <w:rPr>
          <w:rFonts w:ascii="Calibri" w:hAnsi="Calibri" w:eastAsia="宋体" w:cs="Times New Roman"/>
          <w:color w:val="auto"/>
          <w:kern w:val="2"/>
          <w:szCs w:val="22"/>
          <w:lang w:val="en-US" w:eastAsia="zh-CN" w:bidi="ar-SA"/>
        </w:rPr>
        <w:fldChar w:fldCharType="begin"/>
      </w:r>
      <w:r>
        <w:rPr>
          <w:rFonts w:ascii="Calibri" w:hAnsi="Calibri" w:eastAsia="宋体" w:cs="Times New Roman"/>
          <w:color w:val="auto"/>
          <w:kern w:val="2"/>
          <w:szCs w:val="22"/>
          <w:lang w:val="en-US" w:eastAsia="zh-CN" w:bidi="ar-SA"/>
        </w:rPr>
        <w:instrText xml:space="preserve"> PAGEREF _Toc14015 </w:instrText>
      </w:r>
      <w:r>
        <w:rPr>
          <w:rFonts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50</w:t>
      </w:r>
      <w:r>
        <w:rPr>
          <w:rFonts w:ascii="Calibri" w:hAnsi="Calibri" w:eastAsia="宋体" w:cs="Times New Roman"/>
          <w:color w:val="auto"/>
          <w:kern w:val="2"/>
          <w:szCs w:val="22"/>
          <w:lang w:val="en-US" w:eastAsia="zh-CN" w:bidi="ar-SA"/>
        </w:rPr>
        <w:fldChar w:fldCharType="end"/>
      </w:r>
      <w:r>
        <w:rPr>
          <w:rFonts w:hint="default" w:ascii="Times New Roman" w:hAnsi="Times New Roman" w:eastAsia="宋体" w:cs="Times New Roman"/>
          <w:bCs/>
          <w:i w:val="0"/>
          <w:color w:val="auto"/>
          <w:kern w:val="2"/>
          <w:szCs w:val="28"/>
          <w:lang w:val="en-US" w:eastAsia="zh-CN" w:bidi="ar-SA"/>
        </w:rPr>
        <w:fldChar w:fldCharType="end"/>
      </w:r>
    </w:p>
    <w:p>
      <w:pPr>
        <w:pStyle w:val="37"/>
        <w:tabs>
          <w:tab w:val="right" w:leader="dot" w:pos="8640"/>
          <w:tab w:val="clear" w:pos="620"/>
          <w:tab w:val="clear" w:pos="8364"/>
        </w:tabs>
        <w:rPr>
          <w:rFonts w:ascii="Calibri" w:hAnsi="Calibri" w:eastAsia="宋体" w:cs="Times New Roman"/>
          <w:color w:val="auto"/>
          <w:kern w:val="2"/>
          <w:szCs w:val="22"/>
          <w:lang w:val="en-US" w:eastAsia="zh-CN" w:bidi="ar-SA"/>
        </w:rPr>
      </w:pPr>
      <w:r>
        <w:rPr>
          <w:rFonts w:hint="eastAsia" w:ascii="Calibri" w:hAnsi="Calibri" w:eastAsia="宋体" w:cs="Times New Roman"/>
          <w:color w:val="auto"/>
          <w:kern w:val="2"/>
          <w:szCs w:val="22"/>
          <w:lang w:val="en-US" w:eastAsia="zh-CN" w:bidi="ar-SA"/>
        </w:rPr>
        <w:fldChar w:fldCharType="begin"/>
      </w:r>
      <w:r>
        <w:rPr>
          <w:rFonts w:hint="eastAsia" w:ascii="Calibri" w:hAnsi="Calibri" w:eastAsia="宋体" w:cs="Times New Roman"/>
          <w:color w:val="auto"/>
          <w:kern w:val="2"/>
          <w:szCs w:val="22"/>
          <w:lang w:val="en-US" w:eastAsia="zh-CN" w:bidi="ar-SA"/>
        </w:rPr>
        <w:instrText xml:space="preserve"> HYPERLINK \l _Toc29455 </w:instrText>
      </w:r>
      <w:r>
        <w:rPr>
          <w:rFonts w:hint="eastAsia" w:ascii="Calibri" w:hAnsi="Calibri" w:eastAsia="宋体" w:cs="Times New Roman"/>
          <w:color w:val="auto"/>
          <w:kern w:val="2"/>
          <w:szCs w:val="22"/>
          <w:lang w:val="en-US" w:eastAsia="zh-CN" w:bidi="ar-SA"/>
        </w:rPr>
        <w:fldChar w:fldCharType="separate"/>
      </w:r>
      <w:r>
        <w:rPr>
          <w:rFonts w:hint="eastAsia" w:ascii="宋体" w:hAnsi="Calibri" w:eastAsia="宋体" w:cs="Times New Roman"/>
          <w:color w:val="auto"/>
          <w:kern w:val="2"/>
          <w:szCs w:val="22"/>
          <w:lang w:val="en-US" w:eastAsia="zh-CN" w:bidi="ar-SA"/>
        </w:rPr>
        <w:t>供货时间</w:t>
      </w:r>
      <w:r>
        <w:rPr>
          <w:rFonts w:ascii="Calibri" w:hAnsi="Calibri" w:eastAsia="宋体" w:cs="Times New Roman"/>
          <w:color w:val="auto"/>
          <w:kern w:val="2"/>
          <w:szCs w:val="22"/>
          <w:lang w:val="en-US" w:eastAsia="zh-CN" w:bidi="ar-SA"/>
        </w:rPr>
        <w:tab/>
      </w:r>
      <w:r>
        <w:rPr>
          <w:rFonts w:ascii="Calibri" w:hAnsi="Calibri" w:eastAsia="宋体" w:cs="Times New Roman"/>
          <w:color w:val="auto"/>
          <w:kern w:val="2"/>
          <w:szCs w:val="22"/>
          <w:lang w:val="en-US" w:eastAsia="zh-CN" w:bidi="ar-SA"/>
        </w:rPr>
        <w:fldChar w:fldCharType="begin"/>
      </w:r>
      <w:r>
        <w:rPr>
          <w:rFonts w:ascii="Calibri" w:hAnsi="Calibri" w:eastAsia="宋体" w:cs="Times New Roman"/>
          <w:color w:val="auto"/>
          <w:kern w:val="2"/>
          <w:szCs w:val="22"/>
          <w:lang w:val="en-US" w:eastAsia="zh-CN" w:bidi="ar-SA"/>
        </w:rPr>
        <w:instrText xml:space="preserve"> PAGEREF _Toc29455 </w:instrText>
      </w:r>
      <w:r>
        <w:rPr>
          <w:rFonts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50</w:t>
      </w:r>
      <w:r>
        <w:rPr>
          <w:rFonts w:ascii="Calibri" w:hAnsi="Calibri" w:eastAsia="宋体" w:cs="Times New Roman"/>
          <w:color w:val="auto"/>
          <w:kern w:val="2"/>
          <w:szCs w:val="22"/>
          <w:lang w:val="en-US" w:eastAsia="zh-CN" w:bidi="ar-SA"/>
        </w:rPr>
        <w:fldChar w:fldCharType="end"/>
      </w:r>
      <w:r>
        <w:rPr>
          <w:rFonts w:hint="eastAsia" w:ascii="Calibri" w:hAnsi="Calibri" w:eastAsia="宋体" w:cs="Times New Roman"/>
          <w:color w:val="auto"/>
          <w:kern w:val="2"/>
          <w:szCs w:val="22"/>
          <w:lang w:val="en-US" w:eastAsia="zh-CN" w:bidi="ar-SA"/>
        </w:rPr>
        <w:fldChar w:fldCharType="end"/>
      </w:r>
    </w:p>
    <w:p>
      <w:pPr>
        <w:pStyle w:val="37"/>
        <w:tabs>
          <w:tab w:val="right" w:leader="dot" w:pos="8640"/>
          <w:tab w:val="clear" w:pos="620"/>
          <w:tab w:val="clear" w:pos="8364"/>
        </w:tabs>
        <w:rPr>
          <w:rFonts w:ascii="Calibri" w:hAnsi="Calibri" w:eastAsia="宋体" w:cs="Times New Roman"/>
          <w:color w:val="auto"/>
          <w:kern w:val="2"/>
          <w:szCs w:val="22"/>
          <w:lang w:val="en-US" w:eastAsia="zh-CN" w:bidi="ar-SA"/>
        </w:rPr>
      </w:pPr>
      <w:r>
        <w:rPr>
          <w:rFonts w:hint="eastAsia" w:ascii="Calibri" w:hAnsi="Calibri" w:eastAsia="宋体" w:cs="Times New Roman"/>
          <w:color w:val="auto"/>
          <w:kern w:val="2"/>
          <w:szCs w:val="22"/>
          <w:lang w:val="en-US" w:eastAsia="zh-CN" w:bidi="ar-SA"/>
        </w:rPr>
        <w:fldChar w:fldCharType="begin"/>
      </w:r>
      <w:r>
        <w:rPr>
          <w:rFonts w:hint="eastAsia" w:ascii="Calibri" w:hAnsi="Calibri" w:eastAsia="宋体" w:cs="Times New Roman"/>
          <w:color w:val="auto"/>
          <w:kern w:val="2"/>
          <w:szCs w:val="22"/>
          <w:lang w:val="en-US" w:eastAsia="zh-CN" w:bidi="ar-SA"/>
        </w:rPr>
        <w:instrText xml:space="preserve"> HYPERLINK \l _Toc28889 </w:instrText>
      </w:r>
      <w:r>
        <w:rPr>
          <w:rFonts w:hint="eastAsia" w:ascii="Calibri" w:hAnsi="Calibri" w:eastAsia="宋体" w:cs="Times New Roman"/>
          <w:color w:val="auto"/>
          <w:kern w:val="2"/>
          <w:szCs w:val="22"/>
          <w:lang w:val="en-US" w:eastAsia="zh-CN" w:bidi="ar-SA"/>
        </w:rPr>
        <w:fldChar w:fldCharType="separate"/>
      </w:r>
      <w:r>
        <w:rPr>
          <w:rFonts w:hint="eastAsia" w:ascii="宋体" w:hAnsi="Calibri" w:eastAsia="宋体" w:cs="Times New Roman"/>
          <w:color w:val="auto"/>
          <w:kern w:val="2"/>
          <w:szCs w:val="22"/>
          <w:lang w:val="en-US" w:eastAsia="zh-CN" w:bidi="ar-SA"/>
        </w:rPr>
        <w:t>是否属于进口产品</w:t>
      </w:r>
      <w:r>
        <w:rPr>
          <w:rFonts w:ascii="Calibri" w:hAnsi="Calibri" w:eastAsia="宋体" w:cs="Times New Roman"/>
          <w:color w:val="auto"/>
          <w:kern w:val="2"/>
          <w:szCs w:val="22"/>
          <w:lang w:val="en-US" w:eastAsia="zh-CN" w:bidi="ar-SA"/>
        </w:rPr>
        <w:tab/>
      </w:r>
      <w:r>
        <w:rPr>
          <w:rFonts w:ascii="Calibri" w:hAnsi="Calibri" w:eastAsia="宋体" w:cs="Times New Roman"/>
          <w:color w:val="auto"/>
          <w:kern w:val="2"/>
          <w:szCs w:val="22"/>
          <w:lang w:val="en-US" w:eastAsia="zh-CN" w:bidi="ar-SA"/>
        </w:rPr>
        <w:fldChar w:fldCharType="begin"/>
      </w:r>
      <w:r>
        <w:rPr>
          <w:rFonts w:ascii="Calibri" w:hAnsi="Calibri" w:eastAsia="宋体" w:cs="Times New Roman"/>
          <w:color w:val="auto"/>
          <w:kern w:val="2"/>
          <w:szCs w:val="22"/>
          <w:lang w:val="en-US" w:eastAsia="zh-CN" w:bidi="ar-SA"/>
        </w:rPr>
        <w:instrText xml:space="preserve"> PAGEREF _Toc28889 </w:instrText>
      </w:r>
      <w:r>
        <w:rPr>
          <w:rFonts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50</w:t>
      </w:r>
      <w:r>
        <w:rPr>
          <w:rFonts w:ascii="Calibri" w:hAnsi="Calibri" w:eastAsia="宋体" w:cs="Times New Roman"/>
          <w:color w:val="auto"/>
          <w:kern w:val="2"/>
          <w:szCs w:val="22"/>
          <w:lang w:val="en-US" w:eastAsia="zh-CN" w:bidi="ar-SA"/>
        </w:rPr>
        <w:fldChar w:fldCharType="end"/>
      </w:r>
      <w:r>
        <w:rPr>
          <w:rFonts w:hint="eastAsia" w:ascii="Calibri" w:hAnsi="Calibri" w:eastAsia="宋体" w:cs="Times New Roman"/>
          <w:color w:val="auto"/>
          <w:kern w:val="2"/>
          <w:szCs w:val="22"/>
          <w:lang w:val="en-US" w:eastAsia="zh-CN" w:bidi="ar-SA"/>
        </w:rPr>
        <w:fldChar w:fldCharType="end"/>
      </w:r>
    </w:p>
    <w:p>
      <w:pPr>
        <w:pStyle w:val="37"/>
        <w:tabs>
          <w:tab w:val="right" w:leader="dot" w:pos="8640"/>
          <w:tab w:val="clear" w:pos="620"/>
          <w:tab w:val="clear" w:pos="8364"/>
        </w:tabs>
        <w:rPr>
          <w:rFonts w:ascii="Calibri" w:hAnsi="Calibri" w:eastAsia="宋体" w:cs="Times New Roman"/>
          <w:color w:val="auto"/>
          <w:kern w:val="2"/>
          <w:szCs w:val="22"/>
          <w:lang w:val="en-US" w:eastAsia="zh-CN" w:bidi="ar-SA"/>
        </w:rPr>
      </w:pPr>
      <w:r>
        <w:rPr>
          <w:rFonts w:hint="eastAsia" w:ascii="Calibri" w:hAnsi="Calibri" w:eastAsia="宋体" w:cs="Times New Roman"/>
          <w:color w:val="auto"/>
          <w:kern w:val="2"/>
          <w:szCs w:val="22"/>
          <w:lang w:val="en-US" w:eastAsia="zh-CN" w:bidi="ar-SA"/>
        </w:rPr>
        <w:fldChar w:fldCharType="begin"/>
      </w:r>
      <w:r>
        <w:rPr>
          <w:rFonts w:hint="eastAsia" w:ascii="Calibri" w:hAnsi="Calibri" w:eastAsia="宋体" w:cs="Times New Roman"/>
          <w:color w:val="auto"/>
          <w:kern w:val="2"/>
          <w:szCs w:val="22"/>
          <w:lang w:val="en-US" w:eastAsia="zh-CN" w:bidi="ar-SA"/>
        </w:rPr>
        <w:instrText xml:space="preserve"> HYPERLINK \l _Toc1531 </w:instrText>
      </w:r>
      <w:r>
        <w:rPr>
          <w:rFonts w:hint="eastAsia" w:ascii="Calibri" w:hAnsi="Calibri" w:eastAsia="宋体" w:cs="Times New Roman"/>
          <w:color w:val="auto"/>
          <w:kern w:val="2"/>
          <w:szCs w:val="22"/>
          <w:lang w:val="en-US" w:eastAsia="zh-CN" w:bidi="ar-SA"/>
        </w:rPr>
        <w:fldChar w:fldCharType="separate"/>
      </w:r>
      <w:r>
        <w:rPr>
          <w:rFonts w:hint="eastAsia" w:ascii="宋体" w:hAnsi="Calibri" w:eastAsia="宋体" w:cs="Times New Roman"/>
          <w:color w:val="auto"/>
          <w:kern w:val="2"/>
          <w:szCs w:val="22"/>
          <w:lang w:val="en-US" w:eastAsia="zh-CN" w:bidi="ar-SA"/>
        </w:rPr>
        <w:t>投标报价（人民币小写）</w:t>
      </w:r>
      <w:r>
        <w:rPr>
          <w:rFonts w:ascii="Calibri" w:hAnsi="Calibri" w:eastAsia="宋体" w:cs="Times New Roman"/>
          <w:color w:val="auto"/>
          <w:kern w:val="2"/>
          <w:szCs w:val="22"/>
          <w:lang w:val="en-US" w:eastAsia="zh-CN" w:bidi="ar-SA"/>
        </w:rPr>
        <w:tab/>
      </w:r>
      <w:r>
        <w:rPr>
          <w:rFonts w:ascii="Calibri" w:hAnsi="Calibri" w:eastAsia="宋体" w:cs="Times New Roman"/>
          <w:color w:val="auto"/>
          <w:kern w:val="2"/>
          <w:szCs w:val="22"/>
          <w:lang w:val="en-US" w:eastAsia="zh-CN" w:bidi="ar-SA"/>
        </w:rPr>
        <w:fldChar w:fldCharType="begin"/>
      </w:r>
      <w:r>
        <w:rPr>
          <w:rFonts w:ascii="Calibri" w:hAnsi="Calibri" w:eastAsia="宋体" w:cs="Times New Roman"/>
          <w:color w:val="auto"/>
          <w:kern w:val="2"/>
          <w:szCs w:val="22"/>
          <w:lang w:val="en-US" w:eastAsia="zh-CN" w:bidi="ar-SA"/>
        </w:rPr>
        <w:instrText xml:space="preserve"> PAGEREF _Toc1531 </w:instrText>
      </w:r>
      <w:r>
        <w:rPr>
          <w:rFonts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50</w:t>
      </w:r>
      <w:r>
        <w:rPr>
          <w:rFonts w:ascii="Calibri" w:hAnsi="Calibri" w:eastAsia="宋体" w:cs="Times New Roman"/>
          <w:color w:val="auto"/>
          <w:kern w:val="2"/>
          <w:szCs w:val="22"/>
          <w:lang w:val="en-US" w:eastAsia="zh-CN" w:bidi="ar-SA"/>
        </w:rPr>
        <w:fldChar w:fldCharType="end"/>
      </w:r>
      <w:r>
        <w:rPr>
          <w:rFonts w:hint="eastAsia" w:ascii="Calibri" w:hAnsi="Calibri" w:eastAsia="宋体" w:cs="Times New Roman"/>
          <w:color w:val="auto"/>
          <w:kern w:val="2"/>
          <w:szCs w:val="22"/>
          <w:lang w:val="en-US" w:eastAsia="zh-CN" w:bidi="ar-SA"/>
        </w:rPr>
        <w:fldChar w:fldCharType="end"/>
      </w:r>
    </w:p>
    <w:p>
      <w:pPr>
        <w:pStyle w:val="37"/>
        <w:tabs>
          <w:tab w:val="right" w:leader="dot" w:pos="8640"/>
          <w:tab w:val="clear" w:pos="620"/>
          <w:tab w:val="clear" w:pos="8364"/>
        </w:tabs>
        <w:rPr>
          <w:rFonts w:ascii="Calibri" w:hAnsi="Calibri" w:eastAsia="宋体" w:cs="Times New Roman"/>
          <w:color w:val="auto"/>
          <w:kern w:val="2"/>
          <w:szCs w:val="22"/>
          <w:lang w:val="en-US" w:eastAsia="zh-CN" w:bidi="ar-SA"/>
        </w:rPr>
      </w:pPr>
      <w:r>
        <w:rPr>
          <w:rFonts w:hint="eastAsia" w:ascii="Calibri" w:hAnsi="Calibri" w:eastAsia="宋体" w:cs="Times New Roman"/>
          <w:color w:val="auto"/>
          <w:kern w:val="2"/>
          <w:szCs w:val="22"/>
          <w:lang w:val="en-US" w:eastAsia="zh-CN" w:bidi="ar-SA"/>
        </w:rPr>
        <w:fldChar w:fldCharType="begin"/>
      </w:r>
      <w:r>
        <w:rPr>
          <w:rFonts w:hint="eastAsia" w:ascii="Calibri" w:hAnsi="Calibri" w:eastAsia="宋体" w:cs="Times New Roman"/>
          <w:color w:val="auto"/>
          <w:kern w:val="2"/>
          <w:szCs w:val="22"/>
          <w:lang w:val="en-US" w:eastAsia="zh-CN" w:bidi="ar-SA"/>
        </w:rPr>
        <w:instrText xml:space="preserve"> HYPERLINK \l _Toc26368 </w:instrText>
      </w:r>
      <w:r>
        <w:rPr>
          <w:rFonts w:hint="eastAsia" w:ascii="Calibri" w:hAnsi="Calibri" w:eastAsia="宋体" w:cs="Times New Roman"/>
          <w:color w:val="auto"/>
          <w:kern w:val="2"/>
          <w:szCs w:val="22"/>
          <w:lang w:val="en-US" w:eastAsia="zh-CN" w:bidi="ar-SA"/>
        </w:rPr>
        <w:fldChar w:fldCharType="separate"/>
      </w:r>
      <w:r>
        <w:rPr>
          <w:rFonts w:hint="eastAsia" w:ascii="宋体" w:hAnsi="Calibri" w:eastAsia="宋体" w:cs="Times New Roman"/>
          <w:color w:val="auto"/>
          <w:kern w:val="2"/>
          <w:szCs w:val="22"/>
          <w:lang w:val="en-US" w:eastAsia="zh-CN" w:bidi="ar-SA"/>
        </w:rPr>
        <w:t>投标报价（人民币大写）</w:t>
      </w:r>
      <w:r>
        <w:rPr>
          <w:rFonts w:ascii="Calibri" w:hAnsi="Calibri" w:eastAsia="宋体" w:cs="Times New Roman"/>
          <w:color w:val="auto"/>
          <w:kern w:val="2"/>
          <w:szCs w:val="22"/>
          <w:lang w:val="en-US" w:eastAsia="zh-CN" w:bidi="ar-SA"/>
        </w:rPr>
        <w:tab/>
      </w:r>
      <w:r>
        <w:rPr>
          <w:rFonts w:ascii="Calibri" w:hAnsi="Calibri" w:eastAsia="宋体" w:cs="Times New Roman"/>
          <w:color w:val="auto"/>
          <w:kern w:val="2"/>
          <w:szCs w:val="22"/>
          <w:lang w:val="en-US" w:eastAsia="zh-CN" w:bidi="ar-SA"/>
        </w:rPr>
        <w:fldChar w:fldCharType="begin"/>
      </w:r>
      <w:r>
        <w:rPr>
          <w:rFonts w:ascii="Calibri" w:hAnsi="Calibri" w:eastAsia="宋体" w:cs="Times New Roman"/>
          <w:color w:val="auto"/>
          <w:kern w:val="2"/>
          <w:szCs w:val="22"/>
          <w:lang w:val="en-US" w:eastAsia="zh-CN" w:bidi="ar-SA"/>
        </w:rPr>
        <w:instrText xml:space="preserve"> PAGEREF _Toc26368 </w:instrText>
      </w:r>
      <w:r>
        <w:rPr>
          <w:rFonts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50</w:t>
      </w:r>
      <w:r>
        <w:rPr>
          <w:rFonts w:ascii="Calibri" w:hAnsi="Calibri" w:eastAsia="宋体" w:cs="Times New Roman"/>
          <w:color w:val="auto"/>
          <w:kern w:val="2"/>
          <w:szCs w:val="22"/>
          <w:lang w:val="en-US" w:eastAsia="zh-CN" w:bidi="ar-SA"/>
        </w:rPr>
        <w:fldChar w:fldCharType="end"/>
      </w:r>
      <w:r>
        <w:rPr>
          <w:rFonts w:hint="eastAsia" w:ascii="Calibri" w:hAnsi="Calibri" w:eastAsia="宋体" w:cs="Times New Roman"/>
          <w:color w:val="auto"/>
          <w:kern w:val="2"/>
          <w:szCs w:val="22"/>
          <w:lang w:val="en-US" w:eastAsia="zh-CN" w:bidi="ar-SA"/>
        </w:rPr>
        <w:fldChar w:fldCharType="end"/>
      </w:r>
    </w:p>
    <w:p>
      <w:pPr>
        <w:pStyle w:val="31"/>
        <w:tabs>
          <w:tab w:val="right" w:leader="dot" w:pos="8640"/>
          <w:tab w:val="clear" w:pos="709"/>
          <w:tab w:val="clear" w:pos="8364"/>
        </w:tabs>
        <w:rPr>
          <w:rFonts w:ascii="Calibri" w:hAnsi="Calibri" w:eastAsia="宋体" w:cs="Times New Roman"/>
          <w:color w:val="auto"/>
          <w:kern w:val="2"/>
          <w:szCs w:val="22"/>
          <w:lang w:val="en-US" w:eastAsia="zh-CN" w:bidi="ar-SA"/>
        </w:rPr>
      </w:pPr>
      <w:r>
        <w:rPr>
          <w:rFonts w:hint="eastAsia" w:ascii="Calibri" w:hAnsi="Calibri" w:eastAsia="宋体" w:cs="Times New Roman"/>
          <w:color w:val="auto"/>
          <w:kern w:val="2"/>
          <w:szCs w:val="22"/>
          <w:lang w:val="en-US" w:eastAsia="zh-CN" w:bidi="ar-SA"/>
        </w:rPr>
        <w:fldChar w:fldCharType="begin"/>
      </w:r>
      <w:r>
        <w:rPr>
          <w:rFonts w:hint="eastAsia" w:ascii="Calibri" w:hAnsi="Calibri" w:eastAsia="宋体" w:cs="Times New Roman"/>
          <w:color w:val="auto"/>
          <w:kern w:val="2"/>
          <w:szCs w:val="22"/>
          <w:lang w:val="en-US" w:eastAsia="zh-CN" w:bidi="ar-SA"/>
        </w:rPr>
        <w:instrText xml:space="preserve"> HYPERLINK \l _Toc16102 </w:instrText>
      </w:r>
      <w:r>
        <w:rPr>
          <w:rFonts w:hint="eastAsia"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第</w:t>
      </w:r>
      <w:r>
        <w:rPr>
          <w:rFonts w:hint="default" w:ascii="Times New Roman" w:hAnsi="Times New Roman" w:eastAsia="宋体" w:cs="Times New Roman"/>
          <w:bCs/>
          <w:i w:val="0"/>
          <w:color w:val="auto"/>
          <w:spacing w:val="-20"/>
          <w:kern w:val="44"/>
          <w:szCs w:val="32"/>
          <w:lang w:val="en-US" w:eastAsia="zh-CN" w:bidi="ar-SA"/>
        </w:rPr>
        <w:t xml:space="preserve">4章 </w:t>
      </w:r>
      <w:r>
        <w:rPr>
          <w:rFonts w:hint="eastAsia" w:ascii="宋体" w:hAnsi="宋体" w:eastAsia="宋体" w:cs="Times New Roman"/>
          <w:bCs/>
          <w:color w:val="auto"/>
          <w:spacing w:val="-20"/>
          <w:kern w:val="44"/>
          <w:szCs w:val="32"/>
          <w:lang w:val="en-US" w:eastAsia="zh-CN" w:bidi="ar-SA"/>
        </w:rPr>
        <w:t>招标项目技术、服务、商务及其他要求</w:t>
      </w:r>
      <w:r>
        <w:rPr>
          <w:rFonts w:ascii="Calibri" w:hAnsi="Calibri" w:eastAsia="宋体" w:cs="Times New Roman"/>
          <w:color w:val="auto"/>
          <w:kern w:val="2"/>
          <w:szCs w:val="22"/>
          <w:lang w:val="en-US" w:eastAsia="zh-CN" w:bidi="ar-SA"/>
        </w:rPr>
        <w:tab/>
      </w:r>
      <w:r>
        <w:rPr>
          <w:rFonts w:ascii="Calibri" w:hAnsi="Calibri" w:eastAsia="宋体" w:cs="Times New Roman"/>
          <w:color w:val="auto"/>
          <w:kern w:val="2"/>
          <w:szCs w:val="22"/>
          <w:lang w:val="en-US" w:eastAsia="zh-CN" w:bidi="ar-SA"/>
        </w:rPr>
        <w:fldChar w:fldCharType="begin"/>
      </w:r>
      <w:r>
        <w:rPr>
          <w:rFonts w:ascii="Calibri" w:hAnsi="Calibri" w:eastAsia="宋体" w:cs="Times New Roman"/>
          <w:color w:val="auto"/>
          <w:kern w:val="2"/>
          <w:szCs w:val="22"/>
          <w:lang w:val="en-US" w:eastAsia="zh-CN" w:bidi="ar-SA"/>
        </w:rPr>
        <w:instrText xml:space="preserve"> PAGEREF _Toc16102 </w:instrText>
      </w:r>
      <w:r>
        <w:rPr>
          <w:rFonts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51</w:t>
      </w:r>
      <w:r>
        <w:rPr>
          <w:rFonts w:ascii="Calibri" w:hAnsi="Calibri" w:eastAsia="宋体" w:cs="Times New Roman"/>
          <w:color w:val="auto"/>
          <w:kern w:val="2"/>
          <w:szCs w:val="22"/>
          <w:lang w:val="en-US" w:eastAsia="zh-CN" w:bidi="ar-SA"/>
        </w:rPr>
        <w:fldChar w:fldCharType="end"/>
      </w:r>
      <w:r>
        <w:rPr>
          <w:rFonts w:hint="default" w:ascii="Times New Roman" w:hAnsi="Times New Roman" w:eastAsia="宋体" w:cs="Times New Roman"/>
          <w:bCs/>
          <w:i w:val="0"/>
          <w:color w:val="auto"/>
          <w:spacing w:val="-20"/>
          <w:kern w:val="44"/>
          <w:szCs w:val="32"/>
          <w:lang w:val="en-US" w:eastAsia="zh-CN" w:bidi="ar-SA"/>
        </w:rPr>
        <w:fldChar w:fldCharType="end"/>
      </w:r>
    </w:p>
    <w:p>
      <w:pPr>
        <w:pStyle w:val="37"/>
        <w:tabs>
          <w:tab w:val="right" w:leader="dot" w:pos="8640"/>
          <w:tab w:val="clear" w:pos="620"/>
          <w:tab w:val="clear" w:pos="8364"/>
        </w:tabs>
        <w:rPr>
          <w:rFonts w:ascii="Calibri" w:hAnsi="Calibri" w:eastAsia="宋体" w:cs="Times New Roman"/>
          <w:color w:val="auto"/>
          <w:kern w:val="2"/>
          <w:szCs w:val="22"/>
          <w:lang w:val="en-US" w:eastAsia="zh-CN" w:bidi="ar-SA"/>
        </w:rPr>
      </w:pPr>
      <w:r>
        <w:rPr>
          <w:rFonts w:hint="eastAsia" w:ascii="Calibri" w:hAnsi="Calibri" w:eastAsia="宋体" w:cs="Times New Roman"/>
          <w:color w:val="auto"/>
          <w:kern w:val="2"/>
          <w:szCs w:val="22"/>
          <w:lang w:val="en-US" w:eastAsia="zh-CN" w:bidi="ar-SA"/>
        </w:rPr>
        <w:fldChar w:fldCharType="begin"/>
      </w:r>
      <w:r>
        <w:rPr>
          <w:rFonts w:hint="eastAsia" w:ascii="Calibri" w:hAnsi="Calibri" w:eastAsia="宋体" w:cs="Times New Roman"/>
          <w:color w:val="auto"/>
          <w:kern w:val="2"/>
          <w:szCs w:val="22"/>
          <w:lang w:val="en-US" w:eastAsia="zh-CN" w:bidi="ar-SA"/>
        </w:rPr>
        <w:instrText xml:space="preserve"> HYPERLINK \l _Toc29127 </w:instrText>
      </w:r>
      <w:r>
        <w:rPr>
          <w:rFonts w:hint="eastAsia"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4</w:t>
      </w:r>
      <w:r>
        <w:rPr>
          <w:rFonts w:hint="default" w:ascii="Times New Roman" w:hAnsi="Times New Roman" w:eastAsia="宋体" w:cs="Times New Roman"/>
          <w:bCs/>
          <w:i w:val="0"/>
          <w:color w:val="auto"/>
          <w:kern w:val="2"/>
          <w:szCs w:val="28"/>
          <w:lang w:val="en-US" w:eastAsia="zh-CN" w:bidi="ar-SA"/>
        </w:rPr>
        <w:t xml:space="preserve">.1 </w:t>
      </w:r>
      <w:r>
        <w:rPr>
          <w:rFonts w:hint="eastAsia" w:ascii="宋体" w:hAnsi="宋体" w:eastAsia="宋体" w:cs="Times New Roman"/>
          <w:bCs/>
          <w:color w:val="auto"/>
          <w:kern w:val="2"/>
          <w:szCs w:val="32"/>
          <w:lang w:val="en-US" w:eastAsia="zh-CN" w:bidi="ar-SA"/>
        </w:rPr>
        <w:t>项目概况</w:t>
      </w:r>
      <w:r>
        <w:rPr>
          <w:rFonts w:ascii="Calibri" w:hAnsi="Calibri" w:eastAsia="宋体" w:cs="Times New Roman"/>
          <w:color w:val="auto"/>
          <w:kern w:val="2"/>
          <w:szCs w:val="22"/>
          <w:lang w:val="en-US" w:eastAsia="zh-CN" w:bidi="ar-SA"/>
        </w:rPr>
        <w:tab/>
      </w:r>
      <w:r>
        <w:rPr>
          <w:rFonts w:ascii="Calibri" w:hAnsi="Calibri" w:eastAsia="宋体" w:cs="Times New Roman"/>
          <w:color w:val="auto"/>
          <w:kern w:val="2"/>
          <w:szCs w:val="22"/>
          <w:lang w:val="en-US" w:eastAsia="zh-CN" w:bidi="ar-SA"/>
        </w:rPr>
        <w:fldChar w:fldCharType="begin"/>
      </w:r>
      <w:r>
        <w:rPr>
          <w:rFonts w:ascii="Calibri" w:hAnsi="Calibri" w:eastAsia="宋体" w:cs="Times New Roman"/>
          <w:color w:val="auto"/>
          <w:kern w:val="2"/>
          <w:szCs w:val="22"/>
          <w:lang w:val="en-US" w:eastAsia="zh-CN" w:bidi="ar-SA"/>
        </w:rPr>
        <w:instrText xml:space="preserve"> PAGEREF _Toc29127 </w:instrText>
      </w:r>
      <w:r>
        <w:rPr>
          <w:rFonts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51</w:t>
      </w:r>
      <w:r>
        <w:rPr>
          <w:rFonts w:ascii="Calibri" w:hAnsi="Calibri" w:eastAsia="宋体" w:cs="Times New Roman"/>
          <w:color w:val="auto"/>
          <w:kern w:val="2"/>
          <w:szCs w:val="22"/>
          <w:lang w:val="en-US" w:eastAsia="zh-CN" w:bidi="ar-SA"/>
        </w:rPr>
        <w:fldChar w:fldCharType="end"/>
      </w:r>
      <w:r>
        <w:rPr>
          <w:rFonts w:hint="default" w:ascii="Times New Roman" w:hAnsi="Times New Roman" w:eastAsia="宋体" w:cs="Times New Roman"/>
          <w:bCs/>
          <w:i w:val="0"/>
          <w:color w:val="auto"/>
          <w:kern w:val="2"/>
          <w:szCs w:val="28"/>
          <w:lang w:val="en-US" w:eastAsia="zh-CN" w:bidi="ar-SA"/>
        </w:rPr>
        <w:fldChar w:fldCharType="end"/>
      </w:r>
    </w:p>
    <w:p>
      <w:pPr>
        <w:pStyle w:val="37"/>
        <w:tabs>
          <w:tab w:val="right" w:leader="dot" w:pos="8640"/>
          <w:tab w:val="clear" w:pos="620"/>
          <w:tab w:val="clear" w:pos="8364"/>
        </w:tabs>
        <w:rPr>
          <w:rFonts w:ascii="Calibri" w:hAnsi="Calibri" w:eastAsia="宋体" w:cs="Times New Roman"/>
          <w:color w:val="auto"/>
          <w:kern w:val="2"/>
          <w:szCs w:val="22"/>
          <w:lang w:val="en-US" w:eastAsia="zh-CN" w:bidi="ar-SA"/>
        </w:rPr>
      </w:pPr>
      <w:r>
        <w:rPr>
          <w:rFonts w:hint="eastAsia" w:ascii="Calibri" w:hAnsi="Calibri" w:eastAsia="宋体" w:cs="Times New Roman"/>
          <w:color w:val="auto"/>
          <w:kern w:val="2"/>
          <w:szCs w:val="22"/>
          <w:lang w:val="en-US" w:eastAsia="zh-CN" w:bidi="ar-SA"/>
        </w:rPr>
        <w:fldChar w:fldCharType="begin"/>
      </w:r>
      <w:r>
        <w:rPr>
          <w:rFonts w:hint="eastAsia" w:ascii="Calibri" w:hAnsi="Calibri" w:eastAsia="宋体" w:cs="Times New Roman"/>
          <w:color w:val="auto"/>
          <w:kern w:val="2"/>
          <w:szCs w:val="22"/>
          <w:lang w:val="en-US" w:eastAsia="zh-CN" w:bidi="ar-SA"/>
        </w:rPr>
        <w:instrText xml:space="preserve"> HYPERLINK \l _Toc26394 </w:instrText>
      </w:r>
      <w:r>
        <w:rPr>
          <w:rFonts w:hint="eastAsia"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4</w:t>
      </w:r>
      <w:r>
        <w:rPr>
          <w:rFonts w:hint="default" w:ascii="Times New Roman" w:hAnsi="Times New Roman" w:eastAsia="宋体" w:cs="Times New Roman"/>
          <w:bCs/>
          <w:i w:val="0"/>
          <w:color w:val="auto"/>
          <w:kern w:val="2"/>
          <w:szCs w:val="28"/>
          <w:lang w:val="en-US" w:eastAsia="zh-CN" w:bidi="ar-SA"/>
        </w:rPr>
        <w:t xml:space="preserve">.2 </w:t>
      </w:r>
      <w:r>
        <w:rPr>
          <w:rFonts w:hint="eastAsia" w:ascii="宋体" w:hAnsi="宋体" w:eastAsia="宋体" w:cs="Times New Roman"/>
          <w:bCs/>
          <w:color w:val="auto"/>
          <w:kern w:val="2"/>
          <w:szCs w:val="32"/>
          <w:lang w:val="en-US" w:eastAsia="zh-CN" w:bidi="ar-SA"/>
        </w:rPr>
        <w:t>技术参数及要求</w:t>
      </w:r>
      <w:r>
        <w:rPr>
          <w:rFonts w:ascii="Calibri" w:hAnsi="Calibri" w:eastAsia="宋体" w:cs="Times New Roman"/>
          <w:color w:val="auto"/>
          <w:kern w:val="2"/>
          <w:szCs w:val="22"/>
          <w:lang w:val="en-US" w:eastAsia="zh-CN" w:bidi="ar-SA"/>
        </w:rPr>
        <w:tab/>
      </w:r>
      <w:r>
        <w:rPr>
          <w:rFonts w:ascii="Calibri" w:hAnsi="Calibri" w:eastAsia="宋体" w:cs="Times New Roman"/>
          <w:color w:val="auto"/>
          <w:kern w:val="2"/>
          <w:szCs w:val="22"/>
          <w:lang w:val="en-US" w:eastAsia="zh-CN" w:bidi="ar-SA"/>
        </w:rPr>
        <w:fldChar w:fldCharType="begin"/>
      </w:r>
      <w:r>
        <w:rPr>
          <w:rFonts w:ascii="Calibri" w:hAnsi="Calibri" w:eastAsia="宋体" w:cs="Times New Roman"/>
          <w:color w:val="auto"/>
          <w:kern w:val="2"/>
          <w:szCs w:val="22"/>
          <w:lang w:val="en-US" w:eastAsia="zh-CN" w:bidi="ar-SA"/>
        </w:rPr>
        <w:instrText xml:space="preserve"> PAGEREF _Toc26394 </w:instrText>
      </w:r>
      <w:r>
        <w:rPr>
          <w:rFonts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51</w:t>
      </w:r>
      <w:r>
        <w:rPr>
          <w:rFonts w:ascii="Calibri" w:hAnsi="Calibri" w:eastAsia="宋体" w:cs="Times New Roman"/>
          <w:color w:val="auto"/>
          <w:kern w:val="2"/>
          <w:szCs w:val="22"/>
          <w:lang w:val="en-US" w:eastAsia="zh-CN" w:bidi="ar-SA"/>
        </w:rPr>
        <w:fldChar w:fldCharType="end"/>
      </w:r>
      <w:r>
        <w:rPr>
          <w:rFonts w:hint="default" w:ascii="Times New Roman" w:hAnsi="Times New Roman" w:eastAsia="宋体" w:cs="Times New Roman"/>
          <w:bCs/>
          <w:i w:val="0"/>
          <w:color w:val="auto"/>
          <w:kern w:val="2"/>
          <w:szCs w:val="28"/>
          <w:lang w:val="en-US" w:eastAsia="zh-CN" w:bidi="ar-SA"/>
        </w:rPr>
        <w:fldChar w:fldCharType="end"/>
      </w:r>
    </w:p>
    <w:p>
      <w:pPr>
        <w:pStyle w:val="37"/>
        <w:tabs>
          <w:tab w:val="right" w:leader="dot" w:pos="8640"/>
          <w:tab w:val="clear" w:pos="620"/>
          <w:tab w:val="clear" w:pos="8364"/>
        </w:tabs>
        <w:rPr>
          <w:rFonts w:ascii="Calibri" w:hAnsi="Calibri" w:eastAsia="宋体" w:cs="Times New Roman"/>
          <w:color w:val="auto"/>
          <w:kern w:val="2"/>
          <w:szCs w:val="22"/>
          <w:lang w:val="en-US" w:eastAsia="zh-CN" w:bidi="ar-SA"/>
        </w:rPr>
      </w:pPr>
      <w:r>
        <w:rPr>
          <w:rFonts w:hint="eastAsia" w:ascii="Calibri" w:hAnsi="Calibri" w:eastAsia="宋体" w:cs="Times New Roman"/>
          <w:color w:val="auto"/>
          <w:kern w:val="2"/>
          <w:szCs w:val="22"/>
          <w:lang w:val="en-US" w:eastAsia="zh-CN" w:bidi="ar-SA"/>
        </w:rPr>
        <w:fldChar w:fldCharType="begin"/>
      </w:r>
      <w:r>
        <w:rPr>
          <w:rFonts w:hint="eastAsia" w:ascii="Calibri" w:hAnsi="Calibri" w:eastAsia="宋体" w:cs="Times New Roman"/>
          <w:color w:val="auto"/>
          <w:kern w:val="2"/>
          <w:szCs w:val="22"/>
          <w:lang w:val="en-US" w:eastAsia="zh-CN" w:bidi="ar-SA"/>
        </w:rPr>
        <w:instrText xml:space="preserve"> HYPERLINK \l _Toc25649 </w:instrText>
      </w:r>
      <w:r>
        <w:rPr>
          <w:rFonts w:hint="eastAsia" w:ascii="Calibri" w:hAnsi="Calibri" w:eastAsia="宋体" w:cs="Times New Roman"/>
          <w:color w:val="auto"/>
          <w:kern w:val="2"/>
          <w:szCs w:val="22"/>
          <w:lang w:val="en-US" w:eastAsia="zh-CN" w:bidi="ar-SA"/>
        </w:rPr>
        <w:fldChar w:fldCharType="separate"/>
      </w:r>
      <w:r>
        <w:rPr>
          <w:rFonts w:hint="eastAsia" w:ascii="宋体" w:hAnsi="宋体" w:eastAsia="宋体" w:cs="宋体"/>
          <w:bCs/>
          <w:color w:val="auto"/>
          <w:kern w:val="2"/>
          <w:szCs w:val="22"/>
          <w:lang w:val="en-US" w:eastAsia="zh-CN" w:bidi="ar-SA"/>
        </w:rPr>
        <w:t>一、采购清单</w:t>
      </w:r>
      <w:r>
        <w:rPr>
          <w:rFonts w:ascii="Calibri" w:hAnsi="Calibri" w:eastAsia="宋体" w:cs="Times New Roman"/>
          <w:color w:val="auto"/>
          <w:kern w:val="2"/>
          <w:szCs w:val="22"/>
          <w:lang w:val="en-US" w:eastAsia="zh-CN" w:bidi="ar-SA"/>
        </w:rPr>
        <w:tab/>
      </w:r>
      <w:r>
        <w:rPr>
          <w:rFonts w:ascii="Calibri" w:hAnsi="Calibri" w:eastAsia="宋体" w:cs="Times New Roman"/>
          <w:color w:val="auto"/>
          <w:kern w:val="2"/>
          <w:szCs w:val="22"/>
          <w:lang w:val="en-US" w:eastAsia="zh-CN" w:bidi="ar-SA"/>
        </w:rPr>
        <w:fldChar w:fldCharType="begin"/>
      </w:r>
      <w:r>
        <w:rPr>
          <w:rFonts w:ascii="Calibri" w:hAnsi="Calibri" w:eastAsia="宋体" w:cs="Times New Roman"/>
          <w:color w:val="auto"/>
          <w:kern w:val="2"/>
          <w:szCs w:val="22"/>
          <w:lang w:val="en-US" w:eastAsia="zh-CN" w:bidi="ar-SA"/>
        </w:rPr>
        <w:instrText xml:space="preserve"> PAGEREF _Toc25649 </w:instrText>
      </w:r>
      <w:r>
        <w:rPr>
          <w:rFonts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51</w:t>
      </w:r>
      <w:r>
        <w:rPr>
          <w:rFonts w:ascii="Calibri" w:hAnsi="Calibri" w:eastAsia="宋体" w:cs="Times New Roman"/>
          <w:color w:val="auto"/>
          <w:kern w:val="2"/>
          <w:szCs w:val="22"/>
          <w:lang w:val="en-US" w:eastAsia="zh-CN" w:bidi="ar-SA"/>
        </w:rPr>
        <w:fldChar w:fldCharType="end"/>
      </w:r>
      <w:r>
        <w:rPr>
          <w:rFonts w:hint="eastAsia" w:ascii="Calibri" w:hAnsi="Calibri" w:eastAsia="宋体" w:cs="Times New Roman"/>
          <w:color w:val="auto"/>
          <w:kern w:val="2"/>
          <w:szCs w:val="22"/>
          <w:lang w:val="en-US" w:eastAsia="zh-CN" w:bidi="ar-SA"/>
        </w:rPr>
        <w:fldChar w:fldCharType="end"/>
      </w:r>
    </w:p>
    <w:p>
      <w:pPr>
        <w:pStyle w:val="37"/>
        <w:tabs>
          <w:tab w:val="right" w:leader="dot" w:pos="8640"/>
          <w:tab w:val="clear" w:pos="620"/>
          <w:tab w:val="clear" w:pos="8364"/>
        </w:tabs>
        <w:rPr>
          <w:rFonts w:ascii="Calibri" w:hAnsi="Calibri" w:eastAsia="宋体" w:cs="Times New Roman"/>
          <w:color w:val="auto"/>
          <w:kern w:val="2"/>
          <w:szCs w:val="22"/>
          <w:lang w:val="en-US" w:eastAsia="zh-CN" w:bidi="ar-SA"/>
        </w:rPr>
      </w:pPr>
      <w:r>
        <w:rPr>
          <w:rFonts w:hint="eastAsia" w:ascii="Calibri" w:hAnsi="Calibri" w:eastAsia="宋体" w:cs="Times New Roman"/>
          <w:color w:val="auto"/>
          <w:kern w:val="2"/>
          <w:szCs w:val="22"/>
          <w:lang w:val="en-US" w:eastAsia="zh-CN" w:bidi="ar-SA"/>
        </w:rPr>
        <w:fldChar w:fldCharType="begin"/>
      </w:r>
      <w:r>
        <w:rPr>
          <w:rFonts w:hint="eastAsia" w:ascii="Calibri" w:hAnsi="Calibri" w:eastAsia="宋体" w:cs="Times New Roman"/>
          <w:color w:val="auto"/>
          <w:kern w:val="2"/>
          <w:szCs w:val="22"/>
          <w:lang w:val="en-US" w:eastAsia="zh-CN" w:bidi="ar-SA"/>
        </w:rPr>
        <w:instrText xml:space="preserve"> HYPERLINK \l _Toc231 </w:instrText>
      </w:r>
      <w:r>
        <w:rPr>
          <w:rFonts w:hint="eastAsia"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4</w:t>
      </w:r>
      <w:r>
        <w:rPr>
          <w:rFonts w:hint="default" w:ascii="Times New Roman" w:hAnsi="Times New Roman" w:eastAsia="宋体" w:cs="Times New Roman"/>
          <w:bCs/>
          <w:i w:val="0"/>
          <w:color w:val="auto"/>
          <w:kern w:val="2"/>
          <w:szCs w:val="28"/>
          <w:lang w:val="en-US" w:eastAsia="zh-CN" w:bidi="ar-SA"/>
        </w:rPr>
        <w:t xml:space="preserve">.3 </w:t>
      </w:r>
      <w:r>
        <w:rPr>
          <w:rFonts w:hint="eastAsia" w:ascii="宋体" w:hAnsi="宋体" w:eastAsia="宋体" w:cs="宋体"/>
          <w:bCs/>
          <w:color w:val="auto"/>
          <w:kern w:val="2"/>
          <w:szCs w:val="24"/>
          <w:lang w:val="en-US" w:eastAsia="zh-CN" w:bidi="ar-SA"/>
        </w:rPr>
        <w:t>★质量要求</w:t>
      </w:r>
      <w:r>
        <w:rPr>
          <w:rFonts w:ascii="Calibri" w:hAnsi="Calibri" w:eastAsia="宋体" w:cs="Times New Roman"/>
          <w:color w:val="auto"/>
          <w:kern w:val="2"/>
          <w:szCs w:val="22"/>
          <w:lang w:val="en-US" w:eastAsia="zh-CN" w:bidi="ar-SA"/>
        </w:rPr>
        <w:tab/>
      </w:r>
      <w:r>
        <w:rPr>
          <w:rFonts w:ascii="Calibri" w:hAnsi="Calibri" w:eastAsia="宋体" w:cs="Times New Roman"/>
          <w:color w:val="auto"/>
          <w:kern w:val="2"/>
          <w:szCs w:val="22"/>
          <w:lang w:val="en-US" w:eastAsia="zh-CN" w:bidi="ar-SA"/>
        </w:rPr>
        <w:fldChar w:fldCharType="begin"/>
      </w:r>
      <w:r>
        <w:rPr>
          <w:rFonts w:ascii="Calibri" w:hAnsi="Calibri" w:eastAsia="宋体" w:cs="Times New Roman"/>
          <w:color w:val="auto"/>
          <w:kern w:val="2"/>
          <w:szCs w:val="22"/>
          <w:lang w:val="en-US" w:eastAsia="zh-CN" w:bidi="ar-SA"/>
        </w:rPr>
        <w:instrText xml:space="preserve"> PAGEREF _Toc231 </w:instrText>
      </w:r>
      <w:r>
        <w:rPr>
          <w:rFonts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52</w:t>
      </w:r>
      <w:r>
        <w:rPr>
          <w:rFonts w:ascii="Calibri" w:hAnsi="Calibri" w:eastAsia="宋体" w:cs="Times New Roman"/>
          <w:color w:val="auto"/>
          <w:kern w:val="2"/>
          <w:szCs w:val="22"/>
          <w:lang w:val="en-US" w:eastAsia="zh-CN" w:bidi="ar-SA"/>
        </w:rPr>
        <w:fldChar w:fldCharType="end"/>
      </w:r>
      <w:r>
        <w:rPr>
          <w:rFonts w:hint="default" w:ascii="Times New Roman" w:hAnsi="Times New Roman" w:eastAsia="宋体" w:cs="Times New Roman"/>
          <w:bCs/>
          <w:i w:val="0"/>
          <w:color w:val="auto"/>
          <w:kern w:val="2"/>
          <w:szCs w:val="28"/>
          <w:lang w:val="en-US" w:eastAsia="zh-CN" w:bidi="ar-SA"/>
        </w:rPr>
        <w:fldChar w:fldCharType="end"/>
      </w:r>
    </w:p>
    <w:p>
      <w:pPr>
        <w:pStyle w:val="37"/>
        <w:tabs>
          <w:tab w:val="right" w:leader="dot" w:pos="8640"/>
          <w:tab w:val="clear" w:pos="620"/>
          <w:tab w:val="clear" w:pos="8364"/>
        </w:tabs>
        <w:rPr>
          <w:rFonts w:ascii="Calibri" w:hAnsi="Calibri" w:eastAsia="宋体" w:cs="Times New Roman"/>
          <w:color w:val="auto"/>
          <w:kern w:val="2"/>
          <w:szCs w:val="22"/>
          <w:lang w:val="en-US" w:eastAsia="zh-CN" w:bidi="ar-SA"/>
        </w:rPr>
      </w:pPr>
      <w:r>
        <w:rPr>
          <w:rFonts w:hint="eastAsia" w:ascii="Calibri" w:hAnsi="Calibri" w:eastAsia="宋体" w:cs="Times New Roman"/>
          <w:color w:val="auto"/>
          <w:kern w:val="2"/>
          <w:szCs w:val="22"/>
          <w:lang w:val="en-US" w:eastAsia="zh-CN" w:bidi="ar-SA"/>
        </w:rPr>
        <w:fldChar w:fldCharType="begin"/>
      </w:r>
      <w:r>
        <w:rPr>
          <w:rFonts w:hint="eastAsia" w:ascii="Calibri" w:hAnsi="Calibri" w:eastAsia="宋体" w:cs="Times New Roman"/>
          <w:color w:val="auto"/>
          <w:kern w:val="2"/>
          <w:szCs w:val="22"/>
          <w:lang w:val="en-US" w:eastAsia="zh-CN" w:bidi="ar-SA"/>
        </w:rPr>
        <w:instrText xml:space="preserve"> HYPERLINK \l _Toc11584 </w:instrText>
      </w:r>
      <w:r>
        <w:rPr>
          <w:rFonts w:hint="eastAsia"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4</w:t>
      </w:r>
      <w:r>
        <w:rPr>
          <w:rFonts w:hint="default" w:ascii="Times New Roman" w:hAnsi="Times New Roman" w:eastAsia="宋体" w:cs="Times New Roman"/>
          <w:bCs/>
          <w:i w:val="0"/>
          <w:color w:val="auto"/>
          <w:kern w:val="2"/>
          <w:szCs w:val="28"/>
          <w:lang w:val="en-US" w:eastAsia="zh-CN" w:bidi="ar-SA"/>
        </w:rPr>
        <w:t xml:space="preserve">.4 </w:t>
      </w:r>
      <w:r>
        <w:rPr>
          <w:rFonts w:hint="eastAsia" w:ascii="宋体" w:hAnsi="宋体" w:eastAsia="宋体" w:cs="宋体"/>
          <w:bCs/>
          <w:color w:val="auto"/>
          <w:kern w:val="2"/>
          <w:szCs w:val="24"/>
          <w:lang w:val="en-US" w:eastAsia="zh-CN" w:bidi="ar-SA"/>
        </w:rPr>
        <w:t>★售后要求</w:t>
      </w:r>
      <w:r>
        <w:rPr>
          <w:rFonts w:ascii="Calibri" w:hAnsi="Calibri" w:eastAsia="宋体" w:cs="Times New Roman"/>
          <w:color w:val="auto"/>
          <w:kern w:val="2"/>
          <w:szCs w:val="22"/>
          <w:lang w:val="en-US" w:eastAsia="zh-CN" w:bidi="ar-SA"/>
        </w:rPr>
        <w:tab/>
      </w:r>
      <w:r>
        <w:rPr>
          <w:rFonts w:ascii="Calibri" w:hAnsi="Calibri" w:eastAsia="宋体" w:cs="Times New Roman"/>
          <w:color w:val="auto"/>
          <w:kern w:val="2"/>
          <w:szCs w:val="22"/>
          <w:lang w:val="en-US" w:eastAsia="zh-CN" w:bidi="ar-SA"/>
        </w:rPr>
        <w:fldChar w:fldCharType="begin"/>
      </w:r>
      <w:r>
        <w:rPr>
          <w:rFonts w:ascii="Calibri" w:hAnsi="Calibri" w:eastAsia="宋体" w:cs="Times New Roman"/>
          <w:color w:val="auto"/>
          <w:kern w:val="2"/>
          <w:szCs w:val="22"/>
          <w:lang w:val="en-US" w:eastAsia="zh-CN" w:bidi="ar-SA"/>
        </w:rPr>
        <w:instrText xml:space="preserve"> PAGEREF _Toc11584 </w:instrText>
      </w:r>
      <w:r>
        <w:rPr>
          <w:rFonts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52</w:t>
      </w:r>
      <w:r>
        <w:rPr>
          <w:rFonts w:ascii="Calibri" w:hAnsi="Calibri" w:eastAsia="宋体" w:cs="Times New Roman"/>
          <w:color w:val="auto"/>
          <w:kern w:val="2"/>
          <w:szCs w:val="22"/>
          <w:lang w:val="en-US" w:eastAsia="zh-CN" w:bidi="ar-SA"/>
        </w:rPr>
        <w:fldChar w:fldCharType="end"/>
      </w:r>
      <w:r>
        <w:rPr>
          <w:rFonts w:hint="default" w:ascii="Times New Roman" w:hAnsi="Times New Roman" w:eastAsia="宋体" w:cs="Times New Roman"/>
          <w:bCs/>
          <w:i w:val="0"/>
          <w:color w:val="auto"/>
          <w:kern w:val="2"/>
          <w:szCs w:val="28"/>
          <w:lang w:val="en-US" w:eastAsia="zh-CN" w:bidi="ar-SA"/>
        </w:rPr>
        <w:fldChar w:fldCharType="end"/>
      </w:r>
    </w:p>
    <w:p>
      <w:pPr>
        <w:pStyle w:val="31"/>
        <w:tabs>
          <w:tab w:val="right" w:leader="dot" w:pos="8640"/>
          <w:tab w:val="clear" w:pos="709"/>
          <w:tab w:val="clear" w:pos="8364"/>
        </w:tabs>
        <w:rPr>
          <w:rFonts w:ascii="Calibri" w:hAnsi="Calibri" w:eastAsia="宋体" w:cs="Times New Roman"/>
          <w:color w:val="auto"/>
          <w:kern w:val="2"/>
          <w:szCs w:val="22"/>
          <w:lang w:val="en-US" w:eastAsia="zh-CN" w:bidi="ar-SA"/>
        </w:rPr>
      </w:pPr>
      <w:r>
        <w:rPr>
          <w:rFonts w:hint="eastAsia" w:ascii="Calibri" w:hAnsi="Calibri" w:eastAsia="宋体" w:cs="Times New Roman"/>
          <w:color w:val="auto"/>
          <w:kern w:val="2"/>
          <w:szCs w:val="22"/>
          <w:lang w:val="en-US" w:eastAsia="zh-CN" w:bidi="ar-SA"/>
        </w:rPr>
        <w:fldChar w:fldCharType="begin"/>
      </w:r>
      <w:r>
        <w:rPr>
          <w:rFonts w:hint="eastAsia" w:ascii="Calibri" w:hAnsi="Calibri" w:eastAsia="宋体" w:cs="Times New Roman"/>
          <w:color w:val="auto"/>
          <w:kern w:val="2"/>
          <w:szCs w:val="22"/>
          <w:lang w:val="en-US" w:eastAsia="zh-CN" w:bidi="ar-SA"/>
        </w:rPr>
        <w:instrText xml:space="preserve"> HYPERLINK \l _Toc9593 </w:instrText>
      </w:r>
      <w:r>
        <w:rPr>
          <w:rFonts w:hint="eastAsia"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第</w:t>
      </w:r>
      <w:r>
        <w:rPr>
          <w:rFonts w:hint="default" w:ascii="Times New Roman" w:hAnsi="Times New Roman" w:eastAsia="宋体" w:cs="Times New Roman"/>
          <w:bCs/>
          <w:i w:val="0"/>
          <w:color w:val="auto"/>
          <w:spacing w:val="-20"/>
          <w:kern w:val="44"/>
          <w:szCs w:val="32"/>
          <w:lang w:val="en-US" w:eastAsia="zh-CN" w:bidi="ar-SA"/>
        </w:rPr>
        <w:t xml:space="preserve">5章 </w:t>
      </w:r>
      <w:r>
        <w:rPr>
          <w:rFonts w:hint="eastAsia" w:ascii="宋体" w:hAnsi="宋体" w:eastAsia="宋体" w:cs="Times New Roman"/>
          <w:bCs/>
          <w:color w:val="auto"/>
          <w:spacing w:val="-20"/>
          <w:kern w:val="44"/>
          <w:szCs w:val="32"/>
          <w:lang w:val="en-US" w:eastAsia="zh-CN" w:bidi="ar-SA"/>
        </w:rPr>
        <w:t>资格性审查</w:t>
      </w:r>
      <w:r>
        <w:rPr>
          <w:rFonts w:ascii="Calibri" w:hAnsi="Calibri" w:eastAsia="宋体" w:cs="Times New Roman"/>
          <w:color w:val="auto"/>
          <w:kern w:val="2"/>
          <w:szCs w:val="22"/>
          <w:lang w:val="en-US" w:eastAsia="zh-CN" w:bidi="ar-SA"/>
        </w:rPr>
        <w:tab/>
      </w:r>
      <w:r>
        <w:rPr>
          <w:rFonts w:ascii="Calibri" w:hAnsi="Calibri" w:eastAsia="宋体" w:cs="Times New Roman"/>
          <w:color w:val="auto"/>
          <w:kern w:val="2"/>
          <w:szCs w:val="22"/>
          <w:lang w:val="en-US" w:eastAsia="zh-CN" w:bidi="ar-SA"/>
        </w:rPr>
        <w:fldChar w:fldCharType="begin"/>
      </w:r>
      <w:r>
        <w:rPr>
          <w:rFonts w:ascii="Calibri" w:hAnsi="Calibri" w:eastAsia="宋体" w:cs="Times New Roman"/>
          <w:color w:val="auto"/>
          <w:kern w:val="2"/>
          <w:szCs w:val="22"/>
          <w:lang w:val="en-US" w:eastAsia="zh-CN" w:bidi="ar-SA"/>
        </w:rPr>
        <w:instrText xml:space="preserve"> PAGEREF _Toc9593 </w:instrText>
      </w:r>
      <w:r>
        <w:rPr>
          <w:rFonts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57</w:t>
      </w:r>
      <w:r>
        <w:rPr>
          <w:rFonts w:ascii="Calibri" w:hAnsi="Calibri" w:eastAsia="宋体" w:cs="Times New Roman"/>
          <w:color w:val="auto"/>
          <w:kern w:val="2"/>
          <w:szCs w:val="22"/>
          <w:lang w:val="en-US" w:eastAsia="zh-CN" w:bidi="ar-SA"/>
        </w:rPr>
        <w:fldChar w:fldCharType="end"/>
      </w:r>
      <w:r>
        <w:rPr>
          <w:rFonts w:hint="default" w:ascii="Times New Roman" w:hAnsi="Times New Roman" w:eastAsia="宋体" w:cs="Times New Roman"/>
          <w:bCs/>
          <w:i w:val="0"/>
          <w:color w:val="auto"/>
          <w:spacing w:val="-20"/>
          <w:kern w:val="44"/>
          <w:szCs w:val="32"/>
          <w:lang w:val="en-US" w:eastAsia="zh-CN" w:bidi="ar-SA"/>
        </w:rPr>
        <w:fldChar w:fldCharType="end"/>
      </w:r>
    </w:p>
    <w:p>
      <w:pPr>
        <w:pStyle w:val="31"/>
        <w:tabs>
          <w:tab w:val="right" w:leader="dot" w:pos="8640"/>
          <w:tab w:val="clear" w:pos="709"/>
          <w:tab w:val="clear" w:pos="8364"/>
        </w:tabs>
        <w:rPr>
          <w:rFonts w:ascii="Calibri" w:hAnsi="Calibri" w:eastAsia="宋体" w:cs="Times New Roman"/>
          <w:color w:val="auto"/>
          <w:kern w:val="2"/>
          <w:szCs w:val="22"/>
          <w:lang w:val="en-US" w:eastAsia="zh-CN" w:bidi="ar-SA"/>
        </w:rPr>
      </w:pPr>
      <w:r>
        <w:rPr>
          <w:rFonts w:hint="eastAsia" w:ascii="Calibri" w:hAnsi="Calibri" w:eastAsia="宋体" w:cs="Times New Roman"/>
          <w:color w:val="auto"/>
          <w:kern w:val="2"/>
          <w:szCs w:val="22"/>
          <w:lang w:val="en-US" w:eastAsia="zh-CN" w:bidi="ar-SA"/>
        </w:rPr>
        <w:fldChar w:fldCharType="begin"/>
      </w:r>
      <w:r>
        <w:rPr>
          <w:rFonts w:hint="eastAsia" w:ascii="Calibri" w:hAnsi="Calibri" w:eastAsia="宋体" w:cs="Times New Roman"/>
          <w:color w:val="auto"/>
          <w:kern w:val="2"/>
          <w:szCs w:val="22"/>
          <w:lang w:val="en-US" w:eastAsia="zh-CN" w:bidi="ar-SA"/>
        </w:rPr>
        <w:instrText xml:space="preserve"> HYPERLINK \l _Toc30449 </w:instrText>
      </w:r>
      <w:r>
        <w:rPr>
          <w:rFonts w:hint="eastAsia"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第</w:t>
      </w:r>
      <w:r>
        <w:rPr>
          <w:rFonts w:hint="default" w:ascii="Times New Roman" w:hAnsi="Times New Roman" w:eastAsia="宋体" w:cs="Times New Roman"/>
          <w:bCs/>
          <w:i w:val="0"/>
          <w:color w:val="auto"/>
          <w:spacing w:val="-20"/>
          <w:kern w:val="44"/>
          <w:szCs w:val="32"/>
          <w:lang w:val="en-US" w:eastAsia="zh-CN" w:bidi="ar-SA"/>
        </w:rPr>
        <w:t xml:space="preserve">6章 </w:t>
      </w:r>
      <w:r>
        <w:rPr>
          <w:rFonts w:hint="eastAsia" w:ascii="宋体" w:hAnsi="宋体" w:eastAsia="宋体" w:cs="Times New Roman"/>
          <w:bCs/>
          <w:color w:val="auto"/>
          <w:spacing w:val="-20"/>
          <w:kern w:val="44"/>
          <w:szCs w:val="32"/>
          <w:lang w:val="en-US" w:eastAsia="zh-CN" w:bidi="ar-SA"/>
        </w:rPr>
        <w:t>评标办法</w:t>
      </w:r>
      <w:r>
        <w:rPr>
          <w:rFonts w:ascii="Calibri" w:hAnsi="Calibri" w:eastAsia="宋体" w:cs="Times New Roman"/>
          <w:color w:val="auto"/>
          <w:kern w:val="2"/>
          <w:szCs w:val="22"/>
          <w:lang w:val="en-US" w:eastAsia="zh-CN" w:bidi="ar-SA"/>
        </w:rPr>
        <w:tab/>
      </w:r>
      <w:r>
        <w:rPr>
          <w:rFonts w:ascii="Calibri" w:hAnsi="Calibri" w:eastAsia="宋体" w:cs="Times New Roman"/>
          <w:color w:val="auto"/>
          <w:kern w:val="2"/>
          <w:szCs w:val="22"/>
          <w:lang w:val="en-US" w:eastAsia="zh-CN" w:bidi="ar-SA"/>
        </w:rPr>
        <w:fldChar w:fldCharType="begin"/>
      </w:r>
      <w:r>
        <w:rPr>
          <w:rFonts w:ascii="Calibri" w:hAnsi="Calibri" w:eastAsia="宋体" w:cs="Times New Roman"/>
          <w:color w:val="auto"/>
          <w:kern w:val="2"/>
          <w:szCs w:val="22"/>
          <w:lang w:val="en-US" w:eastAsia="zh-CN" w:bidi="ar-SA"/>
        </w:rPr>
        <w:instrText xml:space="preserve"> PAGEREF _Toc30449 </w:instrText>
      </w:r>
      <w:r>
        <w:rPr>
          <w:rFonts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61</w:t>
      </w:r>
      <w:r>
        <w:rPr>
          <w:rFonts w:ascii="Calibri" w:hAnsi="Calibri" w:eastAsia="宋体" w:cs="Times New Roman"/>
          <w:color w:val="auto"/>
          <w:kern w:val="2"/>
          <w:szCs w:val="22"/>
          <w:lang w:val="en-US" w:eastAsia="zh-CN" w:bidi="ar-SA"/>
        </w:rPr>
        <w:fldChar w:fldCharType="end"/>
      </w:r>
      <w:r>
        <w:rPr>
          <w:rFonts w:hint="default" w:ascii="Times New Roman" w:hAnsi="Times New Roman" w:eastAsia="宋体" w:cs="Times New Roman"/>
          <w:bCs/>
          <w:i w:val="0"/>
          <w:color w:val="auto"/>
          <w:spacing w:val="-20"/>
          <w:kern w:val="44"/>
          <w:szCs w:val="32"/>
          <w:lang w:val="en-US" w:eastAsia="zh-CN" w:bidi="ar-SA"/>
        </w:rPr>
        <w:fldChar w:fldCharType="end"/>
      </w:r>
    </w:p>
    <w:p>
      <w:pPr>
        <w:pStyle w:val="37"/>
        <w:tabs>
          <w:tab w:val="right" w:leader="dot" w:pos="8640"/>
          <w:tab w:val="clear" w:pos="620"/>
          <w:tab w:val="clear" w:pos="8364"/>
        </w:tabs>
        <w:rPr>
          <w:rFonts w:ascii="Calibri" w:hAnsi="Calibri" w:eastAsia="宋体" w:cs="Times New Roman"/>
          <w:color w:val="auto"/>
          <w:kern w:val="2"/>
          <w:szCs w:val="22"/>
          <w:lang w:val="en-US" w:eastAsia="zh-CN" w:bidi="ar-SA"/>
        </w:rPr>
      </w:pPr>
      <w:r>
        <w:rPr>
          <w:rFonts w:hint="eastAsia" w:ascii="Calibri" w:hAnsi="Calibri" w:eastAsia="宋体" w:cs="Times New Roman"/>
          <w:color w:val="auto"/>
          <w:kern w:val="2"/>
          <w:szCs w:val="22"/>
          <w:lang w:val="en-US" w:eastAsia="zh-CN" w:bidi="ar-SA"/>
        </w:rPr>
        <w:fldChar w:fldCharType="begin"/>
      </w:r>
      <w:r>
        <w:rPr>
          <w:rFonts w:hint="eastAsia" w:ascii="Calibri" w:hAnsi="Calibri" w:eastAsia="宋体" w:cs="Times New Roman"/>
          <w:color w:val="auto"/>
          <w:kern w:val="2"/>
          <w:szCs w:val="22"/>
          <w:lang w:val="en-US" w:eastAsia="zh-CN" w:bidi="ar-SA"/>
        </w:rPr>
        <w:instrText xml:space="preserve"> HYPERLINK \l _Toc32332 </w:instrText>
      </w:r>
      <w:r>
        <w:rPr>
          <w:rFonts w:hint="eastAsia"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6</w:t>
      </w:r>
      <w:r>
        <w:rPr>
          <w:rFonts w:hint="default" w:ascii="Times New Roman" w:hAnsi="Times New Roman" w:eastAsia="宋体" w:cs="Times New Roman"/>
          <w:bCs/>
          <w:i w:val="0"/>
          <w:color w:val="auto"/>
          <w:kern w:val="2"/>
          <w:szCs w:val="28"/>
          <w:lang w:val="en-US" w:eastAsia="zh-CN" w:bidi="ar-SA"/>
        </w:rPr>
        <w:t xml:space="preserve">.1 </w:t>
      </w:r>
      <w:r>
        <w:rPr>
          <w:rFonts w:hint="eastAsia" w:ascii="宋体" w:hAnsi="宋体" w:eastAsia="宋体" w:cs="Times New Roman"/>
          <w:bCs/>
          <w:color w:val="auto"/>
          <w:kern w:val="2"/>
          <w:szCs w:val="28"/>
          <w:lang w:val="en-US" w:eastAsia="zh-CN" w:bidi="ar-SA"/>
        </w:rPr>
        <w:t>总则</w:t>
      </w:r>
      <w:r>
        <w:rPr>
          <w:rFonts w:ascii="Calibri" w:hAnsi="Calibri" w:eastAsia="宋体" w:cs="Times New Roman"/>
          <w:color w:val="auto"/>
          <w:kern w:val="2"/>
          <w:szCs w:val="22"/>
          <w:lang w:val="en-US" w:eastAsia="zh-CN" w:bidi="ar-SA"/>
        </w:rPr>
        <w:tab/>
      </w:r>
      <w:r>
        <w:rPr>
          <w:rFonts w:ascii="Calibri" w:hAnsi="Calibri" w:eastAsia="宋体" w:cs="Times New Roman"/>
          <w:color w:val="auto"/>
          <w:kern w:val="2"/>
          <w:szCs w:val="22"/>
          <w:lang w:val="en-US" w:eastAsia="zh-CN" w:bidi="ar-SA"/>
        </w:rPr>
        <w:fldChar w:fldCharType="begin"/>
      </w:r>
      <w:r>
        <w:rPr>
          <w:rFonts w:ascii="Calibri" w:hAnsi="Calibri" w:eastAsia="宋体" w:cs="Times New Roman"/>
          <w:color w:val="auto"/>
          <w:kern w:val="2"/>
          <w:szCs w:val="22"/>
          <w:lang w:val="en-US" w:eastAsia="zh-CN" w:bidi="ar-SA"/>
        </w:rPr>
        <w:instrText xml:space="preserve"> PAGEREF _Toc32332 </w:instrText>
      </w:r>
      <w:r>
        <w:rPr>
          <w:rFonts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61</w:t>
      </w:r>
      <w:r>
        <w:rPr>
          <w:rFonts w:ascii="Calibri" w:hAnsi="Calibri" w:eastAsia="宋体" w:cs="Times New Roman"/>
          <w:color w:val="auto"/>
          <w:kern w:val="2"/>
          <w:szCs w:val="22"/>
          <w:lang w:val="en-US" w:eastAsia="zh-CN" w:bidi="ar-SA"/>
        </w:rPr>
        <w:fldChar w:fldCharType="end"/>
      </w:r>
      <w:r>
        <w:rPr>
          <w:rFonts w:hint="default" w:ascii="Times New Roman" w:hAnsi="Times New Roman" w:eastAsia="宋体" w:cs="Times New Roman"/>
          <w:bCs/>
          <w:i w:val="0"/>
          <w:color w:val="auto"/>
          <w:kern w:val="2"/>
          <w:szCs w:val="28"/>
          <w:lang w:val="en-US" w:eastAsia="zh-CN" w:bidi="ar-SA"/>
        </w:rPr>
        <w:fldChar w:fldCharType="end"/>
      </w:r>
    </w:p>
    <w:p>
      <w:pPr>
        <w:pStyle w:val="37"/>
        <w:tabs>
          <w:tab w:val="right" w:leader="dot" w:pos="8640"/>
          <w:tab w:val="clear" w:pos="620"/>
          <w:tab w:val="clear" w:pos="8364"/>
        </w:tabs>
        <w:rPr>
          <w:rFonts w:ascii="Calibri" w:hAnsi="Calibri" w:eastAsia="宋体" w:cs="Times New Roman"/>
          <w:color w:val="auto"/>
          <w:kern w:val="2"/>
          <w:szCs w:val="22"/>
          <w:lang w:val="en-US" w:eastAsia="zh-CN" w:bidi="ar-SA"/>
        </w:rPr>
      </w:pPr>
      <w:r>
        <w:rPr>
          <w:rFonts w:hint="eastAsia" w:ascii="Calibri" w:hAnsi="Calibri" w:eastAsia="宋体" w:cs="Times New Roman"/>
          <w:color w:val="auto"/>
          <w:kern w:val="2"/>
          <w:szCs w:val="22"/>
          <w:lang w:val="en-US" w:eastAsia="zh-CN" w:bidi="ar-SA"/>
        </w:rPr>
        <w:fldChar w:fldCharType="begin"/>
      </w:r>
      <w:r>
        <w:rPr>
          <w:rFonts w:hint="eastAsia" w:ascii="Calibri" w:hAnsi="Calibri" w:eastAsia="宋体" w:cs="Times New Roman"/>
          <w:color w:val="auto"/>
          <w:kern w:val="2"/>
          <w:szCs w:val="22"/>
          <w:lang w:val="en-US" w:eastAsia="zh-CN" w:bidi="ar-SA"/>
        </w:rPr>
        <w:instrText xml:space="preserve"> HYPERLINK \l _Toc13925 </w:instrText>
      </w:r>
      <w:r>
        <w:rPr>
          <w:rFonts w:hint="eastAsia"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6</w:t>
      </w:r>
      <w:r>
        <w:rPr>
          <w:rFonts w:hint="default" w:ascii="Times New Roman" w:hAnsi="Times New Roman" w:eastAsia="宋体" w:cs="Times New Roman"/>
          <w:bCs/>
          <w:i w:val="0"/>
          <w:color w:val="auto"/>
          <w:kern w:val="2"/>
          <w:szCs w:val="28"/>
          <w:lang w:val="en-US" w:eastAsia="zh-CN" w:bidi="ar-SA"/>
        </w:rPr>
        <w:t xml:space="preserve">.2 </w:t>
      </w:r>
      <w:r>
        <w:rPr>
          <w:rFonts w:hint="eastAsia" w:ascii="宋体" w:hAnsi="宋体" w:eastAsia="宋体" w:cs="Times New Roman"/>
          <w:bCs/>
          <w:color w:val="auto"/>
          <w:kern w:val="2"/>
          <w:szCs w:val="28"/>
          <w:lang w:val="en-US" w:eastAsia="zh-CN" w:bidi="ar-SA"/>
        </w:rPr>
        <w:t>评标方法</w:t>
      </w:r>
      <w:r>
        <w:rPr>
          <w:rFonts w:ascii="Calibri" w:hAnsi="Calibri" w:eastAsia="宋体" w:cs="Times New Roman"/>
          <w:color w:val="auto"/>
          <w:kern w:val="2"/>
          <w:szCs w:val="22"/>
          <w:lang w:val="en-US" w:eastAsia="zh-CN" w:bidi="ar-SA"/>
        </w:rPr>
        <w:tab/>
      </w:r>
      <w:r>
        <w:rPr>
          <w:rFonts w:ascii="Calibri" w:hAnsi="Calibri" w:eastAsia="宋体" w:cs="Times New Roman"/>
          <w:color w:val="auto"/>
          <w:kern w:val="2"/>
          <w:szCs w:val="22"/>
          <w:lang w:val="en-US" w:eastAsia="zh-CN" w:bidi="ar-SA"/>
        </w:rPr>
        <w:fldChar w:fldCharType="begin"/>
      </w:r>
      <w:r>
        <w:rPr>
          <w:rFonts w:ascii="Calibri" w:hAnsi="Calibri" w:eastAsia="宋体" w:cs="Times New Roman"/>
          <w:color w:val="auto"/>
          <w:kern w:val="2"/>
          <w:szCs w:val="22"/>
          <w:lang w:val="en-US" w:eastAsia="zh-CN" w:bidi="ar-SA"/>
        </w:rPr>
        <w:instrText xml:space="preserve"> PAGEREF _Toc13925 </w:instrText>
      </w:r>
      <w:r>
        <w:rPr>
          <w:rFonts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62</w:t>
      </w:r>
      <w:r>
        <w:rPr>
          <w:rFonts w:ascii="Calibri" w:hAnsi="Calibri" w:eastAsia="宋体" w:cs="Times New Roman"/>
          <w:color w:val="auto"/>
          <w:kern w:val="2"/>
          <w:szCs w:val="22"/>
          <w:lang w:val="en-US" w:eastAsia="zh-CN" w:bidi="ar-SA"/>
        </w:rPr>
        <w:fldChar w:fldCharType="end"/>
      </w:r>
      <w:r>
        <w:rPr>
          <w:rFonts w:hint="default" w:ascii="Times New Roman" w:hAnsi="Times New Roman" w:eastAsia="宋体" w:cs="Times New Roman"/>
          <w:bCs/>
          <w:i w:val="0"/>
          <w:color w:val="auto"/>
          <w:kern w:val="2"/>
          <w:szCs w:val="28"/>
          <w:lang w:val="en-US" w:eastAsia="zh-CN" w:bidi="ar-SA"/>
        </w:rPr>
        <w:fldChar w:fldCharType="end"/>
      </w:r>
    </w:p>
    <w:p>
      <w:pPr>
        <w:pStyle w:val="37"/>
        <w:tabs>
          <w:tab w:val="right" w:leader="dot" w:pos="8640"/>
          <w:tab w:val="clear" w:pos="620"/>
          <w:tab w:val="clear" w:pos="8364"/>
        </w:tabs>
        <w:rPr>
          <w:rFonts w:ascii="Calibri" w:hAnsi="Calibri" w:eastAsia="宋体" w:cs="Times New Roman"/>
          <w:color w:val="auto"/>
          <w:kern w:val="2"/>
          <w:szCs w:val="22"/>
          <w:lang w:val="en-US" w:eastAsia="zh-CN" w:bidi="ar-SA"/>
        </w:rPr>
      </w:pPr>
      <w:r>
        <w:rPr>
          <w:rFonts w:hint="eastAsia" w:ascii="Calibri" w:hAnsi="Calibri" w:eastAsia="宋体" w:cs="Times New Roman"/>
          <w:color w:val="auto"/>
          <w:kern w:val="2"/>
          <w:szCs w:val="22"/>
          <w:lang w:val="en-US" w:eastAsia="zh-CN" w:bidi="ar-SA"/>
        </w:rPr>
        <w:fldChar w:fldCharType="begin"/>
      </w:r>
      <w:r>
        <w:rPr>
          <w:rFonts w:hint="eastAsia" w:ascii="Calibri" w:hAnsi="Calibri" w:eastAsia="宋体" w:cs="Times New Roman"/>
          <w:color w:val="auto"/>
          <w:kern w:val="2"/>
          <w:szCs w:val="22"/>
          <w:lang w:val="en-US" w:eastAsia="zh-CN" w:bidi="ar-SA"/>
        </w:rPr>
        <w:instrText xml:space="preserve"> HYPERLINK \l _Toc8008 </w:instrText>
      </w:r>
      <w:r>
        <w:rPr>
          <w:rFonts w:hint="eastAsia"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6</w:t>
      </w:r>
      <w:r>
        <w:rPr>
          <w:rFonts w:hint="default" w:ascii="Times New Roman" w:hAnsi="Times New Roman" w:eastAsia="宋体" w:cs="Times New Roman"/>
          <w:bCs/>
          <w:i w:val="0"/>
          <w:color w:val="auto"/>
          <w:kern w:val="2"/>
          <w:szCs w:val="28"/>
          <w:lang w:val="en-US" w:eastAsia="zh-CN" w:bidi="ar-SA"/>
        </w:rPr>
        <w:t xml:space="preserve">.3 </w:t>
      </w:r>
      <w:r>
        <w:rPr>
          <w:rFonts w:hint="eastAsia" w:ascii="宋体" w:hAnsi="宋体" w:eastAsia="宋体" w:cs="Times New Roman"/>
          <w:bCs/>
          <w:color w:val="auto"/>
          <w:kern w:val="2"/>
          <w:szCs w:val="28"/>
          <w:lang w:val="en-US" w:eastAsia="zh-CN" w:bidi="ar-SA"/>
        </w:rPr>
        <w:t>评标程序</w:t>
      </w:r>
      <w:r>
        <w:rPr>
          <w:rFonts w:ascii="Calibri" w:hAnsi="Calibri" w:eastAsia="宋体" w:cs="Times New Roman"/>
          <w:color w:val="auto"/>
          <w:kern w:val="2"/>
          <w:szCs w:val="22"/>
          <w:lang w:val="en-US" w:eastAsia="zh-CN" w:bidi="ar-SA"/>
        </w:rPr>
        <w:tab/>
      </w:r>
      <w:r>
        <w:rPr>
          <w:rFonts w:ascii="Calibri" w:hAnsi="Calibri" w:eastAsia="宋体" w:cs="Times New Roman"/>
          <w:color w:val="auto"/>
          <w:kern w:val="2"/>
          <w:szCs w:val="22"/>
          <w:lang w:val="en-US" w:eastAsia="zh-CN" w:bidi="ar-SA"/>
        </w:rPr>
        <w:fldChar w:fldCharType="begin"/>
      </w:r>
      <w:r>
        <w:rPr>
          <w:rFonts w:ascii="Calibri" w:hAnsi="Calibri" w:eastAsia="宋体" w:cs="Times New Roman"/>
          <w:color w:val="auto"/>
          <w:kern w:val="2"/>
          <w:szCs w:val="22"/>
          <w:lang w:val="en-US" w:eastAsia="zh-CN" w:bidi="ar-SA"/>
        </w:rPr>
        <w:instrText xml:space="preserve"> PAGEREF _Toc8008 </w:instrText>
      </w:r>
      <w:r>
        <w:rPr>
          <w:rFonts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62</w:t>
      </w:r>
      <w:r>
        <w:rPr>
          <w:rFonts w:ascii="Calibri" w:hAnsi="Calibri" w:eastAsia="宋体" w:cs="Times New Roman"/>
          <w:color w:val="auto"/>
          <w:kern w:val="2"/>
          <w:szCs w:val="22"/>
          <w:lang w:val="en-US" w:eastAsia="zh-CN" w:bidi="ar-SA"/>
        </w:rPr>
        <w:fldChar w:fldCharType="end"/>
      </w:r>
      <w:r>
        <w:rPr>
          <w:rFonts w:hint="default" w:ascii="Times New Roman" w:hAnsi="Times New Roman" w:eastAsia="宋体" w:cs="Times New Roman"/>
          <w:bCs/>
          <w:i w:val="0"/>
          <w:color w:val="auto"/>
          <w:kern w:val="2"/>
          <w:szCs w:val="28"/>
          <w:lang w:val="en-US" w:eastAsia="zh-CN" w:bidi="ar-SA"/>
        </w:rPr>
        <w:fldChar w:fldCharType="end"/>
      </w:r>
    </w:p>
    <w:p>
      <w:pPr>
        <w:pStyle w:val="37"/>
        <w:tabs>
          <w:tab w:val="right" w:leader="dot" w:pos="8640"/>
          <w:tab w:val="clear" w:pos="620"/>
          <w:tab w:val="clear" w:pos="8364"/>
        </w:tabs>
        <w:rPr>
          <w:rFonts w:ascii="Calibri" w:hAnsi="Calibri" w:eastAsia="宋体" w:cs="Times New Roman"/>
          <w:color w:val="auto"/>
          <w:kern w:val="2"/>
          <w:szCs w:val="22"/>
          <w:lang w:val="en-US" w:eastAsia="zh-CN" w:bidi="ar-SA"/>
        </w:rPr>
      </w:pPr>
      <w:r>
        <w:rPr>
          <w:rFonts w:hint="eastAsia" w:ascii="Calibri" w:hAnsi="Calibri" w:eastAsia="宋体" w:cs="Times New Roman"/>
          <w:color w:val="auto"/>
          <w:kern w:val="2"/>
          <w:szCs w:val="22"/>
          <w:lang w:val="en-US" w:eastAsia="zh-CN" w:bidi="ar-SA"/>
        </w:rPr>
        <w:fldChar w:fldCharType="begin"/>
      </w:r>
      <w:r>
        <w:rPr>
          <w:rFonts w:hint="eastAsia" w:ascii="Calibri" w:hAnsi="Calibri" w:eastAsia="宋体" w:cs="Times New Roman"/>
          <w:color w:val="auto"/>
          <w:kern w:val="2"/>
          <w:szCs w:val="22"/>
          <w:lang w:val="en-US" w:eastAsia="zh-CN" w:bidi="ar-SA"/>
        </w:rPr>
        <w:instrText xml:space="preserve"> HYPERLINK \l _Toc32260 </w:instrText>
      </w:r>
      <w:r>
        <w:rPr>
          <w:rFonts w:hint="eastAsia"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6</w:t>
      </w:r>
      <w:r>
        <w:rPr>
          <w:rFonts w:hint="default" w:ascii="Times New Roman" w:hAnsi="Times New Roman" w:eastAsia="宋体" w:cs="Times New Roman"/>
          <w:bCs/>
          <w:i w:val="0"/>
          <w:color w:val="auto"/>
          <w:kern w:val="2"/>
          <w:szCs w:val="28"/>
          <w:lang w:val="en-US" w:eastAsia="zh-CN" w:bidi="ar-SA"/>
        </w:rPr>
        <w:t xml:space="preserve">.4 </w:t>
      </w:r>
      <w:r>
        <w:rPr>
          <w:rFonts w:hint="eastAsia" w:ascii="宋体" w:hAnsi="宋体" w:eastAsia="宋体" w:cs="Times New Roman"/>
          <w:bCs/>
          <w:color w:val="auto"/>
          <w:kern w:val="2"/>
          <w:szCs w:val="28"/>
          <w:lang w:val="en-US" w:eastAsia="zh-CN" w:bidi="ar-SA"/>
        </w:rPr>
        <w:t>评标争议处理规则</w:t>
      </w:r>
      <w:r>
        <w:rPr>
          <w:rFonts w:ascii="Calibri" w:hAnsi="Calibri" w:eastAsia="宋体" w:cs="Times New Roman"/>
          <w:color w:val="auto"/>
          <w:kern w:val="2"/>
          <w:szCs w:val="22"/>
          <w:lang w:val="en-US" w:eastAsia="zh-CN" w:bidi="ar-SA"/>
        </w:rPr>
        <w:tab/>
      </w:r>
      <w:r>
        <w:rPr>
          <w:rFonts w:ascii="Calibri" w:hAnsi="Calibri" w:eastAsia="宋体" w:cs="Times New Roman"/>
          <w:color w:val="auto"/>
          <w:kern w:val="2"/>
          <w:szCs w:val="22"/>
          <w:lang w:val="en-US" w:eastAsia="zh-CN" w:bidi="ar-SA"/>
        </w:rPr>
        <w:fldChar w:fldCharType="begin"/>
      </w:r>
      <w:r>
        <w:rPr>
          <w:rFonts w:ascii="Calibri" w:hAnsi="Calibri" w:eastAsia="宋体" w:cs="Times New Roman"/>
          <w:color w:val="auto"/>
          <w:kern w:val="2"/>
          <w:szCs w:val="22"/>
          <w:lang w:val="en-US" w:eastAsia="zh-CN" w:bidi="ar-SA"/>
        </w:rPr>
        <w:instrText xml:space="preserve"> PAGEREF _Toc32260 </w:instrText>
      </w:r>
      <w:r>
        <w:rPr>
          <w:rFonts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68</w:t>
      </w:r>
      <w:r>
        <w:rPr>
          <w:rFonts w:ascii="Calibri" w:hAnsi="Calibri" w:eastAsia="宋体" w:cs="Times New Roman"/>
          <w:color w:val="auto"/>
          <w:kern w:val="2"/>
          <w:szCs w:val="22"/>
          <w:lang w:val="en-US" w:eastAsia="zh-CN" w:bidi="ar-SA"/>
        </w:rPr>
        <w:fldChar w:fldCharType="end"/>
      </w:r>
      <w:r>
        <w:rPr>
          <w:rFonts w:hint="default" w:ascii="Times New Roman" w:hAnsi="Times New Roman" w:eastAsia="宋体" w:cs="Times New Roman"/>
          <w:bCs/>
          <w:i w:val="0"/>
          <w:color w:val="auto"/>
          <w:kern w:val="2"/>
          <w:szCs w:val="28"/>
          <w:lang w:val="en-US" w:eastAsia="zh-CN" w:bidi="ar-SA"/>
        </w:rPr>
        <w:fldChar w:fldCharType="end"/>
      </w:r>
    </w:p>
    <w:p>
      <w:pPr>
        <w:pStyle w:val="37"/>
        <w:tabs>
          <w:tab w:val="right" w:leader="dot" w:pos="8640"/>
          <w:tab w:val="clear" w:pos="620"/>
          <w:tab w:val="clear" w:pos="8364"/>
        </w:tabs>
        <w:rPr>
          <w:rFonts w:ascii="Calibri" w:hAnsi="Calibri" w:eastAsia="宋体" w:cs="Times New Roman"/>
          <w:color w:val="auto"/>
          <w:kern w:val="2"/>
          <w:szCs w:val="22"/>
          <w:lang w:val="en-US" w:eastAsia="zh-CN" w:bidi="ar-SA"/>
        </w:rPr>
      </w:pPr>
      <w:r>
        <w:rPr>
          <w:rFonts w:hint="eastAsia" w:ascii="Calibri" w:hAnsi="Calibri" w:eastAsia="宋体" w:cs="Times New Roman"/>
          <w:color w:val="auto"/>
          <w:kern w:val="2"/>
          <w:szCs w:val="22"/>
          <w:lang w:val="en-US" w:eastAsia="zh-CN" w:bidi="ar-SA"/>
        </w:rPr>
        <w:fldChar w:fldCharType="begin"/>
      </w:r>
      <w:r>
        <w:rPr>
          <w:rFonts w:hint="eastAsia" w:ascii="Calibri" w:hAnsi="Calibri" w:eastAsia="宋体" w:cs="Times New Roman"/>
          <w:color w:val="auto"/>
          <w:kern w:val="2"/>
          <w:szCs w:val="22"/>
          <w:lang w:val="en-US" w:eastAsia="zh-CN" w:bidi="ar-SA"/>
        </w:rPr>
        <w:instrText xml:space="preserve"> HYPERLINK \l _Toc28372 </w:instrText>
      </w:r>
      <w:r>
        <w:rPr>
          <w:rFonts w:hint="eastAsia"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6</w:t>
      </w:r>
      <w:r>
        <w:rPr>
          <w:rFonts w:hint="default" w:ascii="Times New Roman" w:hAnsi="Times New Roman" w:eastAsia="宋体" w:cs="Times New Roman"/>
          <w:bCs/>
          <w:i w:val="0"/>
          <w:color w:val="auto"/>
          <w:kern w:val="2"/>
          <w:szCs w:val="28"/>
          <w:lang w:val="en-US" w:eastAsia="zh-CN" w:bidi="ar-SA"/>
        </w:rPr>
        <w:t xml:space="preserve">.5 </w:t>
      </w:r>
      <w:r>
        <w:rPr>
          <w:rFonts w:hint="eastAsia" w:ascii="宋体" w:hAnsi="宋体" w:eastAsia="宋体" w:cs="Times New Roman"/>
          <w:bCs/>
          <w:color w:val="auto"/>
          <w:kern w:val="2"/>
          <w:szCs w:val="28"/>
          <w:lang w:val="en-US" w:eastAsia="zh-CN" w:bidi="ar-SA"/>
        </w:rPr>
        <w:t>评标细则及标准</w:t>
      </w:r>
      <w:r>
        <w:rPr>
          <w:rFonts w:ascii="Calibri" w:hAnsi="Calibri" w:eastAsia="宋体" w:cs="Times New Roman"/>
          <w:color w:val="auto"/>
          <w:kern w:val="2"/>
          <w:szCs w:val="22"/>
          <w:lang w:val="en-US" w:eastAsia="zh-CN" w:bidi="ar-SA"/>
        </w:rPr>
        <w:tab/>
      </w:r>
      <w:r>
        <w:rPr>
          <w:rFonts w:ascii="Calibri" w:hAnsi="Calibri" w:eastAsia="宋体" w:cs="Times New Roman"/>
          <w:color w:val="auto"/>
          <w:kern w:val="2"/>
          <w:szCs w:val="22"/>
          <w:lang w:val="en-US" w:eastAsia="zh-CN" w:bidi="ar-SA"/>
        </w:rPr>
        <w:fldChar w:fldCharType="begin"/>
      </w:r>
      <w:r>
        <w:rPr>
          <w:rFonts w:ascii="Calibri" w:hAnsi="Calibri" w:eastAsia="宋体" w:cs="Times New Roman"/>
          <w:color w:val="auto"/>
          <w:kern w:val="2"/>
          <w:szCs w:val="22"/>
          <w:lang w:val="en-US" w:eastAsia="zh-CN" w:bidi="ar-SA"/>
        </w:rPr>
        <w:instrText xml:space="preserve"> PAGEREF _Toc28372 </w:instrText>
      </w:r>
      <w:r>
        <w:rPr>
          <w:rFonts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69</w:t>
      </w:r>
      <w:r>
        <w:rPr>
          <w:rFonts w:ascii="Calibri" w:hAnsi="Calibri" w:eastAsia="宋体" w:cs="Times New Roman"/>
          <w:color w:val="auto"/>
          <w:kern w:val="2"/>
          <w:szCs w:val="22"/>
          <w:lang w:val="en-US" w:eastAsia="zh-CN" w:bidi="ar-SA"/>
        </w:rPr>
        <w:fldChar w:fldCharType="end"/>
      </w:r>
      <w:r>
        <w:rPr>
          <w:rFonts w:hint="default" w:ascii="Times New Roman" w:hAnsi="Times New Roman" w:eastAsia="宋体" w:cs="Times New Roman"/>
          <w:bCs/>
          <w:i w:val="0"/>
          <w:color w:val="auto"/>
          <w:kern w:val="2"/>
          <w:szCs w:val="28"/>
          <w:lang w:val="en-US" w:eastAsia="zh-CN" w:bidi="ar-SA"/>
        </w:rPr>
        <w:fldChar w:fldCharType="end"/>
      </w:r>
    </w:p>
    <w:p>
      <w:pPr>
        <w:pStyle w:val="37"/>
        <w:tabs>
          <w:tab w:val="right" w:leader="dot" w:pos="8640"/>
          <w:tab w:val="clear" w:pos="620"/>
          <w:tab w:val="clear" w:pos="8364"/>
        </w:tabs>
        <w:rPr>
          <w:rFonts w:ascii="Calibri" w:hAnsi="Calibri" w:eastAsia="宋体" w:cs="Times New Roman"/>
          <w:color w:val="auto"/>
          <w:kern w:val="2"/>
          <w:szCs w:val="22"/>
          <w:lang w:val="en-US" w:eastAsia="zh-CN" w:bidi="ar-SA"/>
        </w:rPr>
      </w:pPr>
      <w:r>
        <w:rPr>
          <w:rFonts w:hint="eastAsia" w:ascii="Calibri" w:hAnsi="Calibri" w:eastAsia="宋体" w:cs="Times New Roman"/>
          <w:color w:val="auto"/>
          <w:kern w:val="2"/>
          <w:szCs w:val="22"/>
          <w:lang w:val="en-US" w:eastAsia="zh-CN" w:bidi="ar-SA"/>
        </w:rPr>
        <w:fldChar w:fldCharType="begin"/>
      </w:r>
      <w:r>
        <w:rPr>
          <w:rFonts w:hint="eastAsia" w:ascii="Calibri" w:hAnsi="Calibri" w:eastAsia="宋体" w:cs="Times New Roman"/>
          <w:color w:val="auto"/>
          <w:kern w:val="2"/>
          <w:szCs w:val="22"/>
          <w:lang w:val="en-US" w:eastAsia="zh-CN" w:bidi="ar-SA"/>
        </w:rPr>
        <w:instrText xml:space="preserve"> HYPERLINK \l _Toc10700 </w:instrText>
      </w:r>
      <w:r>
        <w:rPr>
          <w:rFonts w:hint="eastAsia"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6</w:t>
      </w:r>
      <w:r>
        <w:rPr>
          <w:rFonts w:hint="default" w:ascii="Times New Roman" w:hAnsi="Times New Roman" w:eastAsia="宋体" w:cs="Times New Roman"/>
          <w:bCs/>
          <w:i w:val="0"/>
          <w:color w:val="auto"/>
          <w:kern w:val="2"/>
          <w:szCs w:val="28"/>
          <w:lang w:val="en-US" w:eastAsia="zh-CN" w:bidi="ar-SA"/>
        </w:rPr>
        <w:t xml:space="preserve">.6 </w:t>
      </w:r>
      <w:r>
        <w:rPr>
          <w:rFonts w:hint="eastAsia" w:ascii="宋体" w:hAnsi="宋体" w:eastAsia="宋体" w:cs="Times New Roman"/>
          <w:bCs/>
          <w:color w:val="auto"/>
          <w:kern w:val="2"/>
          <w:szCs w:val="28"/>
          <w:lang w:val="en-US" w:eastAsia="zh-CN" w:bidi="ar-SA"/>
        </w:rPr>
        <w:t>废标</w:t>
      </w:r>
      <w:r>
        <w:rPr>
          <w:rFonts w:ascii="Calibri" w:hAnsi="Calibri" w:eastAsia="宋体" w:cs="Times New Roman"/>
          <w:color w:val="auto"/>
          <w:kern w:val="2"/>
          <w:szCs w:val="22"/>
          <w:lang w:val="en-US" w:eastAsia="zh-CN" w:bidi="ar-SA"/>
        </w:rPr>
        <w:tab/>
      </w:r>
      <w:r>
        <w:rPr>
          <w:rFonts w:ascii="Calibri" w:hAnsi="Calibri" w:eastAsia="宋体" w:cs="Times New Roman"/>
          <w:color w:val="auto"/>
          <w:kern w:val="2"/>
          <w:szCs w:val="22"/>
          <w:lang w:val="en-US" w:eastAsia="zh-CN" w:bidi="ar-SA"/>
        </w:rPr>
        <w:fldChar w:fldCharType="begin"/>
      </w:r>
      <w:r>
        <w:rPr>
          <w:rFonts w:ascii="Calibri" w:hAnsi="Calibri" w:eastAsia="宋体" w:cs="Times New Roman"/>
          <w:color w:val="auto"/>
          <w:kern w:val="2"/>
          <w:szCs w:val="22"/>
          <w:lang w:val="en-US" w:eastAsia="zh-CN" w:bidi="ar-SA"/>
        </w:rPr>
        <w:instrText xml:space="preserve"> PAGEREF _Toc10700 </w:instrText>
      </w:r>
      <w:r>
        <w:rPr>
          <w:rFonts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71</w:t>
      </w:r>
      <w:r>
        <w:rPr>
          <w:rFonts w:ascii="Calibri" w:hAnsi="Calibri" w:eastAsia="宋体" w:cs="Times New Roman"/>
          <w:color w:val="auto"/>
          <w:kern w:val="2"/>
          <w:szCs w:val="22"/>
          <w:lang w:val="en-US" w:eastAsia="zh-CN" w:bidi="ar-SA"/>
        </w:rPr>
        <w:fldChar w:fldCharType="end"/>
      </w:r>
      <w:r>
        <w:rPr>
          <w:rFonts w:hint="default" w:ascii="Times New Roman" w:hAnsi="Times New Roman" w:eastAsia="宋体" w:cs="Times New Roman"/>
          <w:bCs/>
          <w:i w:val="0"/>
          <w:color w:val="auto"/>
          <w:kern w:val="2"/>
          <w:szCs w:val="28"/>
          <w:lang w:val="en-US" w:eastAsia="zh-CN" w:bidi="ar-SA"/>
        </w:rPr>
        <w:fldChar w:fldCharType="end"/>
      </w:r>
    </w:p>
    <w:p>
      <w:pPr>
        <w:pStyle w:val="37"/>
        <w:tabs>
          <w:tab w:val="right" w:leader="dot" w:pos="8640"/>
          <w:tab w:val="clear" w:pos="620"/>
          <w:tab w:val="clear" w:pos="8364"/>
        </w:tabs>
        <w:rPr>
          <w:rFonts w:ascii="Calibri" w:hAnsi="Calibri" w:eastAsia="宋体" w:cs="Times New Roman"/>
          <w:color w:val="auto"/>
          <w:kern w:val="2"/>
          <w:szCs w:val="22"/>
          <w:lang w:val="en-US" w:eastAsia="zh-CN" w:bidi="ar-SA"/>
        </w:rPr>
      </w:pPr>
      <w:r>
        <w:rPr>
          <w:rFonts w:hint="eastAsia" w:ascii="Calibri" w:hAnsi="Calibri" w:eastAsia="宋体" w:cs="Times New Roman"/>
          <w:color w:val="auto"/>
          <w:kern w:val="2"/>
          <w:szCs w:val="22"/>
          <w:lang w:val="en-US" w:eastAsia="zh-CN" w:bidi="ar-SA"/>
        </w:rPr>
        <w:fldChar w:fldCharType="begin"/>
      </w:r>
      <w:r>
        <w:rPr>
          <w:rFonts w:hint="eastAsia" w:ascii="Calibri" w:hAnsi="Calibri" w:eastAsia="宋体" w:cs="Times New Roman"/>
          <w:color w:val="auto"/>
          <w:kern w:val="2"/>
          <w:szCs w:val="22"/>
          <w:lang w:val="en-US" w:eastAsia="zh-CN" w:bidi="ar-SA"/>
        </w:rPr>
        <w:instrText xml:space="preserve"> HYPERLINK \l _Toc29531 </w:instrText>
      </w:r>
      <w:r>
        <w:rPr>
          <w:rFonts w:hint="eastAsia"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6</w:t>
      </w:r>
      <w:r>
        <w:rPr>
          <w:rFonts w:hint="default" w:ascii="Times New Roman" w:hAnsi="Times New Roman" w:eastAsia="宋体" w:cs="Times New Roman"/>
          <w:bCs/>
          <w:i w:val="0"/>
          <w:color w:val="auto"/>
          <w:kern w:val="2"/>
          <w:szCs w:val="28"/>
          <w:lang w:val="en-US" w:eastAsia="zh-CN" w:bidi="ar-SA"/>
        </w:rPr>
        <w:t xml:space="preserve">.7 </w:t>
      </w:r>
      <w:r>
        <w:rPr>
          <w:rFonts w:hint="eastAsia" w:ascii="宋体" w:hAnsi="宋体" w:eastAsia="宋体" w:cs="Times New Roman"/>
          <w:bCs/>
          <w:color w:val="auto"/>
          <w:kern w:val="2"/>
          <w:szCs w:val="28"/>
          <w:lang w:val="en-US" w:eastAsia="zh-CN" w:bidi="ar-SA"/>
        </w:rPr>
        <w:t>定标</w:t>
      </w:r>
      <w:r>
        <w:rPr>
          <w:rFonts w:ascii="Calibri" w:hAnsi="Calibri" w:eastAsia="宋体" w:cs="Times New Roman"/>
          <w:color w:val="auto"/>
          <w:kern w:val="2"/>
          <w:szCs w:val="22"/>
          <w:lang w:val="en-US" w:eastAsia="zh-CN" w:bidi="ar-SA"/>
        </w:rPr>
        <w:tab/>
      </w:r>
      <w:r>
        <w:rPr>
          <w:rFonts w:ascii="Calibri" w:hAnsi="Calibri" w:eastAsia="宋体" w:cs="Times New Roman"/>
          <w:color w:val="auto"/>
          <w:kern w:val="2"/>
          <w:szCs w:val="22"/>
          <w:lang w:val="en-US" w:eastAsia="zh-CN" w:bidi="ar-SA"/>
        </w:rPr>
        <w:fldChar w:fldCharType="begin"/>
      </w:r>
      <w:r>
        <w:rPr>
          <w:rFonts w:ascii="Calibri" w:hAnsi="Calibri" w:eastAsia="宋体" w:cs="Times New Roman"/>
          <w:color w:val="auto"/>
          <w:kern w:val="2"/>
          <w:szCs w:val="22"/>
          <w:lang w:val="en-US" w:eastAsia="zh-CN" w:bidi="ar-SA"/>
        </w:rPr>
        <w:instrText xml:space="preserve"> PAGEREF _Toc29531 </w:instrText>
      </w:r>
      <w:r>
        <w:rPr>
          <w:rFonts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72</w:t>
      </w:r>
      <w:r>
        <w:rPr>
          <w:rFonts w:ascii="Calibri" w:hAnsi="Calibri" w:eastAsia="宋体" w:cs="Times New Roman"/>
          <w:color w:val="auto"/>
          <w:kern w:val="2"/>
          <w:szCs w:val="22"/>
          <w:lang w:val="en-US" w:eastAsia="zh-CN" w:bidi="ar-SA"/>
        </w:rPr>
        <w:fldChar w:fldCharType="end"/>
      </w:r>
      <w:r>
        <w:rPr>
          <w:rFonts w:hint="default" w:ascii="Times New Roman" w:hAnsi="Times New Roman" w:eastAsia="宋体" w:cs="Times New Roman"/>
          <w:bCs/>
          <w:i w:val="0"/>
          <w:color w:val="auto"/>
          <w:kern w:val="2"/>
          <w:szCs w:val="28"/>
          <w:lang w:val="en-US" w:eastAsia="zh-CN" w:bidi="ar-SA"/>
        </w:rPr>
        <w:fldChar w:fldCharType="end"/>
      </w:r>
    </w:p>
    <w:p>
      <w:pPr>
        <w:pStyle w:val="37"/>
        <w:tabs>
          <w:tab w:val="right" w:leader="dot" w:pos="8640"/>
          <w:tab w:val="clear" w:pos="620"/>
          <w:tab w:val="clear" w:pos="8364"/>
        </w:tabs>
        <w:rPr>
          <w:rFonts w:ascii="Calibri" w:hAnsi="Calibri" w:eastAsia="宋体" w:cs="Times New Roman"/>
          <w:color w:val="auto"/>
          <w:kern w:val="2"/>
          <w:szCs w:val="22"/>
          <w:lang w:val="en-US" w:eastAsia="zh-CN" w:bidi="ar-SA"/>
        </w:rPr>
      </w:pPr>
      <w:r>
        <w:rPr>
          <w:rFonts w:hint="eastAsia" w:ascii="Calibri" w:hAnsi="Calibri" w:eastAsia="宋体" w:cs="Times New Roman"/>
          <w:color w:val="auto"/>
          <w:kern w:val="2"/>
          <w:szCs w:val="22"/>
          <w:lang w:val="en-US" w:eastAsia="zh-CN" w:bidi="ar-SA"/>
        </w:rPr>
        <w:fldChar w:fldCharType="begin"/>
      </w:r>
      <w:r>
        <w:rPr>
          <w:rFonts w:hint="eastAsia" w:ascii="Calibri" w:hAnsi="Calibri" w:eastAsia="宋体" w:cs="Times New Roman"/>
          <w:color w:val="auto"/>
          <w:kern w:val="2"/>
          <w:szCs w:val="22"/>
          <w:lang w:val="en-US" w:eastAsia="zh-CN" w:bidi="ar-SA"/>
        </w:rPr>
        <w:instrText xml:space="preserve"> HYPERLINK \l _Toc32573 </w:instrText>
      </w:r>
      <w:r>
        <w:rPr>
          <w:rFonts w:hint="eastAsia"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6</w:t>
      </w:r>
      <w:r>
        <w:rPr>
          <w:rFonts w:hint="default" w:ascii="Times New Roman" w:hAnsi="Times New Roman" w:eastAsia="宋体" w:cs="Times New Roman"/>
          <w:bCs/>
          <w:i w:val="0"/>
          <w:color w:val="auto"/>
          <w:kern w:val="2"/>
          <w:szCs w:val="28"/>
          <w:lang w:val="en-US" w:eastAsia="zh-CN" w:bidi="ar-SA"/>
        </w:rPr>
        <w:t xml:space="preserve">.8 </w:t>
      </w:r>
      <w:r>
        <w:rPr>
          <w:rFonts w:hint="eastAsia" w:ascii="宋体" w:hAnsi="宋体" w:eastAsia="宋体" w:cs="Times New Roman"/>
          <w:bCs/>
          <w:color w:val="auto"/>
          <w:kern w:val="2"/>
          <w:szCs w:val="28"/>
          <w:lang w:val="en-US" w:eastAsia="zh-CN" w:bidi="ar-SA"/>
        </w:rPr>
        <w:t>评标专家在政府采购活动中承担以下义务</w:t>
      </w:r>
      <w:r>
        <w:rPr>
          <w:rFonts w:ascii="Calibri" w:hAnsi="Calibri" w:eastAsia="宋体" w:cs="Times New Roman"/>
          <w:color w:val="auto"/>
          <w:kern w:val="2"/>
          <w:szCs w:val="22"/>
          <w:lang w:val="en-US" w:eastAsia="zh-CN" w:bidi="ar-SA"/>
        </w:rPr>
        <w:tab/>
      </w:r>
      <w:r>
        <w:rPr>
          <w:rFonts w:ascii="Calibri" w:hAnsi="Calibri" w:eastAsia="宋体" w:cs="Times New Roman"/>
          <w:color w:val="auto"/>
          <w:kern w:val="2"/>
          <w:szCs w:val="22"/>
          <w:lang w:val="en-US" w:eastAsia="zh-CN" w:bidi="ar-SA"/>
        </w:rPr>
        <w:fldChar w:fldCharType="begin"/>
      </w:r>
      <w:r>
        <w:rPr>
          <w:rFonts w:ascii="Calibri" w:hAnsi="Calibri" w:eastAsia="宋体" w:cs="Times New Roman"/>
          <w:color w:val="auto"/>
          <w:kern w:val="2"/>
          <w:szCs w:val="22"/>
          <w:lang w:val="en-US" w:eastAsia="zh-CN" w:bidi="ar-SA"/>
        </w:rPr>
        <w:instrText xml:space="preserve"> PAGEREF _Toc32573 </w:instrText>
      </w:r>
      <w:r>
        <w:rPr>
          <w:rFonts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73</w:t>
      </w:r>
      <w:r>
        <w:rPr>
          <w:rFonts w:ascii="Calibri" w:hAnsi="Calibri" w:eastAsia="宋体" w:cs="Times New Roman"/>
          <w:color w:val="auto"/>
          <w:kern w:val="2"/>
          <w:szCs w:val="22"/>
          <w:lang w:val="en-US" w:eastAsia="zh-CN" w:bidi="ar-SA"/>
        </w:rPr>
        <w:fldChar w:fldCharType="end"/>
      </w:r>
      <w:r>
        <w:rPr>
          <w:rFonts w:hint="default" w:ascii="Times New Roman" w:hAnsi="Times New Roman" w:eastAsia="宋体" w:cs="Times New Roman"/>
          <w:bCs/>
          <w:i w:val="0"/>
          <w:color w:val="auto"/>
          <w:kern w:val="2"/>
          <w:szCs w:val="28"/>
          <w:lang w:val="en-US" w:eastAsia="zh-CN" w:bidi="ar-SA"/>
        </w:rPr>
        <w:fldChar w:fldCharType="end"/>
      </w:r>
    </w:p>
    <w:p>
      <w:pPr>
        <w:pStyle w:val="37"/>
        <w:tabs>
          <w:tab w:val="right" w:leader="dot" w:pos="8640"/>
          <w:tab w:val="clear" w:pos="620"/>
          <w:tab w:val="clear" w:pos="8364"/>
        </w:tabs>
        <w:rPr>
          <w:rFonts w:ascii="Calibri" w:hAnsi="Calibri" w:eastAsia="宋体" w:cs="Times New Roman"/>
          <w:color w:val="auto"/>
          <w:kern w:val="2"/>
          <w:szCs w:val="22"/>
          <w:lang w:val="en-US" w:eastAsia="zh-CN" w:bidi="ar-SA"/>
        </w:rPr>
      </w:pPr>
      <w:r>
        <w:rPr>
          <w:rFonts w:hint="eastAsia" w:ascii="Calibri" w:hAnsi="Calibri" w:eastAsia="宋体" w:cs="Times New Roman"/>
          <w:color w:val="auto"/>
          <w:kern w:val="2"/>
          <w:szCs w:val="22"/>
          <w:lang w:val="en-US" w:eastAsia="zh-CN" w:bidi="ar-SA"/>
        </w:rPr>
        <w:fldChar w:fldCharType="begin"/>
      </w:r>
      <w:r>
        <w:rPr>
          <w:rFonts w:hint="eastAsia" w:ascii="Calibri" w:hAnsi="Calibri" w:eastAsia="宋体" w:cs="Times New Roman"/>
          <w:color w:val="auto"/>
          <w:kern w:val="2"/>
          <w:szCs w:val="22"/>
          <w:lang w:val="en-US" w:eastAsia="zh-CN" w:bidi="ar-SA"/>
        </w:rPr>
        <w:instrText xml:space="preserve"> HYPERLINK \l _Toc23062 </w:instrText>
      </w:r>
      <w:r>
        <w:rPr>
          <w:rFonts w:hint="eastAsia"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6</w:t>
      </w:r>
      <w:r>
        <w:rPr>
          <w:rFonts w:hint="default" w:ascii="Times New Roman" w:hAnsi="Times New Roman" w:eastAsia="宋体" w:cs="Times New Roman"/>
          <w:bCs/>
          <w:i w:val="0"/>
          <w:color w:val="auto"/>
          <w:kern w:val="2"/>
          <w:szCs w:val="28"/>
          <w:lang w:val="en-US" w:eastAsia="zh-CN" w:bidi="ar-SA"/>
        </w:rPr>
        <w:t xml:space="preserve">.9 </w:t>
      </w:r>
      <w:r>
        <w:rPr>
          <w:rFonts w:hint="eastAsia" w:ascii="宋体" w:hAnsi="宋体" w:eastAsia="宋体" w:cs="Times New Roman"/>
          <w:bCs/>
          <w:color w:val="auto"/>
          <w:kern w:val="2"/>
          <w:szCs w:val="28"/>
          <w:lang w:val="en-US" w:eastAsia="zh-CN" w:bidi="ar-SA"/>
        </w:rPr>
        <w:t>评标委员会及其成员不得有下列行为</w:t>
      </w:r>
      <w:r>
        <w:rPr>
          <w:rFonts w:ascii="Calibri" w:hAnsi="Calibri" w:eastAsia="宋体" w:cs="Times New Roman"/>
          <w:color w:val="auto"/>
          <w:kern w:val="2"/>
          <w:szCs w:val="22"/>
          <w:lang w:val="en-US" w:eastAsia="zh-CN" w:bidi="ar-SA"/>
        </w:rPr>
        <w:tab/>
      </w:r>
      <w:r>
        <w:rPr>
          <w:rFonts w:ascii="Calibri" w:hAnsi="Calibri" w:eastAsia="宋体" w:cs="Times New Roman"/>
          <w:color w:val="auto"/>
          <w:kern w:val="2"/>
          <w:szCs w:val="22"/>
          <w:lang w:val="en-US" w:eastAsia="zh-CN" w:bidi="ar-SA"/>
        </w:rPr>
        <w:fldChar w:fldCharType="begin"/>
      </w:r>
      <w:r>
        <w:rPr>
          <w:rFonts w:ascii="Calibri" w:hAnsi="Calibri" w:eastAsia="宋体" w:cs="Times New Roman"/>
          <w:color w:val="auto"/>
          <w:kern w:val="2"/>
          <w:szCs w:val="22"/>
          <w:lang w:val="en-US" w:eastAsia="zh-CN" w:bidi="ar-SA"/>
        </w:rPr>
        <w:instrText xml:space="preserve"> PAGEREF _Toc23062 </w:instrText>
      </w:r>
      <w:r>
        <w:rPr>
          <w:rFonts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73</w:t>
      </w:r>
      <w:r>
        <w:rPr>
          <w:rFonts w:ascii="Calibri" w:hAnsi="Calibri" w:eastAsia="宋体" w:cs="Times New Roman"/>
          <w:color w:val="auto"/>
          <w:kern w:val="2"/>
          <w:szCs w:val="22"/>
          <w:lang w:val="en-US" w:eastAsia="zh-CN" w:bidi="ar-SA"/>
        </w:rPr>
        <w:fldChar w:fldCharType="end"/>
      </w:r>
      <w:r>
        <w:rPr>
          <w:rFonts w:hint="default" w:ascii="Times New Roman" w:hAnsi="Times New Roman" w:eastAsia="宋体" w:cs="Times New Roman"/>
          <w:bCs/>
          <w:i w:val="0"/>
          <w:color w:val="auto"/>
          <w:kern w:val="2"/>
          <w:szCs w:val="28"/>
          <w:lang w:val="en-US" w:eastAsia="zh-CN" w:bidi="ar-SA"/>
        </w:rPr>
        <w:fldChar w:fldCharType="end"/>
      </w:r>
    </w:p>
    <w:p>
      <w:pPr>
        <w:pStyle w:val="37"/>
        <w:tabs>
          <w:tab w:val="right" w:leader="dot" w:pos="8640"/>
          <w:tab w:val="clear" w:pos="620"/>
          <w:tab w:val="clear" w:pos="8364"/>
        </w:tabs>
        <w:rPr>
          <w:rFonts w:ascii="Calibri" w:hAnsi="Calibri" w:eastAsia="宋体" w:cs="Times New Roman"/>
          <w:color w:val="auto"/>
          <w:kern w:val="2"/>
          <w:szCs w:val="22"/>
          <w:lang w:val="en-US" w:eastAsia="zh-CN" w:bidi="ar-SA"/>
        </w:rPr>
      </w:pPr>
      <w:r>
        <w:rPr>
          <w:rFonts w:hint="eastAsia" w:ascii="Calibri" w:hAnsi="Calibri" w:eastAsia="宋体" w:cs="Times New Roman"/>
          <w:color w:val="auto"/>
          <w:kern w:val="2"/>
          <w:szCs w:val="22"/>
          <w:lang w:val="en-US" w:eastAsia="zh-CN" w:bidi="ar-SA"/>
        </w:rPr>
        <w:fldChar w:fldCharType="begin"/>
      </w:r>
      <w:r>
        <w:rPr>
          <w:rFonts w:hint="eastAsia" w:ascii="Calibri" w:hAnsi="Calibri" w:eastAsia="宋体" w:cs="Times New Roman"/>
          <w:color w:val="auto"/>
          <w:kern w:val="2"/>
          <w:szCs w:val="22"/>
          <w:lang w:val="en-US" w:eastAsia="zh-CN" w:bidi="ar-SA"/>
        </w:rPr>
        <w:instrText xml:space="preserve"> HYPERLINK \l _Toc25981 </w:instrText>
      </w:r>
      <w:r>
        <w:rPr>
          <w:rFonts w:hint="eastAsia"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6</w:t>
      </w:r>
      <w:r>
        <w:rPr>
          <w:rFonts w:hint="default" w:ascii="Times New Roman" w:hAnsi="Times New Roman" w:eastAsia="宋体" w:cs="Times New Roman"/>
          <w:bCs/>
          <w:i w:val="0"/>
          <w:color w:val="auto"/>
          <w:kern w:val="2"/>
          <w:szCs w:val="28"/>
          <w:lang w:val="en-US" w:eastAsia="zh-CN" w:bidi="ar-SA"/>
        </w:rPr>
        <w:t xml:space="preserve">.10 </w:t>
      </w:r>
      <w:r>
        <w:rPr>
          <w:rFonts w:hint="eastAsia" w:ascii="宋体" w:hAnsi="宋体" w:eastAsia="宋体" w:cs="Times New Roman"/>
          <w:bCs/>
          <w:color w:val="auto"/>
          <w:kern w:val="2"/>
          <w:szCs w:val="28"/>
          <w:lang w:val="en-US" w:eastAsia="zh-CN" w:bidi="ar-SA"/>
        </w:rPr>
        <w:t>评审专家在政府采购活动中应当遵守以下工作纪律</w:t>
      </w:r>
      <w:r>
        <w:rPr>
          <w:rFonts w:ascii="Calibri" w:hAnsi="Calibri" w:eastAsia="宋体" w:cs="Times New Roman"/>
          <w:color w:val="auto"/>
          <w:kern w:val="2"/>
          <w:szCs w:val="22"/>
          <w:lang w:val="en-US" w:eastAsia="zh-CN" w:bidi="ar-SA"/>
        </w:rPr>
        <w:tab/>
      </w:r>
      <w:r>
        <w:rPr>
          <w:rFonts w:ascii="Calibri" w:hAnsi="Calibri" w:eastAsia="宋体" w:cs="Times New Roman"/>
          <w:color w:val="auto"/>
          <w:kern w:val="2"/>
          <w:szCs w:val="22"/>
          <w:lang w:val="en-US" w:eastAsia="zh-CN" w:bidi="ar-SA"/>
        </w:rPr>
        <w:fldChar w:fldCharType="begin"/>
      </w:r>
      <w:r>
        <w:rPr>
          <w:rFonts w:ascii="Calibri" w:hAnsi="Calibri" w:eastAsia="宋体" w:cs="Times New Roman"/>
          <w:color w:val="auto"/>
          <w:kern w:val="2"/>
          <w:szCs w:val="22"/>
          <w:lang w:val="en-US" w:eastAsia="zh-CN" w:bidi="ar-SA"/>
        </w:rPr>
        <w:instrText xml:space="preserve"> PAGEREF _Toc25981 </w:instrText>
      </w:r>
      <w:r>
        <w:rPr>
          <w:rFonts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74</w:t>
      </w:r>
      <w:r>
        <w:rPr>
          <w:rFonts w:ascii="Calibri" w:hAnsi="Calibri" w:eastAsia="宋体" w:cs="Times New Roman"/>
          <w:color w:val="auto"/>
          <w:kern w:val="2"/>
          <w:szCs w:val="22"/>
          <w:lang w:val="en-US" w:eastAsia="zh-CN" w:bidi="ar-SA"/>
        </w:rPr>
        <w:fldChar w:fldCharType="end"/>
      </w:r>
      <w:r>
        <w:rPr>
          <w:rFonts w:hint="default" w:ascii="Times New Roman" w:hAnsi="Times New Roman" w:eastAsia="宋体" w:cs="Times New Roman"/>
          <w:bCs/>
          <w:i w:val="0"/>
          <w:color w:val="auto"/>
          <w:kern w:val="2"/>
          <w:szCs w:val="28"/>
          <w:lang w:val="en-US" w:eastAsia="zh-CN" w:bidi="ar-SA"/>
        </w:rPr>
        <w:fldChar w:fldCharType="end"/>
      </w:r>
    </w:p>
    <w:p>
      <w:pPr>
        <w:pStyle w:val="31"/>
        <w:tabs>
          <w:tab w:val="right" w:leader="dot" w:pos="8640"/>
          <w:tab w:val="clear" w:pos="709"/>
          <w:tab w:val="clear" w:pos="8364"/>
        </w:tabs>
        <w:rPr>
          <w:rFonts w:ascii="Calibri" w:hAnsi="Calibri" w:eastAsia="宋体" w:cs="Times New Roman"/>
          <w:color w:val="auto"/>
          <w:kern w:val="2"/>
          <w:szCs w:val="22"/>
          <w:lang w:val="en-US" w:eastAsia="zh-CN" w:bidi="ar-SA"/>
        </w:rPr>
      </w:pPr>
      <w:r>
        <w:rPr>
          <w:rFonts w:hint="eastAsia" w:ascii="Calibri" w:hAnsi="Calibri" w:eastAsia="宋体" w:cs="Times New Roman"/>
          <w:color w:val="auto"/>
          <w:kern w:val="2"/>
          <w:szCs w:val="22"/>
          <w:lang w:val="en-US" w:eastAsia="zh-CN" w:bidi="ar-SA"/>
        </w:rPr>
        <w:fldChar w:fldCharType="begin"/>
      </w:r>
      <w:r>
        <w:rPr>
          <w:rFonts w:hint="eastAsia" w:ascii="Calibri" w:hAnsi="Calibri" w:eastAsia="宋体" w:cs="Times New Roman"/>
          <w:color w:val="auto"/>
          <w:kern w:val="2"/>
          <w:szCs w:val="22"/>
          <w:lang w:val="en-US" w:eastAsia="zh-CN" w:bidi="ar-SA"/>
        </w:rPr>
        <w:instrText xml:space="preserve"> HYPERLINK \l _Toc26912 </w:instrText>
      </w:r>
      <w:r>
        <w:rPr>
          <w:rFonts w:hint="eastAsia"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第</w:t>
      </w:r>
      <w:r>
        <w:rPr>
          <w:rFonts w:hint="default" w:ascii="Times New Roman" w:hAnsi="Times New Roman" w:eastAsia="宋体" w:cs="Times New Roman"/>
          <w:bCs/>
          <w:i w:val="0"/>
          <w:color w:val="auto"/>
          <w:spacing w:val="-20"/>
          <w:kern w:val="44"/>
          <w:szCs w:val="32"/>
          <w:lang w:val="en-US" w:eastAsia="zh-CN" w:bidi="ar-SA"/>
        </w:rPr>
        <w:t xml:space="preserve">7章 </w:t>
      </w:r>
      <w:r>
        <w:rPr>
          <w:rFonts w:hint="eastAsia" w:ascii="宋体" w:hAnsi="宋体" w:eastAsia="宋体" w:cs="Times New Roman"/>
          <w:bCs/>
          <w:color w:val="auto"/>
          <w:spacing w:val="-20"/>
          <w:kern w:val="44"/>
          <w:szCs w:val="32"/>
          <w:lang w:val="en-US" w:eastAsia="zh-CN" w:bidi="ar-SA"/>
        </w:rPr>
        <w:t>拟签订合同文本</w:t>
      </w:r>
      <w:r>
        <w:rPr>
          <w:rFonts w:ascii="Calibri" w:hAnsi="Calibri" w:eastAsia="宋体" w:cs="Times New Roman"/>
          <w:color w:val="auto"/>
          <w:kern w:val="2"/>
          <w:szCs w:val="22"/>
          <w:lang w:val="en-US" w:eastAsia="zh-CN" w:bidi="ar-SA"/>
        </w:rPr>
        <w:tab/>
      </w:r>
      <w:r>
        <w:rPr>
          <w:rFonts w:ascii="Calibri" w:hAnsi="Calibri" w:eastAsia="宋体" w:cs="Times New Roman"/>
          <w:color w:val="auto"/>
          <w:kern w:val="2"/>
          <w:szCs w:val="22"/>
          <w:lang w:val="en-US" w:eastAsia="zh-CN" w:bidi="ar-SA"/>
        </w:rPr>
        <w:fldChar w:fldCharType="begin"/>
      </w:r>
      <w:r>
        <w:rPr>
          <w:rFonts w:ascii="Calibri" w:hAnsi="Calibri" w:eastAsia="宋体" w:cs="Times New Roman"/>
          <w:color w:val="auto"/>
          <w:kern w:val="2"/>
          <w:szCs w:val="22"/>
          <w:lang w:val="en-US" w:eastAsia="zh-CN" w:bidi="ar-SA"/>
        </w:rPr>
        <w:instrText xml:space="preserve"> PAGEREF _Toc26912 </w:instrText>
      </w:r>
      <w:r>
        <w:rPr>
          <w:rFonts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76</w:t>
      </w:r>
      <w:r>
        <w:rPr>
          <w:rFonts w:ascii="Calibri" w:hAnsi="Calibri" w:eastAsia="宋体" w:cs="Times New Roman"/>
          <w:color w:val="auto"/>
          <w:kern w:val="2"/>
          <w:szCs w:val="22"/>
          <w:lang w:val="en-US" w:eastAsia="zh-CN" w:bidi="ar-SA"/>
        </w:rPr>
        <w:fldChar w:fldCharType="end"/>
      </w:r>
      <w:r>
        <w:rPr>
          <w:rFonts w:hint="default" w:ascii="Times New Roman" w:hAnsi="Times New Roman" w:eastAsia="宋体" w:cs="Times New Roman"/>
          <w:bCs/>
          <w:i w:val="0"/>
          <w:color w:val="auto"/>
          <w:spacing w:val="-20"/>
          <w:kern w:val="44"/>
          <w:szCs w:val="32"/>
          <w:lang w:val="en-US" w:eastAsia="zh-CN" w:bidi="ar-SA"/>
        </w:rPr>
        <w:fldChar w:fldCharType="end"/>
      </w:r>
    </w:p>
    <w:p>
      <w:pPr>
        <w:pStyle w:val="37"/>
        <w:tabs>
          <w:tab w:val="right" w:leader="dot" w:pos="8640"/>
          <w:tab w:val="clear" w:pos="620"/>
          <w:tab w:val="clear" w:pos="8364"/>
        </w:tabs>
        <w:rPr>
          <w:rFonts w:ascii="Calibri" w:hAnsi="Calibri" w:eastAsia="宋体" w:cs="Times New Roman"/>
          <w:color w:val="auto"/>
          <w:kern w:val="2"/>
          <w:szCs w:val="22"/>
          <w:lang w:val="en-US" w:eastAsia="zh-CN" w:bidi="ar-SA"/>
        </w:rPr>
      </w:pPr>
      <w:r>
        <w:rPr>
          <w:rFonts w:hint="eastAsia" w:ascii="Calibri" w:hAnsi="Calibri" w:eastAsia="宋体" w:cs="Times New Roman"/>
          <w:color w:val="auto"/>
          <w:kern w:val="2"/>
          <w:szCs w:val="22"/>
          <w:lang w:val="en-US" w:eastAsia="zh-CN" w:bidi="ar-SA"/>
        </w:rPr>
        <w:fldChar w:fldCharType="begin"/>
      </w:r>
      <w:r>
        <w:rPr>
          <w:rFonts w:hint="eastAsia" w:ascii="Calibri" w:hAnsi="Calibri" w:eastAsia="宋体" w:cs="Times New Roman"/>
          <w:color w:val="auto"/>
          <w:kern w:val="2"/>
          <w:szCs w:val="22"/>
          <w:lang w:val="en-US" w:eastAsia="zh-CN" w:bidi="ar-SA"/>
        </w:rPr>
        <w:instrText xml:space="preserve"> HYPERLINK \l _Toc16289 </w:instrText>
      </w:r>
      <w:r>
        <w:rPr>
          <w:rFonts w:hint="eastAsia" w:ascii="Calibri" w:hAnsi="Calibri" w:eastAsia="宋体" w:cs="Times New Roman"/>
          <w:color w:val="auto"/>
          <w:kern w:val="2"/>
          <w:szCs w:val="22"/>
          <w:lang w:val="en-US" w:eastAsia="zh-CN" w:bidi="ar-SA"/>
        </w:rPr>
        <w:fldChar w:fldCharType="separate"/>
      </w:r>
      <w:r>
        <w:rPr>
          <w:rFonts w:hint="eastAsia" w:ascii="仿宋" w:hAnsi="仿宋" w:eastAsia="仿宋" w:cs="Times New Roman"/>
          <w:color w:val="auto"/>
          <w:kern w:val="2"/>
          <w:szCs w:val="24"/>
          <w:lang w:val="en-US" w:eastAsia="zh-CN" w:bidi="ar-SA"/>
        </w:rPr>
        <w:t>一、合同货物</w:t>
      </w:r>
      <w:r>
        <w:rPr>
          <w:rFonts w:ascii="Calibri" w:hAnsi="Calibri" w:eastAsia="宋体" w:cs="Times New Roman"/>
          <w:color w:val="auto"/>
          <w:kern w:val="2"/>
          <w:szCs w:val="22"/>
          <w:lang w:val="en-US" w:eastAsia="zh-CN" w:bidi="ar-SA"/>
        </w:rPr>
        <w:tab/>
      </w:r>
      <w:r>
        <w:rPr>
          <w:rFonts w:ascii="Calibri" w:hAnsi="Calibri" w:eastAsia="宋体" w:cs="Times New Roman"/>
          <w:color w:val="auto"/>
          <w:kern w:val="2"/>
          <w:szCs w:val="22"/>
          <w:lang w:val="en-US" w:eastAsia="zh-CN" w:bidi="ar-SA"/>
        </w:rPr>
        <w:fldChar w:fldCharType="begin"/>
      </w:r>
      <w:r>
        <w:rPr>
          <w:rFonts w:ascii="Calibri" w:hAnsi="Calibri" w:eastAsia="宋体" w:cs="Times New Roman"/>
          <w:color w:val="auto"/>
          <w:kern w:val="2"/>
          <w:szCs w:val="22"/>
          <w:lang w:val="en-US" w:eastAsia="zh-CN" w:bidi="ar-SA"/>
        </w:rPr>
        <w:instrText xml:space="preserve"> PAGEREF _Toc16289 </w:instrText>
      </w:r>
      <w:r>
        <w:rPr>
          <w:rFonts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76</w:t>
      </w:r>
      <w:r>
        <w:rPr>
          <w:rFonts w:ascii="Calibri" w:hAnsi="Calibri" w:eastAsia="宋体" w:cs="Times New Roman"/>
          <w:color w:val="auto"/>
          <w:kern w:val="2"/>
          <w:szCs w:val="22"/>
          <w:lang w:val="en-US" w:eastAsia="zh-CN" w:bidi="ar-SA"/>
        </w:rPr>
        <w:fldChar w:fldCharType="end"/>
      </w:r>
      <w:r>
        <w:rPr>
          <w:rFonts w:hint="eastAsia" w:ascii="Calibri" w:hAnsi="Calibri" w:eastAsia="宋体" w:cs="Times New Roman"/>
          <w:color w:val="auto"/>
          <w:kern w:val="2"/>
          <w:szCs w:val="22"/>
          <w:lang w:val="en-US" w:eastAsia="zh-CN" w:bidi="ar-SA"/>
        </w:rPr>
        <w:fldChar w:fldCharType="end"/>
      </w:r>
    </w:p>
    <w:p>
      <w:pPr>
        <w:pStyle w:val="37"/>
        <w:tabs>
          <w:tab w:val="right" w:leader="dot" w:pos="8640"/>
          <w:tab w:val="clear" w:pos="620"/>
          <w:tab w:val="clear" w:pos="8364"/>
        </w:tabs>
        <w:rPr>
          <w:rFonts w:ascii="Calibri" w:hAnsi="Calibri" w:eastAsia="宋体" w:cs="Times New Roman"/>
          <w:color w:val="auto"/>
          <w:kern w:val="2"/>
          <w:szCs w:val="22"/>
          <w:lang w:val="en-US" w:eastAsia="zh-CN" w:bidi="ar-SA"/>
        </w:rPr>
      </w:pPr>
      <w:r>
        <w:rPr>
          <w:rFonts w:hint="eastAsia" w:ascii="Calibri" w:hAnsi="Calibri" w:eastAsia="宋体" w:cs="Times New Roman"/>
          <w:color w:val="auto"/>
          <w:kern w:val="2"/>
          <w:szCs w:val="22"/>
          <w:lang w:val="en-US" w:eastAsia="zh-CN" w:bidi="ar-SA"/>
        </w:rPr>
        <w:fldChar w:fldCharType="begin"/>
      </w:r>
      <w:r>
        <w:rPr>
          <w:rFonts w:hint="eastAsia" w:ascii="Calibri" w:hAnsi="Calibri" w:eastAsia="宋体" w:cs="Times New Roman"/>
          <w:color w:val="auto"/>
          <w:kern w:val="2"/>
          <w:szCs w:val="22"/>
          <w:lang w:val="en-US" w:eastAsia="zh-CN" w:bidi="ar-SA"/>
        </w:rPr>
        <w:instrText xml:space="preserve"> HYPERLINK \l _Toc24341 </w:instrText>
      </w:r>
      <w:r>
        <w:rPr>
          <w:rFonts w:hint="eastAsia" w:ascii="Calibri" w:hAnsi="Calibri" w:eastAsia="宋体" w:cs="Times New Roman"/>
          <w:color w:val="auto"/>
          <w:kern w:val="2"/>
          <w:szCs w:val="22"/>
          <w:lang w:val="en-US" w:eastAsia="zh-CN" w:bidi="ar-SA"/>
        </w:rPr>
        <w:fldChar w:fldCharType="separate"/>
      </w:r>
      <w:r>
        <w:rPr>
          <w:rFonts w:hint="eastAsia" w:ascii="仿宋" w:hAnsi="仿宋" w:eastAsia="仿宋" w:cs="Times New Roman"/>
          <w:color w:val="auto"/>
          <w:kern w:val="2"/>
          <w:szCs w:val="24"/>
          <w:lang w:val="en-US" w:eastAsia="zh-CN" w:bidi="ar-SA"/>
        </w:rPr>
        <w:t>二、合同总价</w:t>
      </w:r>
      <w:r>
        <w:rPr>
          <w:rFonts w:ascii="Calibri" w:hAnsi="Calibri" w:eastAsia="宋体" w:cs="Times New Roman"/>
          <w:color w:val="auto"/>
          <w:kern w:val="2"/>
          <w:szCs w:val="22"/>
          <w:lang w:val="en-US" w:eastAsia="zh-CN" w:bidi="ar-SA"/>
        </w:rPr>
        <w:tab/>
      </w:r>
      <w:r>
        <w:rPr>
          <w:rFonts w:ascii="Calibri" w:hAnsi="Calibri" w:eastAsia="宋体" w:cs="Times New Roman"/>
          <w:color w:val="auto"/>
          <w:kern w:val="2"/>
          <w:szCs w:val="22"/>
          <w:lang w:val="en-US" w:eastAsia="zh-CN" w:bidi="ar-SA"/>
        </w:rPr>
        <w:fldChar w:fldCharType="begin"/>
      </w:r>
      <w:r>
        <w:rPr>
          <w:rFonts w:ascii="Calibri" w:hAnsi="Calibri" w:eastAsia="宋体" w:cs="Times New Roman"/>
          <w:color w:val="auto"/>
          <w:kern w:val="2"/>
          <w:szCs w:val="22"/>
          <w:lang w:val="en-US" w:eastAsia="zh-CN" w:bidi="ar-SA"/>
        </w:rPr>
        <w:instrText xml:space="preserve"> PAGEREF _Toc24341 </w:instrText>
      </w:r>
      <w:r>
        <w:rPr>
          <w:rFonts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76</w:t>
      </w:r>
      <w:r>
        <w:rPr>
          <w:rFonts w:ascii="Calibri" w:hAnsi="Calibri" w:eastAsia="宋体" w:cs="Times New Roman"/>
          <w:color w:val="auto"/>
          <w:kern w:val="2"/>
          <w:szCs w:val="22"/>
          <w:lang w:val="en-US" w:eastAsia="zh-CN" w:bidi="ar-SA"/>
        </w:rPr>
        <w:fldChar w:fldCharType="end"/>
      </w:r>
      <w:r>
        <w:rPr>
          <w:rFonts w:hint="eastAsia" w:ascii="Calibri" w:hAnsi="Calibri" w:eastAsia="宋体" w:cs="Times New Roman"/>
          <w:color w:val="auto"/>
          <w:kern w:val="2"/>
          <w:szCs w:val="22"/>
          <w:lang w:val="en-US" w:eastAsia="zh-CN" w:bidi="ar-SA"/>
        </w:rPr>
        <w:fldChar w:fldCharType="end"/>
      </w:r>
    </w:p>
    <w:p>
      <w:pPr>
        <w:pStyle w:val="37"/>
        <w:tabs>
          <w:tab w:val="right" w:leader="dot" w:pos="8640"/>
          <w:tab w:val="clear" w:pos="620"/>
          <w:tab w:val="clear" w:pos="8364"/>
        </w:tabs>
        <w:rPr>
          <w:rFonts w:ascii="Calibri" w:hAnsi="Calibri" w:eastAsia="宋体" w:cs="Times New Roman"/>
          <w:color w:val="auto"/>
          <w:kern w:val="2"/>
          <w:szCs w:val="22"/>
          <w:lang w:val="en-US" w:eastAsia="zh-CN" w:bidi="ar-SA"/>
        </w:rPr>
      </w:pPr>
      <w:r>
        <w:rPr>
          <w:rFonts w:hint="eastAsia" w:ascii="Calibri" w:hAnsi="Calibri" w:eastAsia="宋体" w:cs="Times New Roman"/>
          <w:color w:val="auto"/>
          <w:kern w:val="2"/>
          <w:szCs w:val="22"/>
          <w:lang w:val="en-US" w:eastAsia="zh-CN" w:bidi="ar-SA"/>
        </w:rPr>
        <w:fldChar w:fldCharType="begin"/>
      </w:r>
      <w:r>
        <w:rPr>
          <w:rFonts w:hint="eastAsia" w:ascii="Calibri" w:hAnsi="Calibri" w:eastAsia="宋体" w:cs="Times New Roman"/>
          <w:color w:val="auto"/>
          <w:kern w:val="2"/>
          <w:szCs w:val="22"/>
          <w:lang w:val="en-US" w:eastAsia="zh-CN" w:bidi="ar-SA"/>
        </w:rPr>
        <w:instrText xml:space="preserve"> HYPERLINK \l _Toc577 </w:instrText>
      </w:r>
      <w:r>
        <w:rPr>
          <w:rFonts w:hint="eastAsia" w:ascii="Calibri" w:hAnsi="Calibri" w:eastAsia="宋体" w:cs="Times New Roman"/>
          <w:color w:val="auto"/>
          <w:kern w:val="2"/>
          <w:szCs w:val="22"/>
          <w:lang w:val="en-US" w:eastAsia="zh-CN" w:bidi="ar-SA"/>
        </w:rPr>
        <w:fldChar w:fldCharType="separate"/>
      </w:r>
      <w:r>
        <w:rPr>
          <w:rFonts w:hint="eastAsia" w:ascii="仿宋" w:hAnsi="仿宋" w:eastAsia="仿宋" w:cs="Times New Roman"/>
          <w:color w:val="auto"/>
          <w:kern w:val="2"/>
          <w:szCs w:val="24"/>
          <w:lang w:val="en-US" w:eastAsia="zh-CN" w:bidi="ar-SA"/>
        </w:rPr>
        <w:t>三、质量要求</w:t>
      </w:r>
      <w:r>
        <w:rPr>
          <w:rFonts w:ascii="Calibri" w:hAnsi="Calibri" w:eastAsia="宋体" w:cs="Times New Roman"/>
          <w:color w:val="auto"/>
          <w:kern w:val="2"/>
          <w:szCs w:val="22"/>
          <w:lang w:val="en-US" w:eastAsia="zh-CN" w:bidi="ar-SA"/>
        </w:rPr>
        <w:tab/>
      </w:r>
      <w:r>
        <w:rPr>
          <w:rFonts w:ascii="Calibri" w:hAnsi="Calibri" w:eastAsia="宋体" w:cs="Times New Roman"/>
          <w:color w:val="auto"/>
          <w:kern w:val="2"/>
          <w:szCs w:val="22"/>
          <w:lang w:val="en-US" w:eastAsia="zh-CN" w:bidi="ar-SA"/>
        </w:rPr>
        <w:fldChar w:fldCharType="begin"/>
      </w:r>
      <w:r>
        <w:rPr>
          <w:rFonts w:ascii="Calibri" w:hAnsi="Calibri" w:eastAsia="宋体" w:cs="Times New Roman"/>
          <w:color w:val="auto"/>
          <w:kern w:val="2"/>
          <w:szCs w:val="22"/>
          <w:lang w:val="en-US" w:eastAsia="zh-CN" w:bidi="ar-SA"/>
        </w:rPr>
        <w:instrText xml:space="preserve"> PAGEREF _Toc577 </w:instrText>
      </w:r>
      <w:r>
        <w:rPr>
          <w:rFonts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76</w:t>
      </w:r>
      <w:r>
        <w:rPr>
          <w:rFonts w:ascii="Calibri" w:hAnsi="Calibri" w:eastAsia="宋体" w:cs="Times New Roman"/>
          <w:color w:val="auto"/>
          <w:kern w:val="2"/>
          <w:szCs w:val="22"/>
          <w:lang w:val="en-US" w:eastAsia="zh-CN" w:bidi="ar-SA"/>
        </w:rPr>
        <w:fldChar w:fldCharType="end"/>
      </w:r>
      <w:r>
        <w:rPr>
          <w:rFonts w:hint="eastAsia" w:ascii="Calibri" w:hAnsi="Calibri" w:eastAsia="宋体" w:cs="Times New Roman"/>
          <w:color w:val="auto"/>
          <w:kern w:val="2"/>
          <w:szCs w:val="22"/>
          <w:lang w:val="en-US" w:eastAsia="zh-CN" w:bidi="ar-SA"/>
        </w:rPr>
        <w:fldChar w:fldCharType="end"/>
      </w:r>
    </w:p>
    <w:p>
      <w:pPr>
        <w:pStyle w:val="37"/>
        <w:tabs>
          <w:tab w:val="right" w:leader="dot" w:pos="8640"/>
          <w:tab w:val="clear" w:pos="620"/>
          <w:tab w:val="clear" w:pos="8364"/>
        </w:tabs>
        <w:rPr>
          <w:rFonts w:ascii="Calibri" w:hAnsi="Calibri" w:eastAsia="宋体" w:cs="Times New Roman"/>
          <w:color w:val="auto"/>
          <w:kern w:val="2"/>
          <w:szCs w:val="22"/>
          <w:lang w:val="en-US" w:eastAsia="zh-CN" w:bidi="ar-SA"/>
        </w:rPr>
      </w:pPr>
      <w:r>
        <w:rPr>
          <w:rFonts w:hint="eastAsia" w:ascii="Calibri" w:hAnsi="Calibri" w:eastAsia="宋体" w:cs="Times New Roman"/>
          <w:color w:val="auto"/>
          <w:kern w:val="2"/>
          <w:szCs w:val="22"/>
          <w:lang w:val="en-US" w:eastAsia="zh-CN" w:bidi="ar-SA"/>
        </w:rPr>
        <w:fldChar w:fldCharType="begin"/>
      </w:r>
      <w:r>
        <w:rPr>
          <w:rFonts w:hint="eastAsia" w:ascii="Calibri" w:hAnsi="Calibri" w:eastAsia="宋体" w:cs="Times New Roman"/>
          <w:color w:val="auto"/>
          <w:kern w:val="2"/>
          <w:szCs w:val="22"/>
          <w:lang w:val="en-US" w:eastAsia="zh-CN" w:bidi="ar-SA"/>
        </w:rPr>
        <w:instrText xml:space="preserve"> HYPERLINK \l _Toc5331 </w:instrText>
      </w:r>
      <w:r>
        <w:rPr>
          <w:rFonts w:hint="eastAsia" w:ascii="Calibri" w:hAnsi="Calibri" w:eastAsia="宋体" w:cs="Times New Roman"/>
          <w:color w:val="auto"/>
          <w:kern w:val="2"/>
          <w:szCs w:val="22"/>
          <w:lang w:val="en-US" w:eastAsia="zh-CN" w:bidi="ar-SA"/>
        </w:rPr>
        <w:fldChar w:fldCharType="separate"/>
      </w:r>
      <w:r>
        <w:rPr>
          <w:rFonts w:hint="eastAsia" w:ascii="仿宋" w:hAnsi="仿宋" w:eastAsia="仿宋" w:cs="Times New Roman"/>
          <w:color w:val="auto"/>
          <w:kern w:val="2"/>
          <w:szCs w:val="24"/>
          <w:lang w:val="en-US" w:eastAsia="zh-CN" w:bidi="ar-SA"/>
        </w:rPr>
        <w:t>四、交货及验收</w:t>
      </w:r>
      <w:r>
        <w:rPr>
          <w:rFonts w:ascii="Calibri" w:hAnsi="Calibri" w:eastAsia="宋体" w:cs="Times New Roman"/>
          <w:color w:val="auto"/>
          <w:kern w:val="2"/>
          <w:szCs w:val="22"/>
          <w:lang w:val="en-US" w:eastAsia="zh-CN" w:bidi="ar-SA"/>
        </w:rPr>
        <w:tab/>
      </w:r>
      <w:r>
        <w:rPr>
          <w:rFonts w:ascii="Calibri" w:hAnsi="Calibri" w:eastAsia="宋体" w:cs="Times New Roman"/>
          <w:color w:val="auto"/>
          <w:kern w:val="2"/>
          <w:szCs w:val="22"/>
          <w:lang w:val="en-US" w:eastAsia="zh-CN" w:bidi="ar-SA"/>
        </w:rPr>
        <w:fldChar w:fldCharType="begin"/>
      </w:r>
      <w:r>
        <w:rPr>
          <w:rFonts w:ascii="Calibri" w:hAnsi="Calibri" w:eastAsia="宋体" w:cs="Times New Roman"/>
          <w:color w:val="auto"/>
          <w:kern w:val="2"/>
          <w:szCs w:val="22"/>
          <w:lang w:val="en-US" w:eastAsia="zh-CN" w:bidi="ar-SA"/>
        </w:rPr>
        <w:instrText xml:space="preserve"> PAGEREF _Toc5331 </w:instrText>
      </w:r>
      <w:r>
        <w:rPr>
          <w:rFonts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77</w:t>
      </w:r>
      <w:r>
        <w:rPr>
          <w:rFonts w:ascii="Calibri" w:hAnsi="Calibri" w:eastAsia="宋体" w:cs="Times New Roman"/>
          <w:color w:val="auto"/>
          <w:kern w:val="2"/>
          <w:szCs w:val="22"/>
          <w:lang w:val="en-US" w:eastAsia="zh-CN" w:bidi="ar-SA"/>
        </w:rPr>
        <w:fldChar w:fldCharType="end"/>
      </w:r>
      <w:r>
        <w:rPr>
          <w:rFonts w:hint="eastAsia" w:ascii="Calibri" w:hAnsi="Calibri" w:eastAsia="宋体" w:cs="Times New Roman"/>
          <w:color w:val="auto"/>
          <w:kern w:val="2"/>
          <w:szCs w:val="22"/>
          <w:lang w:val="en-US" w:eastAsia="zh-CN" w:bidi="ar-SA"/>
        </w:rPr>
        <w:fldChar w:fldCharType="end"/>
      </w:r>
    </w:p>
    <w:p>
      <w:pPr>
        <w:pStyle w:val="37"/>
        <w:tabs>
          <w:tab w:val="right" w:leader="dot" w:pos="8640"/>
          <w:tab w:val="clear" w:pos="620"/>
          <w:tab w:val="clear" w:pos="8364"/>
        </w:tabs>
        <w:rPr>
          <w:rFonts w:ascii="Calibri" w:hAnsi="Calibri" w:eastAsia="宋体" w:cs="Times New Roman"/>
          <w:color w:val="auto"/>
          <w:kern w:val="2"/>
          <w:szCs w:val="22"/>
          <w:lang w:val="en-US" w:eastAsia="zh-CN" w:bidi="ar-SA"/>
        </w:rPr>
      </w:pPr>
      <w:r>
        <w:rPr>
          <w:rFonts w:hint="eastAsia" w:ascii="Calibri" w:hAnsi="Calibri" w:eastAsia="宋体" w:cs="Times New Roman"/>
          <w:color w:val="auto"/>
          <w:kern w:val="2"/>
          <w:szCs w:val="22"/>
          <w:lang w:val="en-US" w:eastAsia="zh-CN" w:bidi="ar-SA"/>
        </w:rPr>
        <w:fldChar w:fldCharType="begin"/>
      </w:r>
      <w:r>
        <w:rPr>
          <w:rFonts w:hint="eastAsia" w:ascii="Calibri" w:hAnsi="Calibri" w:eastAsia="宋体" w:cs="Times New Roman"/>
          <w:color w:val="auto"/>
          <w:kern w:val="2"/>
          <w:szCs w:val="22"/>
          <w:lang w:val="en-US" w:eastAsia="zh-CN" w:bidi="ar-SA"/>
        </w:rPr>
        <w:instrText xml:space="preserve"> HYPERLINK \l _Toc9929 </w:instrText>
      </w:r>
      <w:r>
        <w:rPr>
          <w:rFonts w:hint="eastAsia" w:ascii="Calibri" w:hAnsi="Calibri" w:eastAsia="宋体" w:cs="Times New Roman"/>
          <w:color w:val="auto"/>
          <w:kern w:val="2"/>
          <w:szCs w:val="22"/>
          <w:lang w:val="en-US" w:eastAsia="zh-CN" w:bidi="ar-SA"/>
        </w:rPr>
        <w:fldChar w:fldCharType="separate"/>
      </w:r>
      <w:r>
        <w:rPr>
          <w:rFonts w:hint="eastAsia" w:ascii="仿宋" w:hAnsi="仿宋" w:eastAsia="仿宋" w:cs="Times New Roman"/>
          <w:color w:val="auto"/>
          <w:kern w:val="2"/>
          <w:szCs w:val="24"/>
          <w:lang w:val="en-US" w:eastAsia="zh-CN" w:bidi="ar-SA"/>
        </w:rPr>
        <w:t>五、付款方式</w:t>
      </w:r>
      <w:r>
        <w:rPr>
          <w:rFonts w:ascii="Calibri" w:hAnsi="Calibri" w:eastAsia="宋体" w:cs="Times New Roman"/>
          <w:color w:val="auto"/>
          <w:kern w:val="2"/>
          <w:szCs w:val="22"/>
          <w:lang w:val="en-US" w:eastAsia="zh-CN" w:bidi="ar-SA"/>
        </w:rPr>
        <w:tab/>
      </w:r>
      <w:r>
        <w:rPr>
          <w:rFonts w:ascii="Calibri" w:hAnsi="Calibri" w:eastAsia="宋体" w:cs="Times New Roman"/>
          <w:color w:val="auto"/>
          <w:kern w:val="2"/>
          <w:szCs w:val="22"/>
          <w:lang w:val="en-US" w:eastAsia="zh-CN" w:bidi="ar-SA"/>
        </w:rPr>
        <w:fldChar w:fldCharType="begin"/>
      </w:r>
      <w:r>
        <w:rPr>
          <w:rFonts w:ascii="Calibri" w:hAnsi="Calibri" w:eastAsia="宋体" w:cs="Times New Roman"/>
          <w:color w:val="auto"/>
          <w:kern w:val="2"/>
          <w:szCs w:val="22"/>
          <w:lang w:val="en-US" w:eastAsia="zh-CN" w:bidi="ar-SA"/>
        </w:rPr>
        <w:instrText xml:space="preserve"> PAGEREF _Toc9929 </w:instrText>
      </w:r>
      <w:r>
        <w:rPr>
          <w:rFonts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77</w:t>
      </w:r>
      <w:r>
        <w:rPr>
          <w:rFonts w:ascii="Calibri" w:hAnsi="Calibri" w:eastAsia="宋体" w:cs="Times New Roman"/>
          <w:color w:val="auto"/>
          <w:kern w:val="2"/>
          <w:szCs w:val="22"/>
          <w:lang w:val="en-US" w:eastAsia="zh-CN" w:bidi="ar-SA"/>
        </w:rPr>
        <w:fldChar w:fldCharType="end"/>
      </w:r>
      <w:r>
        <w:rPr>
          <w:rFonts w:hint="eastAsia" w:ascii="Calibri" w:hAnsi="Calibri" w:eastAsia="宋体" w:cs="Times New Roman"/>
          <w:color w:val="auto"/>
          <w:kern w:val="2"/>
          <w:szCs w:val="22"/>
          <w:lang w:val="en-US" w:eastAsia="zh-CN" w:bidi="ar-SA"/>
        </w:rPr>
        <w:fldChar w:fldCharType="end"/>
      </w:r>
    </w:p>
    <w:p>
      <w:pPr>
        <w:pStyle w:val="37"/>
        <w:tabs>
          <w:tab w:val="right" w:leader="dot" w:pos="8640"/>
          <w:tab w:val="clear" w:pos="620"/>
          <w:tab w:val="clear" w:pos="8364"/>
        </w:tabs>
        <w:rPr>
          <w:rFonts w:ascii="Calibri" w:hAnsi="Calibri" w:eastAsia="宋体" w:cs="Times New Roman"/>
          <w:color w:val="auto"/>
          <w:kern w:val="2"/>
          <w:szCs w:val="22"/>
          <w:lang w:val="en-US" w:eastAsia="zh-CN" w:bidi="ar-SA"/>
        </w:rPr>
      </w:pPr>
      <w:r>
        <w:rPr>
          <w:rFonts w:hint="eastAsia" w:ascii="Calibri" w:hAnsi="Calibri" w:eastAsia="宋体" w:cs="Times New Roman"/>
          <w:color w:val="auto"/>
          <w:kern w:val="2"/>
          <w:szCs w:val="22"/>
          <w:lang w:val="en-US" w:eastAsia="zh-CN" w:bidi="ar-SA"/>
        </w:rPr>
        <w:fldChar w:fldCharType="begin"/>
      </w:r>
      <w:r>
        <w:rPr>
          <w:rFonts w:hint="eastAsia" w:ascii="Calibri" w:hAnsi="Calibri" w:eastAsia="宋体" w:cs="Times New Roman"/>
          <w:color w:val="auto"/>
          <w:kern w:val="2"/>
          <w:szCs w:val="22"/>
          <w:lang w:val="en-US" w:eastAsia="zh-CN" w:bidi="ar-SA"/>
        </w:rPr>
        <w:instrText xml:space="preserve"> HYPERLINK \l _Toc6676 </w:instrText>
      </w:r>
      <w:r>
        <w:rPr>
          <w:rFonts w:hint="eastAsia" w:ascii="Calibri" w:hAnsi="Calibri" w:eastAsia="宋体" w:cs="Times New Roman"/>
          <w:color w:val="auto"/>
          <w:kern w:val="2"/>
          <w:szCs w:val="22"/>
          <w:lang w:val="en-US" w:eastAsia="zh-CN" w:bidi="ar-SA"/>
        </w:rPr>
        <w:fldChar w:fldCharType="separate"/>
      </w:r>
      <w:r>
        <w:rPr>
          <w:rFonts w:hint="eastAsia" w:ascii="仿宋" w:hAnsi="仿宋" w:eastAsia="仿宋" w:cs="Times New Roman"/>
          <w:color w:val="auto"/>
          <w:kern w:val="2"/>
          <w:szCs w:val="24"/>
          <w:lang w:val="en-US" w:eastAsia="zh-CN" w:bidi="ar-SA"/>
        </w:rPr>
        <w:t>六、售后服务</w:t>
      </w:r>
      <w:r>
        <w:rPr>
          <w:rFonts w:ascii="Calibri" w:hAnsi="Calibri" w:eastAsia="宋体" w:cs="Times New Roman"/>
          <w:color w:val="auto"/>
          <w:kern w:val="2"/>
          <w:szCs w:val="22"/>
          <w:lang w:val="en-US" w:eastAsia="zh-CN" w:bidi="ar-SA"/>
        </w:rPr>
        <w:tab/>
      </w:r>
      <w:r>
        <w:rPr>
          <w:rFonts w:ascii="Calibri" w:hAnsi="Calibri" w:eastAsia="宋体" w:cs="Times New Roman"/>
          <w:color w:val="auto"/>
          <w:kern w:val="2"/>
          <w:szCs w:val="22"/>
          <w:lang w:val="en-US" w:eastAsia="zh-CN" w:bidi="ar-SA"/>
        </w:rPr>
        <w:fldChar w:fldCharType="begin"/>
      </w:r>
      <w:r>
        <w:rPr>
          <w:rFonts w:ascii="Calibri" w:hAnsi="Calibri" w:eastAsia="宋体" w:cs="Times New Roman"/>
          <w:color w:val="auto"/>
          <w:kern w:val="2"/>
          <w:szCs w:val="22"/>
          <w:lang w:val="en-US" w:eastAsia="zh-CN" w:bidi="ar-SA"/>
        </w:rPr>
        <w:instrText xml:space="preserve"> PAGEREF _Toc6676 </w:instrText>
      </w:r>
      <w:r>
        <w:rPr>
          <w:rFonts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78</w:t>
      </w:r>
      <w:r>
        <w:rPr>
          <w:rFonts w:ascii="Calibri" w:hAnsi="Calibri" w:eastAsia="宋体" w:cs="Times New Roman"/>
          <w:color w:val="auto"/>
          <w:kern w:val="2"/>
          <w:szCs w:val="22"/>
          <w:lang w:val="en-US" w:eastAsia="zh-CN" w:bidi="ar-SA"/>
        </w:rPr>
        <w:fldChar w:fldCharType="end"/>
      </w:r>
      <w:r>
        <w:rPr>
          <w:rFonts w:hint="eastAsia" w:ascii="Calibri" w:hAnsi="Calibri" w:eastAsia="宋体" w:cs="Times New Roman"/>
          <w:color w:val="auto"/>
          <w:kern w:val="2"/>
          <w:szCs w:val="22"/>
          <w:lang w:val="en-US" w:eastAsia="zh-CN" w:bidi="ar-SA"/>
        </w:rPr>
        <w:fldChar w:fldCharType="end"/>
      </w:r>
    </w:p>
    <w:p>
      <w:pPr>
        <w:pStyle w:val="37"/>
        <w:tabs>
          <w:tab w:val="right" w:leader="dot" w:pos="8640"/>
          <w:tab w:val="clear" w:pos="620"/>
          <w:tab w:val="clear" w:pos="8364"/>
        </w:tabs>
        <w:rPr>
          <w:rFonts w:ascii="Calibri" w:hAnsi="Calibri" w:eastAsia="宋体" w:cs="Times New Roman"/>
          <w:color w:val="auto"/>
          <w:kern w:val="2"/>
          <w:szCs w:val="22"/>
          <w:lang w:val="en-US" w:eastAsia="zh-CN" w:bidi="ar-SA"/>
        </w:rPr>
      </w:pPr>
      <w:r>
        <w:rPr>
          <w:rFonts w:hint="eastAsia" w:ascii="Calibri" w:hAnsi="Calibri" w:eastAsia="宋体" w:cs="Times New Roman"/>
          <w:color w:val="auto"/>
          <w:kern w:val="2"/>
          <w:szCs w:val="22"/>
          <w:lang w:val="en-US" w:eastAsia="zh-CN" w:bidi="ar-SA"/>
        </w:rPr>
        <w:fldChar w:fldCharType="begin"/>
      </w:r>
      <w:r>
        <w:rPr>
          <w:rFonts w:hint="eastAsia" w:ascii="Calibri" w:hAnsi="Calibri" w:eastAsia="宋体" w:cs="Times New Roman"/>
          <w:color w:val="auto"/>
          <w:kern w:val="2"/>
          <w:szCs w:val="22"/>
          <w:lang w:val="en-US" w:eastAsia="zh-CN" w:bidi="ar-SA"/>
        </w:rPr>
        <w:instrText xml:space="preserve"> HYPERLINK \l _Toc29213 </w:instrText>
      </w:r>
      <w:r>
        <w:rPr>
          <w:rFonts w:hint="eastAsia" w:ascii="Calibri" w:hAnsi="Calibri" w:eastAsia="宋体" w:cs="Times New Roman"/>
          <w:color w:val="auto"/>
          <w:kern w:val="2"/>
          <w:szCs w:val="22"/>
          <w:lang w:val="en-US" w:eastAsia="zh-CN" w:bidi="ar-SA"/>
        </w:rPr>
        <w:fldChar w:fldCharType="separate"/>
      </w:r>
      <w:r>
        <w:rPr>
          <w:rFonts w:hint="eastAsia" w:ascii="仿宋" w:hAnsi="仿宋" w:eastAsia="仿宋" w:cs="Times New Roman"/>
          <w:color w:val="auto"/>
          <w:kern w:val="2"/>
          <w:szCs w:val="24"/>
          <w:lang w:val="en-US" w:eastAsia="zh-CN" w:bidi="ar-SA"/>
        </w:rPr>
        <w:t>七、违约责任</w:t>
      </w:r>
      <w:r>
        <w:rPr>
          <w:rFonts w:ascii="Calibri" w:hAnsi="Calibri" w:eastAsia="宋体" w:cs="Times New Roman"/>
          <w:color w:val="auto"/>
          <w:kern w:val="2"/>
          <w:szCs w:val="22"/>
          <w:lang w:val="en-US" w:eastAsia="zh-CN" w:bidi="ar-SA"/>
        </w:rPr>
        <w:tab/>
      </w:r>
      <w:r>
        <w:rPr>
          <w:rFonts w:ascii="Calibri" w:hAnsi="Calibri" w:eastAsia="宋体" w:cs="Times New Roman"/>
          <w:color w:val="auto"/>
          <w:kern w:val="2"/>
          <w:szCs w:val="22"/>
          <w:lang w:val="en-US" w:eastAsia="zh-CN" w:bidi="ar-SA"/>
        </w:rPr>
        <w:fldChar w:fldCharType="begin"/>
      </w:r>
      <w:r>
        <w:rPr>
          <w:rFonts w:ascii="Calibri" w:hAnsi="Calibri" w:eastAsia="宋体" w:cs="Times New Roman"/>
          <w:color w:val="auto"/>
          <w:kern w:val="2"/>
          <w:szCs w:val="22"/>
          <w:lang w:val="en-US" w:eastAsia="zh-CN" w:bidi="ar-SA"/>
        </w:rPr>
        <w:instrText xml:space="preserve"> PAGEREF _Toc29213 </w:instrText>
      </w:r>
      <w:r>
        <w:rPr>
          <w:rFonts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78</w:t>
      </w:r>
      <w:r>
        <w:rPr>
          <w:rFonts w:ascii="Calibri" w:hAnsi="Calibri" w:eastAsia="宋体" w:cs="Times New Roman"/>
          <w:color w:val="auto"/>
          <w:kern w:val="2"/>
          <w:szCs w:val="22"/>
          <w:lang w:val="en-US" w:eastAsia="zh-CN" w:bidi="ar-SA"/>
        </w:rPr>
        <w:fldChar w:fldCharType="end"/>
      </w:r>
      <w:r>
        <w:rPr>
          <w:rFonts w:hint="eastAsia" w:ascii="Calibri" w:hAnsi="Calibri" w:eastAsia="宋体" w:cs="Times New Roman"/>
          <w:color w:val="auto"/>
          <w:kern w:val="2"/>
          <w:szCs w:val="22"/>
          <w:lang w:val="en-US" w:eastAsia="zh-CN" w:bidi="ar-SA"/>
        </w:rPr>
        <w:fldChar w:fldCharType="end"/>
      </w:r>
    </w:p>
    <w:p>
      <w:pPr>
        <w:pStyle w:val="37"/>
        <w:tabs>
          <w:tab w:val="right" w:leader="dot" w:pos="8640"/>
          <w:tab w:val="clear" w:pos="620"/>
          <w:tab w:val="clear" w:pos="8364"/>
        </w:tabs>
        <w:rPr>
          <w:rFonts w:ascii="Calibri" w:hAnsi="Calibri" w:eastAsia="宋体" w:cs="Times New Roman"/>
          <w:color w:val="auto"/>
          <w:kern w:val="2"/>
          <w:szCs w:val="22"/>
          <w:lang w:val="en-US" w:eastAsia="zh-CN" w:bidi="ar-SA"/>
        </w:rPr>
      </w:pPr>
      <w:r>
        <w:rPr>
          <w:rFonts w:hint="eastAsia" w:ascii="Calibri" w:hAnsi="Calibri" w:eastAsia="宋体" w:cs="Times New Roman"/>
          <w:color w:val="auto"/>
          <w:kern w:val="2"/>
          <w:szCs w:val="22"/>
          <w:lang w:val="en-US" w:eastAsia="zh-CN" w:bidi="ar-SA"/>
        </w:rPr>
        <w:fldChar w:fldCharType="begin"/>
      </w:r>
      <w:r>
        <w:rPr>
          <w:rFonts w:hint="eastAsia" w:ascii="Calibri" w:hAnsi="Calibri" w:eastAsia="宋体" w:cs="Times New Roman"/>
          <w:color w:val="auto"/>
          <w:kern w:val="2"/>
          <w:szCs w:val="22"/>
          <w:lang w:val="en-US" w:eastAsia="zh-CN" w:bidi="ar-SA"/>
        </w:rPr>
        <w:instrText xml:space="preserve"> HYPERLINK \l _Toc3061 </w:instrText>
      </w:r>
      <w:r>
        <w:rPr>
          <w:rFonts w:hint="eastAsia" w:ascii="Calibri" w:hAnsi="Calibri" w:eastAsia="宋体" w:cs="Times New Roman"/>
          <w:color w:val="auto"/>
          <w:kern w:val="2"/>
          <w:szCs w:val="22"/>
          <w:lang w:val="en-US" w:eastAsia="zh-CN" w:bidi="ar-SA"/>
        </w:rPr>
        <w:fldChar w:fldCharType="separate"/>
      </w:r>
      <w:r>
        <w:rPr>
          <w:rFonts w:hint="eastAsia" w:ascii="仿宋" w:hAnsi="仿宋" w:eastAsia="仿宋" w:cs="Times New Roman"/>
          <w:color w:val="auto"/>
          <w:kern w:val="2"/>
          <w:szCs w:val="24"/>
          <w:lang w:val="en-US" w:eastAsia="zh-CN" w:bidi="ar-SA"/>
        </w:rPr>
        <w:t>八、争议解决办法</w:t>
      </w:r>
      <w:r>
        <w:rPr>
          <w:rFonts w:ascii="Calibri" w:hAnsi="Calibri" w:eastAsia="宋体" w:cs="Times New Roman"/>
          <w:color w:val="auto"/>
          <w:kern w:val="2"/>
          <w:szCs w:val="22"/>
          <w:lang w:val="en-US" w:eastAsia="zh-CN" w:bidi="ar-SA"/>
        </w:rPr>
        <w:tab/>
      </w:r>
      <w:r>
        <w:rPr>
          <w:rFonts w:ascii="Calibri" w:hAnsi="Calibri" w:eastAsia="宋体" w:cs="Times New Roman"/>
          <w:color w:val="auto"/>
          <w:kern w:val="2"/>
          <w:szCs w:val="22"/>
          <w:lang w:val="en-US" w:eastAsia="zh-CN" w:bidi="ar-SA"/>
        </w:rPr>
        <w:fldChar w:fldCharType="begin"/>
      </w:r>
      <w:r>
        <w:rPr>
          <w:rFonts w:ascii="Calibri" w:hAnsi="Calibri" w:eastAsia="宋体" w:cs="Times New Roman"/>
          <w:color w:val="auto"/>
          <w:kern w:val="2"/>
          <w:szCs w:val="22"/>
          <w:lang w:val="en-US" w:eastAsia="zh-CN" w:bidi="ar-SA"/>
        </w:rPr>
        <w:instrText xml:space="preserve"> PAGEREF _Toc3061 </w:instrText>
      </w:r>
      <w:r>
        <w:rPr>
          <w:rFonts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78</w:t>
      </w:r>
      <w:r>
        <w:rPr>
          <w:rFonts w:ascii="Calibri" w:hAnsi="Calibri" w:eastAsia="宋体" w:cs="Times New Roman"/>
          <w:color w:val="auto"/>
          <w:kern w:val="2"/>
          <w:szCs w:val="22"/>
          <w:lang w:val="en-US" w:eastAsia="zh-CN" w:bidi="ar-SA"/>
        </w:rPr>
        <w:fldChar w:fldCharType="end"/>
      </w:r>
      <w:r>
        <w:rPr>
          <w:rFonts w:hint="eastAsia" w:ascii="Calibri" w:hAnsi="Calibri" w:eastAsia="宋体" w:cs="Times New Roman"/>
          <w:color w:val="auto"/>
          <w:kern w:val="2"/>
          <w:szCs w:val="22"/>
          <w:lang w:val="en-US" w:eastAsia="zh-CN" w:bidi="ar-SA"/>
        </w:rPr>
        <w:fldChar w:fldCharType="end"/>
      </w:r>
    </w:p>
    <w:p>
      <w:pPr>
        <w:pStyle w:val="37"/>
        <w:tabs>
          <w:tab w:val="right" w:leader="dot" w:pos="8640"/>
          <w:tab w:val="clear" w:pos="620"/>
          <w:tab w:val="clear" w:pos="8364"/>
        </w:tabs>
        <w:rPr>
          <w:rFonts w:ascii="Calibri" w:hAnsi="Calibri" w:eastAsia="宋体" w:cs="Times New Roman"/>
          <w:color w:val="auto"/>
          <w:kern w:val="2"/>
          <w:szCs w:val="22"/>
          <w:lang w:val="en-US" w:eastAsia="zh-CN" w:bidi="ar-SA"/>
        </w:rPr>
      </w:pPr>
      <w:r>
        <w:rPr>
          <w:rFonts w:hint="eastAsia" w:ascii="Calibri" w:hAnsi="Calibri" w:eastAsia="宋体" w:cs="Times New Roman"/>
          <w:color w:val="auto"/>
          <w:kern w:val="2"/>
          <w:szCs w:val="22"/>
          <w:lang w:val="en-US" w:eastAsia="zh-CN" w:bidi="ar-SA"/>
        </w:rPr>
        <w:fldChar w:fldCharType="begin"/>
      </w:r>
      <w:r>
        <w:rPr>
          <w:rFonts w:hint="eastAsia" w:ascii="Calibri" w:hAnsi="Calibri" w:eastAsia="宋体" w:cs="Times New Roman"/>
          <w:color w:val="auto"/>
          <w:kern w:val="2"/>
          <w:szCs w:val="22"/>
          <w:lang w:val="en-US" w:eastAsia="zh-CN" w:bidi="ar-SA"/>
        </w:rPr>
        <w:instrText xml:space="preserve"> HYPERLINK \l _Toc29064 </w:instrText>
      </w:r>
      <w:r>
        <w:rPr>
          <w:rFonts w:hint="eastAsia" w:ascii="Calibri" w:hAnsi="Calibri" w:eastAsia="宋体" w:cs="Times New Roman"/>
          <w:color w:val="auto"/>
          <w:kern w:val="2"/>
          <w:szCs w:val="22"/>
          <w:lang w:val="en-US" w:eastAsia="zh-CN" w:bidi="ar-SA"/>
        </w:rPr>
        <w:fldChar w:fldCharType="separate"/>
      </w:r>
      <w:r>
        <w:rPr>
          <w:rFonts w:hint="eastAsia" w:ascii="仿宋" w:hAnsi="仿宋" w:eastAsia="仿宋" w:cs="Times New Roman"/>
          <w:color w:val="auto"/>
          <w:kern w:val="2"/>
          <w:szCs w:val="24"/>
          <w:lang w:val="en-US" w:eastAsia="zh-CN" w:bidi="ar-SA"/>
        </w:rPr>
        <w:t>九、其他</w:t>
      </w:r>
      <w:r>
        <w:rPr>
          <w:rFonts w:ascii="Calibri" w:hAnsi="Calibri" w:eastAsia="宋体" w:cs="Times New Roman"/>
          <w:color w:val="auto"/>
          <w:kern w:val="2"/>
          <w:szCs w:val="22"/>
          <w:lang w:val="en-US" w:eastAsia="zh-CN" w:bidi="ar-SA"/>
        </w:rPr>
        <w:tab/>
      </w:r>
      <w:r>
        <w:rPr>
          <w:rFonts w:ascii="Calibri" w:hAnsi="Calibri" w:eastAsia="宋体" w:cs="Times New Roman"/>
          <w:color w:val="auto"/>
          <w:kern w:val="2"/>
          <w:szCs w:val="22"/>
          <w:lang w:val="en-US" w:eastAsia="zh-CN" w:bidi="ar-SA"/>
        </w:rPr>
        <w:fldChar w:fldCharType="begin"/>
      </w:r>
      <w:r>
        <w:rPr>
          <w:rFonts w:ascii="Calibri" w:hAnsi="Calibri" w:eastAsia="宋体" w:cs="Times New Roman"/>
          <w:color w:val="auto"/>
          <w:kern w:val="2"/>
          <w:szCs w:val="22"/>
          <w:lang w:val="en-US" w:eastAsia="zh-CN" w:bidi="ar-SA"/>
        </w:rPr>
        <w:instrText xml:space="preserve"> PAGEREF _Toc29064 </w:instrText>
      </w:r>
      <w:r>
        <w:rPr>
          <w:rFonts w:ascii="Calibri" w:hAnsi="Calibri" w:eastAsia="宋体" w:cs="Times New Roman"/>
          <w:color w:val="auto"/>
          <w:kern w:val="2"/>
          <w:szCs w:val="22"/>
          <w:lang w:val="en-US" w:eastAsia="zh-CN" w:bidi="ar-SA"/>
        </w:rPr>
        <w:fldChar w:fldCharType="separate"/>
      </w:r>
      <w:r>
        <w:rPr>
          <w:rFonts w:ascii="Calibri" w:hAnsi="Calibri" w:eastAsia="宋体" w:cs="Times New Roman"/>
          <w:color w:val="auto"/>
          <w:kern w:val="2"/>
          <w:szCs w:val="22"/>
          <w:lang w:val="en-US" w:eastAsia="zh-CN" w:bidi="ar-SA"/>
        </w:rPr>
        <w:t>79</w:t>
      </w:r>
      <w:r>
        <w:rPr>
          <w:rFonts w:ascii="Calibri" w:hAnsi="Calibri" w:eastAsia="宋体" w:cs="Times New Roman"/>
          <w:color w:val="auto"/>
          <w:kern w:val="2"/>
          <w:szCs w:val="22"/>
          <w:lang w:val="en-US" w:eastAsia="zh-CN" w:bidi="ar-SA"/>
        </w:rPr>
        <w:fldChar w:fldCharType="end"/>
      </w:r>
      <w:r>
        <w:rPr>
          <w:rFonts w:hint="eastAsia" w:ascii="Calibri" w:hAnsi="Calibri" w:eastAsia="宋体" w:cs="Times New Roman"/>
          <w:color w:val="auto"/>
          <w:kern w:val="2"/>
          <w:szCs w:val="22"/>
          <w:lang w:val="en-US" w:eastAsia="zh-CN" w:bidi="ar-SA"/>
        </w:rPr>
        <w:fldChar w:fldCharType="end"/>
      </w:r>
    </w:p>
    <w:p>
      <w:pPr>
        <w:tabs>
          <w:tab w:val="left" w:pos="620"/>
          <w:tab w:val="right" w:leader="dot" w:pos="8364"/>
        </w:tabs>
        <w:spacing w:line="360" w:lineRule="auto"/>
        <w:rPr>
          <w:rFonts w:hint="eastAsia" w:ascii="Calibri" w:hAnsi="Calibri" w:eastAsia="宋体" w:cs="Times New Roman"/>
          <w:color w:val="auto"/>
          <w:kern w:val="2"/>
          <w:szCs w:val="22"/>
          <w:lang w:val="en-US" w:eastAsia="zh-CN" w:bidi="ar-SA"/>
        </w:rPr>
      </w:pPr>
      <w:r>
        <w:rPr>
          <w:rFonts w:hint="eastAsia" w:ascii="Calibri" w:hAnsi="Calibri" w:eastAsia="宋体" w:cs="Times New Roman"/>
          <w:color w:val="auto"/>
          <w:kern w:val="2"/>
          <w:szCs w:val="22"/>
          <w:lang w:val="en-US" w:eastAsia="zh-CN" w:bidi="ar-SA"/>
        </w:rPr>
        <w:fldChar w:fldCharType="end"/>
      </w:r>
    </w:p>
    <w:p>
      <w:pPr>
        <w:tabs>
          <w:tab w:val="left" w:pos="620"/>
          <w:tab w:val="right" w:leader="dot" w:pos="8364"/>
        </w:tabs>
        <w:spacing w:line="360" w:lineRule="auto"/>
        <w:rPr>
          <w:rFonts w:hint="eastAsia" w:ascii="Calibri" w:hAnsi="Calibri" w:eastAsia="宋体" w:cs="Times New Roman"/>
          <w:color w:val="auto"/>
          <w:kern w:val="2"/>
          <w:szCs w:val="22"/>
          <w:lang w:val="en-US" w:eastAsia="zh-CN" w:bidi="ar-SA"/>
        </w:rPr>
      </w:pPr>
      <w:r>
        <w:rPr>
          <w:rFonts w:hint="eastAsia" w:ascii="Calibri" w:hAnsi="Calibri" w:eastAsia="宋体" w:cs="Times New Roman"/>
          <w:color w:val="auto"/>
          <w:kern w:val="2"/>
          <w:szCs w:val="22"/>
          <w:lang w:val="en-US" w:eastAsia="zh-CN" w:bidi="ar-SA"/>
        </w:rPr>
        <w:br w:type="page"/>
      </w:r>
    </w:p>
    <w:p>
      <w:pPr>
        <w:pStyle w:val="2"/>
        <w:rPr>
          <w:color w:val="auto"/>
        </w:rPr>
      </w:pPr>
    </w:p>
    <w:p>
      <w:pPr>
        <w:keepNext/>
        <w:keepLines/>
        <w:numPr>
          <w:ilvl w:val="0"/>
          <w:numId w:val="5"/>
        </w:numPr>
        <w:spacing w:before="340" w:after="330" w:line="400" w:lineRule="exact"/>
        <w:ind w:hanging="3260"/>
        <w:jc w:val="center"/>
        <w:outlineLvl w:val="0"/>
        <w:rPr>
          <w:rFonts w:ascii="宋体" w:hAnsi="宋体"/>
          <w:b/>
          <w:bCs/>
          <w:color w:val="auto"/>
          <w:spacing w:val="-20"/>
          <w:kern w:val="44"/>
          <w:sz w:val="32"/>
          <w:szCs w:val="32"/>
        </w:rPr>
      </w:pPr>
      <w:bookmarkStart w:id="4" w:name="_Toc181610856"/>
      <w:bookmarkStart w:id="5" w:name="_Toc181591102"/>
      <w:bookmarkStart w:id="6" w:name="_Toc204575871"/>
      <w:bookmarkStart w:id="7" w:name="_Toc29558"/>
      <w:r>
        <w:rPr>
          <w:rFonts w:hint="eastAsia" w:ascii="宋体" w:hAnsi="宋体"/>
          <w:b/>
          <w:bCs/>
          <w:color w:val="auto"/>
          <w:spacing w:val="-20"/>
          <w:kern w:val="44"/>
          <w:sz w:val="32"/>
          <w:szCs w:val="32"/>
        </w:rPr>
        <w:t>投标邀请</w:t>
      </w:r>
      <w:bookmarkEnd w:id="4"/>
      <w:bookmarkEnd w:id="5"/>
      <w:bookmarkEnd w:id="6"/>
      <w:bookmarkEnd w:id="7"/>
    </w:p>
    <w:p>
      <w:pPr>
        <w:spacing w:line="360" w:lineRule="auto"/>
        <w:ind w:firstLine="566" w:firstLineChars="202"/>
        <w:rPr>
          <w:rFonts w:ascii="宋体" w:hAnsi="宋体"/>
          <w:color w:val="auto"/>
          <w:sz w:val="28"/>
          <w:szCs w:val="28"/>
        </w:rPr>
      </w:pPr>
      <w:r>
        <w:rPr>
          <w:rFonts w:hint="eastAsia" w:ascii="宋体" w:hAnsi="宋体"/>
          <w:color w:val="auto"/>
          <w:sz w:val="28"/>
          <w:szCs w:val="28"/>
          <w:lang w:eastAsia="zh-CN"/>
        </w:rPr>
        <w:t>成都市锦江区政府采购中心</w:t>
      </w:r>
      <w:r>
        <w:rPr>
          <w:rFonts w:hint="eastAsia" w:ascii="宋体" w:hAnsi="宋体"/>
          <w:color w:val="auto"/>
          <w:sz w:val="28"/>
          <w:szCs w:val="28"/>
        </w:rPr>
        <w:t>(以下简称“</w:t>
      </w:r>
      <w:r>
        <w:rPr>
          <w:rFonts w:hint="eastAsia" w:ascii="宋体" w:hAnsi="宋体"/>
          <w:color w:val="auto"/>
          <w:sz w:val="28"/>
          <w:szCs w:val="28"/>
          <w:lang w:eastAsia="zh-CN"/>
        </w:rPr>
        <w:t>区采购中心</w:t>
      </w:r>
      <w:r>
        <w:rPr>
          <w:rFonts w:hint="eastAsia" w:ascii="宋体" w:hAnsi="宋体"/>
          <w:color w:val="auto"/>
          <w:sz w:val="28"/>
          <w:szCs w:val="28"/>
        </w:rPr>
        <w:t>”)受</w:t>
      </w:r>
      <w:r>
        <w:rPr>
          <w:rFonts w:hint="eastAsia" w:ascii="宋体" w:hAnsi="宋体"/>
          <w:b/>
          <w:color w:val="auto"/>
          <w:sz w:val="28"/>
          <w:szCs w:val="28"/>
          <w:u w:val="single"/>
          <w:lang w:eastAsia="zh-CN"/>
        </w:rPr>
        <w:t>成都市锦江区殡葬服务中心</w:t>
      </w:r>
      <w:r>
        <w:rPr>
          <w:rFonts w:hint="eastAsia" w:ascii="宋体" w:hAnsi="宋体"/>
          <w:color w:val="auto"/>
          <w:sz w:val="28"/>
          <w:szCs w:val="28"/>
        </w:rPr>
        <w:t>委托，拟对</w:t>
      </w:r>
      <w:r>
        <w:rPr>
          <w:rFonts w:hint="eastAsia" w:ascii="宋体" w:hAnsi="宋体"/>
          <w:b/>
          <w:color w:val="auto"/>
          <w:sz w:val="28"/>
          <w:szCs w:val="28"/>
          <w:u w:val="single"/>
          <w:lang w:eastAsia="zh-CN"/>
        </w:rPr>
        <w:t>成都市锦江区殡葬服务中心悼念厅观光电梯及安装（二次）采购项目</w:t>
      </w:r>
      <w:r>
        <w:rPr>
          <w:rFonts w:hint="eastAsia" w:ascii="宋体" w:hAnsi="宋体"/>
          <w:color w:val="auto"/>
          <w:sz w:val="28"/>
          <w:szCs w:val="28"/>
        </w:rPr>
        <w:t>进行国内公开招标，兹邀请符合本次招标要求的供应商参加投标。</w:t>
      </w:r>
    </w:p>
    <w:p>
      <w:pPr>
        <w:numPr>
          <w:ilvl w:val="0"/>
          <w:numId w:val="6"/>
        </w:numPr>
        <w:spacing w:line="360" w:lineRule="auto"/>
        <w:ind w:left="0" w:firstLine="567"/>
        <w:rPr>
          <w:rFonts w:ascii="宋体" w:hAnsi="宋体"/>
          <w:b/>
          <w:color w:val="auto"/>
          <w:sz w:val="28"/>
          <w:szCs w:val="28"/>
        </w:rPr>
      </w:pPr>
      <w:r>
        <w:rPr>
          <w:rFonts w:hint="eastAsia" w:ascii="宋体" w:hAnsi="宋体"/>
          <w:b/>
          <w:color w:val="auto"/>
          <w:sz w:val="28"/>
          <w:szCs w:val="28"/>
        </w:rPr>
        <w:t>项目编号：</w:t>
      </w:r>
      <w:r>
        <w:rPr>
          <w:rFonts w:hint="eastAsia" w:ascii="宋体" w:hAnsi="宋体"/>
          <w:b/>
          <w:color w:val="auto"/>
          <w:sz w:val="28"/>
          <w:szCs w:val="28"/>
          <w:lang w:eastAsia="zh-CN"/>
        </w:rPr>
        <w:t xml:space="preserve"> 锦江政采（2021）A0013号-2</w:t>
      </w:r>
    </w:p>
    <w:p>
      <w:pPr>
        <w:spacing w:line="360" w:lineRule="auto"/>
        <w:rPr>
          <w:rFonts w:ascii="宋体" w:hAnsi="宋体"/>
          <w:b/>
          <w:color w:val="auto"/>
          <w:sz w:val="28"/>
          <w:szCs w:val="28"/>
        </w:rPr>
      </w:pPr>
      <w:r>
        <w:rPr>
          <w:rFonts w:hint="eastAsia" w:ascii="宋体" w:hAnsi="宋体"/>
          <w:b/>
          <w:color w:val="auto"/>
          <w:sz w:val="28"/>
          <w:szCs w:val="28"/>
        </w:rPr>
        <w:t>（采购项目编号：</w:t>
      </w:r>
      <w:r>
        <w:rPr>
          <w:rFonts w:hint="eastAsia" w:ascii="宋体" w:hAnsi="宋体"/>
          <w:color w:val="auto"/>
          <w:sz w:val="28"/>
          <w:szCs w:val="28"/>
        </w:rPr>
        <w:t>以四川省政府采购网采购公告中的项目编号为准</w:t>
      </w:r>
      <w:r>
        <w:rPr>
          <w:rFonts w:hint="eastAsia" w:ascii="宋体" w:hAnsi="宋体"/>
          <w:b/>
          <w:color w:val="auto"/>
          <w:sz w:val="28"/>
          <w:szCs w:val="28"/>
          <w:lang w:val="en-US" w:eastAsia="zh-CN"/>
        </w:rPr>
        <w:t xml:space="preserve"> </w:t>
      </w:r>
      <w:r>
        <w:rPr>
          <w:rFonts w:hint="eastAsia" w:ascii="宋体" w:hAnsi="宋体"/>
          <w:b/>
          <w:color w:val="auto"/>
          <w:sz w:val="28"/>
          <w:szCs w:val="28"/>
        </w:rPr>
        <w:t>）</w:t>
      </w:r>
      <w:r>
        <w:rPr>
          <w:rFonts w:ascii="宋体" w:hAnsi="宋体"/>
          <w:b/>
          <w:color w:val="auto"/>
          <w:sz w:val="28"/>
          <w:szCs w:val="28"/>
        </w:rPr>
        <w:t xml:space="preserve"> </w:t>
      </w:r>
    </w:p>
    <w:p>
      <w:pPr>
        <w:numPr>
          <w:ilvl w:val="0"/>
          <w:numId w:val="6"/>
        </w:numPr>
        <w:spacing w:line="360" w:lineRule="auto"/>
        <w:ind w:left="988"/>
        <w:rPr>
          <w:rFonts w:hint="eastAsia" w:ascii="宋体" w:hAnsi="宋体"/>
          <w:color w:val="auto"/>
          <w:sz w:val="28"/>
          <w:szCs w:val="28"/>
        </w:rPr>
      </w:pPr>
      <w:r>
        <w:rPr>
          <w:rFonts w:hint="eastAsia" w:ascii="宋体" w:hAnsi="宋体"/>
          <w:b/>
          <w:color w:val="auto"/>
          <w:sz w:val="28"/>
          <w:szCs w:val="28"/>
        </w:rPr>
        <w:t>项目名称：</w:t>
      </w:r>
      <w:r>
        <w:rPr>
          <w:rFonts w:hint="eastAsia" w:ascii="宋体" w:hAnsi="宋体"/>
          <w:b/>
          <w:color w:val="auto"/>
          <w:sz w:val="28"/>
          <w:szCs w:val="28"/>
          <w:lang w:eastAsia="zh-CN"/>
        </w:rPr>
        <w:t>成都市锦江区殡葬服务中心悼念厅观光电梯及安装（二次）采购项目</w:t>
      </w:r>
    </w:p>
    <w:p>
      <w:pPr>
        <w:numPr>
          <w:ilvl w:val="0"/>
          <w:numId w:val="6"/>
        </w:numPr>
        <w:spacing w:line="360" w:lineRule="auto"/>
        <w:ind w:left="8" w:leftChars="0" w:firstLine="560" w:firstLineChars="0"/>
        <w:rPr>
          <w:rFonts w:ascii="宋体" w:hAnsi="宋体"/>
          <w:b/>
          <w:color w:val="auto"/>
          <w:sz w:val="28"/>
          <w:szCs w:val="28"/>
        </w:rPr>
      </w:pPr>
      <w:r>
        <w:rPr>
          <w:rFonts w:hint="eastAsia" w:ascii="宋体" w:hAnsi="宋体"/>
          <w:b/>
          <w:color w:val="auto"/>
          <w:sz w:val="28"/>
          <w:szCs w:val="28"/>
        </w:rPr>
        <w:t>资金来源、预算金额</w:t>
      </w:r>
      <w:r>
        <w:rPr>
          <w:rFonts w:hint="eastAsia" w:ascii="宋体" w:hAnsi="宋体"/>
          <w:color w:val="auto"/>
          <w:sz w:val="28"/>
          <w:szCs w:val="28"/>
        </w:rPr>
        <w:t>及最高限价：财政性资金，政府采购实施计划备案表号：</w:t>
      </w:r>
      <w:r>
        <w:rPr>
          <w:rFonts w:hint="eastAsia" w:ascii="宋体" w:hAnsi="宋体"/>
          <w:color w:val="auto"/>
          <w:sz w:val="28"/>
          <w:szCs w:val="28"/>
        </w:rPr>
        <w:fldChar w:fldCharType="begin"/>
      </w:r>
      <w:r>
        <w:rPr>
          <w:rFonts w:hint="eastAsia" w:ascii="宋体" w:hAnsi="宋体"/>
          <w:color w:val="auto"/>
          <w:sz w:val="28"/>
          <w:szCs w:val="28"/>
        </w:rPr>
        <w:instrText xml:space="preserve"> HYPERLINK "https://pay.zcygov.cn/purchaseplan_front/" \l "/plan/list/detail?id=1000000000005621345&amp;encrypt=6f43e7cd69b3f163ea764053c1f6e840" \t "https://www.zcygov.cn/proj-procurement/project-result-detail/blank" </w:instrText>
      </w:r>
      <w:r>
        <w:rPr>
          <w:rFonts w:hint="eastAsia" w:ascii="宋体" w:hAnsi="宋体"/>
          <w:color w:val="auto"/>
          <w:sz w:val="28"/>
          <w:szCs w:val="28"/>
        </w:rPr>
        <w:fldChar w:fldCharType="separate"/>
      </w:r>
      <w:r>
        <w:rPr>
          <w:rFonts w:hint="default" w:ascii="宋体" w:hAnsi="宋体"/>
          <w:color w:val="auto"/>
          <w:sz w:val="28"/>
          <w:szCs w:val="28"/>
        </w:rPr>
        <w:t>(2021)0153号</w:t>
      </w:r>
      <w:r>
        <w:rPr>
          <w:rFonts w:hint="default" w:ascii="宋体" w:hAnsi="宋体"/>
          <w:color w:val="auto"/>
          <w:sz w:val="28"/>
          <w:szCs w:val="28"/>
        </w:rPr>
        <w:fldChar w:fldCharType="end"/>
      </w:r>
      <w:r>
        <w:rPr>
          <w:rFonts w:hint="eastAsia" w:ascii="宋体" w:hAnsi="宋体"/>
          <w:color w:val="auto"/>
          <w:sz w:val="28"/>
          <w:szCs w:val="28"/>
        </w:rPr>
        <w:t>；预算品目：A</w:t>
      </w:r>
      <w:r>
        <w:rPr>
          <w:rFonts w:hint="eastAsia" w:ascii="宋体" w:hAnsi="宋体"/>
          <w:color w:val="auto"/>
          <w:sz w:val="28"/>
          <w:szCs w:val="28"/>
          <w:lang w:val="en-US" w:eastAsia="zh-CN"/>
        </w:rPr>
        <w:t>02051228</w:t>
      </w:r>
      <w:r>
        <w:rPr>
          <w:rFonts w:hint="eastAsia" w:ascii="宋体" w:hAnsi="宋体"/>
          <w:color w:val="auto"/>
          <w:sz w:val="28"/>
          <w:szCs w:val="28"/>
          <w:lang w:eastAsia="zh-CN"/>
        </w:rPr>
        <w:t>电梯</w:t>
      </w:r>
      <w:r>
        <w:rPr>
          <w:rFonts w:hint="eastAsia" w:ascii="宋体" w:hAnsi="宋体"/>
          <w:color w:val="auto"/>
          <w:sz w:val="28"/>
          <w:szCs w:val="28"/>
        </w:rPr>
        <w:t>；预算金额：</w:t>
      </w:r>
      <w:r>
        <w:rPr>
          <w:rFonts w:hint="eastAsia" w:ascii="宋体" w:hAnsi="宋体"/>
          <w:color w:val="auto"/>
          <w:sz w:val="28"/>
          <w:szCs w:val="28"/>
          <w:lang w:val="en-US" w:eastAsia="zh-CN"/>
        </w:rPr>
        <w:t>58</w:t>
      </w:r>
      <w:r>
        <w:rPr>
          <w:rFonts w:hint="eastAsia" w:ascii="宋体" w:hAnsi="宋体"/>
          <w:color w:val="auto"/>
          <w:sz w:val="28"/>
          <w:szCs w:val="28"/>
        </w:rPr>
        <w:t>万元；最高限价：</w:t>
      </w:r>
      <w:r>
        <w:rPr>
          <w:rFonts w:hint="eastAsia" w:ascii="宋体" w:hAnsi="宋体"/>
          <w:color w:val="auto"/>
          <w:sz w:val="28"/>
          <w:szCs w:val="28"/>
          <w:lang w:val="en-US" w:eastAsia="zh-CN"/>
        </w:rPr>
        <w:t>58</w:t>
      </w:r>
      <w:r>
        <w:rPr>
          <w:rFonts w:hint="eastAsia" w:ascii="宋体" w:hAnsi="宋体"/>
          <w:color w:val="auto"/>
          <w:sz w:val="28"/>
          <w:szCs w:val="28"/>
        </w:rPr>
        <w:t>万元；采购标的及所属行业：</w:t>
      </w:r>
      <w:r>
        <w:rPr>
          <w:rFonts w:hint="eastAsia" w:ascii="宋体" w:hAnsi="宋体"/>
          <w:color w:val="auto"/>
          <w:sz w:val="28"/>
          <w:szCs w:val="28"/>
          <w:lang w:eastAsia="zh-CN"/>
        </w:rPr>
        <w:t>成都市锦江区殡葬服务中心悼念厅观光电梯及安装（二次）采购项目</w:t>
      </w:r>
      <w:r>
        <w:rPr>
          <w:rFonts w:hint="eastAsia" w:ascii="宋体" w:hAnsi="宋体"/>
          <w:color w:val="auto"/>
          <w:sz w:val="28"/>
          <w:szCs w:val="28"/>
        </w:rPr>
        <w:t>，所属行业为</w:t>
      </w:r>
      <w:r>
        <w:rPr>
          <w:rFonts w:hint="eastAsia" w:ascii="宋体" w:hAnsi="宋体"/>
          <w:color w:val="auto"/>
          <w:sz w:val="28"/>
          <w:szCs w:val="28"/>
          <w:lang w:eastAsia="zh-CN"/>
        </w:rPr>
        <w:t>电梯、自动扶梯及升降机制造</w:t>
      </w:r>
      <w:r>
        <w:rPr>
          <w:rFonts w:hint="eastAsia" w:ascii="宋体" w:hAnsi="宋体"/>
          <w:color w:val="auto"/>
          <w:sz w:val="28"/>
          <w:szCs w:val="28"/>
        </w:rPr>
        <w:t>。采购</w:t>
      </w:r>
      <w:r>
        <w:rPr>
          <w:rFonts w:hint="eastAsia" w:ascii="宋体" w:hAnsi="宋体"/>
          <w:color w:val="auto"/>
          <w:sz w:val="28"/>
          <w:szCs w:val="28"/>
          <w:lang w:eastAsia="zh-CN"/>
        </w:rPr>
        <w:t>成都市锦江区殡葬服务中心悼念厅观光电梯采购及安装项</w:t>
      </w:r>
      <w:r>
        <w:rPr>
          <w:rFonts w:hint="eastAsia" w:ascii="宋体" w:hAnsi="宋体"/>
          <w:color w:val="auto"/>
          <w:sz w:val="28"/>
          <w:szCs w:val="28"/>
        </w:rPr>
        <w:t>供应商</w:t>
      </w:r>
      <w:r>
        <w:rPr>
          <w:rFonts w:hint="eastAsia" w:ascii="宋体" w:hAnsi="宋体"/>
          <w:color w:val="auto"/>
          <w:sz w:val="28"/>
          <w:szCs w:val="28"/>
          <w:lang w:val="en-US" w:eastAsia="zh-CN"/>
        </w:rPr>
        <w:t>一</w:t>
      </w:r>
      <w:r>
        <w:rPr>
          <w:rFonts w:hint="eastAsia" w:ascii="宋体" w:hAnsi="宋体"/>
          <w:color w:val="auto"/>
          <w:sz w:val="28"/>
          <w:szCs w:val="28"/>
        </w:rPr>
        <w:t>名。</w:t>
      </w:r>
    </w:p>
    <w:p>
      <w:pPr>
        <w:numPr>
          <w:ilvl w:val="0"/>
          <w:numId w:val="6"/>
        </w:numPr>
        <w:spacing w:line="360" w:lineRule="auto"/>
        <w:ind w:left="0" w:firstLine="562" w:firstLineChars="200"/>
        <w:rPr>
          <w:rFonts w:ascii="宋体" w:hAnsi="宋体"/>
          <w:color w:val="auto"/>
          <w:sz w:val="28"/>
          <w:szCs w:val="28"/>
        </w:rPr>
      </w:pPr>
      <w:r>
        <w:rPr>
          <w:rFonts w:hint="eastAsia" w:ascii="宋体" w:hAnsi="宋体"/>
          <w:b/>
          <w:color w:val="auto"/>
          <w:sz w:val="28"/>
          <w:szCs w:val="28"/>
        </w:rPr>
        <w:t>招标项目简介</w:t>
      </w:r>
    </w:p>
    <w:p>
      <w:pPr>
        <w:tabs>
          <w:tab w:val="left" w:pos="851"/>
        </w:tabs>
        <w:spacing w:line="360" w:lineRule="auto"/>
        <w:ind w:firstLine="566" w:firstLineChars="202"/>
        <w:rPr>
          <w:rFonts w:ascii="宋体" w:hAnsi="宋体"/>
          <w:b/>
          <w:bCs/>
          <w:color w:val="auto"/>
          <w:sz w:val="28"/>
          <w:szCs w:val="32"/>
        </w:rPr>
      </w:pPr>
      <w:r>
        <w:rPr>
          <w:rFonts w:hint="eastAsia" w:ascii="宋体" w:hAnsi="宋体"/>
          <w:color w:val="auto"/>
          <w:sz w:val="28"/>
          <w:szCs w:val="28"/>
          <w:lang w:eastAsia="zh-CN"/>
        </w:rPr>
        <w:t>成都市锦江区殡葬服务中心</w:t>
      </w:r>
      <w:r>
        <w:rPr>
          <w:rFonts w:hint="eastAsia" w:ascii="宋体" w:hAnsi="宋体"/>
          <w:color w:val="auto"/>
          <w:sz w:val="28"/>
          <w:szCs w:val="28"/>
        </w:rPr>
        <w:t>采购</w:t>
      </w:r>
      <w:r>
        <w:rPr>
          <w:rFonts w:hint="eastAsia" w:ascii="宋体" w:hAnsi="宋体"/>
          <w:color w:val="auto"/>
          <w:sz w:val="28"/>
          <w:szCs w:val="28"/>
          <w:lang w:eastAsia="zh-CN"/>
        </w:rPr>
        <w:t>电梯一台。</w:t>
      </w:r>
    </w:p>
    <w:p>
      <w:pPr>
        <w:spacing w:line="360" w:lineRule="auto"/>
        <w:ind w:firstLine="560" w:firstLineChars="200"/>
        <w:rPr>
          <w:rFonts w:ascii="宋体" w:hAnsi="宋体"/>
          <w:color w:val="auto"/>
          <w:sz w:val="28"/>
          <w:szCs w:val="28"/>
        </w:rPr>
      </w:pPr>
      <w:r>
        <w:rPr>
          <w:rFonts w:hint="eastAsia" w:ascii="宋体" w:hAnsi="宋体"/>
          <w:color w:val="auto"/>
          <w:sz w:val="28"/>
          <w:szCs w:val="28"/>
        </w:rPr>
        <w:t>详细的技术、服务、商务及其他要求见招标文件第4章。</w:t>
      </w:r>
    </w:p>
    <w:p>
      <w:pPr>
        <w:numPr>
          <w:ilvl w:val="0"/>
          <w:numId w:val="6"/>
        </w:numPr>
        <w:spacing w:line="360" w:lineRule="auto"/>
        <w:ind w:left="0" w:firstLine="567"/>
        <w:rPr>
          <w:rFonts w:hint="eastAsia" w:ascii="宋体" w:hAnsi="宋体"/>
          <w:b w:val="0"/>
          <w:bCs/>
          <w:color w:val="auto"/>
          <w:sz w:val="28"/>
          <w:szCs w:val="28"/>
        </w:rPr>
      </w:pPr>
      <w:r>
        <w:rPr>
          <w:rFonts w:hint="eastAsia" w:ascii="宋体" w:hAnsi="宋体"/>
          <w:b/>
          <w:color w:val="auto"/>
          <w:sz w:val="28"/>
          <w:szCs w:val="28"/>
        </w:rPr>
        <w:t>定向采购情况：</w:t>
      </w:r>
      <w:r>
        <w:rPr>
          <w:rFonts w:hint="eastAsia" w:ascii="宋体" w:hAnsi="宋体"/>
          <w:b w:val="0"/>
          <w:bCs/>
          <w:color w:val="auto"/>
          <w:sz w:val="28"/>
          <w:szCs w:val="28"/>
        </w:rPr>
        <w:t>本项目为专门面向中小企业采购项目，投标人提供的货物全部由符合政策要求的中小企业制造；（说明：监狱企业、残疾人福利性单位视同小型、微型企业）</w:t>
      </w:r>
      <w:r>
        <w:rPr>
          <w:rFonts w:hint="eastAsia" w:ascii="宋体" w:hAnsi="宋体"/>
          <w:b w:val="0"/>
          <w:bCs/>
          <w:color w:val="auto"/>
          <w:sz w:val="28"/>
          <w:szCs w:val="28"/>
          <w:lang w:eastAsia="zh-CN"/>
        </w:rPr>
        <w:t>。</w:t>
      </w:r>
    </w:p>
    <w:p>
      <w:pPr>
        <w:numPr>
          <w:ilvl w:val="0"/>
          <w:numId w:val="6"/>
        </w:numPr>
        <w:spacing w:line="360" w:lineRule="auto"/>
        <w:ind w:left="0" w:firstLine="567"/>
        <w:rPr>
          <w:rFonts w:ascii="宋体" w:hAnsi="宋体"/>
          <w:b/>
          <w:color w:val="auto"/>
          <w:sz w:val="28"/>
          <w:szCs w:val="28"/>
        </w:rPr>
      </w:pPr>
      <w:r>
        <w:rPr>
          <w:rFonts w:hint="eastAsia" w:ascii="宋体" w:hAnsi="宋体"/>
          <w:b/>
          <w:color w:val="auto"/>
          <w:sz w:val="28"/>
          <w:szCs w:val="28"/>
        </w:rPr>
        <w:t>供应商参加本次政府采购活动应具备的条件</w:t>
      </w:r>
    </w:p>
    <w:p>
      <w:pPr>
        <w:numPr>
          <w:ilvl w:val="1"/>
          <w:numId w:val="7"/>
        </w:numPr>
        <w:tabs>
          <w:tab w:val="left" w:pos="1260"/>
        </w:tabs>
        <w:spacing w:line="360" w:lineRule="auto"/>
        <w:ind w:left="0" w:firstLine="630"/>
        <w:rPr>
          <w:rFonts w:hint="eastAsia" w:ascii="宋体" w:hAnsi="宋体"/>
          <w:color w:val="auto"/>
          <w:sz w:val="28"/>
          <w:szCs w:val="28"/>
        </w:rPr>
      </w:pPr>
      <w:r>
        <w:rPr>
          <w:rFonts w:hint="eastAsia" w:ascii="宋体" w:hAnsi="宋体"/>
          <w:color w:val="auto"/>
          <w:sz w:val="28"/>
          <w:szCs w:val="28"/>
        </w:rPr>
        <w:t>符合《政府采购法》第二十二条第一款规定的条件</w:t>
      </w:r>
      <w:r>
        <w:rPr>
          <w:rFonts w:hint="eastAsia" w:ascii="宋体" w:hAnsi="宋体"/>
          <w:color w:val="auto"/>
          <w:sz w:val="28"/>
          <w:szCs w:val="28"/>
          <w:lang w:eastAsia="zh-CN"/>
        </w:rPr>
        <w:t>；</w:t>
      </w:r>
    </w:p>
    <w:p>
      <w:pPr>
        <w:numPr>
          <w:ilvl w:val="1"/>
          <w:numId w:val="7"/>
        </w:numPr>
        <w:tabs>
          <w:tab w:val="left" w:pos="1260"/>
        </w:tabs>
        <w:spacing w:line="360" w:lineRule="auto"/>
        <w:ind w:left="0" w:firstLine="630"/>
        <w:rPr>
          <w:rFonts w:hint="eastAsia" w:ascii="宋体" w:hAnsi="宋体"/>
          <w:color w:val="auto"/>
          <w:sz w:val="28"/>
          <w:szCs w:val="28"/>
        </w:rPr>
      </w:pPr>
      <w:r>
        <w:rPr>
          <w:rFonts w:hint="eastAsia" w:ascii="宋体" w:hAnsi="宋体"/>
          <w:color w:val="auto"/>
          <w:sz w:val="28"/>
          <w:szCs w:val="28"/>
        </w:rPr>
        <w:t>本项目为专门面向中小企业采购项目，投标人提供的货物全部由符合政策要求的中小企业制造；（说明：监狱企业、残疾人福利性单位视同小型、微型企业）；</w:t>
      </w:r>
    </w:p>
    <w:p>
      <w:pPr>
        <w:numPr>
          <w:ilvl w:val="1"/>
          <w:numId w:val="7"/>
        </w:numPr>
        <w:tabs>
          <w:tab w:val="left" w:pos="1260"/>
        </w:tabs>
        <w:spacing w:line="360" w:lineRule="auto"/>
        <w:ind w:left="0" w:firstLine="630"/>
        <w:rPr>
          <w:rFonts w:hint="eastAsia" w:ascii="宋体" w:hAnsi="宋体"/>
          <w:color w:val="auto"/>
          <w:sz w:val="28"/>
          <w:szCs w:val="28"/>
        </w:rPr>
      </w:pPr>
      <w:r>
        <w:rPr>
          <w:rFonts w:hint="eastAsia" w:ascii="宋体" w:hAnsi="宋体"/>
          <w:color w:val="auto"/>
          <w:sz w:val="28"/>
          <w:szCs w:val="28"/>
        </w:rPr>
        <w:t>在中华人民共和国境内依法登记注册，并有效存续具有独立法人资</w:t>
      </w:r>
      <w:r>
        <w:rPr>
          <w:rFonts w:hint="eastAsia" w:ascii="宋体" w:hAnsi="宋体"/>
          <w:color w:val="000000" w:themeColor="text1"/>
          <w:sz w:val="28"/>
          <w:szCs w:val="28"/>
          <w14:textFill>
            <w14:solidFill>
              <w14:schemeClr w14:val="tx1"/>
            </w14:solidFill>
          </w14:textFill>
        </w:rPr>
        <w:t>格的</w:t>
      </w:r>
      <w:r>
        <w:rPr>
          <w:rFonts w:hint="eastAsia" w:ascii="宋体" w:hAnsi="宋体"/>
          <w:color w:val="000000" w:themeColor="text1"/>
          <w:sz w:val="28"/>
          <w:szCs w:val="28"/>
          <w:lang w:eastAsia="zh-CN"/>
          <w14:textFill>
            <w14:solidFill>
              <w14:schemeClr w14:val="tx1"/>
            </w14:solidFill>
          </w14:textFill>
        </w:rPr>
        <w:t>供应商</w:t>
      </w:r>
      <w:r>
        <w:rPr>
          <w:rFonts w:hint="eastAsia" w:ascii="宋体" w:hAnsi="宋体"/>
          <w:color w:val="000000" w:themeColor="text1"/>
          <w:sz w:val="28"/>
          <w:szCs w:val="28"/>
          <w14:textFill>
            <w14:solidFill>
              <w14:schemeClr w14:val="tx1"/>
            </w14:solidFill>
          </w14:textFill>
        </w:rPr>
        <w:t>；</w:t>
      </w:r>
    </w:p>
    <w:p>
      <w:pPr>
        <w:numPr>
          <w:ilvl w:val="1"/>
          <w:numId w:val="7"/>
        </w:numPr>
        <w:tabs>
          <w:tab w:val="left" w:pos="1260"/>
        </w:tabs>
        <w:spacing w:line="360" w:lineRule="auto"/>
        <w:ind w:left="0" w:firstLine="630"/>
        <w:rPr>
          <w:rFonts w:hint="eastAsia" w:ascii="宋体" w:hAnsi="宋体"/>
          <w:color w:val="auto"/>
          <w:sz w:val="28"/>
          <w:szCs w:val="28"/>
        </w:rPr>
      </w:pPr>
      <w:r>
        <w:rPr>
          <w:rFonts w:hint="eastAsia" w:ascii="宋体" w:hAnsi="宋体"/>
          <w:color w:val="auto"/>
          <w:sz w:val="28"/>
          <w:szCs w:val="28"/>
        </w:rPr>
        <w:t>未被列入失信被执行人、重大税收违法案件当事人名单、政府采购严重违法失信行为记录名单；</w:t>
      </w:r>
    </w:p>
    <w:p>
      <w:pPr>
        <w:numPr>
          <w:ilvl w:val="1"/>
          <w:numId w:val="7"/>
        </w:numPr>
        <w:tabs>
          <w:tab w:val="left" w:pos="1260"/>
        </w:tabs>
        <w:spacing w:line="360" w:lineRule="auto"/>
        <w:ind w:left="0" w:firstLine="630"/>
        <w:rPr>
          <w:rFonts w:hint="eastAsia" w:ascii="宋体" w:hAnsi="宋体"/>
          <w:color w:val="auto"/>
          <w:sz w:val="28"/>
          <w:szCs w:val="28"/>
        </w:rPr>
      </w:pPr>
      <w:r>
        <w:rPr>
          <w:rFonts w:hint="eastAsia" w:ascii="宋体" w:hAnsi="宋体"/>
          <w:color w:val="auto"/>
          <w:sz w:val="28"/>
          <w:szCs w:val="28"/>
        </w:rPr>
        <w:t>在行贿犯罪信息查询期限内，投标人及其现任法定代表人、主要负责人没有行贿犯罪记录；</w:t>
      </w:r>
    </w:p>
    <w:p>
      <w:pPr>
        <w:numPr>
          <w:ilvl w:val="1"/>
          <w:numId w:val="7"/>
        </w:numPr>
        <w:tabs>
          <w:tab w:val="left" w:pos="1260"/>
        </w:tabs>
        <w:spacing w:line="360" w:lineRule="auto"/>
        <w:ind w:left="0" w:firstLine="630"/>
        <w:rPr>
          <w:rFonts w:hint="eastAsia" w:ascii="宋体" w:hAnsi="宋体"/>
          <w:color w:val="auto"/>
          <w:sz w:val="28"/>
          <w:szCs w:val="28"/>
        </w:rPr>
      </w:pPr>
      <w:r>
        <w:rPr>
          <w:rFonts w:hint="eastAsia" w:ascii="宋体" w:hAnsi="宋体"/>
          <w:color w:val="auto"/>
          <w:sz w:val="28"/>
          <w:szCs w:val="28"/>
        </w:rPr>
        <w:t>未处于被行政部门禁止参与政府采购活动的期限内；</w:t>
      </w:r>
    </w:p>
    <w:p>
      <w:pPr>
        <w:numPr>
          <w:ilvl w:val="1"/>
          <w:numId w:val="7"/>
        </w:numPr>
        <w:tabs>
          <w:tab w:val="left" w:pos="1260"/>
        </w:tabs>
        <w:spacing w:line="360" w:lineRule="auto"/>
        <w:ind w:left="0" w:firstLine="630"/>
        <w:rPr>
          <w:rFonts w:hint="eastAsia" w:ascii="宋体" w:hAnsi="宋体"/>
          <w:color w:val="auto"/>
          <w:sz w:val="28"/>
          <w:szCs w:val="28"/>
        </w:rPr>
      </w:pPr>
      <w:r>
        <w:rPr>
          <w:rFonts w:hint="eastAsia" w:ascii="宋体" w:hAnsi="宋体"/>
          <w:color w:val="auto"/>
          <w:sz w:val="28"/>
          <w:szCs w:val="28"/>
        </w:rPr>
        <w:t>不属于其他国家相关法律法规规定的禁止参加投标的供应商；</w:t>
      </w:r>
    </w:p>
    <w:p>
      <w:pPr>
        <w:numPr>
          <w:ilvl w:val="1"/>
          <w:numId w:val="7"/>
        </w:numPr>
        <w:tabs>
          <w:tab w:val="left" w:pos="1260"/>
        </w:tabs>
        <w:spacing w:line="360" w:lineRule="auto"/>
        <w:ind w:left="0" w:firstLine="630"/>
        <w:rPr>
          <w:rFonts w:hint="eastAsia" w:ascii="宋体" w:hAnsi="宋体"/>
          <w:color w:val="auto"/>
          <w:sz w:val="28"/>
          <w:szCs w:val="28"/>
          <w:lang w:val="zh-CN"/>
        </w:rPr>
      </w:pPr>
      <w:r>
        <w:rPr>
          <w:rFonts w:hint="eastAsia" w:ascii="宋体" w:hAnsi="宋体"/>
          <w:color w:val="auto"/>
          <w:sz w:val="28"/>
          <w:szCs w:val="28"/>
          <w:lang w:val="en-US" w:eastAsia="zh-CN"/>
        </w:rPr>
        <w:t>具有</w:t>
      </w:r>
      <w:r>
        <w:rPr>
          <w:rFonts w:hint="eastAsia" w:ascii="宋体" w:hAnsi="宋体"/>
          <w:color w:val="auto"/>
          <w:sz w:val="28"/>
          <w:szCs w:val="28"/>
          <w:lang w:val="zh-CN"/>
        </w:rPr>
        <w:t>国家行政主管部门颁发且在有效期内的《中华人民共和国特种设备生产许可证》(含安装、修理、改造许可)；</w:t>
      </w:r>
    </w:p>
    <w:p>
      <w:pPr>
        <w:numPr>
          <w:ilvl w:val="1"/>
          <w:numId w:val="7"/>
        </w:numPr>
        <w:tabs>
          <w:tab w:val="left" w:pos="1260"/>
        </w:tabs>
        <w:spacing w:line="360" w:lineRule="auto"/>
        <w:ind w:left="0" w:firstLine="630"/>
        <w:rPr>
          <w:rFonts w:hint="eastAsia" w:ascii="宋体" w:hAnsi="宋体"/>
          <w:color w:val="auto"/>
          <w:sz w:val="28"/>
          <w:szCs w:val="28"/>
          <w:lang w:val="zh-CN"/>
        </w:rPr>
      </w:pPr>
      <w:r>
        <w:rPr>
          <w:rFonts w:hint="eastAsia" w:ascii="宋体" w:hAnsi="宋体"/>
          <w:color w:val="auto"/>
          <w:sz w:val="28"/>
          <w:szCs w:val="28"/>
          <w:lang w:val="en-US" w:eastAsia="zh-CN"/>
        </w:rPr>
        <w:t>具有</w:t>
      </w:r>
      <w:r>
        <w:rPr>
          <w:rFonts w:hint="eastAsia" w:ascii="宋体" w:hAnsi="宋体"/>
          <w:color w:val="auto"/>
          <w:sz w:val="28"/>
          <w:szCs w:val="28"/>
          <w:lang w:val="zh-CN"/>
        </w:rPr>
        <w:t>国家行政主管部门颁发且在有效期内的建筑施工总承包三级及以上资质；</w:t>
      </w:r>
    </w:p>
    <w:p>
      <w:pPr>
        <w:numPr>
          <w:ilvl w:val="1"/>
          <w:numId w:val="7"/>
        </w:numPr>
        <w:tabs>
          <w:tab w:val="left" w:pos="1260"/>
        </w:tabs>
        <w:spacing w:line="360" w:lineRule="auto"/>
        <w:ind w:left="0" w:firstLine="630"/>
        <w:rPr>
          <w:rFonts w:hint="eastAsia" w:ascii="宋体" w:hAnsi="宋体"/>
          <w:color w:val="auto"/>
          <w:sz w:val="28"/>
          <w:szCs w:val="28"/>
          <w:lang w:val="en-US" w:eastAsia="zh-CN"/>
        </w:rPr>
      </w:pPr>
      <w:r>
        <w:rPr>
          <w:rFonts w:hint="eastAsia" w:ascii="宋体" w:hAnsi="宋体"/>
          <w:color w:val="auto"/>
          <w:sz w:val="28"/>
          <w:szCs w:val="28"/>
          <w:lang w:val="en-US" w:eastAsia="zh-CN"/>
        </w:rPr>
        <w:t>具有</w:t>
      </w:r>
      <w:r>
        <w:rPr>
          <w:rFonts w:hint="eastAsia" w:ascii="宋体" w:hAnsi="宋体"/>
          <w:color w:val="auto"/>
          <w:sz w:val="28"/>
          <w:szCs w:val="28"/>
          <w:lang w:val="zh-CN"/>
        </w:rPr>
        <w:t>国家行政主管部门颁发且在有效期内的安全生产许可证；</w:t>
      </w:r>
    </w:p>
    <w:p>
      <w:pPr>
        <w:numPr>
          <w:ilvl w:val="1"/>
          <w:numId w:val="7"/>
        </w:numPr>
        <w:tabs>
          <w:tab w:val="left" w:pos="1260"/>
        </w:tabs>
        <w:spacing w:line="360" w:lineRule="auto"/>
        <w:ind w:left="0" w:firstLine="630"/>
        <w:rPr>
          <w:rFonts w:hint="eastAsia" w:ascii="宋体" w:hAnsi="宋体"/>
          <w:color w:val="auto"/>
          <w:sz w:val="28"/>
          <w:szCs w:val="28"/>
        </w:rPr>
      </w:pPr>
      <w:r>
        <w:rPr>
          <w:rFonts w:hint="eastAsia" w:ascii="宋体" w:hAnsi="宋体"/>
          <w:color w:val="auto"/>
          <w:sz w:val="28"/>
          <w:szCs w:val="28"/>
        </w:rPr>
        <w:t>本项目接受联合体投标。</w:t>
      </w:r>
    </w:p>
    <w:p>
      <w:pPr>
        <w:numPr>
          <w:ilvl w:val="0"/>
          <w:numId w:val="6"/>
        </w:numPr>
        <w:spacing w:line="360" w:lineRule="auto"/>
        <w:ind w:left="0" w:firstLine="567"/>
        <w:rPr>
          <w:rFonts w:ascii="宋体" w:hAnsi="宋体"/>
          <w:i/>
          <w:color w:val="auto"/>
          <w:sz w:val="28"/>
        </w:rPr>
      </w:pPr>
      <w:r>
        <w:rPr>
          <w:rFonts w:hint="eastAsia" w:ascii="宋体" w:hAnsi="宋体"/>
          <w:b/>
          <w:color w:val="auto"/>
          <w:sz w:val="28"/>
          <w:szCs w:val="28"/>
        </w:rPr>
        <w:t>招标文件获取时间</w:t>
      </w:r>
    </w:p>
    <w:p>
      <w:pPr>
        <w:numPr>
          <w:ilvl w:val="0"/>
          <w:numId w:val="8"/>
        </w:numPr>
        <w:spacing w:line="360" w:lineRule="auto"/>
        <w:ind w:left="0" w:firstLine="567"/>
        <w:rPr>
          <w:rFonts w:ascii="宋体" w:hAnsi="宋体"/>
          <w:color w:val="FF0000"/>
          <w:sz w:val="28"/>
        </w:rPr>
      </w:pPr>
      <w:r>
        <w:rPr>
          <w:rFonts w:hint="eastAsia" w:ascii="宋体" w:hAnsi="宋体"/>
          <w:color w:val="auto"/>
          <w:sz w:val="28"/>
          <w:szCs w:val="28"/>
        </w:rPr>
        <w:t>招标文件获取时间：</w:t>
      </w:r>
      <w:r>
        <w:rPr>
          <w:rFonts w:hint="eastAsia" w:ascii="宋体" w:hAnsi="宋体"/>
          <w:color w:val="FF0000"/>
          <w:sz w:val="28"/>
          <w:szCs w:val="28"/>
        </w:rPr>
        <w:t>2021年</w:t>
      </w:r>
      <w:r>
        <w:rPr>
          <w:rFonts w:hint="eastAsia" w:ascii="宋体" w:hAnsi="宋体"/>
          <w:color w:val="FF0000"/>
          <w:sz w:val="28"/>
          <w:szCs w:val="28"/>
          <w:lang w:val="en-US" w:eastAsia="zh-CN"/>
        </w:rPr>
        <w:t>10</w:t>
      </w:r>
      <w:r>
        <w:rPr>
          <w:rFonts w:hint="eastAsia" w:ascii="宋体" w:hAnsi="宋体"/>
          <w:color w:val="FF0000"/>
          <w:sz w:val="28"/>
          <w:szCs w:val="28"/>
        </w:rPr>
        <w:t>月</w:t>
      </w:r>
      <w:r>
        <w:rPr>
          <w:rFonts w:hint="eastAsia" w:ascii="宋体" w:hAnsi="宋体"/>
          <w:color w:val="FF0000"/>
          <w:sz w:val="28"/>
          <w:szCs w:val="28"/>
          <w:lang w:val="en-US" w:eastAsia="zh-CN"/>
        </w:rPr>
        <w:t xml:space="preserve">  25 </w:t>
      </w:r>
      <w:r>
        <w:rPr>
          <w:rFonts w:hint="eastAsia" w:ascii="宋体" w:hAnsi="宋体"/>
          <w:color w:val="FF0000"/>
          <w:sz w:val="28"/>
          <w:szCs w:val="28"/>
        </w:rPr>
        <w:t>日至</w:t>
      </w:r>
      <w:r>
        <w:rPr>
          <w:rFonts w:hint="eastAsia" w:ascii="宋体" w:hAnsi="宋体"/>
          <w:color w:val="FF0000"/>
          <w:sz w:val="28"/>
          <w:szCs w:val="28"/>
          <w:lang w:val="en-US" w:eastAsia="zh-CN"/>
        </w:rPr>
        <w:t xml:space="preserve">11 </w:t>
      </w:r>
      <w:r>
        <w:rPr>
          <w:rFonts w:hint="eastAsia" w:ascii="宋体" w:hAnsi="宋体"/>
          <w:color w:val="FF0000"/>
          <w:sz w:val="28"/>
          <w:szCs w:val="28"/>
        </w:rPr>
        <w:t>月</w:t>
      </w:r>
      <w:r>
        <w:rPr>
          <w:rFonts w:hint="eastAsia" w:ascii="宋体" w:hAnsi="宋体"/>
          <w:color w:val="FF0000"/>
          <w:sz w:val="28"/>
          <w:szCs w:val="28"/>
          <w:lang w:val="en-US" w:eastAsia="zh-CN"/>
        </w:rPr>
        <w:t xml:space="preserve"> 14  </w:t>
      </w:r>
      <w:r>
        <w:rPr>
          <w:rFonts w:hint="eastAsia" w:ascii="宋体" w:hAnsi="宋体"/>
          <w:color w:val="FF0000"/>
          <w:sz w:val="28"/>
          <w:szCs w:val="28"/>
        </w:rPr>
        <w:t>日。</w:t>
      </w:r>
    </w:p>
    <w:p>
      <w:pPr>
        <w:numPr>
          <w:ilvl w:val="0"/>
          <w:numId w:val="8"/>
        </w:numPr>
        <w:spacing w:line="360" w:lineRule="auto"/>
        <w:ind w:left="0" w:firstLine="567"/>
        <w:rPr>
          <w:rFonts w:ascii="宋体" w:hAnsi="宋体"/>
          <w:color w:val="FF0000"/>
          <w:sz w:val="28"/>
          <w:szCs w:val="28"/>
        </w:rPr>
      </w:pPr>
      <w:r>
        <w:rPr>
          <w:rFonts w:hint="eastAsia" w:ascii="宋体" w:hAnsi="宋体"/>
          <w:color w:val="auto"/>
          <w:sz w:val="28"/>
          <w:szCs w:val="28"/>
        </w:rPr>
        <w:t>公告期限：</w:t>
      </w:r>
      <w:r>
        <w:rPr>
          <w:rFonts w:hint="eastAsia" w:ascii="宋体" w:hAnsi="宋体"/>
          <w:color w:val="FF0000"/>
          <w:sz w:val="28"/>
          <w:szCs w:val="28"/>
        </w:rPr>
        <w:t>2021年</w:t>
      </w:r>
      <w:r>
        <w:rPr>
          <w:rFonts w:hint="eastAsia" w:ascii="宋体" w:hAnsi="宋体"/>
          <w:color w:val="FF0000"/>
          <w:sz w:val="28"/>
          <w:szCs w:val="28"/>
          <w:lang w:val="en-US" w:eastAsia="zh-CN"/>
        </w:rPr>
        <w:t>10</w:t>
      </w:r>
      <w:r>
        <w:rPr>
          <w:rFonts w:hint="eastAsia" w:ascii="宋体" w:hAnsi="宋体"/>
          <w:color w:val="FF0000"/>
          <w:sz w:val="28"/>
          <w:szCs w:val="28"/>
        </w:rPr>
        <w:t>月</w:t>
      </w:r>
      <w:r>
        <w:rPr>
          <w:rFonts w:hint="eastAsia" w:ascii="宋体" w:hAnsi="宋体"/>
          <w:color w:val="FF0000"/>
          <w:sz w:val="28"/>
          <w:szCs w:val="28"/>
          <w:lang w:val="en-US" w:eastAsia="zh-CN"/>
        </w:rPr>
        <w:t xml:space="preserve"> 25</w:t>
      </w:r>
      <w:r>
        <w:rPr>
          <w:rFonts w:hint="eastAsia" w:ascii="宋体" w:hAnsi="宋体"/>
          <w:color w:val="FF0000"/>
          <w:sz w:val="28"/>
          <w:szCs w:val="28"/>
        </w:rPr>
        <w:t>日至</w:t>
      </w:r>
      <w:r>
        <w:rPr>
          <w:rFonts w:hint="eastAsia" w:ascii="宋体" w:hAnsi="宋体"/>
          <w:color w:val="FF0000"/>
          <w:sz w:val="28"/>
          <w:szCs w:val="28"/>
          <w:lang w:val="en-US" w:eastAsia="zh-CN"/>
        </w:rPr>
        <w:t xml:space="preserve">10 </w:t>
      </w:r>
      <w:r>
        <w:rPr>
          <w:rFonts w:hint="eastAsia" w:ascii="宋体" w:hAnsi="宋体"/>
          <w:color w:val="FF0000"/>
          <w:sz w:val="28"/>
          <w:szCs w:val="28"/>
        </w:rPr>
        <w:t>月</w:t>
      </w:r>
      <w:r>
        <w:rPr>
          <w:rFonts w:hint="eastAsia" w:ascii="宋体" w:hAnsi="宋体"/>
          <w:color w:val="FF0000"/>
          <w:sz w:val="28"/>
          <w:szCs w:val="28"/>
          <w:lang w:val="en-US" w:eastAsia="zh-CN"/>
        </w:rPr>
        <w:t xml:space="preserve"> 29 </w:t>
      </w:r>
      <w:r>
        <w:rPr>
          <w:rFonts w:hint="eastAsia" w:ascii="宋体" w:hAnsi="宋体"/>
          <w:color w:val="FF0000"/>
          <w:sz w:val="28"/>
          <w:szCs w:val="28"/>
        </w:rPr>
        <w:t>日。</w:t>
      </w:r>
    </w:p>
    <w:p>
      <w:pPr>
        <w:numPr>
          <w:ilvl w:val="0"/>
          <w:numId w:val="6"/>
        </w:numPr>
        <w:spacing w:line="360" w:lineRule="auto"/>
        <w:ind w:left="0" w:firstLine="567"/>
        <w:rPr>
          <w:rFonts w:ascii="宋体" w:hAnsi="宋体"/>
          <w:b/>
          <w:color w:val="auto"/>
          <w:sz w:val="28"/>
          <w:szCs w:val="28"/>
        </w:rPr>
      </w:pPr>
      <w:r>
        <w:rPr>
          <w:rFonts w:hint="eastAsia" w:ascii="宋体" w:hAnsi="宋体"/>
          <w:b/>
          <w:color w:val="auto"/>
          <w:sz w:val="28"/>
          <w:szCs w:val="28"/>
        </w:rPr>
        <w:t>招标文件获取方式</w:t>
      </w:r>
    </w:p>
    <w:p>
      <w:pPr>
        <w:spacing w:line="360" w:lineRule="auto"/>
        <w:ind w:firstLine="646" w:firstLineChars="202"/>
        <w:rPr>
          <w:rFonts w:ascii="宋体" w:hAnsi="宋体" w:eastAsia="宋体"/>
          <w:color w:val="auto"/>
          <w:sz w:val="32"/>
          <w:szCs w:val="32"/>
        </w:rPr>
      </w:pPr>
      <w:r>
        <w:rPr>
          <w:rFonts w:hint="eastAsia" w:ascii="宋体" w:hAnsi="宋体"/>
          <w:color w:val="auto"/>
          <w:sz w:val="28"/>
          <w:szCs w:val="28"/>
        </w:rPr>
        <w:t>投标人要参加投标，</w:t>
      </w:r>
      <w:r>
        <w:rPr>
          <w:rFonts w:hint="eastAsia" w:ascii="宋体" w:hAnsi="宋体" w:eastAsia="宋体"/>
          <w:color w:val="auto"/>
          <w:sz w:val="32"/>
          <w:szCs w:val="32"/>
        </w:rPr>
        <w:t>应在“政府采购云平台（</w:t>
      </w:r>
      <w:r>
        <w:rPr>
          <w:color w:val="auto"/>
        </w:rPr>
        <w:fldChar w:fldCharType="begin"/>
      </w:r>
      <w:r>
        <w:rPr>
          <w:color w:val="auto"/>
        </w:rPr>
        <w:instrText xml:space="preserve"> HYPERLINK "http://www.zcygov.cn" </w:instrText>
      </w:r>
      <w:r>
        <w:rPr>
          <w:color w:val="auto"/>
        </w:rPr>
        <w:fldChar w:fldCharType="separate"/>
      </w:r>
      <w:r>
        <w:rPr>
          <w:rFonts w:ascii="宋体" w:hAnsi="宋体" w:eastAsia="宋体"/>
          <w:color w:val="auto"/>
          <w:sz w:val="32"/>
          <w:szCs w:val="32"/>
        </w:rPr>
        <w:t>www.zcygov.cn</w:t>
      </w:r>
      <w:r>
        <w:rPr>
          <w:rFonts w:ascii="宋体" w:hAnsi="宋体" w:eastAsia="宋体"/>
          <w:color w:val="auto"/>
          <w:sz w:val="32"/>
          <w:szCs w:val="32"/>
        </w:rPr>
        <w:fldChar w:fldCharType="end"/>
      </w:r>
      <w:r>
        <w:rPr>
          <w:rFonts w:hint="eastAsia" w:ascii="宋体" w:hAnsi="宋体" w:eastAsia="宋体"/>
          <w:color w:val="auto"/>
          <w:sz w:val="32"/>
          <w:szCs w:val="32"/>
        </w:rPr>
        <w:t>）”获取采购文件。登录政府采购云平台(www.zcygov.cn)—我的工作台—项目采购—获取采购文件—申请获取采购文件。</w:t>
      </w:r>
    </w:p>
    <w:p>
      <w:pPr>
        <w:spacing w:line="360" w:lineRule="auto"/>
        <w:ind w:firstLine="560" w:firstLineChars="200"/>
        <w:rPr>
          <w:rFonts w:ascii="宋体" w:hAnsi="宋体"/>
          <w:color w:val="auto"/>
          <w:sz w:val="28"/>
          <w:szCs w:val="28"/>
        </w:rPr>
      </w:pPr>
      <w:r>
        <w:rPr>
          <w:rFonts w:hint="eastAsia" w:ascii="宋体" w:hAnsi="宋体"/>
          <w:color w:val="auto"/>
          <w:sz w:val="28"/>
          <w:szCs w:val="28"/>
        </w:rPr>
        <w:t>提示：</w:t>
      </w:r>
    </w:p>
    <w:p>
      <w:pPr>
        <w:spacing w:line="360" w:lineRule="auto"/>
        <w:ind w:firstLine="560" w:firstLineChars="200"/>
        <w:rPr>
          <w:rFonts w:ascii="宋体" w:hAnsi="宋体"/>
          <w:color w:val="auto"/>
          <w:sz w:val="28"/>
          <w:szCs w:val="28"/>
        </w:rPr>
      </w:pPr>
      <w:r>
        <w:rPr>
          <w:rFonts w:hint="eastAsia" w:ascii="宋体" w:hAnsi="宋体"/>
          <w:color w:val="auto"/>
          <w:sz w:val="28"/>
          <w:szCs w:val="28"/>
        </w:rPr>
        <w:t>（1）本项目采购文件免费获取。</w:t>
      </w:r>
    </w:p>
    <w:p>
      <w:pPr>
        <w:spacing w:line="360" w:lineRule="auto"/>
        <w:ind w:firstLine="560" w:firstLineChars="200"/>
        <w:rPr>
          <w:rFonts w:ascii="宋体" w:hAnsi="宋体"/>
          <w:color w:val="auto"/>
          <w:sz w:val="28"/>
          <w:szCs w:val="28"/>
        </w:rPr>
      </w:pPr>
      <w:r>
        <w:rPr>
          <w:rFonts w:hint="eastAsia" w:ascii="宋体" w:hAnsi="宋体"/>
          <w:color w:val="auto"/>
          <w:sz w:val="28"/>
          <w:szCs w:val="28"/>
        </w:rPr>
        <w:t>（2）成都市公共资源交易服务中心门户网站上采购公告附件内的采购文件仅供下载阅览使用，投标人只有在“政府采购云平台”完成获取采购文件申请并下载采购文件后才视作依法参与本项目。如未在“政府采购云平台”内完成相关流程，引起的投标无效责任自负。</w:t>
      </w:r>
    </w:p>
    <w:p>
      <w:pPr>
        <w:spacing w:line="360" w:lineRule="auto"/>
        <w:ind w:firstLine="560" w:firstLineChars="200"/>
        <w:rPr>
          <w:rFonts w:ascii="宋体" w:hAnsi="宋体"/>
          <w:color w:val="auto"/>
          <w:sz w:val="28"/>
          <w:szCs w:val="28"/>
        </w:rPr>
      </w:pPr>
      <w:r>
        <w:rPr>
          <w:rFonts w:hint="eastAsia" w:ascii="宋体" w:hAnsi="宋体"/>
          <w:color w:val="auto"/>
          <w:sz w:val="28"/>
          <w:szCs w:val="28"/>
        </w:rPr>
        <w:t>（3）首次登录成都市公共资源交易服务中心门户网站的新用户应先点击“注册新用户”，注册成功后再登录。</w:t>
      </w:r>
    </w:p>
    <w:p>
      <w:pPr>
        <w:spacing w:line="360" w:lineRule="auto"/>
        <w:ind w:firstLine="560" w:firstLineChars="200"/>
        <w:rPr>
          <w:rFonts w:ascii="宋体" w:hAnsi="宋体"/>
          <w:color w:val="auto"/>
          <w:sz w:val="28"/>
          <w:szCs w:val="28"/>
        </w:rPr>
      </w:pPr>
      <w:r>
        <w:rPr>
          <w:rFonts w:hint="eastAsia" w:ascii="宋体" w:hAnsi="宋体"/>
          <w:color w:val="auto"/>
          <w:sz w:val="28"/>
          <w:szCs w:val="28"/>
        </w:rPr>
        <w:t>（4）本项目为电子招标投标项目，投标人参与本项目全过程中凡涉及系统操作请详见《成都市全流程电子化采购系统操作指南——供应商版》（操作指南请登录政府采购云平台后，点击“前台大厅</w:t>
      </w:r>
      <w:r>
        <w:rPr>
          <w:rFonts w:ascii="宋体" w:hAnsi="宋体"/>
          <w:color w:val="auto"/>
          <w:sz w:val="28"/>
          <w:szCs w:val="28"/>
        </w:rPr>
        <w:t>—</w:t>
      </w:r>
      <w:r>
        <w:rPr>
          <w:rFonts w:hint="eastAsia" w:ascii="宋体" w:hAnsi="宋体"/>
          <w:color w:val="auto"/>
          <w:sz w:val="28"/>
          <w:szCs w:val="28"/>
        </w:rPr>
        <w:t>操作指南</w:t>
      </w:r>
      <w:r>
        <w:rPr>
          <w:rFonts w:ascii="宋体" w:hAnsi="宋体"/>
          <w:color w:val="auto"/>
          <w:sz w:val="28"/>
          <w:szCs w:val="28"/>
        </w:rPr>
        <w:t>—</w:t>
      </w:r>
      <w:r>
        <w:rPr>
          <w:rFonts w:hint="eastAsia" w:ascii="宋体" w:hAnsi="宋体"/>
          <w:color w:val="auto"/>
          <w:sz w:val="28"/>
          <w:szCs w:val="28"/>
        </w:rPr>
        <w:t>供应商”处下载查看）。</w:t>
      </w:r>
    </w:p>
    <w:p>
      <w:pPr>
        <w:numPr>
          <w:ilvl w:val="0"/>
          <w:numId w:val="6"/>
        </w:numPr>
        <w:spacing w:line="360" w:lineRule="auto"/>
        <w:ind w:left="0" w:firstLine="567"/>
        <w:rPr>
          <w:rFonts w:ascii="宋体" w:hAnsi="宋体"/>
          <w:b/>
          <w:color w:val="auto"/>
          <w:sz w:val="28"/>
          <w:szCs w:val="28"/>
        </w:rPr>
      </w:pPr>
      <w:r>
        <w:rPr>
          <w:rFonts w:hint="eastAsia" w:ascii="宋体" w:hAnsi="宋体"/>
          <w:b/>
          <w:color w:val="auto"/>
          <w:sz w:val="28"/>
          <w:szCs w:val="28"/>
        </w:rPr>
        <w:t>招标文件获取地点</w:t>
      </w:r>
    </w:p>
    <w:p>
      <w:pPr>
        <w:spacing w:line="360" w:lineRule="auto"/>
        <w:ind w:firstLine="560" w:firstLineChars="200"/>
        <w:rPr>
          <w:rFonts w:ascii="宋体" w:hAnsi="宋体"/>
          <w:color w:val="auto"/>
          <w:sz w:val="28"/>
          <w:szCs w:val="28"/>
        </w:rPr>
      </w:pPr>
      <w:bookmarkStart w:id="8" w:name="_Toc174185149"/>
      <w:bookmarkStart w:id="9" w:name="_Toc184013605"/>
      <w:bookmarkStart w:id="10" w:name="_Toc180051012"/>
      <w:bookmarkStart w:id="11" w:name="_Toc184023104"/>
      <w:bookmarkStart w:id="12" w:name="_Toc186274101"/>
      <w:r>
        <w:rPr>
          <w:rFonts w:hint="eastAsia" w:ascii="宋体" w:hAnsi="宋体" w:eastAsia="宋体"/>
          <w:color w:val="auto"/>
          <w:sz w:val="32"/>
          <w:szCs w:val="32"/>
        </w:rPr>
        <w:t>登录政府采购云平台（</w:t>
      </w:r>
      <w:r>
        <w:rPr>
          <w:color w:val="auto"/>
        </w:rPr>
        <w:fldChar w:fldCharType="begin"/>
      </w:r>
      <w:r>
        <w:rPr>
          <w:color w:val="auto"/>
        </w:rPr>
        <w:instrText xml:space="preserve"> HYPERLINK "http://www.zcygov.cn" </w:instrText>
      </w:r>
      <w:r>
        <w:rPr>
          <w:color w:val="auto"/>
        </w:rPr>
        <w:fldChar w:fldCharType="separate"/>
      </w:r>
      <w:r>
        <w:rPr>
          <w:rFonts w:ascii="宋体" w:hAnsi="宋体" w:eastAsia="宋体"/>
          <w:color w:val="auto"/>
          <w:sz w:val="32"/>
          <w:szCs w:val="32"/>
        </w:rPr>
        <w:t>www.zcygov.cn</w:t>
      </w:r>
      <w:r>
        <w:rPr>
          <w:rFonts w:ascii="宋体" w:hAnsi="宋体" w:eastAsia="宋体"/>
          <w:color w:val="auto"/>
          <w:sz w:val="32"/>
          <w:szCs w:val="32"/>
        </w:rPr>
        <w:fldChar w:fldCharType="end"/>
      </w:r>
      <w:r>
        <w:rPr>
          <w:rFonts w:hint="eastAsia" w:ascii="宋体" w:hAnsi="宋体" w:eastAsia="宋体"/>
          <w:color w:val="auto"/>
          <w:sz w:val="32"/>
          <w:szCs w:val="32"/>
        </w:rPr>
        <w:t>）获取</w:t>
      </w:r>
    </w:p>
    <w:p>
      <w:pPr>
        <w:numPr>
          <w:ilvl w:val="0"/>
          <w:numId w:val="6"/>
        </w:numPr>
        <w:spacing w:line="360" w:lineRule="auto"/>
        <w:ind w:left="0" w:firstLine="567"/>
        <w:rPr>
          <w:rFonts w:ascii="宋体" w:hAnsi="宋体"/>
          <w:b/>
          <w:color w:val="auto"/>
          <w:sz w:val="28"/>
          <w:szCs w:val="28"/>
        </w:rPr>
      </w:pPr>
      <w:r>
        <w:rPr>
          <w:rFonts w:hint="eastAsia" w:ascii="宋体" w:hAnsi="宋体"/>
          <w:b/>
          <w:color w:val="auto"/>
          <w:sz w:val="28"/>
          <w:szCs w:val="28"/>
        </w:rPr>
        <w:t>投标文件递交截止时间及开标时间</w:t>
      </w:r>
      <w:bookmarkEnd w:id="8"/>
      <w:bookmarkEnd w:id="9"/>
      <w:bookmarkEnd w:id="10"/>
      <w:bookmarkEnd w:id="11"/>
      <w:bookmarkEnd w:id="12"/>
      <w:r>
        <w:rPr>
          <w:rFonts w:hint="eastAsia" w:ascii="宋体" w:hAnsi="宋体"/>
          <w:b/>
          <w:color w:val="auto"/>
          <w:sz w:val="28"/>
          <w:szCs w:val="28"/>
        </w:rPr>
        <w:t>(北京时间)、地点、方式</w:t>
      </w:r>
    </w:p>
    <w:p>
      <w:pPr>
        <w:spacing w:line="560" w:lineRule="exact"/>
        <w:ind w:firstLine="566" w:firstLineChars="202"/>
        <w:rPr>
          <w:rFonts w:ascii="宋体" w:hAnsi="宋体"/>
          <w:b/>
          <w:color w:val="FF0000"/>
          <w:sz w:val="28"/>
          <w:szCs w:val="28"/>
        </w:rPr>
      </w:pPr>
      <w:r>
        <w:rPr>
          <w:rFonts w:hint="eastAsia" w:ascii="宋体" w:hAnsi="宋体"/>
          <w:color w:val="auto"/>
          <w:sz w:val="28"/>
          <w:szCs w:val="28"/>
        </w:rPr>
        <w:t>（一）投标文件递交截止时间及开标时间：</w:t>
      </w:r>
      <w:r>
        <w:rPr>
          <w:rFonts w:hint="eastAsia" w:ascii="宋体" w:hAnsi="宋体"/>
          <w:b/>
          <w:color w:val="FF0000"/>
          <w:sz w:val="28"/>
          <w:szCs w:val="28"/>
        </w:rPr>
        <w:t>202</w:t>
      </w:r>
      <w:r>
        <w:rPr>
          <w:rFonts w:ascii="宋体" w:hAnsi="宋体"/>
          <w:b/>
          <w:color w:val="FF0000"/>
          <w:sz w:val="28"/>
          <w:szCs w:val="28"/>
        </w:rPr>
        <w:t>1</w:t>
      </w:r>
      <w:r>
        <w:rPr>
          <w:rFonts w:hint="eastAsia" w:ascii="宋体" w:hAnsi="宋体"/>
          <w:b/>
          <w:color w:val="FF0000"/>
          <w:sz w:val="28"/>
          <w:szCs w:val="28"/>
        </w:rPr>
        <w:t>年</w:t>
      </w:r>
      <w:r>
        <w:rPr>
          <w:rFonts w:hint="eastAsia" w:ascii="宋体" w:hAnsi="宋体"/>
          <w:b/>
          <w:color w:val="FF0000"/>
          <w:sz w:val="28"/>
          <w:szCs w:val="28"/>
          <w:lang w:val="en-US" w:eastAsia="zh-CN"/>
        </w:rPr>
        <w:t>11</w:t>
      </w:r>
      <w:r>
        <w:rPr>
          <w:rFonts w:hint="eastAsia" w:ascii="宋体" w:hAnsi="宋体"/>
          <w:b/>
          <w:color w:val="FF0000"/>
          <w:sz w:val="28"/>
          <w:szCs w:val="28"/>
        </w:rPr>
        <w:t>月</w:t>
      </w:r>
      <w:r>
        <w:rPr>
          <w:rFonts w:hint="eastAsia" w:ascii="宋体" w:hAnsi="宋体"/>
          <w:b/>
          <w:color w:val="FF0000"/>
          <w:sz w:val="28"/>
          <w:szCs w:val="28"/>
          <w:lang w:val="en-US" w:eastAsia="zh-CN"/>
        </w:rPr>
        <w:t xml:space="preserve"> 15 </w:t>
      </w:r>
      <w:r>
        <w:rPr>
          <w:rFonts w:hint="eastAsia" w:ascii="宋体" w:hAnsi="宋体"/>
          <w:b/>
          <w:color w:val="FF0000"/>
          <w:sz w:val="28"/>
          <w:szCs w:val="28"/>
        </w:rPr>
        <w:t>日上午</w:t>
      </w:r>
      <w:r>
        <w:rPr>
          <w:rFonts w:hint="eastAsia" w:ascii="宋体" w:hAnsi="宋体"/>
          <w:b/>
          <w:color w:val="FF0000"/>
          <w:sz w:val="28"/>
          <w:szCs w:val="28"/>
          <w:lang w:val="en-US" w:eastAsia="zh-CN"/>
        </w:rPr>
        <w:t>10</w:t>
      </w:r>
      <w:r>
        <w:rPr>
          <w:rFonts w:hint="eastAsia" w:ascii="宋体" w:hAnsi="宋体"/>
          <w:b/>
          <w:color w:val="FF0000"/>
          <w:sz w:val="28"/>
          <w:szCs w:val="28"/>
        </w:rPr>
        <w:t>:</w:t>
      </w:r>
      <w:r>
        <w:rPr>
          <w:rFonts w:hint="eastAsia" w:ascii="宋体" w:hAnsi="宋体"/>
          <w:b/>
          <w:color w:val="FF0000"/>
          <w:sz w:val="28"/>
          <w:szCs w:val="28"/>
          <w:lang w:val="en-US" w:eastAsia="zh-CN"/>
        </w:rPr>
        <w:t>0</w:t>
      </w:r>
      <w:r>
        <w:rPr>
          <w:rFonts w:hint="eastAsia" w:ascii="宋体" w:hAnsi="宋体"/>
          <w:b/>
          <w:color w:val="FF0000"/>
          <w:sz w:val="28"/>
          <w:szCs w:val="28"/>
        </w:rPr>
        <w:t>0。</w:t>
      </w:r>
    </w:p>
    <w:p>
      <w:pPr>
        <w:spacing w:line="560" w:lineRule="exact"/>
        <w:ind w:firstLine="566" w:firstLineChars="202"/>
        <w:rPr>
          <w:rFonts w:ascii="宋体" w:hAnsi="宋体"/>
          <w:color w:val="auto"/>
          <w:sz w:val="28"/>
          <w:szCs w:val="28"/>
        </w:rPr>
      </w:pPr>
      <w:r>
        <w:rPr>
          <w:rFonts w:hint="eastAsia" w:ascii="宋体" w:hAnsi="宋体"/>
          <w:color w:val="auto"/>
          <w:sz w:val="28"/>
          <w:szCs w:val="28"/>
        </w:rPr>
        <w:t>（二）投标文件递交方式、地点：投标截止时间前，投标人应将加密的投标文件递交至“政府采购云平台”对应项目（包件）。</w:t>
      </w:r>
    </w:p>
    <w:p>
      <w:pPr>
        <w:numPr>
          <w:ilvl w:val="0"/>
          <w:numId w:val="6"/>
        </w:numPr>
        <w:spacing w:line="360" w:lineRule="auto"/>
        <w:ind w:left="0" w:firstLine="567"/>
        <w:rPr>
          <w:rFonts w:ascii="宋体" w:hAnsi="宋体"/>
          <w:b/>
          <w:color w:val="auto"/>
          <w:sz w:val="28"/>
          <w:szCs w:val="28"/>
        </w:rPr>
      </w:pPr>
      <w:r>
        <w:rPr>
          <w:rFonts w:hint="eastAsia" w:ascii="宋体" w:hAnsi="宋体"/>
          <w:b/>
          <w:color w:val="auto"/>
          <w:sz w:val="28"/>
          <w:szCs w:val="28"/>
        </w:rPr>
        <w:t>开标地点</w:t>
      </w:r>
    </w:p>
    <w:p>
      <w:pPr>
        <w:spacing w:line="360" w:lineRule="auto"/>
        <w:ind w:firstLine="422" w:firstLineChars="150"/>
        <w:jc w:val="left"/>
        <w:rPr>
          <w:rFonts w:ascii="宋体" w:hAnsi="宋体"/>
          <w:b/>
          <w:color w:val="auto"/>
          <w:sz w:val="28"/>
          <w:szCs w:val="28"/>
        </w:rPr>
      </w:pPr>
      <w:r>
        <w:rPr>
          <w:rFonts w:hint="eastAsia" w:ascii="宋体" w:hAnsi="宋体"/>
          <w:b/>
          <w:color w:val="auto"/>
          <w:sz w:val="28"/>
          <w:szCs w:val="28"/>
        </w:rPr>
        <w:t>本项目为不见面开标项目。</w:t>
      </w:r>
    </w:p>
    <w:p>
      <w:pPr>
        <w:spacing w:line="360" w:lineRule="auto"/>
        <w:ind w:firstLine="420" w:firstLineChars="150"/>
        <w:jc w:val="left"/>
        <w:rPr>
          <w:rFonts w:ascii="宋体" w:hAnsi="宋体"/>
          <w:color w:val="auto"/>
          <w:sz w:val="28"/>
          <w:szCs w:val="28"/>
        </w:rPr>
      </w:pPr>
      <w:r>
        <w:rPr>
          <w:rFonts w:hint="eastAsia" w:ascii="宋体" w:hAnsi="宋体"/>
          <w:color w:val="auto"/>
          <w:sz w:val="28"/>
          <w:szCs w:val="28"/>
        </w:rPr>
        <w:t>开标地点为：成都市公共资源交易服务中心“政府采购云平台”。登录成都市公共资源交易服务中心门户网站（https://www.cdggzy.com）—用户中心—政府采购云平台。</w:t>
      </w:r>
    </w:p>
    <w:p>
      <w:pPr>
        <w:spacing w:line="360" w:lineRule="auto"/>
        <w:ind w:firstLine="420" w:firstLineChars="150"/>
        <w:jc w:val="left"/>
        <w:rPr>
          <w:rFonts w:ascii="宋体" w:hAnsi="宋体"/>
          <w:color w:val="auto"/>
          <w:sz w:val="28"/>
          <w:szCs w:val="28"/>
        </w:rPr>
      </w:pPr>
      <w:r>
        <w:rPr>
          <w:rFonts w:hint="eastAsia" w:ascii="宋体" w:hAnsi="宋体"/>
          <w:color w:val="auto"/>
          <w:sz w:val="28"/>
          <w:szCs w:val="28"/>
        </w:rPr>
        <w:t>本项目只接受投标人加密并递交至“政府采购云平台”的投标文件。</w:t>
      </w:r>
    </w:p>
    <w:p>
      <w:pPr>
        <w:numPr>
          <w:ilvl w:val="0"/>
          <w:numId w:val="6"/>
        </w:numPr>
        <w:spacing w:line="360" w:lineRule="auto"/>
        <w:ind w:left="0" w:firstLine="567"/>
        <w:rPr>
          <w:rFonts w:ascii="宋体" w:hAnsi="宋体"/>
          <w:b/>
          <w:color w:val="auto"/>
          <w:sz w:val="28"/>
          <w:szCs w:val="28"/>
        </w:rPr>
      </w:pPr>
      <w:r>
        <w:rPr>
          <w:rFonts w:hint="eastAsia" w:ascii="宋体" w:hAnsi="宋体"/>
          <w:b/>
          <w:color w:val="auto"/>
          <w:sz w:val="28"/>
          <w:szCs w:val="28"/>
        </w:rPr>
        <w:t>政采中小企业政府采购信用融资</w:t>
      </w:r>
    </w:p>
    <w:p>
      <w:pPr>
        <w:spacing w:line="360" w:lineRule="auto"/>
        <w:ind w:firstLine="424" w:firstLineChars="202"/>
        <w:rPr>
          <w:rFonts w:ascii="宋体" w:hAnsi="宋体"/>
          <w:color w:val="auto"/>
          <w:sz w:val="28"/>
          <w:szCs w:val="28"/>
        </w:rPr>
      </w:pPr>
      <w:r>
        <w:rPr>
          <w:rFonts w:ascii="宋体" w:hAnsi="宋体"/>
          <w:color w:val="auto"/>
          <w:sz w:val="28"/>
          <w:szCs w:val="28"/>
        </w:rPr>
        <w:t>参加本次招标活动的中小企业供应商无需提供财产抵押或第三方担保，凭借政府采购合同可向融资机构申请融资。具体内容详见招标文件附件《四川省财政厅关于推进四川省政府采购供应商信用融资工作的通知》(川财采[2018]123号)和《成都市财政局 中国人民银行成都分行营业管理部关于印发〈成都市中小企业政府采购信用融资暂行办法〉和〈成都市级支持中小企业政府采购信用融资实施方案〉的通知》（成财采[2019]17号）</w:t>
      </w:r>
      <w:r>
        <w:rPr>
          <w:rFonts w:hint="eastAsia" w:ascii="宋体" w:hAnsi="宋体"/>
          <w:color w:val="auto"/>
          <w:sz w:val="28"/>
          <w:szCs w:val="28"/>
        </w:rPr>
        <w:t>和《成都市锦江区区财政局关于印发&lt;成都市锦江区支持中小企业政府采购信用融资实施方案&gt;的通知》（锦财发〔2019〕28号）和成都市锦江区政府采购信用融资机构名单（http://www.cdjinjiang.gov.cn/jjq/c133389/cgrz.shtml）见附件。</w:t>
      </w:r>
    </w:p>
    <w:p>
      <w:pPr>
        <w:numPr>
          <w:ilvl w:val="0"/>
          <w:numId w:val="6"/>
        </w:numPr>
        <w:spacing w:line="360" w:lineRule="auto"/>
        <w:ind w:left="0" w:firstLine="567"/>
        <w:rPr>
          <w:rFonts w:ascii="宋体" w:hAnsi="宋体"/>
          <w:b/>
          <w:color w:val="auto"/>
          <w:sz w:val="28"/>
          <w:szCs w:val="28"/>
        </w:rPr>
      </w:pPr>
      <w:r>
        <w:rPr>
          <w:rFonts w:hint="eastAsia" w:ascii="宋体" w:hAnsi="宋体"/>
          <w:b/>
          <w:color w:val="auto"/>
          <w:sz w:val="28"/>
          <w:szCs w:val="28"/>
        </w:rPr>
        <w:t>本投标邀请在“四川政府采购网”和“</w:t>
      </w:r>
      <w:r>
        <w:rPr>
          <w:rFonts w:hint="eastAsia" w:ascii="宋体" w:hAnsi="宋体"/>
          <w:b/>
          <w:color w:val="auto"/>
          <w:sz w:val="28"/>
          <w:szCs w:val="28"/>
          <w:lang w:eastAsia="zh-CN"/>
        </w:rPr>
        <w:t>成都市公共资源交易服务中心</w:t>
      </w:r>
      <w:r>
        <w:rPr>
          <w:rFonts w:hint="eastAsia" w:ascii="宋体" w:hAnsi="宋体"/>
          <w:b/>
          <w:color w:val="auto"/>
          <w:sz w:val="28"/>
          <w:szCs w:val="28"/>
        </w:rPr>
        <w:t>”网站上以公告形式发布</w:t>
      </w:r>
    </w:p>
    <w:p>
      <w:pPr>
        <w:numPr>
          <w:ilvl w:val="0"/>
          <w:numId w:val="6"/>
        </w:numPr>
        <w:spacing w:line="360" w:lineRule="auto"/>
        <w:ind w:left="0" w:firstLine="567"/>
        <w:rPr>
          <w:rFonts w:ascii="宋体" w:hAnsi="宋体"/>
          <w:b/>
          <w:color w:val="auto"/>
          <w:sz w:val="28"/>
          <w:szCs w:val="28"/>
        </w:rPr>
      </w:pPr>
      <w:r>
        <w:rPr>
          <w:rFonts w:hint="eastAsia" w:ascii="宋体" w:hAnsi="宋体"/>
          <w:b/>
          <w:color w:val="auto"/>
          <w:sz w:val="28"/>
          <w:szCs w:val="28"/>
        </w:rPr>
        <w:t>联系方式</w:t>
      </w:r>
    </w:p>
    <w:p>
      <w:pPr>
        <w:spacing w:line="360" w:lineRule="auto"/>
        <w:ind w:firstLine="568" w:firstLineChars="202"/>
        <w:rPr>
          <w:rFonts w:ascii="宋体" w:hAnsi="宋体"/>
          <w:b/>
          <w:color w:val="auto"/>
          <w:sz w:val="28"/>
          <w:szCs w:val="28"/>
        </w:rPr>
      </w:pPr>
      <w:r>
        <w:rPr>
          <w:rFonts w:hint="eastAsia" w:ascii="宋体" w:hAnsi="宋体"/>
          <w:b/>
          <w:color w:val="auto"/>
          <w:sz w:val="28"/>
          <w:szCs w:val="28"/>
        </w:rPr>
        <w:t xml:space="preserve">采购人： </w:t>
      </w:r>
      <w:r>
        <w:rPr>
          <w:rFonts w:hint="eastAsia" w:ascii="华文中宋" w:hAnsi="华文中宋" w:eastAsia="华文中宋"/>
          <w:color w:val="auto"/>
          <w:sz w:val="28"/>
          <w:szCs w:val="28"/>
          <w:lang w:eastAsia="zh-CN"/>
        </w:rPr>
        <w:t>成都市锦江区殡葬服务中心</w:t>
      </w:r>
    </w:p>
    <w:p>
      <w:pPr>
        <w:spacing w:line="360" w:lineRule="auto"/>
        <w:ind w:firstLine="566" w:firstLineChars="202"/>
        <w:rPr>
          <w:rFonts w:hint="eastAsia" w:ascii="宋体" w:hAnsi="宋体"/>
          <w:color w:val="auto"/>
          <w:sz w:val="28"/>
          <w:szCs w:val="28"/>
          <w:lang w:val="en-US" w:eastAsia="zh-CN"/>
        </w:rPr>
      </w:pPr>
      <w:r>
        <w:rPr>
          <w:rFonts w:hint="eastAsia" w:ascii="宋体" w:hAnsi="宋体"/>
          <w:color w:val="auto"/>
          <w:sz w:val="28"/>
          <w:szCs w:val="28"/>
        </w:rPr>
        <w:t>地  址：成都市</w:t>
      </w:r>
      <w:r>
        <w:rPr>
          <w:rFonts w:hint="eastAsia" w:ascii="宋体" w:hAnsi="宋体"/>
          <w:color w:val="auto"/>
          <w:sz w:val="28"/>
          <w:szCs w:val="28"/>
          <w:lang w:eastAsia="zh-CN"/>
        </w:rPr>
        <w:t>锦江区大安桥路</w:t>
      </w:r>
      <w:r>
        <w:rPr>
          <w:rFonts w:hint="eastAsia" w:ascii="宋体" w:hAnsi="宋体"/>
          <w:color w:val="auto"/>
          <w:sz w:val="28"/>
          <w:szCs w:val="28"/>
          <w:lang w:val="en-US" w:eastAsia="zh-CN"/>
        </w:rPr>
        <w:t>639号</w:t>
      </w:r>
    </w:p>
    <w:p>
      <w:pPr>
        <w:spacing w:line="360" w:lineRule="auto"/>
        <w:ind w:firstLine="566" w:firstLineChars="202"/>
        <w:rPr>
          <w:rFonts w:hint="eastAsia" w:ascii="宋体" w:hAnsi="宋体"/>
          <w:color w:val="auto"/>
          <w:sz w:val="28"/>
          <w:szCs w:val="28"/>
        </w:rPr>
      </w:pPr>
      <w:r>
        <w:rPr>
          <w:rFonts w:hint="eastAsia" w:ascii="宋体" w:hAnsi="宋体"/>
          <w:color w:val="auto"/>
          <w:sz w:val="28"/>
          <w:szCs w:val="28"/>
        </w:rPr>
        <w:t xml:space="preserve">联系人：钱恩伟  </w:t>
      </w:r>
    </w:p>
    <w:p>
      <w:pPr>
        <w:spacing w:line="360" w:lineRule="auto"/>
        <w:ind w:firstLine="566" w:firstLineChars="202"/>
        <w:rPr>
          <w:rFonts w:hint="eastAsia" w:ascii="宋体" w:hAnsi="宋体"/>
          <w:color w:val="auto"/>
          <w:sz w:val="28"/>
          <w:szCs w:val="28"/>
        </w:rPr>
      </w:pPr>
      <w:r>
        <w:rPr>
          <w:rFonts w:hint="eastAsia" w:ascii="宋体" w:hAnsi="宋体"/>
          <w:color w:val="auto"/>
          <w:sz w:val="28"/>
          <w:szCs w:val="28"/>
          <w:lang w:val="en-US" w:eastAsia="zh-CN"/>
        </w:rPr>
        <w:t xml:space="preserve"> </w:t>
      </w:r>
      <w:r>
        <w:rPr>
          <w:rFonts w:hint="eastAsia" w:ascii="宋体" w:hAnsi="宋体"/>
          <w:color w:val="auto"/>
          <w:sz w:val="28"/>
          <w:szCs w:val="28"/>
        </w:rPr>
        <w:t>联系电话：028-85917676</w:t>
      </w:r>
    </w:p>
    <w:p>
      <w:pPr>
        <w:spacing w:line="360" w:lineRule="auto"/>
        <w:ind w:firstLine="568" w:firstLineChars="202"/>
        <w:rPr>
          <w:rFonts w:hint="eastAsia" w:ascii="宋体" w:hAnsi="宋体" w:eastAsia="宋体"/>
          <w:b/>
          <w:color w:val="auto"/>
          <w:sz w:val="28"/>
          <w:szCs w:val="28"/>
          <w:lang w:eastAsia="zh-CN"/>
        </w:rPr>
      </w:pPr>
      <w:r>
        <w:rPr>
          <w:rFonts w:hint="eastAsia" w:ascii="宋体" w:hAnsi="宋体"/>
          <w:b/>
          <w:color w:val="auto"/>
          <w:sz w:val="28"/>
          <w:szCs w:val="28"/>
          <w:lang w:eastAsia="zh-CN"/>
        </w:rPr>
        <w:t>成都市锦江区政府采购中心</w:t>
      </w:r>
    </w:p>
    <w:p>
      <w:pPr>
        <w:spacing w:line="360" w:lineRule="auto"/>
        <w:ind w:firstLine="566" w:firstLineChars="202"/>
        <w:rPr>
          <w:rFonts w:hint="eastAsia" w:ascii="宋体" w:hAnsi="宋体"/>
          <w:color w:val="auto"/>
          <w:sz w:val="28"/>
          <w:szCs w:val="28"/>
        </w:rPr>
      </w:pPr>
      <w:r>
        <w:rPr>
          <w:rFonts w:hint="eastAsia" w:ascii="宋体" w:hAnsi="宋体"/>
          <w:color w:val="auto"/>
          <w:sz w:val="28"/>
          <w:szCs w:val="28"/>
        </w:rPr>
        <w:t>地  址：成都市</w:t>
      </w:r>
      <w:r>
        <w:rPr>
          <w:rFonts w:hint="eastAsia" w:ascii="宋体" w:hAnsi="宋体"/>
          <w:color w:val="auto"/>
          <w:sz w:val="28"/>
          <w:szCs w:val="28"/>
          <w:lang w:val="en-US" w:eastAsia="zh-CN"/>
        </w:rPr>
        <w:t>锦江区南三环路二段1号6101室</w:t>
      </w:r>
    </w:p>
    <w:p>
      <w:pPr>
        <w:spacing w:line="360" w:lineRule="auto"/>
        <w:ind w:firstLine="566" w:firstLineChars="202"/>
        <w:rPr>
          <w:rFonts w:hint="eastAsia" w:ascii="宋体" w:hAnsi="宋体"/>
          <w:color w:val="auto"/>
          <w:sz w:val="28"/>
          <w:szCs w:val="28"/>
          <w:lang w:val="en-US" w:eastAsia="zh-CN"/>
        </w:rPr>
      </w:pPr>
      <w:r>
        <w:rPr>
          <w:rFonts w:hint="eastAsia" w:ascii="宋体" w:hAnsi="宋体"/>
          <w:color w:val="auto"/>
          <w:sz w:val="28"/>
          <w:szCs w:val="28"/>
        </w:rPr>
        <w:t xml:space="preserve">联系人： </w:t>
      </w:r>
      <w:r>
        <w:rPr>
          <w:rFonts w:hint="eastAsia" w:ascii="宋体" w:hAnsi="宋体"/>
          <w:color w:val="auto"/>
          <w:sz w:val="28"/>
          <w:szCs w:val="28"/>
          <w:lang w:val="en-US" w:eastAsia="zh-CN"/>
        </w:rPr>
        <w:t>郑晓惠</w:t>
      </w:r>
    </w:p>
    <w:p>
      <w:pPr>
        <w:spacing w:line="360" w:lineRule="auto"/>
        <w:ind w:firstLine="566" w:firstLineChars="202"/>
        <w:rPr>
          <w:rFonts w:ascii="宋体" w:hAnsi="宋体"/>
          <w:color w:val="auto"/>
          <w:sz w:val="28"/>
          <w:szCs w:val="28"/>
        </w:rPr>
      </w:pPr>
      <w:r>
        <w:rPr>
          <w:rFonts w:hint="eastAsia" w:ascii="宋体" w:hAnsi="宋体"/>
          <w:color w:val="auto"/>
          <w:sz w:val="28"/>
          <w:szCs w:val="28"/>
        </w:rPr>
        <w:t>联系电话：028-8</w:t>
      </w:r>
      <w:r>
        <w:rPr>
          <w:rFonts w:hint="eastAsia" w:ascii="宋体" w:hAnsi="宋体"/>
          <w:color w:val="auto"/>
          <w:sz w:val="28"/>
          <w:szCs w:val="28"/>
          <w:lang w:val="en-US" w:eastAsia="zh-CN"/>
        </w:rPr>
        <w:t>6614055</w:t>
      </w:r>
    </w:p>
    <w:p>
      <w:pPr>
        <w:spacing w:line="360" w:lineRule="auto"/>
        <w:ind w:firstLine="568" w:firstLineChars="202"/>
        <w:rPr>
          <w:rFonts w:ascii="宋体" w:hAnsi="宋体"/>
          <w:color w:val="auto"/>
          <w:sz w:val="28"/>
          <w:szCs w:val="28"/>
        </w:rPr>
      </w:pPr>
      <w:r>
        <w:rPr>
          <w:rFonts w:hint="eastAsia" w:ascii="宋体" w:hAnsi="宋体" w:cstheme="minorBidi"/>
          <w:b/>
          <w:color w:val="auto"/>
          <w:sz w:val="28"/>
          <w:szCs w:val="28"/>
        </w:rPr>
        <w:t>技术支持电话：400</w:t>
      </w:r>
      <w:r>
        <w:rPr>
          <w:rFonts w:hint="eastAsia" w:ascii="宋体" w:hAnsi="宋体" w:cstheme="minorBidi"/>
          <w:b/>
          <w:color w:val="auto"/>
          <w:sz w:val="28"/>
          <w:szCs w:val="28"/>
          <w:lang w:val="en-US" w:eastAsia="zh-CN"/>
        </w:rPr>
        <w:t>-</w:t>
      </w:r>
      <w:r>
        <w:rPr>
          <w:rFonts w:hint="eastAsia" w:ascii="宋体" w:hAnsi="宋体" w:cstheme="minorBidi"/>
          <w:b/>
          <w:color w:val="auto"/>
          <w:sz w:val="28"/>
          <w:szCs w:val="28"/>
        </w:rPr>
        <w:t>881</w:t>
      </w:r>
      <w:r>
        <w:rPr>
          <w:rFonts w:hint="eastAsia" w:ascii="宋体" w:hAnsi="宋体" w:cstheme="minorBidi"/>
          <w:b/>
          <w:color w:val="auto"/>
          <w:sz w:val="28"/>
          <w:szCs w:val="28"/>
          <w:lang w:val="en-US" w:eastAsia="zh-CN"/>
        </w:rPr>
        <w:t>-</w:t>
      </w:r>
      <w:r>
        <w:rPr>
          <w:rFonts w:hint="eastAsia" w:ascii="宋体" w:hAnsi="宋体" w:cstheme="minorBidi"/>
          <w:b/>
          <w:color w:val="auto"/>
          <w:sz w:val="28"/>
          <w:szCs w:val="28"/>
        </w:rPr>
        <w:t>7190</w:t>
      </w:r>
    </w:p>
    <w:p>
      <w:pPr>
        <w:spacing w:line="600" w:lineRule="exact"/>
        <w:ind w:firstLine="708" w:firstLineChars="252"/>
        <w:rPr>
          <w:rFonts w:ascii="宋体" w:hAnsi="宋体"/>
          <w:b/>
          <w:color w:val="auto"/>
          <w:sz w:val="28"/>
          <w:szCs w:val="28"/>
        </w:rPr>
      </w:pPr>
      <w:r>
        <w:rPr>
          <w:rFonts w:hint="eastAsia" w:ascii="宋体" w:hAnsi="宋体"/>
          <w:b/>
          <w:color w:val="auto"/>
          <w:sz w:val="28"/>
          <w:szCs w:val="28"/>
        </w:rPr>
        <w:t>政府采购监督机构：成都市</w:t>
      </w:r>
      <w:r>
        <w:rPr>
          <w:rFonts w:hint="eastAsia" w:ascii="宋体" w:hAnsi="宋体"/>
          <w:b/>
          <w:color w:val="auto"/>
          <w:sz w:val="28"/>
          <w:szCs w:val="28"/>
          <w:lang w:val="en-US" w:eastAsia="zh-CN"/>
        </w:rPr>
        <w:t>锦江区</w:t>
      </w:r>
      <w:r>
        <w:rPr>
          <w:rFonts w:hint="eastAsia" w:ascii="宋体" w:hAnsi="宋体"/>
          <w:b/>
          <w:color w:val="auto"/>
          <w:sz w:val="28"/>
          <w:szCs w:val="28"/>
        </w:rPr>
        <w:t>财政局</w:t>
      </w:r>
    </w:p>
    <w:p>
      <w:pPr>
        <w:spacing w:line="600" w:lineRule="exact"/>
        <w:ind w:firstLine="706" w:firstLineChars="252"/>
        <w:rPr>
          <w:rFonts w:ascii="宋体" w:hAnsi="宋体"/>
          <w:color w:val="auto"/>
          <w:sz w:val="28"/>
          <w:szCs w:val="28"/>
        </w:rPr>
      </w:pPr>
      <w:r>
        <w:rPr>
          <w:rFonts w:hint="eastAsia" w:ascii="宋体" w:hAnsi="宋体"/>
          <w:color w:val="auto"/>
          <w:sz w:val="28"/>
          <w:szCs w:val="28"/>
        </w:rPr>
        <w:t>地 址：成都市锦江区大慈寺路38</w:t>
      </w:r>
      <w:r>
        <w:rPr>
          <w:rFonts w:ascii="宋体" w:hAnsi="宋体"/>
          <w:color w:val="auto"/>
          <w:sz w:val="28"/>
          <w:szCs w:val="28"/>
        </w:rPr>
        <w:t>号</w:t>
      </w:r>
    </w:p>
    <w:p>
      <w:pPr>
        <w:spacing w:line="600" w:lineRule="exact"/>
        <w:ind w:firstLine="706" w:firstLineChars="252"/>
        <w:rPr>
          <w:rFonts w:ascii="宋体" w:hAnsi="宋体"/>
          <w:color w:val="auto"/>
          <w:sz w:val="28"/>
          <w:szCs w:val="28"/>
        </w:rPr>
      </w:pPr>
      <w:r>
        <w:rPr>
          <w:rFonts w:hint="eastAsia" w:ascii="宋体" w:hAnsi="宋体"/>
          <w:color w:val="auto"/>
          <w:sz w:val="28"/>
          <w:szCs w:val="28"/>
        </w:rPr>
        <w:t>联系人：</w:t>
      </w:r>
      <w:r>
        <w:rPr>
          <w:rFonts w:hint="eastAsia" w:ascii="宋体" w:hAnsi="宋体"/>
          <w:color w:val="auto"/>
          <w:sz w:val="28"/>
          <w:szCs w:val="28"/>
          <w:lang w:val="en-US" w:eastAsia="zh-CN"/>
        </w:rPr>
        <w:t>王蕾</w:t>
      </w:r>
    </w:p>
    <w:p>
      <w:pPr>
        <w:spacing w:line="600" w:lineRule="exact"/>
        <w:ind w:firstLine="706" w:firstLineChars="252"/>
        <w:rPr>
          <w:rFonts w:ascii="宋体" w:hAnsi="宋体"/>
          <w:color w:val="auto"/>
          <w:sz w:val="28"/>
          <w:szCs w:val="28"/>
        </w:rPr>
      </w:pPr>
      <w:r>
        <w:rPr>
          <w:rFonts w:hint="eastAsia" w:ascii="宋体" w:hAnsi="宋体"/>
          <w:color w:val="auto"/>
          <w:sz w:val="28"/>
          <w:szCs w:val="28"/>
        </w:rPr>
        <w:t>联系电话：028-</w:t>
      </w:r>
      <w:r>
        <w:rPr>
          <w:rFonts w:ascii="宋体" w:hAnsi="宋体"/>
          <w:color w:val="auto"/>
          <w:sz w:val="28"/>
          <w:szCs w:val="28"/>
        </w:rPr>
        <w:t>86513373</w:t>
      </w:r>
    </w:p>
    <w:p>
      <w:pPr>
        <w:spacing w:line="600" w:lineRule="exact"/>
        <w:ind w:firstLine="706" w:firstLineChars="252"/>
        <w:rPr>
          <w:rFonts w:ascii="宋体" w:hAnsi="宋体"/>
          <w:color w:val="auto"/>
          <w:sz w:val="28"/>
          <w:szCs w:val="28"/>
        </w:rPr>
      </w:pPr>
      <w:r>
        <w:rPr>
          <w:rFonts w:ascii="宋体" w:hAnsi="宋体"/>
          <w:color w:val="auto"/>
          <w:sz w:val="28"/>
          <w:szCs w:val="28"/>
        </w:rPr>
        <w:br w:type="page"/>
      </w:r>
    </w:p>
    <w:p>
      <w:pPr>
        <w:keepNext/>
        <w:keepLines/>
        <w:numPr>
          <w:ilvl w:val="0"/>
          <w:numId w:val="5"/>
        </w:numPr>
        <w:spacing w:before="340" w:after="330" w:line="400" w:lineRule="exact"/>
        <w:ind w:left="0" w:firstLine="0"/>
        <w:jc w:val="center"/>
        <w:outlineLvl w:val="0"/>
        <w:rPr>
          <w:rFonts w:ascii="宋体" w:hAnsi="宋体"/>
          <w:b/>
          <w:bCs/>
          <w:color w:val="auto"/>
          <w:spacing w:val="-20"/>
          <w:kern w:val="44"/>
          <w:sz w:val="32"/>
          <w:szCs w:val="32"/>
        </w:rPr>
      </w:pPr>
      <w:bookmarkStart w:id="13" w:name="_Toc2801"/>
      <w:r>
        <w:rPr>
          <w:rFonts w:hint="eastAsia" w:ascii="宋体" w:hAnsi="宋体"/>
          <w:b/>
          <w:bCs/>
          <w:color w:val="auto"/>
          <w:spacing w:val="-20"/>
          <w:kern w:val="44"/>
          <w:sz w:val="32"/>
          <w:szCs w:val="32"/>
        </w:rPr>
        <w:t>投标人须知</w:t>
      </w:r>
      <w:bookmarkEnd w:id="13"/>
    </w:p>
    <w:p>
      <w:pPr>
        <w:keepNext/>
        <w:keepLines/>
        <w:numPr>
          <w:ilvl w:val="1"/>
          <w:numId w:val="5"/>
        </w:numPr>
        <w:spacing w:before="260" w:after="260" w:line="360" w:lineRule="auto"/>
        <w:jc w:val="left"/>
        <w:outlineLvl w:val="1"/>
        <w:rPr>
          <w:rFonts w:ascii="宋体" w:hAnsi="宋体"/>
          <w:b/>
          <w:bCs/>
          <w:color w:val="auto"/>
          <w:sz w:val="28"/>
          <w:szCs w:val="28"/>
        </w:rPr>
      </w:pPr>
      <w:bookmarkStart w:id="14" w:name="_Toc213397010"/>
      <w:bookmarkStart w:id="15" w:name="_Toc189727030"/>
      <w:bookmarkStart w:id="16" w:name="_Toc213496268"/>
      <w:bookmarkStart w:id="17" w:name="_Toc2253"/>
      <w:bookmarkStart w:id="18" w:name="_Toc213396946"/>
      <w:bookmarkStart w:id="19" w:name="_Toc316462344"/>
      <w:bookmarkStart w:id="20" w:name="_Toc217446032"/>
      <w:bookmarkStart w:id="21" w:name="_Toc213396760"/>
      <w:r>
        <w:rPr>
          <w:rFonts w:hint="eastAsia" w:ascii="宋体" w:hAnsi="宋体"/>
          <w:b/>
          <w:bCs/>
          <w:color w:val="auto"/>
          <w:sz w:val="28"/>
          <w:szCs w:val="28"/>
        </w:rPr>
        <w:t>投标人须知前附表</w:t>
      </w:r>
      <w:bookmarkEnd w:id="14"/>
      <w:bookmarkEnd w:id="15"/>
      <w:bookmarkEnd w:id="16"/>
      <w:bookmarkEnd w:id="17"/>
      <w:bookmarkEnd w:id="18"/>
      <w:bookmarkEnd w:id="19"/>
      <w:bookmarkEnd w:id="20"/>
      <w:bookmarkEnd w:id="21"/>
    </w:p>
    <w:tbl>
      <w:tblPr>
        <w:tblStyle w:val="47"/>
        <w:tblW w:w="9510" w:type="dxa"/>
        <w:jc w:val="center"/>
        <w:tblInd w:w="0" w:type="dxa"/>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84"/>
        <w:gridCol w:w="1716"/>
        <w:gridCol w:w="6910"/>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1" w:hRule="exact"/>
          <w:jc w:val="center"/>
        </w:trPr>
        <w:tc>
          <w:tcPr>
            <w:tcW w:w="884" w:type="dxa"/>
            <w:tcBorders>
              <w:top w:val="single" w:color="auto" w:sz="18" w:space="0"/>
              <w:left w:val="single" w:color="auto" w:sz="18" w:space="0"/>
              <w:bottom w:val="single" w:color="auto" w:sz="8" w:space="0"/>
              <w:right w:val="single" w:color="auto" w:sz="8" w:space="0"/>
            </w:tcBorders>
            <w:vAlign w:val="center"/>
          </w:tcPr>
          <w:p>
            <w:pPr>
              <w:snapToGrid w:val="0"/>
              <w:jc w:val="center"/>
              <w:rPr>
                <w:rFonts w:ascii="宋体" w:hAnsi="宋体"/>
                <w:b/>
                <w:color w:val="auto"/>
              </w:rPr>
            </w:pPr>
            <w:r>
              <w:rPr>
                <w:rFonts w:hint="eastAsia" w:ascii="宋体" w:hAnsi="宋体"/>
                <w:b/>
                <w:color w:val="auto"/>
                <w:sz w:val="28"/>
                <w:szCs w:val="28"/>
                <w:lang w:val="zh-CN"/>
              </w:rPr>
              <w:t>序号</w:t>
            </w:r>
          </w:p>
        </w:tc>
        <w:tc>
          <w:tcPr>
            <w:tcW w:w="1716" w:type="dxa"/>
            <w:tcBorders>
              <w:top w:val="single" w:color="auto" w:sz="18" w:space="0"/>
              <w:left w:val="single" w:color="auto" w:sz="8" w:space="0"/>
              <w:bottom w:val="single" w:color="auto" w:sz="8" w:space="0"/>
              <w:right w:val="single" w:color="auto" w:sz="8" w:space="0"/>
            </w:tcBorders>
            <w:vAlign w:val="center"/>
          </w:tcPr>
          <w:p>
            <w:pPr>
              <w:autoSpaceDE w:val="0"/>
              <w:autoSpaceDN w:val="0"/>
              <w:adjustRightInd w:val="0"/>
              <w:spacing w:line="360" w:lineRule="auto"/>
              <w:ind w:left="38"/>
              <w:jc w:val="center"/>
              <w:rPr>
                <w:rFonts w:ascii="宋体" w:hAnsi="宋体" w:cs="宋体"/>
                <w:b/>
                <w:color w:val="auto"/>
                <w:lang w:val="zh-CN"/>
              </w:rPr>
            </w:pPr>
            <w:r>
              <w:rPr>
                <w:rFonts w:hint="eastAsia" w:ascii="宋体" w:hAnsi="宋体" w:cs="宋体"/>
                <w:b/>
                <w:color w:val="auto"/>
                <w:sz w:val="28"/>
                <w:szCs w:val="28"/>
                <w:lang w:val="zh-CN"/>
              </w:rPr>
              <w:t>应知事项</w:t>
            </w:r>
          </w:p>
        </w:tc>
        <w:tc>
          <w:tcPr>
            <w:tcW w:w="6910" w:type="dxa"/>
            <w:tcBorders>
              <w:top w:val="single" w:color="auto" w:sz="18" w:space="0"/>
              <w:left w:val="single" w:color="auto" w:sz="8" w:space="0"/>
              <w:bottom w:val="single" w:color="auto" w:sz="8" w:space="0"/>
              <w:right w:val="single" w:color="auto" w:sz="18" w:space="0"/>
            </w:tcBorders>
            <w:vAlign w:val="center"/>
          </w:tcPr>
          <w:p>
            <w:pPr>
              <w:autoSpaceDE w:val="0"/>
              <w:autoSpaceDN w:val="0"/>
              <w:adjustRightInd w:val="0"/>
              <w:spacing w:line="360" w:lineRule="auto"/>
              <w:jc w:val="center"/>
              <w:rPr>
                <w:rFonts w:ascii="宋体" w:hAnsi="宋体" w:cs="宋体"/>
                <w:b/>
                <w:color w:val="auto"/>
                <w:lang w:val="zh-CN"/>
              </w:rPr>
            </w:pPr>
            <w:r>
              <w:rPr>
                <w:rFonts w:hint="eastAsia" w:ascii="宋体" w:hAnsi="宋体" w:cs="宋体"/>
                <w:b/>
                <w:color w:val="auto"/>
                <w:sz w:val="28"/>
                <w:szCs w:val="28"/>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491"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color w:val="auto"/>
              </w:rPr>
            </w:pPr>
          </w:p>
        </w:tc>
        <w:tc>
          <w:tcPr>
            <w:tcW w:w="1716" w:type="dxa"/>
            <w:tcBorders>
              <w:top w:val="single" w:color="auto" w:sz="8" w:space="0"/>
              <w:left w:val="single" w:color="auto" w:sz="8" w:space="0"/>
              <w:bottom w:val="single" w:color="auto" w:sz="8" w:space="0"/>
              <w:right w:val="single" w:color="auto" w:sz="8" w:space="0"/>
            </w:tcBorders>
            <w:vAlign w:val="center"/>
          </w:tcPr>
          <w:p>
            <w:pPr>
              <w:spacing w:line="360" w:lineRule="auto"/>
              <w:ind w:right="210" w:rightChars="100"/>
              <w:rPr>
                <w:rFonts w:ascii="宋体" w:hAnsi="宋体"/>
                <w:color w:val="auto"/>
              </w:rPr>
            </w:pPr>
            <w:r>
              <w:rPr>
                <w:rFonts w:hint="eastAsia" w:ascii="宋体" w:hAnsi="宋体"/>
                <w:color w:val="auto"/>
              </w:rPr>
              <w:t>采购预算</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ind w:right="210"/>
              <w:rPr>
                <w:rFonts w:eastAsia="仿宋_GB2312" w:cs="宋体"/>
                <w:b/>
                <w:color w:val="auto"/>
                <w:lang w:val="zh-CN"/>
              </w:rPr>
            </w:pPr>
            <w:r>
              <w:rPr>
                <w:rFonts w:hint="eastAsia" w:ascii="宋体" w:hAnsi="宋体"/>
                <w:b/>
                <w:color w:val="auto"/>
              </w:rPr>
              <w:t>人民币</w:t>
            </w:r>
            <w:r>
              <w:rPr>
                <w:rFonts w:hint="eastAsia" w:ascii="宋体" w:hAnsi="宋体"/>
                <w:b/>
                <w:color w:val="auto"/>
                <w:lang w:val="en-US" w:eastAsia="zh-CN"/>
              </w:rPr>
              <w:t>58</w:t>
            </w:r>
            <w:r>
              <w:rPr>
                <w:rFonts w:hint="eastAsia" w:ascii="宋体" w:hAnsi="宋体"/>
                <w:b/>
                <w:color w:val="auto"/>
              </w:rPr>
              <w:t>万元</w:t>
            </w:r>
            <w:r>
              <w:rPr>
                <w:rFonts w:hint="eastAsia"/>
                <w:b/>
                <w:color w:val="auto"/>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405"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color w:val="auto"/>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cs="宋体"/>
                <w:color w:val="auto"/>
                <w:lang w:val="zh-CN"/>
              </w:rPr>
            </w:pPr>
            <w:r>
              <w:rPr>
                <w:rFonts w:hint="eastAsia" w:ascii="宋体" w:hAnsi="宋体" w:cs="宋体"/>
                <w:color w:val="auto"/>
                <w:lang w:val="zh-CN"/>
              </w:rPr>
              <w:t>最高限价</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ind w:right="210" w:rightChars="100"/>
              <w:rPr>
                <w:rFonts w:ascii="宋体" w:hAnsi="宋体" w:cs="宋体"/>
                <w:b/>
                <w:color w:val="auto"/>
                <w:lang w:val="zh-CN"/>
              </w:rPr>
            </w:pPr>
            <w:r>
              <w:rPr>
                <w:rFonts w:hint="eastAsia"/>
                <w:b/>
                <w:color w:val="auto"/>
                <w:lang w:val="zh-CN"/>
              </w:rPr>
              <w:t>本项目最高限价（控制价）为</w:t>
            </w:r>
            <w:r>
              <w:rPr>
                <w:rFonts w:hint="eastAsia"/>
                <w:b/>
                <w:color w:val="auto"/>
                <w:lang w:val="en-US" w:eastAsia="zh-CN"/>
              </w:rPr>
              <w:t>人民币58万元</w:t>
            </w:r>
            <w:r>
              <w:rPr>
                <w:rFonts w:hint="eastAsia"/>
                <w:b/>
                <w:color w:val="auto"/>
                <w:lang w:val="zh-CN"/>
              </w:rPr>
              <w:t>，供应商最后报价高于最高限价的则其施工响应文件将按无效施工响应文件处理。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708"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color w:val="auto"/>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cs="宋体"/>
                <w:color w:val="auto"/>
                <w:lang w:val="zh-CN"/>
              </w:rPr>
            </w:pPr>
            <w:r>
              <w:rPr>
                <w:rFonts w:hint="eastAsia" w:ascii="宋体" w:hAnsi="宋体" w:cs="宋体"/>
                <w:color w:val="auto"/>
                <w:lang w:val="zh-CN"/>
              </w:rPr>
              <w:t>采购方式</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rPr>
                <w:rFonts w:ascii="宋体" w:hAnsi="宋体" w:cs="宋体"/>
                <w:color w:val="auto"/>
                <w:lang w:val="zh-CN"/>
              </w:rPr>
            </w:pPr>
            <w:r>
              <w:rPr>
                <w:rFonts w:hint="eastAsia" w:ascii="宋体" w:hAnsi="宋体" w:cs="宋体"/>
                <w:color w:val="auto"/>
                <w:lang w:val="zh-CN"/>
              </w:rPr>
              <w:t>公开招标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6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color w:val="auto"/>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cs="宋体"/>
                <w:color w:val="auto"/>
                <w:lang w:val="zh-CN"/>
              </w:rPr>
            </w:pPr>
            <w:r>
              <w:rPr>
                <w:rFonts w:hint="eastAsia" w:ascii="宋体" w:hAnsi="宋体" w:cs="宋体"/>
                <w:color w:val="auto"/>
                <w:lang w:val="zh-CN"/>
              </w:rPr>
              <w:t>评标方法</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rPr>
                <w:rFonts w:ascii="宋体" w:hAnsi="宋体" w:cs="宋体"/>
                <w:color w:val="auto"/>
                <w:lang w:val="zh-CN"/>
              </w:rPr>
            </w:pPr>
            <w:r>
              <w:rPr>
                <w:rFonts w:hint="eastAsia" w:ascii="宋体" w:hAnsi="宋体" w:cs="宋体"/>
                <w:color w:val="auto"/>
                <w:lang w:val="zh-CN"/>
              </w:rPr>
              <w:t>综合评分法(详见第6章)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color w:val="auto"/>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ind w:right="210" w:rightChars="100"/>
              <w:rPr>
                <w:rFonts w:ascii="宋体" w:hAnsi="宋体" w:eastAsia="仿宋_GB2312" w:cs="宋体"/>
                <w:color w:val="auto"/>
                <w:lang w:val="zh-CN"/>
              </w:rPr>
            </w:pPr>
            <w:r>
              <w:rPr>
                <w:rFonts w:hint="eastAsia" w:ascii="宋体" w:hAnsi="宋体" w:cs="宋体"/>
                <w:color w:val="auto"/>
                <w:lang w:val="zh-CN"/>
              </w:rPr>
              <w:t>低于成本价不正当竞争预防措施</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ind w:right="210" w:rightChars="100"/>
              <w:rPr>
                <w:rFonts w:hint="eastAsia" w:ascii="宋体" w:hAnsi="宋体" w:cs="宋体"/>
                <w:color w:val="auto"/>
                <w:lang w:val="zh-CN"/>
              </w:rPr>
            </w:pPr>
            <w:r>
              <w:rPr>
                <w:rFonts w:hint="eastAsia" w:ascii="宋体" w:hAnsi="宋体" w:cs="宋体"/>
                <w:color w:val="auto"/>
                <w:lang w:val="zh-CN"/>
              </w:rPr>
              <w:t>在评标过程中，评标委员会认为投标人投标报价明显低于其他通过符合性审查投标人的投标报价，有可能影响产品质量或者不能诚信履约的，评标委员会应当要求其在合理的时间内提供书面说明，必要时提交相关证明材料。投标人书面说明应当按照国家财务会计制度的规定要求，逐项就投标人提供的货物和服务的主营业务成本（应根据投标人企业类型予以区别）、税金及附加、销售费用、管理费用、财务费用等成本构成事项详细陈述。</w:t>
            </w:r>
          </w:p>
          <w:p>
            <w:pPr>
              <w:autoSpaceDE w:val="0"/>
              <w:autoSpaceDN w:val="0"/>
              <w:adjustRightInd w:val="0"/>
              <w:spacing w:line="360" w:lineRule="auto"/>
              <w:ind w:right="210" w:rightChars="100"/>
              <w:rPr>
                <w:rFonts w:ascii="宋体" w:hAnsi="宋体" w:cs="宋体"/>
                <w:color w:val="auto"/>
              </w:rPr>
            </w:pPr>
            <w:r>
              <w:rPr>
                <w:rFonts w:hint="eastAsia" w:ascii="宋体" w:hAnsi="宋体" w:cs="宋体"/>
                <w:color w:val="auto"/>
                <w:lang w:val="zh-CN"/>
              </w:rPr>
              <w:t>投标人提交的书面说明、相关证明材料（如涉及），应当加盖投标人（法定名称）电子签章，在评标委员会要求的时间内通过政府采购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4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color w:val="auto"/>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cs="宋体"/>
                <w:color w:val="auto"/>
                <w:lang w:val="zh-CN"/>
              </w:rPr>
            </w:pPr>
            <w:r>
              <w:rPr>
                <w:rFonts w:hint="eastAsia" w:ascii="宋体" w:hAnsi="宋体" w:cs="宋体"/>
                <w:color w:val="auto"/>
                <w:lang w:val="zh-CN"/>
              </w:rPr>
              <w:t>投标保证金</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color w:val="auto"/>
              </w:rPr>
            </w:pPr>
            <w:r>
              <w:rPr>
                <w:rFonts w:hint="eastAsia" w:ascii="宋体" w:hAnsi="宋体"/>
                <w:b/>
                <w:color w:val="auto"/>
              </w:rPr>
              <w:t>本项目不收取投标保证金。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color w:val="auto"/>
              </w:rPr>
            </w:pPr>
          </w:p>
        </w:tc>
        <w:tc>
          <w:tcPr>
            <w:tcW w:w="1716"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cs="宋体"/>
                <w:color w:val="auto"/>
                <w:lang w:val="zh-CN"/>
              </w:rPr>
            </w:pPr>
            <w:r>
              <w:rPr>
                <w:rFonts w:hint="eastAsia" w:ascii="宋体" w:hAnsi="宋体" w:cs="宋体"/>
                <w:color w:val="auto"/>
                <w:lang w:val="zh-CN"/>
              </w:rPr>
              <w:t>履约保证金</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cs="宋体"/>
                <w:color w:val="auto"/>
                <w:lang w:val="zh-CN"/>
              </w:rPr>
            </w:pPr>
            <w:r>
              <w:rPr>
                <w:rFonts w:hint="eastAsia" w:ascii="宋体" w:hAnsi="宋体" w:cs="宋体"/>
                <w:color w:val="auto"/>
                <w:lang w:val="zh-CN"/>
              </w:rPr>
              <w:t>详见投标人须知2.6.4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color w:val="auto"/>
              </w:rPr>
            </w:pPr>
          </w:p>
        </w:tc>
        <w:tc>
          <w:tcPr>
            <w:tcW w:w="1716"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cs="宋体"/>
                <w:color w:val="auto"/>
                <w:lang w:val="zh-CN"/>
              </w:rPr>
            </w:pPr>
            <w:r>
              <w:rPr>
                <w:rFonts w:hint="eastAsia" w:ascii="宋体" w:hAnsi="宋体" w:cs="宋体"/>
                <w:color w:val="auto"/>
                <w:lang w:val="zh-CN"/>
              </w:rPr>
              <w:t>投标有效期</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cs="宋体"/>
                <w:color w:val="auto"/>
                <w:lang w:val="zh-CN"/>
              </w:rPr>
            </w:pPr>
            <w:r>
              <w:rPr>
                <w:rFonts w:hint="eastAsia" w:ascii="宋体" w:hAnsi="宋体" w:cs="宋体"/>
                <w:color w:val="auto"/>
                <w:lang w:val="zh-CN"/>
              </w:rPr>
              <w:t>提交投标文件的截止之日起</w:t>
            </w:r>
            <w:r>
              <w:rPr>
                <w:rFonts w:hint="eastAsia" w:ascii="宋体" w:hAnsi="宋体" w:cs="宋体"/>
                <w:color w:val="auto"/>
                <w:u w:val="single"/>
                <w:lang w:val="zh-CN"/>
              </w:rPr>
              <w:t>120</w:t>
            </w:r>
            <w:r>
              <w:rPr>
                <w:rFonts w:hint="eastAsia" w:ascii="宋体" w:hAnsi="宋体" w:cs="宋体"/>
                <w:color w:val="auto"/>
                <w:lang w:val="zh-CN"/>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color w:val="auto"/>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color w:val="auto"/>
              </w:rPr>
            </w:pPr>
            <w:r>
              <w:rPr>
                <w:rFonts w:hint="eastAsia" w:ascii="宋体" w:hAnsi="宋体"/>
                <w:color w:val="auto"/>
              </w:rPr>
              <w:t>投标文件的制作和签章、加密</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hint="eastAsia"/>
              </w:rPr>
            </w:pPr>
            <w:r>
              <w:rPr>
                <w:rFonts w:hint="eastAsia"/>
              </w:rPr>
              <w:t>详见投标人须知2.4.11</w:t>
            </w:r>
          </w:p>
          <w:p>
            <w:pPr>
              <w:pStyle w:val="2"/>
            </w:pPr>
            <w:r>
              <w:rPr>
                <w:rFonts w:ascii="宋体" w:hAnsi="宋体" w:eastAsia="宋体" w:cs="宋体"/>
                <w:sz w:val="24"/>
                <w:szCs w:val="24"/>
              </w:rPr>
              <w:t>根据《关于上线“四川省互联互通驱动3.0”的通知》有关要求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color w:val="auto"/>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color w:val="auto"/>
              </w:rPr>
            </w:pPr>
            <w:r>
              <w:rPr>
                <w:rFonts w:hint="eastAsia" w:ascii="宋体" w:hAnsi="宋体"/>
                <w:color w:val="auto"/>
              </w:rPr>
              <w:t>投标文件的递交</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color w:val="auto"/>
              </w:rPr>
            </w:pPr>
            <w:r>
              <w:rPr>
                <w:rFonts w:hint="eastAsia" w:ascii="宋体" w:hAnsi="宋体"/>
                <w:color w:val="auto"/>
              </w:rPr>
              <w:t>详见投标人须知2.4.12</w:t>
            </w:r>
          </w:p>
          <w:p>
            <w:pPr>
              <w:tabs>
                <w:tab w:val="left" w:pos="7665"/>
              </w:tabs>
              <w:snapToGrid w:val="0"/>
              <w:jc w:val="left"/>
              <w:rPr>
                <w:b/>
                <w:color w:val="auto"/>
              </w:rPr>
            </w:pPr>
            <w:r>
              <w:rPr>
                <w:rFonts w:hint="eastAsia" w:ascii="宋体" w:hAnsi="宋体"/>
                <w:b/>
                <w:color w:val="auto"/>
              </w:rPr>
              <w:t>注：投标人使用</w:t>
            </w:r>
            <w:r>
              <w:rPr>
                <w:rFonts w:ascii="宋体" w:hAnsi="宋体"/>
                <w:b/>
                <w:color w:val="auto"/>
              </w:rPr>
              <w:t>CA证书在</w:t>
            </w:r>
            <w:r>
              <w:rPr>
                <w:rFonts w:hint="eastAsia" w:ascii="宋体" w:hAnsi="宋体"/>
                <w:b/>
                <w:color w:val="auto"/>
              </w:rPr>
              <w:t>投标截止时间前，将投标文件上传至政府</w:t>
            </w:r>
            <w:r>
              <w:rPr>
                <w:rFonts w:ascii="宋体" w:hAnsi="宋体"/>
                <w:b/>
                <w:color w:val="auto"/>
              </w:rPr>
              <w:t>采购</w:t>
            </w:r>
            <w:r>
              <w:rPr>
                <w:rFonts w:hint="eastAsia" w:ascii="宋体" w:hAnsi="宋体"/>
                <w:b/>
                <w:color w:val="auto"/>
              </w:rPr>
              <w:t>云平台，上传前须对投标文件是否有电子签章等进行核对。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color w:val="auto"/>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color w:val="auto"/>
              </w:rPr>
            </w:pPr>
            <w:r>
              <w:rPr>
                <w:rFonts w:hint="eastAsia" w:ascii="宋体" w:hAnsi="宋体"/>
                <w:color w:val="auto"/>
              </w:rPr>
              <w:t>投标文件的补充、修改</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color w:val="auto"/>
              </w:rPr>
            </w:pPr>
            <w:r>
              <w:rPr>
                <w:rFonts w:hint="eastAsia" w:ascii="宋体" w:hAnsi="宋体"/>
                <w:color w:val="auto"/>
              </w:rPr>
              <w:t>详见投标人须知2.4.13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color w:val="auto"/>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color w:val="auto"/>
              </w:rPr>
            </w:pPr>
            <w:r>
              <w:rPr>
                <w:rFonts w:hint="eastAsia" w:ascii="宋体" w:hAnsi="宋体"/>
                <w:color w:val="auto"/>
              </w:rPr>
              <w:t>投标文件的撤回</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color w:val="auto"/>
              </w:rPr>
            </w:pPr>
            <w:r>
              <w:rPr>
                <w:rFonts w:hint="eastAsia" w:ascii="宋体" w:hAnsi="宋体"/>
                <w:color w:val="auto"/>
              </w:rPr>
              <w:t>详见投标人须知2.4.14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color w:val="auto"/>
              </w:rPr>
            </w:pPr>
          </w:p>
        </w:tc>
        <w:tc>
          <w:tcPr>
            <w:tcW w:w="1716" w:type="dxa"/>
            <w:tcBorders>
              <w:top w:val="single" w:color="auto" w:sz="8" w:space="0"/>
              <w:left w:val="single" w:color="auto" w:sz="8" w:space="0"/>
              <w:bottom w:val="single" w:color="auto" w:sz="8" w:space="0"/>
              <w:right w:val="single" w:color="auto" w:sz="8" w:space="0"/>
            </w:tcBorders>
            <w:vAlign w:val="center"/>
          </w:tcPr>
          <w:p>
            <w:pPr>
              <w:pStyle w:val="80"/>
              <w:numPr>
                <w:ilvl w:val="0"/>
                <w:numId w:val="0"/>
              </w:numPr>
              <w:tabs>
                <w:tab w:val="left" w:pos="1134"/>
              </w:tabs>
              <w:spacing w:before="120" w:after="200" w:line="360" w:lineRule="auto"/>
              <w:ind w:right="210" w:rightChars="0"/>
              <w:rPr>
                <w:rFonts w:hint="eastAsia" w:ascii="Calibri" w:hAnsi="Calibri" w:eastAsia="宋体" w:cs="Times New Roman"/>
                <w:kern w:val="2"/>
                <w:sz w:val="21"/>
                <w:szCs w:val="22"/>
                <w:lang w:val="en-US" w:eastAsia="zh-CN" w:bidi="ar-SA"/>
              </w:rPr>
            </w:pPr>
            <w:r>
              <w:rPr>
                <w:rFonts w:hint="eastAsia" w:ascii="Calibri" w:hAnsi="Calibri" w:eastAsia="宋体" w:cs="Times New Roman"/>
                <w:kern w:val="2"/>
                <w:sz w:val="21"/>
                <w:szCs w:val="22"/>
                <w:lang w:val="en-US" w:eastAsia="zh-CN" w:bidi="ar-SA"/>
              </w:rPr>
              <w:t>开标及开标程序</w:t>
            </w:r>
          </w:p>
        </w:tc>
        <w:tc>
          <w:tcPr>
            <w:tcW w:w="6910" w:type="dxa"/>
            <w:tcBorders>
              <w:top w:val="single" w:color="auto" w:sz="8" w:space="0"/>
              <w:left w:val="single" w:color="auto" w:sz="8" w:space="0"/>
              <w:bottom w:val="single" w:color="auto" w:sz="8" w:space="0"/>
              <w:right w:val="single" w:color="auto" w:sz="18" w:space="0"/>
            </w:tcBorders>
            <w:vAlign w:val="center"/>
          </w:tcPr>
          <w:p>
            <w:pPr>
              <w:pStyle w:val="80"/>
              <w:numPr>
                <w:ilvl w:val="0"/>
                <w:numId w:val="0"/>
              </w:numPr>
              <w:tabs>
                <w:tab w:val="left" w:pos="1134"/>
              </w:tabs>
              <w:spacing w:before="120" w:after="200" w:line="360" w:lineRule="auto"/>
              <w:ind w:right="210" w:rightChars="0"/>
              <w:rPr>
                <w:rFonts w:hint="eastAsia" w:ascii="Calibri" w:hAnsi="Calibri" w:eastAsia="宋体" w:cs="Times New Roman"/>
                <w:kern w:val="2"/>
                <w:sz w:val="21"/>
                <w:szCs w:val="22"/>
                <w:lang w:val="en-US" w:eastAsia="zh-CN" w:bidi="ar-SA"/>
              </w:rPr>
            </w:pPr>
            <w:r>
              <w:rPr>
                <w:rFonts w:hint="eastAsia" w:ascii="Calibri" w:hAnsi="Calibri" w:eastAsia="宋体" w:cs="Times New Roman"/>
                <w:kern w:val="2"/>
                <w:sz w:val="21"/>
                <w:szCs w:val="22"/>
                <w:lang w:val="en-US" w:eastAsia="zh-CN" w:bidi="ar-SA"/>
              </w:rPr>
              <w:t>详见投标人须知2.5.1。</w:t>
            </w:r>
          </w:p>
          <w:p>
            <w:pPr>
              <w:pStyle w:val="80"/>
              <w:numPr>
                <w:ilvl w:val="0"/>
                <w:numId w:val="0"/>
              </w:numPr>
              <w:tabs>
                <w:tab w:val="left" w:pos="1134"/>
              </w:tabs>
              <w:spacing w:before="120" w:after="200" w:line="360" w:lineRule="auto"/>
              <w:ind w:right="210" w:rightChars="0"/>
              <w:rPr>
                <w:rFonts w:hint="eastAsia" w:ascii="Calibri" w:hAnsi="Calibri" w:eastAsia="宋体" w:cs="Times New Roman"/>
                <w:kern w:val="2"/>
                <w:sz w:val="21"/>
                <w:szCs w:val="22"/>
                <w:lang w:val="en-US" w:eastAsia="zh-CN" w:bidi="ar-SA"/>
              </w:rPr>
            </w:pPr>
            <w:r>
              <w:rPr>
                <w:rFonts w:hint="eastAsia" w:ascii="Calibri" w:hAnsi="Calibri" w:eastAsia="宋体" w:cs="Times New Roman"/>
                <w:kern w:val="2"/>
                <w:sz w:val="21"/>
                <w:szCs w:val="22"/>
                <w:lang w:val="en-US" w:eastAsia="zh-CN" w:bidi="ar-SA"/>
              </w:rPr>
              <w:t>投标文件解密：开启解密后，投标人应在系统提示的解密开始时间后60分钟内 ，使用对投标文件进行加密的CA证书在线完成对投标人递交至政府采购云平台的投标文件的解密。</w:t>
            </w:r>
          </w:p>
          <w:p>
            <w:pPr>
              <w:pStyle w:val="80"/>
              <w:numPr>
                <w:ilvl w:val="0"/>
                <w:numId w:val="0"/>
              </w:numPr>
              <w:tabs>
                <w:tab w:val="left" w:pos="1134"/>
              </w:tabs>
              <w:spacing w:before="120" w:after="200" w:line="360" w:lineRule="auto"/>
              <w:ind w:right="210" w:rightChars="0"/>
              <w:rPr>
                <w:rFonts w:hint="eastAsia" w:ascii="Calibri" w:hAnsi="Calibri" w:eastAsia="宋体" w:cs="Times New Roman"/>
                <w:kern w:val="2"/>
                <w:sz w:val="21"/>
                <w:szCs w:val="22"/>
                <w:lang w:val="en-US" w:eastAsia="zh-CN" w:bidi="ar-SA"/>
              </w:rPr>
            </w:pPr>
            <w:r>
              <w:rPr>
                <w:rFonts w:hint="eastAsia" w:ascii="Calibri" w:hAnsi="Calibri" w:eastAsia="宋体" w:cs="Times New Roman"/>
                <w:kern w:val="2"/>
                <w:sz w:val="21"/>
                <w:szCs w:val="22"/>
                <w:lang w:val="en-US" w:eastAsia="zh-CN" w:bidi="ar-SA"/>
              </w:rPr>
              <w:t>投标人电脑终端等硬件设备和软件系统配置：投标人电脑终端等硬件设备和软件系统配置应符合开标大厅投标人电脑终端配置要求并运行正常，投标人承担因未尽职责产生的不利后果。</w:t>
            </w:r>
          </w:p>
          <w:p>
            <w:pPr>
              <w:pStyle w:val="80"/>
              <w:numPr>
                <w:ilvl w:val="0"/>
                <w:numId w:val="0"/>
              </w:numPr>
              <w:tabs>
                <w:tab w:val="left" w:pos="1134"/>
              </w:tabs>
              <w:spacing w:before="120" w:after="200" w:line="360" w:lineRule="auto"/>
              <w:ind w:right="210" w:rightChars="0"/>
              <w:rPr>
                <w:rFonts w:hint="eastAsia" w:ascii="Calibri" w:hAnsi="Calibri" w:eastAsia="宋体" w:cs="Times New Roman"/>
                <w:kern w:val="2"/>
                <w:sz w:val="21"/>
                <w:szCs w:val="22"/>
                <w:lang w:val="en-US" w:eastAsia="zh-CN" w:bidi="ar-SA"/>
              </w:rPr>
            </w:pPr>
            <w:r>
              <w:rPr>
                <w:rFonts w:hint="eastAsia" w:ascii="Calibri" w:hAnsi="Calibri" w:eastAsia="宋体" w:cs="Times New Roman"/>
                <w:kern w:val="2"/>
                <w:sz w:val="21"/>
                <w:szCs w:val="22"/>
                <w:lang w:val="en-US" w:eastAsia="zh-CN" w:bidi="ar-SA"/>
              </w:rPr>
              <w:t>开标、投标文件的解密详见《成都市全流程电子化采购系统操作指南——供应商版》。</w:t>
            </w:r>
          </w:p>
          <w:p>
            <w:pPr>
              <w:pStyle w:val="80"/>
              <w:numPr>
                <w:ilvl w:val="0"/>
                <w:numId w:val="0"/>
              </w:numPr>
              <w:tabs>
                <w:tab w:val="left" w:pos="1134"/>
              </w:tabs>
              <w:spacing w:before="120" w:after="200" w:line="360" w:lineRule="auto"/>
              <w:ind w:right="210" w:rightChars="0"/>
              <w:rPr>
                <w:rFonts w:hint="eastAsia" w:ascii="Calibri" w:hAnsi="Calibri" w:eastAsia="宋体" w:cs="Times New Roman"/>
                <w:kern w:val="2"/>
                <w:sz w:val="21"/>
                <w:szCs w:val="22"/>
                <w:lang w:val="en-US" w:eastAsia="zh-CN" w:bidi="ar-SA"/>
              </w:rPr>
            </w:pPr>
            <w:r>
              <w:rPr>
                <w:rFonts w:hint="eastAsia" w:ascii="Calibri" w:hAnsi="Calibri" w:eastAsia="宋体" w:cs="Times New Roman"/>
                <w:kern w:val="2"/>
                <w:sz w:val="21"/>
                <w:szCs w:val="22"/>
                <w:lang w:val="en-US" w:eastAsia="zh-CN" w:bidi="ar-SA"/>
              </w:rPr>
              <w:t>政府采购云平台运行基本环境要求：电脑应安装并顺利运行64位win7以上操作系统，谷歌浏览器；正确的CA及签章驱动等；能流畅访问互联网。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6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color w:val="auto"/>
              </w:rPr>
            </w:pPr>
          </w:p>
        </w:tc>
        <w:tc>
          <w:tcPr>
            <w:tcW w:w="171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color w:val="auto"/>
              </w:rPr>
            </w:pPr>
            <w:r>
              <w:rPr>
                <w:rFonts w:hint="eastAsia" w:ascii="宋体" w:hAnsi="宋体"/>
                <w:color w:val="auto"/>
              </w:rPr>
              <w:t>对招标文件中供应商参加本次政府采购活动应当具备的条件,招标项目技术、服务、商务及其他要求,评标细则及标准,以及</w:t>
            </w:r>
            <w:r>
              <w:rPr>
                <w:rFonts w:ascii="宋体" w:hAnsi="宋体"/>
                <w:color w:val="auto"/>
              </w:rPr>
              <w:t>关于资格审查</w:t>
            </w:r>
            <w:r>
              <w:rPr>
                <w:rFonts w:hint="eastAsia" w:ascii="宋体" w:hAnsi="宋体"/>
                <w:color w:val="auto"/>
              </w:rPr>
              <w:t>的询问、质疑</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right="210"/>
              <w:rPr>
                <w:rFonts w:ascii="宋体" w:hAnsi="宋体" w:eastAsia="仿宋_GB2312" w:cs="宋体"/>
                <w:color w:val="auto"/>
              </w:rPr>
            </w:pPr>
            <w:r>
              <w:rPr>
                <w:rFonts w:hint="eastAsia" w:ascii="宋体" w:hAnsi="宋体"/>
                <w:color w:val="auto"/>
              </w:rPr>
              <w:t>向采购人提出，并由采购人按相关规定作出答复（详见投标人须知2.8）。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993"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color w:val="auto"/>
              </w:rPr>
            </w:pPr>
          </w:p>
        </w:tc>
        <w:tc>
          <w:tcPr>
            <w:tcW w:w="171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color w:val="auto"/>
              </w:rPr>
            </w:pPr>
            <w:r>
              <w:rPr>
                <w:rFonts w:hint="eastAsia" w:ascii="宋体" w:hAnsi="宋体"/>
                <w:color w:val="auto"/>
              </w:rPr>
              <w:t>对招标文件中的其他内容、采购过程及中标结果（除</w:t>
            </w:r>
            <w:r>
              <w:rPr>
                <w:rFonts w:ascii="宋体" w:hAnsi="宋体"/>
                <w:color w:val="auto"/>
              </w:rPr>
              <w:t>资格审查</w:t>
            </w:r>
            <w:r>
              <w:rPr>
                <w:rFonts w:hint="eastAsia" w:ascii="宋体" w:hAnsi="宋体"/>
                <w:color w:val="auto"/>
              </w:rPr>
              <w:t>）的询问、质疑</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right="210"/>
              <w:rPr>
                <w:rFonts w:ascii="宋体" w:hAnsi="宋体" w:eastAsia="仿宋_GB2312" w:cs="宋体"/>
                <w:color w:val="auto"/>
              </w:rPr>
            </w:pPr>
            <w:r>
              <w:rPr>
                <w:rFonts w:hint="eastAsia" w:ascii="宋体" w:hAnsi="宋体"/>
                <w:color w:val="auto"/>
              </w:rPr>
              <w:t>向</w:t>
            </w:r>
            <w:r>
              <w:rPr>
                <w:rFonts w:hint="eastAsia" w:ascii="宋体" w:hAnsi="宋体"/>
                <w:color w:val="auto"/>
                <w:lang w:eastAsia="zh-CN"/>
              </w:rPr>
              <w:t>区采购中心</w:t>
            </w:r>
            <w:r>
              <w:rPr>
                <w:rFonts w:hint="eastAsia" w:ascii="宋体" w:hAnsi="宋体"/>
                <w:color w:val="auto"/>
              </w:rPr>
              <w:t>提出，并由</w:t>
            </w:r>
            <w:r>
              <w:rPr>
                <w:rFonts w:hint="eastAsia" w:ascii="宋体" w:hAnsi="宋体"/>
                <w:color w:val="auto"/>
                <w:lang w:eastAsia="zh-CN"/>
              </w:rPr>
              <w:t>区采购中心</w:t>
            </w:r>
            <w:r>
              <w:rPr>
                <w:rFonts w:hint="eastAsia" w:ascii="宋体" w:hAnsi="宋体"/>
                <w:color w:val="auto"/>
              </w:rPr>
              <w:t>按相关规定作出答复（详见投标人须知2.8）。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97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color w:val="auto"/>
              </w:rPr>
            </w:pPr>
          </w:p>
        </w:tc>
        <w:tc>
          <w:tcPr>
            <w:tcW w:w="171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ind w:right="210" w:rightChars="100"/>
              <w:rPr>
                <w:rFonts w:ascii="宋体" w:hAnsi="宋体"/>
                <w:color w:val="auto"/>
              </w:rPr>
            </w:pPr>
            <w:r>
              <w:rPr>
                <w:rFonts w:hint="eastAsia" w:ascii="宋体" w:hAnsi="宋体"/>
                <w:color w:val="auto"/>
              </w:rPr>
              <w:t>投标人投诉</w:t>
            </w:r>
          </w:p>
        </w:tc>
        <w:tc>
          <w:tcPr>
            <w:tcW w:w="6910"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ind w:right="210" w:rightChars="100"/>
              <w:rPr>
                <w:rFonts w:hint="eastAsia" w:ascii="宋体" w:hAnsi="宋体"/>
                <w:color w:val="auto"/>
              </w:rPr>
            </w:pPr>
            <w:r>
              <w:rPr>
                <w:rFonts w:hint="eastAsia" w:ascii="宋体" w:hAnsi="宋体"/>
                <w:color w:val="auto"/>
              </w:rPr>
              <w:t>投诉受理单位：本项目同级财政部门，即成都市</w:t>
            </w:r>
            <w:r>
              <w:rPr>
                <w:rFonts w:hint="eastAsia" w:ascii="宋体" w:hAnsi="宋体"/>
                <w:color w:val="auto"/>
                <w:lang w:val="en-US" w:eastAsia="zh-CN"/>
              </w:rPr>
              <w:t>锦江区</w:t>
            </w:r>
            <w:r>
              <w:rPr>
                <w:rFonts w:hint="eastAsia" w:ascii="宋体" w:hAnsi="宋体"/>
                <w:color w:val="auto"/>
              </w:rPr>
              <w:t>财政局</w:t>
            </w:r>
            <w:r>
              <w:rPr>
                <w:rFonts w:hint="eastAsia" w:ascii="宋体" w:hAnsi="宋体"/>
                <w:color w:val="auto"/>
                <w:lang w:eastAsia="zh-CN"/>
              </w:rPr>
              <w:t>。</w:t>
            </w:r>
          </w:p>
          <w:p>
            <w:pPr>
              <w:snapToGrid w:val="0"/>
              <w:spacing w:line="360" w:lineRule="auto"/>
              <w:ind w:right="210" w:rightChars="100"/>
              <w:rPr>
                <w:rFonts w:hint="eastAsia" w:ascii="宋体" w:hAnsi="宋体"/>
                <w:color w:val="auto"/>
              </w:rPr>
            </w:pPr>
            <w:r>
              <w:rPr>
                <w:rFonts w:hint="eastAsia" w:ascii="宋体" w:hAnsi="宋体"/>
                <w:color w:val="auto"/>
              </w:rPr>
              <w:t>地 址：成都市锦江区大慈寺路38号</w:t>
            </w:r>
          </w:p>
          <w:p>
            <w:pPr>
              <w:snapToGrid w:val="0"/>
              <w:spacing w:line="360" w:lineRule="auto"/>
              <w:ind w:right="210" w:rightChars="100"/>
              <w:rPr>
                <w:rFonts w:hint="eastAsia" w:ascii="宋体" w:hAnsi="宋体"/>
                <w:color w:val="auto"/>
              </w:rPr>
            </w:pPr>
            <w:r>
              <w:rPr>
                <w:rFonts w:hint="eastAsia" w:ascii="宋体" w:hAnsi="宋体"/>
                <w:color w:val="auto"/>
              </w:rPr>
              <w:t>联系人：</w:t>
            </w:r>
            <w:r>
              <w:rPr>
                <w:rFonts w:hint="eastAsia" w:ascii="宋体" w:hAnsi="宋体"/>
                <w:color w:val="auto"/>
                <w:lang w:val="en-US" w:eastAsia="zh-CN"/>
              </w:rPr>
              <w:t>王老师</w:t>
            </w:r>
          </w:p>
          <w:p>
            <w:pPr>
              <w:snapToGrid w:val="0"/>
              <w:spacing w:line="360" w:lineRule="auto"/>
              <w:ind w:right="210" w:rightChars="100"/>
              <w:rPr>
                <w:rFonts w:ascii="宋体" w:hAnsi="宋体"/>
                <w:color w:val="auto"/>
              </w:rPr>
            </w:pPr>
            <w:r>
              <w:rPr>
                <w:rFonts w:hint="eastAsia" w:ascii="宋体" w:hAnsi="宋体"/>
                <w:color w:val="auto"/>
              </w:rPr>
              <w:t>联系电话：028-86513373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433"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numPr>
                <w:ilvl w:val="0"/>
                <w:numId w:val="9"/>
              </w:numPr>
              <w:snapToGrid w:val="0"/>
              <w:spacing w:line="360" w:lineRule="auto"/>
              <w:ind w:left="0" w:firstLine="0"/>
              <w:jc w:val="center"/>
              <w:rPr>
                <w:rFonts w:ascii="宋体" w:hAnsi="宋体"/>
                <w:color w:val="auto"/>
              </w:rPr>
            </w:pPr>
          </w:p>
        </w:tc>
        <w:tc>
          <w:tcPr>
            <w:tcW w:w="171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cs="宋体"/>
                <w:color w:val="auto"/>
                <w:lang w:val="zh-CN"/>
              </w:rPr>
            </w:pPr>
            <w:r>
              <w:rPr>
                <w:rFonts w:hint="eastAsia" w:ascii="宋体" w:hAnsi="宋体" w:cs="宋体"/>
                <w:color w:val="auto"/>
                <w:lang w:val="zh-CN"/>
              </w:rPr>
              <w:t>评标情况公告</w:t>
            </w:r>
          </w:p>
        </w:tc>
        <w:tc>
          <w:tcPr>
            <w:tcW w:w="6910" w:type="dxa"/>
            <w:tcBorders>
              <w:top w:val="single" w:color="auto" w:sz="8" w:space="0"/>
              <w:left w:val="single" w:color="auto" w:sz="8" w:space="0"/>
              <w:bottom w:val="single" w:color="auto" w:sz="4" w:space="0"/>
              <w:right w:val="single" w:color="auto" w:sz="18" w:space="0"/>
            </w:tcBorders>
            <w:vAlign w:val="center"/>
          </w:tcPr>
          <w:p>
            <w:pPr>
              <w:tabs>
                <w:tab w:val="left" w:pos="7665"/>
              </w:tabs>
              <w:spacing w:line="360" w:lineRule="auto"/>
              <w:rPr>
                <w:rFonts w:ascii="宋体" w:hAnsi="宋体" w:cs="宋体"/>
                <w:color w:val="auto"/>
                <w:lang w:val="zh-CN"/>
              </w:rPr>
            </w:pPr>
            <w:r>
              <w:rPr>
                <w:rFonts w:hint="eastAsia" w:ascii="宋体" w:hAnsi="宋体" w:cs="宋体"/>
                <w:color w:val="auto"/>
                <w:lang w:val="zh-CN"/>
              </w:rPr>
              <w:t>所有</w:t>
            </w:r>
            <w:r>
              <w:rPr>
                <w:rFonts w:hint="eastAsia" w:ascii="宋体" w:hAnsi="宋体"/>
                <w:color w:val="auto"/>
              </w:rPr>
              <w:t>投标人</w:t>
            </w:r>
            <w:r>
              <w:rPr>
                <w:rFonts w:hint="eastAsia" w:ascii="宋体" w:hAnsi="宋体" w:cs="宋体"/>
                <w:color w:val="auto"/>
                <w:lang w:val="zh-CN"/>
              </w:rPr>
              <w:t>投标文件资格性、符合性检查情况、采用综合评分法时的总得分情况、评标结果等将在成都市公共资源交易服务中心网、四川政府采购网上采购结果公告栏中予以公告。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127"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numPr>
                <w:ilvl w:val="0"/>
                <w:numId w:val="9"/>
              </w:numPr>
              <w:snapToGrid w:val="0"/>
              <w:spacing w:line="360" w:lineRule="auto"/>
              <w:ind w:left="0" w:firstLine="0"/>
              <w:jc w:val="center"/>
              <w:rPr>
                <w:rFonts w:ascii="宋体" w:hAnsi="宋体"/>
                <w:color w:val="auto"/>
              </w:rPr>
            </w:pPr>
          </w:p>
        </w:tc>
        <w:tc>
          <w:tcPr>
            <w:tcW w:w="171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color w:val="auto"/>
              </w:rPr>
            </w:pPr>
            <w:r>
              <w:rPr>
                <w:rFonts w:hint="eastAsia" w:ascii="宋体" w:hAnsi="宋体" w:cs="宋体"/>
                <w:color w:val="auto"/>
                <w:lang w:val="zh-CN"/>
              </w:rPr>
              <w:t>中标通知书</w:t>
            </w:r>
          </w:p>
        </w:tc>
        <w:tc>
          <w:tcPr>
            <w:tcW w:w="6910"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color w:val="auto"/>
              </w:rPr>
            </w:pPr>
            <w:r>
              <w:rPr>
                <w:rFonts w:hint="eastAsia" w:ascii="宋体" w:hAnsi="宋体" w:cs="宋体"/>
                <w:color w:val="auto"/>
                <w:lang w:val="zh-CN"/>
              </w:rPr>
              <w:t>中标公告在四川政府采购网上公告后，中标供应商自行登录政府采购云平台下载中标通知书。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0"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numPr>
                <w:ilvl w:val="0"/>
                <w:numId w:val="9"/>
              </w:numPr>
              <w:snapToGrid w:val="0"/>
              <w:spacing w:line="360" w:lineRule="auto"/>
              <w:ind w:left="0" w:firstLine="0"/>
              <w:jc w:val="center"/>
              <w:rPr>
                <w:rFonts w:ascii="宋体" w:hAnsi="宋体"/>
                <w:color w:val="auto"/>
              </w:rPr>
            </w:pPr>
          </w:p>
        </w:tc>
        <w:tc>
          <w:tcPr>
            <w:tcW w:w="171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color w:val="auto"/>
              </w:rPr>
            </w:pPr>
            <w:r>
              <w:rPr>
                <w:rFonts w:hint="eastAsia" w:ascii="宋体" w:hAnsi="宋体"/>
                <w:color w:val="auto"/>
              </w:rPr>
              <w:t>合同签订地点</w:t>
            </w:r>
          </w:p>
        </w:tc>
        <w:tc>
          <w:tcPr>
            <w:tcW w:w="6910"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color w:val="auto"/>
              </w:rPr>
            </w:pPr>
            <w:r>
              <w:rPr>
                <w:rFonts w:hint="eastAsia" w:ascii="宋体" w:hAnsi="宋体"/>
                <w:color w:val="auto"/>
              </w:rPr>
              <w:t>四川省成都市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975"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9"/>
              </w:numPr>
              <w:snapToGrid w:val="0"/>
              <w:spacing w:line="360" w:lineRule="auto"/>
              <w:ind w:left="0" w:firstLine="0"/>
              <w:jc w:val="center"/>
              <w:rPr>
                <w:rFonts w:ascii="宋体" w:hAnsi="宋体"/>
                <w:color w:val="auto"/>
              </w:rPr>
            </w:pPr>
          </w:p>
        </w:tc>
        <w:tc>
          <w:tcPr>
            <w:tcW w:w="171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ind w:right="210" w:rightChars="100"/>
              <w:rPr>
                <w:rFonts w:ascii="宋体" w:hAnsi="宋体"/>
                <w:color w:val="auto"/>
              </w:rPr>
            </w:pPr>
            <w:r>
              <w:rPr>
                <w:rFonts w:hint="eastAsia" w:ascii="宋体" w:hAnsi="宋体"/>
                <w:color w:val="auto"/>
              </w:rPr>
              <w:t>政府采购合同公告、备案</w:t>
            </w:r>
          </w:p>
        </w:tc>
        <w:tc>
          <w:tcPr>
            <w:tcW w:w="691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ind w:left="-4" w:leftChars="-2" w:right="210" w:firstLine="13" w:firstLineChars="6"/>
              <w:rPr>
                <w:rFonts w:ascii="宋体" w:hAnsi="宋体"/>
                <w:color w:val="auto"/>
              </w:rPr>
            </w:pPr>
            <w:r>
              <w:rPr>
                <w:rFonts w:hint="eastAsia" w:ascii="宋体"/>
                <w:color w:val="auto"/>
              </w:rPr>
              <w:t>政府采购合同签订之日起2个工作日内，采购人将在四川政府采购网公告政府采购合同；疫情防控期间，采购人原则上在5个工作日内与供应商签订政府采购合同及向本采购项目同级财政部门，即</w:t>
            </w:r>
            <w:r>
              <w:rPr>
                <w:rFonts w:hint="eastAsia" w:ascii="宋体"/>
                <w:color w:val="auto"/>
                <w:lang w:eastAsia="zh-CN"/>
              </w:rPr>
              <w:t>成都市锦江区财政局</w:t>
            </w:r>
            <w:r>
              <w:rPr>
                <w:rFonts w:hint="eastAsia" w:ascii="宋体"/>
                <w:color w:val="auto"/>
              </w:rPr>
              <w:t>备案政府采购合同。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533"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9"/>
              </w:numPr>
              <w:snapToGrid w:val="0"/>
              <w:spacing w:line="360" w:lineRule="auto"/>
              <w:ind w:left="0" w:firstLine="0"/>
              <w:jc w:val="center"/>
              <w:rPr>
                <w:rFonts w:ascii="宋体" w:hAnsi="宋体"/>
                <w:color w:val="auto"/>
              </w:rPr>
            </w:pPr>
          </w:p>
        </w:tc>
        <w:tc>
          <w:tcPr>
            <w:tcW w:w="171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b/>
                <w:color w:val="auto"/>
              </w:rPr>
            </w:pPr>
            <w:r>
              <w:rPr>
                <w:rFonts w:hint="eastAsia" w:ascii="宋体" w:hAnsi="宋体"/>
                <w:color w:val="auto"/>
              </w:rPr>
              <w:t>中小企业政府采购信用融资</w:t>
            </w:r>
          </w:p>
        </w:tc>
        <w:tc>
          <w:tcPr>
            <w:tcW w:w="691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color w:val="auto"/>
              </w:rPr>
            </w:pPr>
            <w:r>
              <w:rPr>
                <w:rFonts w:hint="eastAsia" w:ascii="宋体"/>
                <w:color w:val="auto"/>
              </w:rPr>
              <w:t>参加本次招标活动的中小企业供应商无需提供财产抵押或第三方担保，凭借政府采购合同可向融资机构申请融资。具体内容详见招标文件附件《四川省财政厅关于推进四川省政府采购供应商信用融资工作的通知》(川财采[2018]123号)和《成都市财政局 中国人民银行成都分行营业管理部关于印发〈成都市中小企业政府采购信用融资暂行办法〉和〈成都市级支持中小企业政府采购信用融资实施方案〉的通知》（成财采[2019]17号）和《成都市锦江区区财政局关于印发&lt;成都市锦江区支持中小企业政府采购信用融资实施方案&gt;的通知》（锦财发〔2019〕28号）和成都市锦江区政府采购信用融资机构名单（http://www.cdjinjiang.gov.cn/jjq/c133389/cgrz.shtml）见附件。</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685"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9"/>
              </w:numPr>
              <w:snapToGrid w:val="0"/>
              <w:spacing w:line="360" w:lineRule="auto"/>
              <w:ind w:left="0" w:firstLine="0"/>
              <w:jc w:val="center"/>
              <w:rPr>
                <w:rFonts w:ascii="宋体" w:hAnsi="宋体"/>
                <w:color w:val="auto"/>
              </w:rPr>
            </w:pPr>
          </w:p>
        </w:tc>
        <w:tc>
          <w:tcPr>
            <w:tcW w:w="171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color w:val="auto"/>
              </w:rPr>
            </w:pPr>
            <w:r>
              <w:rPr>
                <w:rFonts w:hint="eastAsia" w:ascii="宋体" w:hAnsi="宋体"/>
                <w:color w:val="auto"/>
              </w:rPr>
              <w:t>进口产品</w:t>
            </w:r>
          </w:p>
        </w:tc>
        <w:tc>
          <w:tcPr>
            <w:tcW w:w="691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color w:val="auto"/>
              </w:rPr>
            </w:pPr>
            <w:r>
              <w:rPr>
                <w:rFonts w:hint="eastAsia" w:ascii="宋体" w:hAnsi="宋体"/>
                <w:color w:val="auto"/>
              </w:rPr>
              <w:t>招标文件中未载明“允许采购进口产品”的产品，拒绝进口产品的投标。招标文件中载明“允许采购进口产品”的产品，允许国产产品参与投标竞争。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695"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9"/>
              </w:numPr>
              <w:snapToGrid w:val="0"/>
              <w:spacing w:line="360" w:lineRule="auto"/>
              <w:ind w:left="0" w:firstLine="0"/>
              <w:jc w:val="center"/>
              <w:rPr>
                <w:rFonts w:ascii="宋体" w:hAnsi="宋体"/>
                <w:color w:val="auto"/>
              </w:rPr>
            </w:pPr>
          </w:p>
        </w:tc>
        <w:tc>
          <w:tcPr>
            <w:tcW w:w="8626"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color w:val="auto"/>
              </w:rPr>
            </w:pPr>
            <w:r>
              <w:rPr>
                <w:rFonts w:hint="eastAsia" w:ascii="宋体" w:hAnsi="宋体"/>
                <w:color w:val="auto"/>
              </w:rPr>
              <w:t>采购人可以要求参加政府采购的供应商提供有关资质证明文件和业绩情况，并根据《中华人民共和国政府采购法》规定的供应商条件和采购项目对供应商的特定要求，对供应商的资格进行审查。</w:t>
            </w:r>
          </w:p>
        </w:tc>
      </w:tr>
    </w:tbl>
    <w:p>
      <w:pPr>
        <w:keepNext/>
        <w:keepLines/>
        <w:numPr>
          <w:ilvl w:val="1"/>
          <w:numId w:val="5"/>
        </w:numPr>
        <w:spacing w:before="260" w:after="260" w:line="360" w:lineRule="auto"/>
        <w:jc w:val="left"/>
        <w:outlineLvl w:val="1"/>
        <w:rPr>
          <w:rFonts w:ascii="宋体" w:hAnsi="宋体"/>
          <w:b/>
          <w:bCs/>
          <w:color w:val="auto"/>
          <w:sz w:val="28"/>
          <w:szCs w:val="28"/>
        </w:rPr>
      </w:pPr>
      <w:bookmarkStart w:id="22" w:name="_Toc573"/>
      <w:r>
        <w:rPr>
          <w:rFonts w:hint="eastAsia" w:ascii="宋体" w:hAnsi="宋体"/>
          <w:b/>
          <w:bCs/>
          <w:color w:val="auto"/>
          <w:sz w:val="28"/>
          <w:szCs w:val="28"/>
        </w:rPr>
        <w:t>总则</w:t>
      </w:r>
      <w:bookmarkEnd w:id="22"/>
    </w:p>
    <w:p>
      <w:pPr>
        <w:keepNext/>
        <w:keepLines/>
        <w:numPr>
          <w:ilvl w:val="2"/>
          <w:numId w:val="5"/>
        </w:numPr>
        <w:spacing w:line="360" w:lineRule="auto"/>
        <w:ind w:left="0" w:firstLine="0"/>
        <w:outlineLvl w:val="2"/>
        <w:rPr>
          <w:rFonts w:ascii="宋体" w:hAnsi="宋体"/>
          <w:b/>
          <w:bCs/>
          <w:color w:val="auto"/>
          <w:sz w:val="28"/>
          <w:szCs w:val="28"/>
        </w:rPr>
      </w:pPr>
      <w:r>
        <w:rPr>
          <w:rFonts w:hint="eastAsia" w:ascii="宋体" w:hAnsi="宋体"/>
          <w:b/>
          <w:bCs/>
          <w:color w:val="auto"/>
          <w:sz w:val="28"/>
          <w:szCs w:val="28"/>
        </w:rPr>
        <w:t>适用范围</w:t>
      </w:r>
    </w:p>
    <w:p>
      <w:pPr>
        <w:numPr>
          <w:ilvl w:val="0"/>
          <w:numId w:val="10"/>
        </w:numPr>
        <w:tabs>
          <w:tab w:val="left" w:pos="1134"/>
        </w:tabs>
        <w:spacing w:line="360" w:lineRule="auto"/>
        <w:ind w:left="0" w:firstLine="566" w:firstLineChars="202"/>
        <w:rPr>
          <w:rFonts w:ascii="宋体" w:hAnsi="宋体"/>
          <w:color w:val="auto"/>
          <w:sz w:val="28"/>
          <w:szCs w:val="28"/>
        </w:rPr>
      </w:pPr>
      <w:r>
        <w:rPr>
          <w:rFonts w:hint="eastAsia" w:ascii="宋体" w:hAnsi="宋体"/>
          <w:color w:val="auto"/>
          <w:sz w:val="28"/>
          <w:szCs w:val="28"/>
        </w:rPr>
        <w:t>本招标文件仅适用于本次公开招标采购项目。</w:t>
      </w:r>
    </w:p>
    <w:p>
      <w:pPr>
        <w:numPr>
          <w:ilvl w:val="0"/>
          <w:numId w:val="10"/>
        </w:numPr>
        <w:tabs>
          <w:tab w:val="left" w:pos="1134"/>
        </w:tabs>
        <w:spacing w:line="360" w:lineRule="auto"/>
        <w:ind w:left="0" w:firstLine="566" w:firstLineChars="202"/>
        <w:rPr>
          <w:rFonts w:ascii="宋体" w:hAnsi="宋体"/>
          <w:color w:val="auto"/>
          <w:sz w:val="28"/>
          <w:szCs w:val="28"/>
        </w:rPr>
      </w:pPr>
      <w:r>
        <w:rPr>
          <w:rFonts w:hint="eastAsia" w:ascii="宋体" w:hAnsi="宋体"/>
          <w:color w:val="auto"/>
          <w:sz w:val="28"/>
          <w:szCs w:val="28"/>
        </w:rPr>
        <w:t>本招标文件的最终解释权由采购人或</w:t>
      </w:r>
      <w:r>
        <w:rPr>
          <w:rFonts w:hint="eastAsia" w:ascii="宋体" w:hAnsi="宋体"/>
          <w:color w:val="auto"/>
          <w:sz w:val="28"/>
          <w:szCs w:val="28"/>
          <w:lang w:eastAsia="zh-CN"/>
        </w:rPr>
        <w:t>区采购中心</w:t>
      </w:r>
      <w:r>
        <w:rPr>
          <w:rFonts w:hint="eastAsia" w:ascii="宋体" w:hAnsi="宋体"/>
          <w:color w:val="auto"/>
          <w:sz w:val="28"/>
          <w:szCs w:val="28"/>
        </w:rPr>
        <w:t>享有。对招标文件中供应商参加本次政府采购活动应当具备的条件，招标项目技术、服务、商务及其他要求，评标细则及标准由采购人负责解释。除上述招标文件内容，其他内容由</w:t>
      </w:r>
      <w:r>
        <w:rPr>
          <w:rFonts w:hint="eastAsia" w:ascii="宋体" w:hAnsi="宋体"/>
          <w:color w:val="auto"/>
          <w:sz w:val="28"/>
          <w:szCs w:val="28"/>
          <w:lang w:eastAsia="zh-CN"/>
        </w:rPr>
        <w:t>区采购中心</w:t>
      </w:r>
      <w:r>
        <w:rPr>
          <w:rFonts w:hint="eastAsia" w:ascii="宋体" w:hAnsi="宋体"/>
          <w:color w:val="auto"/>
          <w:sz w:val="28"/>
          <w:szCs w:val="28"/>
        </w:rPr>
        <w:t>负责解释。</w:t>
      </w:r>
    </w:p>
    <w:p>
      <w:pPr>
        <w:keepNext/>
        <w:keepLines/>
        <w:numPr>
          <w:ilvl w:val="2"/>
          <w:numId w:val="5"/>
        </w:numPr>
        <w:spacing w:line="360" w:lineRule="auto"/>
        <w:ind w:left="0" w:firstLine="0"/>
        <w:outlineLvl w:val="2"/>
        <w:rPr>
          <w:rFonts w:ascii="宋体" w:hAnsi="宋体"/>
          <w:b/>
          <w:bCs/>
          <w:color w:val="auto"/>
          <w:sz w:val="28"/>
          <w:szCs w:val="28"/>
        </w:rPr>
      </w:pPr>
      <w:r>
        <w:rPr>
          <w:rFonts w:hint="eastAsia" w:ascii="宋体" w:hAnsi="宋体"/>
          <w:b/>
          <w:bCs/>
          <w:color w:val="auto"/>
          <w:sz w:val="28"/>
          <w:szCs w:val="28"/>
        </w:rPr>
        <w:t>有关定义</w:t>
      </w:r>
    </w:p>
    <w:p>
      <w:pPr>
        <w:numPr>
          <w:ilvl w:val="0"/>
          <w:numId w:val="11"/>
        </w:numPr>
        <w:tabs>
          <w:tab w:val="left" w:pos="1134"/>
        </w:tabs>
        <w:spacing w:line="360" w:lineRule="auto"/>
        <w:ind w:left="0" w:firstLine="568"/>
        <w:rPr>
          <w:rFonts w:ascii="宋体" w:hAnsi="宋体"/>
          <w:color w:val="auto"/>
          <w:sz w:val="28"/>
          <w:szCs w:val="28"/>
        </w:rPr>
      </w:pPr>
      <w:r>
        <w:rPr>
          <w:rFonts w:hint="eastAsia" w:ascii="宋体" w:hAnsi="宋体"/>
          <w:color w:val="auto"/>
          <w:sz w:val="28"/>
          <w:szCs w:val="28"/>
        </w:rPr>
        <w:t>“采购人”和“甲方”系指依法进行政府采购的成都市</w:t>
      </w:r>
      <w:r>
        <w:rPr>
          <w:rFonts w:hint="eastAsia" w:ascii="宋体" w:hAnsi="宋体"/>
          <w:color w:val="auto"/>
          <w:sz w:val="28"/>
          <w:szCs w:val="28"/>
          <w:lang w:eastAsia="zh-CN"/>
        </w:rPr>
        <w:t>锦江区</w:t>
      </w:r>
      <w:r>
        <w:rPr>
          <w:rFonts w:hint="eastAsia" w:ascii="宋体" w:hAnsi="宋体"/>
          <w:color w:val="auto"/>
          <w:sz w:val="28"/>
          <w:szCs w:val="28"/>
        </w:rPr>
        <w:t>级机关、事业单位、团体组织。本次招标的采购人是</w:t>
      </w:r>
      <w:r>
        <w:rPr>
          <w:rFonts w:hint="eastAsia" w:ascii="宋体" w:hAnsi="宋体"/>
          <w:b/>
          <w:color w:val="auto"/>
          <w:sz w:val="28"/>
          <w:szCs w:val="28"/>
          <w:lang w:eastAsia="zh-CN"/>
        </w:rPr>
        <w:t>成都市锦江区殡葬服务中心</w:t>
      </w:r>
      <w:r>
        <w:rPr>
          <w:rFonts w:hint="eastAsia" w:ascii="宋体" w:hAnsi="宋体"/>
          <w:color w:val="auto"/>
          <w:sz w:val="28"/>
          <w:szCs w:val="28"/>
        </w:rPr>
        <w:t>。</w:t>
      </w:r>
    </w:p>
    <w:p>
      <w:pPr>
        <w:numPr>
          <w:ilvl w:val="0"/>
          <w:numId w:val="11"/>
        </w:numPr>
        <w:tabs>
          <w:tab w:val="left" w:pos="1134"/>
        </w:tabs>
        <w:spacing w:line="360" w:lineRule="auto"/>
        <w:ind w:left="0" w:firstLine="567"/>
        <w:rPr>
          <w:rFonts w:ascii="宋体" w:hAnsi="宋体"/>
          <w:color w:val="auto"/>
          <w:sz w:val="28"/>
          <w:szCs w:val="28"/>
        </w:rPr>
      </w:pPr>
      <w:r>
        <w:rPr>
          <w:rFonts w:hint="eastAsia" w:ascii="宋体" w:hAnsi="宋体"/>
          <w:color w:val="auto"/>
          <w:sz w:val="28"/>
          <w:szCs w:val="28"/>
        </w:rPr>
        <w:t>“投标人”系指在系统中成功提交《采购文件获取登记表》拟参加投标和向采购人提供货物及服务的供应商。</w:t>
      </w:r>
    </w:p>
    <w:p>
      <w:pPr>
        <w:numPr>
          <w:ilvl w:val="0"/>
          <w:numId w:val="11"/>
        </w:numPr>
        <w:tabs>
          <w:tab w:val="left" w:pos="1134"/>
        </w:tabs>
        <w:spacing w:line="360" w:lineRule="auto"/>
        <w:ind w:left="0" w:firstLine="567"/>
        <w:rPr>
          <w:rFonts w:ascii="宋体" w:hAnsi="宋体"/>
          <w:color w:val="auto"/>
          <w:sz w:val="28"/>
          <w:szCs w:val="28"/>
        </w:rPr>
      </w:pPr>
      <w:r>
        <w:rPr>
          <w:rFonts w:hint="eastAsia" w:ascii="宋体" w:hAnsi="宋体"/>
          <w:color w:val="auto"/>
          <w:sz w:val="28"/>
          <w:szCs w:val="28"/>
        </w:rPr>
        <w:t>本招标文件各部分规定的期间以时、日、月、年计算。期间开始的时和日，不计算在期间内，而从次日开始计算。期间届满的最后一天是节假日的，以节假日后的第一日为期间届满的日期。</w:t>
      </w:r>
    </w:p>
    <w:p>
      <w:pPr>
        <w:numPr>
          <w:ilvl w:val="0"/>
          <w:numId w:val="11"/>
        </w:numPr>
        <w:tabs>
          <w:tab w:val="left" w:pos="1134"/>
        </w:tabs>
        <w:spacing w:line="360" w:lineRule="auto"/>
        <w:ind w:left="0" w:firstLine="568"/>
        <w:rPr>
          <w:rFonts w:ascii="宋体" w:hAnsi="宋体"/>
          <w:color w:val="auto"/>
          <w:sz w:val="28"/>
          <w:szCs w:val="28"/>
        </w:rPr>
      </w:pPr>
      <w:r>
        <w:rPr>
          <w:rFonts w:hint="eastAsia" w:ascii="宋体" w:hAnsi="宋体"/>
          <w:color w:val="auto"/>
          <w:sz w:val="28"/>
          <w:szCs w:val="28"/>
        </w:rPr>
        <w:t>本招标文件各部分规定的“以上”、“以下”、“内”、“以内”，包括本数；所称的“不足”，不包括本数。</w:t>
      </w:r>
    </w:p>
    <w:p>
      <w:pPr>
        <w:numPr>
          <w:ilvl w:val="0"/>
          <w:numId w:val="11"/>
        </w:numPr>
        <w:tabs>
          <w:tab w:val="left" w:pos="1134"/>
        </w:tabs>
        <w:spacing w:line="360" w:lineRule="auto"/>
        <w:ind w:left="0" w:firstLine="568"/>
        <w:rPr>
          <w:rFonts w:ascii="宋体" w:hAnsi="宋体"/>
          <w:color w:val="auto"/>
          <w:sz w:val="28"/>
          <w:szCs w:val="28"/>
        </w:rPr>
      </w:pPr>
      <w:r>
        <w:rPr>
          <w:rFonts w:ascii="宋体" w:hAnsi="宋体"/>
          <w:color w:val="auto"/>
          <w:sz w:val="28"/>
          <w:szCs w:val="28"/>
        </w:rPr>
        <w:t>重大违法记录是指供应商因违法经营受到刑事处罚或者责令停产停业、吊销许可证或者执照、较大数额罚款等行政处罚</w:t>
      </w:r>
      <w:r>
        <w:rPr>
          <w:rFonts w:hint="eastAsia" w:ascii="宋体" w:hAnsi="宋体"/>
          <w:color w:val="auto"/>
          <w:sz w:val="28"/>
          <w:szCs w:val="28"/>
        </w:rPr>
        <w:t>。</w:t>
      </w:r>
    </w:p>
    <w:p>
      <w:pPr>
        <w:numPr>
          <w:ilvl w:val="0"/>
          <w:numId w:val="11"/>
        </w:numPr>
        <w:tabs>
          <w:tab w:val="left" w:pos="1200"/>
        </w:tabs>
        <w:spacing w:line="600" w:lineRule="exact"/>
        <w:ind w:left="0" w:firstLine="567"/>
        <w:rPr>
          <w:rFonts w:ascii="宋体" w:hAnsi="宋体"/>
          <w:color w:val="auto"/>
          <w:sz w:val="28"/>
          <w:szCs w:val="28"/>
        </w:rPr>
      </w:pPr>
      <w:r>
        <w:rPr>
          <w:rFonts w:hint="eastAsia" w:ascii="宋体" w:hAnsi="宋体"/>
          <w:color w:val="auto"/>
          <w:sz w:val="28"/>
          <w:szCs w:val="28"/>
        </w:rPr>
        <w:t>本</w:t>
      </w:r>
      <w:r>
        <w:rPr>
          <w:rFonts w:ascii="宋体" w:hAnsi="宋体"/>
          <w:color w:val="auto"/>
          <w:sz w:val="28"/>
          <w:szCs w:val="28"/>
        </w:rPr>
        <w:t>项目重大违法记录中的较大数额罚款的具体金额标准：若行业行政主管部门对较大数额罚款金额标准有明文规定的，以行业行政主管部门规定的较大数额罚款金额标准为准；若行业行政主管部门对较大数额罚款金额标准未明文规定的，以作出行政处罚机关当地的行政处罚罚款听证标准金额为准。</w:t>
      </w:r>
    </w:p>
    <w:p>
      <w:pPr>
        <w:numPr>
          <w:ilvl w:val="0"/>
          <w:numId w:val="11"/>
        </w:numPr>
        <w:tabs>
          <w:tab w:val="left" w:pos="1134"/>
        </w:tabs>
        <w:spacing w:line="360" w:lineRule="auto"/>
        <w:ind w:left="0" w:firstLine="568"/>
        <w:rPr>
          <w:rFonts w:ascii="宋体" w:hAnsi="宋体"/>
          <w:color w:val="auto"/>
          <w:sz w:val="28"/>
          <w:szCs w:val="28"/>
        </w:rPr>
      </w:pPr>
      <w:r>
        <w:rPr>
          <w:rFonts w:hint="eastAsia" w:ascii="宋体" w:hAnsi="宋体"/>
          <w:color w:val="auto"/>
          <w:sz w:val="28"/>
          <w:szCs w:val="28"/>
        </w:rPr>
        <w:t>不见面开标是指，</w:t>
      </w:r>
      <w:r>
        <w:rPr>
          <w:rFonts w:hint="eastAsia" w:ascii="宋体" w:hAnsi="宋体"/>
          <w:color w:val="auto"/>
          <w:sz w:val="28"/>
          <w:szCs w:val="28"/>
          <w:lang w:eastAsia="zh-CN"/>
        </w:rPr>
        <w:t>区采购中心</w:t>
      </w:r>
      <w:r>
        <w:rPr>
          <w:rFonts w:hint="eastAsia" w:ascii="宋体" w:hAnsi="宋体"/>
          <w:color w:val="auto"/>
          <w:sz w:val="28"/>
          <w:szCs w:val="28"/>
        </w:rPr>
        <w:t>依托政府采购云平台组织开标活动，供应商在线参与开标的一种组织形式。</w:t>
      </w:r>
    </w:p>
    <w:p>
      <w:pPr>
        <w:keepNext/>
        <w:keepLines/>
        <w:numPr>
          <w:ilvl w:val="2"/>
          <w:numId w:val="5"/>
        </w:numPr>
        <w:spacing w:line="360" w:lineRule="auto"/>
        <w:ind w:left="3119" w:hanging="3119"/>
        <w:outlineLvl w:val="2"/>
        <w:rPr>
          <w:rFonts w:ascii="宋体" w:hAnsi="宋体"/>
          <w:b/>
          <w:bCs/>
          <w:color w:val="auto"/>
          <w:sz w:val="28"/>
          <w:szCs w:val="28"/>
        </w:rPr>
      </w:pPr>
      <w:bookmarkStart w:id="23" w:name="_Toc217390843"/>
      <w:bookmarkStart w:id="24" w:name="_Toc183582207"/>
      <w:bookmarkStart w:id="25" w:name="_Toc183682344"/>
      <w:bookmarkStart w:id="26" w:name="_Toc217446036"/>
      <w:r>
        <w:rPr>
          <w:rFonts w:hint="eastAsia" w:ascii="宋体" w:hAnsi="宋体"/>
          <w:b/>
          <w:bCs/>
          <w:color w:val="auto"/>
          <w:sz w:val="28"/>
          <w:szCs w:val="28"/>
        </w:rPr>
        <w:t>合格的投标人</w:t>
      </w:r>
      <w:bookmarkEnd w:id="23"/>
      <w:bookmarkEnd w:id="24"/>
      <w:bookmarkEnd w:id="25"/>
      <w:bookmarkEnd w:id="26"/>
    </w:p>
    <w:p>
      <w:pPr>
        <w:tabs>
          <w:tab w:val="left" w:pos="7665"/>
        </w:tabs>
        <w:spacing w:line="360" w:lineRule="auto"/>
        <w:ind w:firstLine="566" w:firstLineChars="202"/>
        <w:rPr>
          <w:rFonts w:ascii="宋体" w:hAnsi="宋体"/>
          <w:color w:val="auto"/>
          <w:sz w:val="28"/>
          <w:szCs w:val="28"/>
        </w:rPr>
      </w:pPr>
      <w:r>
        <w:rPr>
          <w:rFonts w:hint="eastAsia" w:ascii="宋体" w:hAnsi="宋体"/>
          <w:color w:val="auto"/>
          <w:sz w:val="28"/>
          <w:szCs w:val="28"/>
        </w:rPr>
        <w:t>合格的投标人应具备以下条件：</w:t>
      </w:r>
    </w:p>
    <w:p>
      <w:pPr>
        <w:numPr>
          <w:ilvl w:val="0"/>
          <w:numId w:val="12"/>
        </w:numPr>
        <w:tabs>
          <w:tab w:val="left" w:pos="1134"/>
        </w:tabs>
        <w:spacing w:line="360" w:lineRule="auto"/>
        <w:rPr>
          <w:rFonts w:ascii="宋体" w:hAnsi="宋体"/>
          <w:color w:val="auto"/>
          <w:sz w:val="28"/>
          <w:szCs w:val="28"/>
        </w:rPr>
      </w:pPr>
      <w:r>
        <w:rPr>
          <w:rFonts w:hint="eastAsia" w:ascii="宋体" w:hAnsi="宋体"/>
          <w:color w:val="auto"/>
          <w:sz w:val="28"/>
          <w:szCs w:val="28"/>
        </w:rPr>
        <w:t>本招标文件“投标邀请”第</w:t>
      </w:r>
      <w:r>
        <w:rPr>
          <w:rFonts w:hint="eastAsia" w:ascii="宋体" w:hAnsi="宋体"/>
          <w:color w:val="auto"/>
          <w:sz w:val="28"/>
          <w:szCs w:val="28"/>
          <w:lang w:eastAsia="zh-CN"/>
        </w:rPr>
        <w:t>六</w:t>
      </w:r>
      <w:r>
        <w:rPr>
          <w:rFonts w:hint="eastAsia" w:ascii="宋体" w:hAnsi="宋体"/>
          <w:color w:val="auto"/>
          <w:sz w:val="28"/>
          <w:szCs w:val="28"/>
        </w:rPr>
        <w:t>条规定的条件；</w:t>
      </w:r>
    </w:p>
    <w:p>
      <w:pPr>
        <w:numPr>
          <w:ilvl w:val="0"/>
          <w:numId w:val="12"/>
        </w:numPr>
        <w:tabs>
          <w:tab w:val="left" w:pos="1134"/>
        </w:tabs>
        <w:spacing w:line="360" w:lineRule="auto"/>
        <w:ind w:left="0" w:firstLine="568"/>
        <w:rPr>
          <w:rFonts w:ascii="宋体" w:hAnsi="宋体"/>
          <w:color w:val="auto"/>
          <w:sz w:val="28"/>
          <w:szCs w:val="28"/>
        </w:rPr>
      </w:pPr>
      <w:r>
        <w:rPr>
          <w:rFonts w:hint="eastAsia" w:ascii="宋体" w:hAnsi="宋体"/>
          <w:color w:val="auto"/>
          <w:sz w:val="28"/>
          <w:szCs w:val="28"/>
        </w:rPr>
        <w:t>按照招标文件“投标邀请”中第七、八</w:t>
      </w:r>
      <w:r>
        <w:rPr>
          <w:rFonts w:hint="eastAsia" w:ascii="宋体" w:hAnsi="宋体"/>
          <w:color w:val="auto"/>
          <w:sz w:val="28"/>
          <w:szCs w:val="28"/>
          <w:lang w:eastAsia="zh-CN"/>
        </w:rPr>
        <w:t>、九</w:t>
      </w:r>
      <w:r>
        <w:rPr>
          <w:rFonts w:hint="eastAsia" w:ascii="宋体" w:hAnsi="宋体"/>
          <w:color w:val="auto"/>
          <w:sz w:val="28"/>
          <w:szCs w:val="28"/>
        </w:rPr>
        <w:t>条规定获取了招标文件。</w:t>
      </w:r>
    </w:p>
    <w:p>
      <w:pPr>
        <w:keepNext/>
        <w:keepLines/>
        <w:numPr>
          <w:ilvl w:val="2"/>
          <w:numId w:val="5"/>
        </w:numPr>
        <w:spacing w:line="360" w:lineRule="auto"/>
        <w:ind w:left="0" w:firstLine="0"/>
        <w:outlineLvl w:val="2"/>
        <w:rPr>
          <w:rFonts w:ascii="宋体" w:hAnsi="宋体"/>
          <w:b/>
          <w:bCs/>
          <w:color w:val="auto"/>
          <w:sz w:val="28"/>
          <w:szCs w:val="28"/>
        </w:rPr>
      </w:pPr>
      <w:r>
        <w:rPr>
          <w:rFonts w:hint="eastAsia" w:ascii="宋体" w:hAnsi="宋体"/>
          <w:b/>
          <w:bCs/>
          <w:color w:val="auto"/>
          <w:sz w:val="28"/>
          <w:szCs w:val="28"/>
        </w:rPr>
        <w:t>投标费用</w:t>
      </w:r>
    </w:p>
    <w:p>
      <w:pPr>
        <w:spacing w:line="360" w:lineRule="auto"/>
        <w:ind w:firstLine="661" w:firstLineChars="236"/>
        <w:rPr>
          <w:rFonts w:ascii="宋体" w:hAnsi="宋体"/>
          <w:color w:val="auto"/>
          <w:sz w:val="28"/>
          <w:szCs w:val="28"/>
        </w:rPr>
      </w:pPr>
      <w:r>
        <w:rPr>
          <w:rFonts w:hint="eastAsia" w:ascii="宋体" w:hAnsi="宋体"/>
          <w:color w:val="auto"/>
          <w:sz w:val="28"/>
          <w:szCs w:val="28"/>
        </w:rPr>
        <w:t>投标人应自行承担参加投标的全部费用。</w:t>
      </w:r>
    </w:p>
    <w:p>
      <w:pPr>
        <w:keepNext/>
        <w:keepLines/>
        <w:numPr>
          <w:ilvl w:val="2"/>
          <w:numId w:val="5"/>
        </w:numPr>
        <w:spacing w:line="360" w:lineRule="auto"/>
        <w:ind w:left="0" w:firstLine="0"/>
        <w:outlineLvl w:val="2"/>
        <w:rPr>
          <w:rFonts w:ascii="宋体" w:hAnsi="宋体"/>
          <w:b/>
          <w:bCs/>
          <w:color w:val="auto"/>
          <w:sz w:val="28"/>
          <w:szCs w:val="28"/>
        </w:rPr>
      </w:pPr>
      <w:r>
        <w:rPr>
          <w:rFonts w:hint="eastAsia" w:ascii="宋体" w:hAnsi="宋体"/>
          <w:b/>
          <w:bCs/>
          <w:color w:val="auto"/>
          <w:sz w:val="28"/>
          <w:szCs w:val="28"/>
        </w:rPr>
        <w:t>充分、公平竞争保障措施</w:t>
      </w:r>
    </w:p>
    <w:p>
      <w:pPr>
        <w:numPr>
          <w:ilvl w:val="0"/>
          <w:numId w:val="13"/>
        </w:numPr>
        <w:tabs>
          <w:tab w:val="left" w:pos="1134"/>
        </w:tabs>
        <w:adjustRightInd w:val="0"/>
        <w:spacing w:line="360" w:lineRule="auto"/>
        <w:ind w:left="0" w:firstLine="567"/>
        <w:rPr>
          <w:rFonts w:ascii="宋体" w:hAnsi="宋体"/>
          <w:color w:val="auto"/>
          <w:sz w:val="28"/>
          <w:szCs w:val="28"/>
        </w:rPr>
      </w:pPr>
      <w:r>
        <w:rPr>
          <w:rFonts w:hint="eastAsia" w:ascii="宋体" w:hAnsi="宋体"/>
          <w:color w:val="auto"/>
          <w:sz w:val="28"/>
          <w:szCs w:val="28"/>
        </w:rPr>
        <w:t>单位负责人为同一人或者存在直接控股、管理关系的不同供应商，不得参加同一项目的投标。</w:t>
      </w:r>
    </w:p>
    <w:p>
      <w:pPr>
        <w:numPr>
          <w:ilvl w:val="0"/>
          <w:numId w:val="13"/>
        </w:numPr>
        <w:tabs>
          <w:tab w:val="left" w:pos="1134"/>
        </w:tabs>
        <w:adjustRightInd w:val="0"/>
        <w:spacing w:line="360" w:lineRule="auto"/>
        <w:ind w:left="0" w:firstLine="567"/>
        <w:rPr>
          <w:rFonts w:ascii="宋体" w:hAnsi="宋体"/>
          <w:b/>
          <w:color w:val="auto"/>
          <w:sz w:val="28"/>
          <w:szCs w:val="28"/>
        </w:rPr>
      </w:pPr>
      <w:r>
        <w:rPr>
          <w:rFonts w:hint="eastAsia" w:ascii="宋体" w:hAnsi="宋体"/>
          <w:color w:val="auto"/>
          <w:sz w:val="28"/>
          <w:szCs w:val="28"/>
        </w:rPr>
        <w:t>为采购项目提供整体设计、规范编制或者项目管理、监理、检测等服务的供应商，不得再参加该采购项目的其他采购活动。供应商为采购人、</w:t>
      </w:r>
      <w:r>
        <w:rPr>
          <w:rFonts w:hint="eastAsia" w:ascii="宋体" w:cs="Arial"/>
          <w:color w:val="auto"/>
          <w:sz w:val="28"/>
          <w:szCs w:val="28"/>
        </w:rPr>
        <w:t>采购代理机构</w:t>
      </w:r>
      <w:r>
        <w:rPr>
          <w:rFonts w:hint="eastAsia" w:ascii="宋体" w:hAnsi="宋体"/>
          <w:color w:val="auto"/>
          <w:sz w:val="28"/>
          <w:szCs w:val="28"/>
        </w:rPr>
        <w:t>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Pr>
          <w:rFonts w:hint="eastAsia" w:ascii="宋体" w:hAnsi="宋体"/>
          <w:b/>
          <w:color w:val="auto"/>
          <w:sz w:val="28"/>
          <w:szCs w:val="28"/>
        </w:rPr>
        <w:t>（说明：无供应商为本项目提供整体设计、规范编制或者项目管理、监理、检测等服务。）</w:t>
      </w:r>
    </w:p>
    <w:p>
      <w:pPr>
        <w:numPr>
          <w:ilvl w:val="0"/>
          <w:numId w:val="13"/>
        </w:numPr>
        <w:tabs>
          <w:tab w:val="left" w:pos="1134"/>
        </w:tabs>
        <w:adjustRightInd w:val="0"/>
        <w:spacing w:line="360" w:lineRule="auto"/>
        <w:ind w:left="0" w:firstLine="567"/>
        <w:rPr>
          <w:rFonts w:ascii="宋体" w:hAnsi="宋体"/>
          <w:b/>
          <w:color w:val="auto"/>
          <w:sz w:val="28"/>
          <w:szCs w:val="28"/>
        </w:rPr>
      </w:pPr>
      <w:r>
        <w:rPr>
          <w:rFonts w:hint="eastAsia" w:asciiTheme="minorEastAsia" w:hAnsiTheme="minorEastAsia"/>
          <w:color w:val="auto"/>
          <w:sz w:val="28"/>
          <w:szCs w:val="28"/>
          <w:lang w:val="zh-CN"/>
        </w:rPr>
        <w:t>本项目</w:t>
      </w:r>
      <w:r>
        <w:rPr>
          <w:rFonts w:hint="eastAsia" w:asciiTheme="minorEastAsia" w:hAnsiTheme="minorEastAsia"/>
          <w:b/>
          <w:color w:val="auto"/>
          <w:sz w:val="28"/>
          <w:szCs w:val="28"/>
        </w:rPr>
        <w:t>核心产品为</w:t>
      </w:r>
      <w:r>
        <w:rPr>
          <w:rFonts w:hint="eastAsia" w:asciiTheme="minorEastAsia" w:hAnsiTheme="minorEastAsia"/>
          <w:b/>
          <w:color w:val="auto"/>
          <w:sz w:val="28"/>
          <w:szCs w:val="28"/>
          <w:lang w:eastAsia="zh-CN"/>
        </w:rPr>
        <w:t>电梯</w:t>
      </w:r>
      <w:r>
        <w:rPr>
          <w:rFonts w:hint="eastAsia" w:asciiTheme="minorEastAsia" w:hAnsiTheme="minorEastAsia"/>
          <w:b/>
          <w:color w:val="auto"/>
          <w:sz w:val="28"/>
          <w:szCs w:val="28"/>
        </w:rPr>
        <w:t>。</w:t>
      </w:r>
      <w:r>
        <w:rPr>
          <w:rFonts w:hint="eastAsia" w:hAnsi="宋体"/>
          <w:color w:val="auto"/>
          <w:sz w:val="28"/>
          <w:szCs w:val="28"/>
        </w:rPr>
        <w:t>提供核心产品品牌相</w:t>
      </w:r>
      <w:r>
        <w:rPr>
          <w:rFonts w:hint="eastAsia" w:hAnsi="宋体"/>
          <w:color w:val="auto"/>
          <w:sz w:val="28"/>
          <w:szCs w:val="28"/>
          <w:lang w:val="zh-CN"/>
        </w:rPr>
        <w:t>同且通过资格检查和符合性检查的不同投标人参加同一项目</w:t>
      </w:r>
      <w:r>
        <w:rPr>
          <w:rFonts w:hAnsi="宋体"/>
          <w:color w:val="auto"/>
          <w:sz w:val="28"/>
          <w:szCs w:val="28"/>
          <w:lang w:val="zh-CN"/>
        </w:rPr>
        <w:t>（</w:t>
      </w:r>
      <w:r>
        <w:rPr>
          <w:rFonts w:hint="eastAsia" w:hAnsi="宋体"/>
          <w:color w:val="auto"/>
          <w:sz w:val="28"/>
          <w:szCs w:val="28"/>
          <w:lang w:val="zh-CN"/>
        </w:rPr>
        <w:t>包件</w:t>
      </w:r>
      <w:r>
        <w:rPr>
          <w:rFonts w:hAnsi="宋体"/>
          <w:color w:val="auto"/>
          <w:sz w:val="28"/>
          <w:szCs w:val="28"/>
          <w:lang w:val="zh-CN"/>
        </w:rPr>
        <w:t>）</w:t>
      </w:r>
      <w:r>
        <w:rPr>
          <w:rFonts w:hint="eastAsia" w:hAnsi="宋体"/>
          <w:color w:val="auto"/>
          <w:sz w:val="28"/>
          <w:szCs w:val="28"/>
          <w:lang w:val="zh-CN"/>
        </w:rPr>
        <w:t>投标的，按一家投标人计算，评审后得分最高的投标人获得中标候选人推荐资格；评审得分相同的，报价最低的投标人获得中标候选人推荐资格；评审得分相同且报价相同的，由评标委员会采取随机抽取的方式确定一个投标人获得中标候选人推荐资格。</w:t>
      </w:r>
    </w:p>
    <w:p>
      <w:pPr>
        <w:keepNext/>
        <w:keepLines/>
        <w:numPr>
          <w:ilvl w:val="1"/>
          <w:numId w:val="5"/>
        </w:numPr>
        <w:spacing w:line="360" w:lineRule="auto"/>
        <w:jc w:val="left"/>
        <w:outlineLvl w:val="1"/>
        <w:rPr>
          <w:rFonts w:ascii="宋体" w:hAnsi="宋体"/>
          <w:b/>
          <w:bCs/>
          <w:color w:val="auto"/>
          <w:sz w:val="28"/>
          <w:szCs w:val="28"/>
        </w:rPr>
      </w:pPr>
      <w:bookmarkStart w:id="27" w:name="_Toc15638"/>
      <w:bookmarkStart w:id="28" w:name="_Toc183582210"/>
      <w:bookmarkStart w:id="29" w:name="_Toc217446039"/>
      <w:bookmarkStart w:id="30" w:name="_Toc183682347"/>
      <w:r>
        <w:rPr>
          <w:rFonts w:hint="eastAsia" w:ascii="宋体" w:hAnsi="宋体"/>
          <w:b/>
          <w:bCs/>
          <w:color w:val="auto"/>
          <w:sz w:val="28"/>
          <w:szCs w:val="28"/>
        </w:rPr>
        <w:t>招标文件</w:t>
      </w:r>
      <w:bookmarkEnd w:id="27"/>
      <w:bookmarkEnd w:id="28"/>
      <w:bookmarkEnd w:id="29"/>
      <w:bookmarkEnd w:id="30"/>
    </w:p>
    <w:p>
      <w:pPr>
        <w:keepNext/>
        <w:keepLines/>
        <w:numPr>
          <w:ilvl w:val="2"/>
          <w:numId w:val="5"/>
        </w:numPr>
        <w:spacing w:line="360" w:lineRule="auto"/>
        <w:ind w:left="0" w:firstLine="0"/>
        <w:outlineLvl w:val="2"/>
        <w:rPr>
          <w:rFonts w:ascii="宋体" w:hAnsi="宋体"/>
          <w:b/>
          <w:bCs/>
          <w:color w:val="auto"/>
          <w:sz w:val="28"/>
          <w:szCs w:val="28"/>
        </w:rPr>
      </w:pPr>
      <w:r>
        <w:rPr>
          <w:rFonts w:hint="eastAsia" w:ascii="宋体" w:hAnsi="宋体"/>
          <w:b/>
          <w:bCs/>
          <w:color w:val="auto"/>
          <w:sz w:val="28"/>
          <w:szCs w:val="28"/>
        </w:rPr>
        <w:t>招标文件的构成</w:t>
      </w:r>
    </w:p>
    <w:p>
      <w:pPr>
        <w:numPr>
          <w:ilvl w:val="0"/>
          <w:numId w:val="14"/>
        </w:numPr>
        <w:tabs>
          <w:tab w:val="left" w:pos="1134"/>
        </w:tabs>
        <w:spacing w:line="360" w:lineRule="auto"/>
        <w:ind w:left="0" w:firstLine="567"/>
        <w:rPr>
          <w:rFonts w:ascii="宋体" w:hAnsi="宋体"/>
          <w:color w:val="auto"/>
          <w:sz w:val="28"/>
          <w:szCs w:val="28"/>
        </w:rPr>
      </w:pPr>
      <w:r>
        <w:rPr>
          <w:rFonts w:hint="eastAsia" w:ascii="宋体" w:hAnsi="宋体"/>
          <w:color w:val="auto"/>
          <w:sz w:val="28"/>
          <w:szCs w:val="28"/>
        </w:rPr>
        <w:t>招标文件是供应商准备投标文件和参加投标的依据，同时也是评标的重要依据。招标文件用以阐明招标项目所需的资质、技术、服务及报价等要求、招标投标程序、有关规定和注意事项以及合同主要条款等。本招标文件包括以下内容：</w:t>
      </w:r>
    </w:p>
    <w:p>
      <w:pPr>
        <w:numPr>
          <w:ilvl w:val="1"/>
          <w:numId w:val="15"/>
        </w:numPr>
        <w:tabs>
          <w:tab w:val="left" w:pos="1134"/>
        </w:tabs>
        <w:spacing w:line="360" w:lineRule="auto"/>
        <w:ind w:left="0" w:firstLine="567"/>
        <w:rPr>
          <w:rFonts w:ascii="宋体" w:hAnsi="宋体"/>
          <w:color w:val="auto"/>
          <w:sz w:val="28"/>
          <w:szCs w:val="28"/>
        </w:rPr>
      </w:pPr>
      <w:r>
        <w:rPr>
          <w:rFonts w:hint="eastAsia" w:ascii="宋体" w:hAnsi="宋体"/>
          <w:color w:val="auto"/>
          <w:sz w:val="28"/>
          <w:szCs w:val="28"/>
        </w:rPr>
        <w:t>投标邀请；</w:t>
      </w:r>
    </w:p>
    <w:p>
      <w:pPr>
        <w:numPr>
          <w:ilvl w:val="1"/>
          <w:numId w:val="15"/>
        </w:numPr>
        <w:tabs>
          <w:tab w:val="left" w:pos="1134"/>
        </w:tabs>
        <w:spacing w:line="360" w:lineRule="auto"/>
        <w:ind w:left="0" w:firstLine="567"/>
        <w:rPr>
          <w:rFonts w:ascii="宋体" w:hAnsi="宋体"/>
          <w:color w:val="auto"/>
          <w:sz w:val="28"/>
          <w:szCs w:val="28"/>
        </w:rPr>
      </w:pPr>
      <w:r>
        <w:rPr>
          <w:rFonts w:hint="eastAsia" w:ascii="宋体" w:hAnsi="宋体"/>
          <w:color w:val="auto"/>
          <w:sz w:val="28"/>
          <w:szCs w:val="28"/>
        </w:rPr>
        <w:t>投标人须知；</w:t>
      </w:r>
    </w:p>
    <w:p>
      <w:pPr>
        <w:numPr>
          <w:ilvl w:val="1"/>
          <w:numId w:val="15"/>
        </w:numPr>
        <w:tabs>
          <w:tab w:val="left" w:pos="1134"/>
        </w:tabs>
        <w:spacing w:line="360" w:lineRule="auto"/>
        <w:ind w:left="0" w:firstLine="567"/>
        <w:rPr>
          <w:rFonts w:ascii="宋体" w:hAnsi="宋体"/>
          <w:color w:val="auto"/>
          <w:sz w:val="28"/>
          <w:szCs w:val="28"/>
        </w:rPr>
      </w:pPr>
      <w:r>
        <w:rPr>
          <w:rFonts w:hint="eastAsia" w:ascii="宋体" w:hAnsi="宋体"/>
          <w:color w:val="auto"/>
          <w:sz w:val="28"/>
          <w:szCs w:val="28"/>
        </w:rPr>
        <w:t>投标文件格式；</w:t>
      </w:r>
    </w:p>
    <w:p>
      <w:pPr>
        <w:numPr>
          <w:ilvl w:val="1"/>
          <w:numId w:val="15"/>
        </w:numPr>
        <w:tabs>
          <w:tab w:val="left" w:pos="1134"/>
        </w:tabs>
        <w:spacing w:line="360" w:lineRule="auto"/>
        <w:ind w:left="0" w:firstLine="567"/>
        <w:rPr>
          <w:rFonts w:ascii="宋体" w:hAnsi="宋体"/>
          <w:color w:val="auto"/>
          <w:sz w:val="28"/>
          <w:szCs w:val="28"/>
        </w:rPr>
      </w:pPr>
      <w:r>
        <w:rPr>
          <w:rFonts w:hint="eastAsia" w:ascii="宋体" w:hAnsi="宋体"/>
          <w:color w:val="auto"/>
          <w:sz w:val="28"/>
          <w:szCs w:val="28"/>
        </w:rPr>
        <w:t>招标项目技术、服务、商务及其他要求；</w:t>
      </w:r>
    </w:p>
    <w:p>
      <w:pPr>
        <w:numPr>
          <w:ilvl w:val="1"/>
          <w:numId w:val="15"/>
        </w:numPr>
        <w:tabs>
          <w:tab w:val="left" w:pos="1134"/>
        </w:tabs>
        <w:spacing w:line="360" w:lineRule="auto"/>
        <w:ind w:left="0" w:firstLine="567"/>
        <w:rPr>
          <w:rFonts w:ascii="宋体" w:hAnsi="宋体"/>
          <w:color w:val="auto"/>
          <w:sz w:val="28"/>
          <w:szCs w:val="28"/>
        </w:rPr>
      </w:pPr>
      <w:r>
        <w:rPr>
          <w:rFonts w:hint="eastAsia" w:ascii="宋体" w:hAnsi="宋体"/>
          <w:color w:val="auto"/>
          <w:sz w:val="28"/>
          <w:szCs w:val="28"/>
        </w:rPr>
        <w:t>资格性审查；</w:t>
      </w:r>
    </w:p>
    <w:p>
      <w:pPr>
        <w:numPr>
          <w:ilvl w:val="1"/>
          <w:numId w:val="15"/>
        </w:numPr>
        <w:tabs>
          <w:tab w:val="left" w:pos="1134"/>
        </w:tabs>
        <w:spacing w:line="360" w:lineRule="auto"/>
        <w:ind w:left="0" w:firstLine="567"/>
        <w:rPr>
          <w:rFonts w:ascii="宋体" w:hAnsi="宋体"/>
          <w:color w:val="auto"/>
          <w:sz w:val="28"/>
          <w:szCs w:val="28"/>
        </w:rPr>
      </w:pPr>
      <w:r>
        <w:rPr>
          <w:rFonts w:hint="eastAsia" w:ascii="宋体" w:hAnsi="宋体"/>
          <w:color w:val="auto"/>
          <w:sz w:val="28"/>
          <w:szCs w:val="28"/>
        </w:rPr>
        <w:t>评标办法；</w:t>
      </w:r>
    </w:p>
    <w:p>
      <w:pPr>
        <w:numPr>
          <w:ilvl w:val="1"/>
          <w:numId w:val="15"/>
        </w:numPr>
        <w:tabs>
          <w:tab w:val="left" w:pos="1134"/>
        </w:tabs>
        <w:spacing w:line="360" w:lineRule="auto"/>
        <w:ind w:left="0" w:firstLine="567"/>
        <w:rPr>
          <w:rFonts w:ascii="宋体" w:hAnsi="宋体"/>
          <w:color w:val="auto"/>
          <w:sz w:val="28"/>
          <w:szCs w:val="28"/>
        </w:rPr>
      </w:pPr>
      <w:r>
        <w:rPr>
          <w:rFonts w:hint="eastAsia" w:ascii="宋体" w:hAnsi="宋体"/>
          <w:color w:val="auto"/>
          <w:sz w:val="28"/>
          <w:szCs w:val="28"/>
        </w:rPr>
        <w:t>拟签订合同文本。</w:t>
      </w:r>
    </w:p>
    <w:p>
      <w:pPr>
        <w:numPr>
          <w:ilvl w:val="0"/>
          <w:numId w:val="14"/>
        </w:numPr>
        <w:tabs>
          <w:tab w:val="left" w:pos="1134"/>
        </w:tabs>
        <w:spacing w:line="360" w:lineRule="auto"/>
        <w:ind w:left="0" w:firstLine="567"/>
        <w:rPr>
          <w:rFonts w:ascii="宋体" w:hAnsi="宋体"/>
          <w:color w:val="auto"/>
          <w:sz w:val="28"/>
          <w:szCs w:val="28"/>
        </w:rPr>
      </w:pPr>
      <w:r>
        <w:rPr>
          <w:rFonts w:hint="eastAsia" w:ascii="宋体" w:hAnsi="宋体"/>
          <w:color w:val="auto"/>
          <w:sz w:val="28"/>
          <w:szCs w:val="28"/>
        </w:rPr>
        <w:t>投标人应认真阅读和充分理解招标文件中所有的事项、格式条款和规范要求。投标人没有对招标文件全面做出实质性响应所产生的风险由投标人承担。</w:t>
      </w:r>
    </w:p>
    <w:p>
      <w:pPr>
        <w:keepNext/>
        <w:keepLines/>
        <w:numPr>
          <w:ilvl w:val="2"/>
          <w:numId w:val="5"/>
        </w:numPr>
        <w:spacing w:line="360" w:lineRule="auto"/>
        <w:ind w:left="0" w:firstLine="0"/>
        <w:outlineLvl w:val="2"/>
        <w:rPr>
          <w:rFonts w:ascii="宋体" w:hAnsi="宋体"/>
          <w:b/>
          <w:bCs/>
          <w:color w:val="auto"/>
          <w:sz w:val="28"/>
          <w:szCs w:val="28"/>
        </w:rPr>
      </w:pPr>
      <w:bookmarkStart w:id="31" w:name="_Toc183682348"/>
      <w:bookmarkStart w:id="32" w:name="_Toc183582211"/>
      <w:bookmarkStart w:id="33" w:name="_Toc217446040"/>
      <w:r>
        <w:rPr>
          <w:rFonts w:hint="eastAsia" w:ascii="宋体" w:hAnsi="宋体"/>
          <w:b/>
          <w:bCs/>
          <w:color w:val="auto"/>
          <w:sz w:val="28"/>
          <w:szCs w:val="28"/>
        </w:rPr>
        <w:t>招标文件的澄清</w:t>
      </w:r>
      <w:bookmarkEnd w:id="31"/>
      <w:bookmarkEnd w:id="32"/>
      <w:r>
        <w:rPr>
          <w:rFonts w:hint="eastAsia" w:ascii="宋体" w:hAnsi="宋体"/>
          <w:b/>
          <w:bCs/>
          <w:color w:val="auto"/>
          <w:sz w:val="28"/>
          <w:szCs w:val="28"/>
        </w:rPr>
        <w:t>和修改</w:t>
      </w:r>
      <w:bookmarkEnd w:id="33"/>
      <w:bookmarkStart w:id="34" w:name="_Toc183682351"/>
      <w:bookmarkStart w:id="35" w:name="_Toc89075876"/>
      <w:bookmarkStart w:id="36" w:name="_Toc217446042"/>
      <w:bookmarkStart w:id="37" w:name="_Toc77400780"/>
      <w:bookmarkStart w:id="38" w:name="_Toc183582214"/>
    </w:p>
    <w:p>
      <w:pPr>
        <w:numPr>
          <w:ilvl w:val="0"/>
          <w:numId w:val="16"/>
        </w:numPr>
        <w:tabs>
          <w:tab w:val="left" w:pos="142"/>
          <w:tab w:val="left" w:pos="1134"/>
        </w:tabs>
        <w:spacing w:line="360" w:lineRule="auto"/>
        <w:ind w:left="0" w:firstLine="560"/>
        <w:rPr>
          <w:rFonts w:ascii="宋体" w:hAnsi="宋体"/>
          <w:color w:val="auto"/>
          <w:sz w:val="28"/>
          <w:szCs w:val="28"/>
        </w:rPr>
      </w:pPr>
      <w:r>
        <w:rPr>
          <w:rFonts w:hint="eastAsia" w:ascii="宋体" w:hAnsi="宋体"/>
          <w:color w:val="auto"/>
          <w:sz w:val="28"/>
          <w:szCs w:val="28"/>
        </w:rPr>
        <w:t>在投标截止时间前，采购人或者</w:t>
      </w:r>
      <w:r>
        <w:rPr>
          <w:rFonts w:hint="eastAsia" w:cs="Arial"/>
          <w:color w:val="auto"/>
          <w:sz w:val="28"/>
          <w:szCs w:val="28"/>
          <w:lang w:eastAsia="zh-CN"/>
        </w:rPr>
        <w:t>区采购中心</w:t>
      </w:r>
      <w:r>
        <w:rPr>
          <w:rFonts w:hint="eastAsia" w:ascii="宋体" w:hAnsi="宋体"/>
          <w:color w:val="auto"/>
          <w:sz w:val="28"/>
          <w:szCs w:val="28"/>
        </w:rPr>
        <w:t>可以对已发出的招标文件进行必要的澄清或者修改。</w:t>
      </w:r>
    </w:p>
    <w:p>
      <w:pPr>
        <w:numPr>
          <w:ilvl w:val="0"/>
          <w:numId w:val="16"/>
        </w:numPr>
        <w:tabs>
          <w:tab w:val="left" w:pos="142"/>
          <w:tab w:val="left" w:pos="1134"/>
        </w:tabs>
        <w:spacing w:line="360" w:lineRule="auto"/>
        <w:ind w:left="0" w:firstLine="560"/>
        <w:rPr>
          <w:rFonts w:ascii="宋体" w:hAnsi="宋体"/>
          <w:color w:val="auto"/>
          <w:sz w:val="28"/>
          <w:szCs w:val="28"/>
        </w:rPr>
      </w:pPr>
      <w:r>
        <w:rPr>
          <w:rFonts w:hint="eastAsia" w:ascii="宋体" w:hAnsi="宋体"/>
          <w:color w:val="auto"/>
          <w:sz w:val="28"/>
          <w:szCs w:val="28"/>
        </w:rPr>
        <w:t>澄清或者修改的内容，</w:t>
      </w:r>
      <w:r>
        <w:rPr>
          <w:rFonts w:hint="eastAsia" w:ascii="宋体" w:hAnsi="宋体"/>
          <w:color w:val="auto"/>
          <w:sz w:val="28"/>
          <w:szCs w:val="28"/>
          <w:lang w:eastAsia="zh-CN"/>
        </w:rPr>
        <w:t>区采购中心</w:t>
      </w:r>
      <w:r>
        <w:rPr>
          <w:rFonts w:hint="eastAsia" w:ascii="宋体" w:hAnsi="宋体"/>
          <w:color w:val="auto"/>
          <w:sz w:val="28"/>
          <w:szCs w:val="28"/>
        </w:rPr>
        <w:t>将在“四川政府采购网”和“</w:t>
      </w:r>
      <w:r>
        <w:rPr>
          <w:rFonts w:hint="eastAsia" w:ascii="宋体" w:hAnsi="宋体"/>
          <w:color w:val="auto"/>
          <w:sz w:val="28"/>
          <w:szCs w:val="28"/>
          <w:lang w:eastAsia="zh-CN"/>
        </w:rPr>
        <w:t>成都市公共资源交易服务中心</w:t>
      </w:r>
      <w:r>
        <w:rPr>
          <w:rFonts w:hint="eastAsia" w:ascii="宋体" w:hAnsi="宋体"/>
          <w:color w:val="auto"/>
          <w:sz w:val="28"/>
          <w:szCs w:val="28"/>
        </w:rPr>
        <w:t>”网站上发布澄清公告，同时通过政府采购云平台将澄清或者修改的内容告知所有在系统中成功获取招标文件的潜在投标人（投标人通过账号或CA证书登录政府采购云平台查看）</w:t>
      </w:r>
    </w:p>
    <w:p>
      <w:pPr>
        <w:numPr>
          <w:ilvl w:val="0"/>
          <w:numId w:val="16"/>
        </w:numPr>
        <w:tabs>
          <w:tab w:val="left" w:pos="142"/>
          <w:tab w:val="left" w:pos="1134"/>
        </w:tabs>
        <w:spacing w:line="360" w:lineRule="auto"/>
        <w:ind w:left="0" w:firstLine="560"/>
        <w:rPr>
          <w:rFonts w:ascii="宋体" w:hAnsi="宋体"/>
          <w:color w:val="auto"/>
          <w:sz w:val="28"/>
          <w:szCs w:val="28"/>
        </w:rPr>
      </w:pPr>
      <w:r>
        <w:rPr>
          <w:rFonts w:hint="eastAsia" w:ascii="宋体" w:hAnsi="宋体"/>
          <w:color w:val="auto"/>
          <w:sz w:val="28"/>
          <w:szCs w:val="28"/>
        </w:rPr>
        <w:t>澄清或者修改的内容可能影响投标文件编制的，</w:t>
      </w:r>
      <w:r>
        <w:rPr>
          <w:rFonts w:hint="eastAsia" w:ascii="宋体" w:hAnsi="宋体"/>
          <w:color w:val="auto"/>
          <w:sz w:val="28"/>
          <w:szCs w:val="28"/>
          <w:lang w:eastAsia="zh-CN"/>
        </w:rPr>
        <w:t>区采购中心</w:t>
      </w:r>
      <w:r>
        <w:rPr>
          <w:rFonts w:hint="eastAsia" w:ascii="宋体" w:hAnsi="宋体"/>
          <w:color w:val="auto"/>
          <w:sz w:val="28"/>
          <w:szCs w:val="28"/>
        </w:rPr>
        <w:t>应当在投标截止时间至少15日前，通过政府采购云平台通知所有获取招标文件的潜在投标人；不足15日的，采购人或</w:t>
      </w:r>
      <w:r>
        <w:rPr>
          <w:rFonts w:hint="eastAsia" w:ascii="宋体" w:hAnsi="宋体"/>
          <w:color w:val="auto"/>
          <w:sz w:val="28"/>
          <w:szCs w:val="28"/>
          <w:lang w:eastAsia="zh-CN"/>
        </w:rPr>
        <w:t>区采购中心</w:t>
      </w:r>
      <w:r>
        <w:rPr>
          <w:rFonts w:hint="eastAsia" w:ascii="宋体" w:hAnsi="宋体"/>
          <w:color w:val="auto"/>
          <w:sz w:val="28"/>
          <w:szCs w:val="28"/>
        </w:rPr>
        <w:t>应当顺延提交投标文件的截止时间。</w:t>
      </w:r>
    </w:p>
    <w:p>
      <w:pPr>
        <w:keepNext/>
        <w:keepLines/>
        <w:numPr>
          <w:ilvl w:val="1"/>
          <w:numId w:val="5"/>
        </w:numPr>
        <w:spacing w:line="360" w:lineRule="auto"/>
        <w:jc w:val="left"/>
        <w:outlineLvl w:val="1"/>
        <w:rPr>
          <w:rFonts w:ascii="宋体" w:hAnsi="宋体"/>
          <w:b/>
          <w:bCs/>
          <w:color w:val="auto"/>
          <w:sz w:val="28"/>
          <w:szCs w:val="28"/>
        </w:rPr>
      </w:pPr>
      <w:bookmarkStart w:id="39" w:name="_Toc22144"/>
      <w:r>
        <w:rPr>
          <w:rFonts w:hint="eastAsia" w:ascii="宋体" w:hAnsi="宋体"/>
          <w:b/>
          <w:bCs/>
          <w:color w:val="auto"/>
          <w:sz w:val="28"/>
          <w:szCs w:val="28"/>
        </w:rPr>
        <w:t>投标文件</w:t>
      </w:r>
      <w:bookmarkEnd w:id="34"/>
      <w:bookmarkEnd w:id="35"/>
      <w:bookmarkEnd w:id="36"/>
      <w:bookmarkEnd w:id="37"/>
      <w:bookmarkEnd w:id="38"/>
      <w:bookmarkEnd w:id="39"/>
    </w:p>
    <w:p>
      <w:pPr>
        <w:keepNext/>
        <w:keepLines/>
        <w:numPr>
          <w:ilvl w:val="2"/>
          <w:numId w:val="5"/>
        </w:numPr>
        <w:spacing w:line="360" w:lineRule="auto"/>
        <w:ind w:left="0" w:firstLine="0"/>
        <w:outlineLvl w:val="2"/>
        <w:rPr>
          <w:rFonts w:ascii="宋体" w:hAnsi="宋体"/>
          <w:b/>
          <w:bCs/>
          <w:color w:val="auto"/>
          <w:sz w:val="28"/>
          <w:szCs w:val="28"/>
        </w:rPr>
      </w:pPr>
      <w:bookmarkStart w:id="40" w:name="_Toc183582215"/>
      <w:bookmarkStart w:id="41" w:name="_Toc183682352"/>
      <w:bookmarkStart w:id="42" w:name="_Toc217446043"/>
      <w:r>
        <w:rPr>
          <w:rFonts w:hint="eastAsia" w:ascii="宋体" w:hAnsi="宋体"/>
          <w:b/>
          <w:bCs/>
          <w:color w:val="auto"/>
          <w:sz w:val="28"/>
          <w:szCs w:val="28"/>
        </w:rPr>
        <w:t>投标文件的语言</w:t>
      </w:r>
      <w:bookmarkEnd w:id="40"/>
      <w:bookmarkEnd w:id="41"/>
      <w:bookmarkEnd w:id="42"/>
    </w:p>
    <w:p>
      <w:pPr>
        <w:numPr>
          <w:ilvl w:val="0"/>
          <w:numId w:val="17"/>
        </w:numPr>
        <w:tabs>
          <w:tab w:val="left" w:pos="1134"/>
        </w:tabs>
        <w:spacing w:line="360" w:lineRule="auto"/>
        <w:ind w:left="0" w:firstLine="560"/>
        <w:rPr>
          <w:rFonts w:ascii="宋体" w:hAnsi="宋体"/>
          <w:color w:val="auto"/>
          <w:sz w:val="28"/>
          <w:szCs w:val="28"/>
        </w:rPr>
      </w:pPr>
      <w:r>
        <w:rPr>
          <w:rFonts w:hint="eastAsia" w:ascii="宋体" w:hAnsi="宋体"/>
          <w:color w:val="auto"/>
          <w:sz w:val="28"/>
          <w:szCs w:val="28"/>
        </w:rPr>
        <w:t>投标人提交的投标文件以及投标人与采购人或</w:t>
      </w:r>
      <w:r>
        <w:rPr>
          <w:rFonts w:hint="eastAsia" w:cs="Arial"/>
          <w:color w:val="auto"/>
          <w:sz w:val="28"/>
          <w:szCs w:val="28"/>
          <w:lang w:eastAsia="zh-CN"/>
        </w:rPr>
        <w:t>区采购中心</w:t>
      </w:r>
      <w:r>
        <w:rPr>
          <w:rFonts w:hint="eastAsia" w:ascii="宋体" w:hAnsi="宋体"/>
          <w:color w:val="auto"/>
          <w:sz w:val="28"/>
          <w:szCs w:val="28"/>
        </w:rPr>
        <w:t>就有关投标的所有来往书面文件均须使用中文，投标文件中所附或引用的外文资料，应翻译成中文附在相关外文资料后面。（说明：投标人的法定代表人为外籍人士的，则法定代表人的签字和护照除外）。</w:t>
      </w:r>
    </w:p>
    <w:p>
      <w:pPr>
        <w:numPr>
          <w:ilvl w:val="0"/>
          <w:numId w:val="17"/>
        </w:numPr>
        <w:tabs>
          <w:tab w:val="left" w:pos="1134"/>
        </w:tabs>
        <w:spacing w:line="360" w:lineRule="auto"/>
        <w:ind w:left="0" w:firstLine="560"/>
        <w:rPr>
          <w:rFonts w:ascii="宋体" w:hAnsi="宋体"/>
          <w:color w:val="auto"/>
          <w:sz w:val="28"/>
          <w:szCs w:val="28"/>
        </w:rPr>
      </w:pPr>
      <w:r>
        <w:rPr>
          <w:rFonts w:hint="eastAsia" w:ascii="宋体" w:hAnsi="宋体"/>
          <w:color w:val="auto"/>
          <w:sz w:val="28"/>
          <w:szCs w:val="28"/>
        </w:rPr>
        <w:t xml:space="preserve">对不同文字文本投标文件的解释发生异议的，以中文文本为准。若投标人投标文件中提供的外文资料未翻译成中文，则评标委员会可将其视为无效材料。 </w:t>
      </w:r>
    </w:p>
    <w:p>
      <w:pPr>
        <w:keepNext/>
        <w:keepLines/>
        <w:numPr>
          <w:ilvl w:val="2"/>
          <w:numId w:val="5"/>
        </w:numPr>
        <w:spacing w:line="360" w:lineRule="auto"/>
        <w:ind w:left="0" w:firstLine="0"/>
        <w:outlineLvl w:val="2"/>
        <w:rPr>
          <w:rFonts w:ascii="宋体" w:hAnsi="宋体"/>
          <w:b/>
          <w:bCs/>
          <w:color w:val="auto"/>
          <w:sz w:val="28"/>
          <w:szCs w:val="28"/>
        </w:rPr>
      </w:pPr>
      <w:bookmarkStart w:id="43" w:name="_Toc217446044"/>
      <w:bookmarkStart w:id="44" w:name="_Toc183582216"/>
      <w:bookmarkStart w:id="45" w:name="_Toc183682353"/>
      <w:r>
        <w:rPr>
          <w:rFonts w:hint="eastAsia" w:ascii="宋体" w:hAnsi="宋体"/>
          <w:b/>
          <w:bCs/>
          <w:color w:val="auto"/>
          <w:sz w:val="28"/>
          <w:szCs w:val="28"/>
        </w:rPr>
        <w:t>计量单位</w:t>
      </w:r>
      <w:bookmarkEnd w:id="43"/>
      <w:bookmarkEnd w:id="44"/>
      <w:bookmarkEnd w:id="45"/>
    </w:p>
    <w:p>
      <w:pPr>
        <w:tabs>
          <w:tab w:val="left" w:pos="7665"/>
        </w:tabs>
        <w:spacing w:line="360" w:lineRule="auto"/>
        <w:ind w:left="13" w:firstLine="554"/>
        <w:rPr>
          <w:rFonts w:ascii="宋体" w:hAnsi="宋体"/>
          <w:color w:val="auto"/>
          <w:sz w:val="28"/>
          <w:szCs w:val="28"/>
        </w:rPr>
      </w:pPr>
      <w:r>
        <w:rPr>
          <w:rFonts w:hint="eastAsia" w:ascii="宋体" w:hAnsi="宋体"/>
          <w:color w:val="auto"/>
          <w:sz w:val="28"/>
          <w:szCs w:val="28"/>
        </w:rPr>
        <w:t>除招标文件中另有规定外，本次采购项目所有合同项下的投标均采用国家法定的计量单位。</w:t>
      </w:r>
    </w:p>
    <w:p>
      <w:pPr>
        <w:keepNext/>
        <w:keepLines/>
        <w:numPr>
          <w:ilvl w:val="2"/>
          <w:numId w:val="5"/>
        </w:numPr>
        <w:spacing w:line="360" w:lineRule="auto"/>
        <w:ind w:left="0" w:firstLine="0"/>
        <w:outlineLvl w:val="2"/>
        <w:rPr>
          <w:rFonts w:ascii="宋体" w:hAnsi="宋体"/>
          <w:b/>
          <w:bCs/>
          <w:color w:val="auto"/>
          <w:sz w:val="28"/>
          <w:szCs w:val="28"/>
        </w:rPr>
      </w:pPr>
      <w:bookmarkStart w:id="46" w:name="_Toc217446045"/>
      <w:r>
        <w:rPr>
          <w:rFonts w:hint="eastAsia" w:ascii="宋体" w:hAnsi="宋体"/>
          <w:b/>
          <w:bCs/>
          <w:color w:val="auto"/>
          <w:sz w:val="28"/>
          <w:szCs w:val="28"/>
        </w:rPr>
        <w:t>投标货币</w:t>
      </w:r>
      <w:bookmarkEnd w:id="46"/>
    </w:p>
    <w:p>
      <w:pPr>
        <w:tabs>
          <w:tab w:val="left" w:pos="7665"/>
        </w:tabs>
        <w:spacing w:line="360" w:lineRule="auto"/>
        <w:ind w:left="13" w:firstLine="554"/>
        <w:rPr>
          <w:rFonts w:ascii="宋体" w:hAnsi="宋体"/>
          <w:color w:val="auto"/>
          <w:sz w:val="28"/>
          <w:szCs w:val="28"/>
        </w:rPr>
      </w:pPr>
      <w:r>
        <w:rPr>
          <w:rFonts w:hint="eastAsia" w:ascii="宋体" w:hAnsi="宋体"/>
          <w:color w:val="auto"/>
          <w:sz w:val="28"/>
          <w:szCs w:val="28"/>
        </w:rPr>
        <w:t>本次招标项目的投标均以人民币报价。</w:t>
      </w:r>
    </w:p>
    <w:p>
      <w:pPr>
        <w:keepNext/>
        <w:keepLines/>
        <w:numPr>
          <w:ilvl w:val="2"/>
          <w:numId w:val="5"/>
        </w:numPr>
        <w:spacing w:line="360" w:lineRule="auto"/>
        <w:ind w:left="0" w:firstLine="0"/>
        <w:outlineLvl w:val="2"/>
        <w:rPr>
          <w:rFonts w:ascii="宋体" w:hAnsi="宋体"/>
          <w:b/>
          <w:bCs/>
          <w:color w:val="auto"/>
          <w:sz w:val="28"/>
          <w:szCs w:val="28"/>
        </w:rPr>
      </w:pPr>
      <w:bookmarkStart w:id="47" w:name="_Toc217446046"/>
      <w:r>
        <w:rPr>
          <w:rFonts w:hint="eastAsia" w:ascii="宋体" w:hAnsi="宋体"/>
          <w:b/>
          <w:bCs/>
          <w:color w:val="auto"/>
          <w:sz w:val="28"/>
          <w:szCs w:val="28"/>
        </w:rPr>
        <w:t>联合体投标</w:t>
      </w:r>
      <w:bookmarkEnd w:id="47"/>
    </w:p>
    <w:p>
      <w:pPr>
        <w:tabs>
          <w:tab w:val="left" w:pos="1134"/>
        </w:tabs>
        <w:spacing w:line="360" w:lineRule="auto"/>
        <w:ind w:left="546"/>
        <w:rPr>
          <w:rFonts w:ascii="宋体" w:hAnsi="宋体"/>
          <w:color w:val="auto"/>
          <w:sz w:val="28"/>
          <w:szCs w:val="28"/>
        </w:rPr>
      </w:pPr>
      <w:r>
        <w:rPr>
          <w:rFonts w:hint="eastAsia" w:ascii="宋体" w:hAnsi="宋体"/>
          <w:color w:val="auto"/>
          <w:sz w:val="28"/>
          <w:szCs w:val="28"/>
        </w:rPr>
        <w:t>本次政府采购活动</w:t>
      </w:r>
      <w:r>
        <w:rPr>
          <w:rFonts w:hint="eastAsia" w:ascii="宋体" w:hAnsi="宋体"/>
          <w:b/>
          <w:color w:val="auto"/>
          <w:sz w:val="28"/>
          <w:szCs w:val="28"/>
        </w:rPr>
        <w:t>接受</w:t>
      </w:r>
      <w:r>
        <w:rPr>
          <w:rFonts w:hint="eastAsia" w:ascii="宋体" w:hAnsi="宋体"/>
          <w:color w:val="auto"/>
          <w:sz w:val="28"/>
          <w:szCs w:val="28"/>
        </w:rPr>
        <w:t>联合体投标。</w:t>
      </w:r>
    </w:p>
    <w:p>
      <w:pPr>
        <w:keepNext/>
        <w:keepLines/>
        <w:numPr>
          <w:ilvl w:val="2"/>
          <w:numId w:val="5"/>
        </w:numPr>
        <w:spacing w:line="360" w:lineRule="auto"/>
        <w:ind w:left="0" w:firstLine="0"/>
        <w:outlineLvl w:val="2"/>
        <w:rPr>
          <w:rFonts w:ascii="宋体" w:hAnsi="宋体"/>
          <w:b/>
          <w:bCs/>
          <w:color w:val="auto"/>
          <w:sz w:val="28"/>
          <w:szCs w:val="28"/>
        </w:rPr>
      </w:pPr>
      <w:bookmarkStart w:id="48" w:name="_Toc217446047"/>
      <w:r>
        <w:rPr>
          <w:rFonts w:hint="eastAsia" w:ascii="宋体" w:hAnsi="宋体"/>
          <w:b/>
          <w:bCs/>
          <w:color w:val="auto"/>
          <w:sz w:val="28"/>
          <w:szCs w:val="28"/>
        </w:rPr>
        <w:t>知识产权</w:t>
      </w:r>
      <w:bookmarkEnd w:id="48"/>
    </w:p>
    <w:p>
      <w:pPr>
        <w:numPr>
          <w:ilvl w:val="0"/>
          <w:numId w:val="18"/>
        </w:numPr>
        <w:tabs>
          <w:tab w:val="left" w:pos="1134"/>
        </w:tabs>
        <w:spacing w:line="360" w:lineRule="auto"/>
        <w:ind w:left="0" w:firstLine="549"/>
        <w:rPr>
          <w:rFonts w:ascii="宋体" w:hAnsi="宋体"/>
          <w:color w:val="auto"/>
          <w:sz w:val="28"/>
          <w:szCs w:val="28"/>
        </w:rPr>
      </w:pPr>
      <w:r>
        <w:rPr>
          <w:rFonts w:hint="eastAsia" w:ascii="宋体" w:hAnsi="宋体"/>
          <w:color w:val="auto"/>
          <w:sz w:val="28"/>
          <w:szCs w:val="28"/>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numPr>
          <w:ilvl w:val="0"/>
          <w:numId w:val="18"/>
        </w:numPr>
        <w:tabs>
          <w:tab w:val="left" w:pos="1134"/>
        </w:tabs>
        <w:spacing w:line="360" w:lineRule="auto"/>
        <w:ind w:left="0" w:firstLine="549"/>
        <w:rPr>
          <w:rFonts w:ascii="宋体" w:hAnsi="宋体"/>
          <w:color w:val="auto"/>
          <w:sz w:val="28"/>
          <w:szCs w:val="28"/>
        </w:rPr>
      </w:pPr>
      <w:r>
        <w:rPr>
          <w:rFonts w:hint="eastAsia" w:ascii="宋体" w:hAnsi="宋体"/>
          <w:color w:val="auto"/>
          <w:sz w:val="28"/>
          <w:szCs w:val="28"/>
        </w:rPr>
        <w:t>采购人享有本项目实施过程中产生的知识成果及知识产权。</w:t>
      </w:r>
    </w:p>
    <w:p>
      <w:pPr>
        <w:numPr>
          <w:ilvl w:val="0"/>
          <w:numId w:val="18"/>
        </w:numPr>
        <w:tabs>
          <w:tab w:val="left" w:pos="1134"/>
        </w:tabs>
        <w:spacing w:line="360" w:lineRule="auto"/>
        <w:ind w:left="0" w:firstLine="549"/>
        <w:rPr>
          <w:rFonts w:ascii="宋体" w:hAnsi="宋体"/>
          <w:color w:val="auto"/>
          <w:sz w:val="28"/>
          <w:szCs w:val="28"/>
        </w:rPr>
      </w:pPr>
      <w:r>
        <w:rPr>
          <w:rFonts w:hint="eastAsia" w:ascii="宋体" w:hAnsi="宋体"/>
          <w:color w:val="auto"/>
          <w:sz w:val="28"/>
          <w:szCs w:val="28"/>
        </w:rPr>
        <w:t>投标人如拟在项目实施过程中采用自有知识成果，需在投标文件中声明，并提供相关知识产权证明文件。使用该知识成果后，投标人需提供开发接口和开发手册等技术文档，并提供无限期技术支持，采购人享有永久使用权（含采购人委托第三方在该项目后续开发的使用权）。</w:t>
      </w:r>
    </w:p>
    <w:p>
      <w:pPr>
        <w:numPr>
          <w:ilvl w:val="0"/>
          <w:numId w:val="18"/>
        </w:numPr>
        <w:tabs>
          <w:tab w:val="left" w:pos="1134"/>
        </w:tabs>
        <w:spacing w:line="360" w:lineRule="auto"/>
        <w:ind w:left="0" w:firstLine="549"/>
        <w:rPr>
          <w:rFonts w:ascii="宋体" w:hAnsi="宋体"/>
          <w:color w:val="auto"/>
          <w:sz w:val="28"/>
          <w:szCs w:val="28"/>
        </w:rPr>
      </w:pPr>
      <w:r>
        <w:rPr>
          <w:rFonts w:hint="eastAsia" w:ascii="宋体" w:hAnsi="宋体"/>
          <w:color w:val="auto"/>
          <w:sz w:val="28"/>
          <w:szCs w:val="28"/>
        </w:rPr>
        <w:t>如采用投标人所不拥有的知识产权，则在投标报价中必须包括合法获取该知识产权的相关费用。</w:t>
      </w:r>
    </w:p>
    <w:p>
      <w:pPr>
        <w:keepNext/>
        <w:keepLines/>
        <w:numPr>
          <w:ilvl w:val="2"/>
          <w:numId w:val="5"/>
        </w:numPr>
        <w:spacing w:line="360" w:lineRule="auto"/>
        <w:ind w:left="0" w:firstLine="0"/>
        <w:outlineLvl w:val="2"/>
        <w:rPr>
          <w:rFonts w:ascii="宋体" w:hAnsi="宋体"/>
          <w:b/>
          <w:bCs/>
          <w:color w:val="auto"/>
          <w:sz w:val="28"/>
          <w:szCs w:val="28"/>
        </w:rPr>
      </w:pPr>
      <w:bookmarkStart w:id="49" w:name="_Toc183682354"/>
      <w:bookmarkStart w:id="50" w:name="_Toc183582217"/>
      <w:bookmarkStart w:id="51" w:name="_Toc217446048"/>
      <w:r>
        <w:rPr>
          <w:rFonts w:hint="eastAsia" w:ascii="宋体" w:hAnsi="宋体"/>
          <w:b/>
          <w:bCs/>
          <w:color w:val="auto"/>
          <w:sz w:val="28"/>
          <w:szCs w:val="28"/>
        </w:rPr>
        <w:t>投标文件的组成</w:t>
      </w:r>
      <w:bookmarkEnd w:id="49"/>
      <w:bookmarkEnd w:id="50"/>
      <w:bookmarkEnd w:id="51"/>
    </w:p>
    <w:p>
      <w:pPr>
        <w:spacing w:line="360" w:lineRule="auto"/>
        <w:ind w:firstLine="549" w:firstLineChars="196"/>
        <w:rPr>
          <w:rFonts w:ascii="宋体" w:hAnsi="宋体"/>
          <w:color w:val="auto"/>
          <w:sz w:val="28"/>
          <w:szCs w:val="28"/>
        </w:rPr>
      </w:pPr>
      <w:r>
        <w:rPr>
          <w:rFonts w:hint="eastAsia" w:ascii="宋体" w:hAnsi="宋体"/>
          <w:color w:val="auto"/>
          <w:sz w:val="28"/>
          <w:szCs w:val="28"/>
        </w:rPr>
        <w:t>投标人应按照招标文件的规定和要求编制投标文件。投标人拟在中标后将中标项目的非主体、非关键性工作交由他人完成的，应当在投标文件中载明。投标人编写的投标文件应包括下列部分：</w:t>
      </w:r>
    </w:p>
    <w:p>
      <w:pPr>
        <w:pStyle w:val="7"/>
        <w:numPr>
          <w:ilvl w:val="3"/>
          <w:numId w:val="5"/>
        </w:numPr>
        <w:rPr>
          <w:rFonts w:ascii="宋体" w:hAnsi="宋体"/>
          <w:color w:val="auto"/>
        </w:rPr>
      </w:pPr>
      <w:r>
        <w:rPr>
          <w:rFonts w:hint="eastAsia" w:ascii="宋体" w:hAnsi="宋体"/>
          <w:color w:val="auto"/>
        </w:rPr>
        <w:t>资格响应文件：</w:t>
      </w:r>
    </w:p>
    <w:p>
      <w:pPr>
        <w:numPr>
          <w:ilvl w:val="0"/>
          <w:numId w:val="19"/>
        </w:numPr>
        <w:tabs>
          <w:tab w:val="left" w:pos="1134"/>
        </w:tabs>
        <w:spacing w:line="360" w:lineRule="auto"/>
        <w:ind w:left="0" w:firstLine="546"/>
        <w:rPr>
          <w:rFonts w:hint="eastAsia" w:ascii="宋体" w:hAnsi="宋体"/>
          <w:b/>
          <w:color w:val="auto"/>
          <w:sz w:val="28"/>
          <w:szCs w:val="28"/>
        </w:rPr>
      </w:pPr>
      <w:r>
        <w:rPr>
          <w:rFonts w:hint="eastAsia" w:ascii="宋体" w:hAnsi="宋体"/>
          <w:b/>
          <w:color w:val="auto"/>
          <w:sz w:val="28"/>
          <w:szCs w:val="28"/>
        </w:rPr>
        <w:t>关于投标人资格申明的函；</w:t>
      </w:r>
    </w:p>
    <w:p>
      <w:pPr>
        <w:numPr>
          <w:ilvl w:val="0"/>
          <w:numId w:val="19"/>
        </w:numPr>
        <w:tabs>
          <w:tab w:val="left" w:pos="1134"/>
        </w:tabs>
        <w:spacing w:line="360" w:lineRule="auto"/>
        <w:ind w:left="0" w:firstLine="546"/>
        <w:rPr>
          <w:rFonts w:hint="eastAsia" w:ascii="宋体" w:hAnsi="宋体"/>
          <w:b/>
          <w:color w:val="auto"/>
          <w:sz w:val="28"/>
          <w:szCs w:val="28"/>
        </w:rPr>
      </w:pPr>
      <w:r>
        <w:rPr>
          <w:rFonts w:hint="eastAsia" w:ascii="宋体" w:hAnsi="宋体"/>
          <w:b/>
          <w:color w:val="auto"/>
          <w:sz w:val="28"/>
          <w:szCs w:val="28"/>
        </w:rPr>
        <w:t>声明；</w:t>
      </w:r>
    </w:p>
    <w:p>
      <w:pPr>
        <w:numPr>
          <w:ilvl w:val="0"/>
          <w:numId w:val="19"/>
        </w:numPr>
        <w:tabs>
          <w:tab w:val="left" w:pos="1134"/>
        </w:tabs>
        <w:spacing w:line="360" w:lineRule="auto"/>
        <w:ind w:left="0" w:firstLine="546"/>
        <w:rPr>
          <w:rFonts w:hint="eastAsia" w:ascii="宋体" w:hAnsi="宋体"/>
          <w:b/>
          <w:color w:val="auto"/>
          <w:sz w:val="28"/>
          <w:szCs w:val="28"/>
        </w:rPr>
      </w:pPr>
      <w:r>
        <w:rPr>
          <w:rFonts w:hint="eastAsia" w:ascii="宋体" w:hAnsi="宋体"/>
          <w:b/>
          <w:color w:val="auto"/>
          <w:sz w:val="28"/>
          <w:szCs w:val="28"/>
        </w:rPr>
        <w:t xml:space="preserve">投标人应提交的相关资格证明材料： </w:t>
      </w:r>
    </w:p>
    <w:p>
      <w:pPr>
        <w:pStyle w:val="80"/>
        <w:numPr>
          <w:ilvl w:val="0"/>
          <w:numId w:val="20"/>
        </w:numPr>
        <w:spacing w:before="60" w:line="360" w:lineRule="auto"/>
        <w:ind w:left="0" w:firstLine="546" w:firstLineChars="0"/>
        <w:rPr>
          <w:rFonts w:hint="eastAsia" w:ascii="宋体" w:hAnsi="宋体"/>
          <w:b/>
          <w:color w:val="auto"/>
          <w:sz w:val="28"/>
          <w:szCs w:val="28"/>
        </w:rPr>
      </w:pPr>
      <w:r>
        <w:rPr>
          <w:rFonts w:hint="eastAsia" w:ascii="宋体" w:hAnsi="宋体"/>
          <w:b/>
          <w:color w:val="auto"/>
          <w:sz w:val="28"/>
          <w:szCs w:val="28"/>
        </w:rPr>
        <w:t xml:space="preserve"> 中小企业声明函（说明：提供了残疾人福利性单位声明函或监狱企业证明文件复印件的不需提供）；</w:t>
      </w:r>
    </w:p>
    <w:p>
      <w:pPr>
        <w:pStyle w:val="80"/>
        <w:numPr>
          <w:ilvl w:val="0"/>
          <w:numId w:val="20"/>
        </w:numPr>
        <w:spacing w:before="60" w:line="360" w:lineRule="auto"/>
        <w:ind w:left="0" w:firstLine="546" w:firstLineChars="0"/>
        <w:rPr>
          <w:rFonts w:hint="eastAsia" w:ascii="宋体" w:hAnsi="宋体"/>
          <w:b/>
          <w:color w:val="auto"/>
          <w:sz w:val="28"/>
          <w:szCs w:val="28"/>
        </w:rPr>
      </w:pPr>
      <w:r>
        <w:rPr>
          <w:rFonts w:hint="eastAsia" w:ascii="宋体" w:hAnsi="宋体"/>
          <w:b/>
          <w:color w:val="auto"/>
          <w:sz w:val="28"/>
          <w:szCs w:val="28"/>
        </w:rPr>
        <w:t>残疾人福利性单位声明函（说明：提供了中小企业声明函或监狱企业证明文件复印件的不需提供）</w:t>
      </w:r>
      <w:r>
        <w:rPr>
          <w:rFonts w:hint="eastAsia" w:ascii="宋体" w:hAnsi="宋体"/>
          <w:b/>
          <w:color w:val="auto"/>
          <w:sz w:val="28"/>
          <w:szCs w:val="28"/>
          <w:lang w:eastAsia="zh-CN"/>
        </w:rPr>
        <w:t>；</w:t>
      </w:r>
    </w:p>
    <w:p>
      <w:pPr>
        <w:pStyle w:val="80"/>
        <w:numPr>
          <w:ilvl w:val="0"/>
          <w:numId w:val="20"/>
        </w:numPr>
        <w:spacing w:before="60" w:line="360" w:lineRule="auto"/>
        <w:ind w:left="0" w:firstLine="546" w:firstLineChars="0"/>
        <w:rPr>
          <w:rFonts w:hint="eastAsia" w:ascii="宋体" w:hAnsi="宋体"/>
          <w:b/>
          <w:color w:val="auto"/>
          <w:sz w:val="28"/>
          <w:szCs w:val="28"/>
        </w:rPr>
      </w:pPr>
      <w:r>
        <w:rPr>
          <w:rFonts w:hint="eastAsia" w:ascii="宋体" w:hAnsi="宋体"/>
          <w:b/>
          <w:color w:val="auto"/>
          <w:sz w:val="28"/>
          <w:szCs w:val="28"/>
        </w:rPr>
        <w:t>由省级以上监狱管理局、戒毒管理局（含新疆生产建设兵团）出具的投标人属于监狱企业的证明文件复印件（说明：提供了中小企业声明函或残疾人福利性单位声明函的不需提供）；</w:t>
      </w:r>
    </w:p>
    <w:p>
      <w:pPr>
        <w:pStyle w:val="80"/>
        <w:numPr>
          <w:ilvl w:val="0"/>
          <w:numId w:val="21"/>
        </w:numPr>
        <w:spacing w:before="60" w:line="360" w:lineRule="auto"/>
        <w:ind w:left="0" w:leftChars="0" w:firstLine="420" w:firstLineChars="0"/>
        <w:rPr>
          <w:rFonts w:hint="eastAsia" w:ascii="宋体" w:hAnsi="宋体"/>
          <w:b/>
          <w:color w:val="auto"/>
          <w:sz w:val="28"/>
          <w:szCs w:val="28"/>
        </w:rPr>
      </w:pPr>
      <w:r>
        <w:rPr>
          <w:rFonts w:hint="eastAsia" w:ascii="宋体" w:hAnsi="宋体"/>
          <w:b/>
          <w:color w:val="auto"/>
          <w:sz w:val="28"/>
          <w:szCs w:val="28"/>
        </w:rPr>
        <w:t>营业执照复印件（正本或副本）或法人证书复印件（正本或副本）；</w:t>
      </w:r>
    </w:p>
    <w:p>
      <w:pPr>
        <w:pStyle w:val="80"/>
        <w:numPr>
          <w:ilvl w:val="0"/>
          <w:numId w:val="21"/>
        </w:numPr>
        <w:spacing w:before="60" w:line="360" w:lineRule="auto"/>
        <w:ind w:left="0" w:leftChars="0" w:firstLine="420" w:firstLineChars="0"/>
        <w:rPr>
          <w:rFonts w:hint="eastAsia" w:ascii="宋体" w:hAnsi="宋体"/>
          <w:b/>
          <w:color w:val="auto"/>
          <w:sz w:val="28"/>
          <w:szCs w:val="28"/>
        </w:rPr>
      </w:pPr>
      <w:r>
        <w:rPr>
          <w:rFonts w:hint="eastAsia" w:ascii="宋体" w:hAnsi="宋体"/>
          <w:b/>
          <w:color w:val="auto"/>
          <w:sz w:val="28"/>
          <w:szCs w:val="28"/>
        </w:rPr>
        <w:t>2019或2020会计年度资产负债表复印件（说明：投标人成立时间至递交投标文件截止时间止不足一年的，提供成立后任意时段的资产负债表复印件）；</w:t>
      </w:r>
    </w:p>
    <w:p>
      <w:pPr>
        <w:pStyle w:val="80"/>
        <w:numPr>
          <w:ilvl w:val="0"/>
          <w:numId w:val="21"/>
        </w:numPr>
        <w:spacing w:before="60" w:line="360" w:lineRule="auto"/>
        <w:ind w:left="0" w:leftChars="0" w:firstLine="420" w:firstLineChars="0"/>
        <w:rPr>
          <w:rFonts w:hint="eastAsia" w:ascii="宋体" w:hAnsi="宋体"/>
          <w:b/>
          <w:color w:val="auto"/>
          <w:sz w:val="28"/>
          <w:szCs w:val="28"/>
        </w:rPr>
      </w:pPr>
      <w:r>
        <w:rPr>
          <w:rFonts w:hint="eastAsia" w:ascii="宋体" w:hAnsi="宋体"/>
          <w:b/>
          <w:color w:val="auto"/>
          <w:sz w:val="28"/>
          <w:szCs w:val="28"/>
        </w:rPr>
        <w:t>投标人缴纳2020或2021年任意时段的税收的银行电子回单或者行政部门出具的纳税证明或完税证明复印件；</w:t>
      </w:r>
    </w:p>
    <w:p>
      <w:pPr>
        <w:pStyle w:val="80"/>
        <w:numPr>
          <w:ilvl w:val="0"/>
          <w:numId w:val="21"/>
        </w:numPr>
        <w:spacing w:before="60" w:line="360" w:lineRule="auto"/>
        <w:ind w:left="0" w:leftChars="0" w:firstLine="420" w:firstLineChars="0"/>
        <w:rPr>
          <w:rFonts w:ascii="宋体" w:hAnsi="宋体"/>
          <w:b/>
          <w:color w:val="auto"/>
          <w:sz w:val="28"/>
          <w:szCs w:val="28"/>
        </w:rPr>
      </w:pPr>
      <w:r>
        <w:rPr>
          <w:rFonts w:hint="eastAsia" w:ascii="宋体" w:hAnsi="宋体"/>
          <w:b/>
          <w:color w:val="auto"/>
          <w:sz w:val="28"/>
          <w:szCs w:val="28"/>
        </w:rPr>
        <w:t>投标人缴纳2020或2021年任意时段的社保的银行电子回单或行政部门出具的社保缴纳证明材料复印件；</w:t>
      </w:r>
    </w:p>
    <w:p>
      <w:pPr>
        <w:pStyle w:val="80"/>
        <w:numPr>
          <w:ilvl w:val="0"/>
          <w:numId w:val="21"/>
        </w:numPr>
        <w:spacing w:before="60" w:line="360" w:lineRule="auto"/>
        <w:ind w:left="0" w:leftChars="0" w:firstLine="420" w:firstLineChars="0"/>
        <w:rPr>
          <w:rFonts w:ascii="宋体" w:hAnsi="宋体"/>
          <w:b/>
          <w:color w:val="auto"/>
          <w:sz w:val="28"/>
          <w:szCs w:val="28"/>
        </w:rPr>
      </w:pPr>
      <w:r>
        <w:rPr>
          <w:rFonts w:hint="eastAsia" w:ascii="宋体" w:hAnsi="宋体"/>
          <w:b/>
          <w:color w:val="auto"/>
          <w:sz w:val="28"/>
          <w:szCs w:val="28"/>
          <w:lang w:val="zh-CN"/>
        </w:rPr>
        <w:t>国家行政主管部门颁发且在有效期内的《中华人民共和国特种设备生产许可证》(含安装、修理、改造许可)证书复印件；</w:t>
      </w:r>
    </w:p>
    <w:p>
      <w:pPr>
        <w:pStyle w:val="80"/>
        <w:numPr>
          <w:ilvl w:val="0"/>
          <w:numId w:val="21"/>
        </w:numPr>
        <w:spacing w:before="60" w:line="360" w:lineRule="auto"/>
        <w:ind w:left="0" w:leftChars="0" w:firstLine="420" w:firstLineChars="0"/>
        <w:rPr>
          <w:rFonts w:ascii="宋体" w:hAnsi="宋体"/>
          <w:b/>
          <w:color w:val="auto"/>
          <w:sz w:val="28"/>
          <w:szCs w:val="28"/>
        </w:rPr>
      </w:pPr>
      <w:r>
        <w:rPr>
          <w:rFonts w:hint="eastAsia" w:ascii="宋体" w:hAnsi="宋体"/>
          <w:b/>
          <w:color w:val="auto"/>
          <w:sz w:val="28"/>
          <w:szCs w:val="28"/>
          <w:lang w:val="en-US" w:eastAsia="zh-CN"/>
        </w:rPr>
        <w:t>具有</w:t>
      </w:r>
      <w:r>
        <w:rPr>
          <w:rFonts w:hint="eastAsia" w:ascii="宋体" w:hAnsi="宋体"/>
          <w:b/>
          <w:color w:val="auto"/>
          <w:sz w:val="28"/>
          <w:szCs w:val="28"/>
          <w:lang w:val="zh-CN"/>
        </w:rPr>
        <w:t>国家行政主管部门颁发且在有效期内的建筑施工总承包三级及以上资质证书复印件；</w:t>
      </w:r>
    </w:p>
    <w:p>
      <w:pPr>
        <w:pStyle w:val="80"/>
        <w:numPr>
          <w:ilvl w:val="0"/>
          <w:numId w:val="21"/>
        </w:numPr>
        <w:spacing w:before="60" w:line="360" w:lineRule="auto"/>
        <w:ind w:left="0" w:leftChars="0" w:firstLine="420" w:firstLineChars="0"/>
        <w:rPr>
          <w:rFonts w:ascii="宋体" w:hAnsi="宋体"/>
          <w:b/>
          <w:color w:val="auto"/>
          <w:sz w:val="28"/>
          <w:szCs w:val="28"/>
        </w:rPr>
      </w:pPr>
      <w:r>
        <w:rPr>
          <w:rFonts w:hint="eastAsia" w:ascii="宋体" w:hAnsi="宋体"/>
          <w:b/>
          <w:color w:val="auto"/>
          <w:sz w:val="28"/>
          <w:szCs w:val="28"/>
          <w:lang w:val="zh-CN"/>
        </w:rPr>
        <w:t>国家行政主管部门颁发且在有效期内的安全生产许可证证书复印件。</w:t>
      </w:r>
    </w:p>
    <w:p>
      <w:pPr>
        <w:pStyle w:val="80"/>
        <w:numPr>
          <w:ilvl w:val="0"/>
          <w:numId w:val="21"/>
        </w:numPr>
        <w:spacing w:before="60" w:line="360" w:lineRule="auto"/>
        <w:ind w:left="0" w:leftChars="0" w:firstLine="420" w:firstLineChars="0"/>
        <w:rPr>
          <w:rFonts w:ascii="宋体" w:hAnsi="宋体"/>
          <w:b/>
          <w:color w:val="auto"/>
          <w:sz w:val="28"/>
          <w:szCs w:val="28"/>
        </w:rPr>
      </w:pPr>
      <w:r>
        <w:rPr>
          <w:rFonts w:hint="eastAsia" w:ascii="宋体" w:hAnsi="宋体"/>
          <w:b/>
          <w:color w:val="auto"/>
          <w:sz w:val="28"/>
          <w:szCs w:val="28"/>
          <w:lang w:val="zh-CN"/>
        </w:rPr>
        <w:t>联合体参加的还需要提供联合体协议复印件，同时联合体成员都须提供符合（一）至（七）项的证明材料。</w:t>
      </w:r>
    </w:p>
    <w:p>
      <w:pPr>
        <w:pStyle w:val="7"/>
        <w:numPr>
          <w:ilvl w:val="3"/>
          <w:numId w:val="5"/>
        </w:numPr>
        <w:rPr>
          <w:rFonts w:ascii="宋体" w:hAnsi="宋体"/>
          <w:color w:val="auto"/>
        </w:rPr>
      </w:pPr>
      <w:r>
        <w:rPr>
          <w:rFonts w:hint="eastAsia" w:ascii="宋体" w:hAnsi="宋体"/>
          <w:color w:val="auto"/>
        </w:rPr>
        <w:t>商务技术</w:t>
      </w:r>
      <w:r>
        <w:rPr>
          <w:rFonts w:ascii="宋体" w:hAnsi="宋体"/>
          <w:color w:val="auto"/>
        </w:rPr>
        <w:t>响应</w:t>
      </w:r>
      <w:r>
        <w:rPr>
          <w:rFonts w:hint="eastAsia" w:ascii="宋体" w:hAnsi="宋体"/>
          <w:color w:val="auto"/>
        </w:rPr>
        <w:t>文件</w:t>
      </w:r>
    </w:p>
    <w:p>
      <w:pPr>
        <w:numPr>
          <w:ilvl w:val="0"/>
          <w:numId w:val="22"/>
        </w:numPr>
        <w:tabs>
          <w:tab w:val="left" w:pos="1134"/>
        </w:tabs>
        <w:spacing w:line="360" w:lineRule="auto"/>
        <w:ind w:hanging="279"/>
        <w:jc w:val="left"/>
        <w:rPr>
          <w:rFonts w:ascii="宋体" w:hAnsi="宋体"/>
          <w:b/>
          <w:color w:val="auto"/>
          <w:sz w:val="28"/>
          <w:szCs w:val="28"/>
        </w:rPr>
      </w:pPr>
      <w:r>
        <w:rPr>
          <w:rFonts w:hint="eastAsia" w:ascii="宋体" w:hAnsi="宋体"/>
          <w:b/>
          <w:color w:val="auto"/>
          <w:sz w:val="28"/>
          <w:szCs w:val="28"/>
        </w:rPr>
        <w:t>投标函；</w:t>
      </w:r>
    </w:p>
    <w:p>
      <w:pPr>
        <w:numPr>
          <w:ilvl w:val="0"/>
          <w:numId w:val="22"/>
        </w:numPr>
        <w:tabs>
          <w:tab w:val="left" w:pos="1134"/>
        </w:tabs>
        <w:spacing w:line="360" w:lineRule="auto"/>
        <w:ind w:left="0" w:firstLine="546"/>
        <w:rPr>
          <w:rFonts w:ascii="宋体" w:hAnsi="宋体"/>
          <w:b/>
          <w:color w:val="auto"/>
          <w:sz w:val="28"/>
          <w:szCs w:val="28"/>
        </w:rPr>
      </w:pPr>
      <w:r>
        <w:rPr>
          <w:rFonts w:hint="eastAsia" w:ascii="宋体" w:hAnsi="宋体"/>
          <w:b/>
          <w:color w:val="auto"/>
          <w:sz w:val="28"/>
          <w:szCs w:val="28"/>
        </w:rPr>
        <w:t>法定代表人身份证明书；</w:t>
      </w:r>
    </w:p>
    <w:p>
      <w:pPr>
        <w:numPr>
          <w:ilvl w:val="0"/>
          <w:numId w:val="22"/>
        </w:numPr>
        <w:tabs>
          <w:tab w:val="left" w:pos="1134"/>
        </w:tabs>
        <w:spacing w:line="360" w:lineRule="auto"/>
        <w:ind w:left="0" w:firstLine="546"/>
        <w:rPr>
          <w:rFonts w:ascii="宋体" w:hAnsi="宋体"/>
          <w:b/>
          <w:color w:val="auto"/>
          <w:sz w:val="28"/>
          <w:szCs w:val="28"/>
        </w:rPr>
      </w:pPr>
      <w:r>
        <w:rPr>
          <w:rFonts w:hint="eastAsia" w:ascii="宋体" w:hAnsi="宋体"/>
          <w:b/>
          <w:color w:val="auto"/>
          <w:sz w:val="28"/>
          <w:szCs w:val="28"/>
        </w:rPr>
        <w:t>投标人基本情况表；</w:t>
      </w:r>
    </w:p>
    <w:p>
      <w:pPr>
        <w:numPr>
          <w:ilvl w:val="0"/>
          <w:numId w:val="22"/>
        </w:numPr>
        <w:tabs>
          <w:tab w:val="left" w:pos="1134"/>
        </w:tabs>
        <w:spacing w:line="360" w:lineRule="auto"/>
        <w:ind w:left="0" w:firstLine="546"/>
        <w:rPr>
          <w:rFonts w:ascii="宋体" w:hAnsi="宋体"/>
          <w:b/>
          <w:color w:val="auto"/>
          <w:sz w:val="28"/>
          <w:szCs w:val="28"/>
        </w:rPr>
      </w:pPr>
      <w:r>
        <w:rPr>
          <w:rFonts w:hint="eastAsia" w:ascii="宋体" w:hAnsi="宋体"/>
          <w:b/>
          <w:color w:val="auto"/>
          <w:sz w:val="28"/>
          <w:szCs w:val="28"/>
        </w:rPr>
        <w:t>投标产品技术性能、技术参数和配置的详细描述；</w:t>
      </w:r>
    </w:p>
    <w:p>
      <w:pPr>
        <w:numPr>
          <w:ilvl w:val="0"/>
          <w:numId w:val="22"/>
        </w:numPr>
        <w:tabs>
          <w:tab w:val="left" w:pos="1134"/>
        </w:tabs>
        <w:spacing w:line="360" w:lineRule="auto"/>
        <w:ind w:left="0" w:firstLine="546"/>
        <w:rPr>
          <w:rFonts w:ascii="宋体" w:hAnsi="宋体"/>
          <w:b/>
          <w:color w:val="auto"/>
          <w:sz w:val="28"/>
          <w:szCs w:val="28"/>
        </w:rPr>
      </w:pPr>
      <w:r>
        <w:rPr>
          <w:rFonts w:hint="eastAsia" w:ascii="宋体" w:hAnsi="宋体"/>
          <w:b/>
          <w:color w:val="auto"/>
          <w:sz w:val="28"/>
          <w:szCs w:val="28"/>
        </w:rPr>
        <w:t>售后服务及承诺；</w:t>
      </w:r>
    </w:p>
    <w:p>
      <w:pPr>
        <w:numPr>
          <w:ilvl w:val="0"/>
          <w:numId w:val="22"/>
        </w:numPr>
        <w:tabs>
          <w:tab w:val="left" w:pos="1134"/>
        </w:tabs>
        <w:spacing w:line="360" w:lineRule="auto"/>
        <w:ind w:left="0" w:firstLine="546"/>
        <w:rPr>
          <w:rFonts w:ascii="宋体" w:hAnsi="宋体"/>
          <w:b/>
          <w:color w:val="auto"/>
          <w:sz w:val="28"/>
          <w:szCs w:val="28"/>
        </w:rPr>
      </w:pPr>
      <w:r>
        <w:rPr>
          <w:rFonts w:hint="eastAsia" w:ascii="宋体" w:hAnsi="宋体"/>
          <w:b/>
          <w:color w:val="auto"/>
          <w:sz w:val="28"/>
          <w:szCs w:val="28"/>
        </w:rPr>
        <w:t>承诺函。</w:t>
      </w:r>
    </w:p>
    <w:p>
      <w:pPr>
        <w:pStyle w:val="7"/>
        <w:numPr>
          <w:ilvl w:val="3"/>
          <w:numId w:val="5"/>
        </w:numPr>
        <w:ind w:left="0" w:hanging="8"/>
        <w:rPr>
          <w:rFonts w:ascii="宋体" w:hAnsi="宋体"/>
          <w:color w:val="auto"/>
        </w:rPr>
      </w:pPr>
      <w:r>
        <w:rPr>
          <w:rFonts w:hint="eastAsia" w:ascii="宋体" w:hAnsi="宋体"/>
          <w:color w:val="auto"/>
        </w:rPr>
        <w:t>报价</w:t>
      </w:r>
      <w:r>
        <w:rPr>
          <w:rFonts w:ascii="宋体" w:hAnsi="宋体"/>
          <w:color w:val="auto"/>
        </w:rPr>
        <w:t>要求响应文件</w:t>
      </w:r>
    </w:p>
    <w:p>
      <w:pPr>
        <w:pStyle w:val="78"/>
        <w:numPr>
          <w:ilvl w:val="0"/>
          <w:numId w:val="0"/>
        </w:numPr>
        <w:tabs>
          <w:tab w:val="left" w:pos="1134"/>
        </w:tabs>
        <w:spacing w:line="360" w:lineRule="auto"/>
        <w:rPr>
          <w:rFonts w:ascii="宋体" w:hAnsi="宋体"/>
          <w:b/>
          <w:color w:val="auto"/>
          <w:sz w:val="28"/>
          <w:szCs w:val="28"/>
        </w:rPr>
      </w:pPr>
      <w:r>
        <w:rPr>
          <w:rFonts w:hint="eastAsia" w:ascii="宋体" w:hAnsi="宋体"/>
          <w:b/>
          <w:color w:val="auto"/>
          <w:sz w:val="28"/>
          <w:szCs w:val="28"/>
        </w:rPr>
        <w:t>开标一览表（投标报价以投标人在政府采购云平台开标一览表中填写的报价为准）</w:t>
      </w:r>
    </w:p>
    <w:p>
      <w:pPr>
        <w:numPr>
          <w:ilvl w:val="0"/>
          <w:numId w:val="23"/>
        </w:numPr>
        <w:tabs>
          <w:tab w:val="left" w:pos="1134"/>
        </w:tabs>
        <w:spacing w:line="360" w:lineRule="auto"/>
        <w:ind w:left="0" w:firstLine="567"/>
        <w:jc w:val="left"/>
        <w:rPr>
          <w:rFonts w:ascii="宋体" w:hAnsi="宋体"/>
          <w:b/>
          <w:color w:val="auto"/>
          <w:sz w:val="28"/>
          <w:szCs w:val="28"/>
        </w:rPr>
      </w:pPr>
      <w:r>
        <w:rPr>
          <w:rFonts w:hint="eastAsia" w:ascii="宋体" w:hAnsi="宋体"/>
          <w:b/>
          <w:color w:val="auto"/>
          <w:sz w:val="28"/>
          <w:szCs w:val="28"/>
        </w:rPr>
        <w:t>开标一览表；</w:t>
      </w:r>
    </w:p>
    <w:p>
      <w:pPr>
        <w:numPr>
          <w:ilvl w:val="0"/>
          <w:numId w:val="23"/>
        </w:numPr>
        <w:tabs>
          <w:tab w:val="left" w:pos="1134"/>
        </w:tabs>
        <w:spacing w:line="360" w:lineRule="auto"/>
        <w:ind w:left="0" w:firstLine="567"/>
        <w:jc w:val="left"/>
        <w:rPr>
          <w:rFonts w:ascii="宋体" w:hAnsi="宋体"/>
          <w:b/>
          <w:color w:val="auto"/>
          <w:sz w:val="28"/>
          <w:szCs w:val="28"/>
        </w:rPr>
      </w:pPr>
      <w:r>
        <w:rPr>
          <w:rFonts w:hint="eastAsia" w:ascii="宋体" w:hAnsi="宋体"/>
          <w:b/>
          <w:color w:val="auto"/>
          <w:sz w:val="28"/>
          <w:szCs w:val="28"/>
        </w:rPr>
        <w:t>分项报价明细表（分项报价明细表格式中要求填写品牌、规格型号、制造商、进口或国产的，投标人必须载明其投标产品的品牌、规格型号、制造商、进口或国产）</w:t>
      </w:r>
      <w:r>
        <w:rPr>
          <w:rFonts w:hint="eastAsia" w:ascii="宋体" w:hAnsi="宋体"/>
          <w:b/>
          <w:color w:val="auto"/>
          <w:sz w:val="28"/>
          <w:szCs w:val="28"/>
          <w:lang w:eastAsia="zh-CN"/>
        </w:rPr>
        <w:t>。</w:t>
      </w:r>
    </w:p>
    <w:p>
      <w:pPr>
        <w:keepNext/>
        <w:keepLines/>
        <w:numPr>
          <w:ilvl w:val="2"/>
          <w:numId w:val="5"/>
        </w:numPr>
        <w:spacing w:line="360" w:lineRule="auto"/>
        <w:ind w:left="0" w:firstLine="0"/>
        <w:outlineLvl w:val="2"/>
        <w:rPr>
          <w:rFonts w:ascii="宋体" w:hAnsi="宋体"/>
          <w:b/>
          <w:bCs/>
          <w:color w:val="auto"/>
          <w:sz w:val="28"/>
          <w:szCs w:val="28"/>
        </w:rPr>
      </w:pPr>
      <w:bookmarkStart w:id="52" w:name="_Toc316292019"/>
      <w:bookmarkEnd w:id="52"/>
      <w:bookmarkStart w:id="53" w:name="_Toc316292020"/>
      <w:bookmarkEnd w:id="53"/>
      <w:bookmarkStart w:id="54" w:name="_Toc316291396"/>
      <w:bookmarkEnd w:id="54"/>
      <w:bookmarkStart w:id="55" w:name="_Toc316291395"/>
      <w:bookmarkEnd w:id="55"/>
      <w:bookmarkStart w:id="56" w:name="_Toc183582218"/>
      <w:bookmarkStart w:id="57" w:name="_Toc183682355"/>
      <w:bookmarkStart w:id="58" w:name="_Toc217446049"/>
      <w:r>
        <w:rPr>
          <w:rFonts w:hint="eastAsia" w:ascii="宋体" w:hAnsi="宋体"/>
          <w:b/>
          <w:bCs/>
          <w:color w:val="auto"/>
          <w:sz w:val="28"/>
          <w:szCs w:val="28"/>
        </w:rPr>
        <w:t>投标文件格式</w:t>
      </w:r>
      <w:bookmarkEnd w:id="56"/>
      <w:bookmarkEnd w:id="57"/>
      <w:bookmarkEnd w:id="58"/>
      <w:r>
        <w:rPr>
          <w:rFonts w:hint="eastAsia" w:ascii="宋体" w:hAnsi="宋体"/>
          <w:b/>
          <w:bCs/>
          <w:color w:val="auto"/>
          <w:sz w:val="28"/>
          <w:szCs w:val="28"/>
        </w:rPr>
        <w:tab/>
      </w:r>
    </w:p>
    <w:p>
      <w:pPr>
        <w:numPr>
          <w:ilvl w:val="0"/>
          <w:numId w:val="24"/>
        </w:numPr>
        <w:tabs>
          <w:tab w:val="left" w:pos="1134"/>
        </w:tabs>
        <w:spacing w:line="360" w:lineRule="auto"/>
        <w:ind w:left="0" w:firstLine="567"/>
        <w:rPr>
          <w:rFonts w:ascii="宋体" w:hAnsi="宋体"/>
          <w:color w:val="auto"/>
          <w:sz w:val="28"/>
          <w:szCs w:val="28"/>
        </w:rPr>
      </w:pPr>
      <w:r>
        <w:rPr>
          <w:rFonts w:hint="eastAsia" w:ascii="宋体" w:hAnsi="宋体"/>
          <w:color w:val="auto"/>
          <w:sz w:val="28"/>
          <w:szCs w:val="28"/>
        </w:rPr>
        <w:t>投标人应按照招标文件第3章中提供的“投标文件格式”填写相关内容。</w:t>
      </w:r>
    </w:p>
    <w:p>
      <w:pPr>
        <w:numPr>
          <w:ilvl w:val="0"/>
          <w:numId w:val="24"/>
        </w:numPr>
        <w:tabs>
          <w:tab w:val="left" w:pos="1134"/>
        </w:tabs>
        <w:spacing w:line="360" w:lineRule="auto"/>
        <w:ind w:left="0" w:firstLine="567"/>
        <w:rPr>
          <w:rFonts w:ascii="宋体" w:hAnsi="宋体"/>
          <w:color w:val="auto"/>
          <w:sz w:val="28"/>
          <w:szCs w:val="28"/>
        </w:rPr>
      </w:pPr>
      <w:r>
        <w:rPr>
          <w:rFonts w:hint="eastAsia" w:ascii="宋体" w:hAnsi="宋体"/>
          <w:color w:val="auto"/>
          <w:sz w:val="28"/>
          <w:szCs w:val="28"/>
        </w:rPr>
        <w:t>对于没有格式要求的投标文件由投标人自行编写。</w:t>
      </w:r>
    </w:p>
    <w:p>
      <w:pPr>
        <w:keepNext/>
        <w:keepLines/>
        <w:numPr>
          <w:ilvl w:val="2"/>
          <w:numId w:val="5"/>
        </w:numPr>
        <w:spacing w:line="360" w:lineRule="auto"/>
        <w:ind w:left="0" w:firstLine="0"/>
        <w:outlineLvl w:val="2"/>
        <w:rPr>
          <w:rFonts w:ascii="宋体" w:hAnsi="宋体"/>
          <w:b/>
          <w:bCs/>
          <w:color w:val="auto"/>
          <w:sz w:val="28"/>
          <w:szCs w:val="28"/>
        </w:rPr>
      </w:pPr>
      <w:r>
        <w:rPr>
          <w:rFonts w:hint="eastAsia" w:ascii="宋体" w:hAnsi="宋体"/>
          <w:b/>
          <w:bCs/>
          <w:color w:val="auto"/>
          <w:sz w:val="28"/>
          <w:szCs w:val="28"/>
        </w:rPr>
        <w:t>投标报价</w:t>
      </w:r>
    </w:p>
    <w:p>
      <w:pPr>
        <w:numPr>
          <w:ilvl w:val="0"/>
          <w:numId w:val="25"/>
        </w:numPr>
        <w:tabs>
          <w:tab w:val="left" w:pos="1134"/>
        </w:tabs>
        <w:spacing w:line="360" w:lineRule="auto"/>
        <w:ind w:left="0" w:firstLine="560"/>
        <w:rPr>
          <w:rFonts w:ascii="宋体" w:hAnsi="宋体"/>
          <w:color w:val="auto"/>
          <w:sz w:val="28"/>
          <w:szCs w:val="28"/>
        </w:rPr>
      </w:pPr>
      <w:r>
        <w:rPr>
          <w:rFonts w:hint="eastAsia" w:ascii="宋体" w:hAnsi="宋体"/>
          <w:color w:val="auto"/>
          <w:sz w:val="28"/>
          <w:szCs w:val="28"/>
        </w:rPr>
        <w:t>投标人的报价是投标人响应招标项目要求的全部工作内容的价格体现，包括投标人完成本项目所需的一切费用。</w:t>
      </w:r>
    </w:p>
    <w:p>
      <w:pPr>
        <w:numPr>
          <w:ilvl w:val="0"/>
          <w:numId w:val="25"/>
        </w:numPr>
        <w:tabs>
          <w:tab w:val="left" w:pos="1134"/>
        </w:tabs>
        <w:spacing w:line="360" w:lineRule="auto"/>
        <w:ind w:left="0" w:firstLine="560"/>
        <w:rPr>
          <w:rFonts w:ascii="宋体" w:hAnsi="宋体"/>
          <w:color w:val="auto"/>
          <w:sz w:val="28"/>
          <w:szCs w:val="28"/>
        </w:rPr>
      </w:pPr>
      <w:r>
        <w:rPr>
          <w:rFonts w:hint="eastAsia" w:ascii="宋体" w:hAnsi="宋体"/>
          <w:color w:val="auto"/>
          <w:sz w:val="28"/>
          <w:szCs w:val="28"/>
        </w:rPr>
        <w:t>投标人每种货物及服务内容只允许有一个报价，并且在合同履行过程中是固定不变的，任何有选择或可调整的报价将不予接受，并按无效投标处理。</w:t>
      </w:r>
    </w:p>
    <w:p>
      <w:pPr>
        <w:tabs>
          <w:tab w:val="left" w:pos="1134"/>
        </w:tabs>
        <w:spacing w:line="360" w:lineRule="auto"/>
        <w:ind w:firstLine="566" w:firstLineChars="202"/>
        <w:rPr>
          <w:rFonts w:ascii="宋体" w:hAnsi="宋体"/>
          <w:color w:val="auto"/>
          <w:sz w:val="28"/>
          <w:szCs w:val="28"/>
        </w:rPr>
      </w:pPr>
      <w:bookmarkStart w:id="59" w:name="_Toc183582223"/>
      <w:bookmarkStart w:id="60" w:name="_Toc217446050"/>
      <w:bookmarkStart w:id="61" w:name="_Toc183682360"/>
      <w:r>
        <w:rPr>
          <w:rFonts w:hint="eastAsia" w:ascii="宋体" w:hAnsi="宋体"/>
          <w:color w:val="auto"/>
          <w:sz w:val="28"/>
          <w:szCs w:val="28"/>
        </w:rPr>
        <w:t>三、投标文件报价出现前后不一致的，按照下列规定修正：（1）大写金额和小写金额不一致的，以大写金额为准，但大写金额出现文字错误，导致金额无法判断的除外；（</w:t>
      </w:r>
      <w:r>
        <w:rPr>
          <w:rFonts w:ascii="宋体" w:hAnsi="宋体"/>
          <w:color w:val="auto"/>
          <w:sz w:val="28"/>
          <w:szCs w:val="28"/>
        </w:rPr>
        <w:t>2</w:t>
      </w:r>
      <w:r>
        <w:rPr>
          <w:rFonts w:hint="eastAsia" w:ascii="宋体" w:hAnsi="宋体"/>
          <w:color w:val="auto"/>
          <w:sz w:val="28"/>
          <w:szCs w:val="28"/>
        </w:rPr>
        <w:t>）单价金额小数点或者百分比有明显错位的，应以总价为准，并修改单价；（</w:t>
      </w:r>
      <w:r>
        <w:rPr>
          <w:rFonts w:ascii="宋体" w:hAnsi="宋体"/>
          <w:color w:val="auto"/>
          <w:sz w:val="28"/>
          <w:szCs w:val="28"/>
        </w:rPr>
        <w:t>3</w:t>
      </w:r>
      <w:r>
        <w:rPr>
          <w:rFonts w:hint="eastAsia" w:ascii="宋体" w:hAnsi="宋体"/>
          <w:color w:val="auto"/>
          <w:sz w:val="28"/>
          <w:szCs w:val="28"/>
        </w:rPr>
        <w:t>）总价金额与按单价汇总金额不一致的，以单价金额计算结果为准。</w:t>
      </w:r>
    </w:p>
    <w:p>
      <w:pPr>
        <w:tabs>
          <w:tab w:val="left" w:pos="1134"/>
        </w:tabs>
        <w:spacing w:line="360" w:lineRule="auto"/>
        <w:ind w:firstLine="566" w:firstLineChars="202"/>
        <w:rPr>
          <w:rFonts w:ascii="宋体" w:hAnsi="宋体"/>
          <w:color w:val="auto"/>
          <w:sz w:val="28"/>
          <w:szCs w:val="28"/>
        </w:rPr>
      </w:pPr>
      <w:r>
        <w:rPr>
          <w:rFonts w:hint="eastAsia" w:cs="Arial"/>
          <w:color w:val="auto"/>
          <w:sz w:val="28"/>
          <w:szCs w:val="28"/>
        </w:rPr>
        <w:t>同时出现两种以上不一致的，按照前款规定的顺序修正。修正后的报价经投标人以书面形式通过政府采购云平台进行确认，并加盖投标人（法定名称）电子签章，投标人逾时确认的，其投标无效。</w:t>
      </w:r>
      <w:r>
        <w:rPr>
          <w:rFonts w:hint="eastAsia" w:ascii="宋体" w:hAnsi="宋体"/>
          <w:color w:val="auto"/>
          <w:sz w:val="28"/>
          <w:szCs w:val="28"/>
        </w:rPr>
        <w:t>如因断电、断网、系统故障或其他不可抗力等因素</w:t>
      </w:r>
      <w:r>
        <w:rPr>
          <w:rFonts w:hint="eastAsia" w:cs="Arial"/>
          <w:color w:val="auto"/>
          <w:sz w:val="28"/>
          <w:szCs w:val="28"/>
        </w:rPr>
        <w:t>，导致系统无法使用的，由投标人按评标委员会的要求进行澄清或者说明。</w:t>
      </w:r>
    </w:p>
    <w:p>
      <w:pPr>
        <w:keepNext/>
        <w:keepLines/>
        <w:numPr>
          <w:ilvl w:val="2"/>
          <w:numId w:val="5"/>
        </w:numPr>
        <w:spacing w:line="360" w:lineRule="auto"/>
        <w:ind w:left="0" w:firstLine="0"/>
        <w:outlineLvl w:val="2"/>
        <w:rPr>
          <w:rFonts w:ascii="宋体" w:hAnsi="宋体"/>
          <w:b/>
          <w:bCs/>
          <w:color w:val="auto"/>
          <w:sz w:val="28"/>
          <w:szCs w:val="28"/>
        </w:rPr>
      </w:pPr>
      <w:r>
        <w:rPr>
          <w:rFonts w:hint="eastAsia" w:ascii="宋体" w:hAnsi="宋体"/>
          <w:b/>
          <w:bCs/>
          <w:color w:val="auto"/>
          <w:sz w:val="28"/>
          <w:szCs w:val="28"/>
        </w:rPr>
        <w:t>投标保证金</w:t>
      </w:r>
      <w:bookmarkEnd w:id="59"/>
      <w:bookmarkEnd w:id="60"/>
      <w:bookmarkEnd w:id="61"/>
    </w:p>
    <w:p>
      <w:pPr>
        <w:spacing w:line="360" w:lineRule="auto"/>
        <w:ind w:firstLine="560" w:firstLineChars="200"/>
        <w:rPr>
          <w:rFonts w:ascii="宋体" w:hAnsi="宋体"/>
          <w:color w:val="auto"/>
          <w:sz w:val="28"/>
          <w:szCs w:val="28"/>
        </w:rPr>
      </w:pPr>
      <w:r>
        <w:rPr>
          <w:rFonts w:hint="eastAsia" w:cs="Arial"/>
          <w:color w:val="auto"/>
          <w:sz w:val="28"/>
          <w:szCs w:val="28"/>
        </w:rPr>
        <w:t>本项目不收取投标保证金。</w:t>
      </w:r>
    </w:p>
    <w:p>
      <w:pPr>
        <w:keepNext/>
        <w:keepLines/>
        <w:numPr>
          <w:ilvl w:val="2"/>
          <w:numId w:val="5"/>
        </w:numPr>
        <w:tabs>
          <w:tab w:val="left" w:pos="851"/>
        </w:tabs>
        <w:spacing w:line="360" w:lineRule="auto"/>
        <w:ind w:left="0" w:firstLine="0"/>
        <w:outlineLvl w:val="2"/>
        <w:rPr>
          <w:rFonts w:ascii="宋体" w:hAnsi="宋体"/>
          <w:b/>
          <w:bCs/>
          <w:color w:val="auto"/>
          <w:sz w:val="28"/>
          <w:szCs w:val="28"/>
        </w:rPr>
      </w:pPr>
      <w:bookmarkStart w:id="62" w:name="_Toc316292024"/>
      <w:bookmarkEnd w:id="62"/>
      <w:bookmarkStart w:id="63" w:name="_Toc316291400"/>
      <w:bookmarkEnd w:id="63"/>
      <w:bookmarkStart w:id="64" w:name="_Toc217446051"/>
      <w:bookmarkStart w:id="65" w:name="_Toc183582224"/>
      <w:bookmarkStart w:id="66" w:name="_Toc183682361"/>
      <w:r>
        <w:rPr>
          <w:rFonts w:hint="eastAsia" w:ascii="宋体" w:hAnsi="宋体"/>
          <w:b/>
          <w:bCs/>
          <w:color w:val="auto"/>
          <w:sz w:val="28"/>
          <w:szCs w:val="28"/>
        </w:rPr>
        <w:t>投标有效期</w:t>
      </w:r>
      <w:bookmarkEnd w:id="64"/>
      <w:bookmarkEnd w:id="65"/>
      <w:bookmarkEnd w:id="66"/>
    </w:p>
    <w:p>
      <w:pPr>
        <w:numPr>
          <w:ilvl w:val="0"/>
          <w:numId w:val="26"/>
        </w:numPr>
        <w:tabs>
          <w:tab w:val="left" w:pos="1134"/>
        </w:tabs>
        <w:spacing w:line="360" w:lineRule="auto"/>
        <w:ind w:left="0" w:firstLine="567"/>
        <w:rPr>
          <w:rFonts w:ascii="宋体" w:hAnsi="宋体"/>
          <w:color w:val="auto"/>
          <w:sz w:val="28"/>
          <w:szCs w:val="28"/>
        </w:rPr>
      </w:pPr>
      <w:r>
        <w:rPr>
          <w:rFonts w:hint="eastAsia" w:ascii="宋体" w:hAnsi="宋体"/>
          <w:color w:val="auto"/>
          <w:sz w:val="28"/>
          <w:szCs w:val="28"/>
        </w:rPr>
        <w:t>投标有效期为</w:t>
      </w:r>
      <w:r>
        <w:rPr>
          <w:rFonts w:hint="eastAsia" w:ascii="Helvetica" w:hAnsi="Helvetica" w:cs="Helvetica"/>
          <w:color w:val="auto"/>
          <w:sz w:val="28"/>
          <w:szCs w:val="28"/>
        </w:rPr>
        <w:t>提交投标文件的截止之日起</w:t>
      </w:r>
      <w:r>
        <w:rPr>
          <w:rFonts w:hint="eastAsia" w:ascii="宋体" w:hAnsi="宋体"/>
          <w:color w:val="auto"/>
          <w:sz w:val="28"/>
          <w:szCs w:val="28"/>
          <w:u w:val="single"/>
        </w:rPr>
        <w:t>120</w:t>
      </w:r>
      <w:r>
        <w:rPr>
          <w:rFonts w:hint="eastAsia" w:ascii="宋体" w:hAnsi="宋体"/>
          <w:color w:val="auto"/>
          <w:sz w:val="28"/>
          <w:szCs w:val="28"/>
        </w:rPr>
        <w:t>天。投标有效期短于此规定期限的或不作响应的，则其投标文件将按无效投标文件处理。</w:t>
      </w:r>
    </w:p>
    <w:p>
      <w:pPr>
        <w:numPr>
          <w:ilvl w:val="0"/>
          <w:numId w:val="26"/>
        </w:numPr>
        <w:tabs>
          <w:tab w:val="left" w:pos="1134"/>
        </w:tabs>
        <w:spacing w:line="360" w:lineRule="auto"/>
        <w:ind w:left="0" w:firstLine="567"/>
        <w:rPr>
          <w:rFonts w:ascii="宋体" w:hAnsi="宋体"/>
          <w:color w:val="auto"/>
          <w:sz w:val="28"/>
          <w:szCs w:val="28"/>
        </w:rPr>
      </w:pPr>
      <w:r>
        <w:rPr>
          <w:rFonts w:hint="eastAsia" w:ascii="宋体" w:hAnsi="宋体"/>
          <w:color w:val="auto"/>
          <w:sz w:val="28"/>
          <w:szCs w:val="28"/>
        </w:rPr>
        <w:t>特殊情况下，采购人可于投标有效期满之前要求投标人同意延长有效期，要求与答复均应为书面形式。投标人可以拒绝上述要求，其投标保证金不被没收。同意延长投标有效期的投标人不能修改其投标文件，关于投标保证金的有关规定在延长的投标有效期内继续有效。</w:t>
      </w:r>
    </w:p>
    <w:p>
      <w:pPr>
        <w:pStyle w:val="6"/>
        <w:numPr>
          <w:ilvl w:val="2"/>
          <w:numId w:val="5"/>
        </w:numPr>
        <w:tabs>
          <w:tab w:val="left" w:pos="851"/>
        </w:tabs>
        <w:spacing w:after="200"/>
        <w:ind w:left="0" w:firstLine="0"/>
        <w:rPr>
          <w:color w:val="auto"/>
        </w:rPr>
      </w:pPr>
      <w:bookmarkStart w:id="67" w:name="_Toc183582227"/>
      <w:bookmarkStart w:id="68" w:name="_Toc183682364"/>
      <w:bookmarkStart w:id="69" w:name="_Toc217446054"/>
      <w:r>
        <w:rPr>
          <w:rFonts w:hint="eastAsia"/>
          <w:color w:val="auto"/>
        </w:rPr>
        <w:t>投标文件的制作和签章、加密</w:t>
      </w:r>
    </w:p>
    <w:p>
      <w:pPr>
        <w:spacing w:line="360" w:lineRule="auto"/>
        <w:ind w:firstLine="562" w:firstLineChars="200"/>
        <w:rPr>
          <w:rFonts w:ascii="宋体" w:hAnsi="宋体"/>
          <w:color w:val="auto"/>
          <w:sz w:val="28"/>
          <w:szCs w:val="28"/>
        </w:rPr>
      </w:pPr>
      <w:r>
        <w:rPr>
          <w:rFonts w:hint="eastAsia" w:ascii="宋体" w:hAnsi="宋体"/>
          <w:b/>
          <w:color w:val="auto"/>
          <w:sz w:val="28"/>
          <w:szCs w:val="28"/>
        </w:rPr>
        <w:t>一、投标文件应根据招标文件的要求进行制作。</w:t>
      </w:r>
      <w:r>
        <w:rPr>
          <w:rFonts w:hint="eastAsia" w:ascii="宋体" w:hAnsi="宋体"/>
          <w:color w:val="auto"/>
          <w:sz w:val="28"/>
          <w:szCs w:val="28"/>
        </w:rPr>
        <w:t>（说明：1、招标文件中要求提供复印件证明材料的，包含提供原件的影印件或复印件。2、要求提供复印件的证明材料须清晰可辨。）</w:t>
      </w:r>
    </w:p>
    <w:p>
      <w:pPr>
        <w:spacing w:line="360" w:lineRule="auto"/>
        <w:ind w:firstLine="560" w:firstLineChars="200"/>
        <w:rPr>
          <w:rFonts w:ascii="宋体" w:hAnsi="宋体"/>
          <w:color w:val="auto"/>
          <w:sz w:val="28"/>
          <w:szCs w:val="28"/>
        </w:rPr>
      </w:pPr>
      <w:r>
        <w:rPr>
          <w:rFonts w:hint="eastAsia" w:ascii="宋体" w:hAnsi="宋体"/>
          <w:color w:val="auto"/>
          <w:sz w:val="28"/>
          <w:szCs w:val="28"/>
        </w:rPr>
        <w:t>二、投标文件制作详情：</w:t>
      </w:r>
    </w:p>
    <w:p>
      <w:pPr>
        <w:spacing w:line="360" w:lineRule="auto"/>
        <w:ind w:firstLine="560" w:firstLineChars="200"/>
        <w:rPr>
          <w:rFonts w:hint="eastAsia" w:ascii="宋体" w:hAnsi="宋体"/>
          <w:color w:val="auto"/>
          <w:sz w:val="28"/>
          <w:szCs w:val="28"/>
        </w:rPr>
      </w:pPr>
      <w:r>
        <w:rPr>
          <w:rFonts w:hint="eastAsia" w:ascii="宋体" w:hAnsi="宋体"/>
          <w:color w:val="auto"/>
          <w:sz w:val="28"/>
          <w:szCs w:val="28"/>
        </w:rPr>
        <w:t>1、本项目实行电子投标。1、本项目实行电子采购。供应商应先安装“政采云投标客户端”（下载地址1：前往成都市公共资源交易服务中心门户网站（https://www.cdggzy.com/）—业务办理—下载专区—政府采购下载专区下载“政采云投标客户端”；下载地址2：https://customer.zcygov.cn/CA-driver-download?utm=web-ca-front.3ddc8fbb.0.0.3a16b7402a4511ec900b6349b129e0db</w:t>
      </w:r>
    </w:p>
    <w:p>
      <w:pPr>
        <w:spacing w:line="360" w:lineRule="auto"/>
        <w:ind w:firstLine="560" w:firstLineChars="200"/>
        <w:rPr>
          <w:rFonts w:hint="eastAsia" w:ascii="宋体" w:hAnsi="宋体"/>
          <w:color w:val="auto"/>
          <w:sz w:val="28"/>
          <w:szCs w:val="28"/>
        </w:rPr>
      </w:pPr>
      <w:r>
        <w:rPr>
          <w:rFonts w:hint="eastAsia" w:ascii="宋体" w:hAnsi="宋体"/>
          <w:color w:val="auto"/>
          <w:sz w:val="28"/>
          <w:szCs w:val="28"/>
        </w:rPr>
        <w:t>）。</w:t>
      </w:r>
      <w:r>
        <w:rPr>
          <w:rFonts w:hint="eastAsia" w:ascii="宋体" w:hAnsi="宋体"/>
          <w:b/>
          <w:bCs/>
          <w:color w:val="auto"/>
          <w:sz w:val="28"/>
          <w:szCs w:val="28"/>
        </w:rPr>
        <w:t>投标人应按招标文件要求，通过“政采云投标客户端”制作、加密并提交投标文件。</w:t>
      </w:r>
    </w:p>
    <w:p>
      <w:pPr>
        <w:spacing w:line="360" w:lineRule="auto"/>
        <w:ind w:firstLine="560" w:firstLineChars="200"/>
        <w:rPr>
          <w:rFonts w:hint="eastAsia" w:ascii="宋体" w:hAnsi="宋体"/>
          <w:color w:val="auto"/>
          <w:sz w:val="28"/>
          <w:szCs w:val="28"/>
          <w:lang w:val="en-US" w:eastAsia="zh-CN"/>
        </w:rPr>
      </w:pPr>
      <w:r>
        <w:rPr>
          <w:rFonts w:hint="eastAsia" w:ascii="宋体" w:hAnsi="宋体"/>
          <w:color w:val="auto"/>
          <w:sz w:val="28"/>
          <w:szCs w:val="28"/>
          <w:lang w:val="en-US" w:eastAsia="zh-CN"/>
        </w:rPr>
        <w:t>2、</w:t>
      </w:r>
      <w:r>
        <w:rPr>
          <w:rFonts w:hint="eastAsia" w:ascii="宋体" w:hAnsi="宋体"/>
          <w:color w:val="auto"/>
          <w:sz w:val="28"/>
          <w:szCs w:val="28"/>
        </w:rPr>
        <w:t>政府采购云平台所支持的CA证书及签章：四川CA及金格签章，天威CA（金润版）及金润签章，CFCA及金格签章。</w:t>
      </w:r>
    </w:p>
    <w:p>
      <w:pPr>
        <w:spacing w:line="360" w:lineRule="auto"/>
        <w:ind w:firstLine="560" w:firstLineChars="200"/>
        <w:rPr>
          <w:rFonts w:hint="eastAsia" w:ascii="宋体" w:hAnsi="宋体"/>
          <w:color w:val="auto"/>
          <w:sz w:val="28"/>
          <w:szCs w:val="28"/>
        </w:rPr>
      </w:pPr>
      <w:r>
        <w:rPr>
          <w:rFonts w:hint="eastAsia" w:ascii="宋体" w:hAnsi="宋体"/>
          <w:color w:val="auto"/>
          <w:sz w:val="28"/>
          <w:szCs w:val="28"/>
          <w:lang w:val="en-US" w:eastAsia="zh-CN"/>
        </w:rPr>
        <w:t>3、</w:t>
      </w:r>
      <w:r>
        <w:rPr>
          <w:rFonts w:hint="eastAsia" w:ascii="宋体" w:hAnsi="宋体"/>
          <w:color w:val="auto"/>
          <w:sz w:val="28"/>
          <w:szCs w:val="28"/>
        </w:rPr>
        <w:t>政府采购云平台技术支持：（1）钉钉群号：34165101（注：本群有3家CA办理人员加入）；如遇钉钉群满，请加钉钉群号：33782435（注：只加其中一个即可）。（2）统一热线电话：4008817190</w:t>
      </w:r>
    </w:p>
    <w:p>
      <w:pPr>
        <w:spacing w:line="360" w:lineRule="auto"/>
        <w:ind w:firstLine="560" w:firstLineChars="200"/>
        <w:rPr>
          <w:rFonts w:hint="eastAsia" w:ascii="宋体" w:hAnsi="宋体"/>
          <w:color w:val="auto"/>
          <w:sz w:val="28"/>
          <w:szCs w:val="28"/>
        </w:rPr>
      </w:pPr>
      <w:r>
        <w:rPr>
          <w:rFonts w:hint="eastAsia" w:ascii="宋体" w:hAnsi="宋体"/>
          <w:color w:val="auto"/>
          <w:sz w:val="28"/>
          <w:szCs w:val="28"/>
          <w:lang w:val="en-US" w:eastAsia="zh-CN"/>
        </w:rPr>
        <w:t>4、</w:t>
      </w:r>
      <w:r>
        <w:rPr>
          <w:rFonts w:hint="eastAsia" w:ascii="宋体" w:hAnsi="宋体"/>
          <w:color w:val="auto"/>
          <w:sz w:val="28"/>
          <w:szCs w:val="28"/>
        </w:rPr>
        <w:t>CA技术支持：四川CA：400-0281130；天威CA：(028)86694886、1592864708；CFCA：028-65785326、18033549468。”。</w:t>
      </w:r>
    </w:p>
    <w:p>
      <w:pPr>
        <w:numPr>
          <w:ilvl w:val="0"/>
          <w:numId w:val="0"/>
        </w:numPr>
        <w:spacing w:line="360" w:lineRule="auto"/>
        <w:rPr>
          <w:rFonts w:ascii="宋体" w:hAnsi="宋体"/>
          <w:b/>
          <w:color w:val="auto"/>
          <w:sz w:val="28"/>
          <w:szCs w:val="28"/>
        </w:rPr>
      </w:pPr>
      <w:r>
        <w:rPr>
          <w:rFonts w:hint="eastAsia" w:ascii="宋体" w:hAnsi="宋体"/>
          <w:b/>
          <w:color w:val="auto"/>
          <w:sz w:val="28"/>
          <w:szCs w:val="28"/>
          <w:lang w:val="en-US" w:eastAsia="zh-CN"/>
        </w:rPr>
        <w:t xml:space="preserve">    5、</w:t>
      </w:r>
      <w:r>
        <w:rPr>
          <w:rFonts w:hint="eastAsia" w:ascii="宋体" w:hAnsi="宋体"/>
          <w:b/>
          <w:color w:val="auto"/>
          <w:sz w:val="28"/>
          <w:szCs w:val="28"/>
        </w:rPr>
        <w:t>投标文件应加盖投标人（法定名称）电子签章，不得使用投标人专用章（如经济合同章、投标专用章等）或下属单位印章代替。</w:t>
      </w:r>
    </w:p>
    <w:p>
      <w:pPr>
        <w:spacing w:line="360" w:lineRule="auto"/>
        <w:ind w:firstLine="562" w:firstLineChars="200"/>
        <w:rPr>
          <w:rFonts w:ascii="宋体" w:hAnsi="宋体"/>
          <w:b/>
          <w:color w:val="auto"/>
          <w:sz w:val="28"/>
          <w:szCs w:val="28"/>
        </w:rPr>
      </w:pPr>
      <w:r>
        <w:rPr>
          <w:rFonts w:hint="eastAsia" w:ascii="宋体" w:hAnsi="宋体"/>
          <w:b/>
          <w:color w:val="auto"/>
          <w:sz w:val="28"/>
          <w:szCs w:val="28"/>
          <w:lang w:val="en-US" w:eastAsia="zh-CN"/>
        </w:rPr>
        <w:t>6、</w:t>
      </w:r>
      <w:r>
        <w:rPr>
          <w:rFonts w:hint="eastAsia" w:ascii="宋体" w:hAnsi="宋体"/>
          <w:b/>
          <w:color w:val="auto"/>
          <w:sz w:val="28"/>
          <w:szCs w:val="28"/>
        </w:rPr>
        <w:t>投标人应使用本企业CA数字证书对投标文件进行加密。</w:t>
      </w:r>
    </w:p>
    <w:p>
      <w:pPr>
        <w:spacing w:line="360" w:lineRule="auto"/>
        <w:ind w:firstLine="562" w:firstLineChars="200"/>
        <w:rPr>
          <w:rFonts w:ascii="宋体" w:hAnsi="宋体"/>
          <w:b/>
          <w:color w:val="auto"/>
          <w:sz w:val="28"/>
          <w:szCs w:val="28"/>
        </w:rPr>
      </w:pPr>
      <w:r>
        <w:rPr>
          <w:rFonts w:hint="eastAsia" w:ascii="宋体" w:hAnsi="宋体"/>
          <w:b/>
          <w:color w:val="auto"/>
          <w:sz w:val="28"/>
          <w:szCs w:val="28"/>
          <w:lang w:val="en-US" w:eastAsia="zh-CN"/>
        </w:rPr>
        <w:t>7、</w:t>
      </w:r>
      <w:r>
        <w:rPr>
          <w:rFonts w:hint="eastAsia" w:ascii="宋体" w:hAnsi="宋体"/>
          <w:b/>
          <w:color w:val="auto"/>
          <w:sz w:val="28"/>
          <w:szCs w:val="28"/>
        </w:rPr>
        <w:t>招标文件有修改的，投标人须重新下载修改后的招标文件（修改后的招标文件在更正公告中下载），根据修改后的招标文件制作、撤回修改，并递交投标文件。</w:t>
      </w:r>
    </w:p>
    <w:p>
      <w:pPr>
        <w:spacing w:line="360" w:lineRule="auto"/>
        <w:ind w:firstLine="560" w:firstLineChars="200"/>
        <w:rPr>
          <w:rFonts w:hint="eastAsia" w:ascii="宋体" w:hAnsi="宋体"/>
          <w:color w:val="auto"/>
          <w:sz w:val="28"/>
          <w:szCs w:val="28"/>
        </w:rPr>
      </w:pPr>
      <w:r>
        <w:rPr>
          <w:rFonts w:hint="eastAsia" w:ascii="宋体" w:hAnsi="宋体"/>
          <w:color w:val="auto"/>
          <w:sz w:val="28"/>
          <w:szCs w:val="28"/>
          <w:lang w:val="en-US" w:eastAsia="zh-CN"/>
        </w:rPr>
        <w:t>8、</w:t>
      </w:r>
      <w:r>
        <w:rPr>
          <w:rFonts w:hint="eastAsia" w:ascii="宋体" w:hAnsi="宋体"/>
          <w:color w:val="auto"/>
          <w:sz w:val="28"/>
          <w:szCs w:val="28"/>
        </w:rPr>
        <w:t>使用“政府采购云平台”（含政采云电子交易客户端）需要提前申领CA数字证书及电子签章，请自行前往四川CA、CFCA、天威CA服务点办理，只需办理其中一家CA数字证书及签章（提示：办理时请说明参与成都市政府采购项目）。投标人应及时完成在“政府采购云平台”的CA账号绑定，确保顺利参与电子投标。</w:t>
      </w:r>
    </w:p>
    <w:p>
      <w:pPr>
        <w:pStyle w:val="2"/>
        <w:rPr>
          <w:rFonts w:hint="eastAsia" w:ascii="宋体" w:hAnsi="宋体" w:eastAsia="宋体" w:cs="Times New Roman"/>
          <w:color w:val="auto"/>
          <w:kern w:val="2"/>
          <w:sz w:val="28"/>
          <w:szCs w:val="28"/>
          <w:lang w:val="en-US" w:eastAsia="zh-CN" w:bidi="ar-SA"/>
        </w:rPr>
      </w:pPr>
      <w:r>
        <w:rPr>
          <w:rFonts w:hint="eastAsia" w:ascii="宋体" w:hAnsi="宋体"/>
          <w:color w:val="auto"/>
          <w:sz w:val="28"/>
          <w:szCs w:val="28"/>
          <w:lang w:val="en-US" w:eastAsia="zh-CN"/>
        </w:rPr>
        <w:t xml:space="preserve">   </w:t>
      </w:r>
      <w:r>
        <w:rPr>
          <w:rFonts w:hint="eastAsia" w:ascii="宋体" w:hAnsi="宋体" w:eastAsia="宋体" w:cs="Times New Roman"/>
          <w:color w:val="auto"/>
          <w:kern w:val="2"/>
          <w:sz w:val="28"/>
          <w:szCs w:val="28"/>
          <w:lang w:val="en-US" w:eastAsia="zh-CN" w:bidi="ar-SA"/>
        </w:rPr>
        <w:t xml:space="preserve"> 6、 根据《关于上线“四川省互联互通驱动3.0”的通知》有关要求，请拟参与该项目的供应商特别注意：须在2021年10月16日以后（含）新下载安装并使用“四川省CA互联互通驱动3.0”和最新版“投标文件编制工具”，完成投标文件编制、签章、加密和上传工作。否则，开标当日将无法解密、影响投标。</w:t>
      </w:r>
    </w:p>
    <w:p>
      <w:pPr>
        <w:pStyle w:val="6"/>
        <w:numPr>
          <w:ilvl w:val="2"/>
          <w:numId w:val="5"/>
        </w:numPr>
        <w:spacing w:after="200"/>
        <w:ind w:left="0" w:firstLine="0"/>
        <w:rPr>
          <w:color w:val="auto"/>
        </w:rPr>
      </w:pPr>
      <w:r>
        <w:rPr>
          <w:rFonts w:hint="eastAsia"/>
          <w:color w:val="auto"/>
        </w:rPr>
        <w:t>投标文件的</w:t>
      </w:r>
      <w:bookmarkEnd w:id="67"/>
      <w:bookmarkEnd w:id="68"/>
      <w:r>
        <w:rPr>
          <w:rFonts w:hint="eastAsia"/>
          <w:color w:val="auto"/>
        </w:rPr>
        <w:t>递交</w:t>
      </w:r>
      <w:bookmarkEnd w:id="69"/>
    </w:p>
    <w:p>
      <w:pPr>
        <w:tabs>
          <w:tab w:val="left" w:pos="0"/>
        </w:tabs>
        <w:spacing w:line="360" w:lineRule="auto"/>
        <w:ind w:firstLine="420" w:firstLineChars="150"/>
        <w:rPr>
          <w:rFonts w:ascii="宋体" w:hAnsi="宋体" w:eastAsiaTheme="minorEastAsia" w:cstheme="minorBidi"/>
          <w:bCs/>
          <w:color w:val="auto"/>
          <w:sz w:val="28"/>
          <w:szCs w:val="28"/>
        </w:rPr>
      </w:pPr>
      <w:r>
        <w:rPr>
          <w:rFonts w:hint="eastAsia" w:ascii="宋体" w:hAnsi="宋体" w:eastAsiaTheme="minorEastAsia" w:cstheme="minorBidi"/>
          <w:bCs/>
          <w:color w:val="auto"/>
          <w:sz w:val="28"/>
          <w:szCs w:val="28"/>
        </w:rPr>
        <w:t>一、投标人应当在投标文件递交截止时间前，将生成的已加密的投标文件成功递交至“政府采购云平台”。</w:t>
      </w:r>
    </w:p>
    <w:p>
      <w:pPr>
        <w:tabs>
          <w:tab w:val="left" w:pos="0"/>
        </w:tabs>
        <w:spacing w:line="360" w:lineRule="auto"/>
        <w:ind w:firstLine="420" w:firstLineChars="150"/>
        <w:rPr>
          <w:rFonts w:ascii="宋体" w:hAnsi="宋体" w:eastAsiaTheme="minorEastAsia" w:cstheme="minorBidi"/>
          <w:bCs/>
          <w:color w:val="auto"/>
          <w:sz w:val="28"/>
          <w:szCs w:val="28"/>
        </w:rPr>
      </w:pPr>
      <w:r>
        <w:rPr>
          <w:rFonts w:hint="eastAsia" w:ascii="宋体" w:hAnsi="宋体" w:eastAsiaTheme="minorEastAsia" w:cstheme="minorBidi"/>
          <w:bCs/>
          <w:color w:val="auto"/>
          <w:sz w:val="28"/>
          <w:szCs w:val="28"/>
        </w:rPr>
        <w:t>二、因招标文件的修改推迟投标截止日期的，投标人按</w:t>
      </w:r>
      <w:r>
        <w:rPr>
          <w:rFonts w:hint="eastAsia" w:ascii="宋体" w:hAnsi="宋体" w:eastAsiaTheme="minorEastAsia" w:cstheme="minorBidi"/>
          <w:bCs/>
          <w:color w:val="auto"/>
          <w:sz w:val="28"/>
          <w:szCs w:val="28"/>
          <w:lang w:eastAsia="zh-CN"/>
        </w:rPr>
        <w:t>区采购中心</w:t>
      </w:r>
      <w:r>
        <w:rPr>
          <w:rFonts w:hint="eastAsia" w:ascii="宋体" w:hAnsi="宋体" w:eastAsiaTheme="minorEastAsia" w:cstheme="minorBidi"/>
          <w:bCs/>
          <w:color w:val="auto"/>
          <w:sz w:val="28"/>
          <w:szCs w:val="28"/>
        </w:rPr>
        <w:t>在“四川政府采购网”和“</w:t>
      </w:r>
      <w:r>
        <w:rPr>
          <w:rFonts w:hint="eastAsia" w:ascii="宋体" w:hAnsi="宋体" w:eastAsiaTheme="minorEastAsia" w:cstheme="minorBidi"/>
          <w:bCs/>
          <w:color w:val="auto"/>
          <w:sz w:val="28"/>
          <w:szCs w:val="28"/>
          <w:lang w:eastAsia="zh-CN"/>
        </w:rPr>
        <w:t>成都市公共资源交易服务中心</w:t>
      </w:r>
      <w:r>
        <w:rPr>
          <w:rFonts w:hint="eastAsia" w:ascii="宋体" w:hAnsi="宋体" w:eastAsiaTheme="minorEastAsia" w:cstheme="minorBidi"/>
          <w:bCs/>
          <w:color w:val="auto"/>
          <w:sz w:val="28"/>
          <w:szCs w:val="28"/>
        </w:rPr>
        <w:t>”网站上发布的澄清公告中修改的时间递交投标文件，同时通过“政府采购云平台”将澄清或者修改的内容告知所有在系统中成功获取招标文件的潜在投标人。</w:t>
      </w:r>
    </w:p>
    <w:p>
      <w:pPr>
        <w:tabs>
          <w:tab w:val="left" w:pos="0"/>
        </w:tabs>
        <w:spacing w:line="360" w:lineRule="auto"/>
        <w:ind w:firstLine="420" w:firstLineChars="150"/>
        <w:rPr>
          <w:rFonts w:ascii="宋体" w:hAnsi="宋体"/>
          <w:bCs/>
          <w:color w:val="auto"/>
          <w:sz w:val="28"/>
          <w:szCs w:val="28"/>
        </w:rPr>
      </w:pPr>
      <w:r>
        <w:rPr>
          <w:rFonts w:hint="eastAsia" w:ascii="宋体" w:hAnsi="宋体" w:eastAsiaTheme="minorEastAsia" w:cstheme="minorBidi"/>
          <w:bCs/>
          <w:color w:val="auto"/>
          <w:sz w:val="28"/>
          <w:szCs w:val="28"/>
        </w:rPr>
        <w:t>三、投标人应充分考虑递交文件的不可预见因素，未在投标截止时间前完成递交的，在投标截止时间后将无法递交</w:t>
      </w:r>
      <w:r>
        <w:rPr>
          <w:rFonts w:hint="eastAsia" w:ascii="宋体" w:hAnsi="宋体"/>
          <w:bCs/>
          <w:color w:val="auto"/>
          <w:sz w:val="28"/>
          <w:szCs w:val="28"/>
        </w:rPr>
        <w:t>。</w:t>
      </w:r>
    </w:p>
    <w:p>
      <w:pPr>
        <w:pStyle w:val="6"/>
        <w:numPr>
          <w:ilvl w:val="2"/>
          <w:numId w:val="5"/>
        </w:numPr>
        <w:spacing w:after="200"/>
        <w:ind w:left="0" w:firstLine="0"/>
        <w:rPr>
          <w:color w:val="auto"/>
        </w:rPr>
      </w:pPr>
      <w:r>
        <w:rPr>
          <w:rFonts w:hint="eastAsia"/>
          <w:color w:val="auto"/>
        </w:rPr>
        <w:t>投标文件的补充、修改</w:t>
      </w:r>
    </w:p>
    <w:p>
      <w:pPr>
        <w:numPr>
          <w:ilvl w:val="0"/>
          <w:numId w:val="27"/>
        </w:numPr>
        <w:tabs>
          <w:tab w:val="left" w:pos="1134"/>
        </w:tabs>
        <w:spacing w:before="120" w:after="200" w:line="360" w:lineRule="auto"/>
        <w:ind w:left="0" w:firstLine="567"/>
        <w:rPr>
          <w:rFonts w:ascii="宋体" w:hAnsi="宋体"/>
          <w:color w:val="auto"/>
          <w:sz w:val="28"/>
          <w:szCs w:val="28"/>
        </w:rPr>
      </w:pPr>
      <w:r>
        <w:rPr>
          <w:rFonts w:hint="eastAsia" w:ascii="宋体" w:hAnsi="宋体"/>
          <w:color w:val="auto"/>
          <w:sz w:val="28"/>
          <w:szCs w:val="28"/>
        </w:rPr>
        <w:t>在投标截止时间之前，投标人可对已递交的投标文件进行补充、修改。补充或者修改投标文件的，应当先撤回已递交的投标文件，在“政采云投标客户端”补充、修改投标文件并签章、加密后重新递交。撤回投标文件进行补充、修改，在投标截止时间前未重新递交的，视为撤回投标文件。</w:t>
      </w:r>
    </w:p>
    <w:p>
      <w:pPr>
        <w:numPr>
          <w:ilvl w:val="0"/>
          <w:numId w:val="27"/>
        </w:numPr>
        <w:tabs>
          <w:tab w:val="left" w:pos="1134"/>
        </w:tabs>
        <w:spacing w:before="120" w:after="200" w:line="360" w:lineRule="auto"/>
        <w:ind w:left="0" w:firstLine="567"/>
        <w:rPr>
          <w:rFonts w:ascii="宋体" w:hAnsi="宋体"/>
          <w:color w:val="auto"/>
          <w:sz w:val="28"/>
          <w:szCs w:val="28"/>
        </w:rPr>
      </w:pPr>
      <w:r>
        <w:rPr>
          <w:rFonts w:hint="eastAsia" w:ascii="宋体" w:hAnsi="宋体"/>
          <w:color w:val="auto"/>
          <w:sz w:val="28"/>
          <w:szCs w:val="28"/>
        </w:rPr>
        <w:t>在投标截止时间之后，投标人不得对其递交的投标文件做任何补充、修改。</w:t>
      </w:r>
    </w:p>
    <w:p>
      <w:pPr>
        <w:pStyle w:val="6"/>
        <w:numPr>
          <w:ilvl w:val="2"/>
          <w:numId w:val="5"/>
        </w:numPr>
        <w:spacing w:after="200"/>
        <w:ind w:left="0" w:firstLine="0"/>
        <w:rPr>
          <w:color w:val="auto"/>
        </w:rPr>
      </w:pPr>
      <w:bookmarkStart w:id="70" w:name="_Toc316475587"/>
      <w:bookmarkEnd w:id="70"/>
      <w:bookmarkStart w:id="71" w:name="_Toc316475586"/>
      <w:bookmarkEnd w:id="71"/>
      <w:bookmarkStart w:id="72" w:name="_Toc183682365"/>
      <w:bookmarkStart w:id="73" w:name="_Toc183582228"/>
      <w:bookmarkStart w:id="74" w:name="_Toc217446055"/>
      <w:r>
        <w:rPr>
          <w:rFonts w:hint="eastAsia"/>
          <w:color w:val="auto"/>
        </w:rPr>
        <w:t>投标文件的</w:t>
      </w:r>
      <w:bookmarkEnd w:id="72"/>
      <w:bookmarkEnd w:id="73"/>
      <w:bookmarkEnd w:id="74"/>
      <w:r>
        <w:rPr>
          <w:rFonts w:hint="eastAsia"/>
          <w:color w:val="auto"/>
        </w:rPr>
        <w:t>撤回</w:t>
      </w:r>
    </w:p>
    <w:p>
      <w:pPr>
        <w:spacing w:before="120" w:after="200" w:line="360" w:lineRule="auto"/>
        <w:ind w:firstLine="560" w:firstLineChars="200"/>
        <w:rPr>
          <w:rFonts w:ascii="宋体" w:hAnsi="宋体"/>
          <w:bCs/>
          <w:color w:val="auto"/>
          <w:sz w:val="28"/>
          <w:szCs w:val="28"/>
        </w:rPr>
      </w:pPr>
      <w:r>
        <w:rPr>
          <w:rFonts w:hint="eastAsia" w:ascii="宋体" w:hAnsi="宋体"/>
          <w:bCs/>
          <w:color w:val="auto"/>
          <w:sz w:val="28"/>
          <w:szCs w:val="28"/>
        </w:rPr>
        <w:t>在投标截止时间之前，投标人可对已递交的投标文件进行撤回。在投标截止时间之后，投标人不得撤回投标文件。</w:t>
      </w:r>
    </w:p>
    <w:p>
      <w:pPr>
        <w:pStyle w:val="6"/>
        <w:numPr>
          <w:ilvl w:val="2"/>
          <w:numId w:val="5"/>
        </w:numPr>
        <w:spacing w:after="200" w:line="240" w:lineRule="auto"/>
        <w:rPr>
          <w:color w:val="auto"/>
        </w:rPr>
      </w:pPr>
      <w:r>
        <w:rPr>
          <w:rFonts w:hint="eastAsia"/>
          <w:color w:val="auto"/>
        </w:rPr>
        <w:t>投标文件的解密</w:t>
      </w:r>
    </w:p>
    <w:p>
      <w:pPr>
        <w:tabs>
          <w:tab w:val="left" w:pos="1134"/>
        </w:tabs>
        <w:spacing w:before="120" w:line="360" w:lineRule="auto"/>
        <w:ind w:firstLine="566" w:firstLineChars="202"/>
        <w:rPr>
          <w:rFonts w:ascii="宋体" w:hAnsi="宋体"/>
          <w:bCs/>
          <w:color w:val="auto"/>
          <w:sz w:val="28"/>
          <w:szCs w:val="28"/>
        </w:rPr>
      </w:pPr>
      <w:r>
        <w:rPr>
          <w:rFonts w:hint="eastAsia" w:ascii="宋体" w:hAnsi="宋体"/>
          <w:bCs/>
          <w:color w:val="auto"/>
          <w:sz w:val="28"/>
          <w:szCs w:val="28"/>
        </w:rPr>
        <w:t>投标人</w:t>
      </w:r>
      <w:r>
        <w:rPr>
          <w:rFonts w:hint="eastAsia" w:ascii="宋体" w:hAnsi="宋体"/>
          <w:color w:val="auto"/>
          <w:sz w:val="28"/>
          <w:szCs w:val="28"/>
        </w:rPr>
        <w:t>登录政府采购云平台，点击“项目采购—开标评标”模块，找到对应项目，进入“开标大厅”，等待</w:t>
      </w:r>
      <w:r>
        <w:rPr>
          <w:rFonts w:hint="eastAsia" w:ascii="宋体" w:hAnsi="宋体"/>
          <w:color w:val="auto"/>
          <w:sz w:val="28"/>
          <w:szCs w:val="28"/>
          <w:lang w:eastAsia="zh-CN"/>
        </w:rPr>
        <w:t>区采购中心</w:t>
      </w:r>
      <w:r>
        <w:rPr>
          <w:rFonts w:hint="eastAsia" w:ascii="宋体" w:hAnsi="宋体"/>
          <w:color w:val="auto"/>
          <w:sz w:val="28"/>
          <w:szCs w:val="28"/>
        </w:rPr>
        <w:t>开启解密后，进行线上解密。</w:t>
      </w:r>
      <w:r>
        <w:rPr>
          <w:rFonts w:hint="eastAsia" w:ascii="宋体" w:hAnsi="宋体"/>
          <w:bCs/>
          <w:color w:val="auto"/>
          <w:sz w:val="28"/>
          <w:szCs w:val="28"/>
        </w:rPr>
        <w:t>除因</w:t>
      </w:r>
      <w:r>
        <w:rPr>
          <w:rFonts w:hint="eastAsia" w:ascii="宋体" w:hAnsi="宋体"/>
          <w:color w:val="auto"/>
          <w:sz w:val="28"/>
          <w:szCs w:val="28"/>
          <w:lang w:eastAsia="zh-CN"/>
        </w:rPr>
        <w:t>区采购中心</w:t>
      </w:r>
      <w:r>
        <w:rPr>
          <w:rFonts w:hint="eastAsia" w:ascii="宋体" w:hAnsi="宋体"/>
          <w:bCs/>
          <w:color w:val="auto"/>
          <w:sz w:val="28"/>
          <w:szCs w:val="28"/>
        </w:rPr>
        <w:t>断电、断网、系统故障或其他不可抗力等因素，导致系统无法使用外，投标人在规定的解密时间内，未成功解密的投标文件将视为无效投标文件。</w:t>
      </w:r>
    </w:p>
    <w:p>
      <w:pPr>
        <w:keepNext/>
        <w:keepLines/>
        <w:numPr>
          <w:ilvl w:val="1"/>
          <w:numId w:val="5"/>
        </w:numPr>
        <w:spacing w:line="360" w:lineRule="auto"/>
        <w:jc w:val="left"/>
        <w:outlineLvl w:val="1"/>
        <w:rPr>
          <w:rFonts w:ascii="宋体" w:hAnsi="宋体"/>
          <w:b/>
          <w:bCs/>
          <w:color w:val="auto"/>
          <w:sz w:val="28"/>
          <w:szCs w:val="28"/>
        </w:rPr>
      </w:pPr>
      <w:bookmarkStart w:id="75" w:name="_Toc217446056"/>
      <w:bookmarkStart w:id="76" w:name="_Toc77400782"/>
      <w:bookmarkStart w:id="77" w:name="_Toc89075878"/>
      <w:bookmarkStart w:id="78" w:name="_Toc183582231"/>
      <w:bookmarkStart w:id="79" w:name="_Toc183682368"/>
      <w:bookmarkStart w:id="80" w:name="_Toc11795"/>
      <w:r>
        <w:rPr>
          <w:rFonts w:hint="eastAsia" w:ascii="宋体" w:hAnsi="宋体"/>
          <w:b/>
          <w:bCs/>
          <w:color w:val="auto"/>
          <w:sz w:val="28"/>
          <w:szCs w:val="28"/>
        </w:rPr>
        <w:t>开标、资格审查、评标和中标</w:t>
      </w:r>
      <w:bookmarkEnd w:id="75"/>
      <w:bookmarkEnd w:id="76"/>
      <w:bookmarkEnd w:id="77"/>
      <w:bookmarkEnd w:id="78"/>
      <w:bookmarkEnd w:id="79"/>
      <w:bookmarkEnd w:id="80"/>
    </w:p>
    <w:p>
      <w:pPr>
        <w:keepNext/>
        <w:keepLines/>
        <w:numPr>
          <w:ilvl w:val="2"/>
          <w:numId w:val="5"/>
        </w:numPr>
        <w:spacing w:line="360" w:lineRule="auto"/>
        <w:ind w:left="0" w:firstLine="0"/>
        <w:outlineLvl w:val="2"/>
        <w:rPr>
          <w:rFonts w:ascii="宋体" w:hAnsi="宋体"/>
          <w:b/>
          <w:bCs/>
          <w:color w:val="auto"/>
          <w:sz w:val="28"/>
          <w:szCs w:val="28"/>
        </w:rPr>
      </w:pPr>
      <w:r>
        <w:rPr>
          <w:rFonts w:hint="eastAsia" w:ascii="宋体" w:hAnsi="宋体"/>
          <w:b/>
          <w:bCs/>
          <w:color w:val="auto"/>
          <w:sz w:val="28"/>
          <w:szCs w:val="28"/>
        </w:rPr>
        <w:t>开标及开标程序</w:t>
      </w:r>
    </w:p>
    <w:p>
      <w:pPr>
        <w:pStyle w:val="80"/>
        <w:numPr>
          <w:ilvl w:val="0"/>
          <w:numId w:val="28"/>
        </w:numPr>
        <w:tabs>
          <w:tab w:val="left" w:pos="1134"/>
        </w:tabs>
        <w:spacing w:before="120" w:after="200" w:line="360" w:lineRule="auto"/>
        <w:ind w:left="0" w:right="210" w:firstLine="567" w:firstLineChars="0"/>
        <w:rPr>
          <w:rFonts w:ascii="宋体" w:hAnsi="宋体" w:eastAsia="宋体"/>
          <w:sz w:val="32"/>
          <w:szCs w:val="32"/>
        </w:rPr>
      </w:pPr>
      <w:r>
        <w:rPr>
          <w:rFonts w:hint="eastAsia" w:ascii="宋体" w:hAnsi="宋体" w:eastAsia="宋体" w:cs="宋体"/>
          <w:color w:val="auto"/>
          <w:sz w:val="28"/>
          <w:szCs w:val="28"/>
        </w:rPr>
        <w:t>本项目为不见面开标项目。递交投标文件的投标人不足3家的，不予开标。</w:t>
      </w:r>
    </w:p>
    <w:p>
      <w:pPr>
        <w:pStyle w:val="80"/>
        <w:numPr>
          <w:ilvl w:val="0"/>
          <w:numId w:val="28"/>
        </w:numPr>
        <w:tabs>
          <w:tab w:val="left" w:pos="1134"/>
        </w:tabs>
        <w:spacing w:before="120" w:after="200" w:line="360" w:lineRule="auto"/>
        <w:ind w:left="0" w:right="210" w:firstLine="567" w:firstLineChars="0"/>
        <w:rPr>
          <w:rFonts w:ascii="宋体" w:hAnsi="宋体" w:eastAsia="宋体"/>
          <w:b/>
          <w:bCs/>
          <w:color w:val="auto"/>
          <w:sz w:val="32"/>
          <w:szCs w:val="32"/>
        </w:rPr>
      </w:pPr>
      <w:r>
        <w:rPr>
          <w:rFonts w:hint="eastAsia" w:ascii="宋体" w:hAnsi="宋体" w:eastAsia="宋体" w:cs="宋体"/>
          <w:b/>
          <w:bCs/>
          <w:color w:val="auto"/>
          <w:sz w:val="32"/>
          <w:szCs w:val="32"/>
        </w:rPr>
        <w:t>开标准备工作。供应商需在开标当日、递交施工响应</w:t>
      </w:r>
      <w:r>
        <w:rPr>
          <w:rFonts w:ascii="宋体" w:hAnsi="宋体" w:eastAsia="宋体" w:cs="宋体"/>
          <w:b/>
          <w:bCs/>
          <w:color w:val="auto"/>
          <w:sz w:val="32"/>
          <w:szCs w:val="32"/>
        </w:rPr>
        <w:t>文件</w:t>
      </w:r>
      <w:r>
        <w:rPr>
          <w:rFonts w:hint="eastAsia" w:ascii="宋体" w:hAnsi="宋体" w:eastAsia="宋体" w:cs="宋体"/>
          <w:b/>
          <w:bCs/>
          <w:color w:val="auto"/>
          <w:sz w:val="32"/>
          <w:szCs w:val="32"/>
        </w:rPr>
        <w:t>截止时间前登录“政府采购云平台”，通过“开标大厅”参与开标。登录政府采购云平台</w:t>
      </w:r>
      <w:r>
        <w:rPr>
          <w:rFonts w:hint="eastAsia" w:ascii="宋体" w:hAnsi="宋体" w:eastAsia="宋体"/>
          <w:b/>
          <w:bCs/>
          <w:color w:val="auto"/>
          <w:sz w:val="32"/>
          <w:szCs w:val="32"/>
        </w:rPr>
        <w:t>(www.zcygov.cn)—我的工作台</w:t>
      </w:r>
      <w:r>
        <w:rPr>
          <w:rFonts w:hint="eastAsia" w:ascii="宋体" w:hAnsi="宋体" w:eastAsia="宋体" w:cs="宋体"/>
          <w:b/>
          <w:bCs/>
          <w:color w:val="auto"/>
          <w:sz w:val="32"/>
          <w:szCs w:val="32"/>
        </w:rPr>
        <w:t>—项目采购—开标评标—开标大厅[找到对应项目（包</w:t>
      </w:r>
      <w:r>
        <w:rPr>
          <w:rFonts w:ascii="宋体" w:hAnsi="宋体" w:eastAsia="宋体" w:cs="宋体"/>
          <w:b/>
          <w:bCs/>
          <w:color w:val="auto"/>
          <w:sz w:val="32"/>
          <w:szCs w:val="32"/>
        </w:rPr>
        <w:t>件</w:t>
      </w:r>
      <w:r>
        <w:rPr>
          <w:rFonts w:hint="eastAsia" w:ascii="宋体" w:hAnsi="宋体" w:eastAsia="宋体" w:cs="宋体"/>
          <w:b/>
          <w:bCs/>
          <w:color w:val="auto"/>
          <w:sz w:val="32"/>
          <w:szCs w:val="32"/>
        </w:rPr>
        <w:t>）]。提示：供应商未按时登录不见面开标系统，错过开标解密时间的，由供应商自行承担不利后果。</w:t>
      </w:r>
      <w:r>
        <w:rPr>
          <w:rFonts w:hint="eastAsia" w:ascii="宋体" w:hAnsi="宋体" w:eastAsia="宋体"/>
          <w:b/>
          <w:bCs/>
          <w:color w:val="auto"/>
          <w:sz w:val="32"/>
          <w:szCs w:val="32"/>
        </w:rPr>
        <w:t>”。</w:t>
      </w:r>
    </w:p>
    <w:p>
      <w:pPr>
        <w:pStyle w:val="80"/>
        <w:numPr>
          <w:ilvl w:val="0"/>
          <w:numId w:val="28"/>
        </w:numPr>
        <w:tabs>
          <w:tab w:val="left" w:pos="1134"/>
        </w:tabs>
        <w:spacing w:before="120" w:after="200" w:line="360" w:lineRule="auto"/>
        <w:ind w:left="0" w:right="210" w:firstLine="567" w:firstLineChars="0"/>
        <w:rPr>
          <w:rFonts w:ascii="宋体" w:hAnsi="宋体" w:eastAsia="宋体" w:cs="宋体"/>
          <w:b/>
          <w:color w:val="auto"/>
          <w:sz w:val="28"/>
          <w:szCs w:val="28"/>
        </w:rPr>
      </w:pPr>
      <w:r>
        <w:rPr>
          <w:rFonts w:hint="eastAsia" w:ascii="宋体" w:hAnsi="宋体" w:eastAsia="宋体" w:cs="宋体"/>
          <w:b/>
          <w:color w:val="auto"/>
          <w:sz w:val="28"/>
          <w:szCs w:val="28"/>
        </w:rPr>
        <w:t>解密投标文件。等待</w:t>
      </w:r>
      <w:r>
        <w:rPr>
          <w:rFonts w:hint="eastAsia" w:ascii="宋体" w:hAnsi="宋体" w:eastAsia="宋体" w:cs="宋体"/>
          <w:b/>
          <w:color w:val="auto"/>
          <w:sz w:val="28"/>
          <w:szCs w:val="28"/>
          <w:lang w:eastAsia="zh-CN"/>
        </w:rPr>
        <w:t>区采购中心</w:t>
      </w:r>
      <w:r>
        <w:rPr>
          <w:rFonts w:hint="eastAsia" w:ascii="宋体" w:hAnsi="宋体" w:eastAsia="宋体" w:cs="宋体"/>
          <w:b/>
          <w:color w:val="auto"/>
          <w:sz w:val="28"/>
          <w:szCs w:val="28"/>
        </w:rPr>
        <w:t>开启解密后，投标人进行线上解密。开启解密后，投标人应在60分钟内，使用加密该投标文件的CA数字证书在线完成投标文件的解密。除因</w:t>
      </w:r>
      <w:r>
        <w:rPr>
          <w:rFonts w:hint="eastAsia" w:ascii="宋体" w:hAnsi="宋体" w:eastAsia="宋体" w:cs="宋体"/>
          <w:b/>
          <w:color w:val="auto"/>
          <w:sz w:val="28"/>
          <w:szCs w:val="28"/>
          <w:lang w:eastAsia="zh-CN"/>
        </w:rPr>
        <w:t>区采购中心</w:t>
      </w:r>
      <w:r>
        <w:rPr>
          <w:rFonts w:hint="eastAsia" w:ascii="宋体" w:hAnsi="宋体" w:eastAsia="宋体" w:cs="宋体"/>
          <w:b/>
          <w:color w:val="auto"/>
          <w:sz w:val="28"/>
          <w:szCs w:val="28"/>
        </w:rPr>
        <w:t>断电、断网、系统故障或其他不可抗力等因素，导致系统无法使用外，投标人在规定的解密时间内，未成功解密的投标文件将视为无效投标文件。</w:t>
      </w:r>
    </w:p>
    <w:p>
      <w:pPr>
        <w:pStyle w:val="80"/>
        <w:numPr>
          <w:ilvl w:val="0"/>
          <w:numId w:val="28"/>
        </w:numPr>
        <w:tabs>
          <w:tab w:val="left" w:pos="1134"/>
        </w:tabs>
        <w:spacing w:before="120" w:after="200" w:line="360" w:lineRule="auto"/>
        <w:ind w:left="0" w:right="210" w:firstLine="567" w:firstLineChars="0"/>
        <w:rPr>
          <w:rFonts w:ascii="宋体" w:hAnsi="宋体" w:eastAsia="宋体" w:cs="宋体"/>
          <w:b/>
          <w:color w:val="auto"/>
          <w:sz w:val="28"/>
          <w:szCs w:val="28"/>
        </w:rPr>
      </w:pPr>
      <w:r>
        <w:rPr>
          <w:rFonts w:hint="eastAsia" w:ascii="宋体" w:hAnsi="宋体" w:eastAsia="宋体" w:cs="宋体"/>
          <w:b/>
          <w:color w:val="auto"/>
          <w:sz w:val="28"/>
          <w:szCs w:val="28"/>
        </w:rPr>
        <w:t>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投标人对开标记录（包含解密情况、投标报价、其他情况等）在规定时间内确认，如未确认，视为认同开标记录。</w:t>
      </w:r>
    </w:p>
    <w:p>
      <w:pPr>
        <w:pStyle w:val="80"/>
        <w:numPr>
          <w:ilvl w:val="0"/>
          <w:numId w:val="28"/>
        </w:numPr>
        <w:tabs>
          <w:tab w:val="left" w:pos="1134"/>
        </w:tabs>
        <w:spacing w:before="120" w:after="200" w:line="360" w:lineRule="auto"/>
        <w:ind w:left="0" w:right="210" w:firstLine="567" w:firstLineChars="0"/>
        <w:rPr>
          <w:rFonts w:ascii="宋体" w:hAnsi="宋体" w:eastAsia="宋体" w:cs="宋体"/>
          <w:b/>
          <w:color w:val="auto"/>
          <w:sz w:val="28"/>
          <w:szCs w:val="28"/>
        </w:rPr>
      </w:pPr>
      <w:r>
        <w:rPr>
          <w:rFonts w:hint="eastAsia" w:ascii="宋体" w:hAnsi="宋体" w:eastAsia="宋体" w:cs="宋体"/>
          <w:b/>
          <w:color w:val="auto"/>
          <w:sz w:val="28"/>
          <w:szCs w:val="28"/>
        </w:rPr>
        <w:t>投标人电脑终端等硬件设备和软件系统配置：投标人电脑终端等硬件设备和软件系统配置应符合电子投标（含不见面开标大厅）投标人电脑终端配置要求并运行正常，投标人承担因未尽职责产生的不利后果。</w:t>
      </w:r>
    </w:p>
    <w:p>
      <w:pPr>
        <w:pStyle w:val="80"/>
        <w:numPr>
          <w:ilvl w:val="0"/>
          <w:numId w:val="28"/>
        </w:numPr>
        <w:tabs>
          <w:tab w:val="left" w:pos="1134"/>
        </w:tabs>
        <w:spacing w:before="120" w:after="200" w:line="360" w:lineRule="auto"/>
        <w:ind w:left="0" w:right="210" w:firstLine="567" w:firstLineChars="0"/>
        <w:rPr>
          <w:rFonts w:ascii="宋体" w:hAnsi="宋体" w:eastAsia="宋体" w:cs="宋体"/>
          <w:b/>
          <w:color w:val="auto"/>
          <w:sz w:val="28"/>
          <w:szCs w:val="28"/>
        </w:rPr>
      </w:pPr>
      <w:r>
        <w:rPr>
          <w:rFonts w:hint="eastAsia" w:ascii="宋体" w:hAnsi="宋体" w:eastAsia="宋体" w:cs="宋体"/>
          <w:b/>
          <w:color w:val="auto"/>
          <w:sz w:val="28"/>
          <w:szCs w:val="28"/>
        </w:rPr>
        <w:t>因</w:t>
      </w:r>
      <w:r>
        <w:rPr>
          <w:rFonts w:hint="eastAsia" w:ascii="宋体" w:hAnsi="宋体" w:eastAsia="宋体" w:cs="宋体"/>
          <w:b/>
          <w:color w:val="auto"/>
          <w:sz w:val="28"/>
          <w:szCs w:val="28"/>
          <w:lang w:eastAsia="zh-CN"/>
        </w:rPr>
        <w:t>区采购中心</w:t>
      </w:r>
      <w:r>
        <w:rPr>
          <w:rFonts w:hint="eastAsia" w:ascii="宋体" w:hAnsi="宋体" w:eastAsia="宋体" w:cs="宋体"/>
          <w:b/>
          <w:color w:val="auto"/>
          <w:sz w:val="28"/>
          <w:szCs w:val="28"/>
        </w:rPr>
        <w:t>断电、断网、系统故障或其他不可抗力等因素导致不见面开标系统无法正常运行的，开标活动中止或延迟，待系统恢复正常后继续进行开标活动。</w:t>
      </w:r>
    </w:p>
    <w:p>
      <w:pPr>
        <w:pStyle w:val="80"/>
        <w:numPr>
          <w:ilvl w:val="0"/>
          <w:numId w:val="28"/>
        </w:numPr>
        <w:tabs>
          <w:tab w:val="left" w:pos="1134"/>
        </w:tabs>
        <w:spacing w:before="120" w:after="200" w:line="360" w:lineRule="auto"/>
        <w:ind w:left="0" w:right="210" w:firstLine="567" w:firstLineChars="0"/>
        <w:rPr>
          <w:rFonts w:hint="eastAsia" w:ascii="宋体" w:hAnsi="宋体" w:eastAsia="宋体"/>
          <w:sz w:val="32"/>
          <w:szCs w:val="32"/>
        </w:rPr>
      </w:pPr>
      <w:r>
        <w:rPr>
          <w:rFonts w:hint="eastAsia" w:ascii="宋体" w:hAnsi="宋体" w:eastAsia="宋体" w:cs="宋体"/>
          <w:b/>
          <w:color w:val="auto"/>
          <w:sz w:val="28"/>
          <w:szCs w:val="28"/>
        </w:rPr>
        <w:t>不见面开标过程中，各方主体均应遵守互联网有关规定，不得发表与交易活动无关的言论。</w:t>
      </w:r>
    </w:p>
    <w:p>
      <w:pPr>
        <w:pStyle w:val="80"/>
        <w:numPr>
          <w:ilvl w:val="0"/>
          <w:numId w:val="28"/>
        </w:numPr>
        <w:tabs>
          <w:tab w:val="left" w:pos="1134"/>
        </w:tabs>
        <w:spacing w:before="120" w:after="200" w:line="360" w:lineRule="auto"/>
        <w:ind w:left="0" w:right="210" w:firstLine="567" w:firstLineChars="0"/>
        <w:rPr>
          <w:rFonts w:hint="eastAsia" w:ascii="宋体" w:hAnsi="宋体" w:eastAsia="宋体" w:cs="宋体"/>
          <w:b/>
          <w:color w:val="auto"/>
          <w:sz w:val="28"/>
          <w:szCs w:val="28"/>
        </w:rPr>
      </w:pPr>
      <w:r>
        <w:rPr>
          <w:rFonts w:hint="eastAsia" w:ascii="宋体" w:hAnsi="宋体" w:eastAsia="宋体" w:cs="宋体"/>
          <w:b/>
          <w:color w:val="auto"/>
          <w:sz w:val="28"/>
          <w:szCs w:val="28"/>
        </w:rPr>
        <w:t>政府采购云平台运行基本环境要求：电脑应安装并顺利运行64位win7以上操作系统，谷歌浏览器；正确的CA及签章驱动等；能流畅访问互联网。</w:t>
      </w:r>
    </w:p>
    <w:p>
      <w:pPr>
        <w:keepNext/>
        <w:keepLines/>
        <w:numPr>
          <w:ilvl w:val="2"/>
          <w:numId w:val="5"/>
        </w:numPr>
        <w:spacing w:line="360" w:lineRule="auto"/>
        <w:ind w:left="0" w:firstLine="0"/>
        <w:outlineLvl w:val="2"/>
        <w:rPr>
          <w:rFonts w:ascii="宋体" w:hAnsi="宋体"/>
          <w:b/>
          <w:bCs/>
          <w:color w:val="auto"/>
          <w:sz w:val="28"/>
          <w:szCs w:val="28"/>
        </w:rPr>
      </w:pPr>
      <w:r>
        <w:rPr>
          <w:rFonts w:hint="eastAsia" w:ascii="宋体" w:hAnsi="宋体"/>
          <w:b/>
          <w:bCs/>
          <w:color w:val="auto"/>
          <w:sz w:val="28"/>
          <w:szCs w:val="28"/>
        </w:rPr>
        <w:t>资格审查</w:t>
      </w:r>
    </w:p>
    <w:p>
      <w:pPr>
        <w:spacing w:line="360" w:lineRule="auto"/>
        <w:ind w:firstLine="495"/>
        <w:rPr>
          <w:rFonts w:ascii="宋体" w:hAnsi="宋体"/>
          <w:color w:val="auto"/>
          <w:sz w:val="28"/>
          <w:szCs w:val="28"/>
        </w:rPr>
      </w:pPr>
      <w:r>
        <w:rPr>
          <w:rFonts w:hint="eastAsia" w:ascii="宋体" w:hAnsi="宋体"/>
          <w:color w:val="auto"/>
          <w:sz w:val="28"/>
          <w:szCs w:val="28"/>
        </w:rPr>
        <w:t>详见招标文件第5章。</w:t>
      </w:r>
    </w:p>
    <w:p>
      <w:pPr>
        <w:keepNext/>
        <w:keepLines/>
        <w:numPr>
          <w:ilvl w:val="2"/>
          <w:numId w:val="5"/>
        </w:numPr>
        <w:spacing w:line="360" w:lineRule="auto"/>
        <w:ind w:left="0" w:firstLine="0"/>
        <w:outlineLvl w:val="2"/>
        <w:rPr>
          <w:rFonts w:ascii="宋体" w:hAnsi="宋体"/>
          <w:b/>
          <w:bCs/>
          <w:color w:val="auto"/>
          <w:sz w:val="28"/>
          <w:szCs w:val="28"/>
        </w:rPr>
      </w:pPr>
      <w:r>
        <w:rPr>
          <w:rFonts w:hint="eastAsia" w:ascii="宋体" w:hAnsi="宋体"/>
          <w:b/>
          <w:bCs/>
          <w:color w:val="auto"/>
          <w:sz w:val="28"/>
          <w:szCs w:val="28"/>
        </w:rPr>
        <w:t>评标</w:t>
      </w:r>
    </w:p>
    <w:p>
      <w:pPr>
        <w:spacing w:line="360" w:lineRule="auto"/>
        <w:ind w:firstLine="495"/>
        <w:rPr>
          <w:rFonts w:ascii="宋体" w:hAnsi="宋体"/>
          <w:color w:val="auto"/>
          <w:sz w:val="28"/>
          <w:szCs w:val="28"/>
        </w:rPr>
      </w:pPr>
      <w:r>
        <w:rPr>
          <w:rFonts w:hint="eastAsia" w:ascii="宋体" w:hAnsi="宋体"/>
          <w:color w:val="auto"/>
          <w:sz w:val="28"/>
          <w:szCs w:val="28"/>
        </w:rPr>
        <w:t>详见招标文件第6章。</w:t>
      </w:r>
    </w:p>
    <w:p>
      <w:pPr>
        <w:keepNext/>
        <w:keepLines/>
        <w:numPr>
          <w:ilvl w:val="2"/>
          <w:numId w:val="5"/>
        </w:numPr>
        <w:spacing w:line="360" w:lineRule="auto"/>
        <w:ind w:left="0" w:firstLine="0"/>
        <w:outlineLvl w:val="2"/>
        <w:rPr>
          <w:rFonts w:ascii="宋体" w:hAnsi="宋体"/>
          <w:b/>
          <w:bCs/>
          <w:color w:val="auto"/>
          <w:sz w:val="28"/>
          <w:szCs w:val="28"/>
        </w:rPr>
      </w:pPr>
      <w:bookmarkStart w:id="81" w:name="_Toc183582238"/>
      <w:bookmarkStart w:id="82" w:name="_Toc183682375"/>
      <w:bookmarkStart w:id="83" w:name="_Toc217446063"/>
      <w:r>
        <w:rPr>
          <w:rFonts w:hint="eastAsia" w:ascii="宋体" w:hAnsi="宋体"/>
          <w:b/>
          <w:bCs/>
          <w:color w:val="auto"/>
          <w:sz w:val="28"/>
          <w:szCs w:val="28"/>
        </w:rPr>
        <w:t>中标通知</w:t>
      </w:r>
      <w:bookmarkEnd w:id="81"/>
      <w:bookmarkEnd w:id="82"/>
      <w:r>
        <w:rPr>
          <w:rFonts w:hint="eastAsia" w:ascii="宋体" w:hAnsi="宋体"/>
          <w:b/>
          <w:bCs/>
          <w:color w:val="auto"/>
          <w:sz w:val="28"/>
          <w:szCs w:val="28"/>
        </w:rPr>
        <w:t>书</w:t>
      </w:r>
      <w:bookmarkEnd w:id="83"/>
    </w:p>
    <w:p>
      <w:pPr>
        <w:spacing w:line="360" w:lineRule="auto"/>
        <w:ind w:right="210" w:firstLine="560" w:firstLineChars="200"/>
        <w:rPr>
          <w:rFonts w:ascii="宋体" w:hAnsi="宋体"/>
          <w:color w:val="auto"/>
          <w:sz w:val="28"/>
          <w:szCs w:val="28"/>
        </w:rPr>
      </w:pPr>
      <w:bookmarkStart w:id="84" w:name="_Toc217446064"/>
      <w:bookmarkStart w:id="85" w:name="_Toc183582240"/>
      <w:bookmarkStart w:id="86" w:name="_Toc183682377"/>
      <w:r>
        <w:rPr>
          <w:rFonts w:hint="eastAsia" w:ascii="宋体" w:hAnsi="宋体"/>
          <w:color w:val="auto"/>
          <w:sz w:val="28"/>
          <w:szCs w:val="28"/>
        </w:rPr>
        <w:t>一、中标通知书为采购人签订政府采购合同的依据，是合同的有效组成部分。如果出现政府采购法律法规、规章制度规定的中标无效情形的，将以公告形式宣布发出的中标通知书无效，中标通知书将自动失效，并依法重新确定中标人或者重新开展采购活动。</w:t>
      </w:r>
    </w:p>
    <w:p>
      <w:pPr>
        <w:spacing w:line="360" w:lineRule="auto"/>
        <w:ind w:firstLine="560" w:firstLineChars="200"/>
        <w:rPr>
          <w:rFonts w:ascii="宋体" w:hAnsi="宋体"/>
          <w:color w:val="auto"/>
          <w:sz w:val="28"/>
          <w:szCs w:val="28"/>
        </w:rPr>
      </w:pPr>
      <w:r>
        <w:rPr>
          <w:rFonts w:hint="eastAsia" w:ascii="宋体" w:hAnsi="宋体"/>
          <w:color w:val="auto"/>
          <w:sz w:val="28"/>
          <w:szCs w:val="28"/>
        </w:rPr>
        <w:t>二、中标通知书对采购人和中标人均具有法律效力。中标通知书发出后，采购人改变中标结果，或者中标人无正当理由放弃中标的，应当承担相应的法律责任。</w:t>
      </w:r>
    </w:p>
    <w:p>
      <w:pPr>
        <w:spacing w:line="360" w:lineRule="auto"/>
        <w:ind w:firstLine="560" w:firstLineChars="200"/>
        <w:rPr>
          <w:rFonts w:ascii="宋体" w:hAnsi="宋体"/>
          <w:b/>
          <w:bCs/>
          <w:color w:val="auto"/>
          <w:sz w:val="28"/>
          <w:szCs w:val="28"/>
        </w:rPr>
      </w:pPr>
      <w:r>
        <w:rPr>
          <w:rFonts w:hint="eastAsia" w:ascii="宋体" w:hAnsi="宋体"/>
          <w:color w:val="auto"/>
          <w:sz w:val="28"/>
          <w:szCs w:val="28"/>
        </w:rPr>
        <w:t>三、</w:t>
      </w:r>
      <w:r>
        <w:rPr>
          <w:rFonts w:hint="eastAsia" w:ascii="宋体" w:hAnsi="宋体"/>
          <w:b/>
          <w:bCs/>
          <w:color w:val="auto"/>
          <w:sz w:val="28"/>
          <w:szCs w:val="28"/>
        </w:rPr>
        <w:t>中标公告在四川政府采购网上公告后，中标供应商自行登录政府采购云平台下载中标通知书。</w:t>
      </w:r>
    </w:p>
    <w:p>
      <w:pPr>
        <w:keepNext/>
        <w:keepLines/>
        <w:numPr>
          <w:ilvl w:val="1"/>
          <w:numId w:val="5"/>
        </w:numPr>
        <w:spacing w:before="240" w:line="360" w:lineRule="auto"/>
        <w:jc w:val="left"/>
        <w:outlineLvl w:val="1"/>
        <w:rPr>
          <w:rFonts w:ascii="宋体" w:hAnsi="宋体"/>
          <w:b/>
          <w:bCs/>
          <w:color w:val="auto"/>
          <w:sz w:val="28"/>
          <w:szCs w:val="28"/>
        </w:rPr>
      </w:pPr>
      <w:bookmarkStart w:id="87" w:name="_Toc30421"/>
      <w:r>
        <w:rPr>
          <w:rFonts w:hint="eastAsia" w:ascii="宋体" w:hAnsi="宋体"/>
          <w:b/>
          <w:bCs/>
          <w:color w:val="auto"/>
          <w:sz w:val="28"/>
          <w:szCs w:val="28"/>
        </w:rPr>
        <w:t>签订及履行合同和验收</w:t>
      </w:r>
      <w:bookmarkEnd w:id="84"/>
      <w:bookmarkEnd w:id="87"/>
    </w:p>
    <w:p>
      <w:pPr>
        <w:keepNext/>
        <w:keepLines/>
        <w:numPr>
          <w:ilvl w:val="2"/>
          <w:numId w:val="5"/>
        </w:numPr>
        <w:spacing w:line="360" w:lineRule="auto"/>
        <w:ind w:left="0" w:firstLine="0"/>
        <w:outlineLvl w:val="2"/>
        <w:rPr>
          <w:rFonts w:ascii="宋体" w:hAnsi="宋体"/>
          <w:b/>
          <w:bCs/>
          <w:color w:val="auto"/>
          <w:sz w:val="28"/>
          <w:szCs w:val="28"/>
        </w:rPr>
      </w:pPr>
      <w:bookmarkStart w:id="88" w:name="_Toc217446065"/>
      <w:r>
        <w:rPr>
          <w:rFonts w:hint="eastAsia" w:ascii="宋体" w:hAnsi="宋体"/>
          <w:b/>
          <w:bCs/>
          <w:color w:val="auto"/>
          <w:sz w:val="28"/>
          <w:szCs w:val="28"/>
        </w:rPr>
        <w:t>签订合同</w:t>
      </w:r>
      <w:bookmarkEnd w:id="88"/>
    </w:p>
    <w:p>
      <w:pPr>
        <w:tabs>
          <w:tab w:val="left" w:pos="1134"/>
        </w:tabs>
        <w:spacing w:line="360" w:lineRule="auto"/>
        <w:ind w:firstLine="560" w:firstLineChars="200"/>
        <w:rPr>
          <w:rFonts w:ascii="宋体" w:hAnsi="宋体"/>
          <w:color w:val="auto"/>
          <w:sz w:val="28"/>
          <w:szCs w:val="28"/>
        </w:rPr>
      </w:pPr>
      <w:r>
        <w:rPr>
          <w:rFonts w:hint="eastAsia" w:ascii="宋体" w:hAnsi="宋体"/>
          <w:color w:val="auto"/>
          <w:sz w:val="28"/>
          <w:szCs w:val="28"/>
        </w:rPr>
        <w:t>一、疫情防控期间，采购人原则上在中标通知书发出之日起5个工作日内与中标人签订采购合同。因中标人的原因在中标通知书发出之日起30日内未与采购人签订采购合同或者中标人拒绝与采购人签订合同的，采购人可以按照评审报告推荐的中标候选人名单排序，确定下一候选人为中标供应商，也可以重新开展政府采购活动。</w:t>
      </w:r>
    </w:p>
    <w:p>
      <w:pPr>
        <w:tabs>
          <w:tab w:val="left" w:pos="1134"/>
        </w:tabs>
        <w:spacing w:line="360" w:lineRule="auto"/>
        <w:ind w:firstLine="560" w:firstLineChars="200"/>
        <w:rPr>
          <w:rFonts w:ascii="宋体" w:hAnsi="宋体"/>
          <w:color w:val="auto"/>
          <w:sz w:val="28"/>
          <w:szCs w:val="28"/>
        </w:rPr>
      </w:pPr>
      <w:r>
        <w:rPr>
          <w:rFonts w:hint="eastAsia" w:ascii="宋体" w:hAnsi="宋体"/>
          <w:color w:val="auto"/>
          <w:sz w:val="28"/>
          <w:szCs w:val="28"/>
          <w:lang w:eastAsia="zh-CN"/>
        </w:rPr>
        <w:t>三、</w:t>
      </w:r>
      <w:r>
        <w:rPr>
          <w:rFonts w:hint="eastAsia" w:ascii="宋体" w:hAnsi="宋体"/>
          <w:color w:val="auto"/>
          <w:sz w:val="28"/>
          <w:szCs w:val="28"/>
        </w:rPr>
        <w:t>采购人不得向中标人提出任何不合理的要求，作为签订合同的条件，不得与中标人私下订立背离合同实质性内容的任何协议，所签订的合同不得对招标文件和中标人投标文件作实质性修改。</w:t>
      </w:r>
    </w:p>
    <w:p>
      <w:pPr>
        <w:tabs>
          <w:tab w:val="left" w:pos="1134"/>
        </w:tabs>
        <w:spacing w:line="360" w:lineRule="auto"/>
        <w:ind w:firstLine="560" w:firstLineChars="200"/>
        <w:rPr>
          <w:rFonts w:ascii="宋体" w:hAnsi="宋体"/>
          <w:color w:val="auto"/>
          <w:sz w:val="28"/>
          <w:szCs w:val="28"/>
        </w:rPr>
      </w:pPr>
      <w:r>
        <w:rPr>
          <w:rFonts w:hint="eastAsia" w:ascii="宋体" w:hAnsi="宋体"/>
          <w:color w:val="auto"/>
          <w:sz w:val="28"/>
          <w:szCs w:val="28"/>
          <w:lang w:eastAsia="zh-CN"/>
        </w:rPr>
        <w:t>四、</w:t>
      </w:r>
      <w:r>
        <w:rPr>
          <w:rFonts w:hint="eastAsia" w:ascii="宋体" w:hAnsi="宋体"/>
          <w:color w:val="auto"/>
          <w:sz w:val="28"/>
          <w:szCs w:val="28"/>
        </w:rPr>
        <w:t>、招标文件、投标文件、中标通知书等一切与本项目评标结果有关且经责任主体确认的资料均为合同的有效组成部分。</w:t>
      </w:r>
    </w:p>
    <w:p>
      <w:pPr>
        <w:tabs>
          <w:tab w:val="left" w:pos="1134"/>
        </w:tabs>
        <w:spacing w:line="360" w:lineRule="auto"/>
        <w:ind w:firstLine="560" w:firstLineChars="200"/>
        <w:rPr>
          <w:rFonts w:ascii="宋体" w:hAnsi="宋体"/>
          <w:color w:val="auto"/>
          <w:sz w:val="28"/>
          <w:szCs w:val="28"/>
        </w:rPr>
      </w:pPr>
      <w:r>
        <w:rPr>
          <w:rFonts w:hint="eastAsia" w:ascii="宋体" w:hAnsi="宋体"/>
          <w:color w:val="auto"/>
          <w:sz w:val="28"/>
          <w:szCs w:val="28"/>
          <w:lang w:eastAsia="zh-CN"/>
        </w:rPr>
        <w:t>五</w:t>
      </w:r>
      <w:r>
        <w:rPr>
          <w:rFonts w:hint="eastAsia" w:ascii="宋体" w:hAnsi="宋体"/>
          <w:color w:val="auto"/>
          <w:sz w:val="28"/>
          <w:szCs w:val="28"/>
        </w:rPr>
        <w:t>、询问或者质疑事项可能影响中标、成交结果的，采购人应当暂停签订合同，已经签订合同的，应当中止履行合同。</w:t>
      </w:r>
    </w:p>
    <w:p>
      <w:pPr>
        <w:keepNext/>
        <w:keepLines/>
        <w:numPr>
          <w:ilvl w:val="2"/>
          <w:numId w:val="5"/>
        </w:numPr>
        <w:spacing w:line="360" w:lineRule="auto"/>
        <w:ind w:left="3119" w:hanging="3119"/>
        <w:outlineLvl w:val="2"/>
        <w:rPr>
          <w:rFonts w:ascii="宋体" w:hAnsi="宋体"/>
          <w:b/>
          <w:bCs/>
          <w:color w:val="auto"/>
          <w:sz w:val="28"/>
          <w:szCs w:val="28"/>
        </w:rPr>
      </w:pPr>
      <w:bookmarkStart w:id="89" w:name="_Toc315871033"/>
      <w:bookmarkEnd w:id="89"/>
      <w:bookmarkStart w:id="90" w:name="_Toc217446066"/>
      <w:r>
        <w:rPr>
          <w:rFonts w:hint="eastAsia" w:ascii="宋体" w:hAnsi="宋体"/>
          <w:b/>
          <w:bCs/>
          <w:color w:val="auto"/>
          <w:sz w:val="28"/>
          <w:szCs w:val="28"/>
        </w:rPr>
        <w:t>合同分包</w:t>
      </w:r>
      <w:bookmarkEnd w:id="90"/>
      <w:r>
        <w:rPr>
          <w:rFonts w:hint="eastAsia" w:ascii="宋体" w:hAnsi="宋体"/>
          <w:b/>
          <w:bCs/>
          <w:color w:val="auto"/>
          <w:sz w:val="28"/>
          <w:szCs w:val="28"/>
        </w:rPr>
        <w:t>和转包</w:t>
      </w:r>
    </w:p>
    <w:p>
      <w:pPr>
        <w:keepNext/>
        <w:keepLines/>
        <w:numPr>
          <w:ilvl w:val="3"/>
          <w:numId w:val="5"/>
        </w:numPr>
        <w:spacing w:line="360" w:lineRule="auto"/>
        <w:ind w:left="1275" w:hanging="1275"/>
        <w:outlineLvl w:val="2"/>
        <w:rPr>
          <w:rFonts w:ascii="宋体" w:hAnsi="宋体"/>
          <w:b/>
          <w:bCs/>
          <w:color w:val="auto"/>
          <w:sz w:val="28"/>
          <w:szCs w:val="28"/>
        </w:rPr>
      </w:pPr>
      <w:r>
        <w:rPr>
          <w:rFonts w:hint="eastAsia" w:ascii="宋体" w:hAnsi="宋体"/>
          <w:b/>
          <w:bCs/>
          <w:color w:val="auto"/>
          <w:sz w:val="28"/>
          <w:szCs w:val="28"/>
        </w:rPr>
        <w:t>合同分包</w:t>
      </w:r>
    </w:p>
    <w:p>
      <w:pPr>
        <w:pStyle w:val="120"/>
        <w:spacing w:line="360" w:lineRule="auto"/>
        <w:ind w:firstLine="560" w:firstLineChars="200"/>
        <w:rPr>
          <w:rFonts w:cs="Times New Roman"/>
          <w:color w:val="auto"/>
          <w:sz w:val="28"/>
          <w:szCs w:val="28"/>
          <w:lang w:val="zh-CN"/>
        </w:rPr>
      </w:pPr>
      <w:r>
        <w:rPr>
          <w:rFonts w:hint="eastAsia" w:cs="Times New Roman"/>
          <w:color w:val="auto"/>
          <w:sz w:val="28"/>
          <w:szCs w:val="28"/>
          <w:lang w:val="zh-CN"/>
        </w:rPr>
        <w:t>本</w:t>
      </w:r>
      <w:r>
        <w:rPr>
          <w:rFonts w:cs="Times New Roman"/>
          <w:color w:val="auto"/>
          <w:sz w:val="28"/>
          <w:szCs w:val="28"/>
          <w:lang w:val="zh-CN"/>
        </w:rPr>
        <w:t>项目不允许分包</w:t>
      </w:r>
      <w:r>
        <w:rPr>
          <w:rFonts w:hint="eastAsia" w:cs="Times New Roman"/>
          <w:color w:val="auto"/>
          <w:sz w:val="28"/>
          <w:szCs w:val="28"/>
          <w:lang w:val="zh-CN"/>
        </w:rPr>
        <w:t>。</w:t>
      </w:r>
    </w:p>
    <w:p>
      <w:pPr>
        <w:keepNext/>
        <w:keepLines/>
        <w:numPr>
          <w:ilvl w:val="3"/>
          <w:numId w:val="5"/>
        </w:numPr>
        <w:spacing w:line="360" w:lineRule="auto"/>
        <w:ind w:left="1275" w:hanging="1275"/>
        <w:outlineLvl w:val="2"/>
        <w:rPr>
          <w:rFonts w:ascii="宋体" w:hAnsi="宋体"/>
          <w:b/>
          <w:bCs/>
          <w:color w:val="auto"/>
          <w:sz w:val="28"/>
          <w:szCs w:val="28"/>
        </w:rPr>
      </w:pPr>
      <w:r>
        <w:rPr>
          <w:rFonts w:hint="eastAsia" w:ascii="宋体" w:hAnsi="宋体"/>
          <w:b/>
          <w:bCs/>
          <w:color w:val="auto"/>
          <w:sz w:val="28"/>
          <w:szCs w:val="28"/>
        </w:rPr>
        <w:t>合同转包</w:t>
      </w:r>
    </w:p>
    <w:p>
      <w:pPr>
        <w:spacing w:line="360" w:lineRule="auto"/>
        <w:ind w:firstLine="560" w:firstLineChars="200"/>
        <w:rPr>
          <w:rFonts w:ascii="宋体" w:hAnsi="宋体" w:cs="宋体"/>
          <w:color w:val="auto"/>
          <w:sz w:val="28"/>
          <w:szCs w:val="28"/>
        </w:rPr>
      </w:pPr>
      <w:r>
        <w:rPr>
          <w:rFonts w:hint="eastAsia" w:ascii="宋体" w:hAnsi="宋体"/>
          <w:color w:val="auto"/>
          <w:sz w:val="28"/>
          <w:szCs w:val="28"/>
        </w:rPr>
        <w:t>一、严禁中标供应商将本项目转包。本项目所称转包，是指</w:t>
      </w:r>
      <w:r>
        <w:rPr>
          <w:rFonts w:hint="eastAsia" w:ascii="宋体" w:hAnsi="宋体" w:cs="宋体"/>
          <w:color w:val="auto"/>
          <w:sz w:val="28"/>
          <w:szCs w:val="28"/>
        </w:rPr>
        <w:t xml:space="preserve">将本项目转给他人或者将本项目全部肢解以后以分包的名义分别转给他人的行为。 </w:t>
      </w:r>
    </w:p>
    <w:p>
      <w:pPr>
        <w:spacing w:line="360" w:lineRule="auto"/>
        <w:ind w:firstLine="495"/>
        <w:rPr>
          <w:rFonts w:ascii="宋体" w:hAnsi="宋体"/>
          <w:color w:val="auto"/>
          <w:sz w:val="28"/>
          <w:szCs w:val="28"/>
        </w:rPr>
      </w:pPr>
      <w:r>
        <w:rPr>
          <w:rFonts w:hint="eastAsia" w:ascii="宋体" w:hAnsi="宋体"/>
          <w:color w:val="auto"/>
          <w:sz w:val="28"/>
          <w:szCs w:val="28"/>
        </w:rPr>
        <w:t>二、中标供应商转包的，视同拒绝履行政府采购合同，将依法追究法律责任。</w:t>
      </w:r>
    </w:p>
    <w:p>
      <w:pPr>
        <w:keepNext/>
        <w:keepLines/>
        <w:numPr>
          <w:ilvl w:val="2"/>
          <w:numId w:val="5"/>
        </w:numPr>
        <w:spacing w:before="240" w:line="360" w:lineRule="auto"/>
        <w:ind w:left="0" w:firstLine="0"/>
        <w:outlineLvl w:val="2"/>
        <w:rPr>
          <w:rFonts w:ascii="宋体" w:hAnsi="宋体"/>
          <w:b/>
          <w:bCs/>
          <w:color w:val="auto"/>
          <w:sz w:val="28"/>
          <w:szCs w:val="28"/>
        </w:rPr>
      </w:pPr>
      <w:bookmarkStart w:id="91" w:name="_Toc217446067"/>
      <w:r>
        <w:rPr>
          <w:rFonts w:hint="eastAsia" w:ascii="宋体" w:hAnsi="宋体"/>
          <w:b/>
          <w:bCs/>
          <w:color w:val="auto"/>
          <w:sz w:val="28"/>
          <w:szCs w:val="28"/>
        </w:rPr>
        <w:t>采购人增加合同标的的权</w:t>
      </w:r>
      <w:bookmarkEnd w:id="91"/>
      <w:r>
        <w:rPr>
          <w:rFonts w:hint="eastAsia" w:ascii="宋体" w:hAnsi="宋体"/>
          <w:b/>
          <w:bCs/>
          <w:color w:val="auto"/>
          <w:sz w:val="28"/>
          <w:szCs w:val="28"/>
        </w:rPr>
        <w:t>利</w:t>
      </w:r>
    </w:p>
    <w:p>
      <w:pPr>
        <w:spacing w:after="180" w:line="360" w:lineRule="auto"/>
        <w:ind w:firstLine="560" w:firstLineChars="200"/>
        <w:rPr>
          <w:rFonts w:ascii="宋体" w:hAnsi="宋体"/>
          <w:color w:val="auto"/>
          <w:sz w:val="28"/>
          <w:szCs w:val="28"/>
        </w:rPr>
      </w:pPr>
      <w:r>
        <w:rPr>
          <w:rFonts w:hint="eastAsia" w:ascii="宋体" w:hAnsi="宋体"/>
          <w:color w:val="auto"/>
          <w:sz w:val="28"/>
          <w:szCs w:val="28"/>
        </w:rPr>
        <w:t>采购合同履行过程中，采购人需要追加与合同标的相同的货物或者服务的，在不改变合同其他条款的前提下，可以与中标人协商签订补充合同，但所有补充合同的采购金额不得超过原合同采购金额的百分之十。</w:t>
      </w:r>
    </w:p>
    <w:p>
      <w:pPr>
        <w:keepNext/>
        <w:keepLines/>
        <w:numPr>
          <w:ilvl w:val="2"/>
          <w:numId w:val="5"/>
        </w:numPr>
        <w:spacing w:line="360" w:lineRule="auto"/>
        <w:ind w:left="0" w:firstLine="0"/>
        <w:outlineLvl w:val="2"/>
        <w:rPr>
          <w:rFonts w:ascii="宋体" w:hAnsi="宋体"/>
          <w:b/>
          <w:bCs/>
          <w:color w:val="auto"/>
          <w:sz w:val="28"/>
          <w:szCs w:val="28"/>
        </w:rPr>
      </w:pPr>
      <w:bookmarkStart w:id="92" w:name="_Toc217446068"/>
      <w:r>
        <w:rPr>
          <w:rFonts w:hint="eastAsia" w:ascii="宋体" w:hAnsi="宋体"/>
          <w:b/>
          <w:bCs/>
          <w:color w:val="auto"/>
          <w:sz w:val="28"/>
          <w:szCs w:val="28"/>
        </w:rPr>
        <w:t>履约保证金</w:t>
      </w:r>
    </w:p>
    <w:p>
      <w:pPr>
        <w:pStyle w:val="2"/>
        <w:rPr>
          <w:color w:val="auto"/>
        </w:rPr>
      </w:pPr>
      <w:r>
        <w:rPr>
          <w:rFonts w:hint="eastAsia" w:ascii="宋体" w:hAnsi="宋体"/>
          <w:b w:val="0"/>
          <w:bCs w:val="0"/>
          <w:color w:val="auto"/>
          <w:sz w:val="28"/>
          <w:szCs w:val="28"/>
          <w:lang w:eastAsia="zh-CN"/>
        </w:rPr>
        <w:t>本项目不收取履约保证金。</w:t>
      </w:r>
    </w:p>
    <w:bookmarkEnd w:id="92"/>
    <w:p>
      <w:pPr>
        <w:keepNext/>
        <w:keepLines/>
        <w:numPr>
          <w:ilvl w:val="2"/>
          <w:numId w:val="5"/>
        </w:numPr>
        <w:spacing w:line="360" w:lineRule="auto"/>
        <w:ind w:left="0" w:firstLine="0"/>
        <w:outlineLvl w:val="2"/>
        <w:rPr>
          <w:rFonts w:ascii="宋体" w:hAnsi="宋体"/>
          <w:b/>
          <w:bCs/>
          <w:color w:val="auto"/>
          <w:sz w:val="28"/>
          <w:szCs w:val="28"/>
        </w:rPr>
      </w:pPr>
      <w:bookmarkStart w:id="93" w:name="_Toc217446069"/>
      <w:r>
        <w:rPr>
          <w:rFonts w:hint="eastAsia" w:ascii="宋体" w:hAnsi="宋体"/>
          <w:b/>
          <w:bCs/>
          <w:color w:val="auto"/>
          <w:sz w:val="28"/>
          <w:szCs w:val="28"/>
        </w:rPr>
        <w:t>合同公告</w:t>
      </w:r>
    </w:p>
    <w:p>
      <w:pPr>
        <w:spacing w:after="180" w:line="360" w:lineRule="auto"/>
        <w:ind w:firstLine="560" w:firstLineChars="200"/>
        <w:rPr>
          <w:rFonts w:ascii="宋体" w:hAnsi="宋体"/>
          <w:color w:val="auto"/>
          <w:sz w:val="28"/>
          <w:szCs w:val="28"/>
        </w:rPr>
      </w:pPr>
      <w:r>
        <w:rPr>
          <w:rFonts w:hint="eastAsia" w:ascii="宋体" w:hAnsi="宋体"/>
          <w:color w:val="auto"/>
          <w:sz w:val="28"/>
          <w:szCs w:val="28"/>
        </w:rPr>
        <w:t>采购人应当自政府采购合同签订之日起2个工作日内，在四川政府采购网公告，但政府采购合同中涉及国家秘密、商业秘密的内容除外。</w:t>
      </w:r>
    </w:p>
    <w:p>
      <w:pPr>
        <w:keepNext/>
        <w:keepLines/>
        <w:numPr>
          <w:ilvl w:val="2"/>
          <w:numId w:val="5"/>
        </w:numPr>
        <w:spacing w:line="360" w:lineRule="auto"/>
        <w:ind w:left="0" w:firstLine="0"/>
        <w:outlineLvl w:val="2"/>
        <w:rPr>
          <w:rFonts w:ascii="宋体" w:hAnsi="宋体"/>
          <w:b/>
          <w:bCs/>
          <w:color w:val="auto"/>
          <w:sz w:val="28"/>
          <w:szCs w:val="28"/>
        </w:rPr>
      </w:pPr>
      <w:r>
        <w:rPr>
          <w:rFonts w:hint="eastAsia" w:ascii="宋体" w:hAnsi="宋体"/>
          <w:b/>
          <w:bCs/>
          <w:color w:val="auto"/>
          <w:sz w:val="28"/>
          <w:szCs w:val="28"/>
        </w:rPr>
        <w:t>合同备案</w:t>
      </w:r>
    </w:p>
    <w:p>
      <w:pPr>
        <w:tabs>
          <w:tab w:val="left" w:pos="1134"/>
        </w:tabs>
        <w:spacing w:line="360" w:lineRule="auto"/>
        <w:ind w:firstLine="560" w:firstLineChars="200"/>
        <w:rPr>
          <w:rFonts w:ascii="宋体" w:hAnsi="宋体"/>
          <w:color w:val="auto"/>
          <w:sz w:val="28"/>
          <w:szCs w:val="28"/>
        </w:rPr>
      </w:pPr>
      <w:r>
        <w:rPr>
          <w:rFonts w:hint="eastAsia" w:ascii="宋体" w:hAnsi="宋体"/>
          <w:color w:val="auto"/>
          <w:sz w:val="28"/>
          <w:szCs w:val="28"/>
        </w:rPr>
        <w:t>疫情防控期间，采购人原则上在5个工作日内与供应商签订政府采购合同及按</w:t>
      </w:r>
      <w:r>
        <w:rPr>
          <w:rFonts w:hint="eastAsia" w:ascii="宋体" w:hAnsi="宋体"/>
          <w:color w:val="auto"/>
          <w:sz w:val="28"/>
          <w:szCs w:val="28"/>
          <w:lang w:eastAsia="zh-CN"/>
        </w:rPr>
        <w:t>成都市锦江区财政局</w:t>
      </w:r>
      <w:r>
        <w:rPr>
          <w:rFonts w:hint="eastAsia" w:ascii="宋体" w:hAnsi="宋体"/>
          <w:color w:val="auto"/>
          <w:sz w:val="28"/>
          <w:szCs w:val="28"/>
        </w:rPr>
        <w:t>的要求完成合同备案工作。</w:t>
      </w:r>
    </w:p>
    <w:p>
      <w:pPr>
        <w:keepNext/>
        <w:keepLines/>
        <w:numPr>
          <w:ilvl w:val="2"/>
          <w:numId w:val="5"/>
        </w:numPr>
        <w:spacing w:line="360" w:lineRule="auto"/>
        <w:ind w:left="0" w:firstLine="0"/>
        <w:outlineLvl w:val="2"/>
        <w:rPr>
          <w:rFonts w:ascii="宋体" w:hAnsi="宋体"/>
          <w:b/>
          <w:bCs/>
          <w:color w:val="auto"/>
          <w:sz w:val="28"/>
          <w:szCs w:val="28"/>
        </w:rPr>
      </w:pPr>
      <w:r>
        <w:rPr>
          <w:rFonts w:hint="eastAsia" w:ascii="宋体" w:hAnsi="宋体"/>
          <w:b/>
          <w:bCs/>
          <w:color w:val="auto"/>
          <w:sz w:val="28"/>
          <w:szCs w:val="28"/>
        </w:rPr>
        <w:t>履行合同</w:t>
      </w:r>
      <w:bookmarkEnd w:id="93"/>
    </w:p>
    <w:p>
      <w:pPr>
        <w:tabs>
          <w:tab w:val="left" w:pos="1134"/>
        </w:tabs>
        <w:spacing w:line="360" w:lineRule="auto"/>
        <w:ind w:firstLine="560" w:firstLineChars="200"/>
        <w:rPr>
          <w:rFonts w:ascii="宋体" w:hAnsi="宋体"/>
          <w:color w:val="auto"/>
          <w:sz w:val="28"/>
          <w:szCs w:val="28"/>
        </w:rPr>
      </w:pPr>
      <w:r>
        <w:rPr>
          <w:rFonts w:hint="eastAsia" w:ascii="宋体" w:hAnsi="宋体"/>
          <w:color w:val="auto"/>
          <w:sz w:val="28"/>
          <w:szCs w:val="28"/>
        </w:rPr>
        <w:t>一、合同一经签订，双方应严格履行合同规定的义务。</w:t>
      </w:r>
    </w:p>
    <w:p>
      <w:pPr>
        <w:tabs>
          <w:tab w:val="left" w:pos="1134"/>
        </w:tabs>
        <w:spacing w:line="360" w:lineRule="auto"/>
        <w:ind w:firstLine="560" w:firstLineChars="200"/>
        <w:rPr>
          <w:color w:val="auto"/>
        </w:rPr>
      </w:pPr>
      <w:r>
        <w:rPr>
          <w:rFonts w:hint="eastAsia" w:ascii="宋体" w:hAnsi="宋体"/>
          <w:color w:val="auto"/>
          <w:sz w:val="28"/>
          <w:szCs w:val="28"/>
        </w:rPr>
        <w:t>二、在合同履行过程中，如发生合同纠纷，合同双方应按照《中华人民共和国民法典》及合同条款的有关规定进行处理。</w:t>
      </w:r>
    </w:p>
    <w:p>
      <w:pPr>
        <w:keepNext/>
        <w:keepLines/>
        <w:numPr>
          <w:ilvl w:val="2"/>
          <w:numId w:val="5"/>
        </w:numPr>
        <w:spacing w:line="360" w:lineRule="auto"/>
        <w:ind w:left="0" w:firstLine="0"/>
        <w:outlineLvl w:val="2"/>
        <w:rPr>
          <w:rFonts w:ascii="宋体" w:hAnsi="宋体"/>
          <w:b/>
          <w:bCs/>
          <w:color w:val="auto"/>
          <w:sz w:val="28"/>
          <w:szCs w:val="28"/>
        </w:rPr>
      </w:pPr>
      <w:bookmarkStart w:id="94" w:name="_Toc217446070"/>
      <w:r>
        <w:rPr>
          <w:rFonts w:hint="eastAsia" w:ascii="宋体" w:hAnsi="宋体"/>
          <w:b/>
          <w:bCs/>
          <w:color w:val="auto"/>
          <w:sz w:val="28"/>
          <w:szCs w:val="28"/>
        </w:rPr>
        <w:t>验收</w:t>
      </w:r>
      <w:bookmarkEnd w:id="94"/>
      <w:r>
        <w:rPr>
          <w:rFonts w:hint="eastAsia" w:ascii="宋体" w:hAnsi="宋体"/>
          <w:b/>
          <w:bCs/>
          <w:color w:val="auto"/>
          <w:sz w:val="28"/>
          <w:szCs w:val="28"/>
        </w:rPr>
        <w:t>或考核</w:t>
      </w:r>
    </w:p>
    <w:bookmarkEnd w:id="85"/>
    <w:bookmarkEnd w:id="86"/>
    <w:p>
      <w:pPr>
        <w:spacing w:line="360" w:lineRule="auto"/>
        <w:ind w:firstLine="560" w:firstLineChars="200"/>
        <w:rPr>
          <w:rFonts w:ascii="宋体" w:hAnsi="宋体"/>
          <w:color w:val="auto"/>
          <w:sz w:val="28"/>
          <w:szCs w:val="28"/>
        </w:rPr>
      </w:pPr>
      <w:bookmarkStart w:id="95" w:name="_Toc217446074"/>
      <w:bookmarkStart w:id="96" w:name="_Toc183682380"/>
      <w:bookmarkStart w:id="97" w:name="_Toc183582243"/>
      <w:r>
        <w:rPr>
          <w:rFonts w:hint="eastAsia" w:ascii="宋体" w:hAnsi="宋体"/>
          <w:color w:val="auto"/>
          <w:sz w:val="28"/>
          <w:szCs w:val="28"/>
        </w:rPr>
        <w:t>采购人严格按照国家相关法律法规的要求组织验收或考核。</w:t>
      </w:r>
    </w:p>
    <w:p>
      <w:pPr>
        <w:keepNext/>
        <w:keepLines/>
        <w:numPr>
          <w:ilvl w:val="2"/>
          <w:numId w:val="5"/>
        </w:numPr>
        <w:spacing w:line="360" w:lineRule="auto"/>
        <w:ind w:left="0" w:firstLine="0"/>
        <w:outlineLvl w:val="2"/>
        <w:rPr>
          <w:rFonts w:ascii="宋体" w:hAnsi="宋体"/>
          <w:b/>
          <w:bCs/>
          <w:color w:val="auto"/>
          <w:sz w:val="28"/>
          <w:szCs w:val="28"/>
        </w:rPr>
      </w:pPr>
      <w:r>
        <w:rPr>
          <w:rFonts w:hint="eastAsia" w:ascii="宋体" w:hAnsi="宋体"/>
          <w:b/>
          <w:bCs/>
          <w:color w:val="auto"/>
          <w:sz w:val="28"/>
          <w:szCs w:val="28"/>
        </w:rPr>
        <w:t>资金支付</w:t>
      </w:r>
    </w:p>
    <w:p>
      <w:pPr>
        <w:spacing w:after="180" w:line="360" w:lineRule="auto"/>
        <w:ind w:firstLine="560" w:firstLineChars="200"/>
        <w:rPr>
          <w:rFonts w:hint="eastAsia" w:ascii="宋体" w:hAnsi="宋体"/>
          <w:color w:val="auto"/>
          <w:sz w:val="28"/>
          <w:szCs w:val="28"/>
          <w:lang w:eastAsia="zh-CN"/>
        </w:rPr>
      </w:pPr>
      <w:r>
        <w:rPr>
          <w:rFonts w:hint="eastAsia" w:ascii="宋体" w:hAnsi="宋体"/>
          <w:color w:val="auto"/>
          <w:sz w:val="28"/>
          <w:szCs w:val="28"/>
          <w:lang w:eastAsia="zh-CN"/>
        </w:rPr>
        <w:t>1、政府采购合同签订生效后支付合同总金额的30%，供应商完成电梯安装调试并达到使用条件后支付合同总金额的40%，供应商取得电梯相关行业主管部门所有手续并移交采购人且通过采购人验收后支付合同总金额的20%。剩余合同总金额的10%在采购人验收合格后一年产品无任何质量问题且中标方按合同约定全面履行了售后服务义务后支付。</w:t>
      </w:r>
    </w:p>
    <w:p>
      <w:pPr>
        <w:spacing w:after="180" w:line="360" w:lineRule="auto"/>
        <w:ind w:firstLine="560" w:firstLineChars="200"/>
        <w:rPr>
          <w:color w:val="auto"/>
        </w:rPr>
      </w:pPr>
      <w:r>
        <w:rPr>
          <w:rFonts w:hint="eastAsia" w:ascii="宋体" w:hAnsi="宋体"/>
          <w:color w:val="auto"/>
          <w:sz w:val="28"/>
          <w:szCs w:val="28"/>
          <w:lang w:eastAsia="zh-CN"/>
        </w:rPr>
        <w:t>2、投标人须向采购人出具合法有效完整的完税发票及凭证资料进行支付结算。</w:t>
      </w:r>
    </w:p>
    <w:p>
      <w:pPr>
        <w:spacing w:after="180" w:line="360" w:lineRule="auto"/>
        <w:ind w:firstLine="560" w:firstLineChars="200"/>
        <w:rPr>
          <w:rFonts w:hint="eastAsia" w:ascii="宋体" w:hAnsi="宋体"/>
          <w:color w:val="auto"/>
          <w:sz w:val="28"/>
          <w:szCs w:val="28"/>
          <w:lang w:eastAsia="zh-CN"/>
        </w:rPr>
      </w:pPr>
      <w:r>
        <w:rPr>
          <w:rFonts w:hint="eastAsia" w:ascii="宋体" w:hAnsi="宋体"/>
          <w:color w:val="auto"/>
          <w:sz w:val="28"/>
          <w:szCs w:val="28"/>
          <w:lang w:eastAsia="zh-CN"/>
        </w:rPr>
        <w:t>采购人按财政部门的相关规定及采购合同的约定进行支付。</w:t>
      </w:r>
    </w:p>
    <w:p>
      <w:pPr>
        <w:keepNext/>
        <w:keepLines/>
        <w:numPr>
          <w:ilvl w:val="1"/>
          <w:numId w:val="5"/>
        </w:numPr>
        <w:spacing w:line="360" w:lineRule="auto"/>
        <w:jc w:val="left"/>
        <w:outlineLvl w:val="1"/>
        <w:rPr>
          <w:rFonts w:ascii="宋体" w:hAnsi="宋体"/>
          <w:b/>
          <w:bCs/>
          <w:color w:val="auto"/>
          <w:sz w:val="28"/>
          <w:szCs w:val="28"/>
        </w:rPr>
      </w:pPr>
      <w:bookmarkStart w:id="98" w:name="_Toc15696"/>
      <w:r>
        <w:rPr>
          <w:rFonts w:hint="eastAsia" w:ascii="宋体" w:hAnsi="宋体"/>
          <w:b/>
          <w:bCs/>
          <w:color w:val="auto"/>
          <w:sz w:val="28"/>
          <w:szCs w:val="28"/>
        </w:rPr>
        <w:t>投标纪律要求</w:t>
      </w:r>
      <w:bookmarkEnd w:id="95"/>
      <w:bookmarkEnd w:id="98"/>
    </w:p>
    <w:p>
      <w:pPr>
        <w:keepNext/>
        <w:keepLines/>
        <w:numPr>
          <w:ilvl w:val="2"/>
          <w:numId w:val="5"/>
        </w:numPr>
        <w:spacing w:line="360" w:lineRule="auto"/>
        <w:ind w:left="0" w:firstLine="0"/>
        <w:outlineLvl w:val="2"/>
        <w:rPr>
          <w:rFonts w:ascii="宋体" w:hAnsi="宋体"/>
          <w:b/>
          <w:bCs/>
          <w:color w:val="auto"/>
          <w:sz w:val="28"/>
          <w:szCs w:val="28"/>
        </w:rPr>
      </w:pPr>
      <w:bookmarkStart w:id="99" w:name="_Toc217446075"/>
      <w:r>
        <w:rPr>
          <w:rFonts w:hint="eastAsia" w:ascii="宋体" w:hAnsi="宋体"/>
          <w:b/>
          <w:bCs/>
          <w:color w:val="auto"/>
          <w:sz w:val="28"/>
          <w:szCs w:val="28"/>
        </w:rPr>
        <w:t>投标人不得具有的情形</w:t>
      </w:r>
      <w:bookmarkEnd w:id="99"/>
    </w:p>
    <w:p>
      <w:pPr>
        <w:spacing w:after="180" w:line="360" w:lineRule="auto"/>
        <w:ind w:firstLine="567"/>
        <w:rPr>
          <w:rFonts w:ascii="宋体" w:hAnsi="宋体"/>
          <w:color w:val="auto"/>
          <w:sz w:val="28"/>
          <w:szCs w:val="28"/>
        </w:rPr>
      </w:pPr>
      <w:r>
        <w:rPr>
          <w:rFonts w:hint="eastAsia" w:ascii="宋体" w:hAnsi="宋体"/>
          <w:color w:val="auto"/>
          <w:sz w:val="28"/>
          <w:szCs w:val="28"/>
        </w:rPr>
        <w:t>投标人参加投标不得有下列情形：</w:t>
      </w:r>
    </w:p>
    <w:p>
      <w:pPr>
        <w:numPr>
          <w:ilvl w:val="1"/>
          <w:numId w:val="29"/>
        </w:numPr>
        <w:tabs>
          <w:tab w:val="left" w:pos="1134"/>
        </w:tabs>
        <w:spacing w:line="360" w:lineRule="auto"/>
        <w:ind w:left="420" w:firstLine="147"/>
        <w:rPr>
          <w:rFonts w:ascii="宋体" w:hAnsi="宋体"/>
          <w:color w:val="auto"/>
          <w:sz w:val="28"/>
          <w:szCs w:val="28"/>
        </w:rPr>
      </w:pPr>
      <w:r>
        <w:rPr>
          <w:rFonts w:hint="eastAsia" w:ascii="宋体" w:hAnsi="宋体"/>
          <w:color w:val="auto"/>
          <w:sz w:val="28"/>
          <w:szCs w:val="28"/>
        </w:rPr>
        <w:t>有下列情形之一的，视为投标人串通投标：</w:t>
      </w:r>
    </w:p>
    <w:p>
      <w:pPr>
        <w:tabs>
          <w:tab w:val="left" w:pos="1134"/>
        </w:tabs>
        <w:spacing w:line="360" w:lineRule="auto"/>
        <w:ind w:left="420"/>
        <w:rPr>
          <w:rFonts w:ascii="宋体" w:hAnsi="宋体"/>
          <w:color w:val="auto"/>
          <w:sz w:val="28"/>
          <w:szCs w:val="28"/>
        </w:rPr>
      </w:pPr>
      <w:r>
        <w:rPr>
          <w:rFonts w:hint="eastAsia" w:ascii="宋体" w:hAnsi="宋体"/>
          <w:color w:val="auto"/>
          <w:sz w:val="28"/>
          <w:szCs w:val="28"/>
        </w:rPr>
        <w:t>（一）不同投标人的投标文件由同一单位或者个人编制；</w:t>
      </w:r>
    </w:p>
    <w:p>
      <w:pPr>
        <w:tabs>
          <w:tab w:val="left" w:pos="1134"/>
        </w:tabs>
        <w:spacing w:line="360" w:lineRule="auto"/>
        <w:ind w:left="420"/>
        <w:rPr>
          <w:rFonts w:ascii="宋体" w:hAnsi="宋体"/>
          <w:color w:val="auto"/>
          <w:sz w:val="28"/>
          <w:szCs w:val="28"/>
        </w:rPr>
      </w:pPr>
      <w:r>
        <w:rPr>
          <w:rFonts w:hint="eastAsia" w:ascii="宋体" w:hAnsi="宋体"/>
          <w:color w:val="auto"/>
          <w:sz w:val="28"/>
          <w:szCs w:val="28"/>
        </w:rPr>
        <w:t>（二）不同投标人委托同一单位或者个人办理投标事宜；</w:t>
      </w:r>
    </w:p>
    <w:p>
      <w:pPr>
        <w:tabs>
          <w:tab w:val="left" w:pos="1134"/>
        </w:tabs>
        <w:spacing w:line="360" w:lineRule="auto"/>
        <w:ind w:left="420"/>
        <w:rPr>
          <w:rFonts w:ascii="宋体" w:hAnsi="宋体"/>
          <w:color w:val="auto"/>
          <w:sz w:val="28"/>
          <w:szCs w:val="28"/>
        </w:rPr>
      </w:pPr>
      <w:r>
        <w:rPr>
          <w:rFonts w:hint="eastAsia" w:ascii="宋体" w:hAnsi="宋体"/>
          <w:color w:val="auto"/>
          <w:sz w:val="28"/>
          <w:szCs w:val="28"/>
        </w:rPr>
        <w:t>（三）不同投标人的投标文件载明的项目管理成员或者联系人员为同一人；</w:t>
      </w:r>
    </w:p>
    <w:p>
      <w:pPr>
        <w:tabs>
          <w:tab w:val="left" w:pos="1134"/>
        </w:tabs>
        <w:spacing w:line="360" w:lineRule="auto"/>
        <w:ind w:firstLine="420" w:firstLineChars="150"/>
        <w:rPr>
          <w:rFonts w:ascii="宋体" w:hAnsi="宋体"/>
          <w:color w:val="auto"/>
          <w:sz w:val="28"/>
          <w:szCs w:val="28"/>
        </w:rPr>
      </w:pPr>
      <w:r>
        <w:rPr>
          <w:rFonts w:hint="eastAsia" w:ascii="宋体" w:hAnsi="宋体"/>
          <w:color w:val="auto"/>
          <w:sz w:val="28"/>
          <w:szCs w:val="28"/>
        </w:rPr>
        <w:t>（四）不同投标人的投标文件异常一致或者投标报价呈规律性差异；</w:t>
      </w:r>
    </w:p>
    <w:p>
      <w:pPr>
        <w:tabs>
          <w:tab w:val="left" w:pos="1134"/>
        </w:tabs>
        <w:spacing w:line="360" w:lineRule="auto"/>
        <w:ind w:firstLine="420" w:firstLineChars="150"/>
        <w:rPr>
          <w:rFonts w:ascii="宋体" w:hAnsi="宋体"/>
          <w:color w:val="auto"/>
          <w:sz w:val="28"/>
          <w:szCs w:val="28"/>
        </w:rPr>
      </w:pPr>
      <w:r>
        <w:rPr>
          <w:rFonts w:hint="eastAsia" w:ascii="宋体" w:hAnsi="宋体"/>
          <w:color w:val="auto"/>
          <w:sz w:val="28"/>
          <w:szCs w:val="28"/>
        </w:rPr>
        <w:t>（五）不同投标人的投标文件相互混装；</w:t>
      </w:r>
    </w:p>
    <w:p>
      <w:pPr>
        <w:tabs>
          <w:tab w:val="left" w:pos="1134"/>
        </w:tabs>
        <w:spacing w:line="360" w:lineRule="auto"/>
        <w:ind w:left="420"/>
        <w:rPr>
          <w:rFonts w:ascii="宋体" w:hAnsi="宋体"/>
          <w:color w:val="auto"/>
          <w:sz w:val="28"/>
          <w:szCs w:val="28"/>
        </w:rPr>
      </w:pPr>
      <w:r>
        <w:rPr>
          <w:rFonts w:hint="eastAsia" w:ascii="宋体" w:hAnsi="宋体"/>
          <w:color w:val="auto"/>
          <w:sz w:val="28"/>
          <w:szCs w:val="28"/>
        </w:rPr>
        <w:t>（六）不同投标人的投标保证金从同一单位或者个人的账户转出；</w:t>
      </w:r>
    </w:p>
    <w:p>
      <w:pPr>
        <w:numPr>
          <w:ilvl w:val="1"/>
          <w:numId w:val="29"/>
        </w:numPr>
        <w:tabs>
          <w:tab w:val="left" w:pos="1134"/>
        </w:tabs>
        <w:spacing w:line="360" w:lineRule="auto"/>
        <w:ind w:left="420" w:firstLine="147"/>
        <w:rPr>
          <w:rFonts w:ascii="宋体" w:hAnsi="宋体"/>
          <w:color w:val="auto"/>
          <w:sz w:val="28"/>
          <w:szCs w:val="28"/>
        </w:rPr>
      </w:pPr>
      <w:r>
        <w:rPr>
          <w:rFonts w:hint="eastAsia" w:ascii="宋体" w:hAnsi="宋体"/>
          <w:color w:val="auto"/>
          <w:sz w:val="28"/>
          <w:szCs w:val="28"/>
        </w:rPr>
        <w:t>提供虚假材料谋取中标；</w:t>
      </w:r>
    </w:p>
    <w:p>
      <w:pPr>
        <w:numPr>
          <w:ilvl w:val="1"/>
          <w:numId w:val="29"/>
        </w:numPr>
        <w:tabs>
          <w:tab w:val="left" w:pos="1134"/>
        </w:tabs>
        <w:spacing w:line="360" w:lineRule="auto"/>
        <w:ind w:left="420" w:firstLine="147"/>
        <w:rPr>
          <w:rFonts w:ascii="宋体" w:hAnsi="宋体"/>
          <w:color w:val="auto"/>
          <w:sz w:val="28"/>
          <w:szCs w:val="28"/>
        </w:rPr>
      </w:pPr>
      <w:r>
        <w:rPr>
          <w:rFonts w:hint="eastAsia" w:ascii="宋体" w:hAnsi="宋体"/>
          <w:color w:val="auto"/>
          <w:sz w:val="28"/>
          <w:szCs w:val="28"/>
        </w:rPr>
        <w:t>采取不正当手段诋毁、排挤其他投标人；</w:t>
      </w:r>
    </w:p>
    <w:p>
      <w:pPr>
        <w:numPr>
          <w:ilvl w:val="1"/>
          <w:numId w:val="29"/>
        </w:numPr>
        <w:tabs>
          <w:tab w:val="left" w:pos="1134"/>
        </w:tabs>
        <w:spacing w:line="360" w:lineRule="auto"/>
        <w:ind w:left="420" w:firstLine="147"/>
        <w:rPr>
          <w:rFonts w:ascii="宋体" w:hAnsi="宋体"/>
          <w:color w:val="auto"/>
          <w:sz w:val="28"/>
          <w:szCs w:val="28"/>
        </w:rPr>
      </w:pPr>
      <w:r>
        <w:rPr>
          <w:rFonts w:hint="eastAsia" w:ascii="宋体" w:hAnsi="宋体"/>
          <w:color w:val="auto"/>
          <w:sz w:val="28"/>
          <w:szCs w:val="28"/>
        </w:rPr>
        <w:t>与采购人或</w:t>
      </w:r>
      <w:r>
        <w:rPr>
          <w:rFonts w:hint="eastAsia" w:cs="Arial"/>
          <w:color w:val="auto"/>
          <w:sz w:val="28"/>
          <w:szCs w:val="28"/>
          <w:lang w:eastAsia="zh-CN"/>
        </w:rPr>
        <w:t>区采购中心</w:t>
      </w:r>
      <w:r>
        <w:rPr>
          <w:rFonts w:hint="eastAsia" w:ascii="宋体" w:hAnsi="宋体"/>
          <w:color w:val="auto"/>
          <w:sz w:val="28"/>
          <w:szCs w:val="28"/>
        </w:rPr>
        <w:t>、其他投标人恶意串通；</w:t>
      </w:r>
    </w:p>
    <w:p>
      <w:pPr>
        <w:numPr>
          <w:ilvl w:val="1"/>
          <w:numId w:val="29"/>
        </w:numPr>
        <w:tabs>
          <w:tab w:val="left" w:pos="1134"/>
        </w:tabs>
        <w:spacing w:line="360" w:lineRule="auto"/>
        <w:ind w:left="0" w:firstLine="567"/>
        <w:rPr>
          <w:rFonts w:ascii="宋体" w:hAnsi="宋体"/>
          <w:color w:val="auto"/>
          <w:sz w:val="28"/>
          <w:szCs w:val="28"/>
        </w:rPr>
      </w:pPr>
      <w:r>
        <w:rPr>
          <w:rFonts w:hint="eastAsia" w:ascii="宋体" w:hAnsi="宋体"/>
          <w:color w:val="auto"/>
          <w:sz w:val="28"/>
          <w:szCs w:val="28"/>
        </w:rPr>
        <w:t>向采购人或</w:t>
      </w:r>
      <w:r>
        <w:rPr>
          <w:rFonts w:hint="eastAsia" w:cs="Arial"/>
          <w:color w:val="auto"/>
          <w:sz w:val="28"/>
          <w:szCs w:val="28"/>
          <w:lang w:eastAsia="zh-CN"/>
        </w:rPr>
        <w:t>区采购中心</w:t>
      </w:r>
      <w:r>
        <w:rPr>
          <w:rFonts w:hint="eastAsia" w:ascii="宋体" w:hAnsi="宋体"/>
          <w:color w:val="auto"/>
          <w:sz w:val="28"/>
          <w:szCs w:val="28"/>
        </w:rPr>
        <w:t>、评标委员会成员行贿或者提供其他不正当利益；</w:t>
      </w:r>
    </w:p>
    <w:p>
      <w:pPr>
        <w:numPr>
          <w:ilvl w:val="1"/>
          <w:numId w:val="29"/>
        </w:numPr>
        <w:tabs>
          <w:tab w:val="left" w:pos="1134"/>
        </w:tabs>
        <w:spacing w:line="360" w:lineRule="auto"/>
        <w:ind w:left="420" w:firstLine="147"/>
        <w:rPr>
          <w:rFonts w:ascii="宋体" w:hAnsi="宋体"/>
          <w:color w:val="auto"/>
          <w:sz w:val="28"/>
          <w:szCs w:val="28"/>
        </w:rPr>
      </w:pPr>
      <w:r>
        <w:rPr>
          <w:rFonts w:hint="eastAsia" w:ascii="宋体" w:hAnsi="宋体"/>
          <w:color w:val="auto"/>
          <w:sz w:val="28"/>
          <w:szCs w:val="28"/>
        </w:rPr>
        <w:t>在招标过程中与采购人或</w:t>
      </w:r>
      <w:r>
        <w:rPr>
          <w:rFonts w:hint="eastAsia" w:cs="Arial"/>
          <w:color w:val="auto"/>
          <w:sz w:val="28"/>
          <w:szCs w:val="28"/>
          <w:lang w:eastAsia="zh-CN"/>
        </w:rPr>
        <w:t>区采购中心</w:t>
      </w:r>
      <w:r>
        <w:rPr>
          <w:rFonts w:hint="eastAsia" w:ascii="宋体" w:hAnsi="宋体"/>
          <w:color w:val="auto"/>
          <w:sz w:val="28"/>
          <w:szCs w:val="28"/>
        </w:rPr>
        <w:t>进行协商谈判；</w:t>
      </w:r>
    </w:p>
    <w:p>
      <w:pPr>
        <w:numPr>
          <w:ilvl w:val="1"/>
          <w:numId w:val="29"/>
        </w:numPr>
        <w:tabs>
          <w:tab w:val="left" w:pos="1134"/>
        </w:tabs>
        <w:spacing w:line="360" w:lineRule="auto"/>
        <w:ind w:left="420" w:firstLine="147"/>
        <w:rPr>
          <w:rFonts w:ascii="宋体" w:hAnsi="宋体"/>
          <w:color w:val="auto"/>
          <w:sz w:val="28"/>
          <w:szCs w:val="28"/>
        </w:rPr>
      </w:pPr>
      <w:r>
        <w:rPr>
          <w:rFonts w:hint="eastAsia" w:ascii="宋体" w:hAnsi="宋体"/>
          <w:color w:val="auto"/>
          <w:sz w:val="28"/>
          <w:szCs w:val="28"/>
        </w:rPr>
        <w:t>中标后无正当理由拒不与采购人签订政府采购合同；</w:t>
      </w:r>
    </w:p>
    <w:p>
      <w:pPr>
        <w:numPr>
          <w:ilvl w:val="1"/>
          <w:numId w:val="29"/>
        </w:numPr>
        <w:tabs>
          <w:tab w:val="left" w:pos="1134"/>
        </w:tabs>
        <w:spacing w:line="360" w:lineRule="auto"/>
        <w:ind w:left="420" w:firstLine="147"/>
        <w:rPr>
          <w:rFonts w:ascii="宋体" w:hAnsi="宋体"/>
          <w:color w:val="auto"/>
          <w:sz w:val="28"/>
          <w:szCs w:val="28"/>
        </w:rPr>
      </w:pPr>
      <w:r>
        <w:rPr>
          <w:rFonts w:hint="eastAsia" w:ascii="宋体" w:hAnsi="宋体"/>
          <w:color w:val="auto"/>
          <w:sz w:val="28"/>
          <w:szCs w:val="28"/>
        </w:rPr>
        <w:t>未按照采购文件确定的事项签订政府采购合同；</w:t>
      </w:r>
    </w:p>
    <w:p>
      <w:pPr>
        <w:numPr>
          <w:ilvl w:val="1"/>
          <w:numId w:val="29"/>
        </w:numPr>
        <w:tabs>
          <w:tab w:val="left" w:pos="1134"/>
        </w:tabs>
        <w:spacing w:line="360" w:lineRule="auto"/>
        <w:ind w:left="420" w:firstLine="147"/>
        <w:rPr>
          <w:rFonts w:ascii="宋体" w:hAnsi="宋体"/>
          <w:color w:val="auto"/>
          <w:sz w:val="28"/>
          <w:szCs w:val="28"/>
        </w:rPr>
      </w:pPr>
      <w:r>
        <w:rPr>
          <w:rFonts w:hint="eastAsia" w:ascii="宋体" w:hAnsi="宋体"/>
          <w:color w:val="auto"/>
          <w:sz w:val="28"/>
          <w:szCs w:val="28"/>
        </w:rPr>
        <w:t>将政府采购合同转包或者违规分包；</w:t>
      </w:r>
    </w:p>
    <w:p>
      <w:pPr>
        <w:numPr>
          <w:ilvl w:val="1"/>
          <w:numId w:val="29"/>
        </w:numPr>
        <w:tabs>
          <w:tab w:val="left" w:pos="1134"/>
        </w:tabs>
        <w:spacing w:line="360" w:lineRule="auto"/>
        <w:ind w:left="420" w:firstLine="147"/>
        <w:rPr>
          <w:rFonts w:ascii="宋体" w:hAnsi="宋体"/>
          <w:color w:val="auto"/>
          <w:sz w:val="28"/>
          <w:szCs w:val="28"/>
        </w:rPr>
      </w:pPr>
      <w:r>
        <w:rPr>
          <w:rFonts w:hint="eastAsia" w:ascii="宋体" w:hAnsi="宋体"/>
          <w:color w:val="auto"/>
          <w:sz w:val="28"/>
          <w:szCs w:val="28"/>
        </w:rPr>
        <w:t>提供假冒伪劣产品；</w:t>
      </w:r>
    </w:p>
    <w:p>
      <w:pPr>
        <w:numPr>
          <w:ilvl w:val="1"/>
          <w:numId w:val="29"/>
        </w:numPr>
        <w:tabs>
          <w:tab w:val="left" w:pos="1134"/>
          <w:tab w:val="left" w:pos="1418"/>
        </w:tabs>
        <w:spacing w:line="360" w:lineRule="auto"/>
        <w:ind w:left="420" w:firstLine="147"/>
        <w:rPr>
          <w:rFonts w:ascii="宋体" w:hAnsi="宋体"/>
          <w:color w:val="auto"/>
          <w:sz w:val="28"/>
          <w:szCs w:val="28"/>
        </w:rPr>
      </w:pPr>
      <w:r>
        <w:rPr>
          <w:rFonts w:hint="eastAsia" w:ascii="宋体" w:hAnsi="宋体"/>
          <w:color w:val="auto"/>
          <w:sz w:val="28"/>
          <w:szCs w:val="28"/>
        </w:rPr>
        <w:t>擅自变更、中止或者终止政府采购合同；</w:t>
      </w:r>
    </w:p>
    <w:p>
      <w:pPr>
        <w:tabs>
          <w:tab w:val="left" w:pos="1134"/>
        </w:tabs>
        <w:spacing w:line="360" w:lineRule="auto"/>
        <w:ind w:firstLine="560" w:firstLineChars="200"/>
        <w:rPr>
          <w:rFonts w:ascii="宋体" w:hAnsi="宋体"/>
          <w:color w:val="auto"/>
          <w:sz w:val="28"/>
          <w:szCs w:val="28"/>
        </w:rPr>
      </w:pPr>
      <w:r>
        <w:rPr>
          <w:rFonts w:hint="eastAsia" w:ascii="宋体" w:hAnsi="宋体"/>
          <w:color w:val="auto"/>
          <w:sz w:val="28"/>
          <w:szCs w:val="28"/>
        </w:rPr>
        <w:t>十二、被列入失信被执行人、重大税收违法案件当事人名单、政府采购严重违法失信行为记录名单。参加政府采购活动前三年内，在经营活动中有重大违法记录；</w:t>
      </w:r>
    </w:p>
    <w:p>
      <w:pPr>
        <w:tabs>
          <w:tab w:val="left" w:pos="1134"/>
        </w:tabs>
        <w:spacing w:line="360" w:lineRule="auto"/>
        <w:ind w:firstLine="560" w:firstLineChars="200"/>
        <w:rPr>
          <w:rFonts w:ascii="宋体" w:hAnsi="宋体"/>
          <w:color w:val="auto"/>
          <w:sz w:val="28"/>
          <w:szCs w:val="28"/>
        </w:rPr>
      </w:pPr>
      <w:r>
        <w:rPr>
          <w:rFonts w:hint="eastAsia" w:ascii="宋体" w:hAnsi="宋体"/>
          <w:color w:val="auto"/>
          <w:sz w:val="28"/>
          <w:szCs w:val="28"/>
        </w:rPr>
        <w:t>十三、在行贿犯罪信息查询期限内，根据中国裁判文书网（https://wenshu.court.gov.cn）查询结果供应商及其现任法定代表人、主要负责人有行贿犯罪记录；</w:t>
      </w:r>
    </w:p>
    <w:p>
      <w:pPr>
        <w:tabs>
          <w:tab w:val="left" w:pos="1134"/>
        </w:tabs>
        <w:spacing w:line="360" w:lineRule="auto"/>
        <w:ind w:firstLine="560" w:firstLineChars="200"/>
        <w:rPr>
          <w:rFonts w:ascii="宋体" w:hAnsi="宋体"/>
          <w:color w:val="auto"/>
          <w:sz w:val="28"/>
          <w:szCs w:val="28"/>
        </w:rPr>
      </w:pPr>
      <w:r>
        <w:rPr>
          <w:rFonts w:hint="eastAsia" w:ascii="宋体" w:hAnsi="宋体"/>
          <w:color w:val="auto"/>
          <w:sz w:val="28"/>
          <w:szCs w:val="28"/>
        </w:rPr>
        <w:t>十四、处于被行政部门禁止参与政府采购活动的期限内；</w:t>
      </w:r>
    </w:p>
    <w:p>
      <w:pPr>
        <w:tabs>
          <w:tab w:val="left" w:pos="1134"/>
        </w:tabs>
        <w:spacing w:line="360" w:lineRule="auto"/>
        <w:ind w:left="567"/>
        <w:rPr>
          <w:rFonts w:ascii="宋体" w:hAnsi="宋体"/>
          <w:color w:val="auto"/>
          <w:sz w:val="28"/>
          <w:szCs w:val="28"/>
        </w:rPr>
      </w:pPr>
      <w:r>
        <w:rPr>
          <w:rFonts w:hint="eastAsia" w:ascii="宋体" w:hAnsi="宋体"/>
          <w:color w:val="auto"/>
          <w:sz w:val="28"/>
          <w:szCs w:val="28"/>
        </w:rPr>
        <w:t>十五、拒绝有关部门的监督检查或者向监督检查部门提供虚假情况；</w:t>
      </w:r>
    </w:p>
    <w:p>
      <w:pPr>
        <w:spacing w:after="180" w:line="360" w:lineRule="auto"/>
        <w:ind w:firstLine="566" w:firstLineChars="202"/>
        <w:rPr>
          <w:rFonts w:ascii="宋体" w:hAnsi="宋体"/>
          <w:color w:val="auto"/>
          <w:sz w:val="28"/>
          <w:szCs w:val="28"/>
        </w:rPr>
      </w:pPr>
      <w:r>
        <w:rPr>
          <w:rFonts w:hint="eastAsia" w:ascii="宋体" w:hAnsi="宋体"/>
          <w:color w:val="auto"/>
          <w:sz w:val="28"/>
          <w:szCs w:val="28"/>
        </w:rPr>
        <w:t>十六、法律法规规定的其他情形。</w:t>
      </w:r>
    </w:p>
    <w:p>
      <w:pPr>
        <w:spacing w:after="180" w:line="360" w:lineRule="auto"/>
        <w:ind w:firstLine="568" w:firstLineChars="202"/>
        <w:rPr>
          <w:rFonts w:ascii="宋体" w:hAnsi="宋体"/>
          <w:b/>
          <w:color w:val="auto"/>
          <w:sz w:val="28"/>
          <w:szCs w:val="28"/>
        </w:rPr>
      </w:pPr>
      <w:r>
        <w:rPr>
          <w:rFonts w:hint="eastAsia" w:ascii="宋体" w:hAnsi="宋体"/>
          <w:b/>
          <w:color w:val="auto"/>
          <w:sz w:val="28"/>
          <w:szCs w:val="28"/>
        </w:rPr>
        <w:t>投标人有上述情形的，按照规定追究法律责任，具备一至十四条情形之一的，同时将认定投标人投标无效或不确定其为中标人，或者取消中标资格或认定中标无效。</w:t>
      </w:r>
    </w:p>
    <w:p>
      <w:pPr>
        <w:keepNext/>
        <w:keepLines/>
        <w:numPr>
          <w:ilvl w:val="2"/>
          <w:numId w:val="5"/>
        </w:numPr>
        <w:spacing w:line="360" w:lineRule="auto"/>
        <w:ind w:left="0" w:firstLine="0"/>
        <w:outlineLvl w:val="2"/>
        <w:rPr>
          <w:rFonts w:ascii="宋体" w:hAnsi="宋体"/>
          <w:b/>
          <w:bCs/>
          <w:color w:val="auto"/>
          <w:sz w:val="28"/>
          <w:szCs w:val="28"/>
        </w:rPr>
      </w:pPr>
      <w:bookmarkStart w:id="100" w:name="_Toc314574786"/>
      <w:r>
        <w:rPr>
          <w:rFonts w:hint="eastAsia" w:ascii="宋体" w:hAnsi="宋体"/>
          <w:b/>
          <w:bCs/>
          <w:color w:val="auto"/>
          <w:sz w:val="28"/>
          <w:szCs w:val="28"/>
        </w:rPr>
        <w:t>保密</w:t>
      </w:r>
      <w:bookmarkEnd w:id="100"/>
    </w:p>
    <w:p>
      <w:pPr>
        <w:numPr>
          <w:ilvl w:val="0"/>
          <w:numId w:val="30"/>
        </w:numPr>
        <w:tabs>
          <w:tab w:val="left" w:pos="0"/>
          <w:tab w:val="left" w:pos="1134"/>
        </w:tabs>
        <w:spacing w:line="360" w:lineRule="auto"/>
        <w:ind w:left="0" w:firstLine="567"/>
        <w:rPr>
          <w:rFonts w:ascii="宋体" w:hAnsi="宋体"/>
          <w:color w:val="auto"/>
          <w:sz w:val="28"/>
          <w:szCs w:val="28"/>
        </w:rPr>
      </w:pPr>
      <w:r>
        <w:rPr>
          <w:rFonts w:hint="eastAsia" w:ascii="宋体" w:hAnsi="宋体"/>
          <w:color w:val="auto"/>
          <w:sz w:val="28"/>
          <w:szCs w:val="28"/>
        </w:rPr>
        <w:t>不得透露有关在系统中成功提交《采购文件获取登记表》的潜在投标人的任何情况。</w:t>
      </w:r>
    </w:p>
    <w:p>
      <w:pPr>
        <w:numPr>
          <w:ilvl w:val="0"/>
          <w:numId w:val="30"/>
        </w:numPr>
        <w:tabs>
          <w:tab w:val="left" w:pos="0"/>
          <w:tab w:val="left" w:pos="1134"/>
        </w:tabs>
        <w:spacing w:line="360" w:lineRule="auto"/>
        <w:ind w:left="0" w:firstLine="567"/>
        <w:rPr>
          <w:rFonts w:ascii="宋体" w:hAnsi="宋体"/>
          <w:color w:val="auto"/>
          <w:sz w:val="28"/>
          <w:szCs w:val="28"/>
        </w:rPr>
      </w:pPr>
      <w:r>
        <w:rPr>
          <w:rFonts w:hint="eastAsia" w:ascii="宋体" w:hAnsi="宋体"/>
          <w:color w:val="auto"/>
          <w:sz w:val="28"/>
          <w:szCs w:val="28"/>
        </w:rPr>
        <w:t>有关投标文件的审查、澄清、评估和比较以及合同授予意向等情况都不得对外透露。</w:t>
      </w:r>
    </w:p>
    <w:p>
      <w:pPr>
        <w:keepNext/>
        <w:keepLines/>
        <w:numPr>
          <w:ilvl w:val="2"/>
          <w:numId w:val="5"/>
        </w:numPr>
        <w:spacing w:line="360" w:lineRule="auto"/>
        <w:ind w:left="0" w:firstLine="0"/>
        <w:outlineLvl w:val="2"/>
        <w:rPr>
          <w:rFonts w:ascii="宋体" w:hAnsi="宋体"/>
          <w:b/>
          <w:bCs/>
          <w:color w:val="auto"/>
          <w:sz w:val="28"/>
          <w:szCs w:val="28"/>
        </w:rPr>
      </w:pPr>
      <w:r>
        <w:rPr>
          <w:rFonts w:hint="eastAsia" w:ascii="宋体" w:hAnsi="宋体"/>
          <w:b/>
          <w:bCs/>
          <w:color w:val="auto"/>
          <w:sz w:val="28"/>
          <w:szCs w:val="28"/>
        </w:rPr>
        <w:t>回避</w:t>
      </w:r>
    </w:p>
    <w:p>
      <w:pPr>
        <w:spacing w:after="180" w:line="360" w:lineRule="auto"/>
        <w:ind w:firstLine="568" w:firstLineChars="202"/>
        <w:rPr>
          <w:rFonts w:hint="eastAsia" w:ascii="宋体" w:hAnsi="宋体"/>
          <w:b w:val="0"/>
          <w:bCs/>
          <w:color w:val="auto"/>
          <w:sz w:val="28"/>
          <w:szCs w:val="28"/>
        </w:rPr>
      </w:pPr>
      <w:r>
        <w:rPr>
          <w:rFonts w:hint="eastAsia" w:ascii="宋体" w:hAnsi="宋体"/>
          <w:b w:val="0"/>
          <w:bCs/>
          <w:color w:val="auto"/>
          <w:sz w:val="28"/>
          <w:szCs w:val="28"/>
        </w:rPr>
        <w:t>在政府采购活动中，采购人员（如采购人内部负责采购项目的具体经办工作人员或直接分管采购项目的负责人、</w:t>
      </w:r>
      <w:r>
        <w:rPr>
          <w:rFonts w:hint="eastAsia" w:ascii="宋体" w:hAnsi="宋体"/>
          <w:b w:val="0"/>
          <w:bCs/>
          <w:color w:val="auto"/>
          <w:sz w:val="28"/>
          <w:szCs w:val="28"/>
          <w:lang w:eastAsia="zh-CN"/>
        </w:rPr>
        <w:t>区采购中心</w:t>
      </w:r>
      <w:r>
        <w:rPr>
          <w:rFonts w:hint="eastAsia" w:ascii="宋体" w:hAnsi="宋体"/>
          <w:b w:val="0"/>
          <w:bCs/>
          <w:color w:val="auto"/>
          <w:sz w:val="28"/>
          <w:szCs w:val="28"/>
        </w:rPr>
        <w:t>负责采购项目的具体经办工作人员或直接分管采购活动的负责人等）及相关人员与供应商有下列利害关系之一的，应当回避：</w:t>
      </w:r>
    </w:p>
    <w:p>
      <w:pPr>
        <w:spacing w:after="180" w:line="360" w:lineRule="auto"/>
        <w:ind w:left="0" w:leftChars="0" w:firstLine="0" w:firstLineChars="0"/>
        <w:rPr>
          <w:rFonts w:hint="eastAsia" w:ascii="宋体" w:hAnsi="宋体"/>
          <w:b w:val="0"/>
          <w:bCs/>
          <w:color w:val="auto"/>
          <w:sz w:val="28"/>
          <w:szCs w:val="28"/>
        </w:rPr>
      </w:pPr>
      <w:r>
        <w:rPr>
          <w:rFonts w:hint="eastAsia" w:ascii="宋体" w:hAnsi="宋体"/>
          <w:b w:val="0"/>
          <w:bCs/>
          <w:color w:val="auto"/>
          <w:sz w:val="28"/>
          <w:szCs w:val="28"/>
        </w:rPr>
        <w:t>　　（一）参加采购活动前3年内与供应商存在劳动关系；</w:t>
      </w:r>
    </w:p>
    <w:p>
      <w:pPr>
        <w:spacing w:after="180" w:line="360" w:lineRule="auto"/>
        <w:ind w:left="0" w:leftChars="0" w:firstLine="0" w:firstLineChars="0"/>
        <w:rPr>
          <w:rFonts w:hint="eastAsia" w:ascii="宋体" w:hAnsi="宋体"/>
          <w:b w:val="0"/>
          <w:bCs/>
          <w:color w:val="auto"/>
          <w:sz w:val="28"/>
          <w:szCs w:val="28"/>
        </w:rPr>
      </w:pPr>
      <w:r>
        <w:rPr>
          <w:rFonts w:hint="eastAsia" w:ascii="宋体" w:hAnsi="宋体"/>
          <w:b w:val="0"/>
          <w:bCs/>
          <w:color w:val="auto"/>
          <w:sz w:val="28"/>
          <w:szCs w:val="28"/>
        </w:rPr>
        <w:t>　　（二）参加采购活动前3年内担任供应商的董事、监事；</w:t>
      </w:r>
    </w:p>
    <w:p>
      <w:pPr>
        <w:spacing w:after="180" w:line="360" w:lineRule="auto"/>
        <w:ind w:firstLine="568" w:firstLineChars="202"/>
        <w:rPr>
          <w:rFonts w:hint="eastAsia" w:ascii="宋体" w:hAnsi="宋体"/>
          <w:b w:val="0"/>
          <w:bCs/>
          <w:color w:val="auto"/>
          <w:sz w:val="28"/>
          <w:szCs w:val="28"/>
        </w:rPr>
      </w:pPr>
      <w:r>
        <w:rPr>
          <w:rFonts w:hint="eastAsia" w:ascii="宋体" w:hAnsi="宋体"/>
          <w:b w:val="0"/>
          <w:bCs/>
          <w:color w:val="auto"/>
          <w:sz w:val="28"/>
          <w:szCs w:val="28"/>
        </w:rPr>
        <w:t>（三）参加采购活动前3年内是供应商的控股股东或者实际控制人；</w:t>
      </w:r>
    </w:p>
    <w:p>
      <w:pPr>
        <w:spacing w:after="180" w:line="360" w:lineRule="auto"/>
        <w:ind w:firstLine="568" w:firstLineChars="202"/>
        <w:rPr>
          <w:rFonts w:hint="eastAsia" w:ascii="宋体" w:hAnsi="宋体"/>
          <w:b w:val="0"/>
          <w:bCs/>
          <w:color w:val="auto"/>
          <w:sz w:val="28"/>
          <w:szCs w:val="28"/>
        </w:rPr>
      </w:pPr>
      <w:r>
        <w:rPr>
          <w:rFonts w:hint="eastAsia" w:ascii="宋体" w:hAnsi="宋体"/>
          <w:b w:val="0"/>
          <w:bCs/>
          <w:color w:val="auto"/>
          <w:sz w:val="28"/>
          <w:szCs w:val="28"/>
        </w:rPr>
        <w:t>（四）与供应商的法定代表人或者负责人有夫妻、直系血亲、三代以内旁系血亲或者近姻亲关系；</w:t>
      </w:r>
    </w:p>
    <w:p>
      <w:pPr>
        <w:spacing w:after="180" w:line="360" w:lineRule="auto"/>
        <w:ind w:firstLine="568" w:firstLineChars="202"/>
        <w:rPr>
          <w:rFonts w:hint="eastAsia" w:ascii="宋体" w:hAnsi="宋体"/>
          <w:b w:val="0"/>
          <w:bCs/>
          <w:color w:val="auto"/>
          <w:sz w:val="28"/>
          <w:szCs w:val="28"/>
        </w:rPr>
      </w:pPr>
      <w:r>
        <w:rPr>
          <w:rFonts w:hint="eastAsia" w:ascii="宋体" w:hAnsi="宋体"/>
          <w:b w:val="0"/>
          <w:bCs/>
          <w:color w:val="auto"/>
          <w:sz w:val="28"/>
          <w:szCs w:val="28"/>
        </w:rPr>
        <w:t>（五）与供应商有其他可能影响政府采购活动公平、公正进行的关系。</w:t>
      </w:r>
    </w:p>
    <w:p>
      <w:pPr>
        <w:spacing w:after="180" w:line="360" w:lineRule="auto"/>
        <w:ind w:firstLine="568" w:firstLineChars="202"/>
        <w:rPr>
          <w:rFonts w:hint="eastAsia" w:ascii="宋体" w:hAnsi="宋体"/>
          <w:b w:val="0"/>
          <w:bCs/>
          <w:color w:val="auto"/>
          <w:sz w:val="28"/>
          <w:szCs w:val="28"/>
        </w:rPr>
      </w:pPr>
      <w:r>
        <w:rPr>
          <w:rFonts w:hint="eastAsia" w:ascii="宋体" w:hAnsi="宋体"/>
          <w:b w:val="0"/>
          <w:bCs/>
          <w:color w:val="auto"/>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keepNext/>
        <w:keepLines/>
        <w:numPr>
          <w:ilvl w:val="1"/>
          <w:numId w:val="5"/>
        </w:numPr>
        <w:spacing w:line="360" w:lineRule="auto"/>
        <w:jc w:val="left"/>
        <w:outlineLvl w:val="1"/>
        <w:rPr>
          <w:rFonts w:ascii="宋体" w:hAnsi="宋体"/>
          <w:b/>
          <w:bCs/>
          <w:color w:val="auto"/>
          <w:sz w:val="28"/>
          <w:szCs w:val="28"/>
        </w:rPr>
      </w:pPr>
      <w:bookmarkStart w:id="101" w:name="_Toc217446078"/>
      <w:bookmarkStart w:id="102" w:name="_Toc6665"/>
      <w:r>
        <w:rPr>
          <w:rFonts w:hint="eastAsia" w:ascii="宋体" w:hAnsi="宋体"/>
          <w:b/>
          <w:bCs/>
          <w:color w:val="auto"/>
          <w:sz w:val="28"/>
          <w:szCs w:val="28"/>
        </w:rPr>
        <w:t>询问、质疑和投诉</w:t>
      </w:r>
      <w:bookmarkEnd w:id="101"/>
      <w:bookmarkEnd w:id="102"/>
      <w:bookmarkStart w:id="103" w:name="_Toc217446079"/>
    </w:p>
    <w:bookmarkEnd w:id="96"/>
    <w:bookmarkEnd w:id="97"/>
    <w:bookmarkEnd w:id="103"/>
    <w:p>
      <w:pPr>
        <w:numPr>
          <w:ilvl w:val="0"/>
          <w:numId w:val="31"/>
        </w:numPr>
        <w:spacing w:line="360" w:lineRule="auto"/>
        <w:ind w:left="0" w:firstLine="567"/>
        <w:jc w:val="left"/>
        <w:rPr>
          <w:color w:val="auto"/>
          <w:sz w:val="28"/>
          <w:szCs w:val="28"/>
        </w:rPr>
      </w:pPr>
      <w:r>
        <w:rPr>
          <w:rFonts w:hint="eastAsia"/>
          <w:color w:val="auto"/>
          <w:sz w:val="28"/>
          <w:szCs w:val="28"/>
        </w:rPr>
        <w:t>询问、质疑、投诉的接收和处理严格按照《中华人民共和国政府采购法》、《中华人民共和国政府采购法实施条例》《中华人民共和国财政部货物和服务招投标管理办法》（财政部第</w:t>
      </w:r>
      <w:r>
        <w:rPr>
          <w:color w:val="auto"/>
          <w:sz w:val="28"/>
          <w:szCs w:val="28"/>
        </w:rPr>
        <w:t>87</w:t>
      </w:r>
      <w:r>
        <w:rPr>
          <w:rFonts w:hint="eastAsia"/>
          <w:color w:val="auto"/>
          <w:sz w:val="28"/>
          <w:szCs w:val="28"/>
        </w:rPr>
        <w:t>号令）和《政府采购质疑和投诉办法》（财政部</w:t>
      </w:r>
      <w:r>
        <w:rPr>
          <w:color w:val="auto"/>
          <w:sz w:val="28"/>
          <w:szCs w:val="28"/>
        </w:rPr>
        <w:t>94</w:t>
      </w:r>
      <w:r>
        <w:rPr>
          <w:rFonts w:hint="eastAsia"/>
          <w:color w:val="auto"/>
          <w:sz w:val="28"/>
          <w:szCs w:val="28"/>
        </w:rPr>
        <w:t>号令）的规定办理。</w:t>
      </w:r>
    </w:p>
    <w:p>
      <w:pPr>
        <w:numPr>
          <w:ilvl w:val="0"/>
          <w:numId w:val="31"/>
        </w:numPr>
        <w:spacing w:line="360" w:lineRule="auto"/>
        <w:ind w:left="0" w:firstLine="567"/>
        <w:jc w:val="left"/>
        <w:rPr>
          <w:color w:val="auto"/>
          <w:sz w:val="28"/>
          <w:szCs w:val="28"/>
        </w:rPr>
      </w:pPr>
      <w:r>
        <w:rPr>
          <w:rFonts w:hint="eastAsia"/>
          <w:color w:val="auto"/>
          <w:sz w:val="28"/>
          <w:szCs w:val="28"/>
        </w:rPr>
        <w:t>供应商</w:t>
      </w:r>
      <w:r>
        <w:rPr>
          <w:rFonts w:hint="eastAsia" w:ascii="宋体" w:hAnsi="宋体"/>
          <w:color w:val="auto"/>
          <w:sz w:val="28"/>
          <w:szCs w:val="28"/>
        </w:rPr>
        <w:t>询问、质疑的对象</w:t>
      </w:r>
    </w:p>
    <w:p>
      <w:pPr>
        <w:numPr>
          <w:ilvl w:val="1"/>
          <w:numId w:val="32"/>
        </w:numPr>
        <w:tabs>
          <w:tab w:val="left" w:pos="0"/>
          <w:tab w:val="left" w:pos="1276"/>
        </w:tabs>
        <w:spacing w:after="120" w:line="360" w:lineRule="auto"/>
        <w:ind w:left="0" w:firstLine="567"/>
        <w:rPr>
          <w:rFonts w:ascii="宋体" w:hAnsi="宋体"/>
          <w:color w:val="auto"/>
          <w:sz w:val="28"/>
          <w:szCs w:val="28"/>
        </w:rPr>
      </w:pPr>
      <w:r>
        <w:rPr>
          <w:rFonts w:hint="eastAsia"/>
          <w:color w:val="auto"/>
          <w:sz w:val="28"/>
          <w:szCs w:val="28"/>
        </w:rPr>
        <w:t>供应商</w:t>
      </w:r>
      <w:r>
        <w:rPr>
          <w:rFonts w:hint="eastAsia" w:ascii="宋体" w:hAnsi="宋体"/>
          <w:color w:val="auto"/>
          <w:sz w:val="28"/>
          <w:szCs w:val="28"/>
        </w:rPr>
        <w:t>对招标文件中</w:t>
      </w:r>
      <w:r>
        <w:rPr>
          <w:rFonts w:hint="eastAsia"/>
          <w:color w:val="auto"/>
          <w:sz w:val="28"/>
          <w:szCs w:val="28"/>
        </w:rPr>
        <w:t>供应商</w:t>
      </w:r>
      <w:r>
        <w:rPr>
          <w:rFonts w:hint="eastAsia" w:ascii="宋体" w:hAnsi="宋体"/>
          <w:color w:val="auto"/>
          <w:sz w:val="28"/>
          <w:szCs w:val="28"/>
        </w:rPr>
        <w:t>参加本次政府采购活动应当具备的条件，招标项目技术、服务、商务及其他要求，评标细则及标准，和中标结果中关于资格审查提出询问或质疑的，应通过政府采购</w:t>
      </w:r>
      <w:r>
        <w:rPr>
          <w:rFonts w:ascii="宋体" w:hAnsi="宋体"/>
          <w:color w:val="auto"/>
          <w:sz w:val="28"/>
          <w:szCs w:val="28"/>
        </w:rPr>
        <w:t>云平台</w:t>
      </w:r>
      <w:r>
        <w:rPr>
          <w:rFonts w:hint="eastAsia" w:ascii="宋体" w:hAnsi="宋体"/>
          <w:color w:val="auto"/>
          <w:sz w:val="28"/>
          <w:szCs w:val="28"/>
        </w:rPr>
        <w:t>向采购人提出；</w:t>
      </w:r>
    </w:p>
    <w:p>
      <w:pPr>
        <w:numPr>
          <w:ilvl w:val="1"/>
          <w:numId w:val="32"/>
        </w:numPr>
        <w:tabs>
          <w:tab w:val="left" w:pos="1276"/>
        </w:tabs>
        <w:spacing w:after="120" w:line="360" w:lineRule="auto"/>
        <w:ind w:left="0" w:firstLine="567"/>
        <w:rPr>
          <w:rFonts w:ascii="宋体" w:hAnsi="宋体"/>
          <w:color w:val="auto"/>
          <w:sz w:val="28"/>
          <w:szCs w:val="28"/>
        </w:rPr>
      </w:pPr>
      <w:r>
        <w:rPr>
          <w:rFonts w:hint="eastAsia"/>
          <w:color w:val="auto"/>
          <w:sz w:val="28"/>
          <w:szCs w:val="28"/>
        </w:rPr>
        <w:t>供应商对除上述招标文件中的其他内容，采购过程及中标结果中（除资格审查）</w:t>
      </w:r>
      <w:r>
        <w:rPr>
          <w:rFonts w:hint="eastAsia" w:ascii="宋体" w:hAnsi="宋体"/>
          <w:color w:val="auto"/>
          <w:sz w:val="28"/>
          <w:szCs w:val="28"/>
        </w:rPr>
        <w:t>提出询问或质疑的，应通过政府采购</w:t>
      </w:r>
      <w:r>
        <w:rPr>
          <w:rFonts w:ascii="宋体" w:hAnsi="宋体"/>
          <w:color w:val="auto"/>
          <w:sz w:val="28"/>
          <w:szCs w:val="28"/>
        </w:rPr>
        <w:t>云平台</w:t>
      </w:r>
      <w:r>
        <w:rPr>
          <w:rFonts w:hint="eastAsia" w:ascii="宋体" w:hAnsi="宋体"/>
          <w:color w:val="auto"/>
          <w:sz w:val="28"/>
          <w:szCs w:val="28"/>
        </w:rPr>
        <w:t>向</w:t>
      </w:r>
      <w:r>
        <w:rPr>
          <w:rFonts w:hint="eastAsia" w:ascii="宋体" w:hAnsi="宋体" w:cs="Arial"/>
          <w:color w:val="auto"/>
          <w:sz w:val="28"/>
          <w:szCs w:val="28"/>
          <w:lang w:eastAsia="zh-CN"/>
        </w:rPr>
        <w:t>区采购中心</w:t>
      </w:r>
      <w:r>
        <w:rPr>
          <w:rFonts w:hint="eastAsia" w:ascii="宋体" w:hAnsi="宋体"/>
          <w:color w:val="auto"/>
          <w:sz w:val="28"/>
          <w:szCs w:val="28"/>
        </w:rPr>
        <w:t>提出。</w:t>
      </w:r>
    </w:p>
    <w:p>
      <w:pPr>
        <w:numPr>
          <w:ilvl w:val="0"/>
          <w:numId w:val="31"/>
        </w:numPr>
        <w:tabs>
          <w:tab w:val="left" w:pos="1134"/>
        </w:tabs>
        <w:spacing w:after="120" w:line="360" w:lineRule="auto"/>
        <w:ind w:left="0" w:firstLine="567"/>
        <w:rPr>
          <w:rFonts w:ascii="宋体" w:hAnsi="宋体"/>
          <w:color w:val="auto"/>
          <w:sz w:val="28"/>
          <w:szCs w:val="28"/>
        </w:rPr>
      </w:pPr>
      <w:r>
        <w:rPr>
          <w:rFonts w:hint="eastAsia" w:ascii="宋体" w:hAnsi="宋体"/>
          <w:color w:val="auto"/>
          <w:sz w:val="28"/>
          <w:szCs w:val="28"/>
        </w:rPr>
        <w:t>供应商提出的询问，应当明确询问事项，如以书面形式提出的，应由供应商签字并加盖公章。</w:t>
      </w:r>
    </w:p>
    <w:p>
      <w:pPr>
        <w:numPr>
          <w:ilvl w:val="0"/>
          <w:numId w:val="31"/>
        </w:numPr>
        <w:tabs>
          <w:tab w:val="left" w:pos="1134"/>
        </w:tabs>
        <w:spacing w:after="120" w:line="360" w:lineRule="auto"/>
        <w:ind w:left="0" w:firstLine="567"/>
        <w:rPr>
          <w:rFonts w:ascii="宋体" w:hAnsi="宋体"/>
          <w:color w:val="auto"/>
          <w:sz w:val="28"/>
          <w:szCs w:val="28"/>
        </w:rPr>
      </w:pPr>
      <w:r>
        <w:rPr>
          <w:rFonts w:hint="eastAsia" w:ascii="宋体" w:hAnsi="宋体"/>
          <w:color w:val="auto"/>
          <w:sz w:val="28"/>
          <w:szCs w:val="28"/>
        </w:rPr>
        <w:t>供应商应在法定质疑期内一次性提出针对同一采购程序环节的质疑。</w:t>
      </w:r>
    </w:p>
    <w:p>
      <w:pPr>
        <w:numPr>
          <w:ilvl w:val="0"/>
          <w:numId w:val="31"/>
        </w:numPr>
        <w:tabs>
          <w:tab w:val="left" w:pos="1134"/>
        </w:tabs>
        <w:spacing w:after="120" w:line="360" w:lineRule="auto"/>
        <w:ind w:left="0" w:firstLine="567"/>
        <w:rPr>
          <w:rFonts w:ascii="宋体" w:hAnsi="宋体"/>
          <w:color w:val="auto"/>
          <w:sz w:val="28"/>
          <w:szCs w:val="28"/>
        </w:rPr>
      </w:pPr>
      <w:r>
        <w:rPr>
          <w:rFonts w:hint="eastAsia" w:ascii="宋体" w:hAnsi="宋体"/>
          <w:color w:val="auto"/>
          <w:sz w:val="28"/>
          <w:szCs w:val="28"/>
        </w:rPr>
        <w:t>供应商提出质疑时应当准备的资料</w:t>
      </w:r>
    </w:p>
    <w:p>
      <w:pPr>
        <w:spacing w:after="180" w:line="360" w:lineRule="auto"/>
        <w:ind w:firstLine="568" w:firstLineChars="202"/>
        <w:rPr>
          <w:rFonts w:hint="eastAsia" w:ascii="宋体" w:hAnsi="宋体"/>
          <w:b w:val="0"/>
          <w:bCs/>
          <w:color w:val="auto"/>
          <w:sz w:val="28"/>
          <w:szCs w:val="28"/>
        </w:rPr>
      </w:pPr>
      <w:r>
        <w:rPr>
          <w:rFonts w:hint="eastAsia" w:ascii="宋体" w:hAnsi="宋体"/>
          <w:b w:val="0"/>
          <w:bCs/>
          <w:color w:val="auto"/>
          <w:sz w:val="28"/>
          <w:szCs w:val="28"/>
        </w:rPr>
        <w:t>（一）质疑书正本1份；</w:t>
      </w:r>
    </w:p>
    <w:p>
      <w:pPr>
        <w:spacing w:after="180" w:line="360" w:lineRule="auto"/>
        <w:ind w:firstLine="568" w:firstLineChars="202"/>
        <w:rPr>
          <w:rFonts w:hint="eastAsia" w:ascii="宋体" w:hAnsi="宋体"/>
          <w:b w:val="0"/>
          <w:bCs/>
          <w:color w:val="auto"/>
          <w:sz w:val="28"/>
          <w:szCs w:val="28"/>
        </w:rPr>
      </w:pPr>
      <w:r>
        <w:rPr>
          <w:rFonts w:hint="eastAsia" w:ascii="宋体" w:hAnsi="宋体"/>
          <w:b w:val="0"/>
          <w:bCs/>
          <w:color w:val="auto"/>
          <w:sz w:val="28"/>
          <w:szCs w:val="28"/>
        </w:rPr>
        <w:t>（二）法定代表人授权委托书1份（委托代理人办理质疑事宜的需提供）；</w:t>
      </w:r>
    </w:p>
    <w:p>
      <w:pPr>
        <w:spacing w:after="180" w:line="360" w:lineRule="auto"/>
        <w:ind w:firstLine="568" w:firstLineChars="202"/>
        <w:rPr>
          <w:rFonts w:hint="eastAsia" w:ascii="宋体" w:hAnsi="宋体"/>
          <w:b w:val="0"/>
          <w:bCs/>
          <w:color w:val="auto"/>
          <w:sz w:val="28"/>
          <w:szCs w:val="28"/>
        </w:rPr>
      </w:pPr>
      <w:r>
        <w:rPr>
          <w:rFonts w:hint="eastAsia" w:ascii="宋体" w:hAnsi="宋体"/>
          <w:b w:val="0"/>
          <w:bCs/>
          <w:color w:val="auto"/>
          <w:sz w:val="28"/>
          <w:szCs w:val="28"/>
        </w:rPr>
        <w:t>（三）营业执照或法人证书复印件1份（加盖公章）；</w:t>
      </w:r>
    </w:p>
    <w:p>
      <w:pPr>
        <w:spacing w:after="180" w:line="360" w:lineRule="auto"/>
        <w:ind w:firstLine="568" w:firstLineChars="202"/>
        <w:rPr>
          <w:rFonts w:hint="eastAsia" w:ascii="宋体" w:hAnsi="宋体"/>
          <w:b w:val="0"/>
          <w:bCs/>
          <w:color w:val="auto"/>
          <w:sz w:val="28"/>
          <w:szCs w:val="28"/>
        </w:rPr>
      </w:pPr>
      <w:r>
        <w:rPr>
          <w:rFonts w:hint="eastAsia" w:ascii="宋体" w:hAnsi="宋体"/>
          <w:b w:val="0"/>
          <w:bCs/>
          <w:color w:val="auto"/>
          <w:sz w:val="28"/>
          <w:szCs w:val="28"/>
        </w:rPr>
        <w:t>（四）法定代表人身份证复印件1份；</w:t>
      </w:r>
    </w:p>
    <w:p>
      <w:pPr>
        <w:spacing w:after="180" w:line="360" w:lineRule="auto"/>
        <w:ind w:firstLine="568" w:firstLineChars="202"/>
        <w:rPr>
          <w:rFonts w:hint="eastAsia" w:ascii="宋体" w:hAnsi="宋体"/>
          <w:b w:val="0"/>
          <w:bCs/>
          <w:color w:val="auto"/>
          <w:sz w:val="28"/>
          <w:szCs w:val="28"/>
        </w:rPr>
      </w:pPr>
      <w:r>
        <w:rPr>
          <w:rFonts w:hint="eastAsia" w:ascii="宋体" w:hAnsi="宋体"/>
          <w:b w:val="0"/>
          <w:bCs/>
          <w:color w:val="auto"/>
          <w:sz w:val="28"/>
          <w:szCs w:val="28"/>
        </w:rPr>
        <w:t>（五）委托代理人身份证复印件1份（委托代理人办理质疑事宜的需提供）；</w:t>
      </w:r>
    </w:p>
    <w:p>
      <w:pPr>
        <w:spacing w:after="180" w:line="360" w:lineRule="auto"/>
        <w:ind w:firstLine="568" w:firstLineChars="202"/>
        <w:rPr>
          <w:rFonts w:hint="eastAsia" w:ascii="宋体" w:hAnsi="宋体"/>
          <w:b w:val="0"/>
          <w:bCs/>
          <w:color w:val="auto"/>
          <w:sz w:val="28"/>
          <w:szCs w:val="28"/>
        </w:rPr>
      </w:pPr>
      <w:r>
        <w:rPr>
          <w:rFonts w:hint="eastAsia" w:ascii="宋体" w:hAnsi="宋体"/>
          <w:b w:val="0"/>
          <w:bCs/>
          <w:color w:val="auto"/>
          <w:sz w:val="28"/>
          <w:szCs w:val="28"/>
        </w:rPr>
        <w:t>（六）针对质疑事项必要的证明材料。</w:t>
      </w:r>
    </w:p>
    <w:p>
      <w:pPr>
        <w:numPr>
          <w:ilvl w:val="0"/>
          <w:numId w:val="31"/>
        </w:numPr>
        <w:tabs>
          <w:tab w:val="left" w:pos="1134"/>
        </w:tabs>
        <w:spacing w:line="360" w:lineRule="auto"/>
        <w:ind w:left="0" w:firstLine="567"/>
        <w:rPr>
          <w:rFonts w:ascii="宋体" w:hAnsi="宋体"/>
          <w:color w:val="auto"/>
          <w:sz w:val="28"/>
          <w:szCs w:val="28"/>
        </w:rPr>
      </w:pPr>
      <w:r>
        <w:rPr>
          <w:rFonts w:hint="eastAsia" w:ascii="宋体" w:hAnsi="宋体"/>
          <w:color w:val="auto"/>
          <w:sz w:val="28"/>
          <w:szCs w:val="28"/>
        </w:rPr>
        <w:t>供应商对采购人或</w:t>
      </w:r>
      <w:r>
        <w:rPr>
          <w:rFonts w:hint="eastAsia" w:ascii="宋体" w:hAnsi="宋体"/>
          <w:color w:val="auto"/>
          <w:sz w:val="28"/>
          <w:szCs w:val="28"/>
          <w:lang w:eastAsia="zh-CN"/>
        </w:rPr>
        <w:t>区采购中心</w:t>
      </w:r>
      <w:r>
        <w:rPr>
          <w:rFonts w:hint="eastAsia" w:ascii="宋体" w:hAnsi="宋体"/>
          <w:color w:val="auto"/>
          <w:sz w:val="28"/>
          <w:szCs w:val="28"/>
        </w:rPr>
        <w:t>的质疑答复不满意，或者采购人或</w:t>
      </w:r>
      <w:r>
        <w:rPr>
          <w:rFonts w:hint="eastAsia" w:ascii="宋体" w:hAnsi="宋体"/>
          <w:color w:val="auto"/>
          <w:sz w:val="28"/>
          <w:szCs w:val="28"/>
          <w:lang w:eastAsia="zh-CN"/>
        </w:rPr>
        <w:t>区采购中心</w:t>
      </w:r>
      <w:r>
        <w:rPr>
          <w:rFonts w:hint="eastAsia" w:ascii="宋体" w:hAnsi="宋体"/>
          <w:color w:val="auto"/>
          <w:sz w:val="28"/>
          <w:szCs w:val="28"/>
        </w:rPr>
        <w:t>未在规定期限内作出答复的，供应商可以在答复期满后15个工作日内向同级财政部门提起投诉。</w:t>
      </w:r>
    </w:p>
    <w:p>
      <w:pPr>
        <w:keepNext/>
        <w:keepLines/>
        <w:numPr>
          <w:ilvl w:val="1"/>
          <w:numId w:val="5"/>
        </w:numPr>
        <w:spacing w:before="260" w:line="360" w:lineRule="auto"/>
        <w:jc w:val="left"/>
        <w:outlineLvl w:val="1"/>
        <w:rPr>
          <w:rFonts w:ascii="宋体" w:hAnsi="宋体"/>
          <w:b/>
          <w:bCs/>
          <w:color w:val="auto"/>
          <w:sz w:val="28"/>
          <w:szCs w:val="28"/>
        </w:rPr>
      </w:pPr>
      <w:bookmarkStart w:id="104" w:name="_Toc31760"/>
      <w:r>
        <w:rPr>
          <w:rFonts w:hint="eastAsia" w:ascii="宋体" w:hAnsi="宋体"/>
          <w:b/>
          <w:bCs/>
          <w:color w:val="auto"/>
          <w:sz w:val="28"/>
          <w:szCs w:val="28"/>
        </w:rPr>
        <w:t>中小企业政府采购信用融资</w:t>
      </w:r>
      <w:bookmarkEnd w:id="104"/>
    </w:p>
    <w:p>
      <w:pPr>
        <w:widowControl w:val="0"/>
        <w:numPr>
          <w:ilvl w:val="2"/>
          <w:numId w:val="33"/>
        </w:numPr>
        <w:tabs>
          <w:tab w:val="left" w:pos="1134"/>
        </w:tabs>
        <w:snapToGrid w:val="0"/>
        <w:spacing w:line="640" w:lineRule="exact"/>
        <w:ind w:left="0" w:firstLine="560" w:firstLineChars="200"/>
        <w:jc w:val="both"/>
        <w:rPr>
          <w:rFonts w:ascii="宋体" w:hAnsi="宋体"/>
          <w:color w:val="auto"/>
          <w:sz w:val="28"/>
          <w:szCs w:val="28"/>
        </w:rPr>
      </w:pPr>
      <w:r>
        <w:rPr>
          <w:rFonts w:hint="eastAsia" w:ascii="宋体" w:hAnsi="宋体"/>
          <w:color w:val="auto"/>
          <w:sz w:val="28"/>
          <w:szCs w:val="28"/>
        </w:rPr>
        <w:t>参与本次采购活动成交的中小企业无需提供财产抵押或第三方担保，凭借政府采购合同可向融资机构申请融资。</w:t>
      </w:r>
    </w:p>
    <w:p>
      <w:pPr>
        <w:spacing w:line="360" w:lineRule="auto"/>
        <w:ind w:firstLine="424" w:firstLineChars="202"/>
        <w:rPr>
          <w:rFonts w:ascii="宋体" w:hAnsi="宋体"/>
          <w:color w:val="auto"/>
          <w:sz w:val="28"/>
          <w:szCs w:val="28"/>
        </w:rPr>
      </w:pPr>
      <w:r>
        <w:rPr>
          <w:rFonts w:hint="eastAsia" w:ascii="宋体" w:hAnsi="宋体"/>
          <w:color w:val="auto"/>
          <w:sz w:val="28"/>
          <w:szCs w:val="28"/>
          <w:lang w:eastAsia="zh-CN"/>
        </w:rPr>
        <w:t>二、</w:t>
      </w:r>
      <w:r>
        <w:rPr>
          <w:rFonts w:ascii="宋体" w:hAnsi="宋体"/>
          <w:color w:val="auto"/>
          <w:sz w:val="28"/>
          <w:szCs w:val="28"/>
        </w:rPr>
        <w:t>参加本次招标活动的中小企业供应商无需提供财产抵押或第三方担保，凭借政府采购合同可向融资机构申请融资。具体内容详见招标文件附件《四川省财政厅关于推进四川省政府采购供应商信用融资工作的通知》(川财采[2018]123号)和《成都市财政局 中国人民银行成都分行营业管理部关于印发〈成都市中小企业政府采购信用融资暂行办法〉和〈成都市级支持中小企业政府采购信用融资实施方案〉的通知》（成财采[2019]17号）</w:t>
      </w:r>
      <w:r>
        <w:rPr>
          <w:rFonts w:hint="eastAsia" w:ascii="宋体" w:hAnsi="宋体"/>
          <w:color w:val="auto"/>
          <w:sz w:val="28"/>
          <w:szCs w:val="28"/>
        </w:rPr>
        <w:t>和《成都市锦江区区财政局关于印发&lt;成都市锦江区支持中小企业政府采购信用融资实施方案&gt;的通知》（锦财发〔2019〕28号）和成都市锦江区政府采购信用融资机构名单（http://www.cdjinjiang.gov.cn/jjq/c133389/cgrz.shtml）见附件。</w:t>
      </w:r>
    </w:p>
    <w:p>
      <w:pPr>
        <w:tabs>
          <w:tab w:val="left" w:pos="1276"/>
        </w:tabs>
        <w:spacing w:line="360" w:lineRule="auto"/>
        <w:rPr>
          <w:rFonts w:ascii="宋体" w:hAnsi="宋体"/>
          <w:color w:val="auto"/>
          <w:sz w:val="28"/>
          <w:szCs w:val="28"/>
        </w:rPr>
      </w:pPr>
    </w:p>
    <w:p>
      <w:pPr>
        <w:tabs>
          <w:tab w:val="left" w:pos="1276"/>
        </w:tabs>
        <w:spacing w:line="360" w:lineRule="auto"/>
        <w:rPr>
          <w:rFonts w:ascii="宋体" w:hAnsi="宋体"/>
          <w:color w:val="auto"/>
          <w:sz w:val="28"/>
          <w:szCs w:val="28"/>
        </w:rPr>
      </w:pPr>
    </w:p>
    <w:p>
      <w:pPr>
        <w:tabs>
          <w:tab w:val="left" w:pos="1276"/>
        </w:tabs>
        <w:spacing w:line="360" w:lineRule="auto"/>
        <w:rPr>
          <w:rFonts w:ascii="宋体" w:hAnsi="宋体"/>
          <w:color w:val="auto"/>
          <w:sz w:val="28"/>
          <w:szCs w:val="28"/>
        </w:rPr>
      </w:pPr>
    </w:p>
    <w:p>
      <w:pPr>
        <w:tabs>
          <w:tab w:val="left" w:pos="1276"/>
        </w:tabs>
        <w:spacing w:line="360" w:lineRule="auto"/>
        <w:rPr>
          <w:rFonts w:ascii="宋体" w:hAnsi="宋体"/>
          <w:color w:val="auto"/>
          <w:sz w:val="28"/>
          <w:szCs w:val="28"/>
        </w:rPr>
      </w:pPr>
      <w:r>
        <w:rPr>
          <w:rFonts w:ascii="宋体" w:hAnsi="宋体"/>
          <w:color w:val="auto"/>
          <w:sz w:val="28"/>
          <w:szCs w:val="28"/>
        </w:rPr>
        <w:br w:type="page"/>
      </w:r>
    </w:p>
    <w:p>
      <w:pPr>
        <w:keepNext/>
        <w:keepLines/>
        <w:numPr>
          <w:ilvl w:val="0"/>
          <w:numId w:val="5"/>
        </w:numPr>
        <w:spacing w:before="340" w:after="330" w:line="400" w:lineRule="exact"/>
        <w:ind w:left="567"/>
        <w:jc w:val="center"/>
        <w:outlineLvl w:val="0"/>
        <w:rPr>
          <w:rFonts w:ascii="宋体" w:hAnsi="宋体"/>
          <w:b/>
          <w:bCs/>
          <w:color w:val="auto"/>
          <w:spacing w:val="-20"/>
          <w:kern w:val="44"/>
          <w:sz w:val="32"/>
          <w:szCs w:val="32"/>
        </w:rPr>
      </w:pPr>
      <w:bookmarkStart w:id="105" w:name="_Toc315871048"/>
      <w:bookmarkEnd w:id="105"/>
      <w:bookmarkStart w:id="106" w:name="_Toc316292051"/>
      <w:bookmarkEnd w:id="106"/>
      <w:bookmarkStart w:id="107" w:name="_Toc315871047"/>
      <w:bookmarkEnd w:id="107"/>
      <w:bookmarkStart w:id="108" w:name="_Toc316292050"/>
      <w:bookmarkEnd w:id="108"/>
      <w:bookmarkStart w:id="109" w:name="_Toc316292048"/>
      <w:bookmarkEnd w:id="109"/>
      <w:bookmarkStart w:id="110" w:name="_Toc315871045"/>
      <w:bookmarkEnd w:id="110"/>
      <w:bookmarkStart w:id="111" w:name="_Toc315871050"/>
      <w:bookmarkEnd w:id="111"/>
      <w:bookmarkStart w:id="112" w:name="_Toc316292049"/>
      <w:bookmarkEnd w:id="112"/>
      <w:bookmarkStart w:id="113" w:name="_Toc315871049"/>
      <w:bookmarkEnd w:id="113"/>
      <w:bookmarkStart w:id="114" w:name="_Toc315871046"/>
      <w:bookmarkEnd w:id="114"/>
      <w:bookmarkStart w:id="115" w:name="_Toc316292052"/>
      <w:bookmarkEnd w:id="115"/>
      <w:bookmarkStart w:id="116" w:name="_Toc4952"/>
      <w:r>
        <w:rPr>
          <w:rFonts w:hint="eastAsia" w:ascii="宋体" w:hAnsi="宋体"/>
          <w:b/>
          <w:bCs/>
          <w:color w:val="auto"/>
          <w:spacing w:val="-20"/>
          <w:kern w:val="44"/>
          <w:sz w:val="32"/>
          <w:szCs w:val="32"/>
        </w:rPr>
        <w:t>投标文件格式</w:t>
      </w:r>
      <w:bookmarkEnd w:id="116"/>
    </w:p>
    <w:p>
      <w:pPr>
        <w:keepNext/>
        <w:keepLines/>
        <w:numPr>
          <w:ilvl w:val="1"/>
          <w:numId w:val="5"/>
        </w:numPr>
        <w:spacing w:before="260" w:after="260" w:line="360" w:lineRule="auto"/>
        <w:jc w:val="left"/>
        <w:outlineLvl w:val="1"/>
        <w:rPr>
          <w:rFonts w:ascii="宋体" w:hAnsi="宋体"/>
          <w:b/>
          <w:bCs/>
          <w:color w:val="auto"/>
          <w:sz w:val="28"/>
          <w:szCs w:val="28"/>
        </w:rPr>
      </w:pPr>
      <w:bookmarkStart w:id="117" w:name="_Toc25495"/>
      <w:r>
        <w:rPr>
          <w:rFonts w:hint="eastAsia" w:ascii="宋体" w:hAnsi="宋体"/>
          <w:b/>
          <w:bCs/>
          <w:color w:val="auto"/>
          <w:sz w:val="28"/>
          <w:szCs w:val="28"/>
        </w:rPr>
        <w:t>投标文件封面格式</w:t>
      </w:r>
      <w:bookmarkEnd w:id="117"/>
    </w:p>
    <w:p>
      <w:pPr>
        <w:spacing w:line="360" w:lineRule="auto"/>
        <w:rPr>
          <w:rFonts w:ascii="宋体" w:hAnsi="宋体"/>
          <w:bCs/>
          <w:color w:val="auto"/>
          <w:szCs w:val="21"/>
        </w:rPr>
      </w:pPr>
    </w:p>
    <w:p>
      <w:pPr>
        <w:spacing w:line="360" w:lineRule="auto"/>
        <w:rPr>
          <w:rFonts w:ascii="宋体" w:hAnsi="宋体"/>
          <w:bCs/>
          <w:color w:val="auto"/>
          <w:szCs w:val="21"/>
        </w:rPr>
      </w:pPr>
    </w:p>
    <w:p>
      <w:pPr>
        <w:spacing w:line="360" w:lineRule="auto"/>
        <w:jc w:val="right"/>
        <w:rPr>
          <w:rFonts w:ascii="宋体" w:hAnsi="宋体"/>
          <w:color w:val="auto"/>
        </w:rPr>
      </w:pPr>
    </w:p>
    <w:p>
      <w:pPr>
        <w:spacing w:line="360" w:lineRule="auto"/>
        <w:jc w:val="center"/>
        <w:rPr>
          <w:rFonts w:ascii="宋体" w:hAnsi="宋体"/>
          <w:color w:val="auto"/>
          <w:spacing w:val="78"/>
          <w:sz w:val="96"/>
          <w:szCs w:val="120"/>
        </w:rPr>
      </w:pPr>
      <w:r>
        <w:rPr>
          <w:rFonts w:hint="eastAsia" w:ascii="宋体" w:hAnsi="宋体"/>
          <w:color w:val="auto"/>
          <w:spacing w:val="78"/>
          <w:sz w:val="96"/>
          <w:szCs w:val="120"/>
        </w:rPr>
        <w:t>投标文件</w:t>
      </w:r>
    </w:p>
    <w:p>
      <w:pPr>
        <w:spacing w:line="360" w:lineRule="auto"/>
        <w:jc w:val="center"/>
        <w:rPr>
          <w:rFonts w:ascii="宋体" w:hAnsi="宋体"/>
          <w:bCs/>
          <w:color w:val="auto"/>
          <w:sz w:val="36"/>
        </w:rPr>
      </w:pPr>
    </w:p>
    <w:p>
      <w:pPr>
        <w:spacing w:line="360" w:lineRule="auto"/>
        <w:jc w:val="center"/>
        <w:rPr>
          <w:rFonts w:ascii="宋体" w:hAnsi="宋体"/>
          <w:bCs/>
          <w:color w:val="auto"/>
          <w:sz w:val="36"/>
        </w:rPr>
      </w:pPr>
    </w:p>
    <w:p>
      <w:pPr>
        <w:spacing w:line="360" w:lineRule="auto"/>
        <w:ind w:left="1751" w:hanging="1751" w:hangingChars="545"/>
        <w:rPr>
          <w:rFonts w:ascii="宋体" w:hAnsi="宋体"/>
          <w:b/>
          <w:bCs/>
          <w:color w:val="auto"/>
          <w:sz w:val="32"/>
          <w:szCs w:val="32"/>
        </w:rPr>
      </w:pPr>
      <w:r>
        <w:rPr>
          <w:rFonts w:hint="eastAsia" w:ascii="宋体" w:hAnsi="宋体"/>
          <w:b/>
          <w:bCs/>
          <w:color w:val="auto"/>
          <w:sz w:val="32"/>
          <w:szCs w:val="32"/>
        </w:rPr>
        <w:t>项目名称：</w:t>
      </w:r>
      <w:r>
        <w:rPr>
          <w:rFonts w:hint="eastAsia" w:ascii="宋体" w:hAnsi="宋体"/>
          <w:b/>
          <w:bCs/>
          <w:color w:val="auto"/>
          <w:sz w:val="32"/>
          <w:szCs w:val="32"/>
          <w:lang w:eastAsia="zh-CN"/>
        </w:rPr>
        <w:t>成都市锦江区殡葬服务中心悼念厅观光电梯及安装（二次）采购项目</w:t>
      </w:r>
    </w:p>
    <w:p>
      <w:pPr>
        <w:spacing w:line="360" w:lineRule="auto"/>
        <w:rPr>
          <w:rFonts w:ascii="宋体" w:hAnsi="宋体"/>
          <w:b/>
          <w:color w:val="auto"/>
          <w:sz w:val="32"/>
          <w:szCs w:val="32"/>
          <w:u w:val="single"/>
        </w:rPr>
      </w:pPr>
      <w:r>
        <w:rPr>
          <w:rFonts w:hint="eastAsia" w:ascii="宋体" w:hAnsi="宋体"/>
          <w:b/>
          <w:bCs/>
          <w:color w:val="auto"/>
          <w:sz w:val="32"/>
          <w:szCs w:val="32"/>
        </w:rPr>
        <w:t>项目编号：</w:t>
      </w:r>
      <w:r>
        <w:rPr>
          <w:rFonts w:hint="eastAsia" w:ascii="宋体" w:hAnsi="宋体"/>
          <w:b/>
          <w:bCs/>
          <w:color w:val="auto"/>
          <w:sz w:val="32"/>
          <w:szCs w:val="32"/>
          <w:lang w:eastAsia="zh-CN"/>
        </w:rPr>
        <w:t xml:space="preserve"> 锦江政采（2021）A0013号-2</w:t>
      </w:r>
    </w:p>
    <w:p>
      <w:pPr>
        <w:spacing w:line="360" w:lineRule="auto"/>
        <w:rPr>
          <w:rFonts w:ascii="宋体" w:hAnsi="宋体"/>
          <w:b/>
          <w:bCs/>
          <w:color w:val="auto"/>
          <w:sz w:val="32"/>
          <w:szCs w:val="32"/>
        </w:rPr>
      </w:pPr>
    </w:p>
    <w:p>
      <w:pPr>
        <w:spacing w:line="360" w:lineRule="auto"/>
        <w:rPr>
          <w:rFonts w:ascii="宋体" w:hAnsi="宋体"/>
          <w:b/>
          <w:bCs/>
          <w:color w:val="auto"/>
          <w:sz w:val="32"/>
          <w:szCs w:val="32"/>
        </w:rPr>
      </w:pPr>
    </w:p>
    <w:p>
      <w:pPr>
        <w:spacing w:line="360" w:lineRule="auto"/>
        <w:rPr>
          <w:rFonts w:ascii="宋体" w:hAnsi="宋体"/>
          <w:b/>
          <w:bCs/>
          <w:color w:val="auto"/>
          <w:sz w:val="32"/>
          <w:szCs w:val="32"/>
        </w:rPr>
      </w:pPr>
    </w:p>
    <w:p>
      <w:pPr>
        <w:spacing w:line="360" w:lineRule="auto"/>
        <w:ind w:firstLine="630" w:firstLineChars="196"/>
        <w:rPr>
          <w:rFonts w:ascii="宋体" w:hAnsi="宋体"/>
          <w:b/>
          <w:bCs/>
          <w:color w:val="auto"/>
          <w:sz w:val="32"/>
          <w:szCs w:val="32"/>
        </w:rPr>
      </w:pPr>
      <w:r>
        <w:rPr>
          <w:rFonts w:hint="eastAsia" w:ascii="宋体" w:hAnsi="宋体"/>
          <w:b/>
          <w:bCs/>
          <w:color w:val="auto"/>
          <w:sz w:val="32"/>
          <w:szCs w:val="32"/>
        </w:rPr>
        <w:t>投标人名称：XXXX</w:t>
      </w:r>
    </w:p>
    <w:p>
      <w:pPr>
        <w:spacing w:line="360" w:lineRule="auto"/>
        <w:ind w:firstLine="569" w:firstLineChars="177"/>
        <w:rPr>
          <w:rFonts w:ascii="宋体" w:hAnsi="宋体"/>
          <w:b/>
          <w:bCs/>
          <w:color w:val="auto"/>
          <w:sz w:val="32"/>
          <w:szCs w:val="32"/>
        </w:rPr>
      </w:pPr>
      <w:r>
        <w:rPr>
          <w:rFonts w:hint="eastAsia" w:ascii="宋体" w:hAnsi="宋体"/>
          <w:b/>
          <w:bCs/>
          <w:color w:val="auto"/>
          <w:sz w:val="32"/>
          <w:szCs w:val="32"/>
        </w:rPr>
        <w:t>日       期：202X年XX月XX日</w:t>
      </w:r>
    </w:p>
    <w:p>
      <w:pPr>
        <w:spacing w:line="360" w:lineRule="auto"/>
        <w:ind w:firstLine="569" w:firstLineChars="177"/>
        <w:rPr>
          <w:rFonts w:ascii="宋体" w:hAnsi="宋体"/>
          <w:b/>
          <w:bCs/>
          <w:color w:val="auto"/>
          <w:sz w:val="32"/>
          <w:szCs w:val="32"/>
        </w:rPr>
      </w:pPr>
    </w:p>
    <w:p>
      <w:pPr>
        <w:spacing w:line="360" w:lineRule="auto"/>
        <w:ind w:firstLine="569" w:firstLineChars="177"/>
        <w:rPr>
          <w:rFonts w:ascii="宋体" w:hAnsi="宋体"/>
          <w:b/>
          <w:bCs/>
          <w:color w:val="auto"/>
          <w:sz w:val="32"/>
          <w:szCs w:val="32"/>
        </w:rPr>
      </w:pPr>
    </w:p>
    <w:p>
      <w:pPr>
        <w:spacing w:line="360" w:lineRule="auto"/>
        <w:ind w:firstLine="569" w:firstLineChars="177"/>
        <w:rPr>
          <w:rFonts w:ascii="宋体" w:hAnsi="宋体"/>
          <w:b/>
          <w:bCs/>
          <w:color w:val="auto"/>
          <w:sz w:val="32"/>
          <w:szCs w:val="32"/>
        </w:rPr>
      </w:pPr>
    </w:p>
    <w:p>
      <w:pPr>
        <w:keepNext/>
        <w:keepLines/>
        <w:numPr>
          <w:ilvl w:val="1"/>
          <w:numId w:val="5"/>
        </w:numPr>
        <w:spacing w:before="260" w:after="260" w:line="360" w:lineRule="auto"/>
        <w:jc w:val="left"/>
        <w:outlineLvl w:val="1"/>
        <w:rPr>
          <w:rFonts w:ascii="宋体" w:hAnsi="宋体"/>
          <w:b/>
          <w:bCs/>
          <w:color w:val="auto"/>
          <w:sz w:val="28"/>
          <w:szCs w:val="28"/>
        </w:rPr>
      </w:pPr>
      <w:bookmarkStart w:id="118" w:name="_Toc1543"/>
      <w:r>
        <w:rPr>
          <w:rFonts w:hint="eastAsia" w:ascii="宋体" w:hAnsi="宋体"/>
          <w:b/>
          <w:bCs/>
          <w:color w:val="auto"/>
          <w:sz w:val="28"/>
          <w:szCs w:val="28"/>
        </w:rPr>
        <w:t>资格响应文件</w:t>
      </w:r>
      <w:bookmarkEnd w:id="118"/>
    </w:p>
    <w:p>
      <w:pPr>
        <w:keepNext/>
        <w:keepLines/>
        <w:numPr>
          <w:ilvl w:val="2"/>
          <w:numId w:val="5"/>
        </w:numPr>
        <w:spacing w:line="360" w:lineRule="auto"/>
        <w:ind w:left="3119" w:hanging="3119"/>
        <w:outlineLvl w:val="2"/>
        <w:rPr>
          <w:rFonts w:ascii="宋体" w:hAnsi="宋体"/>
          <w:b/>
          <w:bCs/>
          <w:color w:val="auto"/>
          <w:sz w:val="28"/>
          <w:szCs w:val="28"/>
        </w:rPr>
      </w:pPr>
      <w:r>
        <w:rPr>
          <w:rFonts w:hint="eastAsia" w:ascii="宋体" w:hAnsi="宋体"/>
          <w:b/>
          <w:bCs/>
          <w:color w:val="auto"/>
          <w:sz w:val="28"/>
          <w:szCs w:val="28"/>
        </w:rPr>
        <w:t>关于投标人资格申明的函</w:t>
      </w:r>
    </w:p>
    <w:p>
      <w:pPr>
        <w:spacing w:line="360" w:lineRule="auto"/>
        <w:rPr>
          <w:rFonts w:ascii="宋体" w:hAnsi="宋体"/>
          <w:color w:val="auto"/>
          <w:sz w:val="28"/>
          <w:szCs w:val="28"/>
        </w:rPr>
      </w:pPr>
      <w:bookmarkStart w:id="119" w:name="_Toc238581782"/>
      <w:bookmarkStart w:id="120" w:name="_Toc119295087"/>
      <w:bookmarkStart w:id="121" w:name="_Toc52184753"/>
      <w:bookmarkStart w:id="122" w:name="_Toc119296788"/>
      <w:bookmarkStart w:id="123" w:name="_Toc119203988"/>
      <w:bookmarkStart w:id="124" w:name="_Toc146903609"/>
      <w:r>
        <w:rPr>
          <w:rFonts w:hint="eastAsia" w:ascii="宋体" w:hAnsi="宋体"/>
          <w:color w:val="auto"/>
          <w:sz w:val="28"/>
          <w:szCs w:val="28"/>
        </w:rPr>
        <w:t>致：</w:t>
      </w:r>
      <w:bookmarkEnd w:id="119"/>
      <w:r>
        <w:rPr>
          <w:rFonts w:hint="eastAsia" w:ascii="宋体" w:hAnsi="宋体"/>
          <w:color w:val="auto"/>
          <w:sz w:val="28"/>
          <w:szCs w:val="28"/>
          <w:lang w:eastAsia="zh-CN"/>
        </w:rPr>
        <w:t>成都市锦江区政府采购中心</w:t>
      </w:r>
    </w:p>
    <w:p>
      <w:pPr>
        <w:spacing w:line="360" w:lineRule="auto"/>
        <w:ind w:firstLine="566" w:firstLineChars="202"/>
        <w:rPr>
          <w:rFonts w:ascii="宋体" w:hAnsi="宋体"/>
          <w:color w:val="auto"/>
          <w:sz w:val="28"/>
          <w:szCs w:val="28"/>
        </w:rPr>
      </w:pPr>
      <w:bookmarkStart w:id="125" w:name="_Toc238581783"/>
      <w:r>
        <w:rPr>
          <w:rFonts w:hint="eastAsia" w:ascii="宋体" w:hAnsi="宋体"/>
          <w:color w:val="auto"/>
          <w:sz w:val="28"/>
          <w:szCs w:val="28"/>
        </w:rPr>
        <w:t>关于我方对</w:t>
      </w:r>
      <w:r>
        <w:rPr>
          <w:rFonts w:hint="eastAsia" w:ascii="宋体" w:hAnsi="宋体"/>
          <w:b/>
          <w:color w:val="auto"/>
          <w:sz w:val="28"/>
          <w:szCs w:val="28"/>
          <w:u w:val="single"/>
          <w:lang w:eastAsia="zh-CN"/>
        </w:rPr>
        <w:t>成都市锦江区殡葬服务中心悼念厅观光电梯及安装（二次）采购项目</w:t>
      </w:r>
      <w:r>
        <w:rPr>
          <w:rFonts w:hint="eastAsia" w:ascii="宋体" w:hAnsi="宋体"/>
          <w:b/>
          <w:color w:val="auto"/>
          <w:sz w:val="28"/>
          <w:szCs w:val="28"/>
          <w:u w:val="single"/>
        </w:rPr>
        <w:t>（项目编号：</w:t>
      </w:r>
      <w:r>
        <w:rPr>
          <w:rFonts w:hint="eastAsia" w:ascii="宋体" w:hAnsi="宋体"/>
          <w:b/>
          <w:color w:val="auto"/>
          <w:sz w:val="28"/>
          <w:szCs w:val="28"/>
          <w:u w:val="single"/>
          <w:lang w:eastAsia="zh-CN"/>
        </w:rPr>
        <w:t xml:space="preserve"> 锦江政采（2021）A0013号-2</w:t>
      </w:r>
      <w:r>
        <w:rPr>
          <w:rFonts w:hint="eastAsia" w:ascii="宋体" w:hAnsi="宋体"/>
          <w:b/>
          <w:color w:val="auto"/>
          <w:sz w:val="28"/>
          <w:szCs w:val="28"/>
          <w:u w:val="single"/>
        </w:rPr>
        <w:t>）</w:t>
      </w:r>
      <w:r>
        <w:rPr>
          <w:rFonts w:hint="eastAsia" w:ascii="宋体" w:hAnsi="宋体"/>
          <w:color w:val="auto"/>
          <w:sz w:val="28"/>
          <w:szCs w:val="28"/>
        </w:rPr>
        <w:t>的公开招标，提交的下列文件和说明是准确的和真实的。</w:t>
      </w:r>
      <w:bookmarkEnd w:id="125"/>
    </w:p>
    <w:p>
      <w:pPr>
        <w:widowControl/>
        <w:numPr>
          <w:ilvl w:val="2"/>
          <w:numId w:val="34"/>
        </w:numPr>
        <w:spacing w:line="360" w:lineRule="auto"/>
        <w:ind w:left="0" w:firstLine="560" w:firstLineChars="200"/>
        <w:rPr>
          <w:rFonts w:ascii="宋体" w:hAnsi="宋体"/>
          <w:color w:val="auto"/>
          <w:sz w:val="28"/>
          <w:szCs w:val="28"/>
        </w:rPr>
      </w:pPr>
      <w:bookmarkStart w:id="126" w:name="_Toc238581784"/>
      <w:r>
        <w:rPr>
          <w:rFonts w:hint="eastAsia" w:ascii="宋体" w:hAnsi="宋体"/>
          <w:color w:val="auto"/>
          <w:sz w:val="28"/>
          <w:szCs w:val="28"/>
        </w:rPr>
        <w:t>投标人名称及概况：</w:t>
      </w:r>
      <w:bookmarkEnd w:id="120"/>
      <w:bookmarkEnd w:id="121"/>
      <w:bookmarkEnd w:id="122"/>
      <w:bookmarkEnd w:id="123"/>
      <w:bookmarkEnd w:id="124"/>
      <w:bookmarkEnd w:id="126"/>
    </w:p>
    <w:p>
      <w:pPr>
        <w:widowControl/>
        <w:numPr>
          <w:ilvl w:val="0"/>
          <w:numId w:val="35"/>
        </w:numPr>
        <w:spacing w:line="360" w:lineRule="auto"/>
        <w:ind w:left="0" w:firstLine="560" w:firstLineChars="200"/>
        <w:jc w:val="left"/>
        <w:rPr>
          <w:rFonts w:ascii="宋体" w:hAnsi="宋体"/>
          <w:color w:val="auto"/>
          <w:sz w:val="28"/>
          <w:szCs w:val="28"/>
        </w:rPr>
      </w:pPr>
      <w:r>
        <w:rPr>
          <w:rFonts w:hint="eastAsia" w:ascii="宋体" w:hAnsi="宋体"/>
          <w:color w:val="auto"/>
          <w:sz w:val="28"/>
          <w:szCs w:val="28"/>
        </w:rPr>
        <w:t>投标人名称：XXXX</w:t>
      </w:r>
    </w:p>
    <w:p>
      <w:pPr>
        <w:widowControl/>
        <w:numPr>
          <w:ilvl w:val="0"/>
          <w:numId w:val="35"/>
        </w:numPr>
        <w:spacing w:line="360" w:lineRule="auto"/>
        <w:ind w:left="0" w:firstLine="560" w:firstLineChars="200"/>
        <w:jc w:val="left"/>
        <w:rPr>
          <w:rFonts w:ascii="宋体" w:hAnsi="宋体"/>
          <w:color w:val="auto"/>
          <w:sz w:val="28"/>
          <w:szCs w:val="28"/>
        </w:rPr>
      </w:pPr>
      <w:r>
        <w:rPr>
          <w:rFonts w:hint="eastAsia" w:ascii="宋体" w:hAnsi="宋体"/>
          <w:color w:val="auto"/>
          <w:sz w:val="28"/>
          <w:szCs w:val="28"/>
        </w:rPr>
        <w:t>地址：XXXX           邮编：XXXX</w:t>
      </w:r>
    </w:p>
    <w:p>
      <w:pPr>
        <w:spacing w:line="360" w:lineRule="auto"/>
        <w:ind w:firstLine="700" w:firstLineChars="250"/>
        <w:rPr>
          <w:rFonts w:ascii="宋体" w:hAnsi="宋体"/>
          <w:color w:val="auto"/>
          <w:sz w:val="28"/>
          <w:szCs w:val="28"/>
          <w:u w:val="single"/>
        </w:rPr>
      </w:pPr>
      <w:r>
        <w:rPr>
          <w:rFonts w:hint="eastAsia" w:ascii="宋体" w:hAnsi="宋体"/>
          <w:color w:val="auto"/>
          <w:sz w:val="28"/>
          <w:szCs w:val="28"/>
        </w:rPr>
        <w:t>传真/电话：XXXX</w:t>
      </w:r>
    </w:p>
    <w:p>
      <w:pPr>
        <w:widowControl/>
        <w:numPr>
          <w:ilvl w:val="0"/>
          <w:numId w:val="35"/>
        </w:numPr>
        <w:spacing w:line="360" w:lineRule="auto"/>
        <w:ind w:left="0" w:firstLine="560" w:firstLineChars="200"/>
        <w:jc w:val="left"/>
        <w:rPr>
          <w:rFonts w:ascii="宋体" w:hAnsi="宋体"/>
          <w:color w:val="auto"/>
          <w:sz w:val="28"/>
          <w:szCs w:val="28"/>
        </w:rPr>
      </w:pPr>
      <w:r>
        <w:rPr>
          <w:rFonts w:hint="eastAsia" w:ascii="宋体" w:hAnsi="宋体"/>
          <w:color w:val="auto"/>
          <w:sz w:val="28"/>
          <w:szCs w:val="28"/>
        </w:rPr>
        <w:t>成立日期或注册日期：XXXX</w:t>
      </w:r>
    </w:p>
    <w:p>
      <w:pPr>
        <w:widowControl/>
        <w:numPr>
          <w:ilvl w:val="0"/>
          <w:numId w:val="35"/>
        </w:numPr>
        <w:spacing w:line="360" w:lineRule="auto"/>
        <w:ind w:left="0" w:firstLine="560" w:firstLineChars="200"/>
        <w:jc w:val="left"/>
        <w:rPr>
          <w:rFonts w:ascii="宋体" w:hAnsi="宋体"/>
          <w:color w:val="auto"/>
          <w:sz w:val="28"/>
          <w:szCs w:val="28"/>
          <w:u w:val="single"/>
        </w:rPr>
      </w:pPr>
      <w:r>
        <w:rPr>
          <w:rFonts w:hint="eastAsia" w:ascii="宋体" w:hAnsi="宋体"/>
          <w:color w:val="auto"/>
          <w:sz w:val="28"/>
          <w:szCs w:val="28"/>
        </w:rPr>
        <w:t>法定代表人姓名：XXXX</w:t>
      </w:r>
    </w:p>
    <w:p>
      <w:pPr>
        <w:widowControl/>
        <w:numPr>
          <w:ilvl w:val="2"/>
          <w:numId w:val="34"/>
        </w:numPr>
        <w:tabs>
          <w:tab w:val="left" w:pos="1276"/>
        </w:tabs>
        <w:spacing w:line="360" w:lineRule="auto"/>
        <w:ind w:left="0" w:firstLine="567"/>
        <w:rPr>
          <w:rFonts w:ascii="宋体" w:hAnsi="宋体"/>
          <w:color w:val="auto"/>
          <w:sz w:val="28"/>
          <w:szCs w:val="28"/>
        </w:rPr>
      </w:pPr>
      <w:r>
        <w:rPr>
          <w:rFonts w:hint="eastAsia" w:ascii="宋体" w:hAnsi="宋体"/>
          <w:color w:val="auto"/>
          <w:sz w:val="28"/>
          <w:szCs w:val="28"/>
        </w:rPr>
        <w:t>开户银行名称：XXXX</w:t>
      </w:r>
    </w:p>
    <w:p>
      <w:pPr>
        <w:spacing w:line="360" w:lineRule="auto"/>
        <w:ind w:firstLine="1260" w:firstLineChars="450"/>
        <w:rPr>
          <w:rFonts w:ascii="宋体" w:hAnsi="宋体"/>
          <w:color w:val="auto"/>
          <w:sz w:val="28"/>
          <w:szCs w:val="28"/>
          <w:u w:val="single"/>
        </w:rPr>
      </w:pPr>
      <w:r>
        <w:rPr>
          <w:rFonts w:hint="eastAsia" w:ascii="宋体" w:hAnsi="宋体"/>
          <w:color w:val="auto"/>
          <w:sz w:val="28"/>
          <w:szCs w:val="28"/>
        </w:rPr>
        <w:t>地址：XXXX</w:t>
      </w:r>
    </w:p>
    <w:p>
      <w:pPr>
        <w:spacing w:line="360" w:lineRule="auto"/>
        <w:ind w:firstLine="1260" w:firstLineChars="450"/>
        <w:rPr>
          <w:rFonts w:ascii="宋体" w:hAnsi="宋体"/>
          <w:color w:val="auto"/>
          <w:sz w:val="28"/>
          <w:szCs w:val="28"/>
        </w:rPr>
      </w:pPr>
      <w:r>
        <w:rPr>
          <w:rFonts w:hint="eastAsia" w:ascii="宋体" w:hAnsi="宋体"/>
          <w:color w:val="auto"/>
          <w:sz w:val="28"/>
          <w:szCs w:val="28"/>
        </w:rPr>
        <w:t>账号：XXXX</w:t>
      </w:r>
    </w:p>
    <w:p>
      <w:pPr>
        <w:spacing w:line="360" w:lineRule="auto"/>
        <w:ind w:left="560"/>
        <w:rPr>
          <w:rFonts w:ascii="宋体" w:hAnsi="宋体"/>
          <w:color w:val="auto"/>
          <w:sz w:val="28"/>
          <w:szCs w:val="28"/>
        </w:rPr>
      </w:pPr>
    </w:p>
    <w:p>
      <w:pPr>
        <w:spacing w:line="360" w:lineRule="auto"/>
        <w:ind w:left="560"/>
        <w:rPr>
          <w:rFonts w:ascii="宋体" w:hAnsi="宋体"/>
          <w:color w:val="auto"/>
          <w:sz w:val="28"/>
          <w:szCs w:val="28"/>
        </w:rPr>
      </w:pPr>
    </w:p>
    <w:p>
      <w:pPr>
        <w:spacing w:line="360" w:lineRule="auto"/>
        <w:ind w:left="560"/>
        <w:rPr>
          <w:rFonts w:ascii="宋体" w:hAnsi="宋体"/>
          <w:color w:val="auto"/>
          <w:sz w:val="28"/>
          <w:szCs w:val="28"/>
        </w:rPr>
      </w:pPr>
    </w:p>
    <w:p>
      <w:pPr>
        <w:spacing w:line="360" w:lineRule="auto"/>
        <w:ind w:left="560"/>
        <w:rPr>
          <w:rFonts w:ascii="宋体" w:hAnsi="宋体"/>
          <w:color w:val="auto"/>
          <w:sz w:val="28"/>
          <w:szCs w:val="28"/>
        </w:rPr>
      </w:pPr>
    </w:p>
    <w:p>
      <w:pPr>
        <w:spacing w:line="360" w:lineRule="auto"/>
        <w:ind w:left="560"/>
        <w:rPr>
          <w:rFonts w:ascii="宋体" w:hAnsi="宋体"/>
          <w:color w:val="auto"/>
          <w:sz w:val="28"/>
          <w:szCs w:val="28"/>
        </w:rPr>
      </w:pPr>
    </w:p>
    <w:p>
      <w:pPr>
        <w:spacing w:line="360" w:lineRule="auto"/>
        <w:ind w:left="560"/>
        <w:rPr>
          <w:rFonts w:ascii="宋体" w:hAnsi="宋体"/>
          <w:color w:val="auto"/>
          <w:sz w:val="28"/>
          <w:szCs w:val="28"/>
        </w:rPr>
      </w:pPr>
    </w:p>
    <w:p>
      <w:pPr>
        <w:spacing w:line="360" w:lineRule="auto"/>
        <w:ind w:firstLine="560" w:firstLineChars="200"/>
        <w:rPr>
          <w:rFonts w:ascii="宋体" w:hAnsi="宋体"/>
          <w:color w:val="auto"/>
          <w:sz w:val="28"/>
          <w:szCs w:val="28"/>
        </w:rPr>
      </w:pPr>
      <w:r>
        <w:rPr>
          <w:rFonts w:hint="eastAsia" w:ascii="宋体" w:hAnsi="宋体"/>
          <w:color w:val="auto"/>
          <w:sz w:val="28"/>
          <w:szCs w:val="28"/>
        </w:rPr>
        <w:t>投标人名称：</w:t>
      </w:r>
      <w:r>
        <w:rPr>
          <w:rFonts w:hint="eastAsia" w:ascii="宋体" w:hAnsi="宋体"/>
          <w:color w:val="auto"/>
          <w:sz w:val="28"/>
          <w:szCs w:val="28"/>
          <w:u w:val="single"/>
        </w:rPr>
        <w:t>XXXX</w:t>
      </w:r>
    </w:p>
    <w:p>
      <w:pPr>
        <w:spacing w:line="360" w:lineRule="auto"/>
        <w:ind w:left="283" w:leftChars="135" w:firstLine="280" w:firstLineChars="100"/>
        <w:rPr>
          <w:rFonts w:ascii="宋体" w:hAnsi="宋体"/>
          <w:color w:val="auto"/>
          <w:sz w:val="28"/>
          <w:szCs w:val="28"/>
          <w:u w:val="single"/>
        </w:rPr>
      </w:pPr>
      <w:r>
        <w:rPr>
          <w:rFonts w:hint="eastAsia" w:ascii="宋体" w:hAnsi="宋体"/>
          <w:bCs/>
          <w:color w:val="auto"/>
          <w:sz w:val="28"/>
          <w:szCs w:val="28"/>
        </w:rPr>
        <w:t>日    期：</w:t>
      </w:r>
      <w:r>
        <w:rPr>
          <w:rFonts w:hint="eastAsia" w:ascii="宋体" w:hAnsi="宋体"/>
          <w:bCs/>
          <w:color w:val="auto"/>
          <w:sz w:val="28"/>
        </w:rPr>
        <w:t>202</w:t>
      </w:r>
      <w:r>
        <w:rPr>
          <w:rFonts w:hint="eastAsia" w:ascii="宋体" w:hAnsi="宋体"/>
          <w:bCs/>
          <w:color w:val="auto"/>
          <w:sz w:val="28"/>
          <w:u w:val="single"/>
        </w:rPr>
        <w:t>X</w:t>
      </w:r>
      <w:r>
        <w:rPr>
          <w:rFonts w:hint="eastAsia" w:ascii="宋体" w:hAnsi="宋体"/>
          <w:bCs/>
          <w:color w:val="auto"/>
          <w:sz w:val="28"/>
        </w:rPr>
        <w:t>年</w:t>
      </w:r>
      <w:r>
        <w:rPr>
          <w:rFonts w:hint="eastAsia" w:ascii="宋体" w:hAnsi="宋体"/>
          <w:bCs/>
          <w:color w:val="auto"/>
          <w:sz w:val="28"/>
          <w:u w:val="single"/>
        </w:rPr>
        <w:t>XX</w:t>
      </w:r>
      <w:r>
        <w:rPr>
          <w:rFonts w:hint="eastAsia" w:ascii="宋体" w:hAnsi="宋体"/>
          <w:bCs/>
          <w:color w:val="auto"/>
          <w:sz w:val="28"/>
        </w:rPr>
        <w:t>月</w:t>
      </w:r>
      <w:r>
        <w:rPr>
          <w:rFonts w:hint="eastAsia" w:ascii="宋体" w:hAnsi="宋体"/>
          <w:bCs/>
          <w:color w:val="auto"/>
          <w:sz w:val="28"/>
          <w:u w:val="single"/>
        </w:rPr>
        <w:t>XX</w:t>
      </w:r>
      <w:r>
        <w:rPr>
          <w:rFonts w:hint="eastAsia" w:ascii="宋体" w:hAnsi="宋体"/>
          <w:bCs/>
          <w:color w:val="auto"/>
          <w:sz w:val="28"/>
        </w:rPr>
        <w:t>日</w:t>
      </w:r>
    </w:p>
    <w:p>
      <w:pPr>
        <w:keepNext/>
        <w:keepLines/>
        <w:numPr>
          <w:ilvl w:val="2"/>
          <w:numId w:val="5"/>
        </w:numPr>
        <w:spacing w:line="360" w:lineRule="auto"/>
        <w:ind w:left="0" w:firstLine="0"/>
        <w:outlineLvl w:val="2"/>
        <w:rPr>
          <w:rFonts w:ascii="宋体" w:hAnsi="宋体"/>
          <w:b/>
          <w:bCs/>
          <w:color w:val="auto"/>
          <w:sz w:val="28"/>
          <w:szCs w:val="28"/>
        </w:rPr>
      </w:pPr>
      <w:r>
        <w:rPr>
          <w:rFonts w:hint="eastAsia" w:ascii="宋体" w:hAnsi="宋体"/>
          <w:b/>
          <w:bCs/>
          <w:color w:val="auto"/>
          <w:sz w:val="28"/>
          <w:szCs w:val="28"/>
        </w:rPr>
        <w:t>声明</w:t>
      </w:r>
    </w:p>
    <w:p>
      <w:pPr>
        <w:tabs>
          <w:tab w:val="left" w:pos="1260"/>
        </w:tabs>
        <w:spacing w:line="560" w:lineRule="exact"/>
        <w:ind w:firstLine="560" w:firstLineChars="200"/>
        <w:rPr>
          <w:rFonts w:ascii="宋体" w:hAnsi="宋体"/>
          <w:color w:val="auto"/>
          <w:sz w:val="28"/>
          <w:szCs w:val="28"/>
        </w:rPr>
      </w:pPr>
      <w:r>
        <w:rPr>
          <w:rFonts w:hint="eastAsia" w:ascii="宋体" w:hAnsi="宋体"/>
          <w:color w:val="auto"/>
          <w:sz w:val="28"/>
          <w:szCs w:val="28"/>
        </w:rPr>
        <w:t>致：</w:t>
      </w:r>
      <w:r>
        <w:rPr>
          <w:rFonts w:hint="eastAsia" w:ascii="宋体" w:hAnsi="宋体"/>
          <w:color w:val="auto"/>
          <w:sz w:val="28"/>
          <w:szCs w:val="28"/>
          <w:lang w:eastAsia="zh-CN"/>
        </w:rPr>
        <w:t>成都市锦江区政府采购中心</w:t>
      </w:r>
    </w:p>
    <w:p>
      <w:pPr>
        <w:tabs>
          <w:tab w:val="left" w:pos="1260"/>
        </w:tabs>
        <w:spacing w:line="560" w:lineRule="exact"/>
        <w:ind w:firstLine="560" w:firstLineChars="200"/>
        <w:rPr>
          <w:rFonts w:ascii="宋体" w:hAnsi="宋体"/>
          <w:color w:val="auto"/>
          <w:sz w:val="28"/>
          <w:szCs w:val="28"/>
        </w:rPr>
      </w:pPr>
      <w:r>
        <w:rPr>
          <w:rFonts w:hint="eastAsia" w:ascii="宋体" w:hAnsi="宋体"/>
          <w:color w:val="auto"/>
          <w:sz w:val="28"/>
          <w:szCs w:val="28"/>
        </w:rPr>
        <w:t>我单位作为</w:t>
      </w:r>
      <w:r>
        <w:rPr>
          <w:rFonts w:hint="eastAsia" w:ascii="宋体" w:hAnsi="宋体"/>
          <w:b/>
          <w:color w:val="auto"/>
          <w:sz w:val="28"/>
          <w:szCs w:val="28"/>
          <w:u w:val="single"/>
          <w:lang w:eastAsia="zh-CN"/>
        </w:rPr>
        <w:t>成都市锦江区殡葬服务中心悼念厅观光电梯及安装（二次）采购项目</w:t>
      </w:r>
      <w:r>
        <w:rPr>
          <w:rFonts w:hint="eastAsia" w:ascii="宋体" w:hAnsi="宋体"/>
          <w:b/>
          <w:color w:val="auto"/>
          <w:sz w:val="28"/>
          <w:szCs w:val="28"/>
          <w:u w:val="single"/>
        </w:rPr>
        <w:t>（项目编号：</w:t>
      </w:r>
      <w:r>
        <w:rPr>
          <w:rFonts w:hint="eastAsia" w:ascii="宋体" w:hAnsi="宋体"/>
          <w:b/>
          <w:color w:val="auto"/>
          <w:sz w:val="28"/>
          <w:szCs w:val="28"/>
          <w:u w:val="single"/>
          <w:lang w:eastAsia="zh-CN"/>
        </w:rPr>
        <w:t xml:space="preserve"> 锦江政采（2021）A0013号-2</w:t>
      </w:r>
      <w:r>
        <w:rPr>
          <w:rFonts w:hint="eastAsia" w:ascii="宋体" w:hAnsi="宋体"/>
          <w:b/>
          <w:color w:val="auto"/>
          <w:sz w:val="28"/>
          <w:szCs w:val="28"/>
          <w:u w:val="single"/>
        </w:rPr>
        <w:t>）</w:t>
      </w:r>
      <w:r>
        <w:rPr>
          <w:rFonts w:hint="eastAsia" w:ascii="宋体" w:hAnsi="宋体"/>
          <w:color w:val="auto"/>
          <w:sz w:val="28"/>
          <w:szCs w:val="28"/>
        </w:rPr>
        <w:t>的投标人，在此郑重声明：</w:t>
      </w:r>
    </w:p>
    <w:p>
      <w:pPr>
        <w:tabs>
          <w:tab w:val="left" w:pos="1260"/>
        </w:tabs>
        <w:spacing w:line="560" w:lineRule="exact"/>
        <w:ind w:firstLine="560" w:firstLineChars="200"/>
        <w:rPr>
          <w:rFonts w:ascii="宋体" w:hAnsi="宋体"/>
          <w:color w:val="auto"/>
          <w:sz w:val="28"/>
          <w:szCs w:val="28"/>
        </w:rPr>
      </w:pPr>
      <w:r>
        <w:rPr>
          <w:rFonts w:hint="eastAsia" w:ascii="宋体" w:hAnsi="宋体"/>
          <w:color w:val="auto"/>
          <w:sz w:val="28"/>
          <w:szCs w:val="28"/>
        </w:rPr>
        <w:t>一、我单位参加政府采购活动前三年内，在经营活动中</w:t>
      </w:r>
      <w:r>
        <w:rPr>
          <w:rFonts w:hint="eastAsia" w:ascii="宋体" w:hAnsi="宋体"/>
          <w:b/>
          <w:color w:val="auto"/>
          <w:sz w:val="28"/>
          <w:szCs w:val="28"/>
          <w:u w:val="single"/>
        </w:rPr>
        <w:t>（说明：填写“没有”或“有”）</w:t>
      </w:r>
      <w:r>
        <w:rPr>
          <w:rFonts w:hint="eastAsia" w:ascii="宋体" w:hAnsi="宋体"/>
          <w:color w:val="auto"/>
          <w:sz w:val="28"/>
          <w:szCs w:val="28"/>
        </w:rPr>
        <w:t>重大违法记录。</w:t>
      </w:r>
    </w:p>
    <w:p>
      <w:pPr>
        <w:tabs>
          <w:tab w:val="left" w:pos="1260"/>
        </w:tabs>
        <w:spacing w:line="560" w:lineRule="exact"/>
        <w:ind w:firstLine="560" w:firstLineChars="200"/>
        <w:rPr>
          <w:rFonts w:ascii="宋体" w:hAnsi="宋体"/>
          <w:color w:val="auto"/>
          <w:sz w:val="28"/>
          <w:szCs w:val="28"/>
        </w:rPr>
      </w:pPr>
      <w:r>
        <w:rPr>
          <w:rFonts w:hint="eastAsia" w:ascii="宋体" w:hAnsi="宋体"/>
          <w:color w:val="auto"/>
          <w:sz w:val="28"/>
          <w:szCs w:val="28"/>
        </w:rPr>
        <w:t>二、我单位</w:t>
      </w:r>
      <w:r>
        <w:rPr>
          <w:rFonts w:hint="eastAsia" w:ascii="宋体" w:hAnsi="宋体"/>
          <w:b/>
          <w:color w:val="auto"/>
          <w:sz w:val="28"/>
          <w:szCs w:val="28"/>
          <w:u w:val="single"/>
        </w:rPr>
        <w:t>（说明：填写“具有”或“不具有”）</w:t>
      </w:r>
      <w:r>
        <w:rPr>
          <w:rFonts w:hint="eastAsia" w:ascii="宋体" w:hAnsi="宋体"/>
          <w:color w:val="auto"/>
          <w:sz w:val="28"/>
          <w:szCs w:val="28"/>
        </w:rPr>
        <w:t>良好的商业信誉。</w:t>
      </w:r>
    </w:p>
    <w:p>
      <w:pPr>
        <w:tabs>
          <w:tab w:val="left" w:pos="1260"/>
        </w:tabs>
        <w:spacing w:line="560" w:lineRule="exact"/>
        <w:ind w:firstLine="560" w:firstLineChars="200"/>
        <w:rPr>
          <w:rFonts w:ascii="宋体" w:hAnsi="宋体"/>
          <w:color w:val="auto"/>
          <w:sz w:val="28"/>
          <w:szCs w:val="28"/>
        </w:rPr>
      </w:pPr>
      <w:r>
        <w:rPr>
          <w:rFonts w:hint="eastAsia" w:ascii="宋体" w:hAnsi="宋体"/>
          <w:color w:val="auto"/>
          <w:sz w:val="28"/>
          <w:szCs w:val="28"/>
        </w:rPr>
        <w:t>三、与我单位负责人为同一人或者存在直接控股、管理关系的相关供应商：</w:t>
      </w:r>
      <w:r>
        <w:rPr>
          <w:rFonts w:hint="eastAsia" w:ascii="宋体" w:hAnsi="宋体"/>
          <w:b/>
          <w:color w:val="auto"/>
          <w:sz w:val="28"/>
          <w:szCs w:val="28"/>
          <w:u w:val="single"/>
        </w:rPr>
        <w:t>（说明：填写“无”或“（一）供应商名称１；（二）供应商名称２；（三）……”）</w:t>
      </w:r>
      <w:r>
        <w:rPr>
          <w:rFonts w:hint="eastAsia" w:ascii="宋体" w:hAnsi="宋体"/>
          <w:b/>
          <w:color w:val="auto"/>
          <w:sz w:val="28"/>
          <w:szCs w:val="28"/>
        </w:rPr>
        <w:t xml:space="preserve"> </w:t>
      </w:r>
      <w:r>
        <w:rPr>
          <w:rFonts w:hint="eastAsia" w:ascii="宋体" w:hAnsi="宋体"/>
          <w:color w:val="auto"/>
          <w:sz w:val="28"/>
          <w:szCs w:val="28"/>
        </w:rPr>
        <w:t>。</w:t>
      </w:r>
    </w:p>
    <w:p>
      <w:pPr>
        <w:tabs>
          <w:tab w:val="left" w:pos="1260"/>
        </w:tabs>
        <w:spacing w:line="560" w:lineRule="exact"/>
        <w:ind w:firstLine="560" w:firstLineChars="200"/>
        <w:rPr>
          <w:rFonts w:ascii="宋体" w:hAnsi="宋体"/>
          <w:color w:val="auto"/>
          <w:sz w:val="28"/>
          <w:szCs w:val="28"/>
        </w:rPr>
      </w:pPr>
      <w:r>
        <w:rPr>
          <w:rFonts w:hint="eastAsia" w:ascii="宋体" w:hAnsi="宋体"/>
          <w:color w:val="auto"/>
          <w:sz w:val="28"/>
          <w:szCs w:val="28"/>
        </w:rPr>
        <w:t>四、在行贿犯罪信息查询期限内，我单位及我单位现任法定代表人、主要负责人</w:t>
      </w:r>
      <w:r>
        <w:rPr>
          <w:rFonts w:hint="eastAsia" w:ascii="宋体" w:hAnsi="宋体"/>
          <w:b/>
          <w:color w:val="auto"/>
          <w:sz w:val="28"/>
          <w:szCs w:val="28"/>
          <w:u w:val="single"/>
        </w:rPr>
        <w:t>（说明：填写“没有”或“有”）</w:t>
      </w:r>
      <w:r>
        <w:rPr>
          <w:rFonts w:hint="eastAsia" w:ascii="宋体" w:hAnsi="宋体"/>
          <w:color w:val="auto"/>
          <w:sz w:val="28"/>
          <w:szCs w:val="28"/>
        </w:rPr>
        <w:t>行贿犯罪记录。</w:t>
      </w:r>
    </w:p>
    <w:p>
      <w:pPr>
        <w:tabs>
          <w:tab w:val="left" w:pos="1260"/>
        </w:tabs>
        <w:spacing w:line="360" w:lineRule="auto"/>
        <w:ind w:firstLine="560" w:firstLineChars="200"/>
        <w:rPr>
          <w:rFonts w:ascii="宋体" w:hAnsi="宋体"/>
          <w:color w:val="auto"/>
          <w:sz w:val="28"/>
          <w:szCs w:val="28"/>
        </w:rPr>
      </w:pPr>
      <w:r>
        <w:rPr>
          <w:rFonts w:hint="eastAsia" w:ascii="宋体" w:hAnsi="宋体"/>
          <w:color w:val="auto"/>
          <w:sz w:val="28"/>
          <w:szCs w:val="28"/>
        </w:rPr>
        <w:t>五、我单位</w:t>
      </w:r>
      <w:r>
        <w:rPr>
          <w:rFonts w:hint="eastAsia" w:ascii="宋体" w:hAnsi="宋体"/>
          <w:b/>
          <w:color w:val="auto"/>
          <w:sz w:val="28"/>
          <w:szCs w:val="28"/>
          <w:u w:val="single"/>
        </w:rPr>
        <w:t>（说明：填写“未列入”或“被列入”）</w:t>
      </w:r>
      <w:r>
        <w:rPr>
          <w:rFonts w:hint="eastAsia" w:ascii="宋体" w:hAnsi="宋体"/>
          <w:color w:val="auto"/>
          <w:sz w:val="28"/>
          <w:szCs w:val="28"/>
        </w:rPr>
        <w:t>失信被执行人、重大税收违法案件当事人名单。</w:t>
      </w:r>
    </w:p>
    <w:p>
      <w:pPr>
        <w:tabs>
          <w:tab w:val="left" w:pos="1260"/>
        </w:tabs>
        <w:spacing w:line="360" w:lineRule="auto"/>
        <w:ind w:firstLine="560" w:firstLineChars="200"/>
        <w:rPr>
          <w:rFonts w:ascii="宋体" w:hAnsi="宋体"/>
          <w:color w:val="auto"/>
          <w:sz w:val="28"/>
          <w:szCs w:val="28"/>
        </w:rPr>
      </w:pPr>
      <w:r>
        <w:rPr>
          <w:rFonts w:hint="eastAsia" w:ascii="宋体" w:hAnsi="宋体"/>
          <w:color w:val="auto"/>
          <w:sz w:val="28"/>
          <w:szCs w:val="28"/>
        </w:rPr>
        <w:t>我单位</w:t>
      </w:r>
      <w:r>
        <w:rPr>
          <w:rFonts w:hint="eastAsia" w:ascii="宋体" w:hAnsi="宋体"/>
          <w:b/>
          <w:color w:val="auto"/>
          <w:sz w:val="28"/>
          <w:szCs w:val="28"/>
          <w:u w:val="single"/>
        </w:rPr>
        <w:t>（说明：填写“未列入”或“被列入”）</w:t>
      </w:r>
      <w:r>
        <w:rPr>
          <w:rFonts w:hint="eastAsia" w:ascii="宋体" w:hAnsi="宋体"/>
          <w:color w:val="auto"/>
          <w:sz w:val="28"/>
          <w:szCs w:val="28"/>
        </w:rPr>
        <w:t>政府采购严重违法失信行为记录名单。</w:t>
      </w:r>
    </w:p>
    <w:p>
      <w:pPr>
        <w:numPr>
          <w:ilvl w:val="0"/>
          <w:numId w:val="36"/>
        </w:numPr>
        <w:tabs>
          <w:tab w:val="left" w:pos="1260"/>
        </w:tabs>
        <w:spacing w:line="360" w:lineRule="auto"/>
        <w:ind w:firstLine="560" w:firstLineChars="200"/>
        <w:rPr>
          <w:rFonts w:hint="eastAsia" w:ascii="宋体" w:hAnsi="宋体"/>
          <w:bCs/>
          <w:color w:val="auto"/>
          <w:sz w:val="28"/>
          <w:szCs w:val="28"/>
        </w:rPr>
      </w:pPr>
      <w:r>
        <w:rPr>
          <w:rFonts w:hint="eastAsia" w:ascii="宋体" w:hAnsi="宋体"/>
          <w:color w:val="auto"/>
          <w:sz w:val="28"/>
          <w:szCs w:val="28"/>
        </w:rPr>
        <w:t>我单位</w:t>
      </w:r>
      <w:r>
        <w:rPr>
          <w:rFonts w:hint="eastAsia" w:ascii="宋体" w:hAnsi="宋体"/>
          <w:b/>
          <w:color w:val="auto"/>
          <w:sz w:val="28"/>
          <w:szCs w:val="28"/>
          <w:u w:val="single"/>
        </w:rPr>
        <w:t>（说明：填写“未处于”或“处于”）</w:t>
      </w:r>
      <w:r>
        <w:rPr>
          <w:rFonts w:hint="eastAsia" w:ascii="宋体" w:hAnsi="宋体"/>
          <w:bCs/>
          <w:color w:val="auto"/>
          <w:sz w:val="28"/>
          <w:szCs w:val="28"/>
        </w:rPr>
        <w:t>被行政部门禁止参与政府采购活动的期限内。</w:t>
      </w:r>
    </w:p>
    <w:p>
      <w:pPr>
        <w:spacing w:line="360" w:lineRule="auto"/>
        <w:rPr>
          <w:rFonts w:ascii="宋体" w:hAnsi="宋体"/>
          <w:color w:val="auto"/>
          <w:sz w:val="28"/>
          <w:szCs w:val="28"/>
          <w:highlight w:val="yellow"/>
        </w:rPr>
      </w:pPr>
      <w:r>
        <w:rPr>
          <w:rFonts w:hint="eastAsia" w:ascii="宋体" w:hAnsi="宋体"/>
          <w:color w:val="auto"/>
          <w:sz w:val="28"/>
          <w:szCs w:val="28"/>
          <w:lang w:val="en-US" w:eastAsia="zh-CN"/>
        </w:rPr>
        <w:t xml:space="preserve">    七、</w:t>
      </w:r>
      <w:r>
        <w:rPr>
          <w:rFonts w:hint="eastAsia" w:ascii="宋体" w:hAnsi="宋体"/>
          <w:color w:val="auto"/>
          <w:sz w:val="28"/>
          <w:szCs w:val="28"/>
        </w:rPr>
        <w:t>我单位</w:t>
      </w:r>
      <w:r>
        <w:rPr>
          <w:rFonts w:hint="eastAsia" w:ascii="宋体" w:hAnsi="宋体"/>
          <w:b/>
          <w:color w:val="auto"/>
          <w:sz w:val="28"/>
          <w:szCs w:val="28"/>
          <w:u w:val="single"/>
        </w:rPr>
        <w:t>（说明：填写“不属于”或“属于”）</w:t>
      </w:r>
      <w:r>
        <w:rPr>
          <w:rFonts w:hint="eastAsia" w:ascii="宋体" w:hAnsi="宋体"/>
          <w:color w:val="auto"/>
          <w:sz w:val="28"/>
          <w:szCs w:val="28"/>
        </w:rPr>
        <w:t>联合体参与</w:t>
      </w:r>
      <w:r>
        <w:rPr>
          <w:rFonts w:hint="eastAsia" w:ascii="宋体" w:hAnsi="宋体"/>
          <w:color w:val="auto"/>
          <w:sz w:val="28"/>
          <w:szCs w:val="28"/>
          <w:lang w:eastAsia="zh-CN"/>
        </w:rPr>
        <w:t>投标</w:t>
      </w:r>
      <w:r>
        <w:rPr>
          <w:rFonts w:hint="eastAsia" w:ascii="宋体" w:hAnsi="宋体"/>
          <w:color w:val="auto"/>
          <w:sz w:val="28"/>
          <w:szCs w:val="28"/>
        </w:rPr>
        <w:t>的供应商。</w:t>
      </w:r>
    </w:p>
    <w:p>
      <w:pPr>
        <w:pStyle w:val="3"/>
        <w:rPr>
          <w:color w:val="auto"/>
        </w:rPr>
      </w:pPr>
    </w:p>
    <w:p>
      <w:pPr>
        <w:tabs>
          <w:tab w:val="left" w:pos="1260"/>
        </w:tabs>
        <w:spacing w:line="360" w:lineRule="auto"/>
        <w:ind w:firstLine="560" w:firstLineChars="200"/>
        <w:rPr>
          <w:rFonts w:ascii="宋体" w:hAnsi="宋体"/>
          <w:color w:val="auto"/>
          <w:sz w:val="28"/>
          <w:szCs w:val="28"/>
        </w:rPr>
      </w:pPr>
      <w:r>
        <w:rPr>
          <w:rFonts w:hint="eastAsia" w:ascii="宋体" w:hAnsi="宋体"/>
          <w:color w:val="auto"/>
          <w:sz w:val="28"/>
          <w:szCs w:val="28"/>
        </w:rPr>
        <w:t>特此声明。</w:t>
      </w:r>
    </w:p>
    <w:p>
      <w:pPr>
        <w:tabs>
          <w:tab w:val="left" w:pos="1260"/>
        </w:tabs>
        <w:spacing w:line="560" w:lineRule="exact"/>
        <w:ind w:firstLine="560" w:firstLineChars="200"/>
        <w:rPr>
          <w:rFonts w:ascii="宋体" w:hAnsi="宋体"/>
          <w:color w:val="auto"/>
          <w:sz w:val="28"/>
          <w:szCs w:val="28"/>
        </w:rPr>
      </w:pPr>
      <w:r>
        <w:rPr>
          <w:rFonts w:hint="eastAsia" w:ascii="宋体" w:hAnsi="宋体"/>
          <w:color w:val="auto"/>
          <w:sz w:val="28"/>
          <w:szCs w:val="28"/>
        </w:rPr>
        <w:t>投标人名称：</w:t>
      </w:r>
      <w:r>
        <w:rPr>
          <w:rFonts w:hint="eastAsia" w:ascii="宋体" w:hAnsi="宋体"/>
          <w:color w:val="auto"/>
          <w:sz w:val="28"/>
          <w:szCs w:val="28"/>
          <w:u w:val="single"/>
        </w:rPr>
        <w:t>XXXX</w:t>
      </w:r>
    </w:p>
    <w:p>
      <w:pPr>
        <w:tabs>
          <w:tab w:val="left" w:pos="1260"/>
        </w:tabs>
        <w:spacing w:line="560" w:lineRule="exact"/>
        <w:ind w:firstLine="560" w:firstLineChars="200"/>
        <w:rPr>
          <w:rFonts w:ascii="宋体" w:hAnsi="宋体"/>
          <w:color w:val="auto"/>
          <w:sz w:val="28"/>
          <w:szCs w:val="28"/>
          <w:u w:val="single"/>
        </w:rPr>
      </w:pPr>
      <w:r>
        <w:rPr>
          <w:rFonts w:hint="eastAsia" w:ascii="宋体" w:hAnsi="宋体"/>
          <w:color w:val="auto"/>
          <w:sz w:val="28"/>
          <w:szCs w:val="28"/>
        </w:rPr>
        <w:t>日    期：202</w:t>
      </w:r>
      <w:r>
        <w:rPr>
          <w:rFonts w:hint="eastAsia" w:ascii="宋体" w:hAnsi="宋体"/>
          <w:color w:val="auto"/>
          <w:sz w:val="28"/>
          <w:szCs w:val="28"/>
          <w:u w:val="single"/>
        </w:rPr>
        <w:t>X</w:t>
      </w:r>
      <w:r>
        <w:rPr>
          <w:rFonts w:hint="eastAsia" w:ascii="宋体" w:hAnsi="宋体"/>
          <w:color w:val="auto"/>
          <w:sz w:val="28"/>
          <w:szCs w:val="28"/>
        </w:rPr>
        <w:t>年</w:t>
      </w:r>
      <w:r>
        <w:rPr>
          <w:rFonts w:hint="eastAsia" w:ascii="宋体" w:hAnsi="宋体"/>
          <w:color w:val="auto"/>
          <w:sz w:val="28"/>
          <w:szCs w:val="28"/>
          <w:u w:val="single"/>
        </w:rPr>
        <w:t>XX</w:t>
      </w:r>
      <w:r>
        <w:rPr>
          <w:rFonts w:hint="eastAsia" w:ascii="宋体" w:hAnsi="宋体"/>
          <w:color w:val="auto"/>
          <w:sz w:val="28"/>
          <w:szCs w:val="28"/>
        </w:rPr>
        <w:t>月</w:t>
      </w:r>
      <w:r>
        <w:rPr>
          <w:rFonts w:hint="eastAsia" w:ascii="宋体" w:hAnsi="宋体"/>
          <w:color w:val="auto"/>
          <w:sz w:val="28"/>
          <w:szCs w:val="28"/>
          <w:u w:val="single"/>
        </w:rPr>
        <w:t>XX</w:t>
      </w:r>
      <w:r>
        <w:rPr>
          <w:rFonts w:hint="eastAsia" w:ascii="宋体" w:hAnsi="宋体"/>
          <w:color w:val="auto"/>
          <w:sz w:val="28"/>
          <w:szCs w:val="28"/>
        </w:rPr>
        <w:t>日</w:t>
      </w:r>
    </w:p>
    <w:p>
      <w:pPr>
        <w:tabs>
          <w:tab w:val="left" w:pos="1260"/>
        </w:tabs>
        <w:spacing w:line="560" w:lineRule="exact"/>
        <w:ind w:firstLine="560" w:firstLineChars="200"/>
        <w:rPr>
          <w:rFonts w:ascii="宋体" w:hAnsi="宋体"/>
          <w:color w:val="auto"/>
          <w:sz w:val="28"/>
          <w:szCs w:val="28"/>
        </w:rPr>
      </w:pPr>
      <w:r>
        <w:rPr>
          <w:rFonts w:hint="eastAsia" w:ascii="宋体" w:hAnsi="宋体"/>
          <w:color w:val="auto"/>
          <w:sz w:val="28"/>
          <w:szCs w:val="28"/>
        </w:rPr>
        <w:t>说明：</w:t>
      </w:r>
    </w:p>
    <w:p>
      <w:pPr>
        <w:tabs>
          <w:tab w:val="left" w:pos="1260"/>
        </w:tabs>
        <w:spacing w:line="560" w:lineRule="exact"/>
        <w:ind w:firstLine="560" w:firstLineChars="200"/>
        <w:rPr>
          <w:rFonts w:hint="eastAsia" w:ascii="宋体" w:hAnsi="宋体"/>
          <w:color w:val="auto"/>
          <w:sz w:val="28"/>
          <w:szCs w:val="28"/>
        </w:rPr>
      </w:pPr>
      <w:r>
        <w:rPr>
          <w:rFonts w:hint="eastAsia" w:ascii="宋体" w:hAnsi="宋体"/>
          <w:color w:val="auto"/>
          <w:sz w:val="28"/>
          <w:szCs w:val="28"/>
        </w:rPr>
        <w:t>1.对声明中第一条的说明：如投标人在参加政府采购活动前三年内，在经营活动中有重大违法记录的，应填写“有”，投标人将被认定投标无效或被取消中标资格；</w:t>
      </w:r>
    </w:p>
    <w:p>
      <w:pPr>
        <w:tabs>
          <w:tab w:val="left" w:pos="1260"/>
        </w:tabs>
        <w:spacing w:line="560" w:lineRule="exact"/>
        <w:ind w:firstLine="560" w:firstLineChars="200"/>
        <w:rPr>
          <w:rFonts w:hint="eastAsia" w:ascii="宋体" w:hAnsi="宋体"/>
          <w:color w:val="auto"/>
          <w:sz w:val="28"/>
          <w:szCs w:val="28"/>
        </w:rPr>
      </w:pPr>
      <w:r>
        <w:rPr>
          <w:rFonts w:hint="eastAsia" w:ascii="宋体" w:hAnsi="宋体"/>
          <w:color w:val="auto"/>
          <w:sz w:val="28"/>
          <w:szCs w:val="28"/>
        </w:rPr>
        <w:t>2. 对声明中第二条的说明：供应商在参加政府采购活动前，被纳入法院、工商行政管理部门、税务部门、银行认定的失信名单且在有效期内，或者在前三年政府采购合同履约过程中及其他经营活动履约过程中未依法履约被有关部门处罚的，不能认定为具有良好的商业信誉，应填写“不具有”，供应商将被认定投标无效或被取消中标（成交）资格；</w:t>
      </w:r>
    </w:p>
    <w:p>
      <w:pPr>
        <w:tabs>
          <w:tab w:val="left" w:pos="1260"/>
        </w:tabs>
        <w:spacing w:line="560" w:lineRule="exact"/>
        <w:ind w:firstLine="560" w:firstLineChars="200"/>
        <w:rPr>
          <w:rFonts w:hint="eastAsia" w:ascii="宋体" w:hAnsi="宋体"/>
          <w:color w:val="auto"/>
          <w:sz w:val="28"/>
          <w:szCs w:val="28"/>
        </w:rPr>
      </w:pPr>
    </w:p>
    <w:p>
      <w:pPr>
        <w:tabs>
          <w:tab w:val="left" w:pos="1260"/>
        </w:tabs>
        <w:spacing w:line="560" w:lineRule="exact"/>
        <w:ind w:firstLine="560" w:firstLineChars="200"/>
        <w:rPr>
          <w:rFonts w:hint="eastAsia" w:ascii="宋体" w:hAnsi="宋体"/>
          <w:color w:val="auto"/>
          <w:sz w:val="28"/>
          <w:szCs w:val="28"/>
        </w:rPr>
      </w:pPr>
      <w:r>
        <w:rPr>
          <w:rFonts w:hint="eastAsia" w:ascii="宋体" w:hAnsi="宋体"/>
          <w:color w:val="auto"/>
          <w:sz w:val="28"/>
          <w:szCs w:val="28"/>
          <w:lang w:val="en-US" w:eastAsia="zh-CN"/>
        </w:rPr>
        <w:t>3.</w:t>
      </w:r>
      <w:r>
        <w:rPr>
          <w:rFonts w:hint="eastAsia" w:ascii="宋体" w:hAnsi="宋体"/>
          <w:color w:val="auto"/>
          <w:sz w:val="28"/>
          <w:szCs w:val="28"/>
        </w:rPr>
        <w:t>对声明中第三条的说明：单位负责人为同一人或者存在直接控股、管理关系的不同供应商，不得参加同一合同项下的政府采购活动；</w:t>
      </w:r>
    </w:p>
    <w:p>
      <w:pPr>
        <w:tabs>
          <w:tab w:val="left" w:pos="1260"/>
        </w:tabs>
        <w:spacing w:line="560" w:lineRule="exact"/>
        <w:ind w:firstLine="560" w:firstLineChars="200"/>
        <w:rPr>
          <w:rFonts w:ascii="宋体" w:hAnsi="宋体"/>
          <w:color w:val="auto"/>
          <w:sz w:val="28"/>
          <w:szCs w:val="28"/>
        </w:rPr>
      </w:pPr>
      <w:r>
        <w:rPr>
          <w:rFonts w:hint="eastAsia" w:ascii="宋体" w:hAnsi="宋体"/>
          <w:color w:val="auto"/>
          <w:sz w:val="28"/>
          <w:szCs w:val="28"/>
          <w:lang w:val="en-US" w:eastAsia="zh-CN"/>
        </w:rPr>
        <w:t>4</w:t>
      </w:r>
      <w:r>
        <w:rPr>
          <w:rFonts w:hint="eastAsia" w:ascii="宋体" w:hAnsi="宋体"/>
          <w:color w:val="auto"/>
          <w:sz w:val="28"/>
          <w:szCs w:val="28"/>
        </w:rPr>
        <w:t>.对声明中第四条的说明：在行贿犯罪信息查询期限内，投标人根据中国裁判文书网（https://wenshu.court.gov.cn）查询结果，如果投标人及其现任法定代表人、主要负责人有行贿犯罪记录的，投标人应填写“有”，投标人将被认定投标无效或被取消中标资格；</w:t>
      </w:r>
    </w:p>
    <w:p>
      <w:pPr>
        <w:tabs>
          <w:tab w:val="left" w:pos="1260"/>
        </w:tabs>
        <w:spacing w:line="560" w:lineRule="exact"/>
        <w:ind w:firstLine="560" w:firstLineChars="200"/>
        <w:rPr>
          <w:rFonts w:ascii="宋体" w:hAnsi="宋体"/>
          <w:color w:val="auto"/>
          <w:sz w:val="28"/>
          <w:szCs w:val="28"/>
        </w:rPr>
      </w:pPr>
      <w:r>
        <w:rPr>
          <w:rFonts w:hint="eastAsia" w:ascii="宋体" w:hAnsi="宋体"/>
          <w:color w:val="auto"/>
          <w:sz w:val="28"/>
          <w:szCs w:val="28"/>
          <w:lang w:val="en-US" w:eastAsia="zh-CN"/>
        </w:rPr>
        <w:t>5</w:t>
      </w:r>
      <w:r>
        <w:rPr>
          <w:rFonts w:hint="eastAsia" w:ascii="宋体" w:hAnsi="宋体"/>
          <w:color w:val="auto"/>
          <w:sz w:val="28"/>
          <w:szCs w:val="28"/>
        </w:rPr>
        <w:t>.对声明中第五条的说明：投标人如被列入失信被执行人、重大税收违法案件当事人名单，应填写“被列入”，投标人将被认定投标无效或被取消中标资格；投标人如被列入政府采购严重违法失信行为记录名单，应填写“被列入”，投标人将被认定投标无效或被取消中标资格；</w:t>
      </w:r>
    </w:p>
    <w:p>
      <w:pPr>
        <w:tabs>
          <w:tab w:val="left" w:pos="1260"/>
        </w:tabs>
        <w:spacing w:line="560" w:lineRule="exact"/>
        <w:ind w:firstLine="560" w:firstLineChars="200"/>
        <w:rPr>
          <w:rFonts w:hint="eastAsia" w:ascii="宋体" w:hAnsi="宋体"/>
          <w:color w:val="auto"/>
          <w:sz w:val="28"/>
          <w:szCs w:val="28"/>
        </w:rPr>
      </w:pPr>
      <w:r>
        <w:rPr>
          <w:rFonts w:hint="eastAsia" w:ascii="宋体" w:hAnsi="宋体"/>
          <w:color w:val="auto"/>
          <w:sz w:val="28"/>
          <w:szCs w:val="28"/>
          <w:lang w:val="en-US" w:eastAsia="zh-CN"/>
        </w:rPr>
        <w:t>6</w:t>
      </w:r>
      <w:r>
        <w:rPr>
          <w:rFonts w:hint="eastAsia" w:ascii="宋体" w:hAnsi="宋体"/>
          <w:color w:val="auto"/>
          <w:sz w:val="28"/>
          <w:szCs w:val="28"/>
        </w:rPr>
        <w:t>.对声明中第六条的说明：如投标人处于被行政部门禁止参加政府采购活动期限内的，该声明填“处于”，投标人将被认定投标无效或被取消中标资格。</w:t>
      </w:r>
    </w:p>
    <w:p>
      <w:pPr>
        <w:tabs>
          <w:tab w:val="left" w:pos="1260"/>
        </w:tabs>
        <w:spacing w:line="560" w:lineRule="exact"/>
        <w:ind w:firstLine="560" w:firstLineChars="200"/>
        <w:rPr>
          <w:rFonts w:hint="eastAsia" w:ascii="宋体" w:hAnsi="宋体"/>
          <w:color w:val="auto"/>
          <w:sz w:val="28"/>
          <w:szCs w:val="28"/>
        </w:rPr>
      </w:pPr>
      <w:r>
        <w:rPr>
          <w:rFonts w:hint="eastAsia" w:ascii="宋体" w:hAnsi="宋体"/>
          <w:color w:val="auto"/>
          <w:sz w:val="28"/>
          <w:szCs w:val="28"/>
          <w:lang w:val="en-US" w:eastAsia="zh-CN"/>
        </w:rPr>
        <w:t>7.</w:t>
      </w:r>
      <w:r>
        <w:rPr>
          <w:rFonts w:hint="eastAsia" w:ascii="宋体" w:hAnsi="宋体"/>
          <w:color w:val="auto"/>
          <w:sz w:val="28"/>
          <w:szCs w:val="28"/>
        </w:rPr>
        <w:t>对声明中第七条的说明：供应商如属于联合体投标的，应填写“属于”，本项目接受联合体参与。</w:t>
      </w:r>
    </w:p>
    <w:p>
      <w:pPr>
        <w:tabs>
          <w:tab w:val="left" w:pos="1260"/>
        </w:tabs>
        <w:spacing w:line="560" w:lineRule="exact"/>
        <w:ind w:firstLine="560" w:firstLineChars="200"/>
        <w:rPr>
          <w:rFonts w:hint="eastAsia" w:ascii="宋体" w:hAnsi="宋体"/>
          <w:color w:val="auto"/>
          <w:sz w:val="28"/>
          <w:szCs w:val="28"/>
          <w:lang w:val="en-US" w:eastAsia="zh-CN"/>
        </w:rPr>
      </w:pPr>
    </w:p>
    <w:p>
      <w:pPr>
        <w:tabs>
          <w:tab w:val="left" w:pos="1260"/>
        </w:tabs>
        <w:spacing w:line="560" w:lineRule="exact"/>
        <w:ind w:firstLine="420" w:firstLineChars="200"/>
        <w:rPr>
          <w:rFonts w:ascii="宋体" w:hAnsi="宋体"/>
          <w:color w:val="auto"/>
          <w:szCs w:val="28"/>
        </w:rPr>
      </w:pPr>
    </w:p>
    <w:p>
      <w:pPr>
        <w:tabs>
          <w:tab w:val="left" w:pos="1260"/>
        </w:tabs>
        <w:spacing w:line="560" w:lineRule="exact"/>
        <w:ind w:firstLine="420" w:firstLineChars="200"/>
        <w:rPr>
          <w:rFonts w:ascii="宋体" w:hAnsi="宋体"/>
          <w:color w:val="auto"/>
          <w:szCs w:val="28"/>
        </w:rPr>
      </w:pPr>
    </w:p>
    <w:p>
      <w:pPr>
        <w:tabs>
          <w:tab w:val="left" w:pos="1260"/>
        </w:tabs>
        <w:spacing w:line="560" w:lineRule="exact"/>
        <w:ind w:firstLine="420" w:firstLineChars="200"/>
        <w:rPr>
          <w:rFonts w:ascii="宋体" w:hAnsi="宋体"/>
          <w:color w:val="auto"/>
          <w:szCs w:val="28"/>
        </w:rPr>
      </w:pPr>
    </w:p>
    <w:p>
      <w:pPr>
        <w:tabs>
          <w:tab w:val="left" w:pos="1260"/>
        </w:tabs>
        <w:spacing w:line="560" w:lineRule="exact"/>
        <w:ind w:firstLine="420" w:firstLineChars="200"/>
        <w:rPr>
          <w:rFonts w:ascii="宋体" w:hAnsi="宋体"/>
          <w:color w:val="auto"/>
          <w:szCs w:val="28"/>
        </w:rPr>
      </w:pPr>
    </w:p>
    <w:p>
      <w:pPr>
        <w:tabs>
          <w:tab w:val="left" w:pos="1260"/>
        </w:tabs>
        <w:spacing w:line="560" w:lineRule="exact"/>
        <w:ind w:firstLine="420" w:firstLineChars="200"/>
        <w:rPr>
          <w:rFonts w:ascii="宋体" w:hAnsi="宋体"/>
          <w:color w:val="auto"/>
          <w:szCs w:val="28"/>
        </w:rPr>
      </w:pPr>
    </w:p>
    <w:p>
      <w:pPr>
        <w:tabs>
          <w:tab w:val="left" w:pos="1260"/>
        </w:tabs>
        <w:spacing w:line="560" w:lineRule="exact"/>
        <w:ind w:firstLine="420" w:firstLineChars="200"/>
        <w:rPr>
          <w:rFonts w:ascii="宋体" w:hAnsi="宋体"/>
          <w:color w:val="auto"/>
          <w:szCs w:val="28"/>
        </w:rPr>
      </w:pPr>
      <w:r>
        <w:rPr>
          <w:rFonts w:ascii="宋体" w:hAnsi="宋体"/>
          <w:color w:val="auto"/>
          <w:szCs w:val="28"/>
        </w:rPr>
        <w:br w:type="page"/>
      </w:r>
    </w:p>
    <w:p>
      <w:pPr>
        <w:keepNext/>
        <w:keepLines/>
        <w:numPr>
          <w:ilvl w:val="2"/>
          <w:numId w:val="5"/>
        </w:numPr>
        <w:spacing w:line="360" w:lineRule="auto"/>
        <w:ind w:left="3119" w:hanging="3119"/>
        <w:outlineLvl w:val="2"/>
        <w:rPr>
          <w:rFonts w:ascii="宋体" w:hAnsi="宋体"/>
          <w:b/>
          <w:bCs/>
          <w:color w:val="auto"/>
          <w:sz w:val="28"/>
          <w:szCs w:val="28"/>
        </w:rPr>
      </w:pPr>
      <w:r>
        <w:rPr>
          <w:rFonts w:hint="eastAsia" w:ascii="宋体" w:hAnsi="宋体"/>
          <w:b/>
          <w:bCs/>
          <w:color w:val="auto"/>
          <w:sz w:val="28"/>
          <w:szCs w:val="28"/>
        </w:rPr>
        <w:t>中小企业声明函</w:t>
      </w:r>
    </w:p>
    <w:p>
      <w:pPr>
        <w:spacing w:line="440" w:lineRule="exact"/>
        <w:ind w:firstLine="574" w:firstLineChars="196"/>
        <w:jc w:val="center"/>
        <w:rPr>
          <w:rFonts w:ascii="宋体" w:hAnsi="宋体"/>
          <w:b/>
          <w:color w:val="auto"/>
          <w:sz w:val="28"/>
          <w:szCs w:val="28"/>
        </w:rPr>
      </w:pPr>
      <w:r>
        <w:rPr>
          <w:rFonts w:hint="eastAsia" w:ascii="宋体" w:hAnsi="宋体"/>
          <w:b/>
          <w:color w:val="auto"/>
          <w:spacing w:val="6"/>
          <w:sz w:val="28"/>
          <w:szCs w:val="28"/>
        </w:rPr>
        <w:t>中小企业声明函</w:t>
      </w:r>
    </w:p>
    <w:p>
      <w:pPr>
        <w:spacing w:line="480" w:lineRule="exact"/>
        <w:ind w:firstLine="561"/>
        <w:rPr>
          <w:rFonts w:ascii="宋体" w:hAnsi="宋体"/>
          <w:color w:val="auto"/>
          <w:sz w:val="28"/>
          <w:szCs w:val="28"/>
        </w:rPr>
      </w:pPr>
      <w:r>
        <w:rPr>
          <w:rFonts w:hint="eastAsia" w:ascii="宋体" w:hAnsi="宋体"/>
          <w:color w:val="auto"/>
          <w:sz w:val="28"/>
          <w:szCs w:val="28"/>
        </w:rPr>
        <w:t>本公司郑重声明，根据《政府采购促进中小企业发展管理办法》（财库﹝2020﹞46 号）的规定，本公司参加</w:t>
      </w:r>
      <w:r>
        <w:rPr>
          <w:rFonts w:hint="eastAsia" w:ascii="宋体" w:hAnsi="宋体"/>
          <w:b/>
          <w:bCs/>
          <w:color w:val="auto"/>
          <w:sz w:val="28"/>
          <w:szCs w:val="28"/>
          <w:u w:val="single"/>
          <w:lang w:eastAsia="zh-CN"/>
        </w:rPr>
        <w:t>成都市锦江区殡葬服务中心</w:t>
      </w:r>
      <w:r>
        <w:rPr>
          <w:rFonts w:hint="eastAsia" w:ascii="宋体" w:hAnsi="宋体"/>
          <w:color w:val="auto"/>
          <w:sz w:val="28"/>
          <w:szCs w:val="28"/>
        </w:rPr>
        <w:t>（单位名称）的</w:t>
      </w:r>
      <w:r>
        <w:rPr>
          <w:rFonts w:hint="eastAsia" w:ascii="宋体" w:hAnsi="宋体"/>
          <w:b/>
          <w:bCs/>
          <w:color w:val="auto"/>
          <w:sz w:val="28"/>
          <w:szCs w:val="28"/>
          <w:u w:val="single"/>
          <w:lang w:eastAsia="zh-CN"/>
        </w:rPr>
        <w:t>成都市锦江区殡葬服务中心悼念厅观光电梯及安装（二次）采购项目</w:t>
      </w:r>
      <w:r>
        <w:rPr>
          <w:rFonts w:hint="eastAsia" w:ascii="宋体" w:hAnsi="宋体"/>
          <w:color w:val="auto"/>
          <w:sz w:val="28"/>
          <w:szCs w:val="28"/>
        </w:rPr>
        <w:t>（项目名称）采购活动，</w:t>
      </w:r>
      <w:r>
        <w:rPr>
          <w:rFonts w:hint="eastAsia" w:ascii="宋体" w:hAnsi="宋体"/>
          <w:b/>
          <w:color w:val="auto"/>
          <w:sz w:val="28"/>
          <w:szCs w:val="28"/>
        </w:rPr>
        <w:t>提供的货物全部由符合政策要求的中小企业制造。</w:t>
      </w:r>
      <w:r>
        <w:rPr>
          <w:rFonts w:hint="eastAsia" w:ascii="宋体" w:hAnsi="宋体"/>
          <w:color w:val="auto"/>
          <w:sz w:val="28"/>
          <w:szCs w:val="28"/>
        </w:rPr>
        <w:t>相关企业的具体情况如下：</w:t>
      </w:r>
    </w:p>
    <w:p>
      <w:pPr>
        <w:spacing w:line="480" w:lineRule="exact"/>
        <w:ind w:firstLine="561"/>
        <w:rPr>
          <w:rFonts w:ascii="宋体" w:hAnsi="宋体"/>
          <w:color w:val="auto"/>
          <w:sz w:val="28"/>
          <w:szCs w:val="28"/>
        </w:rPr>
      </w:pPr>
      <w:r>
        <w:rPr>
          <w:rFonts w:hint="eastAsia" w:ascii="宋体" w:hAnsi="宋体"/>
          <w:color w:val="auto"/>
          <w:sz w:val="28"/>
          <w:szCs w:val="28"/>
        </w:rPr>
        <w:t xml:space="preserve"> 1. </w:t>
      </w:r>
      <w:r>
        <w:rPr>
          <w:rFonts w:hint="eastAsia" w:ascii="宋体" w:hAnsi="宋体"/>
          <w:color w:val="auto"/>
          <w:sz w:val="28"/>
          <w:szCs w:val="28"/>
          <w:u w:val="single"/>
        </w:rPr>
        <w:t>___XXXX____</w:t>
      </w:r>
      <w:r>
        <w:rPr>
          <w:rFonts w:hint="eastAsia" w:ascii="宋体" w:hAnsi="宋体"/>
          <w:color w:val="auto"/>
          <w:sz w:val="28"/>
          <w:szCs w:val="28"/>
        </w:rPr>
        <w:t>（标的名称），属于</w:t>
      </w:r>
      <w:r>
        <w:rPr>
          <w:rFonts w:hint="eastAsia" w:ascii="宋体" w:hAnsi="宋体"/>
          <w:color w:val="auto"/>
          <w:sz w:val="28"/>
          <w:szCs w:val="28"/>
          <w:u w:val="single"/>
        </w:rPr>
        <w:t>___XXXX____</w:t>
      </w:r>
      <w:r>
        <w:rPr>
          <w:rFonts w:hint="eastAsia" w:ascii="宋体" w:hAnsi="宋体"/>
          <w:color w:val="auto"/>
          <w:sz w:val="28"/>
          <w:szCs w:val="28"/>
        </w:rPr>
        <w:t>（采购文件中明确的所属行业）行业；制造商为</w:t>
      </w:r>
      <w:r>
        <w:rPr>
          <w:rFonts w:hint="eastAsia" w:ascii="宋体" w:hAnsi="宋体"/>
          <w:color w:val="auto"/>
          <w:sz w:val="28"/>
          <w:szCs w:val="28"/>
          <w:u w:val="single"/>
        </w:rPr>
        <w:t>___XXXX__</w:t>
      </w:r>
      <w:r>
        <w:rPr>
          <w:rFonts w:hint="eastAsia" w:ascii="宋体" w:hAnsi="宋体"/>
          <w:color w:val="auto"/>
          <w:sz w:val="28"/>
          <w:szCs w:val="28"/>
        </w:rPr>
        <w:t>（企业名称），从业人员</w:t>
      </w:r>
      <w:r>
        <w:rPr>
          <w:rFonts w:hint="eastAsia" w:ascii="宋体" w:hAnsi="宋体"/>
          <w:color w:val="auto"/>
          <w:sz w:val="28"/>
          <w:szCs w:val="28"/>
          <w:u w:val="single"/>
        </w:rPr>
        <w:t>___XXXX___</w:t>
      </w:r>
      <w:r>
        <w:rPr>
          <w:rFonts w:hint="eastAsia" w:ascii="宋体" w:hAnsi="宋体"/>
          <w:color w:val="auto"/>
          <w:sz w:val="28"/>
          <w:szCs w:val="28"/>
        </w:rPr>
        <w:t>人，营业收入为</w:t>
      </w:r>
      <w:r>
        <w:rPr>
          <w:rFonts w:hint="eastAsia" w:ascii="宋体" w:hAnsi="宋体"/>
          <w:color w:val="auto"/>
          <w:sz w:val="28"/>
          <w:szCs w:val="28"/>
          <w:u w:val="single"/>
        </w:rPr>
        <w:t>__XXXX__</w:t>
      </w:r>
      <w:r>
        <w:rPr>
          <w:rFonts w:hint="eastAsia" w:ascii="宋体" w:hAnsi="宋体"/>
          <w:color w:val="auto"/>
          <w:sz w:val="28"/>
          <w:szCs w:val="28"/>
        </w:rPr>
        <w:t>万元，资产总额为</w:t>
      </w:r>
      <w:r>
        <w:rPr>
          <w:rFonts w:hint="eastAsia" w:ascii="宋体" w:hAnsi="宋体"/>
          <w:color w:val="auto"/>
          <w:sz w:val="28"/>
          <w:szCs w:val="28"/>
          <w:u w:val="single"/>
        </w:rPr>
        <w:t>___XXXX___</w:t>
      </w:r>
      <w:r>
        <w:rPr>
          <w:rFonts w:hint="eastAsia" w:ascii="宋体" w:hAnsi="宋体"/>
          <w:color w:val="auto"/>
          <w:sz w:val="28"/>
          <w:szCs w:val="28"/>
        </w:rPr>
        <w:t>万元</w:t>
      </w:r>
      <w:r>
        <w:rPr>
          <w:rFonts w:hint="eastAsia" w:ascii="宋体" w:hAnsi="宋体"/>
          <w:color w:val="auto"/>
          <w:sz w:val="28"/>
          <w:szCs w:val="28"/>
          <w:vertAlign w:val="superscript"/>
        </w:rPr>
        <w:t>1</w:t>
      </w:r>
      <w:r>
        <w:rPr>
          <w:rFonts w:hint="eastAsia" w:ascii="宋体" w:hAnsi="宋体"/>
          <w:color w:val="auto"/>
          <w:sz w:val="28"/>
          <w:szCs w:val="28"/>
        </w:rPr>
        <w:t>，属于</w:t>
      </w:r>
      <w:r>
        <w:rPr>
          <w:rFonts w:hint="eastAsia" w:ascii="宋体" w:hAnsi="宋体"/>
          <w:color w:val="auto"/>
          <w:sz w:val="28"/>
          <w:szCs w:val="28"/>
          <w:u w:val="single"/>
        </w:rPr>
        <w:t>___XXXX__</w:t>
      </w:r>
      <w:r>
        <w:rPr>
          <w:rFonts w:hint="eastAsia" w:ascii="宋体" w:hAnsi="宋体"/>
          <w:color w:val="auto"/>
          <w:sz w:val="28"/>
          <w:szCs w:val="28"/>
        </w:rPr>
        <w:t>（中型企业、小型企业、微型企业）。</w:t>
      </w:r>
    </w:p>
    <w:p>
      <w:pPr>
        <w:spacing w:line="480" w:lineRule="exact"/>
        <w:ind w:firstLine="561"/>
        <w:rPr>
          <w:rFonts w:ascii="宋体" w:hAnsi="宋体"/>
          <w:color w:val="auto"/>
          <w:sz w:val="28"/>
          <w:szCs w:val="28"/>
        </w:rPr>
      </w:pPr>
      <w:r>
        <w:rPr>
          <w:rFonts w:hint="eastAsia" w:ascii="宋体" w:hAnsi="宋体"/>
          <w:color w:val="auto"/>
          <w:sz w:val="28"/>
          <w:szCs w:val="28"/>
        </w:rPr>
        <w:t>以上企业，不属于大企业的分支机构，不存在控股股东 为大企业的情形，也不存在与大企业的负责人为同一人的情形。</w:t>
      </w:r>
    </w:p>
    <w:p>
      <w:pPr>
        <w:spacing w:line="480" w:lineRule="exact"/>
        <w:ind w:firstLine="561"/>
        <w:rPr>
          <w:rFonts w:ascii="宋体" w:hAnsi="宋体"/>
          <w:color w:val="auto"/>
          <w:sz w:val="28"/>
          <w:szCs w:val="28"/>
        </w:rPr>
      </w:pPr>
      <w:r>
        <w:rPr>
          <w:rFonts w:hint="eastAsia" w:ascii="宋体" w:hAnsi="宋体"/>
          <w:color w:val="auto"/>
          <w:sz w:val="28"/>
          <w:szCs w:val="28"/>
        </w:rPr>
        <w:t>本企业对上述声明内容的真实性负责。如有虚假，将依法承担相应责任。</w:t>
      </w:r>
    </w:p>
    <w:p>
      <w:pPr>
        <w:spacing w:line="480" w:lineRule="exact"/>
        <w:ind w:right="280" w:firstLine="561"/>
        <w:jc w:val="left"/>
        <w:rPr>
          <w:rFonts w:ascii="宋体" w:hAnsi="宋体"/>
          <w:color w:val="auto"/>
          <w:sz w:val="28"/>
          <w:szCs w:val="28"/>
        </w:rPr>
      </w:pPr>
    </w:p>
    <w:p>
      <w:pPr>
        <w:spacing w:line="480" w:lineRule="exact"/>
        <w:ind w:right="280" w:firstLine="561"/>
        <w:jc w:val="left"/>
        <w:rPr>
          <w:rFonts w:ascii="宋体" w:hAnsi="宋体"/>
          <w:color w:val="auto"/>
          <w:sz w:val="28"/>
          <w:szCs w:val="28"/>
        </w:rPr>
      </w:pPr>
      <w:r>
        <w:rPr>
          <w:rFonts w:hint="eastAsia" w:ascii="宋体" w:hAnsi="宋体"/>
          <w:color w:val="auto"/>
          <w:sz w:val="28"/>
          <w:szCs w:val="28"/>
        </w:rPr>
        <w:t>企业名称：</w:t>
      </w:r>
      <w:r>
        <w:rPr>
          <w:rFonts w:hint="eastAsia" w:ascii="宋体" w:hAnsi="宋体"/>
          <w:color w:val="auto"/>
          <w:sz w:val="28"/>
          <w:szCs w:val="28"/>
          <w:u w:val="single"/>
        </w:rPr>
        <w:t>___XXXX____</w:t>
      </w:r>
    </w:p>
    <w:p>
      <w:pPr>
        <w:spacing w:line="480" w:lineRule="exact"/>
        <w:ind w:firstLine="561"/>
        <w:jc w:val="left"/>
        <w:rPr>
          <w:rFonts w:ascii="宋体" w:hAnsi="宋体"/>
          <w:color w:val="auto"/>
          <w:sz w:val="28"/>
          <w:szCs w:val="28"/>
        </w:rPr>
      </w:pPr>
      <w:r>
        <w:rPr>
          <w:rFonts w:hint="eastAsia" w:ascii="宋体" w:hAnsi="宋体"/>
          <w:color w:val="auto"/>
          <w:sz w:val="28"/>
          <w:szCs w:val="28"/>
        </w:rPr>
        <w:t>日 期：202X年XX月XX日</w:t>
      </w:r>
    </w:p>
    <w:p>
      <w:pPr>
        <w:pStyle w:val="80"/>
        <w:tabs>
          <w:tab w:val="left" w:pos="567"/>
          <w:tab w:val="left" w:pos="709"/>
          <w:tab w:val="left" w:pos="851"/>
        </w:tabs>
        <w:spacing w:line="520" w:lineRule="exact"/>
        <w:ind w:firstLine="0" w:firstLineChars="0"/>
        <w:rPr>
          <w:rFonts w:ascii="宋体" w:hAnsi="宋体" w:eastAsia="宋体"/>
          <w:b/>
          <w:color w:val="auto"/>
          <w:sz w:val="28"/>
          <w:szCs w:val="28"/>
        </w:rPr>
      </w:pPr>
    </w:p>
    <w:p>
      <w:pPr>
        <w:pStyle w:val="80"/>
        <w:tabs>
          <w:tab w:val="left" w:pos="567"/>
          <w:tab w:val="left" w:pos="709"/>
          <w:tab w:val="left" w:pos="851"/>
        </w:tabs>
        <w:spacing w:line="520" w:lineRule="exact"/>
        <w:ind w:firstLine="0" w:firstLineChars="0"/>
        <w:rPr>
          <w:rFonts w:ascii="宋体" w:hAnsi="宋体" w:eastAsia="宋体"/>
          <w:b/>
          <w:color w:val="auto"/>
          <w:sz w:val="28"/>
          <w:szCs w:val="28"/>
        </w:rPr>
      </w:pPr>
    </w:p>
    <w:p>
      <w:pPr>
        <w:pStyle w:val="80"/>
        <w:tabs>
          <w:tab w:val="left" w:pos="567"/>
          <w:tab w:val="left" w:pos="709"/>
          <w:tab w:val="left" w:pos="851"/>
        </w:tabs>
        <w:spacing w:line="520" w:lineRule="exact"/>
        <w:ind w:firstLine="0" w:firstLineChars="0"/>
        <w:rPr>
          <w:rFonts w:ascii="宋体" w:hAnsi="宋体" w:eastAsia="宋体"/>
          <w:b/>
          <w:color w:val="auto"/>
          <w:sz w:val="28"/>
          <w:szCs w:val="28"/>
        </w:rPr>
      </w:pPr>
      <w:r>
        <w:rPr>
          <w:rFonts w:hint="eastAsia" w:ascii="宋体" w:hAnsi="宋体" w:eastAsia="宋体"/>
          <w:b/>
          <w:color w:val="auto"/>
          <w:sz w:val="28"/>
          <w:szCs w:val="28"/>
        </w:rPr>
        <w:t>说明：</w:t>
      </w:r>
      <w:r>
        <w:rPr>
          <w:rFonts w:hint="eastAsia" w:ascii="宋体" w:hAnsi="宋体" w:eastAsia="宋体"/>
          <w:b/>
          <w:color w:val="auto"/>
          <w:sz w:val="28"/>
          <w:szCs w:val="28"/>
          <w:lang w:val="en-US" w:eastAsia="zh-CN"/>
        </w:rPr>
        <w:t>1</w:t>
      </w:r>
      <w:r>
        <w:rPr>
          <w:rFonts w:hint="eastAsia" w:ascii="宋体" w:hAnsi="宋体" w:eastAsia="宋体"/>
          <w:b/>
          <w:color w:val="auto"/>
          <w:sz w:val="28"/>
          <w:szCs w:val="28"/>
        </w:rPr>
        <w:t>、从业人员、营业收入、资产总额填报上一年度数据，无上一年度数据的新成立企业可不填报。</w:t>
      </w:r>
    </w:p>
    <w:p>
      <w:pPr>
        <w:pStyle w:val="80"/>
        <w:tabs>
          <w:tab w:val="left" w:pos="567"/>
          <w:tab w:val="left" w:pos="709"/>
          <w:tab w:val="left" w:pos="851"/>
        </w:tabs>
        <w:spacing w:line="520" w:lineRule="exact"/>
        <w:ind w:firstLine="0" w:firstLineChars="0"/>
        <w:rPr>
          <w:rFonts w:ascii="宋体" w:hAnsi="宋体" w:eastAsia="宋体"/>
          <w:b/>
          <w:color w:val="auto"/>
          <w:sz w:val="28"/>
          <w:szCs w:val="28"/>
        </w:rPr>
      </w:pPr>
    </w:p>
    <w:p>
      <w:pPr>
        <w:pStyle w:val="80"/>
        <w:tabs>
          <w:tab w:val="left" w:pos="567"/>
          <w:tab w:val="left" w:pos="709"/>
          <w:tab w:val="left" w:pos="851"/>
        </w:tabs>
        <w:spacing w:line="520" w:lineRule="exact"/>
        <w:ind w:firstLine="0" w:firstLineChars="0"/>
        <w:rPr>
          <w:rFonts w:ascii="宋体" w:hAnsi="宋体"/>
          <w:bCs/>
          <w:color w:val="auto"/>
          <w:sz w:val="28"/>
        </w:rPr>
      </w:pPr>
    </w:p>
    <w:p>
      <w:pPr>
        <w:pStyle w:val="3"/>
        <w:rPr>
          <w:color w:val="auto"/>
        </w:rPr>
      </w:pPr>
    </w:p>
    <w:p>
      <w:pPr>
        <w:keepNext/>
        <w:keepLines/>
        <w:numPr>
          <w:ilvl w:val="2"/>
          <w:numId w:val="5"/>
        </w:numPr>
        <w:spacing w:line="360" w:lineRule="auto"/>
        <w:ind w:left="0" w:firstLine="0"/>
        <w:outlineLvl w:val="2"/>
        <w:rPr>
          <w:rFonts w:ascii="宋体" w:hAnsi="宋体"/>
          <w:b/>
          <w:bCs/>
          <w:color w:val="auto"/>
          <w:sz w:val="28"/>
          <w:szCs w:val="28"/>
        </w:rPr>
      </w:pPr>
      <w:r>
        <w:rPr>
          <w:rFonts w:hint="eastAsia" w:ascii="宋体" w:hAnsi="宋体"/>
          <w:b/>
          <w:bCs/>
          <w:color w:val="auto"/>
          <w:sz w:val="28"/>
          <w:szCs w:val="28"/>
        </w:rPr>
        <w:t>残疾人福利性单位声明函</w:t>
      </w:r>
    </w:p>
    <w:p>
      <w:pPr>
        <w:spacing w:line="588" w:lineRule="exact"/>
        <w:ind w:firstLine="562" w:firstLineChars="200"/>
        <w:jc w:val="center"/>
        <w:rPr>
          <w:b/>
          <w:color w:val="auto"/>
          <w:sz w:val="28"/>
          <w:szCs w:val="28"/>
        </w:rPr>
      </w:pPr>
      <w:r>
        <w:rPr>
          <w:rFonts w:hint="eastAsia"/>
          <w:b/>
          <w:color w:val="auto"/>
          <w:sz w:val="28"/>
          <w:szCs w:val="28"/>
        </w:rPr>
        <w:t>残疾人福利性单位声明函</w:t>
      </w:r>
    </w:p>
    <w:p>
      <w:pPr>
        <w:spacing w:line="588" w:lineRule="exact"/>
        <w:ind w:firstLine="584" w:firstLineChars="200"/>
        <w:rPr>
          <w:rFonts w:ascii="宋体" w:hAnsi="宋体"/>
          <w:color w:val="auto"/>
          <w:spacing w:val="6"/>
          <w:sz w:val="28"/>
          <w:szCs w:val="28"/>
        </w:rPr>
      </w:pPr>
      <w:r>
        <w:rPr>
          <w:rFonts w:hint="eastAsia" w:ascii="宋体" w:hAnsi="宋体"/>
          <w:color w:val="auto"/>
          <w:spacing w:val="6"/>
          <w:sz w:val="28"/>
          <w:szCs w:val="28"/>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b/>
          <w:bCs/>
          <w:color w:val="auto"/>
          <w:sz w:val="28"/>
          <w:szCs w:val="28"/>
          <w:u w:val="single"/>
          <w:lang w:eastAsia="zh-CN"/>
        </w:rPr>
        <w:t>成都市锦江区殡葬服务中心悼念厅观光电梯及安装（二次）采购项目</w:t>
      </w:r>
      <w:r>
        <w:rPr>
          <w:rFonts w:hint="eastAsia" w:ascii="宋体" w:hAnsi="宋体"/>
          <w:color w:val="auto"/>
          <w:spacing w:val="6"/>
          <w:sz w:val="28"/>
          <w:szCs w:val="28"/>
        </w:rPr>
        <w:t>采购活动提供本单位制造的货物，或者提供其他残疾人福利性单位制造的货物（不包括使用非残疾人福利性单位注册商标的货物）。</w:t>
      </w:r>
    </w:p>
    <w:p>
      <w:pPr>
        <w:spacing w:line="588" w:lineRule="exact"/>
        <w:ind w:firstLine="584" w:firstLineChars="200"/>
        <w:rPr>
          <w:rFonts w:ascii="宋体" w:hAnsi="宋体"/>
          <w:color w:val="auto"/>
          <w:spacing w:val="6"/>
          <w:sz w:val="28"/>
          <w:szCs w:val="28"/>
        </w:rPr>
      </w:pPr>
      <w:r>
        <w:rPr>
          <w:rFonts w:hint="eastAsia" w:ascii="宋体" w:hAnsi="宋体"/>
          <w:color w:val="auto"/>
          <w:spacing w:val="6"/>
          <w:sz w:val="28"/>
          <w:szCs w:val="28"/>
        </w:rPr>
        <w:t>本单位对上述声明的真实性负责。如有虚假，将依法承担相应责任。</w:t>
      </w:r>
    </w:p>
    <w:p>
      <w:pPr>
        <w:spacing w:line="588" w:lineRule="exact"/>
        <w:ind w:firstLine="584" w:firstLineChars="200"/>
        <w:rPr>
          <w:rFonts w:ascii="宋体" w:hAnsi="宋体"/>
          <w:color w:val="auto"/>
          <w:spacing w:val="6"/>
          <w:sz w:val="28"/>
          <w:szCs w:val="28"/>
        </w:rPr>
      </w:pPr>
    </w:p>
    <w:p>
      <w:pPr>
        <w:spacing w:line="588" w:lineRule="exact"/>
        <w:ind w:firstLine="584" w:firstLineChars="200"/>
        <w:rPr>
          <w:rFonts w:ascii="宋体" w:hAnsi="宋体"/>
          <w:color w:val="auto"/>
          <w:spacing w:val="6"/>
          <w:sz w:val="28"/>
          <w:szCs w:val="28"/>
        </w:rPr>
      </w:pPr>
    </w:p>
    <w:p>
      <w:pPr>
        <w:spacing w:line="588" w:lineRule="exact"/>
        <w:jc w:val="right"/>
        <w:rPr>
          <w:rFonts w:ascii="宋体" w:hAnsi="宋体"/>
          <w:color w:val="auto"/>
          <w:spacing w:val="6"/>
          <w:sz w:val="28"/>
          <w:szCs w:val="28"/>
        </w:rPr>
      </w:pPr>
    </w:p>
    <w:p>
      <w:pPr>
        <w:tabs>
          <w:tab w:val="left" w:pos="3969"/>
        </w:tabs>
        <w:spacing w:line="588" w:lineRule="exact"/>
        <w:ind w:right="88"/>
        <w:jc w:val="left"/>
        <w:rPr>
          <w:rFonts w:ascii="宋体" w:hAnsi="宋体"/>
          <w:color w:val="auto"/>
          <w:spacing w:val="6"/>
          <w:sz w:val="28"/>
          <w:szCs w:val="28"/>
        </w:rPr>
      </w:pPr>
      <w:r>
        <w:rPr>
          <w:rFonts w:hint="eastAsia" w:ascii="宋体" w:hAnsi="宋体"/>
          <w:color w:val="auto"/>
          <w:spacing w:val="6"/>
          <w:sz w:val="28"/>
          <w:szCs w:val="28"/>
        </w:rPr>
        <w:t>单位名称：</w:t>
      </w:r>
      <w:r>
        <w:rPr>
          <w:rFonts w:hint="eastAsia" w:ascii="宋体" w:hAnsi="宋体"/>
          <w:color w:val="auto"/>
          <w:spacing w:val="6"/>
          <w:sz w:val="28"/>
          <w:szCs w:val="28"/>
          <w:u w:val="single"/>
        </w:rPr>
        <w:t>XXXX</w:t>
      </w:r>
    </w:p>
    <w:p>
      <w:pPr>
        <w:tabs>
          <w:tab w:val="left" w:pos="3969"/>
        </w:tabs>
        <w:spacing w:line="588" w:lineRule="exact"/>
        <w:ind w:right="-58"/>
        <w:jc w:val="left"/>
        <w:rPr>
          <w:rFonts w:ascii="宋体" w:hAnsi="宋体"/>
          <w:bCs/>
          <w:color w:val="auto"/>
          <w:sz w:val="28"/>
        </w:rPr>
      </w:pPr>
      <w:r>
        <w:rPr>
          <w:rFonts w:hint="eastAsia" w:ascii="宋体" w:hAnsi="宋体"/>
          <w:color w:val="auto"/>
          <w:spacing w:val="6"/>
          <w:sz w:val="28"/>
          <w:szCs w:val="28"/>
        </w:rPr>
        <w:t>日  期：</w:t>
      </w:r>
      <w:r>
        <w:rPr>
          <w:rFonts w:hint="eastAsia" w:ascii="宋体" w:hAnsi="宋体"/>
          <w:bCs/>
          <w:color w:val="auto"/>
          <w:sz w:val="28"/>
        </w:rPr>
        <w:t>202</w:t>
      </w:r>
      <w:r>
        <w:rPr>
          <w:rFonts w:hint="eastAsia" w:ascii="宋体" w:hAnsi="宋体"/>
          <w:bCs/>
          <w:color w:val="auto"/>
          <w:sz w:val="28"/>
          <w:u w:val="single"/>
        </w:rPr>
        <w:t>X</w:t>
      </w:r>
      <w:r>
        <w:rPr>
          <w:rFonts w:hint="eastAsia" w:ascii="宋体" w:hAnsi="宋体"/>
          <w:bCs/>
          <w:color w:val="auto"/>
          <w:sz w:val="28"/>
        </w:rPr>
        <w:t>年</w:t>
      </w:r>
      <w:r>
        <w:rPr>
          <w:rFonts w:hint="eastAsia" w:ascii="宋体" w:hAnsi="宋体"/>
          <w:bCs/>
          <w:color w:val="auto"/>
          <w:sz w:val="28"/>
          <w:u w:val="single"/>
        </w:rPr>
        <w:t>XX</w:t>
      </w:r>
      <w:r>
        <w:rPr>
          <w:rFonts w:hint="eastAsia" w:ascii="宋体" w:hAnsi="宋体"/>
          <w:bCs/>
          <w:color w:val="auto"/>
          <w:sz w:val="28"/>
        </w:rPr>
        <w:t>月</w:t>
      </w:r>
      <w:r>
        <w:rPr>
          <w:rFonts w:hint="eastAsia" w:ascii="宋体" w:hAnsi="宋体"/>
          <w:bCs/>
          <w:color w:val="auto"/>
          <w:sz w:val="28"/>
          <w:u w:val="single"/>
        </w:rPr>
        <w:t>XX</w:t>
      </w:r>
      <w:r>
        <w:rPr>
          <w:rFonts w:hint="eastAsia" w:ascii="宋体" w:hAnsi="宋体"/>
          <w:bCs/>
          <w:color w:val="auto"/>
          <w:sz w:val="28"/>
        </w:rPr>
        <w:t>日</w:t>
      </w:r>
    </w:p>
    <w:p>
      <w:pPr>
        <w:spacing w:line="588" w:lineRule="exact"/>
        <w:ind w:firstLine="586" w:firstLineChars="200"/>
        <w:rPr>
          <w:rFonts w:ascii="宋体" w:hAnsi="宋体"/>
          <w:b/>
          <w:color w:val="auto"/>
          <w:spacing w:val="6"/>
          <w:sz w:val="28"/>
          <w:szCs w:val="28"/>
        </w:rPr>
      </w:pPr>
      <w:r>
        <w:rPr>
          <w:rFonts w:hint="eastAsia" w:ascii="宋体" w:hAnsi="宋体"/>
          <w:b/>
          <w:color w:val="auto"/>
          <w:spacing w:val="6"/>
          <w:sz w:val="28"/>
          <w:szCs w:val="28"/>
        </w:rPr>
        <w:t>说明</w:t>
      </w:r>
      <w:r>
        <w:rPr>
          <w:rFonts w:ascii="宋体" w:hAnsi="宋体"/>
          <w:b/>
          <w:color w:val="auto"/>
          <w:spacing w:val="6"/>
          <w:sz w:val="28"/>
          <w:szCs w:val="28"/>
        </w:rPr>
        <w:t>：</w:t>
      </w:r>
      <w:r>
        <w:rPr>
          <w:rFonts w:hint="eastAsia" w:ascii="宋体" w:hAnsi="宋体"/>
          <w:b/>
          <w:color w:val="auto"/>
          <w:spacing w:val="6"/>
          <w:sz w:val="28"/>
          <w:szCs w:val="28"/>
        </w:rPr>
        <w:t>提供了《中小</w:t>
      </w:r>
      <w:r>
        <w:rPr>
          <w:rFonts w:ascii="宋体" w:hAnsi="宋体"/>
          <w:b/>
          <w:color w:val="auto"/>
          <w:spacing w:val="6"/>
          <w:sz w:val="28"/>
          <w:szCs w:val="28"/>
        </w:rPr>
        <w:t>企业声明函</w:t>
      </w:r>
      <w:r>
        <w:rPr>
          <w:rFonts w:hint="eastAsia" w:ascii="宋体" w:hAnsi="宋体"/>
          <w:b/>
          <w:color w:val="auto"/>
          <w:spacing w:val="6"/>
          <w:sz w:val="28"/>
          <w:szCs w:val="28"/>
        </w:rPr>
        <w:t>》或监狱企业证明文件复印件的不需提供。</w:t>
      </w:r>
    </w:p>
    <w:p>
      <w:pPr>
        <w:pStyle w:val="3"/>
        <w:rPr>
          <w:color w:val="auto"/>
        </w:rPr>
      </w:pPr>
      <w:r>
        <w:rPr>
          <w:color w:val="auto"/>
        </w:rPr>
        <w:br w:type="page"/>
      </w:r>
    </w:p>
    <w:p>
      <w:pPr>
        <w:pStyle w:val="3"/>
        <w:rPr>
          <w:color w:val="auto"/>
        </w:rPr>
      </w:pPr>
    </w:p>
    <w:p>
      <w:pPr>
        <w:keepNext/>
        <w:keepLines/>
        <w:numPr>
          <w:ilvl w:val="2"/>
          <w:numId w:val="37"/>
        </w:numPr>
        <w:spacing w:line="360" w:lineRule="auto"/>
        <w:ind w:left="3119" w:hanging="3119"/>
        <w:outlineLvl w:val="2"/>
        <w:rPr>
          <w:rFonts w:ascii="宋体" w:hAnsi="宋体"/>
          <w:color w:val="auto"/>
          <w:sz w:val="28"/>
        </w:rPr>
      </w:pPr>
      <w:r>
        <w:rPr>
          <w:rFonts w:hint="eastAsia" w:ascii="宋体" w:hAnsi="宋体"/>
          <w:b/>
          <w:color w:val="auto"/>
          <w:sz w:val="28"/>
          <w:szCs w:val="28"/>
        </w:rPr>
        <w:t>投标产品</w:t>
      </w:r>
      <w:r>
        <w:rPr>
          <w:rFonts w:ascii="宋体" w:hAnsi="宋体"/>
          <w:b/>
          <w:color w:val="auto"/>
          <w:sz w:val="28"/>
          <w:szCs w:val="28"/>
        </w:rPr>
        <w:t>制造商属于监狱企业的证明文件复印件</w:t>
      </w:r>
    </w:p>
    <w:p>
      <w:pPr>
        <w:tabs>
          <w:tab w:val="left" w:pos="3969"/>
        </w:tabs>
        <w:spacing w:line="588" w:lineRule="exact"/>
        <w:ind w:right="-58"/>
        <w:rPr>
          <w:rFonts w:ascii="宋体" w:hAnsi="宋体"/>
          <w:color w:val="auto"/>
          <w:spacing w:val="6"/>
          <w:sz w:val="28"/>
          <w:szCs w:val="28"/>
        </w:rPr>
      </w:pPr>
    </w:p>
    <w:p>
      <w:pPr>
        <w:tabs>
          <w:tab w:val="left" w:pos="3969"/>
        </w:tabs>
        <w:spacing w:line="588" w:lineRule="exact"/>
        <w:ind w:right="-58" w:firstLine="708" w:firstLineChars="253"/>
        <w:rPr>
          <w:rFonts w:ascii="宋体" w:hAnsi="宋体"/>
          <w:color w:val="auto"/>
          <w:spacing w:val="6"/>
          <w:sz w:val="28"/>
          <w:szCs w:val="28"/>
        </w:rPr>
      </w:pPr>
      <w:r>
        <w:rPr>
          <w:rFonts w:hint="eastAsia"/>
          <w:color w:val="auto"/>
          <w:sz w:val="28"/>
          <w:szCs w:val="28"/>
        </w:rPr>
        <w:t>投标</w:t>
      </w:r>
      <w:r>
        <w:rPr>
          <w:color w:val="auto"/>
          <w:sz w:val="28"/>
          <w:szCs w:val="28"/>
        </w:rPr>
        <w:t>投标产品中为监狱企业制造的货物应提供由省级以上监狱管理局、戒毒管理局（含新疆生产建设兵团）出具的制造商属于监狱企业的证明文件复印件</w:t>
      </w:r>
      <w:r>
        <w:rPr>
          <w:rFonts w:hint="eastAsia"/>
          <w:color w:val="auto"/>
          <w:sz w:val="28"/>
          <w:szCs w:val="28"/>
        </w:rPr>
        <w:t>。</w:t>
      </w:r>
    </w:p>
    <w:p>
      <w:pPr>
        <w:tabs>
          <w:tab w:val="left" w:pos="3969"/>
        </w:tabs>
        <w:spacing w:line="588" w:lineRule="exact"/>
        <w:ind w:right="-58"/>
        <w:rPr>
          <w:rFonts w:ascii="宋体" w:hAnsi="宋体"/>
          <w:color w:val="auto"/>
          <w:spacing w:val="6"/>
          <w:sz w:val="28"/>
          <w:szCs w:val="28"/>
        </w:rPr>
      </w:pPr>
    </w:p>
    <w:p>
      <w:pPr>
        <w:tabs>
          <w:tab w:val="left" w:pos="3969"/>
        </w:tabs>
        <w:spacing w:line="588" w:lineRule="exact"/>
        <w:ind w:right="-58"/>
        <w:rPr>
          <w:rFonts w:ascii="宋体" w:hAnsi="宋体"/>
          <w:color w:val="auto"/>
          <w:spacing w:val="6"/>
          <w:sz w:val="28"/>
          <w:szCs w:val="28"/>
        </w:rPr>
      </w:pPr>
    </w:p>
    <w:p>
      <w:pPr>
        <w:tabs>
          <w:tab w:val="left" w:pos="3969"/>
        </w:tabs>
        <w:spacing w:line="588" w:lineRule="exact"/>
        <w:ind w:right="-58"/>
        <w:rPr>
          <w:rFonts w:ascii="宋体" w:hAnsi="宋体"/>
          <w:color w:val="auto"/>
          <w:spacing w:val="6"/>
          <w:sz w:val="28"/>
          <w:szCs w:val="28"/>
        </w:rPr>
      </w:pPr>
    </w:p>
    <w:p>
      <w:pPr>
        <w:tabs>
          <w:tab w:val="left" w:pos="3969"/>
        </w:tabs>
        <w:spacing w:line="588" w:lineRule="exact"/>
        <w:ind w:right="-58"/>
        <w:rPr>
          <w:rFonts w:ascii="宋体" w:hAnsi="宋体"/>
          <w:color w:val="auto"/>
          <w:spacing w:val="6"/>
          <w:sz w:val="28"/>
          <w:szCs w:val="28"/>
        </w:rPr>
      </w:pPr>
    </w:p>
    <w:p>
      <w:pPr>
        <w:tabs>
          <w:tab w:val="left" w:pos="3969"/>
        </w:tabs>
        <w:spacing w:line="588" w:lineRule="exact"/>
        <w:ind w:right="-58"/>
        <w:rPr>
          <w:rFonts w:ascii="宋体" w:hAnsi="宋体"/>
          <w:color w:val="auto"/>
          <w:spacing w:val="6"/>
          <w:sz w:val="28"/>
          <w:szCs w:val="28"/>
        </w:rPr>
      </w:pPr>
    </w:p>
    <w:p>
      <w:pPr>
        <w:tabs>
          <w:tab w:val="left" w:pos="3969"/>
        </w:tabs>
        <w:spacing w:line="588" w:lineRule="exact"/>
        <w:ind w:right="-58"/>
        <w:rPr>
          <w:rFonts w:ascii="宋体" w:hAnsi="宋体"/>
          <w:color w:val="auto"/>
          <w:spacing w:val="6"/>
          <w:sz w:val="28"/>
          <w:szCs w:val="28"/>
        </w:rPr>
      </w:pPr>
    </w:p>
    <w:p>
      <w:pPr>
        <w:tabs>
          <w:tab w:val="left" w:pos="3969"/>
        </w:tabs>
        <w:spacing w:line="588" w:lineRule="exact"/>
        <w:ind w:right="-58"/>
        <w:rPr>
          <w:rFonts w:ascii="宋体" w:hAnsi="宋体"/>
          <w:color w:val="auto"/>
          <w:spacing w:val="6"/>
          <w:sz w:val="28"/>
          <w:szCs w:val="28"/>
        </w:rPr>
      </w:pPr>
    </w:p>
    <w:p>
      <w:pPr>
        <w:tabs>
          <w:tab w:val="left" w:pos="3969"/>
        </w:tabs>
        <w:spacing w:line="588" w:lineRule="exact"/>
        <w:ind w:right="-58"/>
        <w:rPr>
          <w:rFonts w:ascii="宋体" w:hAnsi="宋体"/>
          <w:color w:val="auto"/>
          <w:spacing w:val="6"/>
          <w:sz w:val="28"/>
          <w:szCs w:val="28"/>
        </w:rPr>
      </w:pPr>
    </w:p>
    <w:p>
      <w:pPr>
        <w:tabs>
          <w:tab w:val="left" w:pos="3969"/>
        </w:tabs>
        <w:spacing w:line="588" w:lineRule="exact"/>
        <w:ind w:right="-58"/>
        <w:rPr>
          <w:rFonts w:ascii="宋体" w:hAnsi="宋体"/>
          <w:color w:val="auto"/>
          <w:spacing w:val="6"/>
          <w:sz w:val="28"/>
          <w:szCs w:val="28"/>
        </w:rPr>
      </w:pPr>
    </w:p>
    <w:p>
      <w:pPr>
        <w:tabs>
          <w:tab w:val="left" w:pos="3969"/>
        </w:tabs>
        <w:spacing w:line="588" w:lineRule="exact"/>
        <w:ind w:right="-58"/>
        <w:rPr>
          <w:rFonts w:ascii="宋体" w:hAnsi="宋体"/>
          <w:color w:val="auto"/>
          <w:spacing w:val="6"/>
          <w:sz w:val="28"/>
          <w:szCs w:val="28"/>
        </w:rPr>
      </w:pPr>
    </w:p>
    <w:p>
      <w:pPr>
        <w:tabs>
          <w:tab w:val="left" w:pos="3969"/>
        </w:tabs>
        <w:spacing w:line="588" w:lineRule="exact"/>
        <w:ind w:right="-58"/>
        <w:rPr>
          <w:rFonts w:ascii="宋体" w:hAnsi="宋体"/>
          <w:color w:val="auto"/>
          <w:spacing w:val="6"/>
          <w:sz w:val="28"/>
          <w:szCs w:val="28"/>
        </w:rPr>
      </w:pPr>
    </w:p>
    <w:p>
      <w:pPr>
        <w:tabs>
          <w:tab w:val="left" w:pos="3969"/>
        </w:tabs>
        <w:spacing w:line="588" w:lineRule="exact"/>
        <w:ind w:right="-58"/>
        <w:rPr>
          <w:rFonts w:ascii="宋体" w:hAnsi="宋体"/>
          <w:color w:val="auto"/>
          <w:spacing w:val="6"/>
          <w:sz w:val="28"/>
          <w:szCs w:val="28"/>
        </w:rPr>
      </w:pPr>
    </w:p>
    <w:p>
      <w:pPr>
        <w:spacing w:line="588" w:lineRule="exact"/>
        <w:ind w:firstLine="563"/>
        <w:rPr>
          <w:rFonts w:ascii="宋体" w:hAnsi="宋体"/>
          <w:b/>
          <w:color w:val="auto"/>
          <w:sz w:val="28"/>
          <w:szCs w:val="28"/>
        </w:rPr>
      </w:pPr>
      <w:r>
        <w:rPr>
          <w:rFonts w:hint="eastAsia" w:ascii="宋体" w:hAnsi="宋体"/>
          <w:b/>
          <w:color w:val="auto"/>
          <w:spacing w:val="6"/>
          <w:sz w:val="28"/>
          <w:szCs w:val="28"/>
        </w:rPr>
        <w:t>说明：</w:t>
      </w:r>
      <w:r>
        <w:rPr>
          <w:rFonts w:hint="eastAsia" w:ascii="宋体" w:hAnsi="宋体"/>
          <w:b/>
          <w:color w:val="auto"/>
          <w:sz w:val="28"/>
          <w:szCs w:val="28"/>
        </w:rPr>
        <w:t>如未提供投标产品</w:t>
      </w:r>
      <w:r>
        <w:rPr>
          <w:rFonts w:ascii="宋体" w:hAnsi="宋体"/>
          <w:b/>
          <w:color w:val="auto"/>
          <w:sz w:val="28"/>
          <w:szCs w:val="28"/>
        </w:rPr>
        <w:t>制造商属于监狱企业的证明文件</w:t>
      </w:r>
      <w:r>
        <w:rPr>
          <w:rFonts w:hint="eastAsia" w:ascii="宋体" w:hAnsi="宋体"/>
          <w:b/>
          <w:color w:val="auto"/>
          <w:sz w:val="28"/>
          <w:szCs w:val="28"/>
        </w:rPr>
        <w:t>复印件的，不能享受招标文件规定的价格扣除，但不影响投标人投标文件的有效性。</w:t>
      </w:r>
    </w:p>
    <w:p>
      <w:pPr>
        <w:pStyle w:val="2"/>
        <w:rPr>
          <w:rFonts w:hint="eastAsia" w:eastAsia="宋体"/>
          <w:color w:val="auto"/>
          <w:lang w:eastAsia="zh-CN"/>
        </w:rPr>
      </w:pPr>
    </w:p>
    <w:p>
      <w:pPr>
        <w:keepNext/>
        <w:keepLines/>
        <w:numPr>
          <w:ilvl w:val="2"/>
          <w:numId w:val="5"/>
        </w:numPr>
        <w:spacing w:line="360" w:lineRule="auto"/>
        <w:ind w:left="0" w:firstLine="0"/>
        <w:outlineLvl w:val="2"/>
        <w:rPr>
          <w:rFonts w:ascii="宋体" w:hAnsi="宋体"/>
          <w:b/>
          <w:bCs/>
          <w:color w:val="auto"/>
          <w:sz w:val="28"/>
          <w:szCs w:val="28"/>
        </w:rPr>
      </w:pPr>
      <w:r>
        <w:rPr>
          <w:rFonts w:hint="eastAsia" w:ascii="宋体" w:hAnsi="宋体"/>
          <w:b/>
          <w:bCs/>
          <w:color w:val="auto"/>
          <w:sz w:val="28"/>
          <w:szCs w:val="28"/>
          <w:lang w:eastAsia="zh-CN"/>
        </w:rPr>
        <w:t>联合体协议书</w:t>
      </w:r>
    </w:p>
    <w:p>
      <w:pPr>
        <w:spacing w:after="150" w:line="390" w:lineRule="atLeast"/>
        <w:jc w:val="center"/>
        <w:rPr>
          <w:rFonts w:ascii="宋体" w:hAnsi="宋体" w:cs="宋体"/>
          <w:b/>
          <w:bCs/>
          <w:color w:val="auto"/>
        </w:rPr>
      </w:pPr>
      <w:r>
        <w:rPr>
          <w:rFonts w:hint="eastAsia" w:ascii="宋体" w:hAnsi="宋体" w:cs="宋体"/>
          <w:b/>
          <w:bCs/>
          <w:color w:val="auto"/>
        </w:rPr>
        <w:t>联合体协议书</w:t>
      </w:r>
    </w:p>
    <w:p>
      <w:pPr>
        <w:spacing w:line="360" w:lineRule="auto"/>
        <w:rPr>
          <w:rFonts w:ascii="宋体"/>
          <w:b/>
          <w:bCs/>
          <w:color w:val="auto"/>
        </w:rPr>
      </w:pPr>
      <w:r>
        <w:rPr>
          <w:rFonts w:hint="eastAsia" w:ascii="宋体" w:hAnsi="宋体" w:cs="宋体"/>
          <w:b/>
          <w:bCs/>
          <w:color w:val="auto"/>
        </w:rPr>
        <w:t>（本格式仅供参考）</w:t>
      </w:r>
    </w:p>
    <w:p>
      <w:pPr>
        <w:spacing w:after="150" w:line="390" w:lineRule="atLeast"/>
        <w:ind w:firstLine="480" w:firstLineChars="200"/>
        <w:rPr>
          <w:rFonts w:ascii="宋体"/>
          <w:color w:val="auto"/>
        </w:rPr>
      </w:pPr>
      <w:r>
        <w:rPr>
          <w:rFonts w:ascii="宋体" w:hAnsi="宋体" w:cs="宋体"/>
          <w:color w:val="auto"/>
        </w:rPr>
        <w:t>(</w:t>
      </w:r>
      <w:r>
        <w:rPr>
          <w:rFonts w:hint="eastAsia" w:ascii="宋体" w:hAnsi="宋体" w:cs="宋体"/>
          <w:color w:val="auto"/>
        </w:rPr>
        <w:t>甲公司名称</w:t>
      </w:r>
      <w:r>
        <w:rPr>
          <w:rFonts w:ascii="宋体" w:hAnsi="宋体" w:cs="宋体"/>
          <w:color w:val="auto"/>
        </w:rPr>
        <w:t>)_______________</w:t>
      </w:r>
      <w:r>
        <w:rPr>
          <w:rFonts w:hint="eastAsia" w:ascii="宋体" w:hAnsi="宋体" w:cs="宋体"/>
          <w:color w:val="auto"/>
        </w:rPr>
        <w:t>、</w:t>
      </w:r>
      <w:r>
        <w:rPr>
          <w:rFonts w:ascii="宋体" w:hAnsi="宋体" w:cs="宋体"/>
          <w:color w:val="auto"/>
        </w:rPr>
        <w:t>(</w:t>
      </w:r>
      <w:r>
        <w:rPr>
          <w:rFonts w:hint="eastAsia" w:ascii="宋体" w:hAnsi="宋体" w:cs="宋体"/>
          <w:color w:val="auto"/>
        </w:rPr>
        <w:t>乙公司名称</w:t>
      </w:r>
      <w:r>
        <w:rPr>
          <w:rFonts w:ascii="宋体" w:hAnsi="宋体" w:cs="宋体"/>
          <w:color w:val="auto"/>
        </w:rPr>
        <w:t>)_______________</w:t>
      </w:r>
      <w:r>
        <w:rPr>
          <w:rFonts w:hint="eastAsia" w:ascii="宋体" w:hAnsi="宋体" w:cs="宋体"/>
          <w:color w:val="auto"/>
        </w:rPr>
        <w:t>自愿组成联合体，参加</w:t>
      </w:r>
      <w:r>
        <w:rPr>
          <w:rFonts w:ascii="宋体" w:hAnsi="宋体" w:cs="宋体"/>
          <w:color w:val="auto"/>
        </w:rPr>
        <w:t xml:space="preserve"> </w:t>
      </w:r>
      <w:r>
        <w:rPr>
          <w:rFonts w:ascii="宋体" w:hAnsi="宋体" w:cs="宋体"/>
          <w:color w:val="auto"/>
          <w:u w:val="single"/>
        </w:rPr>
        <w:t xml:space="preserve">              </w:t>
      </w:r>
      <w:r>
        <w:rPr>
          <w:rFonts w:hint="eastAsia" w:ascii="宋体" w:hAnsi="宋体" w:cs="宋体"/>
          <w:b/>
          <w:bCs/>
          <w:color w:val="auto"/>
          <w:u w:val="single"/>
        </w:rPr>
        <w:t>项目（采购编号：</w:t>
      </w:r>
      <w:r>
        <w:rPr>
          <w:rFonts w:ascii="宋体" w:hAnsi="宋体" w:cs="宋体"/>
          <w:b/>
          <w:bCs/>
          <w:color w:val="auto"/>
          <w:u w:val="single"/>
        </w:rPr>
        <w:t xml:space="preserve">         </w:t>
      </w:r>
      <w:r>
        <w:rPr>
          <w:rFonts w:hint="eastAsia" w:ascii="宋体" w:hAnsi="宋体" w:cs="宋体"/>
          <w:b/>
          <w:bCs/>
          <w:color w:val="auto"/>
          <w:u w:val="single"/>
        </w:rPr>
        <w:t>）</w:t>
      </w:r>
      <w:r>
        <w:rPr>
          <w:rFonts w:hint="eastAsia" w:ascii="宋体" w:hAnsi="宋体" w:cs="宋体"/>
          <w:color w:val="auto"/>
        </w:rPr>
        <w:t>的采购活动。现就有关事宜订立协议如下：</w:t>
      </w:r>
    </w:p>
    <w:p>
      <w:pPr>
        <w:spacing w:after="150" w:line="390" w:lineRule="atLeast"/>
        <w:rPr>
          <w:rFonts w:ascii="宋体"/>
          <w:color w:val="auto"/>
        </w:rPr>
      </w:pPr>
      <w:r>
        <w:rPr>
          <w:rFonts w:hint="eastAsia" w:ascii="宋体" w:hAnsi="宋体" w:cs="宋体"/>
          <w:color w:val="auto"/>
        </w:rPr>
        <w:t>　　</w:t>
      </w:r>
      <w:r>
        <w:rPr>
          <w:rFonts w:ascii="宋体" w:hAnsi="宋体" w:cs="宋体"/>
          <w:color w:val="auto"/>
        </w:rPr>
        <w:t xml:space="preserve">1. </w:t>
      </w:r>
      <w:r>
        <w:rPr>
          <w:rFonts w:ascii="宋体" w:hAnsi="宋体" w:cs="宋体"/>
          <w:color w:val="auto"/>
          <w:u w:val="single"/>
        </w:rPr>
        <w:t xml:space="preserve"> (</w:t>
      </w:r>
      <w:r>
        <w:rPr>
          <w:rFonts w:hint="eastAsia" w:ascii="宋体" w:hAnsi="宋体" w:cs="宋体"/>
          <w:color w:val="auto"/>
          <w:u w:val="single"/>
        </w:rPr>
        <w:t>甲公司名称</w:t>
      </w:r>
      <w:r>
        <w:rPr>
          <w:rFonts w:ascii="宋体" w:hAnsi="宋体" w:cs="宋体"/>
          <w:color w:val="auto"/>
          <w:u w:val="single"/>
        </w:rPr>
        <w:t xml:space="preserve">)    </w:t>
      </w:r>
      <w:r>
        <w:rPr>
          <w:rFonts w:hint="eastAsia" w:ascii="宋体" w:hAnsi="宋体" w:cs="宋体"/>
          <w:color w:val="auto"/>
        </w:rPr>
        <w:t>为联合体牵头方，</w:t>
      </w:r>
      <w:r>
        <w:rPr>
          <w:rFonts w:ascii="宋体" w:hAnsi="宋体" w:cs="宋体"/>
          <w:color w:val="auto"/>
          <w:u w:val="single"/>
        </w:rPr>
        <w:t>(</w:t>
      </w:r>
      <w:r>
        <w:rPr>
          <w:rFonts w:hint="eastAsia" w:ascii="宋体" w:hAnsi="宋体" w:cs="宋体"/>
          <w:color w:val="auto"/>
          <w:u w:val="single"/>
        </w:rPr>
        <w:t>乙公司名称</w:t>
      </w:r>
      <w:r>
        <w:rPr>
          <w:rFonts w:ascii="宋体" w:hAnsi="宋体" w:cs="宋体"/>
          <w:color w:val="auto"/>
          <w:u w:val="single"/>
        </w:rPr>
        <w:t xml:space="preserve">)   </w:t>
      </w:r>
      <w:r>
        <w:rPr>
          <w:rFonts w:ascii="宋体" w:hAnsi="宋体" w:cs="宋体"/>
          <w:color w:val="auto"/>
        </w:rPr>
        <w:t xml:space="preserve"> </w:t>
      </w:r>
      <w:r>
        <w:rPr>
          <w:rFonts w:hint="eastAsia" w:ascii="宋体" w:hAnsi="宋体" w:cs="宋体"/>
          <w:color w:val="auto"/>
        </w:rPr>
        <w:t>为联合体成员</w:t>
      </w:r>
      <w:r>
        <w:rPr>
          <w:rFonts w:ascii="宋体" w:hAnsi="宋体" w:cs="宋体"/>
          <w:color w:val="auto"/>
        </w:rPr>
        <w:t>;</w:t>
      </w:r>
    </w:p>
    <w:p>
      <w:pPr>
        <w:spacing w:after="150" w:line="390" w:lineRule="atLeast"/>
        <w:rPr>
          <w:rFonts w:ascii="宋体"/>
          <w:color w:val="auto"/>
        </w:rPr>
      </w:pPr>
      <w:r>
        <w:rPr>
          <w:rFonts w:hint="eastAsia" w:ascii="宋体" w:hAnsi="宋体" w:cs="宋体"/>
          <w:color w:val="auto"/>
        </w:rPr>
        <w:t>　　</w:t>
      </w:r>
      <w:r>
        <w:rPr>
          <w:rFonts w:ascii="宋体" w:hAnsi="宋体" w:cs="宋体"/>
          <w:color w:val="auto"/>
        </w:rPr>
        <w:t>2.</w:t>
      </w:r>
      <w:r>
        <w:rPr>
          <w:rFonts w:hint="eastAsia" w:ascii="宋体" w:hAnsi="宋体" w:cs="宋体"/>
          <w:color w:val="auto"/>
        </w:rPr>
        <w:t>联合体内部有关事项规定如下：</w:t>
      </w:r>
    </w:p>
    <w:p>
      <w:pPr>
        <w:spacing w:after="150" w:line="390" w:lineRule="atLeast"/>
        <w:rPr>
          <w:rFonts w:ascii="宋体"/>
          <w:color w:val="auto"/>
        </w:rPr>
      </w:pPr>
      <w:r>
        <w:rPr>
          <w:rFonts w:hint="eastAsia" w:ascii="宋体" w:hAnsi="宋体" w:cs="宋体"/>
          <w:color w:val="auto"/>
        </w:rPr>
        <w:t>　　</w:t>
      </w:r>
      <w:r>
        <w:rPr>
          <w:rFonts w:ascii="宋体" w:hAnsi="宋体" w:cs="宋体"/>
          <w:color w:val="auto"/>
        </w:rPr>
        <w:t>(1)</w:t>
      </w:r>
      <w:r>
        <w:rPr>
          <w:rFonts w:hint="eastAsia" w:ascii="宋体" w:hAnsi="宋体" w:cs="宋体"/>
          <w:color w:val="auto"/>
        </w:rPr>
        <w:t>联合体由牵头方负责与采购人联系。</w:t>
      </w:r>
    </w:p>
    <w:p>
      <w:pPr>
        <w:spacing w:after="150" w:line="390" w:lineRule="atLeast"/>
        <w:rPr>
          <w:rFonts w:ascii="宋体"/>
          <w:color w:val="auto"/>
        </w:rPr>
      </w:pPr>
      <w:r>
        <w:rPr>
          <w:rFonts w:hint="eastAsia" w:ascii="宋体" w:hAnsi="宋体" w:cs="宋体"/>
          <w:color w:val="auto"/>
        </w:rPr>
        <w:t>　　</w:t>
      </w:r>
      <w:r>
        <w:rPr>
          <w:rFonts w:ascii="宋体" w:hAnsi="宋体" w:cs="宋体"/>
          <w:color w:val="auto"/>
        </w:rPr>
        <w:t>(2)</w:t>
      </w:r>
      <w:r>
        <w:rPr>
          <w:rFonts w:hint="eastAsia" w:ascii="宋体" w:hAnsi="宋体" w:cs="宋体"/>
          <w:color w:val="auto"/>
        </w:rPr>
        <w:t>采购活动工作由联合体牵头方负责，由双方组成的工作小组具体实施</w:t>
      </w:r>
      <w:r>
        <w:rPr>
          <w:rFonts w:ascii="宋体" w:hAnsi="宋体" w:cs="宋体"/>
          <w:color w:val="auto"/>
        </w:rPr>
        <w:t>;</w:t>
      </w:r>
      <w:r>
        <w:rPr>
          <w:rFonts w:hint="eastAsia" w:ascii="宋体" w:hAnsi="宋体" w:cs="宋体"/>
          <w:color w:val="auto"/>
        </w:rPr>
        <w:t>联合体牵头方代表联合体办理</w:t>
      </w:r>
      <w:r>
        <w:rPr>
          <w:rFonts w:hint="eastAsia" w:ascii="宋体" w:hAnsi="宋体" w:cs="宋体"/>
          <w:color w:val="auto"/>
          <w:lang w:eastAsia="zh-CN"/>
        </w:rPr>
        <w:t>投标</w:t>
      </w:r>
      <w:r>
        <w:rPr>
          <w:rFonts w:hint="eastAsia" w:ascii="宋体" w:hAnsi="宋体" w:cs="宋体"/>
          <w:color w:val="auto"/>
        </w:rPr>
        <w:t>事宜，联合体牵头方在响应文件中的所有承诺均代表了联合体各成员。</w:t>
      </w:r>
    </w:p>
    <w:p>
      <w:pPr>
        <w:spacing w:after="150" w:line="390" w:lineRule="atLeast"/>
        <w:rPr>
          <w:rFonts w:ascii="宋体"/>
          <w:color w:val="auto"/>
        </w:rPr>
      </w:pPr>
      <w:r>
        <w:rPr>
          <w:rFonts w:hint="eastAsia" w:ascii="宋体" w:hAnsi="宋体" w:cs="宋体"/>
          <w:color w:val="auto"/>
        </w:rPr>
        <w:t>　　</w:t>
      </w:r>
      <w:r>
        <w:rPr>
          <w:rFonts w:ascii="宋体" w:hAnsi="宋体" w:cs="宋体"/>
          <w:color w:val="auto"/>
        </w:rPr>
        <w:t>(3)</w:t>
      </w:r>
      <w:r>
        <w:rPr>
          <w:rFonts w:hint="eastAsia" w:ascii="宋体" w:hAnsi="宋体" w:cs="宋体"/>
          <w:color w:val="auto"/>
        </w:rPr>
        <w:t>联合体将严格按照采购文件的各项要求，递交响应文件，切实执行一切合同文件，共同承担合同规定的一切义务和责任，在法律上承担连带责任。</w:t>
      </w:r>
    </w:p>
    <w:p>
      <w:pPr>
        <w:spacing w:after="150" w:line="390" w:lineRule="atLeast"/>
        <w:rPr>
          <w:rFonts w:ascii="宋体"/>
          <w:color w:val="auto"/>
        </w:rPr>
      </w:pPr>
      <w:r>
        <w:rPr>
          <w:rFonts w:hint="eastAsia" w:ascii="宋体" w:hAnsi="宋体" w:cs="宋体"/>
          <w:color w:val="auto"/>
        </w:rPr>
        <w:t>　　</w:t>
      </w:r>
      <w:r>
        <w:rPr>
          <w:rFonts w:ascii="宋体" w:hAnsi="宋体" w:cs="宋体"/>
          <w:color w:val="auto"/>
        </w:rPr>
        <w:t>(4)</w:t>
      </w:r>
      <w:r>
        <w:rPr>
          <w:rFonts w:hint="eastAsia" w:ascii="宋体" w:hAnsi="宋体" w:cs="宋体"/>
          <w:color w:val="auto"/>
        </w:rPr>
        <w:t>如成交，联合体内部将遵守以下规定：</w:t>
      </w:r>
    </w:p>
    <w:p>
      <w:pPr>
        <w:spacing w:after="150" w:line="390" w:lineRule="atLeast"/>
        <w:rPr>
          <w:rFonts w:ascii="宋体"/>
          <w:color w:val="auto"/>
        </w:rPr>
      </w:pPr>
      <w:r>
        <w:rPr>
          <w:rFonts w:hint="eastAsia" w:ascii="宋体" w:hAnsi="宋体" w:cs="宋体"/>
          <w:color w:val="auto"/>
        </w:rPr>
        <w:t>　　</w:t>
      </w:r>
      <w:r>
        <w:rPr>
          <w:rFonts w:ascii="宋体" w:hAnsi="宋体" w:cs="宋体"/>
          <w:color w:val="auto"/>
        </w:rPr>
        <w:t>a.</w:t>
      </w:r>
      <w:r>
        <w:rPr>
          <w:rFonts w:hint="eastAsia" w:ascii="宋体" w:hAnsi="宋体" w:cs="宋体"/>
          <w:color w:val="auto"/>
        </w:rPr>
        <w:t>联合体牵头方和成员共同与采购人签订合同并履行合同，且就成交项目向采购人承担连带责任</w:t>
      </w:r>
      <w:r>
        <w:rPr>
          <w:rFonts w:ascii="宋体" w:hAnsi="宋体" w:cs="宋体"/>
          <w:color w:val="auto"/>
        </w:rPr>
        <w:t>;</w:t>
      </w:r>
    </w:p>
    <w:p>
      <w:pPr>
        <w:spacing w:after="150" w:line="390" w:lineRule="atLeast"/>
        <w:rPr>
          <w:rFonts w:ascii="宋体"/>
          <w:color w:val="auto"/>
        </w:rPr>
      </w:pPr>
      <w:r>
        <w:rPr>
          <w:rFonts w:hint="eastAsia" w:ascii="宋体" w:hAnsi="宋体" w:cs="宋体"/>
          <w:color w:val="auto"/>
        </w:rPr>
        <w:t>　　</w:t>
      </w:r>
      <w:r>
        <w:rPr>
          <w:rFonts w:ascii="宋体" w:hAnsi="宋体" w:cs="宋体"/>
          <w:color w:val="auto"/>
        </w:rPr>
        <w:t>b.</w:t>
      </w:r>
      <w:r>
        <w:rPr>
          <w:rFonts w:hint="eastAsia" w:ascii="宋体" w:hAnsi="宋体" w:cs="宋体"/>
          <w:color w:val="auto"/>
        </w:rPr>
        <w:t>联合体牵头方合法代表联合体各成员负责本项目响应文件编制和采购活动，并代表联合体提交和接收相关的资料、信息及指示，并处理与之有关的一切事物，负责合同实施阶段的主办、组织和协调工作；</w:t>
      </w:r>
    </w:p>
    <w:p>
      <w:pPr>
        <w:spacing w:after="150" w:line="390" w:lineRule="atLeast"/>
        <w:ind w:firstLine="465"/>
        <w:rPr>
          <w:rFonts w:ascii="宋体"/>
          <w:color w:val="auto"/>
          <w:u w:val="single"/>
        </w:rPr>
      </w:pPr>
      <w:r>
        <w:rPr>
          <w:rFonts w:ascii="宋体" w:hAnsi="宋体" w:cs="宋体"/>
          <w:color w:val="auto"/>
        </w:rPr>
        <w:t>c.</w:t>
      </w:r>
      <w:r>
        <w:rPr>
          <w:rFonts w:hint="eastAsia" w:ascii="宋体" w:hAnsi="宋体" w:cs="宋体"/>
          <w:color w:val="auto"/>
        </w:rPr>
        <w:t>联合体各成员单位内部的职责分工如下：</w:t>
      </w:r>
      <w:r>
        <w:rPr>
          <w:rFonts w:ascii="宋体" w:hAnsi="宋体" w:cs="宋体"/>
          <w:color w:val="auto"/>
          <w:u w:val="single"/>
        </w:rPr>
        <w:t xml:space="preserve">                           </w:t>
      </w:r>
    </w:p>
    <w:p>
      <w:pPr>
        <w:spacing w:after="150" w:line="390" w:lineRule="atLeast"/>
        <w:ind w:firstLine="465"/>
        <w:rPr>
          <w:rFonts w:ascii="宋体"/>
          <w:color w:val="auto"/>
          <w:u w:val="single"/>
        </w:rPr>
      </w:pPr>
      <w:r>
        <w:rPr>
          <w:rFonts w:ascii="宋体" w:hAnsi="宋体" w:cs="宋体"/>
          <w:color w:val="auto"/>
          <w:u w:val="single"/>
        </w:rPr>
        <w:t xml:space="preserve">                                                                 </w:t>
      </w:r>
    </w:p>
    <w:p>
      <w:pPr>
        <w:spacing w:after="150" w:line="390" w:lineRule="atLeast"/>
        <w:rPr>
          <w:rFonts w:ascii="宋体"/>
          <w:color w:val="auto"/>
        </w:rPr>
      </w:pPr>
      <w:r>
        <w:rPr>
          <w:rFonts w:hint="eastAsia" w:ascii="宋体" w:hAnsi="宋体" w:cs="宋体"/>
          <w:color w:val="auto"/>
        </w:rPr>
        <w:t>　　</w:t>
      </w:r>
      <w:r>
        <w:rPr>
          <w:rFonts w:ascii="宋体" w:hAnsi="宋体" w:cs="宋体"/>
          <w:color w:val="auto"/>
        </w:rPr>
        <w:t>3.</w:t>
      </w:r>
      <w:r>
        <w:rPr>
          <w:rFonts w:hint="eastAsia" w:ascii="宋体" w:hAnsi="宋体" w:cs="宋体"/>
          <w:color w:val="auto"/>
        </w:rPr>
        <w:t>本协议书自签署之日起生效，合同履行完毕后自动失效。</w:t>
      </w:r>
    </w:p>
    <w:p>
      <w:pPr>
        <w:spacing w:after="150" w:line="390" w:lineRule="atLeast"/>
        <w:ind w:firstLine="465"/>
        <w:rPr>
          <w:rFonts w:ascii="宋体"/>
          <w:color w:val="auto"/>
        </w:rPr>
      </w:pPr>
      <w:r>
        <w:rPr>
          <w:rFonts w:ascii="宋体" w:hAnsi="宋体" w:cs="宋体"/>
          <w:color w:val="auto"/>
        </w:rPr>
        <w:t>4.</w:t>
      </w:r>
      <w:r>
        <w:rPr>
          <w:rFonts w:hint="eastAsia" w:ascii="宋体" w:hAnsi="宋体" w:cs="宋体"/>
          <w:color w:val="auto"/>
        </w:rPr>
        <w:t>本协议书一式</w:t>
      </w:r>
      <w:r>
        <w:rPr>
          <w:rFonts w:ascii="宋体" w:hAnsi="宋体" w:cs="宋体"/>
          <w:color w:val="auto"/>
          <w:u w:val="single"/>
        </w:rPr>
        <w:t xml:space="preserve">    </w:t>
      </w:r>
      <w:r>
        <w:rPr>
          <w:rFonts w:hint="eastAsia" w:ascii="宋体" w:hAnsi="宋体" w:cs="宋体"/>
          <w:color w:val="auto"/>
        </w:rPr>
        <w:t>份，联合体成员和采购人各执一份。</w:t>
      </w:r>
    </w:p>
    <w:p>
      <w:pPr>
        <w:spacing w:after="150" w:line="390" w:lineRule="atLeast"/>
        <w:ind w:firstLine="465"/>
        <w:rPr>
          <w:rFonts w:ascii="宋体"/>
          <w:color w:val="auto"/>
        </w:rPr>
      </w:pPr>
    </w:p>
    <w:p>
      <w:pPr>
        <w:spacing w:before="156" w:beforeLines="50" w:after="156" w:afterLines="50" w:line="390" w:lineRule="atLeast"/>
        <w:ind w:right="120"/>
        <w:rPr>
          <w:rFonts w:ascii="宋体"/>
          <w:color w:val="auto"/>
        </w:rPr>
      </w:pPr>
      <w:r>
        <w:rPr>
          <w:rFonts w:hint="eastAsia" w:ascii="宋体" w:hAnsi="宋体" w:cs="宋体"/>
          <w:color w:val="auto"/>
        </w:rPr>
        <w:t>牵头方名称：</w:t>
      </w:r>
      <w:r>
        <w:rPr>
          <w:rFonts w:ascii="宋体" w:hAnsi="宋体" w:cs="宋体"/>
          <w:color w:val="auto"/>
          <w:u w:val="single"/>
        </w:rPr>
        <w:t xml:space="preserve">                      </w:t>
      </w:r>
      <w:r>
        <w:rPr>
          <w:rFonts w:hint="eastAsia" w:ascii="宋体" w:hAnsi="宋体" w:cs="宋体"/>
          <w:color w:val="auto"/>
        </w:rPr>
        <w:t>（盖单位章</w:t>
      </w:r>
      <w:r>
        <w:rPr>
          <w:rFonts w:hint="eastAsia" w:ascii="宋体" w:hAnsi="宋体" w:cs="宋体"/>
          <w:color w:val="auto"/>
          <w:lang w:eastAsia="zh-CN"/>
        </w:rPr>
        <w:t>电子章</w:t>
      </w:r>
      <w:r>
        <w:rPr>
          <w:rFonts w:hint="eastAsia" w:ascii="宋体" w:hAnsi="宋体" w:cs="宋体"/>
          <w:color w:val="auto"/>
        </w:rPr>
        <w:t>）</w:t>
      </w:r>
    </w:p>
    <w:p>
      <w:pPr>
        <w:spacing w:before="156" w:beforeLines="50" w:after="156" w:afterLines="50"/>
        <w:ind w:right="600"/>
        <w:rPr>
          <w:rFonts w:ascii="宋体"/>
          <w:color w:val="auto"/>
        </w:rPr>
      </w:pPr>
      <w:r>
        <w:rPr>
          <w:rFonts w:hint="eastAsia" w:ascii="宋体" w:hAnsi="宋体" w:cs="宋体"/>
          <w:color w:val="auto"/>
        </w:rPr>
        <w:t>法定代表人：</w:t>
      </w:r>
      <w:r>
        <w:rPr>
          <w:rFonts w:ascii="宋体" w:hAnsi="宋体" w:cs="宋体"/>
          <w:color w:val="auto"/>
          <w:u w:val="single"/>
        </w:rPr>
        <w:t xml:space="preserve">                      </w:t>
      </w:r>
      <w:r>
        <w:rPr>
          <w:rFonts w:hint="eastAsia" w:ascii="宋体" w:hAnsi="宋体" w:cs="宋体"/>
          <w:color w:val="auto"/>
        </w:rPr>
        <w:t>（签字）</w:t>
      </w:r>
    </w:p>
    <w:p>
      <w:pPr>
        <w:ind w:right="480"/>
        <w:rPr>
          <w:rFonts w:ascii="宋体"/>
          <w:color w:val="auto"/>
        </w:rPr>
      </w:pPr>
    </w:p>
    <w:p>
      <w:pPr>
        <w:wordWrap w:val="0"/>
        <w:spacing w:before="156" w:beforeLines="50" w:after="156" w:afterLines="50" w:line="390" w:lineRule="atLeast"/>
        <w:rPr>
          <w:rFonts w:ascii="宋体"/>
          <w:color w:val="auto"/>
        </w:rPr>
      </w:pPr>
      <w:r>
        <w:rPr>
          <w:rFonts w:hint="eastAsia" w:ascii="宋体" w:hAnsi="宋体" w:cs="宋体"/>
          <w:color w:val="auto"/>
        </w:rPr>
        <w:t>成员名称：</w:t>
      </w:r>
      <w:r>
        <w:rPr>
          <w:rFonts w:ascii="宋体" w:hAnsi="宋体" w:cs="宋体"/>
          <w:color w:val="auto"/>
          <w:u w:val="single"/>
        </w:rPr>
        <w:t xml:space="preserve">                         </w:t>
      </w:r>
      <w:r>
        <w:rPr>
          <w:rFonts w:hint="eastAsia" w:ascii="宋体" w:hAnsi="宋体" w:cs="宋体"/>
          <w:color w:val="auto"/>
        </w:rPr>
        <w:t>（盖单位章）</w:t>
      </w:r>
    </w:p>
    <w:p>
      <w:pPr>
        <w:wordWrap w:val="0"/>
        <w:spacing w:before="156" w:beforeLines="50" w:after="156" w:afterLines="50"/>
        <w:ind w:right="360"/>
        <w:rPr>
          <w:rFonts w:ascii="宋体"/>
          <w:color w:val="auto"/>
        </w:rPr>
      </w:pPr>
      <w:r>
        <w:rPr>
          <w:rFonts w:hint="eastAsia" w:ascii="宋体" w:hAnsi="宋体" w:cs="宋体"/>
          <w:color w:val="auto"/>
        </w:rPr>
        <w:t>法定代表人：</w:t>
      </w:r>
      <w:r>
        <w:rPr>
          <w:rFonts w:ascii="宋体" w:hAnsi="宋体" w:cs="宋体"/>
          <w:color w:val="auto"/>
          <w:u w:val="single"/>
        </w:rPr>
        <w:t xml:space="preserve">                        </w:t>
      </w:r>
      <w:r>
        <w:rPr>
          <w:rFonts w:hint="eastAsia" w:ascii="宋体" w:hAnsi="宋体" w:cs="宋体"/>
          <w:color w:val="auto"/>
        </w:rPr>
        <w:t>（签字）</w:t>
      </w:r>
    </w:p>
    <w:p>
      <w:pPr>
        <w:rPr>
          <w:rFonts w:ascii="宋体"/>
          <w:color w:val="auto"/>
        </w:rPr>
      </w:pPr>
    </w:p>
    <w:p>
      <w:pPr>
        <w:rPr>
          <w:rFonts w:ascii="宋体"/>
          <w:color w:val="auto"/>
        </w:rPr>
      </w:pPr>
    </w:p>
    <w:p>
      <w:pPr>
        <w:wordWrap w:val="0"/>
        <w:rPr>
          <w:rFonts w:ascii="宋体"/>
          <w:color w:val="auto"/>
        </w:rPr>
      </w:pPr>
      <w:r>
        <w:rPr>
          <w:rFonts w:ascii="宋体" w:hAnsi="宋体" w:cs="宋体"/>
          <w:color w:val="auto"/>
          <w:u w:val="single"/>
        </w:rPr>
        <w:t xml:space="preserve">      </w:t>
      </w:r>
      <w:r>
        <w:rPr>
          <w:rFonts w:hint="eastAsia" w:ascii="宋体" w:hAnsi="宋体" w:cs="宋体"/>
          <w:color w:val="auto"/>
        </w:rPr>
        <w:t>年</w:t>
      </w:r>
      <w:r>
        <w:rPr>
          <w:rFonts w:ascii="宋体" w:hAnsi="宋体" w:cs="宋体"/>
          <w:color w:val="auto"/>
          <w:u w:val="single"/>
        </w:rPr>
        <w:t xml:space="preserve">     </w:t>
      </w:r>
      <w:r>
        <w:rPr>
          <w:rFonts w:hint="eastAsia" w:ascii="宋体" w:hAnsi="宋体" w:cs="宋体"/>
          <w:color w:val="auto"/>
        </w:rPr>
        <w:t>月</w:t>
      </w:r>
      <w:r>
        <w:rPr>
          <w:rFonts w:ascii="宋体" w:hAnsi="宋体" w:cs="宋体"/>
          <w:color w:val="auto"/>
          <w:u w:val="single"/>
        </w:rPr>
        <w:t xml:space="preserve">     </w:t>
      </w:r>
      <w:r>
        <w:rPr>
          <w:rFonts w:hint="eastAsia" w:ascii="宋体" w:hAnsi="宋体" w:cs="宋体"/>
          <w:color w:val="auto"/>
        </w:rPr>
        <w:t>日</w:t>
      </w:r>
    </w:p>
    <w:p>
      <w:pPr>
        <w:rPr>
          <w:rFonts w:ascii="宋体"/>
          <w:b/>
          <w:bCs/>
          <w:color w:val="auto"/>
        </w:rPr>
      </w:pPr>
    </w:p>
    <w:p>
      <w:pPr>
        <w:rPr>
          <w:rFonts w:ascii="宋体"/>
          <w:b/>
          <w:bCs/>
          <w:color w:val="auto"/>
        </w:rPr>
      </w:pPr>
    </w:p>
    <w:p>
      <w:pPr>
        <w:rPr>
          <w:rFonts w:ascii="宋体" w:hAnsi="宋体" w:cs="宋体"/>
          <w:b/>
          <w:bCs/>
          <w:color w:val="FF0000"/>
          <w:sz w:val="28"/>
          <w:szCs w:val="28"/>
        </w:rPr>
      </w:pPr>
      <w:r>
        <w:rPr>
          <w:rFonts w:hint="eastAsia" w:ascii="宋体" w:hAnsi="宋体" w:cs="宋体"/>
          <w:b/>
          <w:bCs/>
          <w:color w:val="FF0000"/>
          <w:sz w:val="28"/>
          <w:szCs w:val="28"/>
        </w:rPr>
        <w:t>注：</w:t>
      </w:r>
    </w:p>
    <w:p>
      <w:pPr>
        <w:rPr>
          <w:rFonts w:ascii="宋体" w:hAnsi="宋体" w:cs="宋体"/>
          <w:b/>
          <w:bCs/>
          <w:color w:val="FF0000"/>
          <w:sz w:val="28"/>
          <w:szCs w:val="28"/>
        </w:rPr>
      </w:pPr>
      <w:r>
        <w:rPr>
          <w:rFonts w:hint="eastAsia" w:ascii="宋体" w:hAnsi="宋体" w:cs="宋体"/>
          <w:b/>
          <w:bCs/>
          <w:color w:val="FF0000"/>
          <w:sz w:val="28"/>
          <w:szCs w:val="28"/>
        </w:rPr>
        <w:t>1、须附上联合体各方营业执照（正本或副本）复印件，加盖</w:t>
      </w:r>
      <w:r>
        <w:rPr>
          <w:rFonts w:hint="eastAsia" w:ascii="宋体" w:hAnsi="宋体" w:cs="宋体"/>
          <w:b/>
          <w:bCs/>
          <w:color w:val="FF0000"/>
          <w:sz w:val="28"/>
          <w:szCs w:val="28"/>
          <w:lang w:eastAsia="zh-CN"/>
        </w:rPr>
        <w:t>电子章</w:t>
      </w:r>
      <w:r>
        <w:rPr>
          <w:rFonts w:hint="eastAsia" w:ascii="宋体" w:hAnsi="宋体" w:cs="宋体"/>
          <w:b/>
          <w:bCs/>
          <w:color w:val="FF0000"/>
          <w:sz w:val="28"/>
          <w:szCs w:val="28"/>
        </w:rPr>
        <w:t>；</w:t>
      </w:r>
    </w:p>
    <w:p>
      <w:pPr>
        <w:rPr>
          <w:rFonts w:ascii="宋体"/>
          <w:b/>
          <w:bCs/>
          <w:color w:val="FF0000"/>
          <w:sz w:val="28"/>
          <w:szCs w:val="28"/>
        </w:rPr>
      </w:pPr>
      <w:r>
        <w:rPr>
          <w:rFonts w:hint="eastAsia" w:ascii="宋体" w:hAnsi="宋体" w:cs="宋体"/>
          <w:b/>
          <w:bCs/>
          <w:color w:val="FF0000"/>
          <w:sz w:val="28"/>
          <w:szCs w:val="28"/>
          <w:lang w:val="en-US" w:eastAsia="zh-CN"/>
        </w:rPr>
        <w:t>2</w:t>
      </w:r>
      <w:r>
        <w:rPr>
          <w:rFonts w:hint="eastAsia" w:ascii="宋体" w:hAnsi="宋体" w:cs="宋体"/>
          <w:b/>
          <w:bCs/>
          <w:color w:val="FF0000"/>
          <w:sz w:val="28"/>
          <w:szCs w:val="28"/>
        </w:rPr>
        <w:t>、非联合体参加本项目的可不提供此协议。</w:t>
      </w:r>
    </w:p>
    <w:p>
      <w:pPr>
        <w:rPr>
          <w:b/>
          <w:bCs/>
          <w:color w:val="auto"/>
        </w:rPr>
      </w:pPr>
    </w:p>
    <w:p>
      <w:pPr>
        <w:rPr>
          <w:color w:val="auto"/>
        </w:rPr>
      </w:pPr>
      <w:r>
        <w:rPr>
          <w:color w:val="auto"/>
        </w:rPr>
        <w:br w:type="page"/>
      </w:r>
    </w:p>
    <w:p>
      <w:pPr>
        <w:pStyle w:val="3"/>
        <w:rPr>
          <w:color w:val="auto"/>
        </w:rPr>
      </w:pPr>
    </w:p>
    <w:p>
      <w:pPr>
        <w:keepNext/>
        <w:keepLines/>
        <w:numPr>
          <w:ilvl w:val="2"/>
          <w:numId w:val="5"/>
        </w:numPr>
        <w:spacing w:line="360" w:lineRule="auto"/>
        <w:ind w:left="0" w:firstLine="0"/>
        <w:outlineLvl w:val="2"/>
        <w:rPr>
          <w:rFonts w:ascii="宋体" w:hAnsi="宋体"/>
          <w:b/>
          <w:bCs/>
          <w:color w:val="auto"/>
          <w:sz w:val="28"/>
          <w:szCs w:val="28"/>
        </w:rPr>
      </w:pPr>
      <w:r>
        <w:rPr>
          <w:rFonts w:hint="eastAsia" w:ascii="宋体" w:hAnsi="宋体"/>
          <w:b/>
          <w:bCs/>
          <w:color w:val="auto"/>
          <w:sz w:val="28"/>
          <w:szCs w:val="28"/>
        </w:rPr>
        <w:t>投标人应提交的相关资格证明材料</w:t>
      </w:r>
    </w:p>
    <w:p>
      <w:pPr>
        <w:numPr>
          <w:ilvl w:val="0"/>
          <w:numId w:val="0"/>
        </w:numPr>
        <w:tabs>
          <w:tab w:val="left" w:pos="1134"/>
        </w:tabs>
        <w:spacing w:line="360" w:lineRule="auto"/>
        <w:ind w:left="546" w:leftChars="0"/>
        <w:rPr>
          <w:rFonts w:hint="eastAsia" w:ascii="宋体" w:hAnsi="宋体"/>
          <w:b/>
          <w:color w:val="auto"/>
          <w:sz w:val="28"/>
          <w:szCs w:val="28"/>
        </w:rPr>
      </w:pPr>
      <w:r>
        <w:rPr>
          <w:rFonts w:hint="eastAsia" w:ascii="宋体" w:hAnsi="宋体"/>
          <w:b/>
          <w:color w:val="auto"/>
          <w:sz w:val="28"/>
          <w:szCs w:val="28"/>
          <w:lang w:eastAsia="zh-CN"/>
        </w:rPr>
        <w:t>一、</w:t>
      </w:r>
      <w:r>
        <w:rPr>
          <w:rFonts w:hint="eastAsia" w:ascii="宋体" w:hAnsi="宋体"/>
          <w:b/>
          <w:color w:val="auto"/>
          <w:sz w:val="28"/>
          <w:szCs w:val="28"/>
        </w:rPr>
        <w:t>关于投标人资格申明的函；</w:t>
      </w:r>
    </w:p>
    <w:p>
      <w:pPr>
        <w:numPr>
          <w:ilvl w:val="0"/>
          <w:numId w:val="0"/>
        </w:numPr>
        <w:tabs>
          <w:tab w:val="left" w:pos="1134"/>
        </w:tabs>
        <w:spacing w:line="360" w:lineRule="auto"/>
        <w:ind w:left="546" w:leftChars="0"/>
        <w:rPr>
          <w:rFonts w:hint="eastAsia" w:ascii="宋体" w:hAnsi="宋体"/>
          <w:b/>
          <w:color w:val="auto"/>
          <w:sz w:val="28"/>
          <w:szCs w:val="28"/>
        </w:rPr>
      </w:pPr>
      <w:r>
        <w:rPr>
          <w:rFonts w:hint="eastAsia" w:ascii="宋体" w:hAnsi="宋体"/>
          <w:b/>
          <w:color w:val="auto"/>
          <w:sz w:val="28"/>
          <w:szCs w:val="28"/>
          <w:lang w:eastAsia="zh-CN"/>
        </w:rPr>
        <w:t>二、</w:t>
      </w:r>
      <w:r>
        <w:rPr>
          <w:rFonts w:hint="eastAsia" w:ascii="宋体" w:hAnsi="宋体"/>
          <w:b/>
          <w:color w:val="auto"/>
          <w:sz w:val="28"/>
          <w:szCs w:val="28"/>
        </w:rPr>
        <w:t>声明；</w:t>
      </w:r>
    </w:p>
    <w:p>
      <w:pPr>
        <w:numPr>
          <w:ilvl w:val="0"/>
          <w:numId w:val="0"/>
        </w:numPr>
        <w:tabs>
          <w:tab w:val="left" w:pos="1134"/>
        </w:tabs>
        <w:spacing w:line="360" w:lineRule="auto"/>
        <w:ind w:left="546" w:leftChars="0"/>
        <w:rPr>
          <w:rFonts w:hint="eastAsia" w:ascii="宋体" w:hAnsi="宋体"/>
          <w:b/>
          <w:color w:val="auto"/>
          <w:sz w:val="28"/>
          <w:szCs w:val="28"/>
        </w:rPr>
      </w:pPr>
      <w:r>
        <w:rPr>
          <w:rFonts w:hint="eastAsia" w:ascii="宋体" w:hAnsi="宋体"/>
          <w:b/>
          <w:color w:val="auto"/>
          <w:sz w:val="28"/>
          <w:szCs w:val="28"/>
          <w:lang w:eastAsia="zh-CN"/>
        </w:rPr>
        <w:t>三、</w:t>
      </w:r>
      <w:r>
        <w:rPr>
          <w:rFonts w:hint="eastAsia" w:ascii="宋体" w:hAnsi="宋体"/>
          <w:b/>
          <w:color w:val="auto"/>
          <w:sz w:val="28"/>
          <w:szCs w:val="28"/>
        </w:rPr>
        <w:t xml:space="preserve">投标人应提交的相关资格证明材料： </w:t>
      </w:r>
    </w:p>
    <w:p>
      <w:pPr>
        <w:pStyle w:val="80"/>
        <w:numPr>
          <w:ilvl w:val="0"/>
          <w:numId w:val="0"/>
        </w:numPr>
        <w:spacing w:before="60" w:line="360" w:lineRule="auto"/>
        <w:ind w:left="546" w:leftChars="0"/>
        <w:rPr>
          <w:rFonts w:hint="eastAsia" w:ascii="宋体" w:hAnsi="宋体"/>
          <w:b/>
          <w:color w:val="auto"/>
          <w:sz w:val="28"/>
          <w:szCs w:val="28"/>
        </w:rPr>
      </w:pPr>
      <w:r>
        <w:rPr>
          <w:rFonts w:hint="eastAsia" w:ascii="宋体" w:hAnsi="宋体"/>
          <w:b/>
          <w:color w:val="auto"/>
          <w:sz w:val="28"/>
          <w:szCs w:val="28"/>
          <w:lang w:eastAsia="zh-CN"/>
        </w:rPr>
        <w:t>（一）</w:t>
      </w:r>
      <w:r>
        <w:rPr>
          <w:rFonts w:hint="eastAsia" w:ascii="宋体" w:hAnsi="宋体"/>
          <w:b/>
          <w:color w:val="auto"/>
          <w:sz w:val="28"/>
          <w:szCs w:val="28"/>
        </w:rPr>
        <w:t xml:space="preserve"> 中小企业声明函（说明：提供了残疾人福利性单位声明函或监狱企业证明文件复印件的不需提供）；</w:t>
      </w:r>
    </w:p>
    <w:p>
      <w:pPr>
        <w:pStyle w:val="80"/>
        <w:numPr>
          <w:ilvl w:val="0"/>
          <w:numId w:val="0"/>
        </w:numPr>
        <w:spacing w:before="60" w:line="360" w:lineRule="auto"/>
        <w:ind w:left="546" w:leftChars="0"/>
        <w:rPr>
          <w:rFonts w:hint="eastAsia" w:ascii="宋体" w:hAnsi="宋体"/>
          <w:b/>
          <w:color w:val="auto"/>
          <w:sz w:val="28"/>
          <w:szCs w:val="28"/>
        </w:rPr>
      </w:pPr>
      <w:r>
        <w:rPr>
          <w:rFonts w:hint="eastAsia" w:ascii="宋体" w:hAnsi="宋体"/>
          <w:b/>
          <w:color w:val="auto"/>
          <w:sz w:val="28"/>
          <w:szCs w:val="28"/>
          <w:lang w:val="en-US" w:eastAsia="zh-CN"/>
        </w:rPr>
        <w:t>（二）</w:t>
      </w:r>
      <w:r>
        <w:rPr>
          <w:rFonts w:hint="eastAsia" w:ascii="宋体" w:hAnsi="宋体"/>
          <w:b/>
          <w:color w:val="auto"/>
          <w:sz w:val="28"/>
          <w:szCs w:val="28"/>
        </w:rPr>
        <w:t>残疾人福利性单位声明函（说明：提供了中小企业声明函或监狱企业证明文件复印件的不需提供）</w:t>
      </w:r>
      <w:r>
        <w:rPr>
          <w:rFonts w:hint="eastAsia" w:ascii="宋体" w:hAnsi="宋体"/>
          <w:b/>
          <w:color w:val="auto"/>
          <w:sz w:val="28"/>
          <w:szCs w:val="28"/>
          <w:lang w:eastAsia="zh-CN"/>
        </w:rPr>
        <w:t>；</w:t>
      </w:r>
    </w:p>
    <w:p>
      <w:pPr>
        <w:pStyle w:val="80"/>
        <w:numPr>
          <w:ilvl w:val="0"/>
          <w:numId w:val="0"/>
        </w:numPr>
        <w:spacing w:before="60" w:line="360" w:lineRule="auto"/>
        <w:ind w:left="546" w:leftChars="0"/>
        <w:rPr>
          <w:rFonts w:hint="eastAsia" w:ascii="宋体" w:hAnsi="宋体"/>
          <w:b/>
          <w:color w:val="auto"/>
          <w:sz w:val="28"/>
          <w:szCs w:val="28"/>
        </w:rPr>
      </w:pPr>
      <w:r>
        <w:rPr>
          <w:rFonts w:hint="eastAsia" w:ascii="宋体" w:hAnsi="宋体"/>
          <w:b/>
          <w:color w:val="auto"/>
          <w:sz w:val="28"/>
          <w:szCs w:val="28"/>
          <w:lang w:eastAsia="zh-CN"/>
        </w:rPr>
        <w:t>（三）</w:t>
      </w:r>
      <w:r>
        <w:rPr>
          <w:rFonts w:hint="eastAsia" w:ascii="宋体" w:hAnsi="宋体"/>
          <w:b/>
          <w:color w:val="auto"/>
          <w:sz w:val="28"/>
          <w:szCs w:val="28"/>
        </w:rPr>
        <w:t>由省级以上监狱管理局、戒毒管理局（含新疆生产建设兵团）出具的投标人属于监狱企业的证明文件复印件（说明：提供了中小企业声明函或残疾人福利性单位声明函的不需提供）；</w:t>
      </w:r>
    </w:p>
    <w:p>
      <w:pPr>
        <w:pStyle w:val="80"/>
        <w:numPr>
          <w:ilvl w:val="0"/>
          <w:numId w:val="0"/>
        </w:numPr>
        <w:spacing w:before="60" w:line="360" w:lineRule="auto"/>
        <w:rPr>
          <w:rFonts w:hint="eastAsia" w:ascii="宋体" w:hAnsi="宋体"/>
          <w:b/>
          <w:color w:val="auto"/>
          <w:sz w:val="28"/>
          <w:szCs w:val="28"/>
        </w:rPr>
      </w:pPr>
      <w:r>
        <w:rPr>
          <w:rFonts w:hint="eastAsia" w:ascii="宋体" w:hAnsi="宋体"/>
          <w:b/>
          <w:color w:val="auto"/>
          <w:sz w:val="28"/>
          <w:szCs w:val="28"/>
          <w:lang w:val="en-US" w:eastAsia="zh-CN"/>
        </w:rPr>
        <w:t xml:space="preserve">    （四）</w:t>
      </w:r>
      <w:r>
        <w:rPr>
          <w:rFonts w:hint="eastAsia" w:ascii="宋体" w:hAnsi="宋体"/>
          <w:b/>
          <w:color w:val="auto"/>
          <w:sz w:val="28"/>
          <w:szCs w:val="28"/>
        </w:rPr>
        <w:t>营业执照复印件（正本或副本）或法人证书复印件（正本或副本）；</w:t>
      </w:r>
    </w:p>
    <w:p>
      <w:pPr>
        <w:pStyle w:val="80"/>
        <w:numPr>
          <w:ilvl w:val="0"/>
          <w:numId w:val="0"/>
        </w:numPr>
        <w:spacing w:before="60" w:line="360" w:lineRule="auto"/>
        <w:rPr>
          <w:rFonts w:hint="eastAsia" w:ascii="宋体" w:hAnsi="宋体"/>
          <w:b/>
          <w:color w:val="auto"/>
          <w:sz w:val="28"/>
          <w:szCs w:val="28"/>
        </w:rPr>
      </w:pPr>
      <w:r>
        <w:rPr>
          <w:rFonts w:hint="eastAsia" w:ascii="宋体" w:hAnsi="宋体"/>
          <w:b/>
          <w:color w:val="auto"/>
          <w:sz w:val="28"/>
          <w:szCs w:val="28"/>
          <w:lang w:val="en-US" w:eastAsia="zh-CN"/>
        </w:rPr>
        <w:t xml:space="preserve">     （五）</w:t>
      </w:r>
      <w:r>
        <w:rPr>
          <w:rFonts w:hint="eastAsia" w:ascii="宋体" w:hAnsi="宋体"/>
          <w:b/>
          <w:color w:val="auto"/>
          <w:sz w:val="28"/>
          <w:szCs w:val="28"/>
        </w:rPr>
        <w:t>2019或2020会计年度资产负债表复印件（说明：投标人成立时间至递交投标文件截止时间止不足一年的，提供成立后任意时段的资产负债表复印件）；</w:t>
      </w:r>
    </w:p>
    <w:p>
      <w:pPr>
        <w:pStyle w:val="80"/>
        <w:numPr>
          <w:ilvl w:val="0"/>
          <w:numId w:val="0"/>
        </w:numPr>
        <w:spacing w:before="60" w:line="360" w:lineRule="auto"/>
        <w:ind w:left="420" w:leftChars="0"/>
        <w:rPr>
          <w:rFonts w:hint="eastAsia" w:ascii="宋体" w:hAnsi="宋体"/>
          <w:b/>
          <w:color w:val="auto"/>
          <w:sz w:val="28"/>
          <w:szCs w:val="28"/>
        </w:rPr>
      </w:pPr>
      <w:r>
        <w:rPr>
          <w:rFonts w:hint="eastAsia" w:ascii="宋体" w:hAnsi="宋体"/>
          <w:b/>
          <w:color w:val="auto"/>
          <w:sz w:val="28"/>
          <w:szCs w:val="28"/>
          <w:lang w:val="en-US" w:eastAsia="zh-CN"/>
        </w:rPr>
        <w:t xml:space="preserve"> </w:t>
      </w:r>
      <w:r>
        <w:rPr>
          <w:rFonts w:hint="eastAsia" w:ascii="宋体" w:hAnsi="宋体"/>
          <w:b/>
          <w:color w:val="auto"/>
          <w:sz w:val="28"/>
          <w:szCs w:val="28"/>
          <w:lang w:eastAsia="zh-CN"/>
        </w:rPr>
        <w:t>（六）</w:t>
      </w:r>
      <w:r>
        <w:rPr>
          <w:rFonts w:hint="eastAsia" w:ascii="宋体" w:hAnsi="宋体"/>
          <w:b/>
          <w:color w:val="auto"/>
          <w:sz w:val="28"/>
          <w:szCs w:val="28"/>
        </w:rPr>
        <w:t>投标人缴纳2020或2021年任意时段的税收的银行电子回单或者行政部门出具的纳税证明或完税证明复印件；</w:t>
      </w:r>
    </w:p>
    <w:p>
      <w:pPr>
        <w:pStyle w:val="80"/>
        <w:numPr>
          <w:ilvl w:val="0"/>
          <w:numId w:val="0"/>
        </w:numPr>
        <w:spacing w:before="60" w:line="360" w:lineRule="auto"/>
        <w:ind w:left="420" w:leftChars="0"/>
        <w:rPr>
          <w:rFonts w:ascii="宋体" w:hAnsi="宋体"/>
          <w:b/>
          <w:color w:val="auto"/>
          <w:sz w:val="28"/>
          <w:szCs w:val="28"/>
        </w:rPr>
      </w:pPr>
      <w:r>
        <w:rPr>
          <w:rFonts w:hint="eastAsia" w:ascii="宋体" w:hAnsi="宋体"/>
          <w:b/>
          <w:color w:val="auto"/>
          <w:sz w:val="28"/>
          <w:szCs w:val="28"/>
          <w:lang w:eastAsia="zh-CN"/>
        </w:rPr>
        <w:t>（七）</w:t>
      </w:r>
      <w:r>
        <w:rPr>
          <w:rFonts w:hint="eastAsia" w:ascii="宋体" w:hAnsi="宋体"/>
          <w:b/>
          <w:color w:val="auto"/>
          <w:sz w:val="28"/>
          <w:szCs w:val="28"/>
        </w:rPr>
        <w:t>投标人缴纳2020或2021年任意时段的社保的银行电子回单或行政部门出具的社保缴纳证明材料复印件；</w:t>
      </w:r>
    </w:p>
    <w:p>
      <w:pPr>
        <w:pStyle w:val="80"/>
        <w:numPr>
          <w:ilvl w:val="0"/>
          <w:numId w:val="0"/>
        </w:numPr>
        <w:spacing w:before="60" w:line="360" w:lineRule="auto"/>
        <w:ind w:left="420" w:leftChars="0"/>
        <w:rPr>
          <w:rFonts w:ascii="宋体" w:hAnsi="宋体"/>
          <w:b/>
          <w:color w:val="auto"/>
          <w:sz w:val="28"/>
          <w:szCs w:val="28"/>
        </w:rPr>
      </w:pPr>
      <w:r>
        <w:rPr>
          <w:rFonts w:hint="eastAsia" w:ascii="宋体" w:hAnsi="宋体"/>
          <w:b/>
          <w:color w:val="auto"/>
          <w:sz w:val="28"/>
          <w:szCs w:val="28"/>
          <w:lang w:val="zh-CN"/>
        </w:rPr>
        <w:t>（八）国家行政主管部门颁发且在有效期内的《中华人民共和国特种设备生产许可证》(含安装、修理、改造许可)证书复印件；</w:t>
      </w:r>
    </w:p>
    <w:p>
      <w:pPr>
        <w:pStyle w:val="80"/>
        <w:numPr>
          <w:ilvl w:val="0"/>
          <w:numId w:val="0"/>
        </w:numPr>
        <w:spacing w:before="60" w:line="360" w:lineRule="auto"/>
        <w:rPr>
          <w:rFonts w:ascii="宋体" w:hAnsi="宋体"/>
          <w:b/>
          <w:color w:val="auto"/>
          <w:sz w:val="28"/>
          <w:szCs w:val="28"/>
        </w:rPr>
      </w:pPr>
      <w:r>
        <w:rPr>
          <w:rFonts w:hint="eastAsia" w:ascii="宋体" w:hAnsi="宋体"/>
          <w:b/>
          <w:color w:val="auto"/>
          <w:sz w:val="28"/>
          <w:szCs w:val="28"/>
          <w:lang w:val="en-US" w:eastAsia="zh-CN"/>
        </w:rPr>
        <w:t xml:space="preserve">  （九）具有</w:t>
      </w:r>
      <w:r>
        <w:rPr>
          <w:rFonts w:hint="eastAsia" w:ascii="宋体" w:hAnsi="宋体"/>
          <w:b/>
          <w:color w:val="auto"/>
          <w:sz w:val="28"/>
          <w:szCs w:val="28"/>
          <w:lang w:val="zh-CN"/>
        </w:rPr>
        <w:t>国家行政主管部门颁发且在有效期内的建筑施工总承包三级及以上资质证书复印件；</w:t>
      </w:r>
    </w:p>
    <w:p>
      <w:pPr>
        <w:pStyle w:val="80"/>
        <w:numPr>
          <w:ilvl w:val="0"/>
          <w:numId w:val="0"/>
        </w:numPr>
        <w:spacing w:before="60" w:line="360" w:lineRule="auto"/>
        <w:ind w:left="420" w:leftChars="0"/>
        <w:rPr>
          <w:rFonts w:ascii="宋体" w:hAnsi="宋体"/>
          <w:b/>
          <w:color w:val="auto"/>
          <w:sz w:val="28"/>
          <w:szCs w:val="28"/>
        </w:rPr>
      </w:pPr>
      <w:r>
        <w:rPr>
          <w:rFonts w:hint="eastAsia" w:ascii="宋体" w:hAnsi="宋体"/>
          <w:b/>
          <w:color w:val="auto"/>
          <w:sz w:val="28"/>
          <w:szCs w:val="28"/>
          <w:lang w:val="zh-CN"/>
        </w:rPr>
        <w:t>（十）国家行政主管部门颁发且在有效期内的安全生产许可证证书复印件。</w:t>
      </w:r>
    </w:p>
    <w:p>
      <w:pPr>
        <w:pStyle w:val="80"/>
        <w:numPr>
          <w:ilvl w:val="0"/>
          <w:numId w:val="0"/>
        </w:numPr>
        <w:spacing w:before="60" w:line="360" w:lineRule="auto"/>
        <w:ind w:left="420" w:leftChars="0"/>
        <w:rPr>
          <w:rFonts w:ascii="宋体" w:hAnsi="宋体"/>
          <w:b/>
          <w:color w:val="auto"/>
          <w:sz w:val="28"/>
          <w:szCs w:val="28"/>
        </w:rPr>
      </w:pPr>
      <w:r>
        <w:rPr>
          <w:rFonts w:hint="eastAsia" w:ascii="宋体" w:hAnsi="宋体"/>
          <w:b/>
          <w:color w:val="auto"/>
          <w:sz w:val="28"/>
          <w:szCs w:val="28"/>
          <w:lang w:val="zh-CN"/>
        </w:rPr>
        <w:t>（十一）联合体参加的还需要提供联合体协议复印件，同时联合体成员都须提供符合（一）至（七）项的证明材料。</w:t>
      </w:r>
    </w:p>
    <w:p>
      <w:pPr>
        <w:pStyle w:val="80"/>
        <w:numPr>
          <w:ilvl w:val="0"/>
          <w:numId w:val="38"/>
        </w:numPr>
        <w:spacing w:before="60" w:line="360" w:lineRule="auto"/>
        <w:ind w:left="546" w:leftChars="0"/>
        <w:rPr>
          <w:rFonts w:hint="eastAsia" w:ascii="宋体" w:hAnsi="宋体"/>
          <w:b/>
          <w:color w:val="auto"/>
          <w:sz w:val="28"/>
          <w:szCs w:val="28"/>
        </w:rPr>
      </w:pPr>
      <w:r>
        <w:rPr>
          <w:rFonts w:hint="eastAsia" w:ascii="宋体" w:hAnsi="宋体"/>
          <w:b/>
          <w:color w:val="auto"/>
          <w:sz w:val="28"/>
          <w:szCs w:val="28"/>
          <w:lang w:val="zh-CN"/>
        </w:rPr>
        <w:br w:type="page"/>
      </w:r>
    </w:p>
    <w:p>
      <w:pPr>
        <w:pStyle w:val="2"/>
        <w:rPr>
          <w:color w:val="auto"/>
        </w:rPr>
      </w:pPr>
    </w:p>
    <w:p>
      <w:pPr>
        <w:keepNext/>
        <w:keepLines/>
        <w:numPr>
          <w:ilvl w:val="1"/>
          <w:numId w:val="5"/>
        </w:numPr>
        <w:spacing w:line="360" w:lineRule="auto"/>
        <w:jc w:val="left"/>
        <w:outlineLvl w:val="1"/>
        <w:rPr>
          <w:rFonts w:ascii="宋体" w:hAnsi="宋体"/>
          <w:b/>
          <w:bCs/>
          <w:color w:val="auto"/>
          <w:sz w:val="28"/>
          <w:szCs w:val="28"/>
        </w:rPr>
      </w:pPr>
      <w:bookmarkStart w:id="127" w:name="_Toc9442"/>
      <w:r>
        <w:rPr>
          <w:rFonts w:hint="eastAsia" w:ascii="宋体" w:hAnsi="宋体"/>
          <w:b/>
          <w:bCs/>
          <w:color w:val="auto"/>
          <w:sz w:val="28"/>
          <w:szCs w:val="28"/>
        </w:rPr>
        <w:t>商务技术</w:t>
      </w:r>
      <w:r>
        <w:rPr>
          <w:rFonts w:ascii="宋体" w:hAnsi="宋体"/>
          <w:b/>
          <w:bCs/>
          <w:color w:val="auto"/>
          <w:sz w:val="28"/>
          <w:szCs w:val="28"/>
        </w:rPr>
        <w:t>响应文件</w:t>
      </w:r>
      <w:bookmarkEnd w:id="127"/>
    </w:p>
    <w:p>
      <w:pPr>
        <w:keepNext/>
        <w:keepLines/>
        <w:numPr>
          <w:ilvl w:val="2"/>
          <w:numId w:val="5"/>
        </w:numPr>
        <w:spacing w:line="360" w:lineRule="auto"/>
        <w:ind w:left="569" w:hanging="569"/>
        <w:outlineLvl w:val="2"/>
        <w:rPr>
          <w:rFonts w:ascii="宋体" w:hAnsi="宋体"/>
          <w:b/>
          <w:bCs/>
          <w:color w:val="auto"/>
          <w:sz w:val="28"/>
          <w:szCs w:val="28"/>
        </w:rPr>
      </w:pPr>
      <w:r>
        <w:rPr>
          <w:rFonts w:hint="eastAsia" w:ascii="宋体" w:hAnsi="宋体"/>
          <w:b/>
          <w:bCs/>
          <w:color w:val="auto"/>
          <w:sz w:val="28"/>
          <w:szCs w:val="28"/>
        </w:rPr>
        <w:t>投标函</w:t>
      </w:r>
    </w:p>
    <w:p>
      <w:pPr>
        <w:spacing w:line="560" w:lineRule="exact"/>
        <w:rPr>
          <w:rFonts w:ascii="宋体" w:hAnsi="宋体"/>
          <w:bCs/>
          <w:color w:val="auto"/>
          <w:sz w:val="28"/>
          <w:szCs w:val="28"/>
        </w:rPr>
      </w:pPr>
      <w:r>
        <w:rPr>
          <w:rFonts w:hint="eastAsia" w:ascii="宋体" w:hAnsi="宋体"/>
          <w:bCs/>
          <w:color w:val="auto"/>
          <w:sz w:val="28"/>
          <w:szCs w:val="28"/>
          <w:lang w:eastAsia="zh-CN"/>
        </w:rPr>
        <w:t>成都市锦江区政府采购中心</w:t>
      </w:r>
      <w:r>
        <w:rPr>
          <w:rFonts w:hint="eastAsia" w:ascii="宋体" w:hAnsi="宋体"/>
          <w:bCs/>
          <w:color w:val="auto"/>
          <w:sz w:val="28"/>
          <w:szCs w:val="28"/>
        </w:rPr>
        <w:t>：</w:t>
      </w:r>
    </w:p>
    <w:p>
      <w:pPr>
        <w:spacing w:line="560" w:lineRule="exact"/>
        <w:ind w:firstLine="566" w:firstLineChars="202"/>
        <w:rPr>
          <w:rFonts w:ascii="宋体" w:hAnsi="宋体"/>
          <w:bCs/>
          <w:color w:val="auto"/>
          <w:sz w:val="28"/>
          <w:szCs w:val="28"/>
        </w:rPr>
      </w:pPr>
      <w:r>
        <w:rPr>
          <w:rFonts w:hint="eastAsia" w:ascii="宋体" w:hAnsi="宋体"/>
          <w:bCs/>
          <w:color w:val="auto"/>
          <w:sz w:val="28"/>
          <w:szCs w:val="28"/>
        </w:rPr>
        <w:t>我方全面研究了“</w:t>
      </w:r>
      <w:r>
        <w:rPr>
          <w:rFonts w:hint="eastAsia" w:ascii="宋体" w:hAnsi="宋体"/>
          <w:b/>
          <w:color w:val="auto"/>
          <w:sz w:val="28"/>
          <w:szCs w:val="28"/>
          <w:u w:val="single"/>
          <w:lang w:eastAsia="zh-CN"/>
        </w:rPr>
        <w:t>成都市锦江区殡葬服务中心悼念厅观光电梯及安装（二次）采购项目</w:t>
      </w:r>
      <w:r>
        <w:rPr>
          <w:rFonts w:hint="eastAsia" w:ascii="宋体" w:hAnsi="宋体"/>
          <w:b/>
          <w:bCs/>
          <w:color w:val="auto"/>
          <w:sz w:val="28"/>
          <w:szCs w:val="28"/>
          <w:u w:val="single"/>
        </w:rPr>
        <w:t>”（项目编号：</w:t>
      </w:r>
      <w:r>
        <w:rPr>
          <w:rFonts w:hint="eastAsia" w:ascii="宋体" w:hAnsi="宋体"/>
          <w:b/>
          <w:bCs/>
          <w:color w:val="auto"/>
          <w:sz w:val="28"/>
          <w:szCs w:val="28"/>
          <w:u w:val="single"/>
          <w:lang w:eastAsia="zh-CN"/>
        </w:rPr>
        <w:t xml:space="preserve"> 锦江政采（2021）A0013号-2</w:t>
      </w:r>
      <w:r>
        <w:rPr>
          <w:rFonts w:hint="eastAsia" w:ascii="宋体" w:hAnsi="宋体"/>
          <w:b/>
          <w:bCs/>
          <w:color w:val="auto"/>
          <w:sz w:val="28"/>
          <w:szCs w:val="28"/>
          <w:u w:val="single"/>
        </w:rPr>
        <w:t>）</w:t>
      </w:r>
      <w:r>
        <w:rPr>
          <w:rFonts w:hint="eastAsia" w:ascii="宋体" w:hAnsi="宋体"/>
          <w:bCs/>
          <w:color w:val="auto"/>
          <w:sz w:val="28"/>
          <w:szCs w:val="28"/>
        </w:rPr>
        <w:t>招标文件，决定参加贵单位组织的本项目投标。</w:t>
      </w:r>
    </w:p>
    <w:p>
      <w:pPr>
        <w:numPr>
          <w:ilvl w:val="1"/>
          <w:numId w:val="39"/>
        </w:numPr>
        <w:tabs>
          <w:tab w:val="left" w:pos="1134"/>
        </w:tabs>
        <w:spacing w:line="560" w:lineRule="exact"/>
        <w:ind w:left="0" w:firstLine="567"/>
        <w:rPr>
          <w:rFonts w:ascii="宋体" w:hAnsi="宋体"/>
          <w:color w:val="auto"/>
          <w:sz w:val="28"/>
          <w:szCs w:val="28"/>
        </w:rPr>
      </w:pPr>
      <w:r>
        <w:rPr>
          <w:rFonts w:hint="eastAsia" w:ascii="宋体" w:hAnsi="宋体"/>
          <w:color w:val="auto"/>
          <w:sz w:val="28"/>
          <w:szCs w:val="28"/>
        </w:rPr>
        <w:t>我方自愿按照招标文件规定的各项要求向采购人提供所需货物及服务，</w:t>
      </w:r>
      <w:r>
        <w:rPr>
          <w:rFonts w:hint="eastAsia" w:ascii="宋体" w:hAnsi="宋体"/>
          <w:b/>
          <w:color w:val="auto"/>
          <w:sz w:val="28"/>
          <w:szCs w:val="28"/>
        </w:rPr>
        <w:t>投标报价以《开标一览表》为准</w:t>
      </w:r>
      <w:r>
        <w:rPr>
          <w:rFonts w:hint="eastAsia" w:ascii="宋体" w:hAnsi="宋体"/>
          <w:color w:val="auto"/>
          <w:sz w:val="28"/>
          <w:szCs w:val="28"/>
        </w:rPr>
        <w:t>。</w:t>
      </w:r>
    </w:p>
    <w:p>
      <w:pPr>
        <w:numPr>
          <w:ilvl w:val="1"/>
          <w:numId w:val="39"/>
        </w:numPr>
        <w:tabs>
          <w:tab w:val="left" w:pos="1134"/>
        </w:tabs>
        <w:spacing w:line="560" w:lineRule="exact"/>
        <w:ind w:left="0" w:firstLine="567"/>
        <w:rPr>
          <w:rFonts w:ascii="宋体" w:hAnsi="宋体"/>
          <w:color w:val="auto"/>
          <w:sz w:val="28"/>
          <w:szCs w:val="28"/>
        </w:rPr>
      </w:pPr>
      <w:r>
        <w:rPr>
          <w:rFonts w:hint="eastAsia" w:ascii="宋体" w:hAnsi="宋体"/>
          <w:color w:val="auto"/>
          <w:sz w:val="28"/>
          <w:szCs w:val="28"/>
        </w:rPr>
        <w:t>如果我方中标，我方将严格履行合同规定的责任和义务，否则将承担由此产生的一切责任。</w:t>
      </w:r>
    </w:p>
    <w:p>
      <w:pPr>
        <w:numPr>
          <w:ilvl w:val="1"/>
          <w:numId w:val="39"/>
        </w:numPr>
        <w:tabs>
          <w:tab w:val="left" w:pos="1134"/>
        </w:tabs>
        <w:spacing w:line="560" w:lineRule="exact"/>
        <w:ind w:left="0" w:firstLine="567"/>
        <w:rPr>
          <w:rFonts w:ascii="宋体" w:hAnsi="宋体"/>
          <w:color w:val="auto"/>
          <w:sz w:val="28"/>
          <w:szCs w:val="28"/>
        </w:rPr>
      </w:pPr>
      <w:r>
        <w:rPr>
          <w:rFonts w:hint="eastAsia" w:ascii="宋体" w:hAnsi="宋体"/>
          <w:color w:val="auto"/>
          <w:sz w:val="28"/>
          <w:szCs w:val="28"/>
        </w:rPr>
        <w:t>我方已知晓全部招标文件的内容，包括修改文件（如有）以及全部相关资料和有关附件，并对上述文件均无异议。</w:t>
      </w:r>
    </w:p>
    <w:p>
      <w:pPr>
        <w:numPr>
          <w:ilvl w:val="1"/>
          <w:numId w:val="39"/>
        </w:numPr>
        <w:tabs>
          <w:tab w:val="left" w:pos="1134"/>
        </w:tabs>
        <w:spacing w:line="560" w:lineRule="exact"/>
        <w:ind w:left="0" w:firstLine="567"/>
        <w:rPr>
          <w:rFonts w:ascii="宋体" w:hAnsi="宋体"/>
          <w:color w:val="auto"/>
          <w:sz w:val="28"/>
          <w:szCs w:val="28"/>
        </w:rPr>
      </w:pPr>
      <w:r>
        <w:rPr>
          <w:rFonts w:hint="eastAsia" w:ascii="宋体" w:hAnsi="宋体"/>
          <w:color w:val="auto"/>
          <w:sz w:val="28"/>
          <w:szCs w:val="28"/>
        </w:rPr>
        <w:t>投标有效期为从投标截止之日起120天。</w:t>
      </w:r>
    </w:p>
    <w:p>
      <w:pPr>
        <w:numPr>
          <w:ilvl w:val="1"/>
          <w:numId w:val="39"/>
        </w:numPr>
        <w:tabs>
          <w:tab w:val="left" w:pos="1134"/>
        </w:tabs>
        <w:spacing w:line="560" w:lineRule="exact"/>
        <w:ind w:left="0" w:firstLine="567"/>
        <w:rPr>
          <w:rFonts w:ascii="宋体" w:hAnsi="宋体"/>
          <w:color w:val="auto"/>
          <w:sz w:val="28"/>
          <w:szCs w:val="28"/>
        </w:rPr>
      </w:pPr>
      <w:r>
        <w:rPr>
          <w:rFonts w:hint="eastAsia" w:ascii="宋体" w:hAnsi="宋体"/>
          <w:color w:val="auto"/>
          <w:sz w:val="28"/>
          <w:szCs w:val="28"/>
        </w:rPr>
        <w:t>我方愿意提供贵中心可能另外要求的，与投标有关的文件资料，并保证我方已提供和将要提供的文件资料是真实、准确的，并对此承担一切法律后果。</w:t>
      </w:r>
    </w:p>
    <w:p>
      <w:pPr>
        <w:numPr>
          <w:ilvl w:val="1"/>
          <w:numId w:val="39"/>
        </w:numPr>
        <w:tabs>
          <w:tab w:val="left" w:pos="1134"/>
        </w:tabs>
        <w:spacing w:line="360" w:lineRule="auto"/>
        <w:ind w:left="0" w:firstLine="567"/>
        <w:rPr>
          <w:rFonts w:ascii="宋体" w:hAnsi="宋体"/>
          <w:color w:val="auto"/>
          <w:sz w:val="28"/>
          <w:szCs w:val="28"/>
        </w:rPr>
      </w:pPr>
      <w:r>
        <w:rPr>
          <w:rFonts w:hint="eastAsia" w:ascii="宋体" w:hAnsi="宋体"/>
          <w:color w:val="auto"/>
          <w:sz w:val="28"/>
          <w:szCs w:val="28"/>
        </w:rPr>
        <w:t>我单位联系方式：</w:t>
      </w:r>
      <w:r>
        <w:rPr>
          <w:rFonts w:hint="eastAsia" w:ascii="宋体" w:hAnsi="宋体"/>
          <w:color w:val="auto"/>
          <w:sz w:val="28"/>
          <w:szCs w:val="28"/>
          <w:u w:val="single"/>
        </w:rPr>
        <w:t>XXXX</w:t>
      </w:r>
    </w:p>
    <w:p>
      <w:pPr>
        <w:spacing w:line="360" w:lineRule="auto"/>
        <w:ind w:left="420" w:firstLine="566" w:firstLineChars="202"/>
        <w:rPr>
          <w:rFonts w:ascii="宋体" w:hAnsi="宋体"/>
          <w:color w:val="auto"/>
          <w:sz w:val="28"/>
          <w:szCs w:val="28"/>
          <w:u w:val="single"/>
        </w:rPr>
      </w:pPr>
      <w:r>
        <w:rPr>
          <w:rFonts w:hint="eastAsia" w:ascii="宋体" w:hAnsi="宋体"/>
          <w:color w:val="auto"/>
          <w:sz w:val="28"/>
          <w:szCs w:val="28"/>
        </w:rPr>
        <w:t>地    址：</w:t>
      </w:r>
      <w:r>
        <w:rPr>
          <w:rFonts w:hint="eastAsia" w:ascii="宋体" w:hAnsi="宋体"/>
          <w:color w:val="auto"/>
          <w:sz w:val="28"/>
          <w:szCs w:val="28"/>
          <w:u w:val="single"/>
        </w:rPr>
        <w:t>XXXX</w:t>
      </w:r>
    </w:p>
    <w:p>
      <w:pPr>
        <w:spacing w:line="360" w:lineRule="auto"/>
        <w:ind w:left="420" w:firstLine="566" w:firstLineChars="202"/>
        <w:rPr>
          <w:rFonts w:ascii="宋体" w:hAnsi="宋体"/>
          <w:color w:val="auto"/>
          <w:sz w:val="28"/>
          <w:szCs w:val="28"/>
          <w:u w:val="single"/>
        </w:rPr>
      </w:pPr>
      <w:r>
        <w:rPr>
          <w:rFonts w:hint="eastAsia" w:ascii="宋体" w:hAnsi="宋体"/>
          <w:color w:val="auto"/>
          <w:sz w:val="28"/>
          <w:szCs w:val="28"/>
        </w:rPr>
        <w:t>传    真：</w:t>
      </w:r>
      <w:r>
        <w:rPr>
          <w:rFonts w:hint="eastAsia" w:ascii="宋体" w:hAnsi="宋体"/>
          <w:color w:val="auto"/>
          <w:sz w:val="28"/>
          <w:szCs w:val="28"/>
          <w:u w:val="single"/>
        </w:rPr>
        <w:t>XXXX</w:t>
      </w:r>
    </w:p>
    <w:p>
      <w:pPr>
        <w:spacing w:line="360" w:lineRule="auto"/>
        <w:ind w:left="420" w:firstLine="566" w:firstLineChars="202"/>
        <w:rPr>
          <w:rFonts w:ascii="宋体" w:hAnsi="宋体"/>
          <w:color w:val="auto"/>
          <w:sz w:val="28"/>
          <w:szCs w:val="28"/>
          <w:u w:val="single"/>
        </w:rPr>
      </w:pPr>
      <w:r>
        <w:rPr>
          <w:rFonts w:hint="eastAsia" w:ascii="宋体" w:hAnsi="宋体"/>
          <w:color w:val="auto"/>
          <w:sz w:val="28"/>
          <w:szCs w:val="28"/>
        </w:rPr>
        <w:t>邮政编码：</w:t>
      </w:r>
      <w:r>
        <w:rPr>
          <w:rFonts w:hint="eastAsia" w:ascii="宋体" w:hAnsi="宋体"/>
          <w:color w:val="auto"/>
          <w:sz w:val="28"/>
          <w:szCs w:val="28"/>
          <w:u w:val="single"/>
        </w:rPr>
        <w:t>XXXX</w:t>
      </w:r>
    </w:p>
    <w:p>
      <w:pPr>
        <w:spacing w:after="120" w:line="360" w:lineRule="auto"/>
        <w:ind w:left="420" w:leftChars="200" w:firstLine="560" w:firstLineChars="200"/>
        <w:rPr>
          <w:rFonts w:ascii="宋体" w:hAnsi="宋体"/>
          <w:bCs/>
          <w:color w:val="auto"/>
          <w:sz w:val="28"/>
          <w:szCs w:val="28"/>
        </w:rPr>
      </w:pPr>
      <w:r>
        <w:rPr>
          <w:rFonts w:hint="eastAsia" w:ascii="宋体" w:hAnsi="宋体"/>
          <w:bCs/>
          <w:color w:val="auto"/>
          <w:sz w:val="28"/>
          <w:szCs w:val="28"/>
        </w:rPr>
        <w:t>投标人名称：</w:t>
      </w:r>
      <w:r>
        <w:rPr>
          <w:rFonts w:hint="eastAsia" w:ascii="宋体" w:hAnsi="宋体"/>
          <w:bCs/>
          <w:color w:val="auto"/>
          <w:sz w:val="28"/>
          <w:szCs w:val="28"/>
          <w:u w:val="single"/>
        </w:rPr>
        <w:t>XXXX</w:t>
      </w:r>
    </w:p>
    <w:p>
      <w:pPr>
        <w:spacing w:line="360" w:lineRule="auto"/>
        <w:ind w:left="283" w:leftChars="135" w:firstLine="700" w:firstLineChars="250"/>
        <w:rPr>
          <w:rFonts w:ascii="宋体" w:hAnsi="宋体"/>
          <w:bCs/>
          <w:color w:val="auto"/>
          <w:sz w:val="28"/>
        </w:rPr>
      </w:pPr>
      <w:r>
        <w:rPr>
          <w:rFonts w:hint="eastAsia" w:ascii="宋体" w:hAnsi="宋体"/>
          <w:bCs/>
          <w:color w:val="auto"/>
          <w:sz w:val="28"/>
          <w:szCs w:val="28"/>
        </w:rPr>
        <w:t>日    期：</w:t>
      </w:r>
      <w:r>
        <w:rPr>
          <w:rFonts w:hint="eastAsia" w:ascii="宋体" w:hAnsi="宋体"/>
          <w:bCs/>
          <w:color w:val="auto"/>
          <w:sz w:val="28"/>
        </w:rPr>
        <w:t>202</w:t>
      </w:r>
      <w:r>
        <w:rPr>
          <w:rFonts w:hint="eastAsia" w:ascii="宋体" w:hAnsi="宋体"/>
          <w:bCs/>
          <w:color w:val="auto"/>
          <w:sz w:val="28"/>
          <w:u w:val="single"/>
        </w:rPr>
        <w:t>X</w:t>
      </w:r>
      <w:r>
        <w:rPr>
          <w:rFonts w:hint="eastAsia" w:ascii="宋体" w:hAnsi="宋体"/>
          <w:bCs/>
          <w:color w:val="auto"/>
          <w:sz w:val="28"/>
        </w:rPr>
        <w:t>年</w:t>
      </w:r>
      <w:r>
        <w:rPr>
          <w:rFonts w:hint="eastAsia" w:ascii="宋体" w:hAnsi="宋体"/>
          <w:bCs/>
          <w:color w:val="auto"/>
          <w:sz w:val="28"/>
          <w:u w:val="single"/>
        </w:rPr>
        <w:t>XX</w:t>
      </w:r>
      <w:r>
        <w:rPr>
          <w:rFonts w:hint="eastAsia" w:ascii="宋体" w:hAnsi="宋体"/>
          <w:bCs/>
          <w:color w:val="auto"/>
          <w:sz w:val="28"/>
        </w:rPr>
        <w:t>月</w:t>
      </w:r>
      <w:r>
        <w:rPr>
          <w:rFonts w:hint="eastAsia" w:ascii="宋体" w:hAnsi="宋体"/>
          <w:bCs/>
          <w:color w:val="auto"/>
          <w:sz w:val="28"/>
          <w:u w:val="single"/>
        </w:rPr>
        <w:t>XX</w:t>
      </w:r>
      <w:r>
        <w:rPr>
          <w:rFonts w:hint="eastAsia" w:ascii="宋体" w:hAnsi="宋体"/>
          <w:bCs/>
          <w:color w:val="auto"/>
          <w:sz w:val="28"/>
        </w:rPr>
        <w:t>日</w:t>
      </w:r>
      <w:bookmarkStart w:id="128" w:name="_Toc265494342"/>
      <w:bookmarkStart w:id="129" w:name="_Toc229802674"/>
      <w:bookmarkStart w:id="130" w:name="_Toc314574804"/>
      <w:bookmarkStart w:id="131" w:name="_Toc231030275"/>
      <w:bookmarkStart w:id="132" w:name="_Toc240865266"/>
      <w:bookmarkStart w:id="133" w:name="_Toc237145395"/>
      <w:bookmarkStart w:id="134" w:name="_Toc239849853"/>
      <w:bookmarkStart w:id="135" w:name="_Toc240367172"/>
      <w:bookmarkStart w:id="136" w:name="_Toc239846734"/>
    </w:p>
    <w:p>
      <w:pPr>
        <w:keepNext/>
        <w:keepLines/>
        <w:numPr>
          <w:ilvl w:val="2"/>
          <w:numId w:val="5"/>
        </w:numPr>
        <w:spacing w:line="360" w:lineRule="auto"/>
        <w:ind w:left="3119" w:hanging="3119"/>
        <w:outlineLvl w:val="2"/>
        <w:rPr>
          <w:rFonts w:ascii="宋体" w:hAnsi="宋体"/>
          <w:b/>
          <w:bCs/>
          <w:color w:val="auto"/>
          <w:sz w:val="28"/>
          <w:szCs w:val="28"/>
        </w:rPr>
      </w:pPr>
      <w:r>
        <w:rPr>
          <w:rFonts w:hint="eastAsia" w:ascii="宋体" w:hAnsi="宋体"/>
          <w:b/>
          <w:bCs/>
          <w:color w:val="auto"/>
          <w:sz w:val="28"/>
          <w:szCs w:val="28"/>
        </w:rPr>
        <w:t>法定代表人身份证明书</w:t>
      </w:r>
    </w:p>
    <w:p>
      <w:pPr>
        <w:tabs>
          <w:tab w:val="left" w:pos="6300"/>
        </w:tabs>
        <w:spacing w:line="360" w:lineRule="auto"/>
        <w:ind w:firstLine="573"/>
        <w:rPr>
          <w:rFonts w:ascii="宋体" w:hAnsi="宋体"/>
          <w:color w:val="auto"/>
          <w:sz w:val="28"/>
          <w:u w:val="single"/>
          <w:lang w:val="zh-CN"/>
        </w:rPr>
      </w:pPr>
    </w:p>
    <w:p>
      <w:pPr>
        <w:tabs>
          <w:tab w:val="left" w:pos="6300"/>
        </w:tabs>
        <w:spacing w:line="360" w:lineRule="auto"/>
        <w:ind w:firstLine="573"/>
        <w:rPr>
          <w:rFonts w:ascii="宋体" w:hAnsi="宋体"/>
          <w:color w:val="auto"/>
          <w:sz w:val="28"/>
          <w:lang w:val="zh-CN"/>
        </w:rPr>
      </w:pPr>
      <w:r>
        <w:rPr>
          <w:rFonts w:hint="eastAsia" w:ascii="宋体" w:hAnsi="宋体"/>
          <w:color w:val="auto"/>
          <w:sz w:val="28"/>
          <w:u w:val="single"/>
          <w:lang w:val="zh-CN"/>
        </w:rPr>
        <w:t>XXXX（法定代表人姓名）</w:t>
      </w:r>
      <w:r>
        <w:rPr>
          <w:rFonts w:hint="eastAsia" w:ascii="宋体" w:hAnsi="宋体"/>
          <w:color w:val="auto"/>
          <w:sz w:val="28"/>
          <w:lang w:val="zh-CN"/>
        </w:rPr>
        <w:t>在</w:t>
      </w:r>
      <w:r>
        <w:rPr>
          <w:rFonts w:hint="eastAsia" w:ascii="宋体" w:hAnsi="宋体"/>
          <w:color w:val="auto"/>
          <w:sz w:val="28"/>
          <w:u w:val="single"/>
          <w:lang w:val="zh-CN"/>
        </w:rPr>
        <w:t>XXXX（投标人名称）</w:t>
      </w:r>
      <w:r>
        <w:rPr>
          <w:rFonts w:hint="eastAsia" w:ascii="宋体" w:hAnsi="宋体"/>
          <w:color w:val="auto"/>
          <w:sz w:val="28"/>
          <w:lang w:val="zh-CN"/>
        </w:rPr>
        <w:t>处任</w:t>
      </w:r>
      <w:r>
        <w:rPr>
          <w:rFonts w:hint="eastAsia" w:ascii="宋体" w:hAnsi="宋体"/>
          <w:color w:val="auto"/>
          <w:sz w:val="28"/>
          <w:u w:val="single"/>
          <w:lang w:val="zh-CN"/>
        </w:rPr>
        <w:t>XXXX（职务名称）</w:t>
      </w:r>
      <w:r>
        <w:rPr>
          <w:rFonts w:hint="eastAsia" w:ascii="宋体" w:hAnsi="宋体"/>
          <w:color w:val="auto"/>
          <w:sz w:val="28"/>
          <w:lang w:val="zh-CN"/>
        </w:rPr>
        <w:t>职务，是</w:t>
      </w:r>
      <w:r>
        <w:rPr>
          <w:rFonts w:hint="eastAsia" w:ascii="宋体" w:hAnsi="宋体"/>
          <w:color w:val="auto"/>
          <w:sz w:val="28"/>
          <w:u w:val="single"/>
          <w:lang w:val="zh-CN"/>
        </w:rPr>
        <w:t>XXXX（投标人名称）</w:t>
      </w:r>
      <w:r>
        <w:rPr>
          <w:rFonts w:hint="eastAsia" w:ascii="宋体" w:hAnsi="宋体"/>
          <w:color w:val="auto"/>
          <w:sz w:val="28"/>
          <w:lang w:val="zh-CN"/>
        </w:rPr>
        <w:t>的法定代表人。</w:t>
      </w:r>
    </w:p>
    <w:p>
      <w:pPr>
        <w:tabs>
          <w:tab w:val="left" w:pos="6300"/>
        </w:tabs>
        <w:spacing w:line="360" w:lineRule="auto"/>
        <w:rPr>
          <w:rFonts w:ascii="宋体" w:hAnsi="宋体"/>
          <w:color w:val="auto"/>
          <w:sz w:val="28"/>
          <w:lang w:val="zh-CN"/>
        </w:rPr>
      </w:pPr>
    </w:p>
    <w:p>
      <w:pPr>
        <w:tabs>
          <w:tab w:val="left" w:pos="6300"/>
        </w:tabs>
        <w:spacing w:line="360" w:lineRule="auto"/>
        <w:ind w:firstLine="573"/>
        <w:rPr>
          <w:rFonts w:ascii="宋体" w:hAnsi="宋体"/>
          <w:color w:val="auto"/>
          <w:sz w:val="28"/>
          <w:lang w:val="zh-CN"/>
        </w:rPr>
      </w:pPr>
    </w:p>
    <w:p>
      <w:pPr>
        <w:tabs>
          <w:tab w:val="left" w:pos="6300"/>
        </w:tabs>
        <w:spacing w:line="360" w:lineRule="auto"/>
        <w:ind w:firstLine="573"/>
        <w:rPr>
          <w:rFonts w:ascii="宋体" w:hAnsi="宋体"/>
          <w:color w:val="auto"/>
          <w:sz w:val="28"/>
          <w:lang w:val="zh-CN"/>
        </w:rPr>
      </w:pPr>
    </w:p>
    <w:p>
      <w:pPr>
        <w:tabs>
          <w:tab w:val="left" w:pos="6300"/>
        </w:tabs>
        <w:spacing w:line="360" w:lineRule="auto"/>
        <w:ind w:firstLine="573"/>
        <w:rPr>
          <w:rFonts w:ascii="宋体" w:hAnsi="宋体"/>
          <w:color w:val="auto"/>
          <w:sz w:val="28"/>
          <w:lang w:val="zh-CN"/>
        </w:rPr>
      </w:pPr>
      <w:bookmarkStart w:id="137" w:name="_Toc263768866"/>
      <w:r>
        <w:rPr>
          <w:rFonts w:hint="eastAsia" w:ascii="宋体" w:hAnsi="宋体"/>
          <w:color w:val="auto"/>
          <w:sz w:val="28"/>
          <w:lang w:val="zh-CN"/>
        </w:rPr>
        <w:t>特此证明。</w:t>
      </w:r>
      <w:bookmarkEnd w:id="137"/>
    </w:p>
    <w:p>
      <w:pPr>
        <w:tabs>
          <w:tab w:val="left" w:pos="6300"/>
        </w:tabs>
        <w:spacing w:line="360" w:lineRule="auto"/>
        <w:rPr>
          <w:rFonts w:ascii="宋体" w:hAnsi="宋体"/>
          <w:color w:val="auto"/>
          <w:sz w:val="28"/>
          <w:lang w:val="zh-CN"/>
        </w:rPr>
      </w:pPr>
    </w:p>
    <w:p>
      <w:pPr>
        <w:tabs>
          <w:tab w:val="left" w:pos="6300"/>
        </w:tabs>
        <w:spacing w:line="360" w:lineRule="auto"/>
        <w:rPr>
          <w:rFonts w:ascii="宋体" w:hAnsi="宋体"/>
          <w:color w:val="auto"/>
          <w:sz w:val="28"/>
          <w:lang w:val="zh-CN"/>
        </w:rPr>
      </w:pPr>
    </w:p>
    <w:p>
      <w:pPr>
        <w:tabs>
          <w:tab w:val="left" w:pos="6300"/>
        </w:tabs>
        <w:spacing w:line="360" w:lineRule="auto"/>
        <w:rPr>
          <w:rFonts w:ascii="宋体" w:hAnsi="宋体"/>
          <w:color w:val="auto"/>
          <w:sz w:val="28"/>
          <w:lang w:val="zh-CN"/>
        </w:rPr>
      </w:pPr>
    </w:p>
    <w:p>
      <w:pPr>
        <w:tabs>
          <w:tab w:val="left" w:pos="6300"/>
        </w:tabs>
        <w:spacing w:line="360" w:lineRule="auto"/>
        <w:rPr>
          <w:rFonts w:ascii="宋体" w:hAnsi="宋体"/>
          <w:color w:val="auto"/>
          <w:sz w:val="28"/>
          <w:lang w:val="zh-CN"/>
        </w:rPr>
      </w:pPr>
    </w:p>
    <w:p>
      <w:pPr>
        <w:tabs>
          <w:tab w:val="left" w:pos="6300"/>
        </w:tabs>
        <w:spacing w:line="360" w:lineRule="auto"/>
        <w:rPr>
          <w:rFonts w:ascii="宋体" w:hAnsi="宋体"/>
          <w:color w:val="auto"/>
          <w:sz w:val="28"/>
          <w:lang w:val="zh-CN"/>
        </w:rPr>
      </w:pPr>
    </w:p>
    <w:p>
      <w:pPr>
        <w:tabs>
          <w:tab w:val="left" w:pos="6300"/>
        </w:tabs>
        <w:spacing w:line="360" w:lineRule="auto"/>
        <w:rPr>
          <w:rFonts w:ascii="宋体" w:hAnsi="宋体"/>
          <w:color w:val="auto"/>
          <w:sz w:val="28"/>
          <w:lang w:val="zh-CN"/>
        </w:rPr>
      </w:pPr>
    </w:p>
    <w:p>
      <w:pPr>
        <w:spacing w:line="360" w:lineRule="auto"/>
        <w:rPr>
          <w:rFonts w:ascii="宋体" w:hAnsi="宋体"/>
          <w:color w:val="auto"/>
          <w:sz w:val="28"/>
          <w:lang w:val="zh-CN"/>
        </w:rPr>
      </w:pPr>
      <w:r>
        <w:rPr>
          <w:rFonts w:hint="eastAsia" w:ascii="宋体" w:hAnsi="宋体"/>
          <w:color w:val="auto"/>
          <w:sz w:val="28"/>
          <w:lang w:val="zh-CN"/>
        </w:rPr>
        <w:t>投标人名称：</w:t>
      </w:r>
      <w:r>
        <w:rPr>
          <w:rFonts w:hint="eastAsia" w:ascii="宋体" w:hAnsi="宋体"/>
          <w:color w:val="auto"/>
          <w:sz w:val="28"/>
          <w:u w:val="single"/>
          <w:lang w:val="zh-CN"/>
        </w:rPr>
        <w:t>XXXX</w:t>
      </w:r>
    </w:p>
    <w:p>
      <w:pPr>
        <w:spacing w:line="360" w:lineRule="auto"/>
        <w:rPr>
          <w:rFonts w:ascii="宋体" w:hAnsi="宋体"/>
          <w:b/>
          <w:color w:val="auto"/>
          <w:sz w:val="28"/>
          <w:u w:val="single"/>
          <w:lang w:val="zh-CN"/>
        </w:rPr>
      </w:pPr>
      <w:r>
        <w:rPr>
          <w:rFonts w:hint="eastAsia" w:ascii="宋体" w:hAnsi="宋体"/>
          <w:color w:val="auto"/>
          <w:sz w:val="28"/>
        </w:rPr>
        <w:t>日期：</w:t>
      </w:r>
      <w:r>
        <w:rPr>
          <w:rFonts w:hint="eastAsia" w:ascii="宋体" w:hAnsi="宋体"/>
          <w:bCs/>
          <w:color w:val="auto"/>
          <w:sz w:val="28"/>
        </w:rPr>
        <w:t>20</w:t>
      </w:r>
      <w:r>
        <w:rPr>
          <w:rFonts w:hint="eastAsia" w:ascii="宋体" w:hAnsi="宋体"/>
          <w:color w:val="auto"/>
          <w:sz w:val="28"/>
          <w:lang w:val="zh-CN"/>
        </w:rPr>
        <w:t>2</w:t>
      </w:r>
      <w:r>
        <w:rPr>
          <w:rFonts w:hint="eastAsia" w:ascii="宋体" w:hAnsi="宋体"/>
          <w:color w:val="auto"/>
          <w:sz w:val="28"/>
          <w:u w:val="single"/>
          <w:lang w:val="zh-CN"/>
        </w:rPr>
        <w:t>X</w:t>
      </w:r>
      <w:r>
        <w:rPr>
          <w:rFonts w:hint="eastAsia" w:ascii="宋体" w:hAnsi="宋体"/>
          <w:bCs/>
          <w:color w:val="auto"/>
          <w:sz w:val="28"/>
        </w:rPr>
        <w:t>年</w:t>
      </w:r>
      <w:r>
        <w:rPr>
          <w:rFonts w:hint="eastAsia" w:ascii="宋体" w:hAnsi="宋体"/>
          <w:color w:val="auto"/>
          <w:sz w:val="28"/>
          <w:u w:val="single"/>
          <w:lang w:val="zh-CN"/>
        </w:rPr>
        <w:t>XX</w:t>
      </w:r>
      <w:r>
        <w:rPr>
          <w:rFonts w:hint="eastAsia" w:ascii="宋体" w:hAnsi="宋体"/>
          <w:bCs/>
          <w:color w:val="auto"/>
          <w:sz w:val="28"/>
        </w:rPr>
        <w:t>月</w:t>
      </w:r>
      <w:r>
        <w:rPr>
          <w:rFonts w:hint="eastAsia" w:ascii="宋体" w:hAnsi="宋体"/>
          <w:color w:val="auto"/>
          <w:sz w:val="28"/>
          <w:u w:val="single"/>
          <w:lang w:val="zh-CN"/>
        </w:rPr>
        <w:t>XX</w:t>
      </w:r>
      <w:r>
        <w:rPr>
          <w:rFonts w:hint="eastAsia" w:ascii="宋体" w:hAnsi="宋体"/>
          <w:bCs/>
          <w:color w:val="auto"/>
          <w:sz w:val="28"/>
        </w:rPr>
        <w:t>日</w:t>
      </w:r>
    </w:p>
    <w:p>
      <w:pPr>
        <w:spacing w:after="180" w:line="360" w:lineRule="auto"/>
        <w:ind w:firstLine="568" w:firstLineChars="202"/>
        <w:rPr>
          <w:rFonts w:ascii="宋体" w:hAnsi="宋体"/>
          <w:b/>
          <w:color w:val="auto"/>
          <w:sz w:val="28"/>
          <w:szCs w:val="28"/>
        </w:rPr>
      </w:pPr>
    </w:p>
    <w:p>
      <w:pPr>
        <w:spacing w:after="180" w:line="360" w:lineRule="auto"/>
        <w:ind w:firstLine="568" w:firstLineChars="202"/>
        <w:rPr>
          <w:rFonts w:ascii="宋体" w:hAnsi="宋体"/>
          <w:b/>
          <w:color w:val="auto"/>
          <w:sz w:val="28"/>
          <w:szCs w:val="28"/>
        </w:rPr>
      </w:pPr>
      <w:r>
        <w:rPr>
          <w:rFonts w:hint="eastAsia" w:ascii="宋体" w:hAnsi="宋体"/>
          <w:b/>
          <w:color w:val="auto"/>
          <w:sz w:val="28"/>
          <w:szCs w:val="28"/>
        </w:rPr>
        <w:t>说明：上述证明文件在投标文件中附有法定代表人身份证复印件（身份证两面均应复印）或护照复印件（投标人的法定代表人为外籍人士的，则提供护照复印件）时才能生效。</w:t>
      </w:r>
    </w:p>
    <w:p>
      <w:pPr>
        <w:spacing w:after="180" w:line="302" w:lineRule="auto"/>
        <w:rPr>
          <w:rFonts w:ascii="宋体" w:hAnsi="宋体"/>
          <w:b/>
          <w:color w:val="auto"/>
          <w:sz w:val="28"/>
          <w:szCs w:val="28"/>
        </w:rPr>
      </w:pPr>
      <w:r>
        <w:rPr>
          <w:rFonts w:ascii="宋体" w:hAnsi="宋体"/>
          <w:b/>
          <w:color w:val="auto"/>
          <w:sz w:val="28"/>
          <w:szCs w:val="28"/>
        </w:rPr>
        <w:br w:type="page"/>
      </w:r>
    </w:p>
    <w:p>
      <w:pPr>
        <w:pStyle w:val="2"/>
        <w:rPr>
          <w:color w:val="auto"/>
        </w:rPr>
      </w:pPr>
    </w:p>
    <w:bookmarkEnd w:id="128"/>
    <w:bookmarkEnd w:id="129"/>
    <w:bookmarkEnd w:id="130"/>
    <w:bookmarkEnd w:id="131"/>
    <w:bookmarkEnd w:id="132"/>
    <w:bookmarkEnd w:id="133"/>
    <w:bookmarkEnd w:id="134"/>
    <w:bookmarkEnd w:id="135"/>
    <w:bookmarkEnd w:id="136"/>
    <w:p>
      <w:pPr>
        <w:keepNext/>
        <w:keepLines/>
        <w:numPr>
          <w:ilvl w:val="2"/>
          <w:numId w:val="5"/>
        </w:numPr>
        <w:spacing w:line="360" w:lineRule="auto"/>
        <w:ind w:left="3119" w:hanging="3119"/>
        <w:outlineLvl w:val="2"/>
        <w:rPr>
          <w:rFonts w:ascii="宋体" w:hAnsi="宋体"/>
          <w:b/>
          <w:bCs/>
          <w:color w:val="auto"/>
          <w:sz w:val="28"/>
          <w:szCs w:val="28"/>
        </w:rPr>
      </w:pPr>
      <w:bookmarkStart w:id="138" w:name="_Toc315871054"/>
      <w:bookmarkEnd w:id="138"/>
      <w:bookmarkStart w:id="139" w:name="_Toc302997926"/>
      <w:bookmarkStart w:id="140" w:name="_Toc263753605"/>
      <w:bookmarkStart w:id="141" w:name="_Toc263768870"/>
      <w:bookmarkStart w:id="142" w:name="_Toc220299393"/>
      <w:bookmarkStart w:id="143" w:name="_Toc217446083"/>
      <w:r>
        <w:rPr>
          <w:rFonts w:hint="eastAsia" w:ascii="宋体" w:hAnsi="宋体"/>
          <w:b/>
          <w:bCs/>
          <w:color w:val="auto"/>
          <w:sz w:val="28"/>
          <w:szCs w:val="28"/>
        </w:rPr>
        <w:t>投标人基本情况表</w:t>
      </w:r>
      <w:bookmarkEnd w:id="139"/>
    </w:p>
    <w:tbl>
      <w:tblPr>
        <w:tblStyle w:val="47"/>
        <w:tblW w:w="8522" w:type="dxa"/>
        <w:jc w:val="center"/>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516"/>
        <w:gridCol w:w="978"/>
        <w:gridCol w:w="1215"/>
        <w:gridCol w:w="1248"/>
        <w:gridCol w:w="8"/>
        <w:gridCol w:w="1318"/>
        <w:gridCol w:w="160"/>
        <w:gridCol w:w="1012"/>
        <w:gridCol w:w="1067"/>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double" w:color="auto" w:sz="4"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投标人名称</w:t>
            </w:r>
          </w:p>
        </w:tc>
        <w:tc>
          <w:tcPr>
            <w:tcW w:w="7006" w:type="dxa"/>
            <w:gridSpan w:val="8"/>
            <w:tcBorders>
              <w:top w:val="double" w:color="auto" w:sz="4"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注册地址</w:t>
            </w:r>
          </w:p>
        </w:tc>
        <w:tc>
          <w:tcPr>
            <w:tcW w:w="3449" w:type="dxa"/>
            <w:gridSpan w:val="4"/>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p>
        </w:tc>
        <w:tc>
          <w:tcPr>
            <w:tcW w:w="131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邮政编码</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vMerge w:val="restart"/>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联系方式</w:t>
            </w: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联系人</w:t>
            </w:r>
          </w:p>
        </w:tc>
        <w:tc>
          <w:tcPr>
            <w:tcW w:w="246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电话</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148" w:hRule="atLeast"/>
          <w:jc w:val="center"/>
        </w:trPr>
        <w:tc>
          <w:tcPr>
            <w:tcW w:w="1516" w:type="dxa"/>
            <w:vMerge w:val="continue"/>
            <w:tcBorders>
              <w:top w:val="single" w:color="auto" w:sz="6" w:space="0"/>
              <w:left w:val="double" w:color="auto" w:sz="4" w:space="0"/>
              <w:bottom w:val="single" w:color="auto" w:sz="6" w:space="0"/>
              <w:right w:val="single" w:color="auto" w:sz="6" w:space="0"/>
            </w:tcBorders>
            <w:vAlign w:val="center"/>
          </w:tcPr>
          <w:p>
            <w:pPr>
              <w:rPr>
                <w:rFonts w:ascii="宋体" w:hAnsi="宋体"/>
                <w:color w:val="auto"/>
                <w:szCs w:val="21"/>
              </w:rPr>
            </w:pP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传真</w:t>
            </w:r>
          </w:p>
        </w:tc>
        <w:tc>
          <w:tcPr>
            <w:tcW w:w="246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网址</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单位性质</w:t>
            </w:r>
          </w:p>
        </w:tc>
        <w:tc>
          <w:tcPr>
            <w:tcW w:w="7006" w:type="dxa"/>
            <w:gridSpan w:val="8"/>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法定代表人</w:t>
            </w: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姓名</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p>
        </w:tc>
        <w:tc>
          <w:tcPr>
            <w:tcW w:w="124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技术职称</w:t>
            </w: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p>
        </w:tc>
        <w:tc>
          <w:tcPr>
            <w:tcW w:w="1172"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电话</w:t>
            </w:r>
          </w:p>
        </w:tc>
        <w:tc>
          <w:tcPr>
            <w:tcW w:w="1067" w:type="dxa"/>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12" w:hRule="atLeast"/>
          <w:jc w:val="center"/>
        </w:trPr>
        <w:tc>
          <w:tcPr>
            <w:tcW w:w="1516" w:type="dxa"/>
            <w:tcBorders>
              <w:top w:val="single" w:color="auto" w:sz="6" w:space="0"/>
              <w:left w:val="double" w:color="auto" w:sz="4"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技术负责人</w:t>
            </w:r>
          </w:p>
        </w:tc>
        <w:tc>
          <w:tcPr>
            <w:tcW w:w="978"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姓名</w:t>
            </w:r>
          </w:p>
        </w:tc>
        <w:tc>
          <w:tcPr>
            <w:tcW w:w="1215"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p>
        </w:tc>
        <w:tc>
          <w:tcPr>
            <w:tcW w:w="1248"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技术职称</w:t>
            </w:r>
          </w:p>
        </w:tc>
        <w:tc>
          <w:tcPr>
            <w:tcW w:w="1326" w:type="dxa"/>
            <w:gridSpan w:val="2"/>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p>
        </w:tc>
        <w:tc>
          <w:tcPr>
            <w:tcW w:w="1172" w:type="dxa"/>
            <w:gridSpan w:val="2"/>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电话</w:t>
            </w:r>
          </w:p>
        </w:tc>
        <w:tc>
          <w:tcPr>
            <w:tcW w:w="1067" w:type="dxa"/>
            <w:tcBorders>
              <w:top w:val="single" w:color="auto" w:sz="6" w:space="0"/>
              <w:left w:val="single" w:color="auto" w:sz="6" w:space="0"/>
              <w:bottom w:val="single" w:color="auto" w:sz="4" w:space="0"/>
              <w:right w:val="double" w:color="auto" w:sz="4" w:space="0"/>
            </w:tcBorders>
            <w:vAlign w:val="center"/>
          </w:tcPr>
          <w:p>
            <w:pPr>
              <w:autoSpaceDE w:val="0"/>
              <w:autoSpaceDN w:val="0"/>
              <w:adjustRightInd w:val="0"/>
              <w:spacing w:line="400" w:lineRule="exact"/>
              <w:jc w:val="center"/>
              <w:rPr>
                <w:rFonts w:ascii="宋体" w:hAnsi="宋体"/>
                <w:bCs/>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18" w:hRule="atLeast"/>
          <w:jc w:val="center"/>
        </w:trPr>
        <w:tc>
          <w:tcPr>
            <w:tcW w:w="1516" w:type="dxa"/>
            <w:tcBorders>
              <w:top w:val="single" w:color="auto" w:sz="4"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财务负责人</w:t>
            </w:r>
          </w:p>
        </w:tc>
        <w:tc>
          <w:tcPr>
            <w:tcW w:w="978"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姓名</w:t>
            </w:r>
          </w:p>
        </w:tc>
        <w:tc>
          <w:tcPr>
            <w:tcW w:w="1215"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p>
        </w:tc>
        <w:tc>
          <w:tcPr>
            <w:tcW w:w="1248"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技术职称</w:t>
            </w:r>
          </w:p>
        </w:tc>
        <w:tc>
          <w:tcPr>
            <w:tcW w:w="1326"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p>
        </w:tc>
        <w:tc>
          <w:tcPr>
            <w:tcW w:w="1172"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电话</w:t>
            </w:r>
          </w:p>
        </w:tc>
        <w:tc>
          <w:tcPr>
            <w:tcW w:w="1067" w:type="dxa"/>
            <w:tcBorders>
              <w:top w:val="single" w:color="auto" w:sz="4"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成立时间</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p>
        </w:tc>
        <w:tc>
          <w:tcPr>
            <w:tcW w:w="4813" w:type="dxa"/>
            <w:gridSpan w:val="6"/>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ind w:firstLine="1470" w:firstLineChars="700"/>
              <w:rPr>
                <w:rFonts w:ascii="宋体" w:hAnsi="宋体"/>
                <w:color w:val="auto"/>
                <w:szCs w:val="21"/>
              </w:rPr>
            </w:pPr>
            <w:r>
              <w:rPr>
                <w:rFonts w:hint="eastAsia" w:ascii="宋体" w:hAnsi="宋体"/>
                <w:color w:val="auto"/>
                <w:szCs w:val="21"/>
              </w:rPr>
              <w:t>员工总人数：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企业资质等级</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p>
        </w:tc>
        <w:tc>
          <w:tcPr>
            <w:tcW w:w="1248"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其中</w:t>
            </w: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项目经理</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营业执照号</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rPr>
                <w:rFonts w:ascii="宋体" w:hAnsi="宋体"/>
                <w:color w:val="auto"/>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高级职称人员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注册资金</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rPr>
                <w:rFonts w:ascii="宋体" w:hAnsi="宋体"/>
                <w:color w:val="auto"/>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中级职称人员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开户银行</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rPr>
                <w:rFonts w:ascii="宋体" w:hAnsi="宋体"/>
                <w:color w:val="auto"/>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初级职称人员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账号</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rPr>
                <w:rFonts w:ascii="宋体" w:hAnsi="宋体"/>
                <w:color w:val="auto"/>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技工</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2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经营范围</w:t>
            </w:r>
          </w:p>
        </w:tc>
        <w:tc>
          <w:tcPr>
            <w:tcW w:w="7006" w:type="dxa"/>
            <w:gridSpan w:val="8"/>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rPr>
                <w:rFonts w:ascii="宋体" w:hAnsi="宋体"/>
                <w:bCs/>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1072" w:hRule="atLeast"/>
          <w:jc w:val="center"/>
        </w:trPr>
        <w:tc>
          <w:tcPr>
            <w:tcW w:w="1516" w:type="dxa"/>
            <w:tcBorders>
              <w:top w:val="single" w:color="auto" w:sz="6" w:space="0"/>
              <w:left w:val="double" w:color="auto" w:sz="4" w:space="0"/>
              <w:bottom w:val="double" w:color="auto" w:sz="4" w:space="0"/>
              <w:right w:val="single" w:color="auto" w:sz="6" w:space="0"/>
            </w:tcBorders>
          </w:tcPr>
          <w:p>
            <w:pPr>
              <w:autoSpaceDE w:val="0"/>
              <w:autoSpaceDN w:val="0"/>
              <w:adjustRightInd w:val="0"/>
              <w:spacing w:line="400" w:lineRule="exact"/>
              <w:jc w:val="center"/>
              <w:rPr>
                <w:rFonts w:ascii="宋体" w:hAnsi="宋体"/>
                <w:color w:val="auto"/>
                <w:szCs w:val="21"/>
              </w:rPr>
            </w:pPr>
            <w:r>
              <w:rPr>
                <w:rFonts w:hint="eastAsia" w:ascii="宋体" w:hAnsi="宋体"/>
                <w:color w:val="auto"/>
                <w:szCs w:val="21"/>
              </w:rPr>
              <w:t>备注</w:t>
            </w:r>
          </w:p>
        </w:tc>
        <w:tc>
          <w:tcPr>
            <w:tcW w:w="7006" w:type="dxa"/>
            <w:gridSpan w:val="8"/>
            <w:tcBorders>
              <w:top w:val="single" w:color="auto" w:sz="6" w:space="0"/>
              <w:left w:val="single" w:color="auto" w:sz="6" w:space="0"/>
              <w:bottom w:val="double" w:color="auto" w:sz="4" w:space="0"/>
              <w:right w:val="double" w:color="auto" w:sz="4" w:space="0"/>
            </w:tcBorders>
          </w:tcPr>
          <w:p>
            <w:pPr>
              <w:autoSpaceDE w:val="0"/>
              <w:autoSpaceDN w:val="0"/>
              <w:adjustRightInd w:val="0"/>
              <w:spacing w:line="400" w:lineRule="exact"/>
              <w:rPr>
                <w:rFonts w:ascii="宋体" w:hAnsi="宋体"/>
                <w:color w:val="auto"/>
                <w:szCs w:val="21"/>
              </w:rPr>
            </w:pPr>
          </w:p>
        </w:tc>
      </w:tr>
    </w:tbl>
    <w:p>
      <w:pPr>
        <w:adjustRightInd w:val="0"/>
        <w:spacing w:line="400" w:lineRule="exact"/>
        <w:rPr>
          <w:rFonts w:ascii="宋体" w:hAnsi="宋体"/>
          <w:bCs/>
          <w:color w:val="auto"/>
          <w:sz w:val="28"/>
          <w:szCs w:val="28"/>
        </w:rPr>
      </w:pPr>
    </w:p>
    <w:p>
      <w:pPr>
        <w:spacing w:after="120" w:line="360" w:lineRule="auto"/>
        <w:ind w:left="420" w:leftChars="200" w:firstLine="288" w:firstLineChars="103"/>
        <w:rPr>
          <w:rFonts w:ascii="宋体" w:hAnsi="宋体"/>
          <w:bCs/>
          <w:color w:val="auto"/>
          <w:sz w:val="28"/>
          <w:szCs w:val="28"/>
        </w:rPr>
      </w:pPr>
      <w:r>
        <w:rPr>
          <w:rFonts w:hint="eastAsia" w:ascii="宋体" w:hAnsi="宋体"/>
          <w:bCs/>
          <w:color w:val="auto"/>
          <w:sz w:val="28"/>
          <w:szCs w:val="28"/>
        </w:rPr>
        <w:t>投标人名称：</w:t>
      </w:r>
      <w:r>
        <w:rPr>
          <w:rFonts w:hint="eastAsia" w:ascii="宋体" w:hAnsi="宋体"/>
          <w:bCs/>
          <w:color w:val="auto"/>
          <w:sz w:val="28"/>
          <w:szCs w:val="28"/>
          <w:u w:val="single"/>
        </w:rPr>
        <w:tab/>
      </w:r>
      <w:r>
        <w:rPr>
          <w:rFonts w:hint="eastAsia" w:ascii="宋体" w:hAnsi="宋体"/>
          <w:bCs/>
          <w:color w:val="auto"/>
          <w:sz w:val="28"/>
          <w:szCs w:val="28"/>
          <w:u w:val="single"/>
        </w:rPr>
        <w:t>XXXX</w:t>
      </w:r>
    </w:p>
    <w:p>
      <w:pPr>
        <w:adjustRightInd w:val="0"/>
        <w:spacing w:line="400" w:lineRule="exact"/>
        <w:ind w:firstLine="700" w:firstLineChars="250"/>
        <w:rPr>
          <w:rFonts w:ascii="宋体" w:hAnsi="宋体"/>
          <w:bCs/>
          <w:color w:val="auto"/>
          <w:sz w:val="28"/>
          <w:u w:val="single"/>
        </w:rPr>
      </w:pPr>
      <w:r>
        <w:rPr>
          <w:rFonts w:hint="eastAsia" w:ascii="宋体" w:hAnsi="宋体"/>
          <w:color w:val="auto"/>
          <w:sz w:val="28"/>
        </w:rPr>
        <w:t>日期：</w:t>
      </w:r>
      <w:r>
        <w:rPr>
          <w:rFonts w:hint="eastAsia" w:ascii="宋体" w:hAnsi="宋体"/>
          <w:bCs/>
          <w:color w:val="auto"/>
          <w:sz w:val="28"/>
        </w:rPr>
        <w:t>202</w:t>
      </w:r>
      <w:r>
        <w:rPr>
          <w:rFonts w:hint="eastAsia" w:ascii="宋体" w:hAnsi="宋体"/>
          <w:bCs/>
          <w:color w:val="auto"/>
          <w:sz w:val="28"/>
          <w:u w:val="single"/>
        </w:rPr>
        <w:t>X</w:t>
      </w:r>
      <w:r>
        <w:rPr>
          <w:rFonts w:hint="eastAsia" w:ascii="宋体" w:hAnsi="宋体"/>
          <w:bCs/>
          <w:color w:val="auto"/>
          <w:sz w:val="28"/>
        </w:rPr>
        <w:t>年</w:t>
      </w:r>
      <w:r>
        <w:rPr>
          <w:rFonts w:hint="eastAsia" w:ascii="宋体" w:hAnsi="宋体"/>
          <w:bCs/>
          <w:color w:val="auto"/>
          <w:sz w:val="28"/>
          <w:u w:val="single"/>
        </w:rPr>
        <w:t>XX</w:t>
      </w:r>
      <w:r>
        <w:rPr>
          <w:rFonts w:hint="eastAsia" w:ascii="宋体" w:hAnsi="宋体"/>
          <w:bCs/>
          <w:color w:val="auto"/>
          <w:sz w:val="28"/>
        </w:rPr>
        <w:t>月</w:t>
      </w:r>
      <w:r>
        <w:rPr>
          <w:rFonts w:hint="eastAsia" w:ascii="宋体" w:hAnsi="宋体"/>
          <w:bCs/>
          <w:color w:val="auto"/>
          <w:sz w:val="28"/>
          <w:u w:val="single"/>
        </w:rPr>
        <w:t>XX</w:t>
      </w:r>
      <w:r>
        <w:rPr>
          <w:rFonts w:hint="eastAsia" w:ascii="宋体" w:hAnsi="宋体"/>
          <w:bCs/>
          <w:color w:val="auto"/>
          <w:sz w:val="28"/>
        </w:rPr>
        <w:t>日</w:t>
      </w:r>
    </w:p>
    <w:p>
      <w:pPr>
        <w:adjustRightInd w:val="0"/>
        <w:spacing w:line="400" w:lineRule="exact"/>
        <w:ind w:firstLine="700" w:firstLineChars="250"/>
        <w:rPr>
          <w:rFonts w:ascii="宋体" w:hAnsi="宋体"/>
          <w:bCs/>
          <w:color w:val="auto"/>
          <w:sz w:val="28"/>
        </w:rPr>
      </w:pPr>
    </w:p>
    <w:p>
      <w:pPr>
        <w:adjustRightInd w:val="0"/>
        <w:spacing w:line="400" w:lineRule="exact"/>
        <w:ind w:firstLine="700" w:firstLineChars="250"/>
        <w:rPr>
          <w:rFonts w:ascii="宋体" w:hAnsi="宋体"/>
          <w:bCs/>
          <w:color w:val="auto"/>
          <w:sz w:val="28"/>
          <w:szCs w:val="28"/>
        </w:rPr>
      </w:pPr>
    </w:p>
    <w:bookmarkEnd w:id="140"/>
    <w:bookmarkEnd w:id="141"/>
    <w:bookmarkEnd w:id="142"/>
    <w:p>
      <w:pPr>
        <w:keepNext/>
        <w:keepLines/>
        <w:numPr>
          <w:ilvl w:val="2"/>
          <w:numId w:val="5"/>
        </w:numPr>
        <w:spacing w:line="360" w:lineRule="auto"/>
        <w:ind w:left="142" w:hanging="142"/>
        <w:outlineLvl w:val="2"/>
        <w:rPr>
          <w:rFonts w:ascii="宋体" w:hAnsi="宋体"/>
          <w:b/>
          <w:bCs/>
          <w:color w:val="auto"/>
          <w:sz w:val="28"/>
          <w:szCs w:val="28"/>
        </w:rPr>
      </w:pPr>
      <w:bookmarkStart w:id="144" w:name="_Toc263753619"/>
      <w:bookmarkStart w:id="145" w:name="_Toc302997928"/>
      <w:bookmarkStart w:id="146" w:name="_Toc263768877"/>
      <w:r>
        <w:rPr>
          <w:rFonts w:hint="eastAsia" w:ascii="宋体" w:hAnsi="宋体"/>
          <w:b/>
          <w:bCs/>
          <w:color w:val="auto"/>
          <w:sz w:val="28"/>
          <w:szCs w:val="28"/>
        </w:rPr>
        <w:t>投标产品技术性能、技术参数和配置的详细描述</w:t>
      </w:r>
    </w:p>
    <w:p>
      <w:pPr>
        <w:snapToGrid w:val="0"/>
        <w:spacing w:line="360" w:lineRule="auto"/>
        <w:ind w:right="-624" w:rightChars="-297"/>
        <w:rPr>
          <w:rFonts w:ascii="宋体" w:hAnsi="宋体"/>
          <w:b/>
          <w:color w:val="auto"/>
          <w:sz w:val="28"/>
        </w:rPr>
      </w:pPr>
      <w:r>
        <w:rPr>
          <w:rFonts w:hint="eastAsia" w:ascii="宋体" w:hAnsi="宋体"/>
          <w:b/>
          <w:color w:val="auto"/>
          <w:sz w:val="28"/>
        </w:rPr>
        <w:t>项目名称：</w:t>
      </w:r>
      <w:r>
        <w:rPr>
          <w:rFonts w:hint="eastAsia" w:ascii="宋体" w:hAnsi="宋体"/>
          <w:b/>
          <w:color w:val="auto"/>
          <w:sz w:val="28"/>
          <w:szCs w:val="28"/>
          <w:u w:val="single"/>
          <w:lang w:eastAsia="zh-CN"/>
        </w:rPr>
        <w:t>成都市锦江区殡葬服务中心悼念厅观光电梯及安装（二次）采购项目</w:t>
      </w:r>
    </w:p>
    <w:p>
      <w:pPr>
        <w:snapToGrid w:val="0"/>
        <w:spacing w:line="360" w:lineRule="auto"/>
        <w:ind w:right="-624" w:rightChars="-297"/>
        <w:rPr>
          <w:rFonts w:ascii="宋体" w:hAnsi="宋体"/>
          <w:color w:val="auto"/>
        </w:rPr>
      </w:pPr>
      <w:r>
        <w:rPr>
          <w:rFonts w:hint="eastAsia" w:ascii="宋体" w:hAnsi="宋体"/>
          <w:b/>
          <w:color w:val="auto"/>
          <w:sz w:val="28"/>
        </w:rPr>
        <w:t>项目编号：</w:t>
      </w:r>
      <w:r>
        <w:rPr>
          <w:rFonts w:hint="eastAsia" w:ascii="宋体" w:hAnsi="宋体"/>
          <w:b/>
          <w:color w:val="auto"/>
          <w:sz w:val="28"/>
          <w:szCs w:val="28"/>
          <w:u w:val="single"/>
          <w:lang w:eastAsia="zh-CN"/>
        </w:rPr>
        <w:t xml:space="preserve"> 锦江政采（2021）A0013号-2</w:t>
      </w:r>
    </w:p>
    <w:p>
      <w:pPr>
        <w:spacing w:line="360" w:lineRule="auto"/>
        <w:rPr>
          <w:rFonts w:ascii="宋体" w:hAnsi="宋体"/>
          <w:b/>
          <w:color w:val="auto"/>
          <w:sz w:val="28"/>
        </w:rPr>
      </w:pPr>
    </w:p>
    <w:p>
      <w:pPr>
        <w:spacing w:line="360" w:lineRule="auto"/>
        <w:rPr>
          <w:rFonts w:ascii="宋体" w:hAnsi="宋体"/>
          <w:color w:val="auto"/>
        </w:rPr>
      </w:pPr>
    </w:p>
    <w:p>
      <w:pPr>
        <w:spacing w:line="360" w:lineRule="auto"/>
        <w:rPr>
          <w:rFonts w:ascii="宋体" w:hAnsi="宋体"/>
          <w:color w:val="auto"/>
        </w:rPr>
      </w:pPr>
    </w:p>
    <w:p>
      <w:pPr>
        <w:spacing w:line="360" w:lineRule="auto"/>
        <w:rPr>
          <w:rFonts w:ascii="宋体" w:hAnsi="宋体"/>
          <w:color w:val="auto"/>
        </w:rPr>
      </w:pPr>
    </w:p>
    <w:p>
      <w:pPr>
        <w:spacing w:line="360" w:lineRule="auto"/>
        <w:rPr>
          <w:rFonts w:ascii="宋体" w:hAnsi="宋体"/>
          <w:color w:val="auto"/>
        </w:rPr>
      </w:pPr>
    </w:p>
    <w:p>
      <w:pPr>
        <w:spacing w:line="360" w:lineRule="auto"/>
        <w:rPr>
          <w:rFonts w:ascii="宋体" w:hAnsi="宋体"/>
          <w:color w:val="auto"/>
        </w:rPr>
      </w:pPr>
    </w:p>
    <w:p>
      <w:pPr>
        <w:spacing w:line="360" w:lineRule="auto"/>
        <w:rPr>
          <w:rFonts w:ascii="宋体" w:hAnsi="宋体"/>
          <w:color w:val="auto"/>
        </w:rPr>
      </w:pPr>
    </w:p>
    <w:p>
      <w:pPr>
        <w:rPr>
          <w:rFonts w:ascii="宋体" w:hAnsi="宋体"/>
          <w:color w:val="auto"/>
        </w:rPr>
      </w:pPr>
    </w:p>
    <w:p>
      <w:pPr>
        <w:rPr>
          <w:rFonts w:ascii="宋体" w:hAnsi="宋体"/>
          <w:color w:val="auto"/>
        </w:rPr>
      </w:pPr>
    </w:p>
    <w:p>
      <w:pPr>
        <w:rPr>
          <w:rFonts w:ascii="宋体" w:hAnsi="宋体"/>
          <w:color w:val="auto"/>
        </w:rPr>
      </w:pPr>
    </w:p>
    <w:p>
      <w:pPr>
        <w:rPr>
          <w:rFonts w:ascii="宋体" w:hAnsi="宋体"/>
          <w:color w:val="auto"/>
        </w:rPr>
      </w:pPr>
    </w:p>
    <w:p>
      <w:pPr>
        <w:rPr>
          <w:rFonts w:ascii="宋体" w:hAnsi="宋体"/>
          <w:color w:val="auto"/>
        </w:rPr>
      </w:pPr>
    </w:p>
    <w:p>
      <w:pPr>
        <w:rPr>
          <w:rFonts w:ascii="宋体" w:hAnsi="宋体"/>
          <w:color w:val="auto"/>
        </w:rPr>
      </w:pPr>
    </w:p>
    <w:p>
      <w:pPr>
        <w:rPr>
          <w:rFonts w:ascii="宋体" w:hAnsi="宋体"/>
          <w:color w:val="auto"/>
        </w:rPr>
      </w:pPr>
    </w:p>
    <w:p>
      <w:pPr>
        <w:rPr>
          <w:rFonts w:ascii="宋体" w:hAnsi="宋体"/>
          <w:color w:val="auto"/>
        </w:rPr>
      </w:pPr>
    </w:p>
    <w:p>
      <w:pPr>
        <w:rPr>
          <w:rFonts w:ascii="宋体" w:hAnsi="宋体"/>
          <w:color w:val="auto"/>
        </w:rPr>
      </w:pPr>
    </w:p>
    <w:p>
      <w:pPr>
        <w:rPr>
          <w:rFonts w:ascii="宋体" w:hAnsi="宋体"/>
          <w:color w:val="auto"/>
        </w:rPr>
      </w:pPr>
    </w:p>
    <w:p>
      <w:pPr>
        <w:rPr>
          <w:rFonts w:ascii="宋体" w:hAnsi="宋体"/>
          <w:color w:val="auto"/>
        </w:rPr>
      </w:pPr>
    </w:p>
    <w:p>
      <w:pPr>
        <w:rPr>
          <w:rFonts w:ascii="宋体" w:hAnsi="宋体"/>
          <w:color w:val="auto"/>
        </w:rPr>
      </w:pPr>
    </w:p>
    <w:p>
      <w:pPr>
        <w:rPr>
          <w:rFonts w:ascii="宋体" w:hAnsi="宋体"/>
          <w:color w:val="auto"/>
        </w:rPr>
      </w:pPr>
    </w:p>
    <w:p>
      <w:pPr>
        <w:rPr>
          <w:rFonts w:ascii="宋体" w:hAnsi="宋体"/>
          <w:color w:val="auto"/>
        </w:rPr>
      </w:pPr>
    </w:p>
    <w:p>
      <w:pPr>
        <w:rPr>
          <w:rFonts w:ascii="宋体" w:hAnsi="宋体"/>
          <w:color w:val="auto"/>
        </w:rPr>
      </w:pPr>
    </w:p>
    <w:p>
      <w:pPr>
        <w:rPr>
          <w:rFonts w:ascii="宋体" w:hAnsi="宋体"/>
          <w:color w:val="auto"/>
        </w:rPr>
      </w:pPr>
    </w:p>
    <w:p>
      <w:pPr>
        <w:rPr>
          <w:rFonts w:ascii="宋体" w:hAnsi="宋体"/>
          <w:color w:val="auto"/>
        </w:rPr>
      </w:pPr>
    </w:p>
    <w:p>
      <w:pPr>
        <w:rPr>
          <w:rFonts w:ascii="宋体" w:hAnsi="宋体"/>
          <w:color w:val="auto"/>
        </w:rPr>
      </w:pPr>
    </w:p>
    <w:p>
      <w:pPr>
        <w:rPr>
          <w:rFonts w:ascii="宋体" w:hAnsi="宋体"/>
          <w:color w:val="auto"/>
        </w:rPr>
      </w:pPr>
    </w:p>
    <w:p>
      <w:pPr>
        <w:rPr>
          <w:rFonts w:ascii="宋体" w:hAnsi="宋体"/>
          <w:color w:val="auto"/>
        </w:rPr>
      </w:pPr>
    </w:p>
    <w:p>
      <w:pPr>
        <w:rPr>
          <w:rFonts w:ascii="宋体" w:hAnsi="宋体"/>
          <w:color w:val="auto"/>
        </w:rPr>
      </w:pPr>
    </w:p>
    <w:p>
      <w:pPr>
        <w:rPr>
          <w:rFonts w:ascii="宋体" w:hAnsi="宋体"/>
          <w:color w:val="auto"/>
        </w:rPr>
      </w:pPr>
    </w:p>
    <w:p>
      <w:pPr>
        <w:rPr>
          <w:rFonts w:ascii="宋体" w:hAnsi="宋体"/>
          <w:color w:val="auto"/>
        </w:rPr>
      </w:pPr>
    </w:p>
    <w:p>
      <w:pPr>
        <w:spacing w:after="120" w:line="360" w:lineRule="auto"/>
        <w:ind w:left="420" w:leftChars="200"/>
        <w:rPr>
          <w:rFonts w:ascii="宋体" w:hAnsi="宋体"/>
          <w:bCs/>
          <w:color w:val="auto"/>
          <w:sz w:val="28"/>
          <w:szCs w:val="28"/>
        </w:rPr>
      </w:pPr>
      <w:r>
        <w:rPr>
          <w:rFonts w:hint="eastAsia" w:ascii="宋体" w:hAnsi="宋体"/>
          <w:bCs/>
          <w:color w:val="auto"/>
          <w:sz w:val="28"/>
          <w:szCs w:val="28"/>
        </w:rPr>
        <w:t>投标人名称：</w:t>
      </w:r>
      <w:r>
        <w:rPr>
          <w:rFonts w:hint="eastAsia" w:ascii="宋体" w:hAnsi="宋体"/>
          <w:bCs/>
          <w:color w:val="auto"/>
          <w:sz w:val="28"/>
          <w:szCs w:val="28"/>
          <w:u w:val="single"/>
        </w:rPr>
        <w:t>XXXX</w:t>
      </w:r>
    </w:p>
    <w:p>
      <w:pPr>
        <w:adjustRightInd w:val="0"/>
        <w:spacing w:line="400" w:lineRule="exact"/>
        <w:ind w:firstLine="420" w:firstLineChars="150"/>
        <w:rPr>
          <w:rFonts w:ascii="宋体" w:hAnsi="宋体"/>
          <w:bCs/>
          <w:color w:val="auto"/>
          <w:sz w:val="28"/>
          <w:u w:val="single"/>
        </w:rPr>
      </w:pPr>
      <w:r>
        <w:rPr>
          <w:rFonts w:hint="eastAsia" w:ascii="宋体" w:hAnsi="宋体"/>
          <w:color w:val="auto"/>
          <w:sz w:val="28"/>
        </w:rPr>
        <w:t>日期：</w:t>
      </w:r>
      <w:r>
        <w:rPr>
          <w:rFonts w:hint="eastAsia" w:ascii="宋体" w:hAnsi="宋体"/>
          <w:bCs/>
          <w:color w:val="auto"/>
          <w:sz w:val="28"/>
        </w:rPr>
        <w:t>202</w:t>
      </w:r>
      <w:r>
        <w:rPr>
          <w:rFonts w:hint="eastAsia" w:ascii="宋体" w:hAnsi="宋体"/>
          <w:bCs/>
          <w:color w:val="auto"/>
          <w:sz w:val="28"/>
          <w:u w:val="single"/>
        </w:rPr>
        <w:t>X</w:t>
      </w:r>
      <w:r>
        <w:rPr>
          <w:rFonts w:hint="eastAsia" w:ascii="宋体" w:hAnsi="宋体"/>
          <w:bCs/>
          <w:color w:val="auto"/>
          <w:sz w:val="28"/>
        </w:rPr>
        <w:t>年</w:t>
      </w:r>
      <w:r>
        <w:rPr>
          <w:rFonts w:hint="eastAsia" w:ascii="宋体" w:hAnsi="宋体"/>
          <w:bCs/>
          <w:color w:val="auto"/>
          <w:sz w:val="28"/>
          <w:u w:val="single"/>
        </w:rPr>
        <w:t>XX</w:t>
      </w:r>
      <w:r>
        <w:rPr>
          <w:rFonts w:hint="eastAsia" w:ascii="宋体" w:hAnsi="宋体"/>
          <w:bCs/>
          <w:color w:val="auto"/>
          <w:sz w:val="28"/>
        </w:rPr>
        <w:t>月</w:t>
      </w:r>
      <w:r>
        <w:rPr>
          <w:rFonts w:hint="eastAsia" w:ascii="宋体" w:hAnsi="宋体"/>
          <w:bCs/>
          <w:color w:val="auto"/>
          <w:sz w:val="28"/>
          <w:u w:val="single"/>
        </w:rPr>
        <w:t>XX</w:t>
      </w:r>
      <w:r>
        <w:rPr>
          <w:rFonts w:hint="eastAsia" w:ascii="宋体" w:hAnsi="宋体"/>
          <w:bCs/>
          <w:color w:val="auto"/>
          <w:sz w:val="28"/>
        </w:rPr>
        <w:t>日</w:t>
      </w:r>
    </w:p>
    <w:p>
      <w:pPr>
        <w:adjustRightInd w:val="0"/>
        <w:spacing w:line="400" w:lineRule="exact"/>
        <w:rPr>
          <w:rFonts w:ascii="宋体" w:hAnsi="宋体"/>
          <w:bCs/>
          <w:color w:val="auto"/>
          <w:sz w:val="28"/>
        </w:rPr>
      </w:pPr>
    </w:p>
    <w:p>
      <w:pPr>
        <w:adjustRightInd w:val="0"/>
        <w:spacing w:line="400" w:lineRule="exact"/>
        <w:rPr>
          <w:rFonts w:ascii="宋体" w:hAnsi="宋体"/>
          <w:bCs/>
          <w:color w:val="auto"/>
          <w:sz w:val="28"/>
        </w:rPr>
      </w:pPr>
    </w:p>
    <w:p>
      <w:pPr>
        <w:keepNext/>
        <w:keepLines/>
        <w:numPr>
          <w:ilvl w:val="2"/>
          <w:numId w:val="5"/>
        </w:numPr>
        <w:spacing w:line="360" w:lineRule="auto"/>
        <w:ind w:left="3119" w:hanging="3119"/>
        <w:outlineLvl w:val="2"/>
        <w:rPr>
          <w:rFonts w:ascii="宋体" w:hAnsi="宋体"/>
          <w:b/>
          <w:bCs/>
          <w:color w:val="auto"/>
          <w:sz w:val="28"/>
          <w:szCs w:val="28"/>
        </w:rPr>
      </w:pPr>
      <w:r>
        <w:rPr>
          <w:rFonts w:hint="eastAsia" w:ascii="宋体" w:hAnsi="宋体"/>
          <w:b/>
          <w:bCs/>
          <w:color w:val="auto"/>
          <w:sz w:val="28"/>
          <w:szCs w:val="28"/>
        </w:rPr>
        <w:t>售后服务及承诺</w:t>
      </w:r>
      <w:bookmarkEnd w:id="144"/>
      <w:bookmarkEnd w:id="145"/>
      <w:bookmarkEnd w:id="146"/>
    </w:p>
    <w:p>
      <w:pPr>
        <w:snapToGrid w:val="0"/>
        <w:spacing w:line="360" w:lineRule="auto"/>
        <w:ind w:right="-624" w:rightChars="-297"/>
        <w:rPr>
          <w:rFonts w:ascii="宋体" w:hAnsi="宋体"/>
          <w:b/>
          <w:color w:val="auto"/>
          <w:sz w:val="28"/>
          <w:szCs w:val="28"/>
        </w:rPr>
      </w:pPr>
      <w:r>
        <w:rPr>
          <w:rFonts w:hint="eastAsia" w:ascii="宋体" w:hAnsi="宋体"/>
          <w:b/>
          <w:color w:val="auto"/>
          <w:sz w:val="28"/>
        </w:rPr>
        <w:t>项目名称：</w:t>
      </w:r>
      <w:r>
        <w:rPr>
          <w:rFonts w:hint="eastAsia" w:ascii="宋体" w:hAnsi="宋体"/>
          <w:b/>
          <w:color w:val="auto"/>
          <w:sz w:val="28"/>
          <w:szCs w:val="28"/>
          <w:u w:val="single"/>
          <w:lang w:eastAsia="zh-CN"/>
        </w:rPr>
        <w:t>成都市锦江区殡葬服务中心悼念厅观光电梯及安装（二次）采购项目</w:t>
      </w:r>
    </w:p>
    <w:p>
      <w:pPr>
        <w:snapToGrid w:val="0"/>
        <w:spacing w:line="360" w:lineRule="auto"/>
        <w:ind w:right="-624" w:rightChars="-297"/>
        <w:rPr>
          <w:rFonts w:ascii="宋体" w:hAnsi="宋体"/>
          <w:b/>
          <w:color w:val="auto"/>
          <w:sz w:val="28"/>
        </w:rPr>
      </w:pPr>
      <w:r>
        <w:rPr>
          <w:rFonts w:hint="eastAsia" w:ascii="宋体" w:hAnsi="宋体"/>
          <w:b/>
          <w:color w:val="auto"/>
          <w:sz w:val="28"/>
        </w:rPr>
        <w:t>项目编号：</w:t>
      </w:r>
      <w:r>
        <w:rPr>
          <w:rFonts w:hint="eastAsia" w:ascii="宋体" w:hAnsi="宋体"/>
          <w:b/>
          <w:color w:val="auto"/>
          <w:sz w:val="28"/>
          <w:u w:val="single"/>
          <w:lang w:eastAsia="zh-CN"/>
        </w:rPr>
        <w:t xml:space="preserve"> 锦江政采（2021）A0013号-2</w:t>
      </w:r>
    </w:p>
    <w:p>
      <w:pPr>
        <w:tabs>
          <w:tab w:val="left" w:pos="720"/>
        </w:tabs>
        <w:spacing w:line="360" w:lineRule="auto"/>
        <w:ind w:firstLine="560" w:firstLineChars="200"/>
        <w:rPr>
          <w:rFonts w:ascii="宋体" w:hAnsi="宋体"/>
          <w:color w:val="auto"/>
          <w:sz w:val="28"/>
        </w:rPr>
      </w:pPr>
      <w:r>
        <w:rPr>
          <w:rFonts w:hint="eastAsia" w:ascii="宋体" w:hAnsi="宋体"/>
          <w:color w:val="auto"/>
          <w:sz w:val="28"/>
        </w:rPr>
        <w:t>一、验收标准</w:t>
      </w:r>
    </w:p>
    <w:p>
      <w:pPr>
        <w:spacing w:line="360" w:lineRule="auto"/>
        <w:ind w:firstLine="566" w:firstLineChars="202"/>
        <w:rPr>
          <w:rFonts w:ascii="宋体" w:hAnsi="宋体"/>
          <w:color w:val="auto"/>
          <w:sz w:val="28"/>
        </w:rPr>
      </w:pPr>
      <w:r>
        <w:rPr>
          <w:rFonts w:hint="eastAsia" w:ascii="宋体" w:hAnsi="宋体"/>
          <w:color w:val="auto"/>
          <w:sz w:val="28"/>
        </w:rPr>
        <w:t xml:space="preserve">    （投标人应提出详细的验收程序和所执行的验收标准）</w:t>
      </w:r>
    </w:p>
    <w:p>
      <w:pPr>
        <w:spacing w:line="360" w:lineRule="auto"/>
        <w:ind w:firstLine="566" w:firstLineChars="202"/>
        <w:rPr>
          <w:rFonts w:ascii="宋体" w:hAnsi="宋体"/>
          <w:color w:val="auto"/>
          <w:sz w:val="28"/>
        </w:rPr>
      </w:pPr>
    </w:p>
    <w:p>
      <w:pPr>
        <w:spacing w:line="360" w:lineRule="auto"/>
        <w:ind w:firstLine="566" w:firstLineChars="202"/>
        <w:rPr>
          <w:rFonts w:ascii="宋体" w:hAnsi="宋体"/>
          <w:color w:val="auto"/>
          <w:sz w:val="28"/>
        </w:rPr>
      </w:pPr>
      <w:r>
        <w:rPr>
          <w:rFonts w:hint="eastAsia" w:ascii="宋体" w:hAnsi="宋体"/>
          <w:color w:val="auto"/>
          <w:sz w:val="28"/>
        </w:rPr>
        <w:t>二、交货进度计划及保障措施</w:t>
      </w:r>
    </w:p>
    <w:p>
      <w:pPr>
        <w:spacing w:line="360" w:lineRule="auto"/>
        <w:ind w:firstLine="566" w:firstLineChars="202"/>
        <w:rPr>
          <w:rFonts w:ascii="宋体" w:hAnsi="宋体"/>
          <w:color w:val="auto"/>
          <w:sz w:val="28"/>
        </w:rPr>
      </w:pPr>
    </w:p>
    <w:p>
      <w:pPr>
        <w:spacing w:line="360" w:lineRule="auto"/>
        <w:ind w:firstLine="566" w:firstLineChars="202"/>
        <w:rPr>
          <w:rFonts w:ascii="宋体" w:hAnsi="宋体"/>
          <w:color w:val="auto"/>
          <w:sz w:val="28"/>
        </w:rPr>
      </w:pPr>
    </w:p>
    <w:p>
      <w:pPr>
        <w:tabs>
          <w:tab w:val="left" w:pos="720"/>
        </w:tabs>
        <w:spacing w:line="360" w:lineRule="auto"/>
        <w:ind w:firstLine="560" w:firstLineChars="200"/>
        <w:rPr>
          <w:rFonts w:ascii="宋体" w:hAnsi="宋体"/>
          <w:color w:val="auto"/>
          <w:sz w:val="28"/>
        </w:rPr>
      </w:pPr>
      <w:r>
        <w:rPr>
          <w:rFonts w:hint="eastAsia" w:ascii="宋体" w:hAnsi="宋体"/>
          <w:color w:val="auto"/>
          <w:sz w:val="28"/>
        </w:rPr>
        <w:t>三、售后服务承诺</w:t>
      </w:r>
    </w:p>
    <w:p>
      <w:pPr>
        <w:ind w:firstLine="566" w:firstLineChars="202"/>
        <w:rPr>
          <w:rFonts w:ascii="宋体" w:hAnsi="宋体"/>
          <w:color w:val="auto"/>
          <w:sz w:val="28"/>
        </w:rPr>
      </w:pPr>
      <w:r>
        <w:rPr>
          <w:rFonts w:hint="eastAsia" w:ascii="宋体" w:hAnsi="宋体"/>
          <w:color w:val="auto"/>
          <w:sz w:val="28"/>
        </w:rPr>
        <w:t>（售后服务承诺应包括但不限于以下内容）</w:t>
      </w:r>
    </w:p>
    <w:p>
      <w:pPr>
        <w:spacing w:line="400" w:lineRule="exact"/>
        <w:ind w:firstLine="560" w:firstLineChars="200"/>
        <w:rPr>
          <w:rFonts w:ascii="宋体" w:hAnsi="宋体"/>
          <w:color w:val="auto"/>
          <w:sz w:val="28"/>
        </w:rPr>
      </w:pPr>
      <w:r>
        <w:rPr>
          <w:rFonts w:hint="eastAsia" w:ascii="宋体" w:hAnsi="宋体"/>
          <w:color w:val="auto"/>
          <w:sz w:val="28"/>
        </w:rPr>
        <w:t>（一）产品制造厂家或投标人设立的售后服务机构网点清单、服务电话和维修人员名单；</w:t>
      </w:r>
    </w:p>
    <w:p>
      <w:pPr>
        <w:spacing w:line="400" w:lineRule="exact"/>
        <w:ind w:firstLine="560" w:firstLineChars="200"/>
        <w:rPr>
          <w:rFonts w:ascii="宋体" w:hAnsi="宋体"/>
          <w:color w:val="auto"/>
          <w:sz w:val="28"/>
        </w:rPr>
      </w:pPr>
      <w:r>
        <w:rPr>
          <w:rFonts w:hint="eastAsia" w:ascii="宋体" w:hAnsi="宋体"/>
          <w:color w:val="auto"/>
          <w:sz w:val="28"/>
        </w:rPr>
        <w:t>（二）说明投标产品的保修时间、保修期内的保修内容与范围、维修响应时间等；</w:t>
      </w:r>
    </w:p>
    <w:p>
      <w:pPr>
        <w:ind w:firstLine="566" w:firstLineChars="202"/>
        <w:rPr>
          <w:rFonts w:ascii="宋体" w:hAnsi="宋体"/>
          <w:color w:val="auto"/>
          <w:sz w:val="28"/>
        </w:rPr>
      </w:pPr>
      <w:r>
        <w:rPr>
          <w:rFonts w:hint="eastAsia" w:ascii="宋体" w:hAnsi="宋体"/>
          <w:color w:val="auto"/>
          <w:sz w:val="28"/>
        </w:rPr>
        <w:t>（三）……</w:t>
      </w:r>
    </w:p>
    <w:p>
      <w:pPr>
        <w:ind w:firstLine="566" w:firstLineChars="202"/>
        <w:rPr>
          <w:rFonts w:ascii="宋体" w:hAnsi="宋体"/>
          <w:color w:val="auto"/>
          <w:sz w:val="28"/>
        </w:rPr>
      </w:pPr>
      <w:r>
        <w:rPr>
          <w:rFonts w:hint="eastAsia" w:ascii="宋体" w:hAnsi="宋体"/>
          <w:color w:val="auto"/>
          <w:sz w:val="28"/>
        </w:rPr>
        <w:t>四、技术支持的能力及方案</w:t>
      </w:r>
    </w:p>
    <w:p>
      <w:pPr>
        <w:ind w:firstLine="566" w:firstLineChars="202"/>
        <w:rPr>
          <w:rFonts w:ascii="宋体" w:hAnsi="宋体"/>
          <w:color w:val="auto"/>
          <w:sz w:val="28"/>
        </w:rPr>
      </w:pPr>
    </w:p>
    <w:p>
      <w:pPr>
        <w:ind w:firstLine="566" w:firstLineChars="202"/>
        <w:rPr>
          <w:rFonts w:ascii="宋体" w:hAnsi="宋体"/>
          <w:color w:val="auto"/>
          <w:sz w:val="28"/>
        </w:rPr>
      </w:pPr>
    </w:p>
    <w:p>
      <w:pPr>
        <w:tabs>
          <w:tab w:val="left" w:pos="720"/>
        </w:tabs>
        <w:ind w:firstLine="560" w:firstLineChars="200"/>
        <w:rPr>
          <w:rFonts w:ascii="宋体" w:hAnsi="宋体"/>
          <w:color w:val="auto"/>
          <w:sz w:val="28"/>
        </w:rPr>
      </w:pPr>
      <w:r>
        <w:rPr>
          <w:rFonts w:hint="eastAsia" w:ascii="宋体" w:hAnsi="宋体"/>
          <w:color w:val="auto"/>
          <w:sz w:val="28"/>
        </w:rPr>
        <w:t>五、其他说明的内容</w:t>
      </w:r>
      <w:bookmarkEnd w:id="143"/>
      <w:bookmarkStart w:id="147" w:name="_Toc316475719"/>
    </w:p>
    <w:p>
      <w:pPr>
        <w:ind w:firstLine="566" w:firstLineChars="202"/>
        <w:rPr>
          <w:rFonts w:ascii="宋体" w:hAnsi="宋体"/>
          <w:color w:val="auto"/>
          <w:sz w:val="28"/>
        </w:rPr>
      </w:pPr>
    </w:p>
    <w:p>
      <w:pPr>
        <w:spacing w:after="120" w:line="360" w:lineRule="auto"/>
        <w:ind w:left="420" w:leftChars="200"/>
        <w:rPr>
          <w:rFonts w:ascii="宋体" w:hAnsi="宋体"/>
          <w:bCs/>
          <w:color w:val="auto"/>
          <w:sz w:val="28"/>
          <w:szCs w:val="28"/>
        </w:rPr>
      </w:pPr>
      <w:r>
        <w:rPr>
          <w:rFonts w:hint="eastAsia" w:ascii="宋体" w:hAnsi="宋体"/>
          <w:bCs/>
          <w:color w:val="auto"/>
          <w:sz w:val="28"/>
          <w:szCs w:val="28"/>
        </w:rPr>
        <w:t>投标人名称：</w:t>
      </w:r>
      <w:r>
        <w:rPr>
          <w:rFonts w:hint="eastAsia" w:ascii="宋体" w:hAnsi="宋体"/>
          <w:bCs/>
          <w:color w:val="auto"/>
          <w:sz w:val="28"/>
          <w:szCs w:val="28"/>
          <w:u w:val="single"/>
        </w:rPr>
        <w:t>XXXX</w:t>
      </w:r>
    </w:p>
    <w:p>
      <w:pPr>
        <w:adjustRightInd w:val="0"/>
        <w:spacing w:line="400" w:lineRule="exact"/>
        <w:ind w:firstLine="420" w:firstLineChars="150"/>
        <w:rPr>
          <w:rFonts w:ascii="宋体" w:hAnsi="宋体"/>
          <w:bCs/>
          <w:color w:val="auto"/>
          <w:sz w:val="28"/>
          <w:u w:val="single"/>
        </w:rPr>
      </w:pPr>
      <w:r>
        <w:rPr>
          <w:rFonts w:hint="eastAsia" w:ascii="宋体" w:hAnsi="宋体"/>
          <w:color w:val="auto"/>
          <w:sz w:val="28"/>
        </w:rPr>
        <w:t>日期：</w:t>
      </w:r>
      <w:r>
        <w:rPr>
          <w:rFonts w:hint="eastAsia" w:ascii="宋体" w:hAnsi="宋体"/>
          <w:bCs/>
          <w:color w:val="auto"/>
          <w:sz w:val="28"/>
        </w:rPr>
        <w:t>202</w:t>
      </w:r>
      <w:r>
        <w:rPr>
          <w:rFonts w:hint="eastAsia" w:ascii="宋体" w:hAnsi="宋体"/>
          <w:bCs/>
          <w:color w:val="auto"/>
          <w:sz w:val="28"/>
          <w:u w:val="single"/>
        </w:rPr>
        <w:t>X</w:t>
      </w:r>
      <w:r>
        <w:rPr>
          <w:rFonts w:hint="eastAsia" w:ascii="宋体" w:hAnsi="宋体"/>
          <w:bCs/>
          <w:color w:val="auto"/>
          <w:sz w:val="28"/>
        </w:rPr>
        <w:t>年</w:t>
      </w:r>
      <w:r>
        <w:rPr>
          <w:rFonts w:hint="eastAsia" w:ascii="宋体" w:hAnsi="宋体"/>
          <w:bCs/>
          <w:color w:val="auto"/>
          <w:sz w:val="28"/>
          <w:u w:val="single"/>
        </w:rPr>
        <w:t>XX</w:t>
      </w:r>
      <w:r>
        <w:rPr>
          <w:rFonts w:hint="eastAsia" w:ascii="宋体" w:hAnsi="宋体"/>
          <w:bCs/>
          <w:color w:val="auto"/>
          <w:sz w:val="28"/>
        </w:rPr>
        <w:t>月</w:t>
      </w:r>
      <w:r>
        <w:rPr>
          <w:rFonts w:hint="eastAsia" w:ascii="宋体" w:hAnsi="宋体"/>
          <w:bCs/>
          <w:color w:val="auto"/>
          <w:sz w:val="28"/>
          <w:u w:val="single"/>
        </w:rPr>
        <w:t>XX</w:t>
      </w:r>
      <w:r>
        <w:rPr>
          <w:rFonts w:hint="eastAsia" w:ascii="宋体" w:hAnsi="宋体"/>
          <w:bCs/>
          <w:color w:val="auto"/>
          <w:sz w:val="28"/>
        </w:rPr>
        <w:t>日</w:t>
      </w:r>
    </w:p>
    <w:p>
      <w:pPr>
        <w:ind w:firstLine="566" w:firstLineChars="202"/>
        <w:rPr>
          <w:rFonts w:ascii="宋体" w:hAnsi="宋体"/>
          <w:bCs/>
          <w:color w:val="auto"/>
          <w:sz w:val="28"/>
          <w:szCs w:val="28"/>
        </w:rPr>
      </w:pPr>
    </w:p>
    <w:p>
      <w:pPr>
        <w:rPr>
          <w:rFonts w:ascii="宋体" w:hAnsi="宋体"/>
          <w:bCs/>
          <w:color w:val="auto"/>
          <w:sz w:val="28"/>
          <w:szCs w:val="28"/>
        </w:rPr>
      </w:pPr>
    </w:p>
    <w:p>
      <w:pPr>
        <w:rPr>
          <w:rFonts w:ascii="宋体" w:hAnsi="宋体"/>
          <w:bCs/>
          <w:color w:val="auto"/>
          <w:sz w:val="28"/>
          <w:szCs w:val="28"/>
        </w:rPr>
      </w:pPr>
    </w:p>
    <w:p>
      <w:pPr>
        <w:rPr>
          <w:rFonts w:ascii="宋体" w:hAnsi="宋体"/>
          <w:bCs/>
          <w:color w:val="auto"/>
          <w:sz w:val="28"/>
          <w:szCs w:val="28"/>
        </w:rPr>
      </w:pPr>
    </w:p>
    <w:p>
      <w:pPr>
        <w:rPr>
          <w:rFonts w:ascii="宋体" w:hAnsi="宋体"/>
          <w:bCs/>
          <w:color w:val="auto"/>
          <w:sz w:val="28"/>
          <w:szCs w:val="28"/>
        </w:rPr>
      </w:pPr>
    </w:p>
    <w:p>
      <w:pPr>
        <w:rPr>
          <w:rFonts w:ascii="宋体" w:hAnsi="宋体"/>
          <w:bCs/>
          <w:color w:val="auto"/>
          <w:sz w:val="28"/>
          <w:szCs w:val="28"/>
        </w:rPr>
      </w:pPr>
    </w:p>
    <w:p>
      <w:pPr>
        <w:keepNext/>
        <w:keepLines/>
        <w:numPr>
          <w:ilvl w:val="2"/>
          <w:numId w:val="5"/>
        </w:numPr>
        <w:spacing w:line="360" w:lineRule="auto"/>
        <w:outlineLvl w:val="2"/>
        <w:rPr>
          <w:rFonts w:ascii="宋体" w:hAnsi="宋体"/>
          <w:b/>
          <w:color w:val="auto"/>
          <w:sz w:val="28"/>
          <w:szCs w:val="28"/>
        </w:rPr>
      </w:pPr>
      <w:r>
        <w:rPr>
          <w:rFonts w:hint="eastAsia" w:ascii="宋体" w:hAnsi="宋体"/>
          <w:b/>
          <w:color w:val="auto"/>
          <w:sz w:val="28"/>
          <w:szCs w:val="28"/>
        </w:rPr>
        <w:t>承诺函</w:t>
      </w:r>
    </w:p>
    <w:p>
      <w:pPr>
        <w:snapToGrid w:val="0"/>
        <w:spacing w:line="360" w:lineRule="auto"/>
        <w:rPr>
          <w:rFonts w:ascii="宋体" w:hAnsi="宋体"/>
          <w:b/>
          <w:color w:val="auto"/>
          <w:sz w:val="28"/>
          <w:szCs w:val="28"/>
        </w:rPr>
      </w:pPr>
      <w:r>
        <w:rPr>
          <w:rFonts w:hint="eastAsia" w:ascii="宋体" w:hAnsi="宋体"/>
          <w:b/>
          <w:color w:val="auto"/>
          <w:sz w:val="28"/>
          <w:szCs w:val="28"/>
        </w:rPr>
        <w:t>项目名称：</w:t>
      </w:r>
      <w:r>
        <w:rPr>
          <w:rFonts w:hint="eastAsia" w:ascii="宋体" w:hAnsi="宋体"/>
          <w:b/>
          <w:color w:val="auto"/>
          <w:sz w:val="28"/>
          <w:szCs w:val="28"/>
          <w:u w:val="single"/>
          <w:lang w:eastAsia="zh-CN"/>
        </w:rPr>
        <w:t>成都市锦江区殡葬服务中心悼念厅观光电梯及安装（二次）采购项目</w:t>
      </w:r>
    </w:p>
    <w:p>
      <w:pPr>
        <w:snapToGrid w:val="0"/>
        <w:spacing w:line="360" w:lineRule="auto"/>
        <w:rPr>
          <w:rFonts w:ascii="宋体" w:hAnsi="宋体"/>
          <w:b/>
          <w:color w:val="auto"/>
          <w:sz w:val="28"/>
          <w:szCs w:val="28"/>
        </w:rPr>
      </w:pPr>
      <w:r>
        <w:rPr>
          <w:rFonts w:hint="eastAsia" w:ascii="宋体" w:hAnsi="宋体"/>
          <w:b/>
          <w:color w:val="auto"/>
          <w:sz w:val="28"/>
          <w:szCs w:val="28"/>
        </w:rPr>
        <w:t>项目编号：</w:t>
      </w:r>
      <w:r>
        <w:rPr>
          <w:rFonts w:hint="eastAsia" w:ascii="宋体" w:hAnsi="宋体"/>
          <w:b/>
          <w:color w:val="auto"/>
          <w:sz w:val="28"/>
          <w:szCs w:val="28"/>
          <w:u w:val="single"/>
          <w:lang w:eastAsia="zh-CN"/>
        </w:rPr>
        <w:t xml:space="preserve"> 锦江政采（2021）A0013号-2</w:t>
      </w:r>
    </w:p>
    <w:p>
      <w:pPr>
        <w:snapToGrid w:val="0"/>
        <w:spacing w:line="360" w:lineRule="auto"/>
        <w:rPr>
          <w:rFonts w:ascii="宋体" w:hAnsi="宋体"/>
          <w:b/>
          <w:color w:val="auto"/>
          <w:sz w:val="28"/>
          <w:szCs w:val="28"/>
        </w:rPr>
      </w:pPr>
    </w:p>
    <w:p>
      <w:pPr>
        <w:snapToGrid w:val="0"/>
        <w:spacing w:line="360" w:lineRule="auto"/>
        <w:ind w:firstLine="560" w:firstLineChars="200"/>
        <w:rPr>
          <w:rFonts w:ascii="宋体" w:hAnsi="宋体"/>
          <w:color w:val="auto"/>
          <w:sz w:val="28"/>
        </w:rPr>
      </w:pPr>
      <w:r>
        <w:rPr>
          <w:rFonts w:hint="eastAsia" w:ascii="宋体" w:hAnsi="宋体"/>
          <w:color w:val="auto"/>
          <w:sz w:val="28"/>
        </w:rPr>
        <w:t>我公司作为参加本项目的投标人，在此郑重承诺：</w:t>
      </w:r>
    </w:p>
    <w:p>
      <w:pPr>
        <w:pStyle w:val="2"/>
        <w:spacing w:line="500" w:lineRule="exact"/>
        <w:rPr>
          <w:rFonts w:ascii="宋体" w:hAnsi="宋体"/>
          <w:color w:val="auto"/>
          <w:sz w:val="28"/>
        </w:rPr>
      </w:pPr>
      <w:r>
        <w:rPr>
          <w:rFonts w:hint="eastAsia" w:ascii="宋体" w:hAnsi="宋体"/>
          <w:color w:val="auto"/>
          <w:sz w:val="28"/>
        </w:rPr>
        <w:t>一、为本项目提供的所有服务符合现行的强制性国家相关标准、行业标准。</w:t>
      </w:r>
    </w:p>
    <w:p>
      <w:pPr>
        <w:pStyle w:val="2"/>
        <w:spacing w:line="500" w:lineRule="exact"/>
        <w:rPr>
          <w:rFonts w:ascii="宋体" w:hAnsi="宋体"/>
          <w:color w:val="auto"/>
          <w:sz w:val="28"/>
        </w:rPr>
      </w:pPr>
      <w:r>
        <w:rPr>
          <w:rFonts w:hint="eastAsia" w:ascii="宋体" w:hAnsi="宋体"/>
          <w:color w:val="auto"/>
          <w:sz w:val="28"/>
        </w:rPr>
        <w:t>二、为本项目提供的服务符合招标文件第四章4.2的服务内容及要求。</w:t>
      </w:r>
    </w:p>
    <w:p>
      <w:pPr>
        <w:pStyle w:val="2"/>
        <w:spacing w:line="500" w:lineRule="exact"/>
        <w:rPr>
          <w:rFonts w:ascii="宋体" w:hAnsi="宋体"/>
          <w:color w:val="auto"/>
          <w:sz w:val="28"/>
        </w:rPr>
      </w:pPr>
      <w:r>
        <w:rPr>
          <w:rFonts w:hint="eastAsia" w:ascii="宋体" w:hAnsi="宋体"/>
          <w:color w:val="auto"/>
          <w:sz w:val="28"/>
        </w:rPr>
        <w:t>三、本项目人员工作期间的疾病和人身安全、安全责任事故、劳务纠纷等都由投标人自行负责，采购人对此不承担任何的责任和义务。</w:t>
      </w:r>
    </w:p>
    <w:p>
      <w:pPr>
        <w:pStyle w:val="2"/>
        <w:spacing w:line="500" w:lineRule="exact"/>
        <w:rPr>
          <w:rFonts w:ascii="宋体" w:hAnsi="宋体"/>
          <w:color w:val="auto"/>
          <w:sz w:val="28"/>
        </w:rPr>
      </w:pPr>
      <w:r>
        <w:rPr>
          <w:rFonts w:hint="eastAsia" w:ascii="宋体" w:hAnsi="宋体"/>
          <w:color w:val="auto"/>
          <w:sz w:val="28"/>
        </w:rPr>
        <w:t>四、本项目人员薪资不得低于成都市最低薪酬标准，在职期间为其购买劳动法规定的各项保险，其人员工资标准、劳保、福利等应执行国家和地方政府的相关法律、法规和部门规章。</w:t>
      </w:r>
    </w:p>
    <w:p>
      <w:pPr>
        <w:pStyle w:val="2"/>
        <w:spacing w:line="500" w:lineRule="exact"/>
        <w:rPr>
          <w:rFonts w:ascii="宋体" w:hAnsi="宋体"/>
          <w:color w:val="auto"/>
          <w:sz w:val="28"/>
        </w:rPr>
      </w:pPr>
      <w:r>
        <w:rPr>
          <w:rFonts w:hint="eastAsia" w:ascii="宋体" w:hAnsi="宋体"/>
          <w:color w:val="auto"/>
          <w:sz w:val="28"/>
        </w:rPr>
        <w:t>五、项目实际结算金额不超过预算金额。</w:t>
      </w:r>
    </w:p>
    <w:p>
      <w:pPr>
        <w:pStyle w:val="2"/>
        <w:spacing w:line="500" w:lineRule="exact"/>
        <w:rPr>
          <w:rFonts w:ascii="宋体" w:hAnsi="宋体"/>
          <w:color w:val="auto"/>
          <w:sz w:val="28"/>
        </w:rPr>
      </w:pPr>
      <w:r>
        <w:rPr>
          <w:rFonts w:hint="eastAsia" w:ascii="宋体" w:hAnsi="宋体"/>
          <w:color w:val="auto"/>
          <w:sz w:val="28"/>
        </w:rPr>
        <w:t>六、我单位已认真阅读并接受完全接受和满足本项目招标文件中规定的实质性要求（如进口产品、投标费用、充分、公平竞争保障措施、投标文件的语言、计量单位、投标货币、联合体投标、知识产权、投标保证金、投标有效期、合同分包、合同转包、行贿犯罪相关要求等实质性要求），如对招标文件有异议，已依法进行维权救济，不存在对招标文件有异议的同时又参加投标以求侥幸中标或者为实现其他非法目的的行为。</w:t>
      </w:r>
    </w:p>
    <w:p>
      <w:pPr>
        <w:pStyle w:val="2"/>
        <w:spacing w:line="500" w:lineRule="exact"/>
        <w:rPr>
          <w:rFonts w:hint="eastAsia" w:ascii="宋体" w:hAnsi="宋体"/>
          <w:color w:val="auto"/>
          <w:sz w:val="28"/>
        </w:rPr>
      </w:pPr>
      <w:r>
        <w:rPr>
          <w:rFonts w:hint="eastAsia" w:ascii="宋体" w:hAnsi="宋体"/>
          <w:color w:val="auto"/>
          <w:sz w:val="28"/>
        </w:rPr>
        <w:t>七、参加本次招标采购活动，我单位没有为本项目提供整体设计、规范编制或者项目管理、监理、检测等服务。</w:t>
      </w:r>
    </w:p>
    <w:p>
      <w:pPr>
        <w:pStyle w:val="2"/>
        <w:spacing w:line="500" w:lineRule="exact"/>
        <w:rPr>
          <w:color w:val="auto"/>
        </w:rPr>
      </w:pPr>
      <w:r>
        <w:rPr>
          <w:rFonts w:hint="eastAsia" w:ascii="宋体" w:hAnsi="宋体"/>
          <w:color w:val="auto"/>
          <w:sz w:val="28"/>
          <w:szCs w:val="28"/>
        </w:rPr>
        <w:t>本单位对上述承诺的内容事项真实性负责。如经查实上述承诺的内容事项存在虚假，我单位愿意接受以提供虚假材料谋取中标追究法律责任。</w:t>
      </w:r>
    </w:p>
    <w:p>
      <w:pPr>
        <w:snapToGrid w:val="0"/>
        <w:spacing w:line="360" w:lineRule="auto"/>
        <w:ind w:firstLine="560" w:firstLineChars="200"/>
        <w:rPr>
          <w:color w:val="auto"/>
        </w:rPr>
      </w:pPr>
      <w:r>
        <w:rPr>
          <w:rFonts w:hint="eastAsia" w:ascii="宋体" w:hAnsi="宋体"/>
          <w:color w:val="auto"/>
          <w:sz w:val="28"/>
          <w:szCs w:val="28"/>
        </w:rPr>
        <w:t>特此承诺。</w:t>
      </w:r>
    </w:p>
    <w:p>
      <w:pPr>
        <w:snapToGrid w:val="0"/>
        <w:spacing w:line="360" w:lineRule="auto"/>
        <w:ind w:firstLine="560" w:firstLineChars="200"/>
        <w:rPr>
          <w:rFonts w:ascii="宋体" w:hAnsi="宋体"/>
          <w:color w:val="auto"/>
          <w:sz w:val="28"/>
          <w:szCs w:val="28"/>
        </w:rPr>
      </w:pPr>
    </w:p>
    <w:p>
      <w:pPr>
        <w:snapToGrid w:val="0"/>
        <w:spacing w:line="360" w:lineRule="auto"/>
        <w:ind w:firstLine="560" w:firstLineChars="200"/>
        <w:rPr>
          <w:rFonts w:ascii="宋体" w:hAnsi="宋体"/>
          <w:color w:val="auto"/>
          <w:sz w:val="28"/>
          <w:szCs w:val="28"/>
        </w:rPr>
      </w:pPr>
    </w:p>
    <w:p>
      <w:pPr>
        <w:spacing w:after="120" w:line="360" w:lineRule="auto"/>
        <w:ind w:left="420" w:leftChars="200"/>
        <w:rPr>
          <w:rFonts w:ascii="宋体" w:hAnsi="宋体"/>
          <w:bCs/>
          <w:color w:val="auto"/>
          <w:sz w:val="28"/>
          <w:szCs w:val="28"/>
        </w:rPr>
      </w:pPr>
      <w:r>
        <w:rPr>
          <w:rFonts w:hint="eastAsia" w:ascii="宋体" w:hAnsi="宋体"/>
          <w:bCs/>
          <w:color w:val="auto"/>
          <w:sz w:val="28"/>
          <w:szCs w:val="28"/>
        </w:rPr>
        <w:t>投标人名称：</w:t>
      </w:r>
      <w:r>
        <w:rPr>
          <w:rFonts w:hint="eastAsia" w:ascii="宋体" w:hAnsi="宋体"/>
          <w:bCs/>
          <w:color w:val="auto"/>
          <w:sz w:val="28"/>
          <w:szCs w:val="28"/>
          <w:u w:val="single"/>
        </w:rPr>
        <w:t>XXXX</w:t>
      </w:r>
    </w:p>
    <w:p>
      <w:pPr>
        <w:adjustRightInd w:val="0"/>
        <w:spacing w:line="400" w:lineRule="exact"/>
        <w:ind w:firstLine="420" w:firstLineChars="150"/>
        <w:rPr>
          <w:rFonts w:ascii="宋体" w:hAnsi="宋体"/>
          <w:bCs/>
          <w:color w:val="auto"/>
          <w:sz w:val="28"/>
        </w:rPr>
      </w:pPr>
      <w:r>
        <w:rPr>
          <w:rFonts w:hint="eastAsia" w:ascii="宋体" w:hAnsi="宋体"/>
          <w:color w:val="auto"/>
          <w:sz w:val="28"/>
        </w:rPr>
        <w:t>日期：</w:t>
      </w:r>
      <w:r>
        <w:rPr>
          <w:rFonts w:hint="eastAsia" w:ascii="宋体" w:hAnsi="宋体"/>
          <w:bCs/>
          <w:color w:val="auto"/>
          <w:sz w:val="28"/>
        </w:rPr>
        <w:t>202</w:t>
      </w:r>
      <w:r>
        <w:rPr>
          <w:rFonts w:hint="eastAsia" w:ascii="宋体" w:hAnsi="宋体"/>
          <w:bCs/>
          <w:color w:val="auto"/>
          <w:sz w:val="28"/>
          <w:u w:val="single"/>
        </w:rPr>
        <w:t>X</w:t>
      </w:r>
      <w:r>
        <w:rPr>
          <w:rFonts w:hint="eastAsia" w:ascii="宋体" w:hAnsi="宋体"/>
          <w:bCs/>
          <w:color w:val="auto"/>
          <w:sz w:val="28"/>
        </w:rPr>
        <w:t>年</w:t>
      </w:r>
      <w:r>
        <w:rPr>
          <w:rFonts w:hint="eastAsia" w:ascii="宋体" w:hAnsi="宋体"/>
          <w:bCs/>
          <w:color w:val="auto"/>
          <w:sz w:val="28"/>
          <w:u w:val="single"/>
        </w:rPr>
        <w:t>XX</w:t>
      </w:r>
      <w:r>
        <w:rPr>
          <w:rFonts w:hint="eastAsia" w:ascii="宋体" w:hAnsi="宋体"/>
          <w:bCs/>
          <w:color w:val="auto"/>
          <w:sz w:val="28"/>
        </w:rPr>
        <w:t>月</w:t>
      </w:r>
      <w:r>
        <w:rPr>
          <w:rFonts w:hint="eastAsia" w:ascii="宋体" w:hAnsi="宋体"/>
          <w:bCs/>
          <w:color w:val="auto"/>
          <w:sz w:val="28"/>
          <w:u w:val="single"/>
        </w:rPr>
        <w:t>XX</w:t>
      </w:r>
      <w:r>
        <w:rPr>
          <w:rFonts w:hint="eastAsia" w:ascii="宋体" w:hAnsi="宋体"/>
          <w:bCs/>
          <w:color w:val="auto"/>
          <w:sz w:val="28"/>
        </w:rPr>
        <w:t>日</w:t>
      </w:r>
    </w:p>
    <w:p>
      <w:pPr>
        <w:adjustRightInd w:val="0"/>
        <w:spacing w:line="400" w:lineRule="exact"/>
        <w:rPr>
          <w:rFonts w:ascii="宋体" w:hAnsi="宋体"/>
          <w:bCs/>
          <w:color w:val="auto"/>
          <w:sz w:val="28"/>
        </w:rPr>
      </w:pPr>
    </w:p>
    <w:p>
      <w:pPr>
        <w:adjustRightInd w:val="0"/>
        <w:spacing w:line="400" w:lineRule="exact"/>
        <w:rPr>
          <w:rFonts w:ascii="宋体" w:hAnsi="宋体"/>
          <w:bCs/>
          <w:color w:val="auto"/>
          <w:sz w:val="28"/>
        </w:rPr>
      </w:pPr>
    </w:p>
    <w:p>
      <w:pPr>
        <w:adjustRightInd w:val="0"/>
        <w:spacing w:line="400" w:lineRule="exact"/>
        <w:rPr>
          <w:rFonts w:ascii="宋体" w:hAnsi="宋体"/>
          <w:bCs/>
          <w:color w:val="auto"/>
          <w:sz w:val="28"/>
        </w:rPr>
      </w:pPr>
    </w:p>
    <w:p>
      <w:pPr>
        <w:adjustRightInd w:val="0"/>
        <w:spacing w:line="400" w:lineRule="exact"/>
        <w:rPr>
          <w:rFonts w:ascii="宋体" w:hAnsi="宋体"/>
          <w:bCs/>
          <w:color w:val="auto"/>
          <w:sz w:val="28"/>
        </w:rPr>
      </w:pPr>
    </w:p>
    <w:p>
      <w:pPr>
        <w:adjustRightInd w:val="0"/>
        <w:spacing w:line="400" w:lineRule="exact"/>
        <w:rPr>
          <w:rFonts w:ascii="宋体" w:hAnsi="宋体"/>
          <w:bCs/>
          <w:color w:val="auto"/>
          <w:sz w:val="28"/>
        </w:rPr>
      </w:pPr>
    </w:p>
    <w:p>
      <w:pPr>
        <w:adjustRightInd w:val="0"/>
        <w:spacing w:line="400" w:lineRule="exact"/>
        <w:rPr>
          <w:rFonts w:ascii="宋体" w:hAnsi="宋体"/>
          <w:bCs/>
          <w:color w:val="auto"/>
          <w:sz w:val="28"/>
        </w:rPr>
      </w:pPr>
      <w:r>
        <w:rPr>
          <w:rFonts w:ascii="宋体" w:hAnsi="宋体"/>
          <w:bCs/>
          <w:color w:val="auto"/>
          <w:sz w:val="28"/>
        </w:rPr>
        <w:br w:type="page"/>
      </w:r>
    </w:p>
    <w:p>
      <w:pPr>
        <w:adjustRightInd w:val="0"/>
        <w:spacing w:line="400" w:lineRule="exact"/>
        <w:ind w:firstLine="420" w:firstLineChars="150"/>
        <w:rPr>
          <w:rFonts w:ascii="宋体" w:hAnsi="宋体"/>
          <w:bCs/>
          <w:color w:val="auto"/>
          <w:sz w:val="28"/>
        </w:rPr>
      </w:pPr>
    </w:p>
    <w:p>
      <w:pPr>
        <w:keepNext/>
        <w:keepLines/>
        <w:numPr>
          <w:ilvl w:val="1"/>
          <w:numId w:val="5"/>
        </w:numPr>
        <w:spacing w:line="360" w:lineRule="auto"/>
        <w:jc w:val="left"/>
        <w:outlineLvl w:val="1"/>
        <w:rPr>
          <w:rFonts w:ascii="宋体" w:hAnsi="宋体"/>
          <w:b/>
          <w:bCs/>
          <w:color w:val="auto"/>
          <w:sz w:val="28"/>
          <w:szCs w:val="28"/>
        </w:rPr>
      </w:pPr>
      <w:r>
        <w:rPr>
          <w:rFonts w:hint="eastAsia" w:ascii="宋体" w:hAnsi="宋体"/>
          <w:b/>
          <w:bCs/>
          <w:color w:val="auto"/>
          <w:sz w:val="28"/>
          <w:szCs w:val="28"/>
        </w:rPr>
        <w:t xml:space="preserve"> </w:t>
      </w:r>
      <w:bookmarkStart w:id="148" w:name="_Toc14015"/>
      <w:r>
        <w:rPr>
          <w:rFonts w:hint="eastAsia" w:ascii="宋体" w:hAnsi="宋体"/>
          <w:b/>
          <w:bCs/>
          <w:color w:val="auto"/>
          <w:sz w:val="28"/>
          <w:szCs w:val="28"/>
        </w:rPr>
        <w:t>报价</w:t>
      </w:r>
      <w:r>
        <w:rPr>
          <w:rFonts w:ascii="宋体" w:hAnsi="宋体"/>
          <w:b/>
          <w:bCs/>
          <w:color w:val="auto"/>
          <w:sz w:val="28"/>
          <w:szCs w:val="28"/>
        </w:rPr>
        <w:t>要求响应文件</w:t>
      </w:r>
      <w:bookmarkEnd w:id="148"/>
    </w:p>
    <w:p>
      <w:pPr>
        <w:keepNext/>
        <w:keepLines/>
        <w:numPr>
          <w:ilvl w:val="2"/>
          <w:numId w:val="5"/>
        </w:numPr>
        <w:spacing w:line="360" w:lineRule="auto"/>
        <w:outlineLvl w:val="2"/>
        <w:rPr>
          <w:rFonts w:ascii="宋体" w:hAnsi="宋体"/>
          <w:b/>
          <w:bCs/>
          <w:color w:val="auto"/>
          <w:sz w:val="28"/>
          <w:szCs w:val="28"/>
        </w:rPr>
      </w:pPr>
      <w:r>
        <w:rPr>
          <w:rFonts w:hint="eastAsia" w:ascii="宋体" w:hAnsi="宋体"/>
          <w:b/>
          <w:bCs/>
          <w:color w:val="auto"/>
          <w:sz w:val="28"/>
          <w:szCs w:val="28"/>
          <w:lang w:eastAsia="zh-CN"/>
        </w:rPr>
        <w:t>开标一览表</w:t>
      </w:r>
    </w:p>
    <w:p>
      <w:pPr>
        <w:tabs>
          <w:tab w:val="left" w:pos="1134"/>
        </w:tabs>
        <w:spacing w:line="560" w:lineRule="exact"/>
        <w:ind w:firstLine="427" w:firstLineChars="152"/>
        <w:rPr>
          <w:rFonts w:hint="eastAsia" w:ascii="宋体" w:hAnsi="宋体"/>
          <w:b/>
          <w:bCs/>
          <w:color w:val="auto"/>
          <w:sz w:val="28"/>
          <w:szCs w:val="28"/>
          <w:lang w:eastAsia="zh-CN"/>
        </w:rPr>
      </w:pPr>
      <w:r>
        <w:rPr>
          <w:rFonts w:hint="eastAsia" w:ascii="宋体" w:hAnsi="宋体"/>
          <w:b/>
          <w:bCs/>
          <w:color w:val="auto"/>
          <w:sz w:val="28"/>
          <w:szCs w:val="28"/>
        </w:rPr>
        <w:t>标项1：</w:t>
      </w:r>
      <w:r>
        <w:rPr>
          <w:rFonts w:hint="eastAsia" w:ascii="宋体" w:hAnsi="宋体"/>
          <w:b/>
          <w:bCs/>
          <w:color w:val="auto"/>
          <w:sz w:val="28"/>
          <w:szCs w:val="28"/>
          <w:lang w:eastAsia="zh-CN"/>
        </w:rPr>
        <w:t>成都市锦江区殡葬服务中心悼念厅观光电梯及安装（二次）采购项目</w:t>
      </w:r>
    </w:p>
    <w:tbl>
      <w:tblPr>
        <w:tblStyle w:val="47"/>
        <w:tblW w:w="885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51"/>
        <w:gridCol w:w="62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67" w:hRule="atLeast"/>
          <w:jc w:val="center"/>
        </w:trPr>
        <w:tc>
          <w:tcPr>
            <w:tcW w:w="2651" w:type="dxa"/>
            <w:vAlign w:val="center"/>
          </w:tcPr>
          <w:p>
            <w:pPr>
              <w:widowControl/>
              <w:spacing w:line="360" w:lineRule="atLeast"/>
              <w:jc w:val="center"/>
              <w:outlineLvl w:val="1"/>
              <w:rPr>
                <w:rFonts w:ascii="宋体" w:hAnsi="宋体"/>
                <w:color w:val="auto"/>
                <w:sz w:val="24"/>
              </w:rPr>
            </w:pPr>
            <w:bookmarkStart w:id="149" w:name="_Toc6454"/>
            <w:bookmarkStart w:id="150" w:name="_Toc29455"/>
            <w:bookmarkStart w:id="151" w:name="_Toc44927045"/>
            <w:bookmarkStart w:id="152" w:name="_Toc55991908"/>
            <w:r>
              <w:rPr>
                <w:rFonts w:hint="eastAsia" w:ascii="宋体"/>
                <w:color w:val="auto"/>
                <w:sz w:val="24"/>
              </w:rPr>
              <w:t>供货时间</w:t>
            </w:r>
            <w:bookmarkEnd w:id="149"/>
            <w:bookmarkEnd w:id="150"/>
            <w:bookmarkEnd w:id="151"/>
            <w:bookmarkEnd w:id="152"/>
          </w:p>
        </w:tc>
        <w:tc>
          <w:tcPr>
            <w:tcW w:w="6204" w:type="dxa"/>
            <w:vAlign w:val="center"/>
          </w:tcPr>
          <w:p>
            <w:pPr>
              <w:pStyle w:val="150"/>
              <w:tabs>
                <w:tab w:val="left" w:pos="0"/>
              </w:tabs>
              <w:wordWrap w:val="0"/>
              <w:spacing w:line="440" w:lineRule="exact"/>
              <w:ind w:left="0" w:leftChars="0" w:firstLine="0" w:firstLineChars="0"/>
              <w:jc w:val="left"/>
              <w:rPr>
                <w:rFonts w:ascii="宋体" w:hAnsi="宋体"/>
                <w:color w:val="auto"/>
                <w:sz w:val="24"/>
              </w:rPr>
            </w:pPr>
            <w:r>
              <w:rPr>
                <w:rFonts w:hint="eastAsia" w:ascii="宋体" w:hAnsi="宋体" w:eastAsia="宋体" w:cs="宋体"/>
                <w:color w:val="auto"/>
                <w:sz w:val="24"/>
                <w:szCs w:val="24"/>
              </w:rPr>
              <w:t>政府采购合同签订生效后60个日历日内完成电梯安装调试并通过验收。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jc w:val="center"/>
        </w:trPr>
        <w:tc>
          <w:tcPr>
            <w:tcW w:w="2651" w:type="dxa"/>
            <w:vAlign w:val="center"/>
          </w:tcPr>
          <w:p>
            <w:pPr>
              <w:widowControl/>
              <w:spacing w:line="360" w:lineRule="atLeast"/>
              <w:jc w:val="center"/>
              <w:outlineLvl w:val="1"/>
              <w:rPr>
                <w:rFonts w:ascii="宋体"/>
                <w:color w:val="auto"/>
                <w:sz w:val="24"/>
              </w:rPr>
            </w:pPr>
            <w:bookmarkStart w:id="153" w:name="_Toc11103"/>
            <w:bookmarkStart w:id="154" w:name="_Toc28889"/>
            <w:bookmarkStart w:id="155" w:name="_Toc44927049"/>
            <w:bookmarkStart w:id="156" w:name="_Toc55991912"/>
            <w:r>
              <w:rPr>
                <w:rFonts w:hint="eastAsia" w:ascii="宋体"/>
                <w:color w:val="auto"/>
                <w:sz w:val="24"/>
              </w:rPr>
              <w:t>是否属于进口产品</w:t>
            </w:r>
            <w:bookmarkEnd w:id="153"/>
            <w:bookmarkEnd w:id="154"/>
            <w:bookmarkEnd w:id="155"/>
            <w:bookmarkEnd w:id="156"/>
          </w:p>
        </w:tc>
        <w:tc>
          <w:tcPr>
            <w:tcW w:w="6204" w:type="dxa"/>
            <w:vAlign w:val="center"/>
          </w:tcPr>
          <w:p>
            <w:pPr>
              <w:spacing w:line="400" w:lineRule="exact"/>
              <w:jc w:val="center"/>
              <w:rPr>
                <w:rFonts w:ascii="宋体" w:hAnsi="宋体"/>
                <w:color w:val="auto"/>
                <w:sz w:val="24"/>
              </w:rPr>
            </w:pPr>
            <w:r>
              <w:rPr>
                <w:rFonts w:hint="eastAsia" w:ascii="宋体" w:hAnsi="宋体"/>
                <w:color w:val="auto"/>
                <w:sz w:val="24"/>
              </w:rPr>
              <w:t>填</w:t>
            </w:r>
            <w:r>
              <w:rPr>
                <w:rFonts w:hint="eastAsia" w:ascii="宋体" w:hAnsi="宋体"/>
                <w:color w:val="auto"/>
                <w:sz w:val="24"/>
                <w:u w:val="single"/>
              </w:rPr>
              <w:t>有进口产品</w:t>
            </w:r>
            <w:r>
              <w:rPr>
                <w:rFonts w:hint="eastAsia" w:ascii="宋体" w:hAnsi="宋体"/>
                <w:color w:val="auto"/>
                <w:sz w:val="24"/>
              </w:rPr>
              <w:t>或</w:t>
            </w:r>
            <w:r>
              <w:rPr>
                <w:rFonts w:hint="eastAsia" w:ascii="宋体" w:hAnsi="宋体"/>
                <w:color w:val="auto"/>
                <w:sz w:val="24"/>
                <w:u w:val="single"/>
              </w:rPr>
              <w:t>无进口产品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7" w:hRule="atLeast"/>
          <w:jc w:val="center"/>
        </w:trPr>
        <w:tc>
          <w:tcPr>
            <w:tcW w:w="2651" w:type="dxa"/>
            <w:vAlign w:val="center"/>
          </w:tcPr>
          <w:p>
            <w:pPr>
              <w:widowControl/>
              <w:spacing w:line="360" w:lineRule="atLeast"/>
              <w:jc w:val="center"/>
              <w:outlineLvl w:val="1"/>
              <w:rPr>
                <w:rFonts w:ascii="宋体" w:hAnsi="宋体"/>
                <w:color w:val="auto"/>
                <w:sz w:val="24"/>
              </w:rPr>
            </w:pPr>
            <w:bookmarkStart w:id="157" w:name="_Toc10564"/>
            <w:bookmarkStart w:id="158" w:name="_Toc1531"/>
            <w:bookmarkStart w:id="159" w:name="_Toc55991913"/>
            <w:bookmarkStart w:id="160" w:name="_Toc44927050"/>
            <w:bookmarkStart w:id="161" w:name="_Toc529450125"/>
            <w:r>
              <w:rPr>
                <w:rFonts w:hint="eastAsia" w:ascii="宋体"/>
                <w:color w:val="auto"/>
                <w:sz w:val="24"/>
              </w:rPr>
              <w:t>投标报价（人民币小写）</w:t>
            </w:r>
            <w:bookmarkEnd w:id="157"/>
            <w:bookmarkEnd w:id="158"/>
            <w:bookmarkEnd w:id="159"/>
            <w:bookmarkEnd w:id="160"/>
            <w:bookmarkEnd w:id="161"/>
          </w:p>
        </w:tc>
        <w:tc>
          <w:tcPr>
            <w:tcW w:w="6204" w:type="dxa"/>
            <w:vAlign w:val="center"/>
          </w:tcPr>
          <w:p>
            <w:pPr>
              <w:spacing w:line="400" w:lineRule="exact"/>
              <w:rPr>
                <w:rFonts w:ascii="宋体" w:hAnsi="宋体"/>
                <w:b/>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jc w:val="center"/>
        </w:trPr>
        <w:tc>
          <w:tcPr>
            <w:tcW w:w="2651" w:type="dxa"/>
            <w:vAlign w:val="center"/>
          </w:tcPr>
          <w:p>
            <w:pPr>
              <w:widowControl/>
              <w:spacing w:line="360" w:lineRule="atLeast"/>
              <w:jc w:val="center"/>
              <w:outlineLvl w:val="1"/>
              <w:rPr>
                <w:rFonts w:ascii="宋体"/>
                <w:color w:val="auto"/>
                <w:sz w:val="24"/>
              </w:rPr>
            </w:pPr>
            <w:bookmarkStart w:id="162" w:name="_Toc55991914"/>
            <w:bookmarkStart w:id="163" w:name="_Toc44927051"/>
            <w:bookmarkStart w:id="164" w:name="_Toc2363"/>
            <w:bookmarkStart w:id="165" w:name="_Toc26368"/>
            <w:r>
              <w:rPr>
                <w:rFonts w:hint="eastAsia" w:ascii="宋体"/>
                <w:color w:val="auto"/>
                <w:sz w:val="24"/>
              </w:rPr>
              <w:t>投标报价（人民币大写）</w:t>
            </w:r>
            <w:bookmarkEnd w:id="162"/>
            <w:bookmarkEnd w:id="163"/>
            <w:bookmarkEnd w:id="164"/>
            <w:bookmarkEnd w:id="165"/>
          </w:p>
        </w:tc>
        <w:tc>
          <w:tcPr>
            <w:tcW w:w="6204" w:type="dxa"/>
            <w:vAlign w:val="center"/>
          </w:tcPr>
          <w:p>
            <w:pPr>
              <w:spacing w:line="400" w:lineRule="exact"/>
              <w:rPr>
                <w:rFonts w:ascii="宋体"/>
                <w:b/>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jc w:val="center"/>
        </w:trPr>
        <w:tc>
          <w:tcPr>
            <w:tcW w:w="2651" w:type="dxa"/>
            <w:vAlign w:val="center"/>
          </w:tcPr>
          <w:p>
            <w:pPr>
              <w:spacing w:line="400" w:lineRule="exact"/>
              <w:jc w:val="center"/>
              <w:rPr>
                <w:rFonts w:ascii="宋体" w:hAnsi="宋体"/>
                <w:color w:val="auto"/>
                <w:sz w:val="24"/>
              </w:rPr>
            </w:pPr>
            <w:r>
              <w:rPr>
                <w:rFonts w:ascii="宋体" w:hAnsi="宋体"/>
                <w:color w:val="auto"/>
                <w:sz w:val="24"/>
              </w:rPr>
              <w:t>备注</w:t>
            </w:r>
          </w:p>
        </w:tc>
        <w:tc>
          <w:tcPr>
            <w:tcW w:w="6204" w:type="dxa"/>
            <w:vAlign w:val="center"/>
          </w:tcPr>
          <w:p>
            <w:pPr>
              <w:spacing w:line="400" w:lineRule="exact"/>
              <w:rPr>
                <w:rFonts w:ascii="宋体" w:hAnsi="宋体"/>
                <w:color w:val="auto"/>
                <w:sz w:val="24"/>
              </w:rPr>
            </w:pPr>
          </w:p>
        </w:tc>
      </w:tr>
    </w:tbl>
    <w:p>
      <w:pPr>
        <w:spacing w:line="360" w:lineRule="auto"/>
        <w:rPr>
          <w:rFonts w:ascii="宋体" w:hAnsi="宋体" w:cs="宋体"/>
          <w:bCs/>
          <w:color w:val="auto"/>
          <w:sz w:val="21"/>
          <w:szCs w:val="21"/>
        </w:rPr>
      </w:pPr>
      <w:r>
        <w:rPr>
          <w:rFonts w:hint="eastAsia" w:ascii="宋体" w:hAnsi="宋体" w:cs="宋体"/>
          <w:bCs/>
          <w:color w:val="auto"/>
          <w:sz w:val="21"/>
          <w:szCs w:val="21"/>
        </w:rPr>
        <w:t>注：1、以上报价是最终用户验收合格后的总价，是响应招标项目要求的全部工作内容的体现，包括产品运输、保险、代理、安装调试、培训、税费、系统集成费用和招标文件规定的其它费用等完成本项目所需的一切费用。</w:t>
      </w:r>
    </w:p>
    <w:p>
      <w:pPr>
        <w:spacing w:line="360" w:lineRule="auto"/>
        <w:rPr>
          <w:rFonts w:ascii="宋体" w:hAnsi="宋体"/>
          <w:b/>
          <w:color w:val="auto"/>
          <w:sz w:val="21"/>
          <w:szCs w:val="21"/>
          <w:u w:val="single"/>
        </w:rPr>
      </w:pPr>
      <w:r>
        <w:rPr>
          <w:rFonts w:hint="eastAsia" w:ascii="宋体" w:hAnsi="宋体" w:cs="宋体"/>
          <w:bCs/>
          <w:color w:val="auto"/>
          <w:sz w:val="21"/>
          <w:szCs w:val="21"/>
          <w:lang w:val="en-US" w:eastAsia="zh-CN"/>
        </w:rPr>
        <w:t xml:space="preserve">   </w:t>
      </w:r>
      <w:r>
        <w:rPr>
          <w:rFonts w:hint="eastAsia" w:ascii="宋体" w:hAnsi="宋体" w:cs="宋体"/>
          <w:bCs/>
          <w:color w:val="auto"/>
          <w:sz w:val="21"/>
          <w:szCs w:val="21"/>
        </w:rPr>
        <w:t>2、如所投产品为进口的，须在表格中标明“</w:t>
      </w:r>
      <w:r>
        <w:rPr>
          <w:rFonts w:hint="eastAsia" w:ascii="宋体" w:hAnsi="宋体"/>
          <w:color w:val="auto"/>
          <w:sz w:val="21"/>
          <w:szCs w:val="21"/>
          <w:u w:val="single"/>
        </w:rPr>
        <w:t>有进口产品</w:t>
      </w:r>
      <w:r>
        <w:rPr>
          <w:rFonts w:hint="eastAsia" w:ascii="宋体" w:hAnsi="宋体" w:cs="宋体"/>
          <w:bCs/>
          <w:color w:val="auto"/>
          <w:sz w:val="21"/>
          <w:szCs w:val="21"/>
        </w:rPr>
        <w:t>”；无进口产品的，须在表格中填写“</w:t>
      </w:r>
      <w:r>
        <w:rPr>
          <w:rFonts w:hint="eastAsia" w:ascii="宋体" w:hAnsi="宋体"/>
          <w:color w:val="auto"/>
          <w:sz w:val="21"/>
          <w:szCs w:val="21"/>
          <w:u w:val="single"/>
        </w:rPr>
        <w:t>无进口产品</w:t>
      </w:r>
      <w:r>
        <w:rPr>
          <w:rFonts w:hint="eastAsia" w:ascii="宋体" w:hAnsi="宋体" w:cs="宋体"/>
          <w:bCs/>
          <w:color w:val="auto"/>
          <w:sz w:val="21"/>
          <w:szCs w:val="21"/>
        </w:rPr>
        <w:t>”。（说明：进口产品是指通过中国海关报关验放进入中国境内且产自关境外的产品。）</w:t>
      </w:r>
    </w:p>
    <w:p>
      <w:pPr>
        <w:keepNext w:val="0"/>
        <w:keepLines w:val="0"/>
        <w:pageBreakBefore w:val="0"/>
        <w:widowControl w:val="0"/>
        <w:kinsoku/>
        <w:wordWrap/>
        <w:overflowPunct/>
        <w:topLinePunct w:val="0"/>
        <w:autoSpaceDE/>
        <w:autoSpaceDN/>
        <w:bidi w:val="0"/>
        <w:adjustRightInd/>
        <w:snapToGrid/>
        <w:spacing w:after="0" w:line="160" w:lineRule="atLeast"/>
        <w:ind w:right="0" w:rightChars="0" w:firstLine="420" w:firstLineChars="200"/>
        <w:jc w:val="both"/>
        <w:textAlignment w:val="auto"/>
        <w:outlineLvl w:val="9"/>
        <w:rPr>
          <w:rFonts w:hint="eastAsia" w:ascii="宋体" w:hAnsi="宋体"/>
          <w:bCs/>
          <w:color w:val="auto"/>
          <w:sz w:val="28"/>
          <w:szCs w:val="28"/>
          <w:u w:val="single"/>
        </w:rPr>
      </w:pPr>
      <w:r>
        <w:rPr>
          <w:rFonts w:hint="eastAsia" w:ascii="宋体" w:hAnsi="宋体"/>
          <w:b/>
          <w:color w:val="auto"/>
          <w:sz w:val="28"/>
          <w:szCs w:val="28"/>
        </w:rPr>
        <w:t>投标总报价（人民币大写）：</w:t>
      </w:r>
      <w:r>
        <w:rPr>
          <w:rFonts w:hint="eastAsia" w:ascii="宋体" w:hAnsi="宋体"/>
          <w:bCs/>
          <w:color w:val="auto"/>
          <w:sz w:val="28"/>
          <w:szCs w:val="28"/>
          <w:u w:val="single"/>
        </w:rPr>
        <w:t>　　　　　　　　　　　　　　　　　</w:t>
      </w:r>
    </w:p>
    <w:p>
      <w:pPr>
        <w:keepNext w:val="0"/>
        <w:keepLines w:val="0"/>
        <w:pageBreakBefore w:val="0"/>
        <w:widowControl w:val="0"/>
        <w:kinsoku/>
        <w:wordWrap/>
        <w:overflowPunct/>
        <w:topLinePunct w:val="0"/>
        <w:autoSpaceDE/>
        <w:autoSpaceDN/>
        <w:bidi w:val="0"/>
        <w:adjustRightInd/>
        <w:snapToGrid/>
        <w:spacing w:after="0" w:line="160" w:lineRule="atLeast"/>
        <w:ind w:right="0" w:rightChars="0" w:firstLine="420" w:firstLineChars="200"/>
        <w:jc w:val="both"/>
        <w:textAlignment w:val="auto"/>
        <w:outlineLvl w:val="9"/>
        <w:rPr>
          <w:rFonts w:ascii="宋体" w:hAnsi="宋体"/>
          <w:bCs/>
          <w:color w:val="auto"/>
          <w:sz w:val="28"/>
          <w:szCs w:val="28"/>
        </w:rPr>
      </w:pPr>
      <w:r>
        <w:rPr>
          <w:rFonts w:hint="eastAsia" w:ascii="宋体" w:hAnsi="宋体"/>
          <w:bCs/>
          <w:color w:val="auto"/>
          <w:sz w:val="28"/>
          <w:szCs w:val="28"/>
        </w:rPr>
        <w:t>投标人名称：</w:t>
      </w:r>
      <w:r>
        <w:rPr>
          <w:rFonts w:hint="eastAsia" w:ascii="宋体" w:hAnsi="宋体"/>
          <w:bCs/>
          <w:color w:val="auto"/>
          <w:sz w:val="28"/>
          <w:szCs w:val="28"/>
          <w:u w:val="single"/>
        </w:rPr>
        <w:t>　　　　　　　　　　　　　　　　</w:t>
      </w:r>
      <w:r>
        <w:rPr>
          <w:rFonts w:hint="eastAsia" w:ascii="宋体" w:hAnsi="宋体"/>
          <w:bCs/>
          <w:color w:val="auto"/>
          <w:sz w:val="28"/>
          <w:szCs w:val="28"/>
        </w:rPr>
        <w:t>（加盖</w:t>
      </w:r>
      <w:r>
        <w:rPr>
          <w:rFonts w:hint="eastAsia" w:ascii="宋体" w:hAnsi="宋体"/>
          <w:bCs/>
          <w:color w:val="auto"/>
          <w:sz w:val="28"/>
          <w:szCs w:val="28"/>
          <w:lang w:eastAsia="zh-CN"/>
        </w:rPr>
        <w:t>电子章</w:t>
      </w:r>
      <w:r>
        <w:rPr>
          <w:rFonts w:hint="eastAsia" w:ascii="宋体" w:hAnsi="宋体"/>
          <w:bCs/>
          <w:color w:val="auto"/>
          <w:sz w:val="28"/>
          <w:szCs w:val="28"/>
        </w:rPr>
        <w:t>）</w:t>
      </w:r>
    </w:p>
    <w:p>
      <w:pPr>
        <w:pStyle w:val="27"/>
        <w:keepNext w:val="0"/>
        <w:keepLines w:val="0"/>
        <w:pageBreakBefore w:val="0"/>
        <w:widowControl w:val="0"/>
        <w:kinsoku/>
        <w:wordWrap/>
        <w:overflowPunct/>
        <w:topLinePunct w:val="0"/>
        <w:autoSpaceDE/>
        <w:autoSpaceDN/>
        <w:bidi w:val="0"/>
        <w:adjustRightInd/>
        <w:snapToGrid/>
        <w:spacing w:after="0" w:line="160" w:lineRule="atLeast"/>
        <w:ind w:right="0" w:rightChars="0"/>
        <w:jc w:val="both"/>
        <w:textAlignment w:val="auto"/>
        <w:outlineLvl w:val="9"/>
        <w:rPr>
          <w:rFonts w:hint="eastAsia" w:ascii="宋体" w:hAnsi="宋体"/>
          <w:bCs/>
          <w:color w:val="auto"/>
          <w:sz w:val="28"/>
          <w:szCs w:val="28"/>
        </w:rPr>
      </w:pPr>
      <w:r>
        <w:rPr>
          <w:rFonts w:hint="eastAsia" w:ascii="宋体" w:hAnsi="宋体"/>
          <w:bCs/>
          <w:color w:val="auto"/>
          <w:sz w:val="28"/>
          <w:szCs w:val="28"/>
          <w:lang w:val="en-US" w:eastAsia="zh-CN"/>
        </w:rPr>
        <w:t xml:space="preserve"> </w:t>
      </w:r>
      <w:r>
        <w:rPr>
          <w:rFonts w:hint="eastAsia" w:ascii="宋体" w:hAnsi="宋体"/>
          <w:bCs/>
          <w:color w:val="auto"/>
          <w:sz w:val="28"/>
          <w:szCs w:val="28"/>
        </w:rPr>
        <w:t>法定代表人或代理人：</w:t>
      </w:r>
      <w:r>
        <w:rPr>
          <w:rFonts w:hint="eastAsia" w:ascii="宋体" w:hAnsi="宋体"/>
          <w:bCs/>
          <w:color w:val="auto"/>
          <w:sz w:val="28"/>
          <w:szCs w:val="28"/>
          <w:u w:val="single"/>
        </w:rPr>
        <w:t>　　　　　　　　　　</w:t>
      </w:r>
      <w:r>
        <w:rPr>
          <w:rFonts w:hint="eastAsia" w:ascii="宋体" w:hAnsi="宋体"/>
          <w:bCs/>
          <w:color w:val="auto"/>
          <w:sz w:val="28"/>
          <w:szCs w:val="28"/>
        </w:rPr>
        <w:t>（签字）</w:t>
      </w:r>
    </w:p>
    <w:p>
      <w:pPr>
        <w:pStyle w:val="27"/>
        <w:keepNext w:val="0"/>
        <w:keepLines w:val="0"/>
        <w:pageBreakBefore w:val="0"/>
        <w:widowControl w:val="0"/>
        <w:kinsoku/>
        <w:wordWrap/>
        <w:overflowPunct/>
        <w:topLinePunct w:val="0"/>
        <w:autoSpaceDE/>
        <w:autoSpaceDN/>
        <w:bidi w:val="0"/>
        <w:adjustRightInd/>
        <w:snapToGrid/>
        <w:spacing w:after="0" w:line="160" w:lineRule="atLeast"/>
        <w:ind w:right="0" w:rightChars="0" w:firstLine="216" w:firstLineChars="103"/>
        <w:jc w:val="both"/>
        <w:textAlignment w:val="auto"/>
        <w:outlineLvl w:val="9"/>
        <w:rPr>
          <w:rFonts w:ascii="宋体" w:hAnsi="宋体"/>
          <w:bCs/>
          <w:color w:val="auto"/>
          <w:sz w:val="28"/>
          <w:szCs w:val="28"/>
        </w:rPr>
      </w:pPr>
      <w:r>
        <w:rPr>
          <w:rFonts w:ascii="宋体" w:hAnsi="宋体"/>
          <w:color w:val="auto"/>
          <w:sz w:val="28"/>
        </w:rPr>
        <w:t>日期：</w:t>
      </w:r>
      <w:r>
        <w:rPr>
          <w:rFonts w:hint="eastAsia" w:ascii="宋体" w:hAnsi="宋体"/>
          <w:bCs/>
          <w:color w:val="auto"/>
          <w:sz w:val="28"/>
          <w:szCs w:val="28"/>
          <w:u w:val="single"/>
        </w:rPr>
        <w:t>　　　　</w:t>
      </w:r>
      <w:r>
        <w:rPr>
          <w:rFonts w:ascii="宋体" w:hAnsi="宋体"/>
          <w:color w:val="auto"/>
          <w:sz w:val="28"/>
        </w:rPr>
        <w:t>年</w:t>
      </w:r>
      <w:r>
        <w:rPr>
          <w:rFonts w:hint="eastAsia" w:ascii="宋体" w:hAnsi="宋体"/>
          <w:bCs/>
          <w:color w:val="auto"/>
          <w:sz w:val="28"/>
          <w:szCs w:val="28"/>
          <w:u w:val="single"/>
        </w:rPr>
        <w:t xml:space="preserve">　　   </w:t>
      </w:r>
      <w:r>
        <w:rPr>
          <w:rFonts w:ascii="宋体" w:hAnsi="宋体"/>
          <w:color w:val="auto"/>
          <w:sz w:val="28"/>
        </w:rPr>
        <w:t>月</w:t>
      </w:r>
      <w:r>
        <w:rPr>
          <w:rFonts w:hint="eastAsia" w:ascii="宋体" w:hAnsi="宋体"/>
          <w:color w:val="auto"/>
          <w:sz w:val="28"/>
          <w:u w:val="single"/>
          <w:lang w:val="en-US" w:eastAsia="zh-CN"/>
        </w:rPr>
        <w:t xml:space="preserve">         </w:t>
      </w:r>
      <w:r>
        <w:rPr>
          <w:rFonts w:ascii="宋体" w:hAnsi="宋体"/>
          <w:color w:val="auto"/>
          <w:sz w:val="28"/>
        </w:rPr>
        <w:t>日</w:t>
      </w:r>
    </w:p>
    <w:p>
      <w:pPr>
        <w:pStyle w:val="2"/>
        <w:rPr>
          <w:rFonts w:hint="eastAsia" w:ascii="宋体" w:hAnsi="宋体"/>
          <w:b/>
          <w:bCs/>
          <w:color w:val="auto"/>
          <w:sz w:val="28"/>
          <w:szCs w:val="28"/>
          <w:lang w:eastAsia="zh-CN"/>
        </w:rPr>
      </w:pPr>
    </w:p>
    <w:p>
      <w:pPr>
        <w:tabs>
          <w:tab w:val="left" w:pos="1134"/>
        </w:tabs>
        <w:spacing w:line="560" w:lineRule="exact"/>
        <w:ind w:firstLine="427" w:firstLineChars="152"/>
        <w:rPr>
          <w:rFonts w:ascii="宋体" w:hAnsi="宋体"/>
          <w:b/>
          <w:bCs/>
          <w:color w:val="auto"/>
          <w:sz w:val="28"/>
        </w:rPr>
      </w:pPr>
      <w:r>
        <w:rPr>
          <w:rFonts w:hint="eastAsia" w:ascii="宋体" w:hAnsi="宋体"/>
          <w:b/>
          <w:color w:val="auto"/>
          <w:sz w:val="28"/>
          <w:szCs w:val="28"/>
        </w:rPr>
        <w:t>投标报价以投标人在政府采购云平台开标一览表中填写的报价为准。</w:t>
      </w:r>
    </w:p>
    <w:p>
      <w:pPr>
        <w:pStyle w:val="2"/>
        <w:rPr>
          <w:rFonts w:hint="eastAsia" w:ascii="宋体" w:hAnsi="宋体"/>
          <w:b/>
          <w:bCs/>
          <w:color w:val="auto"/>
          <w:sz w:val="28"/>
          <w:szCs w:val="28"/>
          <w:lang w:eastAsia="zh-CN"/>
        </w:rPr>
      </w:pPr>
    </w:p>
    <w:p>
      <w:pPr>
        <w:pStyle w:val="3"/>
        <w:rPr>
          <w:color w:val="auto"/>
        </w:rPr>
      </w:pPr>
    </w:p>
    <w:p>
      <w:pPr>
        <w:keepNext/>
        <w:keepLines/>
        <w:numPr>
          <w:ilvl w:val="2"/>
          <w:numId w:val="5"/>
        </w:numPr>
        <w:spacing w:line="360" w:lineRule="auto"/>
        <w:outlineLvl w:val="2"/>
        <w:rPr>
          <w:rFonts w:ascii="宋体" w:hAnsi="宋体"/>
          <w:b/>
          <w:bCs/>
          <w:color w:val="auto"/>
          <w:sz w:val="28"/>
          <w:szCs w:val="28"/>
        </w:rPr>
      </w:pPr>
      <w:r>
        <w:rPr>
          <w:rFonts w:hint="eastAsia" w:ascii="宋体" w:hAnsi="宋体"/>
          <w:b/>
          <w:bCs/>
          <w:color w:val="auto"/>
          <w:sz w:val="28"/>
          <w:szCs w:val="28"/>
        </w:rPr>
        <w:t>分项报价明细表</w:t>
      </w:r>
    </w:p>
    <w:p>
      <w:pPr>
        <w:snapToGrid w:val="0"/>
        <w:spacing w:line="440" w:lineRule="exact"/>
        <w:ind w:right="84" w:rightChars="40"/>
        <w:rPr>
          <w:rFonts w:ascii="宋体" w:hAnsi="宋体"/>
          <w:b/>
          <w:color w:val="auto"/>
          <w:sz w:val="28"/>
        </w:rPr>
      </w:pPr>
      <w:r>
        <w:rPr>
          <w:rFonts w:hint="eastAsia" w:ascii="宋体" w:hAnsi="宋体"/>
          <w:b/>
          <w:color w:val="auto"/>
          <w:sz w:val="28"/>
        </w:rPr>
        <w:t>项目名称：</w:t>
      </w:r>
      <w:r>
        <w:rPr>
          <w:rFonts w:hint="eastAsia" w:ascii="宋体" w:hAnsi="宋体"/>
          <w:b/>
          <w:color w:val="auto"/>
          <w:sz w:val="28"/>
          <w:szCs w:val="28"/>
          <w:u w:val="single"/>
          <w:lang w:eastAsia="zh-CN"/>
        </w:rPr>
        <w:t>成都市锦江区殡葬服务中心悼念厅观光电梯及安装（二次）采购项目</w:t>
      </w:r>
    </w:p>
    <w:p>
      <w:pPr>
        <w:tabs>
          <w:tab w:val="left" w:pos="7560"/>
        </w:tabs>
        <w:spacing w:after="180" w:line="440" w:lineRule="exact"/>
        <w:rPr>
          <w:rFonts w:ascii="宋体" w:hAnsi="宋体"/>
          <w:b/>
          <w:color w:val="auto"/>
          <w:sz w:val="28"/>
          <w:szCs w:val="20"/>
        </w:rPr>
      </w:pPr>
      <w:r>
        <w:rPr>
          <w:rFonts w:hint="eastAsia" w:ascii="宋体" w:hAnsi="宋体"/>
          <w:b/>
          <w:color w:val="auto"/>
          <w:sz w:val="28"/>
          <w:szCs w:val="20"/>
        </w:rPr>
        <w:t>项目编号：</w:t>
      </w:r>
      <w:r>
        <w:rPr>
          <w:rFonts w:hint="eastAsia" w:ascii="宋体" w:hAnsi="宋体"/>
          <w:b/>
          <w:color w:val="auto"/>
          <w:sz w:val="28"/>
          <w:szCs w:val="28"/>
          <w:u w:val="single"/>
          <w:lang w:eastAsia="zh-CN"/>
        </w:rPr>
        <w:t>锦江政采（2021）A0013号</w:t>
      </w:r>
    </w:p>
    <w:p>
      <w:pPr>
        <w:numPr>
          <w:ilvl w:val="0"/>
          <w:numId w:val="40"/>
        </w:numPr>
        <w:tabs>
          <w:tab w:val="left" w:pos="630"/>
          <w:tab w:val="left" w:pos="7560"/>
        </w:tabs>
        <w:spacing w:after="200" w:line="360" w:lineRule="auto"/>
        <w:ind w:left="0" w:firstLine="0"/>
        <w:rPr>
          <w:rFonts w:ascii="宋体" w:hAnsi="宋体"/>
          <w:b/>
          <w:color w:val="auto"/>
          <w:sz w:val="28"/>
        </w:rPr>
      </w:pPr>
      <w:r>
        <w:rPr>
          <w:rFonts w:hint="eastAsia" w:ascii="宋体" w:hAnsi="宋体"/>
          <w:b/>
          <w:color w:val="auto"/>
          <w:sz w:val="28"/>
        </w:rPr>
        <w:t>分项报价明细表（说明：投标人应根据其投标报价的构成提供详细的分项价格明细表。）</w:t>
      </w:r>
    </w:p>
    <w:tbl>
      <w:tblPr>
        <w:tblStyle w:val="47"/>
        <w:tblW w:w="91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4"/>
        <w:gridCol w:w="2039"/>
        <w:gridCol w:w="727"/>
        <w:gridCol w:w="728"/>
        <w:gridCol w:w="874"/>
        <w:gridCol w:w="873"/>
        <w:gridCol w:w="728"/>
        <w:gridCol w:w="1164"/>
        <w:gridCol w:w="13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4" w:type="dxa"/>
            <w:tcBorders>
              <w:top w:val="single" w:color="auto" w:sz="2" w:space="0"/>
              <w:left w:val="single" w:color="auto" w:sz="2" w:space="0"/>
              <w:bottom w:val="single" w:color="auto" w:sz="2" w:space="0"/>
              <w:right w:val="single" w:color="auto" w:sz="2" w:space="0"/>
            </w:tcBorders>
            <w:vAlign w:val="center"/>
          </w:tcPr>
          <w:p>
            <w:pPr>
              <w:pStyle w:val="27"/>
              <w:ind w:left="0" w:leftChars="0"/>
              <w:jc w:val="center"/>
              <w:rPr>
                <w:rFonts w:ascii="宋体" w:hAnsi="宋体"/>
                <w:b/>
                <w:bCs/>
                <w:color w:val="auto"/>
                <w:szCs w:val="21"/>
              </w:rPr>
            </w:pPr>
            <w:r>
              <w:rPr>
                <w:rFonts w:ascii="宋体" w:hAnsi="宋体"/>
                <w:b/>
                <w:bCs/>
                <w:color w:val="auto"/>
                <w:szCs w:val="21"/>
              </w:rPr>
              <w:t>序号</w:t>
            </w:r>
          </w:p>
        </w:tc>
        <w:tc>
          <w:tcPr>
            <w:tcW w:w="2039" w:type="dxa"/>
            <w:tcBorders>
              <w:top w:val="single" w:color="auto" w:sz="2" w:space="0"/>
              <w:left w:val="single" w:color="auto" w:sz="2" w:space="0"/>
              <w:bottom w:val="single" w:color="auto" w:sz="2" w:space="0"/>
              <w:right w:val="single" w:color="auto" w:sz="2" w:space="0"/>
            </w:tcBorders>
            <w:vAlign w:val="center"/>
          </w:tcPr>
          <w:p>
            <w:pPr>
              <w:pStyle w:val="27"/>
              <w:ind w:left="0" w:leftChars="0"/>
              <w:jc w:val="center"/>
              <w:rPr>
                <w:rFonts w:ascii="宋体" w:hAnsi="宋体"/>
                <w:b/>
                <w:bCs/>
                <w:color w:val="auto"/>
                <w:szCs w:val="21"/>
              </w:rPr>
            </w:pPr>
            <w:r>
              <w:rPr>
                <w:rFonts w:ascii="宋体" w:hAnsi="宋体"/>
                <w:b/>
                <w:bCs/>
                <w:color w:val="auto"/>
                <w:szCs w:val="21"/>
              </w:rPr>
              <w:t>货物名称</w:t>
            </w:r>
          </w:p>
        </w:tc>
        <w:tc>
          <w:tcPr>
            <w:tcW w:w="727" w:type="dxa"/>
            <w:tcBorders>
              <w:top w:val="single" w:color="auto" w:sz="2" w:space="0"/>
              <w:left w:val="single" w:color="auto" w:sz="2" w:space="0"/>
              <w:bottom w:val="single" w:color="auto" w:sz="2" w:space="0"/>
              <w:right w:val="single" w:color="auto" w:sz="2" w:space="0"/>
            </w:tcBorders>
            <w:vAlign w:val="center"/>
          </w:tcPr>
          <w:p>
            <w:pPr>
              <w:pStyle w:val="27"/>
              <w:ind w:left="0" w:leftChars="0"/>
              <w:jc w:val="center"/>
              <w:rPr>
                <w:rFonts w:ascii="宋体" w:hAnsi="宋体"/>
                <w:b/>
                <w:bCs/>
                <w:color w:val="auto"/>
                <w:szCs w:val="21"/>
              </w:rPr>
            </w:pPr>
            <w:r>
              <w:rPr>
                <w:rFonts w:ascii="宋体" w:hAnsi="宋体"/>
                <w:b/>
                <w:bCs/>
                <w:color w:val="auto"/>
                <w:szCs w:val="21"/>
              </w:rPr>
              <w:t>品牌</w:t>
            </w:r>
          </w:p>
        </w:tc>
        <w:tc>
          <w:tcPr>
            <w:tcW w:w="728" w:type="dxa"/>
            <w:tcBorders>
              <w:top w:val="single" w:color="auto" w:sz="2" w:space="0"/>
              <w:left w:val="single" w:color="auto" w:sz="2" w:space="0"/>
              <w:bottom w:val="single" w:color="auto" w:sz="2" w:space="0"/>
              <w:right w:val="single" w:color="auto" w:sz="2" w:space="0"/>
            </w:tcBorders>
            <w:vAlign w:val="center"/>
          </w:tcPr>
          <w:p>
            <w:pPr>
              <w:pStyle w:val="27"/>
              <w:ind w:left="0" w:leftChars="0"/>
              <w:jc w:val="center"/>
              <w:rPr>
                <w:rFonts w:ascii="宋体" w:hAnsi="宋体"/>
                <w:b/>
                <w:bCs/>
                <w:color w:val="auto"/>
                <w:szCs w:val="21"/>
              </w:rPr>
            </w:pPr>
            <w:r>
              <w:rPr>
                <w:rFonts w:ascii="宋体" w:hAnsi="宋体"/>
                <w:b/>
                <w:bCs/>
                <w:color w:val="auto"/>
                <w:szCs w:val="21"/>
              </w:rPr>
              <w:t>规格型号</w:t>
            </w:r>
          </w:p>
        </w:tc>
        <w:tc>
          <w:tcPr>
            <w:tcW w:w="874" w:type="dxa"/>
            <w:tcBorders>
              <w:top w:val="single" w:color="auto" w:sz="2" w:space="0"/>
              <w:left w:val="single" w:color="auto" w:sz="2" w:space="0"/>
              <w:bottom w:val="single" w:color="auto" w:sz="2" w:space="0"/>
              <w:right w:val="single" w:color="auto" w:sz="2" w:space="0"/>
            </w:tcBorders>
            <w:vAlign w:val="center"/>
          </w:tcPr>
          <w:p>
            <w:pPr>
              <w:pStyle w:val="27"/>
              <w:ind w:left="0" w:leftChars="0"/>
              <w:jc w:val="center"/>
              <w:rPr>
                <w:rFonts w:ascii="宋体" w:hAnsi="宋体"/>
                <w:b/>
                <w:bCs/>
                <w:color w:val="auto"/>
                <w:szCs w:val="21"/>
              </w:rPr>
            </w:pPr>
            <w:r>
              <w:rPr>
                <w:rFonts w:ascii="宋体" w:hAnsi="宋体"/>
                <w:b/>
                <w:bCs/>
                <w:color w:val="auto"/>
                <w:szCs w:val="21"/>
              </w:rPr>
              <w:t>制造商</w:t>
            </w:r>
          </w:p>
        </w:tc>
        <w:tc>
          <w:tcPr>
            <w:tcW w:w="873" w:type="dxa"/>
            <w:tcBorders>
              <w:top w:val="single" w:color="auto" w:sz="2" w:space="0"/>
              <w:left w:val="single" w:color="auto" w:sz="2" w:space="0"/>
              <w:bottom w:val="single" w:color="auto" w:sz="2" w:space="0"/>
              <w:right w:val="single" w:color="auto" w:sz="2" w:space="0"/>
            </w:tcBorders>
            <w:vAlign w:val="center"/>
          </w:tcPr>
          <w:p>
            <w:pPr>
              <w:pStyle w:val="27"/>
              <w:ind w:left="0" w:leftChars="0"/>
              <w:jc w:val="center"/>
              <w:rPr>
                <w:rFonts w:ascii="宋体" w:hAnsi="宋体"/>
                <w:b/>
                <w:bCs/>
                <w:color w:val="auto"/>
                <w:szCs w:val="21"/>
              </w:rPr>
            </w:pPr>
            <w:r>
              <w:rPr>
                <w:rFonts w:ascii="宋体" w:hAnsi="宋体"/>
                <w:b/>
                <w:bCs/>
                <w:color w:val="auto"/>
                <w:szCs w:val="21"/>
              </w:rPr>
              <w:t>进口或国产</w:t>
            </w:r>
          </w:p>
        </w:tc>
        <w:tc>
          <w:tcPr>
            <w:tcW w:w="728" w:type="dxa"/>
            <w:tcBorders>
              <w:top w:val="single" w:color="auto" w:sz="2" w:space="0"/>
              <w:left w:val="single" w:color="auto" w:sz="2" w:space="0"/>
              <w:bottom w:val="single" w:color="auto" w:sz="2" w:space="0"/>
              <w:right w:val="single" w:color="auto" w:sz="2" w:space="0"/>
            </w:tcBorders>
            <w:vAlign w:val="center"/>
          </w:tcPr>
          <w:p>
            <w:pPr>
              <w:pStyle w:val="27"/>
              <w:ind w:left="0" w:leftChars="0"/>
              <w:jc w:val="center"/>
              <w:rPr>
                <w:rFonts w:ascii="宋体" w:hAnsi="宋体"/>
                <w:b/>
                <w:bCs/>
                <w:color w:val="auto"/>
                <w:szCs w:val="21"/>
              </w:rPr>
            </w:pPr>
            <w:r>
              <w:rPr>
                <w:rFonts w:ascii="宋体" w:hAnsi="宋体"/>
                <w:b/>
                <w:bCs/>
                <w:color w:val="auto"/>
                <w:szCs w:val="21"/>
              </w:rPr>
              <w:t>数量</w:t>
            </w:r>
          </w:p>
        </w:tc>
        <w:tc>
          <w:tcPr>
            <w:tcW w:w="1164" w:type="dxa"/>
            <w:tcBorders>
              <w:top w:val="single" w:color="auto" w:sz="2" w:space="0"/>
              <w:left w:val="single" w:color="auto" w:sz="2" w:space="0"/>
              <w:bottom w:val="single" w:color="auto" w:sz="2" w:space="0"/>
              <w:right w:val="single" w:color="auto" w:sz="2" w:space="0"/>
            </w:tcBorders>
            <w:vAlign w:val="center"/>
          </w:tcPr>
          <w:p>
            <w:pPr>
              <w:pStyle w:val="27"/>
              <w:ind w:left="0" w:leftChars="0"/>
              <w:jc w:val="center"/>
              <w:rPr>
                <w:rFonts w:ascii="宋体" w:hAnsi="宋体"/>
                <w:b/>
                <w:bCs/>
                <w:color w:val="auto"/>
                <w:szCs w:val="21"/>
              </w:rPr>
            </w:pPr>
            <w:r>
              <w:rPr>
                <w:rFonts w:ascii="宋体" w:hAnsi="宋体"/>
                <w:b/>
                <w:bCs/>
                <w:color w:val="auto"/>
                <w:szCs w:val="21"/>
              </w:rPr>
              <w:t>单价</w:t>
            </w:r>
          </w:p>
        </w:tc>
        <w:tc>
          <w:tcPr>
            <w:tcW w:w="1309" w:type="dxa"/>
            <w:tcBorders>
              <w:top w:val="single" w:color="auto" w:sz="2" w:space="0"/>
              <w:left w:val="single" w:color="auto" w:sz="2" w:space="0"/>
              <w:bottom w:val="single" w:color="auto" w:sz="2" w:space="0"/>
              <w:right w:val="single" w:color="auto" w:sz="2" w:space="0"/>
            </w:tcBorders>
            <w:vAlign w:val="center"/>
          </w:tcPr>
          <w:p>
            <w:pPr>
              <w:pStyle w:val="27"/>
              <w:ind w:left="0" w:leftChars="0"/>
              <w:jc w:val="center"/>
              <w:rPr>
                <w:rFonts w:ascii="宋体" w:hAnsi="宋体"/>
                <w:bCs/>
                <w:color w:val="auto"/>
                <w:szCs w:val="21"/>
              </w:rPr>
            </w:pPr>
            <w:r>
              <w:rPr>
                <w:rFonts w:ascii="宋体" w:hAnsi="宋体"/>
                <w:b/>
                <w:bCs/>
                <w:color w:val="auto"/>
                <w:szCs w:val="21"/>
              </w:rPr>
              <w:t>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4" w:type="dxa"/>
            <w:tcBorders>
              <w:top w:val="single" w:color="auto" w:sz="2" w:space="0"/>
              <w:left w:val="single" w:color="auto" w:sz="2" w:space="0"/>
              <w:bottom w:val="single" w:color="auto" w:sz="2" w:space="0"/>
              <w:right w:val="single" w:color="auto" w:sz="2" w:space="0"/>
            </w:tcBorders>
            <w:vAlign w:val="center"/>
          </w:tcPr>
          <w:p>
            <w:pPr>
              <w:pStyle w:val="27"/>
              <w:ind w:left="0" w:leftChars="0"/>
              <w:jc w:val="center"/>
              <w:rPr>
                <w:rFonts w:ascii="宋体" w:hAnsi="宋体"/>
                <w:bCs/>
                <w:color w:val="auto"/>
                <w:sz w:val="24"/>
                <w:szCs w:val="28"/>
              </w:rPr>
            </w:pPr>
            <w:r>
              <w:rPr>
                <w:rFonts w:ascii="宋体" w:hAnsi="宋体"/>
                <w:bCs/>
                <w:color w:val="auto"/>
                <w:sz w:val="24"/>
                <w:szCs w:val="28"/>
              </w:rPr>
              <w:t>1</w:t>
            </w:r>
          </w:p>
        </w:tc>
        <w:tc>
          <w:tcPr>
            <w:tcW w:w="2039" w:type="dxa"/>
            <w:tcBorders>
              <w:top w:val="single" w:color="auto" w:sz="2" w:space="0"/>
              <w:left w:val="single" w:color="auto" w:sz="2" w:space="0"/>
              <w:bottom w:val="single" w:color="auto" w:sz="2" w:space="0"/>
              <w:right w:val="single" w:color="auto" w:sz="2" w:space="0"/>
            </w:tcBorders>
          </w:tcPr>
          <w:p>
            <w:pPr>
              <w:pStyle w:val="27"/>
              <w:ind w:left="0" w:leftChars="0"/>
              <w:rPr>
                <w:rFonts w:ascii="宋体" w:hAnsi="宋体"/>
                <w:bCs/>
                <w:color w:val="auto"/>
                <w:sz w:val="24"/>
                <w:szCs w:val="28"/>
              </w:rPr>
            </w:pPr>
          </w:p>
        </w:tc>
        <w:tc>
          <w:tcPr>
            <w:tcW w:w="727" w:type="dxa"/>
            <w:tcBorders>
              <w:top w:val="single" w:color="auto" w:sz="2" w:space="0"/>
              <w:left w:val="single" w:color="auto" w:sz="2" w:space="0"/>
              <w:bottom w:val="single" w:color="auto" w:sz="2" w:space="0"/>
              <w:right w:val="single" w:color="auto" w:sz="2" w:space="0"/>
            </w:tcBorders>
            <w:vAlign w:val="center"/>
          </w:tcPr>
          <w:p>
            <w:pPr>
              <w:pStyle w:val="27"/>
              <w:ind w:left="0" w:leftChars="0"/>
              <w:rPr>
                <w:rFonts w:ascii="宋体" w:hAnsi="宋体"/>
                <w:bCs/>
                <w:color w:val="auto"/>
                <w:sz w:val="24"/>
                <w:szCs w:val="28"/>
              </w:rPr>
            </w:pPr>
          </w:p>
        </w:tc>
        <w:tc>
          <w:tcPr>
            <w:tcW w:w="728" w:type="dxa"/>
            <w:tcBorders>
              <w:top w:val="single" w:color="auto" w:sz="2" w:space="0"/>
              <w:left w:val="single" w:color="auto" w:sz="2" w:space="0"/>
              <w:bottom w:val="single" w:color="auto" w:sz="2" w:space="0"/>
              <w:right w:val="single" w:color="auto" w:sz="2" w:space="0"/>
            </w:tcBorders>
            <w:vAlign w:val="center"/>
          </w:tcPr>
          <w:p>
            <w:pPr>
              <w:pStyle w:val="27"/>
              <w:ind w:left="0" w:leftChars="0"/>
              <w:rPr>
                <w:rFonts w:ascii="宋体" w:hAnsi="宋体"/>
                <w:bCs/>
                <w:color w:val="auto"/>
                <w:sz w:val="24"/>
                <w:szCs w:val="28"/>
              </w:rPr>
            </w:pPr>
          </w:p>
        </w:tc>
        <w:tc>
          <w:tcPr>
            <w:tcW w:w="874" w:type="dxa"/>
            <w:tcBorders>
              <w:top w:val="single" w:color="auto" w:sz="2" w:space="0"/>
              <w:left w:val="single" w:color="auto" w:sz="2" w:space="0"/>
              <w:bottom w:val="single" w:color="auto" w:sz="2" w:space="0"/>
              <w:right w:val="single" w:color="auto" w:sz="2" w:space="0"/>
            </w:tcBorders>
            <w:vAlign w:val="center"/>
          </w:tcPr>
          <w:p>
            <w:pPr>
              <w:pStyle w:val="27"/>
              <w:ind w:left="0" w:leftChars="0"/>
              <w:rPr>
                <w:rFonts w:ascii="宋体" w:hAnsi="宋体"/>
                <w:bCs/>
                <w:color w:val="auto"/>
                <w:sz w:val="24"/>
                <w:szCs w:val="28"/>
              </w:rPr>
            </w:pPr>
          </w:p>
        </w:tc>
        <w:tc>
          <w:tcPr>
            <w:tcW w:w="873" w:type="dxa"/>
            <w:tcBorders>
              <w:top w:val="single" w:color="auto" w:sz="2" w:space="0"/>
              <w:left w:val="single" w:color="auto" w:sz="2" w:space="0"/>
              <w:bottom w:val="single" w:color="auto" w:sz="2" w:space="0"/>
              <w:right w:val="single" w:color="auto" w:sz="2" w:space="0"/>
            </w:tcBorders>
            <w:vAlign w:val="center"/>
          </w:tcPr>
          <w:p>
            <w:pPr>
              <w:pStyle w:val="27"/>
              <w:ind w:left="0" w:leftChars="0"/>
              <w:rPr>
                <w:rFonts w:ascii="宋体" w:hAnsi="宋体"/>
                <w:bCs/>
                <w:color w:val="auto"/>
                <w:sz w:val="24"/>
                <w:szCs w:val="28"/>
              </w:rPr>
            </w:pPr>
          </w:p>
        </w:tc>
        <w:tc>
          <w:tcPr>
            <w:tcW w:w="728" w:type="dxa"/>
            <w:tcBorders>
              <w:top w:val="single" w:color="auto" w:sz="2" w:space="0"/>
              <w:left w:val="single" w:color="auto" w:sz="2" w:space="0"/>
              <w:bottom w:val="single" w:color="auto" w:sz="2" w:space="0"/>
              <w:right w:val="single" w:color="auto" w:sz="2" w:space="0"/>
            </w:tcBorders>
            <w:vAlign w:val="center"/>
          </w:tcPr>
          <w:p>
            <w:pPr>
              <w:pStyle w:val="27"/>
              <w:ind w:left="0" w:leftChars="0"/>
              <w:jc w:val="center"/>
              <w:rPr>
                <w:rFonts w:ascii="宋体" w:hAnsi="宋体"/>
                <w:bCs/>
                <w:color w:val="auto"/>
                <w:sz w:val="24"/>
                <w:szCs w:val="28"/>
              </w:rPr>
            </w:pPr>
          </w:p>
        </w:tc>
        <w:tc>
          <w:tcPr>
            <w:tcW w:w="1164" w:type="dxa"/>
            <w:tcBorders>
              <w:top w:val="single" w:color="auto" w:sz="2" w:space="0"/>
              <w:left w:val="single" w:color="auto" w:sz="2" w:space="0"/>
              <w:bottom w:val="single" w:color="auto" w:sz="2" w:space="0"/>
              <w:right w:val="single" w:color="auto" w:sz="2" w:space="0"/>
            </w:tcBorders>
            <w:vAlign w:val="center"/>
          </w:tcPr>
          <w:p>
            <w:pPr>
              <w:pStyle w:val="27"/>
              <w:ind w:left="0" w:leftChars="0"/>
              <w:jc w:val="center"/>
              <w:rPr>
                <w:rFonts w:ascii="宋体" w:hAnsi="宋体"/>
                <w:bCs/>
                <w:color w:val="auto"/>
                <w:sz w:val="24"/>
                <w:szCs w:val="28"/>
                <w:u w:val="single"/>
              </w:rPr>
            </w:pPr>
          </w:p>
        </w:tc>
        <w:tc>
          <w:tcPr>
            <w:tcW w:w="1309" w:type="dxa"/>
            <w:tcBorders>
              <w:top w:val="single" w:color="auto" w:sz="2" w:space="0"/>
              <w:left w:val="single" w:color="auto" w:sz="2" w:space="0"/>
              <w:bottom w:val="single" w:color="auto" w:sz="2" w:space="0"/>
              <w:right w:val="single" w:color="auto" w:sz="2" w:space="0"/>
            </w:tcBorders>
            <w:vAlign w:val="center"/>
          </w:tcPr>
          <w:p>
            <w:pPr>
              <w:pStyle w:val="27"/>
              <w:ind w:left="0" w:leftChars="0"/>
              <w:jc w:val="center"/>
              <w:rPr>
                <w:rFonts w:ascii="宋体" w:hAnsi="宋体"/>
                <w:bCs/>
                <w:color w:val="auto"/>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4" w:type="dxa"/>
            <w:tcBorders>
              <w:top w:val="single" w:color="auto" w:sz="2" w:space="0"/>
              <w:left w:val="single" w:color="auto" w:sz="2" w:space="0"/>
              <w:bottom w:val="single" w:color="auto" w:sz="2" w:space="0"/>
              <w:right w:val="single" w:color="auto" w:sz="2" w:space="0"/>
            </w:tcBorders>
            <w:vAlign w:val="center"/>
          </w:tcPr>
          <w:p>
            <w:pPr>
              <w:pStyle w:val="27"/>
              <w:ind w:left="0" w:leftChars="0"/>
              <w:jc w:val="center"/>
              <w:rPr>
                <w:rFonts w:ascii="宋体" w:hAnsi="宋体"/>
                <w:bCs/>
                <w:color w:val="auto"/>
                <w:sz w:val="24"/>
                <w:szCs w:val="28"/>
              </w:rPr>
            </w:pPr>
            <w:r>
              <w:rPr>
                <w:rFonts w:ascii="宋体" w:hAnsi="宋体"/>
                <w:bCs/>
                <w:color w:val="auto"/>
                <w:sz w:val="24"/>
                <w:szCs w:val="28"/>
              </w:rPr>
              <w:t>2</w:t>
            </w:r>
          </w:p>
        </w:tc>
        <w:tc>
          <w:tcPr>
            <w:tcW w:w="2039" w:type="dxa"/>
            <w:tcBorders>
              <w:top w:val="single" w:color="auto" w:sz="2" w:space="0"/>
              <w:left w:val="single" w:color="auto" w:sz="2" w:space="0"/>
              <w:bottom w:val="single" w:color="auto" w:sz="2" w:space="0"/>
              <w:right w:val="single" w:color="auto" w:sz="2" w:space="0"/>
            </w:tcBorders>
          </w:tcPr>
          <w:p>
            <w:pPr>
              <w:pStyle w:val="27"/>
              <w:ind w:left="0" w:leftChars="0"/>
              <w:rPr>
                <w:rFonts w:ascii="宋体" w:hAnsi="宋体"/>
                <w:bCs/>
                <w:color w:val="auto"/>
                <w:sz w:val="24"/>
                <w:szCs w:val="28"/>
              </w:rPr>
            </w:pPr>
          </w:p>
        </w:tc>
        <w:tc>
          <w:tcPr>
            <w:tcW w:w="727" w:type="dxa"/>
            <w:tcBorders>
              <w:top w:val="single" w:color="auto" w:sz="2" w:space="0"/>
              <w:left w:val="single" w:color="auto" w:sz="2" w:space="0"/>
              <w:bottom w:val="single" w:color="auto" w:sz="2" w:space="0"/>
              <w:right w:val="single" w:color="auto" w:sz="2" w:space="0"/>
            </w:tcBorders>
            <w:vAlign w:val="center"/>
          </w:tcPr>
          <w:p>
            <w:pPr>
              <w:pStyle w:val="27"/>
              <w:ind w:left="0" w:leftChars="0"/>
              <w:rPr>
                <w:rFonts w:ascii="宋体" w:hAnsi="宋体"/>
                <w:bCs/>
                <w:color w:val="auto"/>
                <w:sz w:val="24"/>
                <w:szCs w:val="28"/>
              </w:rPr>
            </w:pPr>
          </w:p>
        </w:tc>
        <w:tc>
          <w:tcPr>
            <w:tcW w:w="728" w:type="dxa"/>
            <w:tcBorders>
              <w:top w:val="single" w:color="auto" w:sz="2" w:space="0"/>
              <w:left w:val="single" w:color="auto" w:sz="2" w:space="0"/>
              <w:bottom w:val="single" w:color="auto" w:sz="2" w:space="0"/>
              <w:right w:val="single" w:color="auto" w:sz="2" w:space="0"/>
            </w:tcBorders>
            <w:vAlign w:val="center"/>
          </w:tcPr>
          <w:p>
            <w:pPr>
              <w:pStyle w:val="27"/>
              <w:ind w:left="0" w:leftChars="0"/>
              <w:rPr>
                <w:rFonts w:ascii="宋体" w:hAnsi="宋体"/>
                <w:bCs/>
                <w:color w:val="auto"/>
                <w:sz w:val="24"/>
                <w:szCs w:val="28"/>
              </w:rPr>
            </w:pPr>
          </w:p>
        </w:tc>
        <w:tc>
          <w:tcPr>
            <w:tcW w:w="874" w:type="dxa"/>
            <w:tcBorders>
              <w:top w:val="single" w:color="auto" w:sz="2" w:space="0"/>
              <w:left w:val="single" w:color="auto" w:sz="2" w:space="0"/>
              <w:bottom w:val="single" w:color="auto" w:sz="2" w:space="0"/>
              <w:right w:val="single" w:color="auto" w:sz="2" w:space="0"/>
            </w:tcBorders>
            <w:vAlign w:val="center"/>
          </w:tcPr>
          <w:p>
            <w:pPr>
              <w:pStyle w:val="27"/>
              <w:ind w:left="0" w:leftChars="0"/>
              <w:rPr>
                <w:rFonts w:ascii="宋体" w:hAnsi="宋体"/>
                <w:bCs/>
                <w:color w:val="auto"/>
                <w:sz w:val="24"/>
                <w:szCs w:val="28"/>
              </w:rPr>
            </w:pPr>
          </w:p>
        </w:tc>
        <w:tc>
          <w:tcPr>
            <w:tcW w:w="873" w:type="dxa"/>
            <w:tcBorders>
              <w:top w:val="single" w:color="auto" w:sz="2" w:space="0"/>
              <w:left w:val="single" w:color="auto" w:sz="2" w:space="0"/>
              <w:bottom w:val="single" w:color="auto" w:sz="2" w:space="0"/>
              <w:right w:val="single" w:color="auto" w:sz="2" w:space="0"/>
            </w:tcBorders>
            <w:vAlign w:val="center"/>
          </w:tcPr>
          <w:p>
            <w:pPr>
              <w:pStyle w:val="27"/>
              <w:ind w:left="0" w:leftChars="0"/>
              <w:rPr>
                <w:rFonts w:ascii="宋体" w:hAnsi="宋体"/>
                <w:bCs/>
                <w:color w:val="auto"/>
                <w:sz w:val="24"/>
                <w:szCs w:val="28"/>
              </w:rPr>
            </w:pPr>
          </w:p>
        </w:tc>
        <w:tc>
          <w:tcPr>
            <w:tcW w:w="728" w:type="dxa"/>
            <w:tcBorders>
              <w:top w:val="single" w:color="auto" w:sz="2" w:space="0"/>
              <w:left w:val="single" w:color="auto" w:sz="2" w:space="0"/>
              <w:bottom w:val="single" w:color="auto" w:sz="2" w:space="0"/>
              <w:right w:val="single" w:color="auto" w:sz="2" w:space="0"/>
            </w:tcBorders>
            <w:vAlign w:val="center"/>
          </w:tcPr>
          <w:p>
            <w:pPr>
              <w:pStyle w:val="27"/>
              <w:ind w:left="0" w:leftChars="0"/>
              <w:jc w:val="center"/>
              <w:rPr>
                <w:rFonts w:ascii="宋体" w:hAnsi="宋体"/>
                <w:bCs/>
                <w:color w:val="auto"/>
                <w:sz w:val="24"/>
                <w:szCs w:val="28"/>
              </w:rPr>
            </w:pPr>
          </w:p>
        </w:tc>
        <w:tc>
          <w:tcPr>
            <w:tcW w:w="1164" w:type="dxa"/>
            <w:tcBorders>
              <w:top w:val="single" w:color="auto" w:sz="2" w:space="0"/>
              <w:left w:val="single" w:color="auto" w:sz="2" w:space="0"/>
              <w:bottom w:val="single" w:color="auto" w:sz="2" w:space="0"/>
              <w:right w:val="single" w:color="auto" w:sz="2" w:space="0"/>
            </w:tcBorders>
            <w:vAlign w:val="center"/>
          </w:tcPr>
          <w:p>
            <w:pPr>
              <w:pStyle w:val="27"/>
              <w:ind w:left="0" w:leftChars="0"/>
              <w:jc w:val="center"/>
              <w:rPr>
                <w:rFonts w:ascii="宋体" w:hAnsi="宋体"/>
                <w:bCs/>
                <w:color w:val="auto"/>
                <w:sz w:val="24"/>
                <w:szCs w:val="28"/>
              </w:rPr>
            </w:pPr>
          </w:p>
        </w:tc>
        <w:tc>
          <w:tcPr>
            <w:tcW w:w="1309" w:type="dxa"/>
            <w:tcBorders>
              <w:top w:val="single" w:color="auto" w:sz="2" w:space="0"/>
              <w:left w:val="single" w:color="auto" w:sz="2" w:space="0"/>
              <w:bottom w:val="single" w:color="auto" w:sz="2" w:space="0"/>
              <w:right w:val="single" w:color="auto" w:sz="2" w:space="0"/>
            </w:tcBorders>
            <w:vAlign w:val="center"/>
          </w:tcPr>
          <w:p>
            <w:pPr>
              <w:pStyle w:val="27"/>
              <w:ind w:left="0" w:leftChars="0"/>
              <w:jc w:val="center"/>
              <w:rPr>
                <w:rFonts w:ascii="宋体" w:hAnsi="宋体"/>
                <w:bCs/>
                <w:color w:val="auto"/>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4" w:type="dxa"/>
            <w:tcBorders>
              <w:top w:val="single" w:color="auto" w:sz="2" w:space="0"/>
              <w:left w:val="single" w:color="auto" w:sz="2" w:space="0"/>
              <w:bottom w:val="single" w:color="auto" w:sz="2" w:space="0"/>
              <w:right w:val="single" w:color="auto" w:sz="2" w:space="0"/>
            </w:tcBorders>
            <w:vAlign w:val="center"/>
          </w:tcPr>
          <w:p>
            <w:pPr>
              <w:pStyle w:val="27"/>
              <w:ind w:left="0" w:leftChars="0"/>
              <w:jc w:val="center"/>
              <w:rPr>
                <w:rFonts w:hint="eastAsia" w:ascii="宋体" w:hAnsi="宋体" w:eastAsia="宋体"/>
                <w:bCs/>
                <w:color w:val="auto"/>
                <w:sz w:val="24"/>
                <w:szCs w:val="28"/>
                <w:lang w:eastAsia="zh-CN"/>
              </w:rPr>
            </w:pPr>
            <w:r>
              <w:rPr>
                <w:rFonts w:hint="eastAsia" w:ascii="宋体" w:hAnsi="宋体"/>
                <w:bCs/>
                <w:color w:val="auto"/>
                <w:sz w:val="24"/>
                <w:szCs w:val="28"/>
                <w:lang w:val="en-US" w:eastAsia="zh-CN"/>
              </w:rPr>
              <w:t>...</w:t>
            </w:r>
          </w:p>
        </w:tc>
        <w:tc>
          <w:tcPr>
            <w:tcW w:w="2039" w:type="dxa"/>
            <w:tcBorders>
              <w:top w:val="single" w:color="auto" w:sz="2" w:space="0"/>
              <w:left w:val="single" w:color="auto" w:sz="2" w:space="0"/>
              <w:bottom w:val="single" w:color="auto" w:sz="2" w:space="0"/>
              <w:right w:val="single" w:color="auto" w:sz="2" w:space="0"/>
            </w:tcBorders>
          </w:tcPr>
          <w:p>
            <w:pPr>
              <w:pStyle w:val="27"/>
              <w:ind w:left="0" w:leftChars="0"/>
              <w:rPr>
                <w:rFonts w:ascii="宋体" w:hAnsi="宋体"/>
                <w:bCs/>
                <w:color w:val="auto"/>
                <w:sz w:val="24"/>
                <w:szCs w:val="28"/>
              </w:rPr>
            </w:pPr>
          </w:p>
        </w:tc>
        <w:tc>
          <w:tcPr>
            <w:tcW w:w="727" w:type="dxa"/>
            <w:tcBorders>
              <w:top w:val="single" w:color="auto" w:sz="2" w:space="0"/>
              <w:left w:val="single" w:color="auto" w:sz="2" w:space="0"/>
              <w:bottom w:val="single" w:color="auto" w:sz="2" w:space="0"/>
              <w:right w:val="single" w:color="auto" w:sz="2" w:space="0"/>
            </w:tcBorders>
            <w:vAlign w:val="center"/>
          </w:tcPr>
          <w:p>
            <w:pPr>
              <w:pStyle w:val="27"/>
              <w:ind w:left="0" w:leftChars="0"/>
              <w:rPr>
                <w:rFonts w:ascii="宋体" w:hAnsi="宋体"/>
                <w:bCs/>
                <w:color w:val="auto"/>
                <w:sz w:val="24"/>
                <w:szCs w:val="28"/>
              </w:rPr>
            </w:pPr>
          </w:p>
        </w:tc>
        <w:tc>
          <w:tcPr>
            <w:tcW w:w="728" w:type="dxa"/>
            <w:tcBorders>
              <w:top w:val="single" w:color="auto" w:sz="2" w:space="0"/>
              <w:left w:val="single" w:color="auto" w:sz="2" w:space="0"/>
              <w:bottom w:val="single" w:color="auto" w:sz="2" w:space="0"/>
              <w:right w:val="single" w:color="auto" w:sz="2" w:space="0"/>
            </w:tcBorders>
            <w:vAlign w:val="center"/>
          </w:tcPr>
          <w:p>
            <w:pPr>
              <w:pStyle w:val="27"/>
              <w:ind w:left="0" w:leftChars="0"/>
              <w:rPr>
                <w:rFonts w:ascii="宋体" w:hAnsi="宋体"/>
                <w:bCs/>
                <w:color w:val="auto"/>
                <w:sz w:val="24"/>
                <w:szCs w:val="28"/>
              </w:rPr>
            </w:pPr>
          </w:p>
        </w:tc>
        <w:tc>
          <w:tcPr>
            <w:tcW w:w="874" w:type="dxa"/>
            <w:tcBorders>
              <w:top w:val="single" w:color="auto" w:sz="2" w:space="0"/>
              <w:left w:val="single" w:color="auto" w:sz="2" w:space="0"/>
              <w:bottom w:val="single" w:color="auto" w:sz="2" w:space="0"/>
              <w:right w:val="single" w:color="auto" w:sz="2" w:space="0"/>
            </w:tcBorders>
            <w:vAlign w:val="center"/>
          </w:tcPr>
          <w:p>
            <w:pPr>
              <w:pStyle w:val="27"/>
              <w:ind w:left="0" w:leftChars="0"/>
              <w:rPr>
                <w:rFonts w:ascii="宋体" w:hAnsi="宋体"/>
                <w:bCs/>
                <w:color w:val="auto"/>
                <w:sz w:val="24"/>
                <w:szCs w:val="28"/>
              </w:rPr>
            </w:pPr>
          </w:p>
        </w:tc>
        <w:tc>
          <w:tcPr>
            <w:tcW w:w="873" w:type="dxa"/>
            <w:tcBorders>
              <w:top w:val="single" w:color="auto" w:sz="2" w:space="0"/>
              <w:left w:val="single" w:color="auto" w:sz="2" w:space="0"/>
              <w:bottom w:val="single" w:color="auto" w:sz="2" w:space="0"/>
              <w:right w:val="single" w:color="auto" w:sz="2" w:space="0"/>
            </w:tcBorders>
            <w:vAlign w:val="center"/>
          </w:tcPr>
          <w:p>
            <w:pPr>
              <w:pStyle w:val="27"/>
              <w:ind w:left="0" w:leftChars="0"/>
              <w:rPr>
                <w:rFonts w:ascii="宋体" w:hAnsi="宋体"/>
                <w:bCs/>
                <w:color w:val="auto"/>
                <w:sz w:val="24"/>
                <w:szCs w:val="28"/>
              </w:rPr>
            </w:pPr>
          </w:p>
        </w:tc>
        <w:tc>
          <w:tcPr>
            <w:tcW w:w="728" w:type="dxa"/>
            <w:tcBorders>
              <w:top w:val="single" w:color="auto" w:sz="2" w:space="0"/>
              <w:left w:val="single" w:color="auto" w:sz="2" w:space="0"/>
              <w:bottom w:val="single" w:color="auto" w:sz="2" w:space="0"/>
              <w:right w:val="single" w:color="auto" w:sz="2" w:space="0"/>
            </w:tcBorders>
            <w:vAlign w:val="center"/>
          </w:tcPr>
          <w:p>
            <w:pPr>
              <w:pStyle w:val="27"/>
              <w:ind w:left="0" w:leftChars="0"/>
              <w:jc w:val="center"/>
              <w:rPr>
                <w:rFonts w:ascii="宋体" w:hAnsi="宋体"/>
                <w:bCs/>
                <w:color w:val="auto"/>
                <w:sz w:val="24"/>
                <w:szCs w:val="28"/>
              </w:rPr>
            </w:pPr>
          </w:p>
        </w:tc>
        <w:tc>
          <w:tcPr>
            <w:tcW w:w="1164" w:type="dxa"/>
            <w:tcBorders>
              <w:top w:val="single" w:color="auto" w:sz="2" w:space="0"/>
              <w:left w:val="single" w:color="auto" w:sz="2" w:space="0"/>
              <w:bottom w:val="single" w:color="auto" w:sz="2" w:space="0"/>
              <w:right w:val="single" w:color="auto" w:sz="2" w:space="0"/>
            </w:tcBorders>
            <w:vAlign w:val="center"/>
          </w:tcPr>
          <w:p>
            <w:pPr>
              <w:pStyle w:val="27"/>
              <w:ind w:left="0" w:leftChars="0"/>
              <w:jc w:val="center"/>
              <w:rPr>
                <w:rFonts w:ascii="宋体" w:hAnsi="宋体"/>
                <w:bCs/>
                <w:color w:val="auto"/>
                <w:sz w:val="24"/>
                <w:szCs w:val="28"/>
              </w:rPr>
            </w:pPr>
          </w:p>
        </w:tc>
        <w:tc>
          <w:tcPr>
            <w:tcW w:w="1309" w:type="dxa"/>
            <w:tcBorders>
              <w:top w:val="single" w:color="auto" w:sz="2" w:space="0"/>
              <w:left w:val="single" w:color="auto" w:sz="2" w:space="0"/>
              <w:bottom w:val="single" w:color="auto" w:sz="2" w:space="0"/>
              <w:right w:val="single" w:color="auto" w:sz="2" w:space="0"/>
            </w:tcBorders>
            <w:vAlign w:val="center"/>
          </w:tcPr>
          <w:p>
            <w:pPr>
              <w:pStyle w:val="27"/>
              <w:ind w:left="0" w:leftChars="0"/>
              <w:jc w:val="center"/>
              <w:rPr>
                <w:rFonts w:ascii="宋体" w:hAnsi="宋体"/>
                <w:bCs/>
                <w:color w:val="auto"/>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57" w:type="dxa"/>
            <w:gridSpan w:val="8"/>
            <w:tcBorders>
              <w:top w:val="single" w:color="auto" w:sz="2" w:space="0"/>
              <w:left w:val="single" w:color="auto" w:sz="2" w:space="0"/>
              <w:bottom w:val="single" w:color="auto" w:sz="2" w:space="0"/>
              <w:right w:val="single" w:color="auto" w:sz="4" w:space="0"/>
            </w:tcBorders>
            <w:vAlign w:val="center"/>
          </w:tcPr>
          <w:p>
            <w:pPr>
              <w:pStyle w:val="27"/>
              <w:ind w:left="0" w:leftChars="0"/>
              <w:jc w:val="center"/>
              <w:rPr>
                <w:rFonts w:ascii="宋体" w:hAnsi="宋体"/>
                <w:bCs/>
                <w:color w:val="auto"/>
                <w:sz w:val="24"/>
                <w:szCs w:val="28"/>
              </w:rPr>
            </w:pPr>
            <w:r>
              <w:rPr>
                <w:rFonts w:hint="eastAsia" w:ascii="宋体" w:hAnsi="宋体"/>
                <w:bCs/>
                <w:color w:val="auto"/>
                <w:sz w:val="24"/>
                <w:szCs w:val="28"/>
              </w:rPr>
              <w:t>投标报价（总价合计）</w:t>
            </w:r>
          </w:p>
        </w:tc>
        <w:tc>
          <w:tcPr>
            <w:tcW w:w="1309" w:type="dxa"/>
            <w:tcBorders>
              <w:top w:val="single" w:color="auto" w:sz="2" w:space="0"/>
              <w:left w:val="single" w:color="auto" w:sz="4" w:space="0"/>
              <w:bottom w:val="single" w:color="auto" w:sz="2" w:space="0"/>
              <w:right w:val="single" w:color="auto" w:sz="2" w:space="0"/>
            </w:tcBorders>
            <w:vAlign w:val="center"/>
          </w:tcPr>
          <w:p>
            <w:pPr>
              <w:pStyle w:val="27"/>
              <w:ind w:left="0" w:leftChars="0"/>
              <w:jc w:val="center"/>
              <w:rPr>
                <w:rFonts w:ascii="宋体" w:hAnsi="宋体"/>
                <w:bCs/>
                <w:color w:val="auto"/>
                <w:sz w:val="24"/>
                <w:szCs w:val="28"/>
              </w:rPr>
            </w:pPr>
            <w:r>
              <w:rPr>
                <w:rFonts w:ascii="宋体" w:hAnsi="宋体"/>
                <w:bCs/>
                <w:color w:val="auto"/>
                <w:sz w:val="24"/>
                <w:szCs w:val="28"/>
                <w:u w:val="single"/>
              </w:rPr>
              <w:t>xx</w:t>
            </w:r>
            <w:r>
              <w:rPr>
                <w:rFonts w:hint="eastAsia" w:ascii="宋体" w:hAnsi="宋体"/>
                <w:bCs/>
                <w:color w:val="auto"/>
                <w:sz w:val="24"/>
                <w:szCs w:val="28"/>
              </w:rPr>
              <w:t>元</w:t>
            </w:r>
          </w:p>
        </w:tc>
      </w:tr>
    </w:tbl>
    <w:p>
      <w:pPr>
        <w:spacing w:line="440" w:lineRule="atLeast"/>
        <w:ind w:firstLine="419" w:firstLineChars="149"/>
        <w:rPr>
          <w:rFonts w:ascii="宋体" w:hAnsi="宋体"/>
          <w:b/>
          <w:color w:val="auto"/>
          <w:sz w:val="28"/>
          <w:szCs w:val="28"/>
        </w:rPr>
      </w:pPr>
      <w:r>
        <w:rPr>
          <w:rFonts w:hint="eastAsia" w:ascii="宋体" w:hAnsi="宋体"/>
          <w:b/>
          <w:color w:val="auto"/>
          <w:sz w:val="28"/>
          <w:szCs w:val="28"/>
        </w:rPr>
        <w:t>说明：</w:t>
      </w:r>
    </w:p>
    <w:p>
      <w:pPr>
        <w:spacing w:line="440" w:lineRule="atLeast"/>
        <w:ind w:firstLine="419" w:firstLineChars="149"/>
        <w:rPr>
          <w:rFonts w:ascii="宋体" w:hAnsi="宋体"/>
          <w:b/>
          <w:color w:val="auto"/>
          <w:sz w:val="28"/>
          <w:szCs w:val="28"/>
        </w:rPr>
      </w:pPr>
      <w:r>
        <w:rPr>
          <w:rFonts w:hint="eastAsia" w:ascii="宋体" w:hAnsi="宋体"/>
          <w:b/>
          <w:color w:val="auto"/>
          <w:sz w:val="28"/>
          <w:szCs w:val="28"/>
        </w:rPr>
        <w:t>1、进口产品是指通过中国海关报关验放进入中国境内且产自关境外的产品。</w:t>
      </w:r>
    </w:p>
    <w:p>
      <w:pPr>
        <w:spacing w:line="440" w:lineRule="atLeast"/>
        <w:ind w:firstLine="419" w:firstLineChars="149"/>
        <w:rPr>
          <w:rFonts w:ascii="宋体" w:hAnsi="宋体"/>
          <w:b/>
          <w:color w:val="auto"/>
          <w:sz w:val="28"/>
          <w:szCs w:val="28"/>
        </w:rPr>
      </w:pPr>
      <w:r>
        <w:rPr>
          <w:rFonts w:hint="eastAsia" w:ascii="宋体" w:hAnsi="宋体"/>
          <w:b/>
          <w:color w:val="auto"/>
          <w:sz w:val="28"/>
          <w:szCs w:val="28"/>
        </w:rPr>
        <w:t>2、分项报价明细表格式中要求填写品牌、规格型号、制造商、进口或国产的，投标人必须载明其投标产品的品牌、规格型号、制造商、进口或国产。</w:t>
      </w:r>
    </w:p>
    <w:p>
      <w:pPr>
        <w:spacing w:line="440" w:lineRule="atLeast"/>
        <w:ind w:firstLine="419" w:firstLineChars="149"/>
        <w:rPr>
          <w:rFonts w:ascii="宋体" w:hAnsi="宋体"/>
          <w:b/>
          <w:color w:val="auto"/>
          <w:sz w:val="28"/>
          <w:szCs w:val="28"/>
        </w:rPr>
      </w:pPr>
    </w:p>
    <w:p>
      <w:pPr>
        <w:numPr>
          <w:ilvl w:val="0"/>
          <w:numId w:val="40"/>
        </w:numPr>
        <w:tabs>
          <w:tab w:val="left" w:pos="630"/>
          <w:tab w:val="left" w:pos="3414"/>
          <w:tab w:val="left" w:pos="7560"/>
        </w:tabs>
        <w:spacing w:after="200" w:line="360" w:lineRule="auto"/>
        <w:ind w:left="0" w:firstLine="0"/>
        <w:rPr>
          <w:rFonts w:ascii="宋体" w:hAnsi="宋体"/>
          <w:b/>
          <w:color w:val="auto"/>
          <w:sz w:val="28"/>
        </w:rPr>
      </w:pPr>
      <w:r>
        <w:rPr>
          <w:rFonts w:hint="eastAsia" w:ascii="宋体" w:hAnsi="宋体"/>
          <w:b/>
          <w:color w:val="auto"/>
          <w:sz w:val="28"/>
          <w:szCs w:val="28"/>
        </w:rPr>
        <w:t>投标人</w:t>
      </w:r>
      <w:r>
        <w:rPr>
          <w:rFonts w:hint="eastAsia" w:ascii="宋体" w:hAnsi="宋体"/>
          <w:b/>
          <w:color w:val="auto"/>
          <w:sz w:val="28"/>
        </w:rPr>
        <w:t>投标产品中为监狱企业制造的货物清单及价格（说明：</w:t>
      </w:r>
      <w:r>
        <w:rPr>
          <w:rFonts w:ascii="宋体" w:hAnsi="宋体"/>
          <w:b/>
          <w:color w:val="auto"/>
          <w:sz w:val="28"/>
        </w:rPr>
        <w:t>1、提供由省级以上监狱管理局、戒毒管理局（含新疆生产建设兵团）出具的</w:t>
      </w:r>
      <w:r>
        <w:rPr>
          <w:rFonts w:hint="eastAsia" w:ascii="宋体" w:hAnsi="宋体"/>
          <w:b/>
          <w:color w:val="auto"/>
          <w:sz w:val="28"/>
        </w:rPr>
        <w:t>制造</w:t>
      </w:r>
      <w:r>
        <w:rPr>
          <w:rFonts w:ascii="宋体" w:hAnsi="宋体"/>
          <w:b/>
          <w:color w:val="auto"/>
          <w:sz w:val="28"/>
        </w:rPr>
        <w:t>商属于监狱企业的证明文件复印件；2、如未提供</w:t>
      </w:r>
      <w:r>
        <w:rPr>
          <w:rFonts w:hint="eastAsia" w:ascii="宋体" w:hAnsi="宋体"/>
          <w:b/>
          <w:color w:val="auto"/>
          <w:sz w:val="28"/>
        </w:rPr>
        <w:t>货物</w:t>
      </w:r>
      <w:r>
        <w:rPr>
          <w:rFonts w:ascii="宋体" w:hAnsi="宋体"/>
          <w:b/>
          <w:color w:val="auto"/>
          <w:sz w:val="28"/>
        </w:rPr>
        <w:t>清单及价格以及相关证明材料复印件，则不能享受对监狱企业</w:t>
      </w:r>
      <w:r>
        <w:rPr>
          <w:rFonts w:hint="eastAsia" w:ascii="宋体" w:hAnsi="宋体"/>
          <w:b/>
          <w:color w:val="auto"/>
          <w:sz w:val="28"/>
        </w:rPr>
        <w:t>制造的货物</w:t>
      </w:r>
      <w:r>
        <w:rPr>
          <w:rFonts w:ascii="宋体" w:hAnsi="宋体"/>
          <w:b/>
          <w:color w:val="auto"/>
          <w:sz w:val="28"/>
        </w:rPr>
        <w:t>的价格扣除，但不影响投标文件的有效性。）</w:t>
      </w:r>
    </w:p>
    <w:tbl>
      <w:tblPr>
        <w:tblStyle w:val="47"/>
        <w:tblW w:w="929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
        <w:gridCol w:w="1720"/>
        <w:gridCol w:w="694"/>
        <w:gridCol w:w="1253"/>
        <w:gridCol w:w="1417"/>
        <w:gridCol w:w="851"/>
        <w:gridCol w:w="980"/>
        <w:gridCol w:w="12"/>
        <w:gridCol w:w="1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0" w:type="dxa"/>
            <w:vAlign w:val="center"/>
          </w:tcPr>
          <w:p>
            <w:pPr>
              <w:spacing w:before="156" w:beforeLines="50" w:line="360" w:lineRule="auto"/>
              <w:jc w:val="center"/>
              <w:rPr>
                <w:rFonts w:ascii="宋体" w:hAnsi="宋体"/>
                <w:b/>
                <w:color w:val="auto"/>
              </w:rPr>
            </w:pPr>
            <w:r>
              <w:rPr>
                <w:rFonts w:hint="eastAsia" w:ascii="宋体" w:hAnsi="宋体"/>
                <w:b/>
                <w:color w:val="auto"/>
              </w:rPr>
              <w:t>序号</w:t>
            </w:r>
          </w:p>
        </w:tc>
        <w:tc>
          <w:tcPr>
            <w:tcW w:w="1720" w:type="dxa"/>
            <w:vAlign w:val="center"/>
          </w:tcPr>
          <w:p>
            <w:pPr>
              <w:spacing w:before="156" w:beforeLines="50" w:line="360" w:lineRule="auto"/>
              <w:jc w:val="center"/>
              <w:rPr>
                <w:rFonts w:ascii="宋体" w:hAnsi="宋体"/>
                <w:b/>
                <w:color w:val="auto"/>
              </w:rPr>
            </w:pPr>
            <w:r>
              <w:rPr>
                <w:rFonts w:hint="eastAsia" w:ascii="宋体" w:hAnsi="宋体"/>
                <w:b/>
                <w:color w:val="auto"/>
              </w:rPr>
              <w:t>货物名称</w:t>
            </w:r>
          </w:p>
        </w:tc>
        <w:tc>
          <w:tcPr>
            <w:tcW w:w="694" w:type="dxa"/>
            <w:vAlign w:val="center"/>
          </w:tcPr>
          <w:p>
            <w:pPr>
              <w:spacing w:before="156" w:beforeLines="50" w:line="360" w:lineRule="auto"/>
              <w:jc w:val="center"/>
              <w:rPr>
                <w:rFonts w:ascii="宋体" w:hAnsi="宋体"/>
                <w:b/>
                <w:color w:val="auto"/>
              </w:rPr>
            </w:pPr>
            <w:r>
              <w:rPr>
                <w:rFonts w:hint="eastAsia" w:ascii="宋体" w:hAnsi="宋体"/>
                <w:b/>
                <w:color w:val="auto"/>
              </w:rPr>
              <w:t>品牌</w:t>
            </w:r>
          </w:p>
        </w:tc>
        <w:tc>
          <w:tcPr>
            <w:tcW w:w="1253" w:type="dxa"/>
            <w:vAlign w:val="center"/>
          </w:tcPr>
          <w:p>
            <w:pPr>
              <w:spacing w:before="156" w:beforeLines="50" w:line="360" w:lineRule="auto"/>
              <w:jc w:val="center"/>
              <w:rPr>
                <w:rFonts w:ascii="宋体" w:hAnsi="宋体"/>
                <w:b/>
                <w:color w:val="auto"/>
              </w:rPr>
            </w:pPr>
            <w:r>
              <w:rPr>
                <w:rFonts w:hint="eastAsia" w:ascii="宋体" w:hAnsi="宋体"/>
                <w:b/>
                <w:color w:val="auto"/>
              </w:rPr>
              <w:t>规格型号</w:t>
            </w:r>
          </w:p>
        </w:tc>
        <w:tc>
          <w:tcPr>
            <w:tcW w:w="1417" w:type="dxa"/>
            <w:vAlign w:val="center"/>
          </w:tcPr>
          <w:p>
            <w:pPr>
              <w:spacing w:before="156" w:beforeLines="50" w:line="360" w:lineRule="auto"/>
              <w:jc w:val="center"/>
              <w:rPr>
                <w:rFonts w:ascii="宋体" w:hAnsi="宋体"/>
                <w:b/>
                <w:color w:val="auto"/>
              </w:rPr>
            </w:pPr>
            <w:r>
              <w:rPr>
                <w:rFonts w:hint="eastAsia" w:ascii="宋体" w:hAnsi="宋体"/>
                <w:b/>
                <w:color w:val="auto"/>
              </w:rPr>
              <w:t>制造商</w:t>
            </w:r>
          </w:p>
        </w:tc>
        <w:tc>
          <w:tcPr>
            <w:tcW w:w="851" w:type="dxa"/>
            <w:vAlign w:val="center"/>
          </w:tcPr>
          <w:p>
            <w:pPr>
              <w:spacing w:before="156" w:beforeLines="50" w:line="360" w:lineRule="auto"/>
              <w:jc w:val="center"/>
              <w:rPr>
                <w:rFonts w:ascii="宋体" w:hAnsi="宋体"/>
                <w:b/>
                <w:color w:val="auto"/>
              </w:rPr>
            </w:pPr>
            <w:r>
              <w:rPr>
                <w:rFonts w:hint="eastAsia" w:ascii="宋体" w:hAnsi="宋体"/>
                <w:b/>
                <w:color w:val="auto"/>
              </w:rPr>
              <w:t>数量</w:t>
            </w:r>
          </w:p>
        </w:tc>
        <w:tc>
          <w:tcPr>
            <w:tcW w:w="992" w:type="dxa"/>
            <w:gridSpan w:val="2"/>
            <w:vAlign w:val="center"/>
          </w:tcPr>
          <w:p>
            <w:pPr>
              <w:spacing w:before="156" w:beforeLines="50" w:line="360" w:lineRule="auto"/>
              <w:jc w:val="center"/>
              <w:rPr>
                <w:rFonts w:ascii="宋体" w:hAnsi="宋体"/>
                <w:b/>
                <w:color w:val="auto"/>
              </w:rPr>
            </w:pPr>
            <w:r>
              <w:rPr>
                <w:rFonts w:hint="eastAsia" w:ascii="宋体" w:hAnsi="宋体"/>
                <w:b/>
                <w:color w:val="auto"/>
              </w:rPr>
              <w:t>单价</w:t>
            </w:r>
          </w:p>
        </w:tc>
        <w:tc>
          <w:tcPr>
            <w:tcW w:w="1406" w:type="dxa"/>
            <w:vAlign w:val="center"/>
          </w:tcPr>
          <w:p>
            <w:pPr>
              <w:spacing w:before="156" w:beforeLines="50" w:line="360" w:lineRule="auto"/>
              <w:jc w:val="center"/>
              <w:rPr>
                <w:rFonts w:ascii="宋体" w:hAnsi="宋体"/>
                <w:b/>
                <w:color w:val="auto"/>
              </w:rPr>
            </w:pPr>
            <w:r>
              <w:rPr>
                <w:rFonts w:hint="eastAsia" w:ascii="宋体" w:hAnsi="宋体"/>
                <w:b/>
                <w:color w:val="auto"/>
              </w:rPr>
              <w:t>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60" w:type="dxa"/>
            <w:vAlign w:val="center"/>
          </w:tcPr>
          <w:p>
            <w:pPr>
              <w:snapToGrid w:val="0"/>
              <w:spacing w:line="360" w:lineRule="auto"/>
              <w:jc w:val="center"/>
              <w:rPr>
                <w:rFonts w:ascii="宋体" w:hAnsi="宋体"/>
                <w:color w:val="auto"/>
              </w:rPr>
            </w:pPr>
          </w:p>
        </w:tc>
        <w:tc>
          <w:tcPr>
            <w:tcW w:w="1720" w:type="dxa"/>
            <w:vAlign w:val="center"/>
          </w:tcPr>
          <w:p>
            <w:pPr>
              <w:spacing w:line="360" w:lineRule="auto"/>
              <w:jc w:val="center"/>
              <w:rPr>
                <w:rFonts w:ascii="宋体" w:hAnsi="宋体"/>
                <w:color w:val="auto"/>
              </w:rPr>
            </w:pPr>
          </w:p>
        </w:tc>
        <w:tc>
          <w:tcPr>
            <w:tcW w:w="694" w:type="dxa"/>
            <w:vAlign w:val="center"/>
          </w:tcPr>
          <w:p>
            <w:pPr>
              <w:spacing w:line="360" w:lineRule="auto"/>
              <w:jc w:val="center"/>
              <w:rPr>
                <w:rFonts w:ascii="宋体" w:hAnsi="宋体"/>
                <w:color w:val="auto"/>
              </w:rPr>
            </w:pPr>
          </w:p>
        </w:tc>
        <w:tc>
          <w:tcPr>
            <w:tcW w:w="1253" w:type="dxa"/>
            <w:vAlign w:val="center"/>
          </w:tcPr>
          <w:p>
            <w:pPr>
              <w:spacing w:line="360" w:lineRule="auto"/>
              <w:jc w:val="center"/>
              <w:rPr>
                <w:rFonts w:ascii="宋体" w:hAnsi="宋体"/>
                <w:color w:val="auto"/>
              </w:rPr>
            </w:pPr>
          </w:p>
        </w:tc>
        <w:tc>
          <w:tcPr>
            <w:tcW w:w="1417" w:type="dxa"/>
            <w:vAlign w:val="center"/>
          </w:tcPr>
          <w:p>
            <w:pPr>
              <w:spacing w:line="360" w:lineRule="auto"/>
              <w:jc w:val="center"/>
              <w:rPr>
                <w:rFonts w:ascii="宋体" w:hAnsi="宋体"/>
                <w:color w:val="auto"/>
              </w:rPr>
            </w:pPr>
          </w:p>
        </w:tc>
        <w:tc>
          <w:tcPr>
            <w:tcW w:w="851" w:type="dxa"/>
            <w:vAlign w:val="center"/>
          </w:tcPr>
          <w:p>
            <w:pPr>
              <w:spacing w:line="360" w:lineRule="auto"/>
              <w:jc w:val="center"/>
              <w:rPr>
                <w:rFonts w:ascii="宋体" w:hAnsi="宋体"/>
                <w:color w:val="auto"/>
              </w:rPr>
            </w:pPr>
          </w:p>
        </w:tc>
        <w:tc>
          <w:tcPr>
            <w:tcW w:w="992" w:type="dxa"/>
            <w:gridSpan w:val="2"/>
            <w:vAlign w:val="center"/>
          </w:tcPr>
          <w:p>
            <w:pPr>
              <w:spacing w:line="360" w:lineRule="auto"/>
              <w:jc w:val="center"/>
              <w:rPr>
                <w:rFonts w:ascii="宋体" w:hAnsi="宋体"/>
                <w:color w:val="auto"/>
              </w:rPr>
            </w:pPr>
          </w:p>
        </w:tc>
        <w:tc>
          <w:tcPr>
            <w:tcW w:w="1406" w:type="dxa"/>
            <w:vAlign w:val="center"/>
          </w:tcPr>
          <w:p>
            <w:pPr>
              <w:spacing w:line="360" w:lineRule="auto"/>
              <w:jc w:val="center"/>
              <w:rPr>
                <w:rFonts w:ascii="宋体" w:hAnsi="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1" w:hRule="atLeast"/>
          <w:jc w:val="center"/>
        </w:trPr>
        <w:tc>
          <w:tcPr>
            <w:tcW w:w="960" w:type="dxa"/>
            <w:vAlign w:val="center"/>
          </w:tcPr>
          <w:p>
            <w:pPr>
              <w:snapToGrid w:val="0"/>
              <w:spacing w:line="360" w:lineRule="auto"/>
              <w:jc w:val="center"/>
              <w:rPr>
                <w:rFonts w:ascii="宋体" w:hAnsi="宋体"/>
                <w:color w:val="auto"/>
              </w:rPr>
            </w:pPr>
          </w:p>
        </w:tc>
        <w:tc>
          <w:tcPr>
            <w:tcW w:w="1720" w:type="dxa"/>
            <w:vAlign w:val="center"/>
          </w:tcPr>
          <w:p>
            <w:pPr>
              <w:spacing w:line="360" w:lineRule="auto"/>
              <w:jc w:val="center"/>
              <w:rPr>
                <w:rFonts w:ascii="宋体" w:hAnsi="宋体"/>
                <w:color w:val="auto"/>
              </w:rPr>
            </w:pPr>
          </w:p>
        </w:tc>
        <w:tc>
          <w:tcPr>
            <w:tcW w:w="694" w:type="dxa"/>
            <w:vAlign w:val="center"/>
          </w:tcPr>
          <w:p>
            <w:pPr>
              <w:spacing w:line="360" w:lineRule="auto"/>
              <w:jc w:val="center"/>
              <w:rPr>
                <w:rFonts w:ascii="宋体" w:hAnsi="宋体"/>
                <w:color w:val="auto"/>
              </w:rPr>
            </w:pPr>
          </w:p>
        </w:tc>
        <w:tc>
          <w:tcPr>
            <w:tcW w:w="1253" w:type="dxa"/>
            <w:vAlign w:val="center"/>
          </w:tcPr>
          <w:p>
            <w:pPr>
              <w:spacing w:line="360" w:lineRule="auto"/>
              <w:jc w:val="center"/>
              <w:rPr>
                <w:rFonts w:ascii="宋体" w:hAnsi="宋体"/>
                <w:color w:val="auto"/>
              </w:rPr>
            </w:pPr>
          </w:p>
        </w:tc>
        <w:tc>
          <w:tcPr>
            <w:tcW w:w="1417" w:type="dxa"/>
            <w:vAlign w:val="center"/>
          </w:tcPr>
          <w:p>
            <w:pPr>
              <w:spacing w:line="360" w:lineRule="auto"/>
              <w:jc w:val="center"/>
              <w:rPr>
                <w:rFonts w:ascii="宋体" w:hAnsi="宋体"/>
                <w:color w:val="auto"/>
              </w:rPr>
            </w:pPr>
          </w:p>
        </w:tc>
        <w:tc>
          <w:tcPr>
            <w:tcW w:w="851" w:type="dxa"/>
            <w:vAlign w:val="center"/>
          </w:tcPr>
          <w:p>
            <w:pPr>
              <w:spacing w:line="360" w:lineRule="auto"/>
              <w:jc w:val="center"/>
              <w:rPr>
                <w:rFonts w:ascii="宋体" w:hAnsi="宋体"/>
                <w:color w:val="auto"/>
              </w:rPr>
            </w:pPr>
          </w:p>
        </w:tc>
        <w:tc>
          <w:tcPr>
            <w:tcW w:w="992" w:type="dxa"/>
            <w:gridSpan w:val="2"/>
            <w:vAlign w:val="center"/>
          </w:tcPr>
          <w:p>
            <w:pPr>
              <w:spacing w:line="360" w:lineRule="auto"/>
              <w:jc w:val="center"/>
              <w:rPr>
                <w:rFonts w:ascii="宋体" w:hAnsi="宋体"/>
                <w:color w:val="auto"/>
              </w:rPr>
            </w:pPr>
          </w:p>
        </w:tc>
        <w:tc>
          <w:tcPr>
            <w:tcW w:w="1406" w:type="dxa"/>
            <w:vAlign w:val="center"/>
          </w:tcPr>
          <w:p>
            <w:pPr>
              <w:spacing w:line="360" w:lineRule="auto"/>
              <w:jc w:val="center"/>
              <w:rPr>
                <w:rFonts w:ascii="宋体" w:hAnsi="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jc w:val="center"/>
        </w:trPr>
        <w:tc>
          <w:tcPr>
            <w:tcW w:w="960" w:type="dxa"/>
            <w:vAlign w:val="center"/>
          </w:tcPr>
          <w:p>
            <w:pPr>
              <w:snapToGrid w:val="0"/>
              <w:spacing w:line="360" w:lineRule="auto"/>
              <w:jc w:val="center"/>
              <w:rPr>
                <w:rFonts w:ascii="宋体" w:hAnsi="宋体"/>
                <w:color w:val="auto"/>
              </w:rPr>
            </w:pPr>
          </w:p>
        </w:tc>
        <w:tc>
          <w:tcPr>
            <w:tcW w:w="1720" w:type="dxa"/>
            <w:vAlign w:val="center"/>
          </w:tcPr>
          <w:p>
            <w:pPr>
              <w:spacing w:line="360" w:lineRule="auto"/>
              <w:jc w:val="center"/>
              <w:rPr>
                <w:rFonts w:ascii="宋体" w:hAnsi="宋体"/>
                <w:color w:val="auto"/>
              </w:rPr>
            </w:pPr>
          </w:p>
        </w:tc>
        <w:tc>
          <w:tcPr>
            <w:tcW w:w="694" w:type="dxa"/>
            <w:vAlign w:val="center"/>
          </w:tcPr>
          <w:p>
            <w:pPr>
              <w:spacing w:line="360" w:lineRule="auto"/>
              <w:jc w:val="center"/>
              <w:rPr>
                <w:rFonts w:ascii="宋体" w:hAnsi="宋体"/>
                <w:color w:val="auto"/>
              </w:rPr>
            </w:pPr>
          </w:p>
        </w:tc>
        <w:tc>
          <w:tcPr>
            <w:tcW w:w="1253" w:type="dxa"/>
            <w:vAlign w:val="center"/>
          </w:tcPr>
          <w:p>
            <w:pPr>
              <w:spacing w:line="360" w:lineRule="auto"/>
              <w:jc w:val="center"/>
              <w:rPr>
                <w:rFonts w:ascii="宋体" w:hAnsi="宋体"/>
                <w:color w:val="auto"/>
              </w:rPr>
            </w:pPr>
          </w:p>
        </w:tc>
        <w:tc>
          <w:tcPr>
            <w:tcW w:w="1417" w:type="dxa"/>
            <w:vAlign w:val="center"/>
          </w:tcPr>
          <w:p>
            <w:pPr>
              <w:spacing w:line="360" w:lineRule="auto"/>
              <w:jc w:val="center"/>
              <w:rPr>
                <w:rFonts w:ascii="宋体" w:hAnsi="宋体"/>
                <w:color w:val="auto"/>
              </w:rPr>
            </w:pPr>
          </w:p>
        </w:tc>
        <w:tc>
          <w:tcPr>
            <w:tcW w:w="851" w:type="dxa"/>
            <w:vAlign w:val="center"/>
          </w:tcPr>
          <w:p>
            <w:pPr>
              <w:spacing w:line="360" w:lineRule="auto"/>
              <w:jc w:val="center"/>
              <w:rPr>
                <w:rFonts w:ascii="宋体" w:hAnsi="宋体"/>
                <w:color w:val="auto"/>
              </w:rPr>
            </w:pPr>
          </w:p>
        </w:tc>
        <w:tc>
          <w:tcPr>
            <w:tcW w:w="992" w:type="dxa"/>
            <w:gridSpan w:val="2"/>
            <w:vAlign w:val="center"/>
          </w:tcPr>
          <w:p>
            <w:pPr>
              <w:spacing w:line="360" w:lineRule="auto"/>
              <w:jc w:val="center"/>
              <w:rPr>
                <w:rFonts w:ascii="宋体" w:hAnsi="宋体"/>
                <w:color w:val="auto"/>
              </w:rPr>
            </w:pPr>
          </w:p>
        </w:tc>
        <w:tc>
          <w:tcPr>
            <w:tcW w:w="1406" w:type="dxa"/>
            <w:vAlign w:val="center"/>
          </w:tcPr>
          <w:p>
            <w:pPr>
              <w:spacing w:line="360" w:lineRule="auto"/>
              <w:jc w:val="center"/>
              <w:rPr>
                <w:rFonts w:ascii="宋体" w:hAnsi="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 w:hRule="atLeast"/>
          <w:jc w:val="center"/>
        </w:trPr>
        <w:tc>
          <w:tcPr>
            <w:tcW w:w="7875" w:type="dxa"/>
            <w:gridSpan w:val="7"/>
            <w:vAlign w:val="center"/>
          </w:tcPr>
          <w:p>
            <w:pPr>
              <w:spacing w:line="360" w:lineRule="auto"/>
              <w:jc w:val="center"/>
              <w:rPr>
                <w:rFonts w:ascii="宋体" w:hAnsi="宋体"/>
                <w:color w:val="auto"/>
              </w:rPr>
            </w:pPr>
            <w:r>
              <w:rPr>
                <w:rFonts w:hint="eastAsia" w:ascii="宋体" w:hAnsi="宋体" w:cs="宋体"/>
                <w:b/>
                <w:color w:val="auto"/>
              </w:rPr>
              <w:t>监狱企业制造的货物</w:t>
            </w:r>
            <w:r>
              <w:rPr>
                <w:rFonts w:hint="eastAsia" w:ascii="宋体" w:hAnsi="宋体"/>
                <w:b/>
                <w:color w:val="auto"/>
              </w:rPr>
              <w:t>总价合计</w:t>
            </w:r>
          </w:p>
        </w:tc>
        <w:tc>
          <w:tcPr>
            <w:tcW w:w="1418" w:type="dxa"/>
            <w:gridSpan w:val="2"/>
            <w:vAlign w:val="center"/>
          </w:tcPr>
          <w:p>
            <w:pPr>
              <w:spacing w:line="360" w:lineRule="auto"/>
              <w:rPr>
                <w:rFonts w:ascii="宋体" w:hAnsi="宋体"/>
                <w:color w:val="auto"/>
              </w:rPr>
            </w:pPr>
            <w:r>
              <w:rPr>
                <w:rFonts w:hint="eastAsia" w:ascii="宋体" w:hAnsi="宋体"/>
                <w:color w:val="auto"/>
              </w:rPr>
              <w:t>￥</w:t>
            </w:r>
          </w:p>
        </w:tc>
      </w:tr>
    </w:tbl>
    <w:p>
      <w:pPr>
        <w:numPr>
          <w:ilvl w:val="0"/>
          <w:numId w:val="40"/>
        </w:numPr>
        <w:tabs>
          <w:tab w:val="left" w:pos="630"/>
          <w:tab w:val="left" w:pos="7560"/>
        </w:tabs>
        <w:spacing w:after="200" w:line="360" w:lineRule="auto"/>
        <w:ind w:left="0" w:firstLine="0"/>
        <w:rPr>
          <w:rFonts w:ascii="宋体" w:hAnsi="宋体"/>
          <w:b/>
          <w:color w:val="auto"/>
          <w:sz w:val="28"/>
        </w:rPr>
      </w:pPr>
      <w:r>
        <w:rPr>
          <w:rFonts w:hint="eastAsia" w:ascii="宋体" w:hAnsi="宋体"/>
          <w:b/>
          <w:color w:val="auto"/>
          <w:sz w:val="28"/>
        </w:rPr>
        <w:t>投标人投标产品中为残疾人福利性单位制造的货物清单及价格（说明：如未提供则不能享受对残疾人福利性单位制造的货物的价格扣除）</w:t>
      </w:r>
    </w:p>
    <w:tbl>
      <w:tblPr>
        <w:tblStyle w:val="47"/>
        <w:tblW w:w="101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
        <w:gridCol w:w="1720"/>
        <w:gridCol w:w="1418"/>
        <w:gridCol w:w="1418"/>
        <w:gridCol w:w="1417"/>
        <w:gridCol w:w="851"/>
        <w:gridCol w:w="992"/>
        <w:gridCol w:w="13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0" w:type="dxa"/>
            <w:vAlign w:val="center"/>
          </w:tcPr>
          <w:p>
            <w:pPr>
              <w:spacing w:before="156" w:beforeLines="50" w:line="360" w:lineRule="auto"/>
              <w:jc w:val="center"/>
              <w:rPr>
                <w:rFonts w:ascii="宋体" w:hAnsi="宋体"/>
                <w:b/>
                <w:color w:val="auto"/>
              </w:rPr>
            </w:pPr>
            <w:r>
              <w:rPr>
                <w:rFonts w:hint="eastAsia" w:ascii="宋体" w:hAnsi="宋体"/>
                <w:b/>
                <w:color w:val="auto"/>
              </w:rPr>
              <w:t>序号</w:t>
            </w:r>
          </w:p>
        </w:tc>
        <w:tc>
          <w:tcPr>
            <w:tcW w:w="1720" w:type="dxa"/>
            <w:vAlign w:val="center"/>
          </w:tcPr>
          <w:p>
            <w:pPr>
              <w:spacing w:before="156" w:beforeLines="50" w:line="360" w:lineRule="auto"/>
              <w:jc w:val="center"/>
              <w:rPr>
                <w:rFonts w:ascii="宋体" w:hAnsi="宋体"/>
                <w:b/>
                <w:color w:val="auto"/>
              </w:rPr>
            </w:pPr>
            <w:r>
              <w:rPr>
                <w:rFonts w:hint="eastAsia" w:ascii="宋体" w:hAnsi="宋体"/>
                <w:b/>
                <w:color w:val="auto"/>
              </w:rPr>
              <w:t>货物名称</w:t>
            </w:r>
          </w:p>
        </w:tc>
        <w:tc>
          <w:tcPr>
            <w:tcW w:w="1418" w:type="dxa"/>
          </w:tcPr>
          <w:p>
            <w:pPr>
              <w:spacing w:before="156" w:beforeLines="50" w:line="360" w:lineRule="auto"/>
              <w:jc w:val="center"/>
              <w:rPr>
                <w:rFonts w:ascii="宋体" w:hAnsi="宋体"/>
                <w:b/>
                <w:color w:val="auto"/>
              </w:rPr>
            </w:pPr>
            <w:r>
              <w:rPr>
                <w:rFonts w:hint="eastAsia" w:ascii="宋体" w:hAnsi="宋体"/>
                <w:b/>
                <w:color w:val="auto"/>
              </w:rPr>
              <w:t>品牌</w:t>
            </w:r>
          </w:p>
        </w:tc>
        <w:tc>
          <w:tcPr>
            <w:tcW w:w="1418" w:type="dxa"/>
            <w:vAlign w:val="center"/>
          </w:tcPr>
          <w:p>
            <w:pPr>
              <w:spacing w:before="156" w:beforeLines="50" w:line="360" w:lineRule="auto"/>
              <w:jc w:val="center"/>
              <w:rPr>
                <w:rFonts w:ascii="宋体" w:hAnsi="宋体"/>
                <w:b/>
                <w:color w:val="auto"/>
              </w:rPr>
            </w:pPr>
            <w:r>
              <w:rPr>
                <w:rFonts w:hint="eastAsia" w:ascii="宋体" w:hAnsi="宋体"/>
                <w:b/>
                <w:color w:val="auto"/>
              </w:rPr>
              <w:t>规格型号</w:t>
            </w:r>
          </w:p>
        </w:tc>
        <w:tc>
          <w:tcPr>
            <w:tcW w:w="1417" w:type="dxa"/>
            <w:vAlign w:val="center"/>
          </w:tcPr>
          <w:p>
            <w:pPr>
              <w:spacing w:before="156" w:beforeLines="50" w:line="360" w:lineRule="auto"/>
              <w:jc w:val="center"/>
              <w:rPr>
                <w:rFonts w:ascii="宋体" w:hAnsi="宋体"/>
                <w:b/>
                <w:color w:val="auto"/>
              </w:rPr>
            </w:pPr>
            <w:r>
              <w:rPr>
                <w:rFonts w:hint="eastAsia" w:ascii="宋体" w:hAnsi="宋体"/>
                <w:b/>
                <w:color w:val="auto"/>
              </w:rPr>
              <w:t>制造商</w:t>
            </w:r>
          </w:p>
        </w:tc>
        <w:tc>
          <w:tcPr>
            <w:tcW w:w="851" w:type="dxa"/>
            <w:vAlign w:val="center"/>
          </w:tcPr>
          <w:p>
            <w:pPr>
              <w:spacing w:before="156" w:beforeLines="50" w:line="360" w:lineRule="auto"/>
              <w:jc w:val="center"/>
              <w:rPr>
                <w:rFonts w:ascii="宋体" w:hAnsi="宋体"/>
                <w:b/>
                <w:color w:val="auto"/>
              </w:rPr>
            </w:pPr>
            <w:r>
              <w:rPr>
                <w:rFonts w:hint="eastAsia" w:ascii="宋体" w:hAnsi="宋体"/>
                <w:b/>
                <w:color w:val="auto"/>
              </w:rPr>
              <w:t>数量</w:t>
            </w:r>
          </w:p>
        </w:tc>
        <w:tc>
          <w:tcPr>
            <w:tcW w:w="992" w:type="dxa"/>
            <w:vAlign w:val="center"/>
          </w:tcPr>
          <w:p>
            <w:pPr>
              <w:spacing w:before="156" w:beforeLines="50" w:line="360" w:lineRule="auto"/>
              <w:jc w:val="center"/>
              <w:rPr>
                <w:rFonts w:ascii="宋体" w:hAnsi="宋体"/>
                <w:b/>
                <w:color w:val="auto"/>
              </w:rPr>
            </w:pPr>
            <w:r>
              <w:rPr>
                <w:rFonts w:hint="eastAsia" w:ascii="宋体" w:hAnsi="宋体"/>
                <w:b/>
                <w:color w:val="auto"/>
              </w:rPr>
              <w:t>单价</w:t>
            </w:r>
          </w:p>
        </w:tc>
        <w:tc>
          <w:tcPr>
            <w:tcW w:w="1346" w:type="dxa"/>
            <w:vAlign w:val="center"/>
          </w:tcPr>
          <w:p>
            <w:pPr>
              <w:spacing w:before="156" w:beforeLines="50" w:line="360" w:lineRule="auto"/>
              <w:jc w:val="center"/>
              <w:rPr>
                <w:rFonts w:ascii="宋体" w:hAnsi="宋体"/>
                <w:b/>
                <w:color w:val="auto"/>
              </w:rPr>
            </w:pPr>
            <w:r>
              <w:rPr>
                <w:rFonts w:hint="eastAsia" w:ascii="宋体" w:hAnsi="宋体"/>
                <w:b/>
                <w:color w:val="auto"/>
              </w:rPr>
              <w:t>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60" w:type="dxa"/>
            <w:vAlign w:val="center"/>
          </w:tcPr>
          <w:p>
            <w:pPr>
              <w:snapToGrid w:val="0"/>
              <w:spacing w:line="360" w:lineRule="auto"/>
              <w:jc w:val="center"/>
              <w:rPr>
                <w:rFonts w:ascii="宋体" w:hAnsi="宋体"/>
                <w:color w:val="auto"/>
              </w:rPr>
            </w:pPr>
          </w:p>
        </w:tc>
        <w:tc>
          <w:tcPr>
            <w:tcW w:w="1720" w:type="dxa"/>
            <w:vAlign w:val="center"/>
          </w:tcPr>
          <w:p>
            <w:pPr>
              <w:spacing w:line="360" w:lineRule="auto"/>
              <w:jc w:val="center"/>
              <w:rPr>
                <w:rFonts w:ascii="宋体" w:hAnsi="宋体"/>
                <w:color w:val="auto"/>
              </w:rPr>
            </w:pPr>
          </w:p>
        </w:tc>
        <w:tc>
          <w:tcPr>
            <w:tcW w:w="1418" w:type="dxa"/>
          </w:tcPr>
          <w:p>
            <w:pPr>
              <w:spacing w:line="360" w:lineRule="auto"/>
              <w:jc w:val="center"/>
              <w:rPr>
                <w:rFonts w:ascii="宋体" w:hAnsi="宋体"/>
                <w:color w:val="auto"/>
              </w:rPr>
            </w:pPr>
          </w:p>
        </w:tc>
        <w:tc>
          <w:tcPr>
            <w:tcW w:w="1418" w:type="dxa"/>
            <w:vAlign w:val="center"/>
          </w:tcPr>
          <w:p>
            <w:pPr>
              <w:spacing w:line="360" w:lineRule="auto"/>
              <w:jc w:val="center"/>
              <w:rPr>
                <w:rFonts w:ascii="宋体" w:hAnsi="宋体"/>
                <w:color w:val="auto"/>
              </w:rPr>
            </w:pPr>
          </w:p>
        </w:tc>
        <w:tc>
          <w:tcPr>
            <w:tcW w:w="1417" w:type="dxa"/>
            <w:vAlign w:val="center"/>
          </w:tcPr>
          <w:p>
            <w:pPr>
              <w:spacing w:line="360" w:lineRule="auto"/>
              <w:jc w:val="center"/>
              <w:rPr>
                <w:rFonts w:ascii="宋体" w:hAnsi="宋体"/>
                <w:color w:val="auto"/>
              </w:rPr>
            </w:pPr>
          </w:p>
        </w:tc>
        <w:tc>
          <w:tcPr>
            <w:tcW w:w="851" w:type="dxa"/>
            <w:vAlign w:val="center"/>
          </w:tcPr>
          <w:p>
            <w:pPr>
              <w:spacing w:line="360" w:lineRule="auto"/>
              <w:jc w:val="center"/>
              <w:rPr>
                <w:rFonts w:ascii="宋体" w:hAnsi="宋体"/>
                <w:color w:val="auto"/>
              </w:rPr>
            </w:pPr>
          </w:p>
        </w:tc>
        <w:tc>
          <w:tcPr>
            <w:tcW w:w="992" w:type="dxa"/>
            <w:vAlign w:val="center"/>
          </w:tcPr>
          <w:p>
            <w:pPr>
              <w:spacing w:line="360" w:lineRule="auto"/>
              <w:jc w:val="center"/>
              <w:rPr>
                <w:rFonts w:ascii="宋体" w:hAnsi="宋体"/>
                <w:color w:val="auto"/>
              </w:rPr>
            </w:pPr>
          </w:p>
        </w:tc>
        <w:tc>
          <w:tcPr>
            <w:tcW w:w="1346" w:type="dxa"/>
            <w:vAlign w:val="center"/>
          </w:tcPr>
          <w:p>
            <w:pPr>
              <w:spacing w:line="360" w:lineRule="auto"/>
              <w:jc w:val="center"/>
              <w:rPr>
                <w:rFonts w:ascii="宋体" w:hAnsi="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1" w:hRule="atLeast"/>
          <w:jc w:val="center"/>
        </w:trPr>
        <w:tc>
          <w:tcPr>
            <w:tcW w:w="960" w:type="dxa"/>
            <w:vAlign w:val="center"/>
          </w:tcPr>
          <w:p>
            <w:pPr>
              <w:snapToGrid w:val="0"/>
              <w:spacing w:line="360" w:lineRule="auto"/>
              <w:jc w:val="center"/>
              <w:rPr>
                <w:rFonts w:ascii="宋体" w:hAnsi="宋体"/>
                <w:color w:val="auto"/>
              </w:rPr>
            </w:pPr>
          </w:p>
        </w:tc>
        <w:tc>
          <w:tcPr>
            <w:tcW w:w="1720" w:type="dxa"/>
            <w:vAlign w:val="center"/>
          </w:tcPr>
          <w:p>
            <w:pPr>
              <w:spacing w:line="360" w:lineRule="auto"/>
              <w:jc w:val="center"/>
              <w:rPr>
                <w:rFonts w:ascii="宋体" w:hAnsi="宋体"/>
                <w:color w:val="auto"/>
              </w:rPr>
            </w:pPr>
          </w:p>
        </w:tc>
        <w:tc>
          <w:tcPr>
            <w:tcW w:w="1418" w:type="dxa"/>
          </w:tcPr>
          <w:p>
            <w:pPr>
              <w:spacing w:line="360" w:lineRule="auto"/>
              <w:jc w:val="center"/>
              <w:rPr>
                <w:rFonts w:ascii="宋体" w:hAnsi="宋体"/>
                <w:color w:val="auto"/>
              </w:rPr>
            </w:pPr>
          </w:p>
        </w:tc>
        <w:tc>
          <w:tcPr>
            <w:tcW w:w="1418" w:type="dxa"/>
            <w:vAlign w:val="center"/>
          </w:tcPr>
          <w:p>
            <w:pPr>
              <w:spacing w:line="360" w:lineRule="auto"/>
              <w:jc w:val="center"/>
              <w:rPr>
                <w:rFonts w:ascii="宋体" w:hAnsi="宋体"/>
                <w:color w:val="auto"/>
              </w:rPr>
            </w:pPr>
          </w:p>
        </w:tc>
        <w:tc>
          <w:tcPr>
            <w:tcW w:w="1417" w:type="dxa"/>
            <w:vAlign w:val="center"/>
          </w:tcPr>
          <w:p>
            <w:pPr>
              <w:spacing w:line="360" w:lineRule="auto"/>
              <w:jc w:val="center"/>
              <w:rPr>
                <w:rFonts w:ascii="宋体" w:hAnsi="宋体"/>
                <w:color w:val="auto"/>
              </w:rPr>
            </w:pPr>
          </w:p>
        </w:tc>
        <w:tc>
          <w:tcPr>
            <w:tcW w:w="851" w:type="dxa"/>
            <w:vAlign w:val="center"/>
          </w:tcPr>
          <w:p>
            <w:pPr>
              <w:spacing w:line="360" w:lineRule="auto"/>
              <w:jc w:val="center"/>
              <w:rPr>
                <w:rFonts w:ascii="宋体" w:hAnsi="宋体"/>
                <w:color w:val="auto"/>
              </w:rPr>
            </w:pPr>
          </w:p>
        </w:tc>
        <w:tc>
          <w:tcPr>
            <w:tcW w:w="992" w:type="dxa"/>
            <w:vAlign w:val="center"/>
          </w:tcPr>
          <w:p>
            <w:pPr>
              <w:spacing w:line="360" w:lineRule="auto"/>
              <w:jc w:val="center"/>
              <w:rPr>
                <w:rFonts w:ascii="宋体" w:hAnsi="宋体"/>
                <w:color w:val="auto"/>
              </w:rPr>
            </w:pPr>
          </w:p>
        </w:tc>
        <w:tc>
          <w:tcPr>
            <w:tcW w:w="1346" w:type="dxa"/>
            <w:vAlign w:val="center"/>
          </w:tcPr>
          <w:p>
            <w:pPr>
              <w:spacing w:line="360" w:lineRule="auto"/>
              <w:jc w:val="center"/>
              <w:rPr>
                <w:rFonts w:ascii="宋体" w:hAnsi="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jc w:val="center"/>
        </w:trPr>
        <w:tc>
          <w:tcPr>
            <w:tcW w:w="960" w:type="dxa"/>
            <w:vAlign w:val="center"/>
          </w:tcPr>
          <w:p>
            <w:pPr>
              <w:snapToGrid w:val="0"/>
              <w:spacing w:line="360" w:lineRule="auto"/>
              <w:jc w:val="center"/>
              <w:rPr>
                <w:rFonts w:ascii="宋体" w:hAnsi="宋体"/>
                <w:color w:val="auto"/>
              </w:rPr>
            </w:pPr>
          </w:p>
        </w:tc>
        <w:tc>
          <w:tcPr>
            <w:tcW w:w="1720" w:type="dxa"/>
            <w:vAlign w:val="center"/>
          </w:tcPr>
          <w:p>
            <w:pPr>
              <w:spacing w:line="360" w:lineRule="auto"/>
              <w:jc w:val="center"/>
              <w:rPr>
                <w:rFonts w:ascii="宋体" w:hAnsi="宋体"/>
                <w:color w:val="auto"/>
              </w:rPr>
            </w:pPr>
          </w:p>
        </w:tc>
        <w:tc>
          <w:tcPr>
            <w:tcW w:w="1418" w:type="dxa"/>
          </w:tcPr>
          <w:p>
            <w:pPr>
              <w:spacing w:line="360" w:lineRule="auto"/>
              <w:jc w:val="center"/>
              <w:rPr>
                <w:rFonts w:ascii="宋体" w:hAnsi="宋体"/>
                <w:color w:val="auto"/>
              </w:rPr>
            </w:pPr>
          </w:p>
        </w:tc>
        <w:tc>
          <w:tcPr>
            <w:tcW w:w="1418" w:type="dxa"/>
            <w:vAlign w:val="center"/>
          </w:tcPr>
          <w:p>
            <w:pPr>
              <w:spacing w:line="360" w:lineRule="auto"/>
              <w:jc w:val="center"/>
              <w:rPr>
                <w:rFonts w:ascii="宋体" w:hAnsi="宋体"/>
                <w:color w:val="auto"/>
              </w:rPr>
            </w:pPr>
          </w:p>
        </w:tc>
        <w:tc>
          <w:tcPr>
            <w:tcW w:w="1417" w:type="dxa"/>
            <w:vAlign w:val="center"/>
          </w:tcPr>
          <w:p>
            <w:pPr>
              <w:spacing w:line="360" w:lineRule="auto"/>
              <w:jc w:val="center"/>
              <w:rPr>
                <w:rFonts w:ascii="宋体" w:hAnsi="宋体"/>
                <w:color w:val="auto"/>
              </w:rPr>
            </w:pPr>
          </w:p>
        </w:tc>
        <w:tc>
          <w:tcPr>
            <w:tcW w:w="851" w:type="dxa"/>
            <w:vAlign w:val="center"/>
          </w:tcPr>
          <w:p>
            <w:pPr>
              <w:spacing w:line="360" w:lineRule="auto"/>
              <w:jc w:val="center"/>
              <w:rPr>
                <w:rFonts w:ascii="宋体" w:hAnsi="宋体"/>
                <w:color w:val="auto"/>
              </w:rPr>
            </w:pPr>
          </w:p>
        </w:tc>
        <w:tc>
          <w:tcPr>
            <w:tcW w:w="992" w:type="dxa"/>
            <w:vAlign w:val="center"/>
          </w:tcPr>
          <w:p>
            <w:pPr>
              <w:spacing w:line="360" w:lineRule="auto"/>
              <w:jc w:val="center"/>
              <w:rPr>
                <w:rFonts w:ascii="宋体" w:hAnsi="宋体"/>
                <w:color w:val="auto"/>
              </w:rPr>
            </w:pPr>
          </w:p>
        </w:tc>
        <w:tc>
          <w:tcPr>
            <w:tcW w:w="1346" w:type="dxa"/>
            <w:vAlign w:val="center"/>
          </w:tcPr>
          <w:p>
            <w:pPr>
              <w:spacing w:line="360" w:lineRule="auto"/>
              <w:jc w:val="center"/>
              <w:rPr>
                <w:rFonts w:ascii="宋体" w:hAnsi="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 w:hRule="atLeast"/>
          <w:jc w:val="center"/>
        </w:trPr>
        <w:tc>
          <w:tcPr>
            <w:tcW w:w="8776" w:type="dxa"/>
            <w:gridSpan w:val="7"/>
          </w:tcPr>
          <w:p>
            <w:pPr>
              <w:spacing w:line="360" w:lineRule="auto"/>
              <w:jc w:val="center"/>
              <w:rPr>
                <w:rFonts w:ascii="宋体" w:hAnsi="宋体"/>
                <w:color w:val="auto"/>
              </w:rPr>
            </w:pPr>
            <w:r>
              <w:rPr>
                <w:rFonts w:hint="eastAsia" w:ascii="宋体" w:hAnsi="宋体" w:cs="宋体"/>
                <w:b/>
                <w:color w:val="auto"/>
              </w:rPr>
              <w:t>残疾人福利性单位制造的货物</w:t>
            </w:r>
            <w:r>
              <w:rPr>
                <w:rFonts w:hint="eastAsia" w:ascii="宋体" w:hAnsi="宋体"/>
                <w:b/>
                <w:color w:val="auto"/>
              </w:rPr>
              <w:t>总价合计</w:t>
            </w:r>
          </w:p>
        </w:tc>
        <w:tc>
          <w:tcPr>
            <w:tcW w:w="1346" w:type="dxa"/>
            <w:vAlign w:val="center"/>
          </w:tcPr>
          <w:p>
            <w:pPr>
              <w:spacing w:line="360" w:lineRule="auto"/>
              <w:rPr>
                <w:rFonts w:ascii="宋体" w:hAnsi="宋体"/>
                <w:color w:val="auto"/>
              </w:rPr>
            </w:pPr>
            <w:r>
              <w:rPr>
                <w:rFonts w:hint="eastAsia" w:ascii="宋体" w:hAnsi="宋体"/>
                <w:color w:val="auto"/>
              </w:rPr>
              <w:t>￥</w:t>
            </w:r>
          </w:p>
        </w:tc>
      </w:tr>
    </w:tbl>
    <w:p>
      <w:pPr>
        <w:tabs>
          <w:tab w:val="left" w:pos="630"/>
          <w:tab w:val="left" w:pos="7560"/>
        </w:tabs>
        <w:spacing w:line="360" w:lineRule="auto"/>
        <w:rPr>
          <w:rFonts w:ascii="宋体" w:hAnsi="宋体"/>
          <w:color w:val="auto"/>
          <w:sz w:val="28"/>
          <w:szCs w:val="28"/>
        </w:rPr>
      </w:pPr>
    </w:p>
    <w:p>
      <w:pPr>
        <w:pStyle w:val="16"/>
        <w:ind w:firstLine="566" w:firstLineChars="202"/>
        <w:rPr>
          <w:rFonts w:ascii="宋体" w:hAnsi="宋体"/>
          <w:color w:val="auto"/>
          <w:sz w:val="28"/>
        </w:rPr>
      </w:pPr>
    </w:p>
    <w:p>
      <w:pPr>
        <w:spacing w:line="360" w:lineRule="auto"/>
        <w:rPr>
          <w:rFonts w:ascii="宋体" w:hAnsi="宋体"/>
          <w:color w:val="auto"/>
          <w:sz w:val="28"/>
          <w:lang w:val="zh-CN"/>
        </w:rPr>
      </w:pPr>
      <w:r>
        <w:rPr>
          <w:rFonts w:hint="eastAsia" w:ascii="宋体" w:hAnsi="宋体"/>
          <w:color w:val="auto"/>
          <w:sz w:val="28"/>
          <w:lang w:val="zh-CN"/>
        </w:rPr>
        <w:t>投标人名称：</w:t>
      </w:r>
      <w:r>
        <w:rPr>
          <w:rFonts w:ascii="宋体" w:hAnsi="宋体"/>
          <w:color w:val="auto"/>
          <w:sz w:val="28"/>
          <w:u w:val="single"/>
          <w:lang w:val="zh-CN"/>
        </w:rPr>
        <w:t>XXXXXXXX</w:t>
      </w:r>
    </w:p>
    <w:p>
      <w:pPr>
        <w:pStyle w:val="3"/>
        <w:rPr>
          <w:rFonts w:ascii="宋体" w:hAnsi="宋体"/>
          <w:bCs/>
          <w:color w:val="auto"/>
          <w:sz w:val="28"/>
        </w:rPr>
      </w:pPr>
      <w:r>
        <w:rPr>
          <w:rFonts w:ascii="宋体" w:hAnsi="宋体"/>
          <w:color w:val="auto"/>
          <w:sz w:val="28"/>
        </w:rPr>
        <w:t>日期：</w:t>
      </w:r>
      <w:r>
        <w:rPr>
          <w:rFonts w:ascii="宋体" w:hAnsi="宋体"/>
          <w:bCs/>
          <w:color w:val="auto"/>
          <w:sz w:val="28"/>
        </w:rPr>
        <w:t>202X年XX月XX日</w:t>
      </w:r>
    </w:p>
    <w:p>
      <w:pPr>
        <w:pStyle w:val="3"/>
        <w:rPr>
          <w:rFonts w:ascii="宋体" w:hAnsi="宋体"/>
          <w:bCs/>
          <w:color w:val="auto"/>
          <w:sz w:val="28"/>
        </w:rPr>
      </w:pPr>
    </w:p>
    <w:p>
      <w:pPr>
        <w:pStyle w:val="3"/>
        <w:rPr>
          <w:rFonts w:ascii="宋体" w:hAnsi="宋体"/>
          <w:bCs/>
          <w:color w:val="auto"/>
          <w:sz w:val="28"/>
        </w:rPr>
      </w:pPr>
    </w:p>
    <w:p>
      <w:pPr>
        <w:pStyle w:val="3"/>
        <w:rPr>
          <w:rFonts w:ascii="宋体" w:hAnsi="宋体"/>
          <w:bCs/>
          <w:color w:val="auto"/>
          <w:sz w:val="28"/>
        </w:rPr>
      </w:pPr>
    </w:p>
    <w:p>
      <w:pPr>
        <w:spacing w:line="360" w:lineRule="auto"/>
        <w:rPr>
          <w:rFonts w:ascii="宋体" w:hAnsi="宋体"/>
          <w:color w:val="auto"/>
          <w:sz w:val="28"/>
        </w:rPr>
      </w:pPr>
    </w:p>
    <w:p>
      <w:pPr>
        <w:spacing w:line="360" w:lineRule="auto"/>
        <w:rPr>
          <w:rFonts w:ascii="宋体" w:hAnsi="宋体"/>
          <w:color w:val="auto"/>
          <w:sz w:val="28"/>
        </w:rPr>
      </w:pPr>
    </w:p>
    <w:bookmarkEnd w:id="147"/>
    <w:p>
      <w:pPr>
        <w:keepNext/>
        <w:keepLines/>
        <w:numPr>
          <w:ilvl w:val="0"/>
          <w:numId w:val="5"/>
        </w:numPr>
        <w:spacing w:line="360" w:lineRule="auto"/>
        <w:ind w:left="0" w:firstLine="0"/>
        <w:jc w:val="center"/>
        <w:outlineLvl w:val="0"/>
        <w:rPr>
          <w:rFonts w:ascii="宋体" w:hAnsi="宋体"/>
          <w:b/>
          <w:bCs/>
          <w:color w:val="auto"/>
          <w:spacing w:val="-20"/>
          <w:kern w:val="44"/>
          <w:sz w:val="32"/>
          <w:szCs w:val="32"/>
        </w:rPr>
      </w:pPr>
      <w:bookmarkStart w:id="166" w:name="_Toc16102"/>
      <w:bookmarkStart w:id="167" w:name="_Toc217446093"/>
      <w:bookmarkStart w:id="168" w:name="_Toc316292231"/>
      <w:bookmarkStart w:id="169" w:name="_Toc321382057"/>
      <w:r>
        <w:rPr>
          <w:rFonts w:hint="eastAsia" w:ascii="宋体" w:hAnsi="宋体"/>
          <w:b/>
          <w:bCs/>
          <w:color w:val="auto"/>
          <w:spacing w:val="-20"/>
          <w:kern w:val="44"/>
          <w:sz w:val="32"/>
          <w:szCs w:val="32"/>
        </w:rPr>
        <w:t>招标项目技术、服务、商务及其他要求</w:t>
      </w:r>
      <w:bookmarkEnd w:id="166"/>
      <w:bookmarkEnd w:id="167"/>
    </w:p>
    <w:p>
      <w:pPr>
        <w:keepNext/>
        <w:keepLines/>
        <w:numPr>
          <w:ilvl w:val="1"/>
          <w:numId w:val="5"/>
        </w:numPr>
        <w:tabs>
          <w:tab w:val="left" w:pos="0"/>
          <w:tab w:val="left" w:pos="426"/>
          <w:tab w:val="left" w:pos="576"/>
          <w:tab w:val="left" w:pos="786"/>
        </w:tabs>
        <w:spacing w:line="360" w:lineRule="auto"/>
        <w:ind w:left="0" w:firstLine="0"/>
        <w:outlineLvl w:val="1"/>
        <w:rPr>
          <w:rFonts w:ascii="宋体" w:hAnsi="宋体"/>
          <w:b/>
          <w:bCs/>
          <w:color w:val="auto"/>
          <w:sz w:val="32"/>
          <w:szCs w:val="32"/>
        </w:rPr>
      </w:pPr>
      <w:bookmarkStart w:id="170" w:name="_Toc29127"/>
      <w:r>
        <w:rPr>
          <w:rFonts w:hint="eastAsia" w:ascii="宋体" w:hAnsi="宋体"/>
          <w:b/>
          <w:bCs/>
          <w:color w:val="auto"/>
          <w:sz w:val="32"/>
          <w:szCs w:val="32"/>
        </w:rPr>
        <w:t>项目概况</w:t>
      </w:r>
      <w:bookmarkEnd w:id="170"/>
    </w:p>
    <w:p>
      <w:pPr>
        <w:tabs>
          <w:tab w:val="left" w:pos="851"/>
        </w:tabs>
        <w:spacing w:line="360" w:lineRule="auto"/>
        <w:ind w:firstLine="566" w:firstLineChars="202"/>
        <w:rPr>
          <w:rFonts w:ascii="宋体" w:hAnsi="宋体"/>
          <w:b/>
          <w:bCs/>
          <w:color w:val="auto"/>
          <w:sz w:val="28"/>
          <w:szCs w:val="32"/>
        </w:rPr>
      </w:pPr>
      <w:r>
        <w:rPr>
          <w:rFonts w:hint="eastAsia" w:ascii="宋体" w:hAnsi="宋体"/>
          <w:color w:val="auto"/>
          <w:sz w:val="28"/>
          <w:szCs w:val="28"/>
          <w:lang w:eastAsia="zh-CN"/>
        </w:rPr>
        <w:t>成都市锦江区殡葬服务中心</w:t>
      </w:r>
      <w:r>
        <w:rPr>
          <w:rFonts w:hint="eastAsia" w:ascii="宋体" w:hAnsi="宋体"/>
          <w:color w:val="auto"/>
          <w:sz w:val="28"/>
          <w:szCs w:val="28"/>
        </w:rPr>
        <w:t>采购</w:t>
      </w:r>
      <w:r>
        <w:rPr>
          <w:rFonts w:hint="eastAsia" w:ascii="宋体" w:hAnsi="宋体"/>
          <w:color w:val="auto"/>
          <w:sz w:val="28"/>
          <w:szCs w:val="28"/>
          <w:lang w:eastAsia="zh-CN"/>
        </w:rPr>
        <w:t>电梯一台。</w:t>
      </w:r>
    </w:p>
    <w:p>
      <w:pPr>
        <w:keepNext/>
        <w:keepLines/>
        <w:numPr>
          <w:ilvl w:val="1"/>
          <w:numId w:val="5"/>
        </w:numPr>
        <w:tabs>
          <w:tab w:val="left" w:pos="0"/>
          <w:tab w:val="left" w:pos="426"/>
          <w:tab w:val="left" w:pos="576"/>
          <w:tab w:val="left" w:pos="786"/>
        </w:tabs>
        <w:spacing w:line="360" w:lineRule="auto"/>
        <w:ind w:left="0" w:firstLine="0"/>
        <w:outlineLvl w:val="1"/>
        <w:rPr>
          <w:rFonts w:ascii="宋体" w:hAnsi="宋体"/>
          <w:b/>
          <w:bCs/>
          <w:color w:val="auto"/>
          <w:sz w:val="28"/>
          <w:szCs w:val="32"/>
        </w:rPr>
      </w:pPr>
      <w:bookmarkStart w:id="171" w:name="_Toc26394"/>
      <w:r>
        <w:rPr>
          <w:rFonts w:hint="eastAsia" w:ascii="宋体" w:hAnsi="宋体"/>
          <w:b/>
          <w:bCs/>
          <w:color w:val="auto"/>
          <w:sz w:val="28"/>
          <w:szCs w:val="32"/>
        </w:rPr>
        <w:t>技术参数及要求</w:t>
      </w:r>
      <w:bookmarkEnd w:id="171"/>
    </w:p>
    <w:p>
      <w:pPr>
        <w:pStyle w:val="150"/>
        <w:tabs>
          <w:tab w:val="left" w:pos="0"/>
        </w:tabs>
        <w:wordWrap w:val="0"/>
        <w:spacing w:line="440" w:lineRule="exact"/>
        <w:ind w:firstLine="482"/>
        <w:jc w:val="left"/>
        <w:outlineLvl w:val="1"/>
        <w:rPr>
          <w:rFonts w:ascii="宋体" w:hAnsi="宋体" w:eastAsia="宋体" w:cs="宋体"/>
          <w:b/>
          <w:bCs/>
          <w:color w:val="auto"/>
          <w:sz w:val="24"/>
        </w:rPr>
      </w:pPr>
      <w:bookmarkStart w:id="172" w:name="_Toc25649"/>
      <w:bookmarkStart w:id="173" w:name="_Toc25301"/>
      <w:bookmarkStart w:id="174" w:name="_Toc5606"/>
      <w:bookmarkStart w:id="175" w:name="_Toc28252"/>
      <w:bookmarkStart w:id="176" w:name="_Toc24930"/>
      <w:bookmarkStart w:id="177" w:name="_Toc533672602"/>
      <w:bookmarkStart w:id="178" w:name="_Toc529173741"/>
      <w:r>
        <w:rPr>
          <w:rFonts w:hint="eastAsia" w:ascii="宋体" w:hAnsi="宋体" w:eastAsia="宋体" w:cs="宋体"/>
          <w:b/>
          <w:bCs/>
          <w:color w:val="auto"/>
          <w:sz w:val="24"/>
        </w:rPr>
        <w:t>一、采购清单</w:t>
      </w:r>
      <w:bookmarkEnd w:id="172"/>
      <w:bookmarkEnd w:id="173"/>
      <w:bookmarkEnd w:id="174"/>
      <w:bookmarkEnd w:id="175"/>
      <w:bookmarkEnd w:id="176"/>
    </w:p>
    <w:p>
      <w:pPr>
        <w:ind w:firstLine="482" w:firstLineChars="200"/>
        <w:jc w:val="left"/>
        <w:rPr>
          <w:rFonts w:ascii="宋体" w:hAnsi="宋体" w:eastAsia="宋体" w:cs="宋体"/>
          <w:b/>
          <w:bCs/>
          <w:color w:val="auto"/>
          <w:sz w:val="24"/>
        </w:rPr>
      </w:pPr>
      <w:bookmarkStart w:id="179" w:name="_Toc31350"/>
      <w:bookmarkStart w:id="180" w:name="_Toc25760"/>
      <w:r>
        <w:rPr>
          <w:rFonts w:hint="eastAsia" w:ascii="宋体" w:hAnsi="宋体" w:eastAsia="宋体" w:cs="宋体"/>
          <w:b/>
          <w:bCs/>
          <w:color w:val="auto"/>
          <w:sz w:val="24"/>
        </w:rPr>
        <w:t>(一)电梯采购内容及要求</w:t>
      </w:r>
    </w:p>
    <w:tbl>
      <w:tblPr>
        <w:tblStyle w:val="47"/>
        <w:tblW w:w="8939"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36"/>
        <w:gridCol w:w="3306"/>
        <w:gridCol w:w="499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312" w:hRule="atLeast"/>
          <w:tblHeader/>
          <w:jc w:val="center"/>
        </w:trPr>
        <w:tc>
          <w:tcPr>
            <w:tcW w:w="636"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bCs/>
                <w:color w:val="auto"/>
                <w:szCs w:val="21"/>
                <w:lang w:val="zh-CN"/>
              </w:rPr>
            </w:pPr>
            <w:r>
              <w:rPr>
                <w:rFonts w:hint="eastAsia" w:ascii="宋体" w:hAnsi="宋体" w:eastAsia="宋体" w:cs="宋体"/>
                <w:b/>
                <w:bCs/>
                <w:color w:val="auto"/>
                <w:szCs w:val="21"/>
                <w:lang w:val="zh-CN"/>
              </w:rPr>
              <w:t>序号</w:t>
            </w:r>
          </w:p>
        </w:tc>
        <w:tc>
          <w:tcPr>
            <w:tcW w:w="3306"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bCs/>
                <w:color w:val="auto"/>
                <w:szCs w:val="21"/>
                <w:lang w:val="zh-CN"/>
              </w:rPr>
            </w:pPr>
            <w:r>
              <w:rPr>
                <w:rFonts w:hint="eastAsia" w:ascii="宋体" w:hAnsi="宋体" w:eastAsia="宋体" w:cs="宋体"/>
                <w:b/>
                <w:bCs/>
                <w:color w:val="auto"/>
                <w:szCs w:val="21"/>
                <w:lang w:val="zh-CN"/>
              </w:rPr>
              <w:t>项目</w:t>
            </w:r>
          </w:p>
        </w:tc>
        <w:tc>
          <w:tcPr>
            <w:tcW w:w="4997"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bCs/>
                <w:color w:val="auto"/>
                <w:szCs w:val="21"/>
                <w:lang w:val="zh-CN"/>
              </w:rPr>
            </w:pPr>
            <w:r>
              <w:rPr>
                <w:rFonts w:hint="eastAsia" w:ascii="宋体" w:hAnsi="宋体" w:eastAsia="宋体" w:cs="宋体"/>
                <w:b/>
                <w:bCs/>
                <w:color w:val="auto"/>
                <w:szCs w:val="21"/>
                <w:lang w:val="zh-CN"/>
              </w:rPr>
              <w:t>技术要求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312" w:hRule="atLeast"/>
          <w:jc w:val="center"/>
        </w:trPr>
        <w:tc>
          <w:tcPr>
            <w:tcW w:w="636"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color w:val="auto"/>
                <w:szCs w:val="21"/>
                <w:lang w:val="zh-CN"/>
              </w:rPr>
            </w:pPr>
          </w:p>
        </w:tc>
        <w:tc>
          <w:tcPr>
            <w:tcW w:w="3306"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color w:val="auto"/>
                <w:szCs w:val="21"/>
                <w:lang w:val="zh-CN"/>
              </w:rPr>
            </w:pPr>
          </w:p>
        </w:tc>
        <w:tc>
          <w:tcPr>
            <w:tcW w:w="4997"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color w:val="auto"/>
                <w:szCs w:val="21"/>
                <w:lang w:val="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6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color w:val="auto"/>
                <w:szCs w:val="21"/>
              </w:rPr>
            </w:pPr>
            <w:r>
              <w:rPr>
                <w:rFonts w:hint="eastAsia" w:ascii="宋体" w:hAnsi="宋体" w:eastAsia="宋体" w:cs="宋体"/>
                <w:color w:val="auto"/>
                <w:szCs w:val="21"/>
              </w:rPr>
              <w:t>1</w:t>
            </w:r>
          </w:p>
        </w:tc>
        <w:tc>
          <w:tcPr>
            <w:tcW w:w="3306"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color w:val="auto"/>
                <w:szCs w:val="21"/>
                <w:lang w:val="zh-CN"/>
              </w:rPr>
            </w:pPr>
            <w:r>
              <w:rPr>
                <w:rFonts w:hint="eastAsia" w:ascii="宋体" w:hAnsi="宋体" w:eastAsia="宋体" w:cs="宋体"/>
                <w:color w:val="auto"/>
                <w:szCs w:val="21"/>
                <w:lang w:val="zh-CN"/>
              </w:rPr>
              <w:t xml:space="preserve">★数量 </w:t>
            </w:r>
          </w:p>
        </w:tc>
        <w:tc>
          <w:tcPr>
            <w:tcW w:w="4997"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color w:val="auto"/>
                <w:szCs w:val="21"/>
                <w:lang w:val="zh-CN"/>
              </w:rPr>
            </w:pPr>
            <w:r>
              <w:rPr>
                <w:rFonts w:hint="eastAsia" w:ascii="宋体" w:hAnsi="宋体" w:eastAsia="宋体" w:cs="宋体"/>
                <w:color w:val="auto"/>
                <w:szCs w:val="21"/>
              </w:rPr>
              <w:t>1</w:t>
            </w:r>
            <w:r>
              <w:rPr>
                <w:rFonts w:hint="eastAsia" w:ascii="宋体" w:hAnsi="宋体" w:eastAsia="宋体" w:cs="宋体"/>
                <w:color w:val="auto"/>
                <w:szCs w:val="21"/>
                <w:lang w:val="zh-CN"/>
              </w:rPr>
              <w:t xml:space="preserve"> 台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6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color w:val="auto"/>
                <w:szCs w:val="21"/>
              </w:rPr>
            </w:pPr>
            <w:r>
              <w:rPr>
                <w:rFonts w:hint="eastAsia" w:ascii="宋体" w:hAnsi="宋体" w:eastAsia="宋体" w:cs="宋体"/>
                <w:color w:val="auto"/>
                <w:szCs w:val="21"/>
              </w:rPr>
              <w:t>2</w:t>
            </w:r>
          </w:p>
        </w:tc>
        <w:tc>
          <w:tcPr>
            <w:tcW w:w="3306"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color w:val="auto"/>
                <w:szCs w:val="21"/>
                <w:lang w:val="zh-CN"/>
              </w:rPr>
            </w:pPr>
            <w:r>
              <w:rPr>
                <w:rFonts w:hint="eastAsia" w:ascii="宋体" w:hAnsi="宋体" w:eastAsia="宋体" w:cs="宋体"/>
                <w:color w:val="auto"/>
                <w:szCs w:val="21"/>
                <w:lang w:val="zh-CN"/>
              </w:rPr>
              <w:t xml:space="preserve">★载重量 </w:t>
            </w:r>
          </w:p>
        </w:tc>
        <w:tc>
          <w:tcPr>
            <w:tcW w:w="4997"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color w:val="auto"/>
                <w:szCs w:val="21"/>
                <w:lang w:val="zh-CN"/>
              </w:rPr>
            </w:pPr>
            <w:r>
              <w:rPr>
                <w:rFonts w:hint="eastAsia" w:ascii="宋体" w:hAnsi="宋体" w:eastAsia="宋体" w:cs="宋体"/>
                <w:color w:val="auto"/>
                <w:szCs w:val="21"/>
                <w:lang w:val="zh-CN"/>
              </w:rPr>
              <w:t>≥1</w:t>
            </w:r>
            <w:r>
              <w:rPr>
                <w:rFonts w:hint="eastAsia" w:ascii="宋体" w:hAnsi="宋体" w:eastAsia="宋体" w:cs="宋体"/>
                <w:color w:val="auto"/>
                <w:szCs w:val="21"/>
              </w:rPr>
              <w:t>6</w:t>
            </w:r>
            <w:r>
              <w:rPr>
                <w:rFonts w:hint="eastAsia" w:ascii="宋体" w:hAnsi="宋体" w:eastAsia="宋体" w:cs="宋体"/>
                <w:color w:val="auto"/>
                <w:szCs w:val="21"/>
                <w:lang w:val="zh-CN"/>
              </w:rPr>
              <w:t>00kg</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6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color w:val="auto"/>
                <w:szCs w:val="21"/>
              </w:rPr>
            </w:pPr>
            <w:r>
              <w:rPr>
                <w:rFonts w:hint="eastAsia" w:ascii="宋体" w:hAnsi="宋体" w:eastAsia="宋体" w:cs="宋体"/>
                <w:color w:val="auto"/>
                <w:szCs w:val="21"/>
              </w:rPr>
              <w:t>3</w:t>
            </w:r>
          </w:p>
        </w:tc>
        <w:tc>
          <w:tcPr>
            <w:tcW w:w="3306"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color w:val="auto"/>
                <w:szCs w:val="21"/>
                <w:lang w:val="zh-CN"/>
              </w:rPr>
            </w:pPr>
            <w:r>
              <w:rPr>
                <w:rFonts w:hint="eastAsia" w:ascii="宋体" w:hAnsi="宋体" w:eastAsia="宋体" w:cs="宋体"/>
                <w:color w:val="auto"/>
                <w:szCs w:val="21"/>
                <w:lang w:val="zh-CN"/>
              </w:rPr>
              <w:t xml:space="preserve">▲载客人数 </w:t>
            </w:r>
          </w:p>
        </w:tc>
        <w:tc>
          <w:tcPr>
            <w:tcW w:w="4997"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color w:val="auto"/>
                <w:szCs w:val="21"/>
                <w:lang w:val="zh-CN"/>
              </w:rPr>
            </w:pPr>
            <w:r>
              <w:rPr>
                <w:rFonts w:hint="eastAsia" w:ascii="宋体" w:hAnsi="宋体" w:eastAsia="宋体" w:cs="宋体"/>
                <w:color w:val="auto"/>
                <w:szCs w:val="21"/>
                <w:lang w:val="zh-CN"/>
              </w:rPr>
              <w:t>≥</w:t>
            </w:r>
            <w:r>
              <w:rPr>
                <w:rFonts w:hint="eastAsia" w:ascii="宋体" w:hAnsi="宋体" w:eastAsia="宋体" w:cs="宋体"/>
                <w:color w:val="auto"/>
                <w:szCs w:val="21"/>
              </w:rPr>
              <w:t>21</w:t>
            </w:r>
            <w:r>
              <w:rPr>
                <w:rFonts w:hint="eastAsia" w:ascii="宋体" w:hAnsi="宋体" w:eastAsia="宋体" w:cs="宋体"/>
                <w:color w:val="auto"/>
                <w:szCs w:val="21"/>
                <w:lang w:val="zh-CN"/>
              </w:rPr>
              <w:t xml:space="preserve">人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6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color w:val="auto"/>
                <w:szCs w:val="21"/>
              </w:rPr>
            </w:pPr>
            <w:r>
              <w:rPr>
                <w:rFonts w:hint="eastAsia" w:ascii="宋体" w:hAnsi="宋体" w:eastAsia="宋体" w:cs="宋体"/>
                <w:color w:val="auto"/>
                <w:szCs w:val="21"/>
              </w:rPr>
              <w:t>4</w:t>
            </w:r>
          </w:p>
        </w:tc>
        <w:tc>
          <w:tcPr>
            <w:tcW w:w="3306"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color w:val="auto"/>
                <w:szCs w:val="21"/>
                <w:lang w:val="zh-CN"/>
              </w:rPr>
            </w:pPr>
            <w:r>
              <w:rPr>
                <w:rFonts w:hint="eastAsia" w:ascii="宋体" w:hAnsi="宋体" w:eastAsia="宋体" w:cs="宋体"/>
                <w:color w:val="auto"/>
                <w:szCs w:val="21"/>
                <w:lang w:val="zh-CN"/>
              </w:rPr>
              <w:t xml:space="preserve">★速度 </w:t>
            </w:r>
          </w:p>
        </w:tc>
        <w:tc>
          <w:tcPr>
            <w:tcW w:w="4997"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color w:val="auto"/>
                <w:szCs w:val="21"/>
                <w:lang w:val="zh-CN"/>
              </w:rPr>
            </w:pPr>
            <w:r>
              <w:rPr>
                <w:rFonts w:hint="eastAsia" w:ascii="宋体" w:hAnsi="宋体" w:eastAsia="宋体" w:cs="宋体"/>
                <w:color w:val="auto"/>
                <w:szCs w:val="21"/>
                <w:lang w:val="zh-CN"/>
              </w:rPr>
              <w:t>≥</w:t>
            </w:r>
            <w:r>
              <w:rPr>
                <w:rFonts w:hint="eastAsia" w:ascii="宋体" w:hAnsi="宋体" w:eastAsia="宋体" w:cs="宋体"/>
                <w:color w:val="auto"/>
                <w:szCs w:val="21"/>
              </w:rPr>
              <w:t>1.0</w:t>
            </w:r>
            <w:r>
              <w:rPr>
                <w:rFonts w:hint="eastAsia" w:ascii="宋体" w:hAnsi="宋体" w:eastAsia="宋体" w:cs="宋体"/>
                <w:color w:val="auto"/>
                <w:szCs w:val="21"/>
                <w:lang w:val="zh-CN"/>
              </w:rPr>
              <w:t xml:space="preserve"> m/s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jc w:val="center"/>
        </w:trPr>
        <w:tc>
          <w:tcPr>
            <w:tcW w:w="6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color w:val="auto"/>
                <w:szCs w:val="21"/>
              </w:rPr>
            </w:pPr>
            <w:r>
              <w:rPr>
                <w:rFonts w:hint="eastAsia" w:ascii="宋体" w:hAnsi="宋体" w:eastAsia="宋体" w:cs="宋体"/>
                <w:color w:val="auto"/>
                <w:szCs w:val="21"/>
              </w:rPr>
              <w:t>5</w:t>
            </w:r>
          </w:p>
        </w:tc>
        <w:tc>
          <w:tcPr>
            <w:tcW w:w="3306" w:type="dxa"/>
            <w:tcBorders>
              <w:top w:val="single" w:color="auto" w:sz="4" w:space="0"/>
              <w:left w:val="single" w:color="auto" w:sz="4" w:space="0"/>
              <w:right w:val="single" w:color="auto" w:sz="4" w:space="0"/>
            </w:tcBorders>
            <w:vAlign w:val="center"/>
          </w:tcPr>
          <w:p>
            <w:pPr>
              <w:rPr>
                <w:rFonts w:ascii="宋体" w:hAnsi="宋体" w:eastAsia="宋体" w:cs="宋体"/>
                <w:color w:val="auto"/>
                <w:szCs w:val="21"/>
                <w:lang w:val="zh-CN"/>
              </w:rPr>
            </w:pPr>
            <w:r>
              <w:rPr>
                <w:rFonts w:hint="eastAsia" w:ascii="宋体" w:hAnsi="宋体" w:eastAsia="宋体" w:cs="宋体"/>
                <w:color w:val="auto"/>
                <w:szCs w:val="21"/>
                <w:lang w:val="zh-CN"/>
              </w:rPr>
              <w:t>★层站</w:t>
            </w:r>
          </w:p>
        </w:tc>
        <w:tc>
          <w:tcPr>
            <w:tcW w:w="4997" w:type="dxa"/>
            <w:tcBorders>
              <w:top w:val="single" w:color="auto" w:sz="4" w:space="0"/>
              <w:left w:val="single" w:color="auto" w:sz="4" w:space="0"/>
              <w:right w:val="single" w:color="auto" w:sz="4" w:space="0"/>
            </w:tcBorders>
            <w:vAlign w:val="center"/>
          </w:tcPr>
          <w:p>
            <w:pPr>
              <w:rPr>
                <w:rFonts w:ascii="宋体" w:hAnsi="宋体" w:eastAsia="宋体" w:cs="宋体"/>
                <w:color w:val="auto"/>
                <w:szCs w:val="21"/>
              </w:rPr>
            </w:pPr>
            <w:r>
              <w:rPr>
                <w:rFonts w:hint="eastAsia" w:ascii="宋体" w:hAnsi="宋体" w:eastAsia="宋体" w:cs="宋体"/>
                <w:color w:val="auto"/>
                <w:szCs w:val="21"/>
              </w:rPr>
              <w:t>2层2站</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6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color w:val="auto"/>
                <w:szCs w:val="21"/>
              </w:rPr>
            </w:pPr>
            <w:r>
              <w:rPr>
                <w:rFonts w:hint="eastAsia" w:ascii="宋体" w:hAnsi="宋体" w:eastAsia="宋体" w:cs="宋体"/>
                <w:color w:val="auto"/>
                <w:szCs w:val="21"/>
              </w:rPr>
              <w:t>6</w:t>
            </w:r>
          </w:p>
        </w:tc>
        <w:tc>
          <w:tcPr>
            <w:tcW w:w="3306"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color w:val="auto"/>
                <w:szCs w:val="21"/>
                <w:lang w:val="zh-CN"/>
              </w:rPr>
            </w:pPr>
            <w:r>
              <w:rPr>
                <w:rFonts w:hint="eastAsia" w:ascii="宋体" w:hAnsi="宋体" w:eastAsia="宋体" w:cs="宋体"/>
                <w:color w:val="auto"/>
                <w:szCs w:val="21"/>
                <w:lang w:val="zh-CN"/>
              </w:rPr>
              <w:t xml:space="preserve">★基层 </w:t>
            </w:r>
          </w:p>
        </w:tc>
        <w:tc>
          <w:tcPr>
            <w:tcW w:w="4997"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color w:val="auto"/>
                <w:szCs w:val="21"/>
                <w:lang w:val="zh-CN"/>
              </w:rPr>
            </w:pPr>
            <w:r>
              <w:rPr>
                <w:rFonts w:hint="eastAsia" w:ascii="宋体" w:hAnsi="宋体" w:eastAsia="宋体" w:cs="宋体"/>
                <w:color w:val="auto"/>
                <w:szCs w:val="21"/>
                <w:lang w:val="zh-CN"/>
              </w:rPr>
              <w:t>一层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6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color w:val="auto"/>
                <w:szCs w:val="21"/>
              </w:rPr>
            </w:pPr>
            <w:r>
              <w:rPr>
                <w:rFonts w:hint="eastAsia" w:ascii="宋体" w:hAnsi="宋体" w:eastAsia="宋体" w:cs="宋体"/>
                <w:color w:val="auto"/>
                <w:szCs w:val="21"/>
              </w:rPr>
              <w:t>7</w:t>
            </w:r>
          </w:p>
        </w:tc>
        <w:tc>
          <w:tcPr>
            <w:tcW w:w="3306"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color w:val="auto"/>
                <w:szCs w:val="21"/>
                <w:lang w:val="zh-CN"/>
              </w:rPr>
            </w:pPr>
            <w:r>
              <w:rPr>
                <w:rFonts w:hint="eastAsia" w:ascii="宋体" w:hAnsi="宋体" w:eastAsia="宋体" w:cs="宋体"/>
                <w:color w:val="auto"/>
                <w:szCs w:val="21"/>
                <w:lang w:val="zh-CN"/>
              </w:rPr>
              <w:t xml:space="preserve">▲机房位置 </w:t>
            </w:r>
          </w:p>
        </w:tc>
        <w:tc>
          <w:tcPr>
            <w:tcW w:w="4997"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color w:val="auto"/>
                <w:szCs w:val="21"/>
              </w:rPr>
            </w:pPr>
            <w:r>
              <w:rPr>
                <w:rFonts w:hint="eastAsia" w:ascii="宋体" w:hAnsi="宋体" w:eastAsia="宋体" w:cs="宋体"/>
                <w:color w:val="auto"/>
                <w:szCs w:val="21"/>
              </w:rPr>
              <w:t>无机房</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6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color w:val="auto"/>
                <w:szCs w:val="21"/>
              </w:rPr>
            </w:pPr>
            <w:r>
              <w:rPr>
                <w:rFonts w:hint="eastAsia" w:ascii="宋体" w:hAnsi="宋体" w:eastAsia="宋体" w:cs="宋体"/>
                <w:color w:val="auto"/>
                <w:szCs w:val="21"/>
              </w:rPr>
              <w:t>8</w:t>
            </w:r>
          </w:p>
        </w:tc>
        <w:tc>
          <w:tcPr>
            <w:tcW w:w="3306"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color w:val="auto"/>
                <w:szCs w:val="21"/>
                <w:lang w:val="zh-CN"/>
              </w:rPr>
            </w:pPr>
            <w:r>
              <w:rPr>
                <w:rFonts w:hint="eastAsia" w:ascii="宋体" w:hAnsi="宋体" w:eastAsia="宋体" w:cs="宋体"/>
                <w:color w:val="auto"/>
                <w:szCs w:val="21"/>
                <w:lang w:val="zh-CN"/>
              </w:rPr>
              <w:t xml:space="preserve">▲驱动系统 </w:t>
            </w:r>
          </w:p>
        </w:tc>
        <w:tc>
          <w:tcPr>
            <w:tcW w:w="4997" w:type="dxa"/>
            <w:tcBorders>
              <w:top w:val="single" w:color="auto" w:sz="4" w:space="0"/>
              <w:left w:val="single" w:color="auto" w:sz="4" w:space="0"/>
              <w:bottom w:val="single" w:color="auto" w:sz="4" w:space="0"/>
              <w:right w:val="single" w:color="auto" w:sz="4" w:space="0"/>
            </w:tcBorders>
          </w:tcPr>
          <w:p>
            <w:pPr>
              <w:rPr>
                <w:rFonts w:ascii="宋体" w:hAnsi="宋体" w:eastAsia="宋体" w:cs="宋体"/>
                <w:color w:val="auto"/>
                <w:szCs w:val="21"/>
                <w:lang w:val="zh-CN"/>
              </w:rPr>
            </w:pPr>
            <w:r>
              <w:rPr>
                <w:rFonts w:hint="eastAsia" w:ascii="宋体" w:hAnsi="宋体" w:eastAsia="宋体" w:cs="宋体"/>
                <w:color w:val="auto"/>
                <w:szCs w:val="21"/>
                <w:lang w:val="zh-CN"/>
              </w:rPr>
              <w:t xml:space="preserve">交流变频、调压、调速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6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color w:val="auto"/>
                <w:szCs w:val="21"/>
              </w:rPr>
            </w:pPr>
            <w:r>
              <w:rPr>
                <w:rFonts w:hint="eastAsia" w:ascii="宋体" w:hAnsi="宋体" w:eastAsia="宋体" w:cs="宋体"/>
                <w:color w:val="auto"/>
                <w:szCs w:val="21"/>
              </w:rPr>
              <w:t>9</w:t>
            </w:r>
          </w:p>
        </w:tc>
        <w:tc>
          <w:tcPr>
            <w:tcW w:w="3306"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color w:val="auto"/>
                <w:szCs w:val="21"/>
                <w:lang w:val="zh-CN"/>
              </w:rPr>
            </w:pPr>
            <w:r>
              <w:rPr>
                <w:rFonts w:hint="eastAsia" w:ascii="宋体" w:hAnsi="宋体" w:eastAsia="宋体" w:cs="宋体"/>
                <w:color w:val="auto"/>
                <w:szCs w:val="21"/>
                <w:lang w:val="zh-CN"/>
              </w:rPr>
              <w:t xml:space="preserve">▲控制方式 </w:t>
            </w:r>
          </w:p>
        </w:tc>
        <w:tc>
          <w:tcPr>
            <w:tcW w:w="4997" w:type="dxa"/>
            <w:tcBorders>
              <w:top w:val="single" w:color="auto" w:sz="4" w:space="0"/>
              <w:left w:val="single" w:color="auto" w:sz="4" w:space="0"/>
              <w:bottom w:val="single" w:color="auto" w:sz="4" w:space="0"/>
              <w:right w:val="single" w:color="auto" w:sz="4" w:space="0"/>
            </w:tcBorders>
          </w:tcPr>
          <w:p>
            <w:pPr>
              <w:rPr>
                <w:rFonts w:ascii="宋体" w:hAnsi="宋体" w:eastAsia="宋体" w:cs="宋体"/>
                <w:color w:val="auto"/>
                <w:szCs w:val="21"/>
                <w:lang w:val="zh-CN"/>
              </w:rPr>
            </w:pPr>
            <w:r>
              <w:rPr>
                <w:rFonts w:hint="eastAsia" w:ascii="宋体" w:hAnsi="宋体" w:eastAsia="宋体" w:cs="宋体"/>
                <w:color w:val="auto"/>
                <w:szCs w:val="21"/>
                <w:lang w:val="zh-CN"/>
              </w:rPr>
              <w:t>双32位电脑控制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6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color w:val="auto"/>
                <w:szCs w:val="21"/>
              </w:rPr>
            </w:pPr>
            <w:r>
              <w:rPr>
                <w:rFonts w:hint="eastAsia" w:ascii="宋体" w:hAnsi="宋体" w:eastAsia="宋体" w:cs="宋体"/>
                <w:color w:val="auto"/>
                <w:szCs w:val="21"/>
              </w:rPr>
              <w:t>10</w:t>
            </w:r>
          </w:p>
        </w:tc>
        <w:tc>
          <w:tcPr>
            <w:tcW w:w="3306"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color w:val="auto"/>
                <w:szCs w:val="21"/>
                <w:lang w:val="zh-CN"/>
              </w:rPr>
            </w:pPr>
            <w:r>
              <w:rPr>
                <w:rFonts w:hint="eastAsia" w:ascii="宋体" w:hAnsi="宋体" w:eastAsia="宋体" w:cs="宋体"/>
                <w:color w:val="auto"/>
                <w:szCs w:val="21"/>
                <w:lang w:val="zh-CN"/>
              </w:rPr>
              <w:t xml:space="preserve">▲平层方式 </w:t>
            </w:r>
          </w:p>
        </w:tc>
        <w:tc>
          <w:tcPr>
            <w:tcW w:w="4997"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color w:val="auto"/>
                <w:szCs w:val="21"/>
                <w:lang w:val="zh-CN"/>
              </w:rPr>
            </w:pPr>
            <w:r>
              <w:rPr>
                <w:rFonts w:hint="eastAsia" w:ascii="宋体" w:hAnsi="宋体" w:eastAsia="宋体" w:cs="宋体"/>
                <w:color w:val="auto"/>
                <w:szCs w:val="21"/>
                <w:lang w:val="zh-CN"/>
              </w:rPr>
              <w:t>光电传感自动平层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6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color w:val="auto"/>
                <w:szCs w:val="21"/>
              </w:rPr>
            </w:pPr>
            <w:r>
              <w:rPr>
                <w:rFonts w:hint="eastAsia" w:ascii="宋体" w:hAnsi="宋体" w:eastAsia="宋体" w:cs="宋体"/>
                <w:color w:val="auto"/>
                <w:szCs w:val="21"/>
              </w:rPr>
              <w:t>11</w:t>
            </w:r>
          </w:p>
        </w:tc>
        <w:tc>
          <w:tcPr>
            <w:tcW w:w="3306"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color w:val="auto"/>
                <w:szCs w:val="21"/>
                <w:lang w:val="zh-CN"/>
              </w:rPr>
            </w:pPr>
            <w:r>
              <w:rPr>
                <w:rFonts w:hint="eastAsia" w:ascii="宋体" w:hAnsi="宋体" w:eastAsia="宋体" w:cs="宋体"/>
                <w:color w:val="auto"/>
                <w:szCs w:val="21"/>
                <w:lang w:val="zh-CN"/>
              </w:rPr>
              <w:t xml:space="preserve">▲开门方式 </w:t>
            </w:r>
          </w:p>
        </w:tc>
        <w:tc>
          <w:tcPr>
            <w:tcW w:w="4997"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color w:val="auto"/>
                <w:szCs w:val="21"/>
              </w:rPr>
            </w:pPr>
            <w:r>
              <w:rPr>
                <w:rFonts w:hint="eastAsia" w:ascii="宋体" w:hAnsi="宋体" w:eastAsia="宋体" w:cs="宋体"/>
                <w:color w:val="auto"/>
                <w:szCs w:val="21"/>
                <w:lang w:val="zh-CN"/>
              </w:rPr>
              <w:t>中分式、</w:t>
            </w:r>
            <w:r>
              <w:rPr>
                <w:rFonts w:hint="eastAsia" w:ascii="宋体" w:hAnsi="宋体" w:eastAsia="宋体" w:cs="宋体"/>
                <w:color w:val="auto"/>
                <w:szCs w:val="21"/>
              </w:rPr>
              <w:t>对开门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6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color w:val="auto"/>
                <w:szCs w:val="21"/>
              </w:rPr>
            </w:pPr>
            <w:r>
              <w:rPr>
                <w:rFonts w:hint="eastAsia" w:ascii="宋体" w:hAnsi="宋体" w:eastAsia="宋体" w:cs="宋体"/>
                <w:color w:val="auto"/>
                <w:szCs w:val="21"/>
              </w:rPr>
              <w:t>12</w:t>
            </w:r>
          </w:p>
        </w:tc>
        <w:tc>
          <w:tcPr>
            <w:tcW w:w="3306"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color w:val="auto"/>
                <w:szCs w:val="21"/>
                <w:lang w:val="zh-CN"/>
              </w:rPr>
            </w:pPr>
            <w:r>
              <w:rPr>
                <w:rFonts w:hint="eastAsia" w:ascii="宋体" w:hAnsi="宋体" w:eastAsia="宋体" w:cs="宋体"/>
                <w:color w:val="auto"/>
                <w:szCs w:val="21"/>
                <w:lang w:val="zh-CN"/>
              </w:rPr>
              <w:t xml:space="preserve">▲电源 </w:t>
            </w:r>
          </w:p>
        </w:tc>
        <w:tc>
          <w:tcPr>
            <w:tcW w:w="4997"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color w:val="auto"/>
                <w:szCs w:val="21"/>
                <w:lang w:val="zh-CN"/>
              </w:rPr>
            </w:pPr>
            <w:r>
              <w:rPr>
                <w:rFonts w:hint="eastAsia" w:ascii="宋体" w:hAnsi="宋体" w:eastAsia="宋体" w:cs="宋体"/>
                <w:color w:val="auto"/>
                <w:szCs w:val="21"/>
                <w:lang w:val="zh-CN"/>
              </w:rPr>
              <w:t>三相五线制动力电源380V 50Hz</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6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color w:val="auto"/>
                <w:szCs w:val="21"/>
              </w:rPr>
            </w:pPr>
            <w:r>
              <w:rPr>
                <w:rFonts w:hint="eastAsia" w:ascii="宋体" w:hAnsi="宋体" w:eastAsia="宋体" w:cs="宋体"/>
                <w:color w:val="auto"/>
                <w:szCs w:val="21"/>
              </w:rPr>
              <w:t>13</w:t>
            </w:r>
          </w:p>
        </w:tc>
        <w:tc>
          <w:tcPr>
            <w:tcW w:w="3306"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color w:val="auto"/>
                <w:szCs w:val="21"/>
                <w:lang w:val="zh-CN"/>
              </w:rPr>
            </w:pPr>
            <w:r>
              <w:rPr>
                <w:rFonts w:hint="eastAsia" w:ascii="宋体" w:hAnsi="宋体" w:eastAsia="宋体" w:cs="宋体"/>
                <w:color w:val="auto"/>
                <w:szCs w:val="21"/>
                <w:lang w:val="zh-CN"/>
              </w:rPr>
              <w:t>▲通讯方式</w:t>
            </w:r>
          </w:p>
        </w:tc>
        <w:tc>
          <w:tcPr>
            <w:tcW w:w="4997"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color w:val="auto"/>
                <w:szCs w:val="21"/>
                <w:lang w:val="zh-CN"/>
              </w:rPr>
            </w:pPr>
            <w:r>
              <w:rPr>
                <w:rFonts w:hint="eastAsia" w:ascii="宋体" w:hAnsi="宋体" w:eastAsia="宋体" w:cs="宋体"/>
                <w:color w:val="auto"/>
                <w:szCs w:val="21"/>
              </w:rPr>
              <w:t>五方对讲</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6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color w:val="auto"/>
                <w:szCs w:val="21"/>
              </w:rPr>
            </w:pPr>
            <w:r>
              <w:rPr>
                <w:rFonts w:hint="eastAsia" w:ascii="宋体" w:hAnsi="宋体" w:eastAsia="宋体" w:cs="宋体"/>
                <w:color w:val="auto"/>
                <w:szCs w:val="21"/>
              </w:rPr>
              <w:t>14</w:t>
            </w:r>
          </w:p>
        </w:tc>
        <w:tc>
          <w:tcPr>
            <w:tcW w:w="3306"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color w:val="auto"/>
                <w:szCs w:val="21"/>
                <w:lang w:val="zh-CN"/>
              </w:rPr>
            </w:pPr>
            <w:r>
              <w:rPr>
                <w:rFonts w:hint="eastAsia" w:ascii="宋体" w:hAnsi="宋体" w:eastAsia="宋体" w:cs="宋体"/>
                <w:color w:val="auto"/>
                <w:szCs w:val="21"/>
                <w:lang w:val="zh-CN"/>
              </w:rPr>
              <w:t xml:space="preserve">▲厅门尺寸 </w:t>
            </w:r>
          </w:p>
        </w:tc>
        <w:tc>
          <w:tcPr>
            <w:tcW w:w="4997"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color w:val="auto"/>
                <w:szCs w:val="21"/>
              </w:rPr>
            </w:pPr>
            <w:r>
              <w:rPr>
                <w:rFonts w:hint="eastAsia" w:ascii="宋体" w:hAnsi="宋体" w:eastAsia="宋体" w:cs="宋体"/>
                <w:color w:val="auto"/>
                <w:szCs w:val="21"/>
              </w:rPr>
              <w:t>1100mm×2100mm</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6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color w:val="auto"/>
                <w:szCs w:val="21"/>
              </w:rPr>
            </w:pPr>
            <w:r>
              <w:rPr>
                <w:rFonts w:hint="eastAsia" w:ascii="宋体" w:hAnsi="宋体" w:eastAsia="宋体" w:cs="宋体"/>
                <w:color w:val="auto"/>
                <w:szCs w:val="21"/>
              </w:rPr>
              <w:t>15</w:t>
            </w:r>
          </w:p>
        </w:tc>
        <w:tc>
          <w:tcPr>
            <w:tcW w:w="3306"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color w:val="auto"/>
                <w:szCs w:val="21"/>
                <w:lang w:val="zh-CN"/>
              </w:rPr>
            </w:pPr>
            <w:r>
              <w:rPr>
                <w:rFonts w:hint="eastAsia" w:ascii="宋体" w:hAnsi="宋体" w:eastAsia="宋体" w:cs="宋体"/>
                <w:color w:val="auto"/>
                <w:szCs w:val="21"/>
                <w:lang w:val="zh-CN"/>
              </w:rPr>
              <w:t>▲轿厢尺寸(宽×深×高)</w:t>
            </w:r>
          </w:p>
        </w:tc>
        <w:tc>
          <w:tcPr>
            <w:tcW w:w="4997"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color w:val="auto"/>
                <w:szCs w:val="21"/>
              </w:rPr>
            </w:pPr>
            <w:r>
              <w:rPr>
                <w:rFonts w:hint="eastAsia" w:ascii="宋体" w:hAnsi="宋体" w:eastAsia="宋体" w:cs="宋体"/>
                <w:color w:val="auto"/>
                <w:szCs w:val="21"/>
              </w:rPr>
              <w:t>2000mm×1750mm×2300mm</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6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color w:val="auto"/>
                <w:szCs w:val="21"/>
              </w:rPr>
            </w:pPr>
            <w:r>
              <w:rPr>
                <w:rFonts w:hint="eastAsia" w:ascii="宋体" w:hAnsi="宋体" w:eastAsia="宋体" w:cs="宋体"/>
                <w:color w:val="auto"/>
                <w:szCs w:val="21"/>
              </w:rPr>
              <w:t>16</w:t>
            </w:r>
          </w:p>
        </w:tc>
        <w:tc>
          <w:tcPr>
            <w:tcW w:w="3306"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color w:val="auto"/>
                <w:szCs w:val="21"/>
                <w:lang w:val="zh-CN"/>
              </w:rPr>
            </w:pPr>
            <w:r>
              <w:rPr>
                <w:rFonts w:hint="eastAsia" w:ascii="宋体" w:hAnsi="宋体" w:eastAsia="宋体" w:cs="宋体"/>
                <w:color w:val="auto"/>
                <w:szCs w:val="21"/>
                <w:lang w:val="zh-CN"/>
              </w:rPr>
              <w:t>▲顶层高度</w:t>
            </w:r>
          </w:p>
        </w:tc>
        <w:tc>
          <w:tcPr>
            <w:tcW w:w="4997"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color w:val="auto"/>
                <w:szCs w:val="21"/>
              </w:rPr>
            </w:pPr>
            <w:r>
              <w:rPr>
                <w:rFonts w:hint="eastAsia" w:ascii="宋体" w:hAnsi="宋体" w:eastAsia="宋体" w:cs="宋体"/>
                <w:color w:val="auto"/>
                <w:szCs w:val="21"/>
              </w:rPr>
              <w:t>以现场测量情况为准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6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color w:val="auto"/>
                <w:szCs w:val="21"/>
              </w:rPr>
            </w:pPr>
            <w:r>
              <w:rPr>
                <w:rFonts w:hint="eastAsia" w:ascii="宋体" w:hAnsi="宋体" w:eastAsia="宋体" w:cs="宋体"/>
                <w:color w:val="auto"/>
                <w:szCs w:val="21"/>
              </w:rPr>
              <w:t>17</w:t>
            </w:r>
          </w:p>
        </w:tc>
        <w:tc>
          <w:tcPr>
            <w:tcW w:w="3306"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color w:val="auto"/>
                <w:szCs w:val="21"/>
                <w:lang w:val="zh-CN"/>
              </w:rPr>
            </w:pPr>
            <w:r>
              <w:rPr>
                <w:rFonts w:hint="eastAsia" w:ascii="宋体" w:hAnsi="宋体" w:eastAsia="宋体" w:cs="宋体"/>
                <w:color w:val="auto"/>
                <w:szCs w:val="21"/>
                <w:lang w:val="zh-CN"/>
              </w:rPr>
              <w:t>▲地坑</w:t>
            </w:r>
          </w:p>
        </w:tc>
        <w:tc>
          <w:tcPr>
            <w:tcW w:w="4997"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color w:val="auto"/>
                <w:szCs w:val="21"/>
              </w:rPr>
            </w:pPr>
            <w:r>
              <w:rPr>
                <w:rFonts w:hint="eastAsia" w:ascii="宋体" w:hAnsi="宋体" w:eastAsia="宋体" w:cs="宋体"/>
                <w:color w:val="auto"/>
                <w:szCs w:val="21"/>
              </w:rPr>
              <w:t>针对使用使得便利性最优方案为准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6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color w:val="auto"/>
                <w:szCs w:val="21"/>
              </w:rPr>
            </w:pPr>
            <w:r>
              <w:rPr>
                <w:rFonts w:hint="eastAsia" w:ascii="宋体" w:hAnsi="宋体" w:eastAsia="宋体" w:cs="宋体"/>
                <w:color w:val="auto"/>
                <w:szCs w:val="21"/>
              </w:rPr>
              <w:t>18</w:t>
            </w:r>
          </w:p>
        </w:tc>
        <w:tc>
          <w:tcPr>
            <w:tcW w:w="3306"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color w:val="auto"/>
                <w:szCs w:val="21"/>
                <w:lang w:val="zh-CN"/>
              </w:rPr>
            </w:pPr>
            <w:r>
              <w:rPr>
                <w:rFonts w:hint="eastAsia" w:ascii="宋体" w:hAnsi="宋体" w:eastAsia="宋体" w:cs="宋体"/>
                <w:color w:val="auto"/>
                <w:szCs w:val="21"/>
                <w:lang w:val="zh-CN"/>
              </w:rPr>
              <w:t>★轿厢</w:t>
            </w:r>
          </w:p>
        </w:tc>
        <w:tc>
          <w:tcPr>
            <w:tcW w:w="4997"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color w:val="auto"/>
                <w:szCs w:val="21"/>
              </w:rPr>
            </w:pPr>
            <w:r>
              <w:rPr>
                <w:rFonts w:hint="eastAsia" w:ascii="宋体" w:hAnsi="宋体" w:eastAsia="宋体" w:cs="宋体"/>
                <w:color w:val="auto"/>
                <w:szCs w:val="21"/>
              </w:rPr>
              <w:t>四面观光玻璃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6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color w:val="auto"/>
                <w:szCs w:val="21"/>
              </w:rPr>
            </w:pPr>
            <w:r>
              <w:rPr>
                <w:rFonts w:hint="eastAsia" w:ascii="宋体" w:hAnsi="宋体" w:eastAsia="宋体" w:cs="宋体"/>
                <w:color w:val="auto"/>
                <w:szCs w:val="21"/>
              </w:rPr>
              <w:t>19</w:t>
            </w:r>
          </w:p>
        </w:tc>
        <w:tc>
          <w:tcPr>
            <w:tcW w:w="3306"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color w:val="auto"/>
                <w:szCs w:val="21"/>
                <w:lang w:val="zh-CN"/>
              </w:rPr>
            </w:pPr>
            <w:r>
              <w:rPr>
                <w:rFonts w:hint="eastAsia" w:ascii="宋体" w:hAnsi="宋体" w:eastAsia="宋体" w:cs="宋体"/>
                <w:color w:val="auto"/>
                <w:szCs w:val="21"/>
                <w:lang w:val="zh-CN"/>
              </w:rPr>
              <w:t xml:space="preserve">▲轿厢地面 </w:t>
            </w:r>
          </w:p>
        </w:tc>
        <w:tc>
          <w:tcPr>
            <w:tcW w:w="4997"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color w:val="auto"/>
                <w:szCs w:val="21"/>
              </w:rPr>
            </w:pPr>
            <w:r>
              <w:rPr>
                <w:rFonts w:hint="eastAsia" w:ascii="宋体" w:hAnsi="宋体" w:eastAsia="宋体" w:cs="宋体"/>
                <w:color w:val="auto"/>
                <w:szCs w:val="21"/>
              </w:rPr>
              <w:t>PVC</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6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color w:val="auto"/>
                <w:szCs w:val="21"/>
              </w:rPr>
            </w:pPr>
            <w:r>
              <w:rPr>
                <w:rFonts w:hint="eastAsia" w:ascii="宋体" w:hAnsi="宋体" w:eastAsia="宋体" w:cs="宋体"/>
                <w:color w:val="auto"/>
                <w:szCs w:val="21"/>
              </w:rPr>
              <w:t>20</w:t>
            </w:r>
          </w:p>
        </w:tc>
        <w:tc>
          <w:tcPr>
            <w:tcW w:w="3306"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color w:val="auto"/>
                <w:szCs w:val="21"/>
                <w:lang w:val="zh-CN"/>
              </w:rPr>
            </w:pPr>
            <w:r>
              <w:rPr>
                <w:rFonts w:hint="eastAsia" w:ascii="宋体" w:hAnsi="宋体" w:eastAsia="宋体" w:cs="宋体"/>
                <w:color w:val="auto"/>
                <w:szCs w:val="21"/>
                <w:lang w:val="zh-CN"/>
              </w:rPr>
              <w:t xml:space="preserve">▲轿厢天花桥 </w:t>
            </w:r>
          </w:p>
        </w:tc>
        <w:tc>
          <w:tcPr>
            <w:tcW w:w="4997"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color w:val="auto"/>
                <w:szCs w:val="21"/>
              </w:rPr>
            </w:pPr>
            <w:r>
              <w:rPr>
                <w:rFonts w:hint="eastAsia" w:ascii="宋体" w:hAnsi="宋体" w:eastAsia="宋体" w:cs="宋体"/>
                <w:color w:val="auto"/>
                <w:szCs w:val="21"/>
              </w:rPr>
              <w:t>发纹边框镜面</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90" w:hRule="atLeast"/>
          <w:jc w:val="center"/>
        </w:trPr>
        <w:tc>
          <w:tcPr>
            <w:tcW w:w="6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color w:val="auto"/>
                <w:szCs w:val="21"/>
              </w:rPr>
            </w:pPr>
            <w:r>
              <w:rPr>
                <w:rFonts w:hint="eastAsia" w:ascii="宋体" w:hAnsi="宋体" w:eastAsia="宋体" w:cs="宋体"/>
                <w:color w:val="auto"/>
                <w:szCs w:val="21"/>
              </w:rPr>
              <w:t>21</w:t>
            </w:r>
          </w:p>
        </w:tc>
        <w:tc>
          <w:tcPr>
            <w:tcW w:w="3306"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color w:val="auto"/>
                <w:szCs w:val="21"/>
              </w:rPr>
            </w:pPr>
            <w:r>
              <w:rPr>
                <w:rFonts w:hint="eastAsia" w:ascii="宋体" w:hAnsi="宋体" w:eastAsia="宋体" w:cs="宋体"/>
                <w:color w:val="auto"/>
                <w:szCs w:val="21"/>
                <w:lang w:val="zh-CN"/>
              </w:rPr>
              <w:t>▲</w:t>
            </w:r>
            <w:r>
              <w:rPr>
                <w:rFonts w:hint="eastAsia" w:ascii="宋体" w:hAnsi="宋体" w:eastAsia="宋体" w:cs="宋体"/>
                <w:color w:val="auto"/>
                <w:szCs w:val="21"/>
              </w:rPr>
              <w:t>扶手</w:t>
            </w:r>
          </w:p>
        </w:tc>
        <w:tc>
          <w:tcPr>
            <w:tcW w:w="4997"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color w:val="auto"/>
                <w:szCs w:val="21"/>
              </w:rPr>
            </w:pPr>
            <w:r>
              <w:rPr>
                <w:rFonts w:hint="eastAsia" w:ascii="宋体" w:hAnsi="宋体" w:eastAsia="宋体" w:cs="宋体"/>
                <w:color w:val="auto"/>
                <w:szCs w:val="21"/>
              </w:rPr>
              <w:t>304不锈钢圆管</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6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color w:val="auto"/>
                <w:szCs w:val="21"/>
              </w:rPr>
            </w:pPr>
            <w:r>
              <w:rPr>
                <w:rFonts w:hint="eastAsia" w:ascii="宋体" w:hAnsi="宋体" w:eastAsia="宋体" w:cs="宋体"/>
                <w:color w:val="auto"/>
                <w:szCs w:val="21"/>
              </w:rPr>
              <w:t>22</w:t>
            </w:r>
          </w:p>
        </w:tc>
        <w:tc>
          <w:tcPr>
            <w:tcW w:w="3306"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color w:val="auto"/>
                <w:szCs w:val="21"/>
                <w:lang w:val="zh-CN"/>
              </w:rPr>
            </w:pPr>
            <w:r>
              <w:rPr>
                <w:rFonts w:hint="eastAsia" w:ascii="宋体" w:hAnsi="宋体" w:eastAsia="宋体" w:cs="宋体"/>
                <w:color w:val="auto"/>
                <w:szCs w:val="21"/>
                <w:lang w:val="zh-CN"/>
              </w:rPr>
              <w:t xml:space="preserve">▲吊顶 </w:t>
            </w:r>
          </w:p>
        </w:tc>
        <w:tc>
          <w:tcPr>
            <w:tcW w:w="4997"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color w:val="auto"/>
                <w:szCs w:val="21"/>
              </w:rPr>
            </w:pPr>
            <w:r>
              <w:rPr>
                <w:rFonts w:hint="eastAsia" w:ascii="宋体" w:hAnsi="宋体" w:eastAsia="宋体" w:cs="宋体"/>
                <w:color w:val="auto"/>
                <w:szCs w:val="21"/>
              </w:rPr>
              <w:t>镜面吊顶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6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color w:val="auto"/>
                <w:szCs w:val="21"/>
              </w:rPr>
            </w:pPr>
            <w:r>
              <w:rPr>
                <w:rFonts w:hint="eastAsia" w:ascii="宋体" w:hAnsi="宋体" w:eastAsia="宋体" w:cs="宋体"/>
                <w:color w:val="auto"/>
                <w:szCs w:val="21"/>
              </w:rPr>
              <w:t>23</w:t>
            </w:r>
          </w:p>
        </w:tc>
        <w:tc>
          <w:tcPr>
            <w:tcW w:w="3306"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color w:val="auto"/>
                <w:szCs w:val="21"/>
                <w:lang w:val="zh-CN"/>
              </w:rPr>
            </w:pPr>
            <w:r>
              <w:rPr>
                <w:rFonts w:hint="eastAsia" w:ascii="宋体" w:hAnsi="宋体" w:eastAsia="宋体" w:cs="宋体"/>
                <w:color w:val="auto"/>
                <w:szCs w:val="21"/>
                <w:lang w:val="zh-CN"/>
              </w:rPr>
              <w:t xml:space="preserve">▲轿厢内通风 </w:t>
            </w:r>
          </w:p>
        </w:tc>
        <w:tc>
          <w:tcPr>
            <w:tcW w:w="4997"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color w:val="auto"/>
                <w:szCs w:val="21"/>
                <w:lang w:val="zh-CN"/>
              </w:rPr>
            </w:pPr>
            <w:r>
              <w:rPr>
                <w:rFonts w:hint="eastAsia" w:ascii="宋体" w:hAnsi="宋体" w:eastAsia="宋体" w:cs="宋体"/>
                <w:color w:val="auto"/>
                <w:szCs w:val="21"/>
                <w:lang w:val="zh-CN"/>
              </w:rPr>
              <w:t>换气扇</w:t>
            </w:r>
            <w:r>
              <w:rPr>
                <w:rFonts w:hint="eastAsia" w:ascii="宋体" w:hAnsi="宋体" w:cs="宋体"/>
                <w:color w:val="auto"/>
                <w:szCs w:val="21"/>
                <w:lang w:val="zh-CN"/>
              </w:rPr>
              <w:t>、电梯空调（冷暖两用）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6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color w:val="auto"/>
                <w:szCs w:val="21"/>
              </w:rPr>
            </w:pPr>
            <w:r>
              <w:rPr>
                <w:rFonts w:hint="eastAsia" w:ascii="宋体" w:hAnsi="宋体" w:eastAsia="宋体" w:cs="宋体"/>
                <w:color w:val="auto"/>
                <w:szCs w:val="21"/>
              </w:rPr>
              <w:t>24</w:t>
            </w:r>
          </w:p>
        </w:tc>
        <w:tc>
          <w:tcPr>
            <w:tcW w:w="3306"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color w:val="auto"/>
                <w:szCs w:val="21"/>
                <w:lang w:val="zh-CN"/>
              </w:rPr>
            </w:pPr>
            <w:r>
              <w:rPr>
                <w:rFonts w:hint="eastAsia" w:ascii="宋体" w:hAnsi="宋体" w:eastAsia="宋体" w:cs="宋体"/>
                <w:color w:val="auto"/>
                <w:szCs w:val="21"/>
                <w:lang w:val="zh-CN"/>
              </w:rPr>
              <w:t xml:space="preserve">▲厢门安全系统 </w:t>
            </w:r>
          </w:p>
        </w:tc>
        <w:tc>
          <w:tcPr>
            <w:tcW w:w="4997"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color w:val="auto"/>
                <w:szCs w:val="21"/>
                <w:lang w:val="zh-CN"/>
              </w:rPr>
            </w:pPr>
            <w:r>
              <w:rPr>
                <w:rFonts w:hint="eastAsia" w:ascii="宋体" w:hAnsi="宋体" w:eastAsia="宋体" w:cs="宋体"/>
                <w:color w:val="auto"/>
                <w:szCs w:val="21"/>
                <w:lang w:val="zh-CN"/>
              </w:rPr>
              <w:t xml:space="preserve">光幕门保护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6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color w:val="auto"/>
                <w:szCs w:val="21"/>
              </w:rPr>
            </w:pPr>
            <w:r>
              <w:rPr>
                <w:rFonts w:hint="eastAsia" w:ascii="宋体" w:hAnsi="宋体" w:eastAsia="宋体" w:cs="宋体"/>
                <w:color w:val="auto"/>
                <w:szCs w:val="21"/>
              </w:rPr>
              <w:t>25</w:t>
            </w:r>
          </w:p>
        </w:tc>
        <w:tc>
          <w:tcPr>
            <w:tcW w:w="3306"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color w:val="auto"/>
                <w:szCs w:val="21"/>
                <w:lang w:val="zh-CN"/>
              </w:rPr>
            </w:pPr>
            <w:r>
              <w:rPr>
                <w:rFonts w:hint="eastAsia" w:ascii="宋体" w:hAnsi="宋体" w:eastAsia="宋体" w:cs="宋体"/>
                <w:color w:val="auto"/>
                <w:szCs w:val="21"/>
                <w:lang w:val="zh-CN"/>
              </w:rPr>
              <w:t xml:space="preserve">▲门套 </w:t>
            </w:r>
          </w:p>
        </w:tc>
        <w:tc>
          <w:tcPr>
            <w:tcW w:w="4997"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color w:val="auto"/>
                <w:szCs w:val="21"/>
              </w:rPr>
            </w:pPr>
            <w:r>
              <w:rPr>
                <w:rFonts w:hint="eastAsia" w:ascii="宋体" w:hAnsi="宋体" w:eastAsia="宋体" w:cs="宋体"/>
                <w:color w:val="auto"/>
                <w:szCs w:val="21"/>
              </w:rPr>
              <w:t>发纹304不锈钢</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6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color w:val="auto"/>
                <w:szCs w:val="21"/>
              </w:rPr>
            </w:pPr>
            <w:r>
              <w:rPr>
                <w:rFonts w:hint="eastAsia" w:ascii="宋体" w:hAnsi="宋体" w:eastAsia="宋体" w:cs="宋体"/>
                <w:color w:val="auto"/>
                <w:szCs w:val="21"/>
              </w:rPr>
              <w:t>26</w:t>
            </w:r>
          </w:p>
        </w:tc>
        <w:tc>
          <w:tcPr>
            <w:tcW w:w="3306"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color w:val="auto"/>
                <w:szCs w:val="21"/>
                <w:lang w:val="zh-CN"/>
              </w:rPr>
            </w:pPr>
            <w:r>
              <w:rPr>
                <w:rFonts w:hint="eastAsia" w:ascii="宋体" w:hAnsi="宋体" w:eastAsia="宋体" w:cs="宋体"/>
                <w:color w:val="auto"/>
                <w:szCs w:val="21"/>
                <w:lang w:val="zh-CN"/>
              </w:rPr>
              <w:t xml:space="preserve">▲厅门 </w:t>
            </w:r>
          </w:p>
        </w:tc>
        <w:tc>
          <w:tcPr>
            <w:tcW w:w="4997"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color w:val="auto"/>
                <w:szCs w:val="21"/>
              </w:rPr>
            </w:pPr>
            <w:r>
              <w:rPr>
                <w:rFonts w:hint="eastAsia" w:ascii="宋体" w:hAnsi="宋体" w:eastAsia="宋体" w:cs="宋体"/>
                <w:color w:val="auto"/>
                <w:szCs w:val="21"/>
              </w:rPr>
              <w:t>发纹边框玻璃门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6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color w:val="auto"/>
                <w:szCs w:val="21"/>
              </w:rPr>
            </w:pPr>
            <w:r>
              <w:rPr>
                <w:rFonts w:hint="eastAsia" w:ascii="宋体" w:hAnsi="宋体" w:eastAsia="宋体" w:cs="宋体"/>
                <w:color w:val="auto"/>
                <w:szCs w:val="21"/>
              </w:rPr>
              <w:t>27</w:t>
            </w:r>
          </w:p>
        </w:tc>
        <w:tc>
          <w:tcPr>
            <w:tcW w:w="3306"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color w:val="auto"/>
                <w:szCs w:val="21"/>
                <w:lang w:val="zh-CN"/>
              </w:rPr>
            </w:pPr>
            <w:r>
              <w:rPr>
                <w:rFonts w:hint="eastAsia" w:ascii="宋体" w:hAnsi="宋体" w:eastAsia="宋体" w:cs="宋体"/>
                <w:color w:val="auto"/>
                <w:szCs w:val="21"/>
                <w:lang w:val="zh-CN"/>
              </w:rPr>
              <w:t xml:space="preserve">▲轿厢操作板 </w:t>
            </w:r>
          </w:p>
        </w:tc>
        <w:tc>
          <w:tcPr>
            <w:tcW w:w="4997"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color w:val="auto"/>
                <w:szCs w:val="21"/>
              </w:rPr>
            </w:pPr>
            <w:r>
              <w:rPr>
                <w:rFonts w:hint="eastAsia" w:ascii="宋体" w:hAnsi="宋体" w:eastAsia="宋体" w:cs="宋体"/>
                <w:color w:val="auto"/>
                <w:szCs w:val="21"/>
              </w:rPr>
              <w:t>发纹304不锈钢面板</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6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color w:val="auto"/>
                <w:szCs w:val="21"/>
              </w:rPr>
            </w:pPr>
            <w:r>
              <w:rPr>
                <w:rFonts w:hint="eastAsia" w:ascii="宋体" w:hAnsi="宋体" w:eastAsia="宋体" w:cs="宋体"/>
                <w:color w:val="auto"/>
                <w:szCs w:val="21"/>
              </w:rPr>
              <w:t>28</w:t>
            </w:r>
          </w:p>
        </w:tc>
        <w:tc>
          <w:tcPr>
            <w:tcW w:w="3306"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color w:val="auto"/>
                <w:szCs w:val="21"/>
                <w:lang w:val="zh-CN"/>
              </w:rPr>
            </w:pPr>
            <w:r>
              <w:rPr>
                <w:rFonts w:hint="eastAsia" w:ascii="宋体" w:hAnsi="宋体" w:eastAsia="宋体" w:cs="宋体"/>
                <w:color w:val="auto"/>
                <w:szCs w:val="21"/>
                <w:lang w:val="zh-CN"/>
              </w:rPr>
              <w:t xml:space="preserve">▲操作盘按钮 </w:t>
            </w:r>
          </w:p>
        </w:tc>
        <w:tc>
          <w:tcPr>
            <w:tcW w:w="4997"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color w:val="auto"/>
                <w:szCs w:val="21"/>
              </w:rPr>
            </w:pPr>
            <w:r>
              <w:rPr>
                <w:rFonts w:hint="eastAsia" w:ascii="宋体" w:hAnsi="宋体" w:eastAsia="宋体" w:cs="宋体"/>
                <w:color w:val="auto"/>
                <w:szCs w:val="21"/>
              </w:rPr>
              <w:t>黑底白字段码显示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6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color w:val="auto"/>
                <w:szCs w:val="21"/>
              </w:rPr>
            </w:pPr>
            <w:r>
              <w:rPr>
                <w:rFonts w:hint="eastAsia" w:ascii="宋体" w:hAnsi="宋体" w:eastAsia="宋体" w:cs="宋体"/>
                <w:color w:val="auto"/>
                <w:szCs w:val="21"/>
              </w:rPr>
              <w:t>29</w:t>
            </w:r>
          </w:p>
        </w:tc>
        <w:tc>
          <w:tcPr>
            <w:tcW w:w="3306"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color w:val="auto"/>
                <w:szCs w:val="21"/>
                <w:lang w:val="zh-CN"/>
              </w:rPr>
            </w:pPr>
            <w:r>
              <w:rPr>
                <w:rFonts w:hint="eastAsia" w:ascii="宋体" w:hAnsi="宋体" w:eastAsia="宋体" w:cs="宋体"/>
                <w:color w:val="auto"/>
                <w:szCs w:val="21"/>
                <w:lang w:val="zh-CN"/>
              </w:rPr>
              <w:t xml:space="preserve">▲楼层显示召唤 </w:t>
            </w:r>
          </w:p>
        </w:tc>
        <w:tc>
          <w:tcPr>
            <w:tcW w:w="4997"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color w:val="auto"/>
                <w:szCs w:val="21"/>
              </w:rPr>
            </w:pPr>
            <w:r>
              <w:rPr>
                <w:rFonts w:hint="eastAsia" w:ascii="宋体" w:hAnsi="宋体" w:eastAsia="宋体" w:cs="宋体"/>
                <w:color w:val="auto"/>
                <w:szCs w:val="21"/>
              </w:rPr>
              <w:t>黑底白字段码显示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63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color w:val="auto"/>
                <w:szCs w:val="21"/>
              </w:rPr>
            </w:pPr>
            <w:r>
              <w:rPr>
                <w:rFonts w:hint="eastAsia" w:ascii="宋体" w:hAnsi="宋体" w:eastAsia="宋体" w:cs="宋体"/>
                <w:color w:val="auto"/>
                <w:szCs w:val="21"/>
              </w:rPr>
              <w:t>30</w:t>
            </w:r>
          </w:p>
        </w:tc>
        <w:tc>
          <w:tcPr>
            <w:tcW w:w="3306"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color w:val="auto"/>
                <w:szCs w:val="21"/>
                <w:lang w:val="zh-CN"/>
              </w:rPr>
            </w:pPr>
            <w:r>
              <w:rPr>
                <w:rFonts w:hint="eastAsia" w:ascii="宋体" w:hAnsi="宋体" w:eastAsia="宋体" w:cs="宋体"/>
                <w:color w:val="auto"/>
                <w:szCs w:val="21"/>
                <w:lang w:val="zh-CN"/>
              </w:rPr>
              <w:t xml:space="preserve">▲缓冲器 </w:t>
            </w:r>
          </w:p>
        </w:tc>
        <w:tc>
          <w:tcPr>
            <w:tcW w:w="4997"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color w:val="auto"/>
                <w:szCs w:val="21"/>
              </w:rPr>
            </w:pPr>
            <w:r>
              <w:rPr>
                <w:rFonts w:hint="eastAsia" w:ascii="宋体" w:hAnsi="宋体" w:eastAsia="宋体" w:cs="宋体"/>
                <w:color w:val="auto"/>
                <w:szCs w:val="21"/>
              </w:rPr>
              <w:t>液压缓冲器</w:t>
            </w:r>
          </w:p>
        </w:tc>
      </w:tr>
    </w:tbl>
    <w:p>
      <w:pPr>
        <w:pStyle w:val="232"/>
        <w:ind w:firstLine="482" w:firstLineChars="200"/>
        <w:jc w:val="both"/>
        <w:rPr>
          <w:rFonts w:hint="eastAsia" w:ascii="宋体" w:hAnsi="宋体" w:cs="宋体"/>
          <w:b/>
          <w:bCs/>
          <w:color w:val="auto"/>
          <w:sz w:val="24"/>
          <w:szCs w:val="24"/>
        </w:rPr>
      </w:pPr>
      <w:r>
        <w:rPr>
          <w:rFonts w:hint="eastAsia" w:ascii="宋体" w:hAnsi="宋体" w:cs="宋体"/>
          <w:b/>
          <w:bCs/>
          <w:color w:val="auto"/>
          <w:sz w:val="24"/>
          <w:szCs w:val="24"/>
        </w:rPr>
        <w:br w:type="page"/>
      </w:r>
    </w:p>
    <w:p>
      <w:pPr>
        <w:pStyle w:val="232"/>
        <w:ind w:firstLine="482" w:firstLineChars="200"/>
        <w:jc w:val="both"/>
        <w:rPr>
          <w:rFonts w:ascii="宋体" w:hAnsi="宋体" w:cs="宋体"/>
          <w:b/>
          <w:bCs/>
          <w:color w:val="auto"/>
          <w:sz w:val="36"/>
          <w:szCs w:val="36"/>
        </w:rPr>
      </w:pPr>
      <w:r>
        <w:rPr>
          <w:rFonts w:hint="eastAsia" w:ascii="宋体" w:hAnsi="宋体" w:cs="宋体"/>
          <w:b/>
          <w:bCs/>
          <w:color w:val="auto"/>
          <w:sz w:val="24"/>
          <w:szCs w:val="24"/>
        </w:rPr>
        <w:t>(二)电梯钢结构井道采购内容及要求</w:t>
      </w:r>
    </w:p>
    <w:tbl>
      <w:tblPr>
        <w:tblStyle w:val="47"/>
        <w:tblW w:w="8933" w:type="dxa"/>
        <w:jc w:val="center"/>
        <w:tblInd w:w="0" w:type="dxa"/>
        <w:tblLayout w:type="fixed"/>
        <w:tblCellMar>
          <w:top w:w="0" w:type="dxa"/>
          <w:left w:w="108" w:type="dxa"/>
          <w:bottom w:w="0" w:type="dxa"/>
          <w:right w:w="108" w:type="dxa"/>
        </w:tblCellMar>
      </w:tblPr>
      <w:tblGrid>
        <w:gridCol w:w="631"/>
        <w:gridCol w:w="3294"/>
        <w:gridCol w:w="2778"/>
        <w:gridCol w:w="2230"/>
      </w:tblGrid>
      <w:tr>
        <w:tblPrEx>
          <w:tblLayout w:type="fixed"/>
          <w:tblCellMar>
            <w:top w:w="0" w:type="dxa"/>
            <w:left w:w="108" w:type="dxa"/>
            <w:bottom w:w="0" w:type="dxa"/>
            <w:right w:w="108" w:type="dxa"/>
          </w:tblCellMar>
        </w:tblPrEx>
        <w:trPr>
          <w:tblHeader/>
          <w:jc w:val="center"/>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auto"/>
                <w:kern w:val="0"/>
                <w:szCs w:val="21"/>
              </w:rPr>
            </w:pPr>
            <w:r>
              <w:rPr>
                <w:rFonts w:hint="eastAsia" w:ascii="宋体" w:hAnsi="宋体" w:eastAsia="宋体" w:cs="宋体"/>
                <w:b/>
                <w:bCs/>
                <w:color w:val="auto"/>
                <w:kern w:val="0"/>
                <w:szCs w:val="21"/>
              </w:rPr>
              <w:t>序号</w:t>
            </w:r>
          </w:p>
        </w:tc>
        <w:tc>
          <w:tcPr>
            <w:tcW w:w="32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auto"/>
                <w:szCs w:val="21"/>
              </w:rPr>
            </w:pPr>
            <w:r>
              <w:rPr>
                <w:rFonts w:hint="eastAsia" w:ascii="宋体" w:hAnsi="宋体" w:eastAsia="宋体" w:cs="宋体"/>
                <w:b/>
                <w:bCs/>
                <w:color w:val="auto"/>
                <w:kern w:val="0"/>
                <w:szCs w:val="21"/>
              </w:rPr>
              <w:t>项目</w:t>
            </w:r>
          </w:p>
        </w:tc>
        <w:tc>
          <w:tcPr>
            <w:tcW w:w="27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auto"/>
                <w:szCs w:val="21"/>
              </w:rPr>
            </w:pPr>
            <w:r>
              <w:rPr>
                <w:rFonts w:hint="eastAsia" w:ascii="宋体" w:hAnsi="宋体" w:eastAsia="宋体" w:cs="宋体"/>
                <w:b/>
                <w:bCs/>
                <w:color w:val="auto"/>
                <w:szCs w:val="21"/>
                <w:lang w:val="zh-CN"/>
              </w:rPr>
              <w:t>技术要求</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auto"/>
                <w:kern w:val="0"/>
                <w:szCs w:val="21"/>
              </w:rPr>
            </w:pPr>
            <w:r>
              <w:rPr>
                <w:rFonts w:hint="eastAsia" w:ascii="宋体" w:hAnsi="宋体" w:eastAsia="宋体" w:cs="宋体"/>
                <w:b/>
                <w:bCs/>
                <w:color w:val="auto"/>
                <w:kern w:val="0"/>
                <w:szCs w:val="21"/>
              </w:rPr>
              <w:t>备注</w:t>
            </w:r>
          </w:p>
        </w:tc>
      </w:tr>
      <w:tr>
        <w:tblPrEx>
          <w:tblLayout w:type="fixed"/>
          <w:tblCellMar>
            <w:top w:w="0" w:type="dxa"/>
            <w:left w:w="108" w:type="dxa"/>
            <w:bottom w:w="0" w:type="dxa"/>
            <w:right w:w="108" w:type="dxa"/>
          </w:tblCellMar>
        </w:tblPrEx>
        <w:trPr>
          <w:jc w:val="center"/>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kern w:val="0"/>
                <w:szCs w:val="21"/>
              </w:rPr>
            </w:pPr>
            <w:r>
              <w:rPr>
                <w:rFonts w:hint="eastAsia" w:ascii="宋体" w:hAnsi="宋体" w:eastAsia="宋体" w:cs="宋体"/>
                <w:color w:val="auto"/>
                <w:kern w:val="0"/>
                <w:szCs w:val="21"/>
              </w:rPr>
              <w:t>1</w:t>
            </w:r>
          </w:p>
        </w:tc>
        <w:tc>
          <w:tcPr>
            <w:tcW w:w="32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Cs w:val="21"/>
              </w:rPr>
            </w:pPr>
            <w:r>
              <w:rPr>
                <w:rFonts w:hint="eastAsia" w:ascii="宋体" w:hAnsi="宋体" w:eastAsia="宋体" w:cs="宋体"/>
                <w:color w:val="auto"/>
                <w:szCs w:val="21"/>
                <w:lang w:val="zh-CN"/>
              </w:rPr>
              <w:t>★</w:t>
            </w:r>
            <w:r>
              <w:rPr>
                <w:rFonts w:hint="eastAsia" w:ascii="宋体" w:hAnsi="宋体" w:eastAsia="宋体" w:cs="宋体"/>
                <w:color w:val="auto"/>
                <w:kern w:val="0"/>
                <w:szCs w:val="21"/>
              </w:rPr>
              <w:t>井道外幕墙材料</w:t>
            </w:r>
          </w:p>
        </w:tc>
        <w:tc>
          <w:tcPr>
            <w:tcW w:w="27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szCs w:val="21"/>
              </w:rPr>
            </w:pPr>
            <w:r>
              <w:rPr>
                <w:rFonts w:hint="eastAsia" w:ascii="宋体" w:hAnsi="宋体" w:eastAsia="宋体" w:cs="宋体"/>
                <w:color w:val="auto"/>
                <w:kern w:val="0"/>
                <w:szCs w:val="21"/>
              </w:rPr>
              <w:t>四面安全夹胶钢化玻璃</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kern w:val="0"/>
                <w:szCs w:val="21"/>
              </w:rPr>
            </w:pPr>
          </w:p>
        </w:tc>
      </w:tr>
      <w:tr>
        <w:tblPrEx>
          <w:tblLayout w:type="fixed"/>
          <w:tblCellMar>
            <w:top w:w="0" w:type="dxa"/>
            <w:left w:w="108" w:type="dxa"/>
            <w:bottom w:w="0" w:type="dxa"/>
            <w:right w:w="108" w:type="dxa"/>
          </w:tblCellMar>
        </w:tblPrEx>
        <w:trPr>
          <w:jc w:val="center"/>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kern w:val="0"/>
                <w:szCs w:val="21"/>
              </w:rPr>
            </w:pPr>
            <w:r>
              <w:rPr>
                <w:rFonts w:hint="eastAsia" w:ascii="宋体" w:hAnsi="宋体" w:eastAsia="宋体" w:cs="宋体"/>
                <w:color w:val="auto"/>
                <w:kern w:val="0"/>
                <w:szCs w:val="21"/>
              </w:rPr>
              <w:t>2</w:t>
            </w:r>
          </w:p>
        </w:tc>
        <w:tc>
          <w:tcPr>
            <w:tcW w:w="32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Cs w:val="21"/>
              </w:rPr>
            </w:pPr>
            <w:r>
              <w:rPr>
                <w:rFonts w:hint="eastAsia" w:ascii="宋体" w:hAnsi="宋体" w:eastAsia="宋体" w:cs="宋体"/>
                <w:color w:val="auto"/>
                <w:szCs w:val="21"/>
                <w:lang w:val="zh-CN"/>
              </w:rPr>
              <w:t>★</w:t>
            </w:r>
            <w:r>
              <w:rPr>
                <w:rFonts w:hint="eastAsia" w:ascii="宋体" w:hAnsi="宋体" w:eastAsia="宋体" w:cs="宋体"/>
                <w:color w:val="auto"/>
                <w:kern w:val="0"/>
                <w:szCs w:val="21"/>
              </w:rPr>
              <w:t>总层数</w:t>
            </w:r>
          </w:p>
        </w:tc>
        <w:tc>
          <w:tcPr>
            <w:tcW w:w="2778" w:type="dxa"/>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rPr>
              <w:t>2层</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szCs w:val="21"/>
              </w:rPr>
            </w:pPr>
          </w:p>
        </w:tc>
      </w:tr>
      <w:tr>
        <w:tblPrEx>
          <w:tblLayout w:type="fixed"/>
          <w:tblCellMar>
            <w:top w:w="0" w:type="dxa"/>
            <w:left w:w="108" w:type="dxa"/>
            <w:bottom w:w="0" w:type="dxa"/>
            <w:right w:w="108" w:type="dxa"/>
          </w:tblCellMar>
        </w:tblPrEx>
        <w:trPr>
          <w:jc w:val="center"/>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kern w:val="0"/>
                <w:szCs w:val="21"/>
              </w:rPr>
            </w:pPr>
            <w:r>
              <w:rPr>
                <w:rFonts w:hint="eastAsia" w:ascii="宋体" w:hAnsi="宋体" w:eastAsia="宋体" w:cs="宋体"/>
                <w:color w:val="auto"/>
                <w:kern w:val="0"/>
                <w:szCs w:val="21"/>
              </w:rPr>
              <w:t>3</w:t>
            </w:r>
          </w:p>
        </w:tc>
        <w:tc>
          <w:tcPr>
            <w:tcW w:w="32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Cs w:val="21"/>
              </w:rPr>
            </w:pPr>
            <w:r>
              <w:rPr>
                <w:rFonts w:hint="eastAsia" w:ascii="宋体" w:hAnsi="宋体" w:eastAsia="宋体" w:cs="宋体"/>
                <w:color w:val="auto"/>
                <w:szCs w:val="21"/>
                <w:lang w:val="zh-CN"/>
              </w:rPr>
              <w:t>★</w:t>
            </w:r>
            <w:r>
              <w:rPr>
                <w:rFonts w:hint="eastAsia" w:ascii="宋体" w:hAnsi="宋体" w:eastAsia="宋体" w:cs="宋体"/>
                <w:color w:val="auto"/>
                <w:kern w:val="0"/>
                <w:szCs w:val="21"/>
              </w:rPr>
              <w:t>电梯开门数量</w:t>
            </w:r>
          </w:p>
        </w:tc>
        <w:tc>
          <w:tcPr>
            <w:tcW w:w="2778" w:type="dxa"/>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rPr>
              <w:t>2门</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szCs w:val="21"/>
              </w:rPr>
            </w:pPr>
          </w:p>
        </w:tc>
      </w:tr>
      <w:tr>
        <w:tblPrEx>
          <w:tblLayout w:type="fixed"/>
          <w:tblCellMar>
            <w:top w:w="0" w:type="dxa"/>
            <w:left w:w="108" w:type="dxa"/>
            <w:bottom w:w="0" w:type="dxa"/>
            <w:right w:w="108" w:type="dxa"/>
          </w:tblCellMar>
        </w:tblPrEx>
        <w:trPr>
          <w:jc w:val="center"/>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kern w:val="0"/>
                <w:szCs w:val="21"/>
              </w:rPr>
            </w:pPr>
            <w:r>
              <w:rPr>
                <w:rFonts w:hint="eastAsia" w:ascii="宋体" w:hAnsi="宋体" w:eastAsia="宋体" w:cs="宋体"/>
                <w:color w:val="auto"/>
                <w:kern w:val="0"/>
                <w:szCs w:val="21"/>
              </w:rPr>
              <w:t>4</w:t>
            </w:r>
          </w:p>
        </w:tc>
        <w:tc>
          <w:tcPr>
            <w:tcW w:w="32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Cs w:val="21"/>
              </w:rPr>
            </w:pPr>
            <w:r>
              <w:rPr>
                <w:rFonts w:hint="eastAsia" w:ascii="宋体" w:hAnsi="宋体" w:eastAsia="宋体" w:cs="宋体"/>
                <w:color w:val="auto"/>
                <w:szCs w:val="21"/>
                <w:lang w:val="zh-CN"/>
              </w:rPr>
              <w:t>▲</w:t>
            </w:r>
            <w:r>
              <w:rPr>
                <w:rFonts w:hint="eastAsia" w:ascii="宋体" w:hAnsi="宋体" w:eastAsia="宋体" w:cs="宋体"/>
                <w:color w:val="auto"/>
                <w:kern w:val="0"/>
                <w:szCs w:val="21"/>
              </w:rPr>
              <w:t>电梯井总高度</w:t>
            </w:r>
          </w:p>
        </w:tc>
        <w:tc>
          <w:tcPr>
            <w:tcW w:w="2778" w:type="dxa"/>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rPr>
              <w:t>9.5米</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szCs w:val="21"/>
              </w:rPr>
            </w:pPr>
          </w:p>
        </w:tc>
      </w:tr>
      <w:tr>
        <w:tblPrEx>
          <w:tblLayout w:type="fixed"/>
          <w:tblCellMar>
            <w:top w:w="0" w:type="dxa"/>
            <w:left w:w="108" w:type="dxa"/>
            <w:bottom w:w="0" w:type="dxa"/>
            <w:right w:w="108" w:type="dxa"/>
          </w:tblCellMar>
        </w:tblPrEx>
        <w:trPr>
          <w:jc w:val="center"/>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kern w:val="0"/>
                <w:szCs w:val="21"/>
              </w:rPr>
            </w:pPr>
            <w:r>
              <w:rPr>
                <w:rFonts w:hint="eastAsia" w:ascii="宋体" w:hAnsi="宋体" w:eastAsia="宋体" w:cs="宋体"/>
                <w:color w:val="auto"/>
                <w:kern w:val="0"/>
                <w:szCs w:val="21"/>
              </w:rPr>
              <w:t>5</w:t>
            </w:r>
          </w:p>
        </w:tc>
        <w:tc>
          <w:tcPr>
            <w:tcW w:w="32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Cs w:val="21"/>
              </w:rPr>
            </w:pPr>
            <w:r>
              <w:rPr>
                <w:rFonts w:hint="eastAsia" w:ascii="宋体" w:hAnsi="宋体" w:eastAsia="宋体" w:cs="宋体"/>
                <w:color w:val="auto"/>
                <w:szCs w:val="21"/>
                <w:lang w:val="zh-CN"/>
              </w:rPr>
              <w:t>▲</w:t>
            </w:r>
            <w:r>
              <w:rPr>
                <w:rFonts w:hint="eastAsia" w:ascii="宋体" w:hAnsi="宋体" w:eastAsia="宋体" w:cs="宋体"/>
                <w:color w:val="auto"/>
                <w:kern w:val="0"/>
                <w:szCs w:val="21"/>
              </w:rPr>
              <w:t>公共连廊数量</w:t>
            </w:r>
          </w:p>
        </w:tc>
        <w:tc>
          <w:tcPr>
            <w:tcW w:w="2778" w:type="dxa"/>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rPr>
              <w:t>1个</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szCs w:val="21"/>
              </w:rPr>
            </w:pPr>
          </w:p>
        </w:tc>
      </w:tr>
      <w:tr>
        <w:tblPrEx>
          <w:tblLayout w:type="fixed"/>
          <w:tblCellMar>
            <w:top w:w="0" w:type="dxa"/>
            <w:left w:w="108" w:type="dxa"/>
            <w:bottom w:w="0" w:type="dxa"/>
            <w:right w:w="108" w:type="dxa"/>
          </w:tblCellMar>
        </w:tblPrEx>
        <w:trPr>
          <w:trHeight w:val="802" w:hRule="atLeast"/>
          <w:jc w:val="center"/>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kern w:val="0"/>
                <w:szCs w:val="21"/>
              </w:rPr>
            </w:pPr>
            <w:r>
              <w:rPr>
                <w:rFonts w:hint="eastAsia" w:ascii="宋体" w:hAnsi="宋体" w:eastAsia="宋体" w:cs="宋体"/>
                <w:color w:val="auto"/>
                <w:kern w:val="0"/>
                <w:szCs w:val="21"/>
              </w:rPr>
              <w:t>6</w:t>
            </w:r>
          </w:p>
        </w:tc>
        <w:tc>
          <w:tcPr>
            <w:tcW w:w="32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Cs w:val="21"/>
              </w:rPr>
            </w:pPr>
            <w:r>
              <w:rPr>
                <w:rFonts w:hint="eastAsia" w:ascii="宋体" w:hAnsi="宋体" w:eastAsia="宋体" w:cs="宋体"/>
                <w:color w:val="auto"/>
                <w:szCs w:val="21"/>
                <w:lang w:val="zh-CN"/>
              </w:rPr>
              <w:t>▲</w:t>
            </w:r>
            <w:r>
              <w:rPr>
                <w:rFonts w:hint="eastAsia" w:ascii="宋体" w:hAnsi="宋体" w:eastAsia="宋体" w:cs="宋体"/>
                <w:color w:val="auto"/>
                <w:kern w:val="0"/>
                <w:szCs w:val="21"/>
              </w:rPr>
              <w:t>公共雨棚数量</w:t>
            </w:r>
          </w:p>
        </w:tc>
        <w:tc>
          <w:tcPr>
            <w:tcW w:w="2778" w:type="dxa"/>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rPr>
              <w:t>面积约60平方米，立柱采用150×100×5MM镀锌方管（4米高）、横梁采用150×100×5MM镀锌方管、主架采用150×100×4MM镀锌方管、次梁采用80×80×4MM镀锌方管、环氧富锌漆，6+6钢化夹胶玻璃</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eastAsia="宋体" w:cs="宋体"/>
                <w:color w:val="auto"/>
                <w:szCs w:val="21"/>
              </w:rPr>
            </w:pPr>
            <w:r>
              <w:rPr>
                <w:rFonts w:hint="eastAsia" w:ascii="宋体" w:hAnsi="宋体" w:eastAsia="宋体" w:cs="宋体"/>
                <w:color w:val="auto"/>
                <w:szCs w:val="21"/>
              </w:rPr>
              <w:t>面积以实际使用为准</w:t>
            </w:r>
          </w:p>
        </w:tc>
      </w:tr>
      <w:tr>
        <w:tblPrEx>
          <w:tblLayout w:type="fixed"/>
          <w:tblCellMar>
            <w:top w:w="0" w:type="dxa"/>
            <w:left w:w="108" w:type="dxa"/>
            <w:bottom w:w="0" w:type="dxa"/>
            <w:right w:w="108" w:type="dxa"/>
          </w:tblCellMar>
        </w:tblPrEx>
        <w:trPr>
          <w:jc w:val="center"/>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kern w:val="0"/>
                <w:szCs w:val="21"/>
              </w:rPr>
            </w:pPr>
            <w:r>
              <w:rPr>
                <w:rFonts w:hint="eastAsia" w:ascii="宋体" w:hAnsi="宋体" w:eastAsia="宋体" w:cs="宋体"/>
                <w:color w:val="auto"/>
                <w:kern w:val="0"/>
                <w:szCs w:val="21"/>
              </w:rPr>
              <w:t>7</w:t>
            </w:r>
          </w:p>
        </w:tc>
        <w:tc>
          <w:tcPr>
            <w:tcW w:w="32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Cs w:val="21"/>
              </w:rPr>
            </w:pPr>
            <w:r>
              <w:rPr>
                <w:rFonts w:hint="eastAsia" w:ascii="宋体" w:hAnsi="宋体" w:eastAsia="宋体" w:cs="宋体"/>
                <w:color w:val="auto"/>
                <w:szCs w:val="21"/>
                <w:lang w:val="zh-CN"/>
              </w:rPr>
              <w:t>▲</w:t>
            </w:r>
            <w:r>
              <w:rPr>
                <w:rFonts w:hint="eastAsia" w:ascii="宋体" w:hAnsi="宋体" w:eastAsia="宋体" w:cs="宋体"/>
                <w:color w:val="auto"/>
                <w:kern w:val="0"/>
                <w:szCs w:val="21"/>
              </w:rPr>
              <w:t>公共连廊长度</w:t>
            </w:r>
          </w:p>
        </w:tc>
        <w:tc>
          <w:tcPr>
            <w:tcW w:w="2778" w:type="dxa"/>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rPr>
              <w:t>1米</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kern w:val="0"/>
                <w:szCs w:val="21"/>
              </w:rPr>
            </w:pPr>
            <w:r>
              <w:rPr>
                <w:rFonts w:hint="eastAsia" w:ascii="宋体" w:hAnsi="宋体" w:eastAsia="宋体" w:cs="宋体"/>
                <w:color w:val="auto"/>
                <w:kern w:val="0"/>
                <w:szCs w:val="21"/>
              </w:rPr>
              <w:t>吊装、装灯、封窗</w:t>
            </w:r>
          </w:p>
        </w:tc>
      </w:tr>
      <w:tr>
        <w:tblPrEx>
          <w:tblLayout w:type="fixed"/>
          <w:tblCellMar>
            <w:top w:w="0" w:type="dxa"/>
            <w:left w:w="108" w:type="dxa"/>
            <w:bottom w:w="0" w:type="dxa"/>
            <w:right w:w="108" w:type="dxa"/>
          </w:tblCellMar>
        </w:tblPrEx>
        <w:trPr>
          <w:jc w:val="center"/>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kern w:val="0"/>
                <w:szCs w:val="21"/>
              </w:rPr>
            </w:pPr>
            <w:r>
              <w:rPr>
                <w:rFonts w:hint="eastAsia" w:ascii="宋体" w:hAnsi="宋体" w:eastAsia="宋体" w:cs="宋体"/>
                <w:color w:val="auto"/>
                <w:kern w:val="0"/>
                <w:szCs w:val="21"/>
              </w:rPr>
              <w:t>8</w:t>
            </w:r>
          </w:p>
        </w:tc>
        <w:tc>
          <w:tcPr>
            <w:tcW w:w="32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Cs w:val="21"/>
              </w:rPr>
            </w:pPr>
            <w:r>
              <w:rPr>
                <w:rFonts w:hint="eastAsia" w:ascii="宋体" w:hAnsi="宋体" w:eastAsia="宋体" w:cs="宋体"/>
                <w:color w:val="auto"/>
                <w:szCs w:val="21"/>
                <w:lang w:val="zh-CN"/>
              </w:rPr>
              <w:t>▲</w:t>
            </w:r>
            <w:r>
              <w:rPr>
                <w:rFonts w:hint="eastAsia" w:ascii="宋体" w:hAnsi="宋体" w:eastAsia="宋体" w:cs="宋体"/>
                <w:color w:val="auto"/>
                <w:kern w:val="0"/>
                <w:szCs w:val="21"/>
              </w:rPr>
              <w:t>公共连廊宽度</w:t>
            </w:r>
          </w:p>
        </w:tc>
        <w:tc>
          <w:tcPr>
            <w:tcW w:w="2778" w:type="dxa"/>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rPr>
              <w:t>2.9米</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kern w:val="0"/>
                <w:szCs w:val="21"/>
              </w:rPr>
            </w:pPr>
            <w:r>
              <w:rPr>
                <w:rFonts w:hint="eastAsia" w:ascii="宋体" w:hAnsi="宋体" w:eastAsia="宋体" w:cs="宋体"/>
                <w:color w:val="auto"/>
                <w:kern w:val="0"/>
                <w:szCs w:val="21"/>
              </w:rPr>
              <w:t>以实际使用为准</w:t>
            </w:r>
          </w:p>
        </w:tc>
      </w:tr>
      <w:bookmarkEnd w:id="179"/>
      <w:bookmarkEnd w:id="180"/>
    </w:tbl>
    <w:p>
      <w:pPr>
        <w:rPr>
          <w:color w:val="auto"/>
        </w:rPr>
      </w:pPr>
    </w:p>
    <w:p>
      <w:pPr>
        <w:keepNext/>
        <w:keepLines/>
        <w:numPr>
          <w:ilvl w:val="1"/>
          <w:numId w:val="5"/>
        </w:numPr>
        <w:tabs>
          <w:tab w:val="left" w:pos="0"/>
          <w:tab w:val="left" w:pos="426"/>
          <w:tab w:val="left" w:pos="576"/>
          <w:tab w:val="left" w:pos="786"/>
        </w:tabs>
        <w:spacing w:line="360" w:lineRule="auto"/>
        <w:ind w:left="0" w:firstLine="0"/>
        <w:outlineLvl w:val="1"/>
        <w:rPr>
          <w:rFonts w:ascii="宋体" w:hAnsi="宋体" w:eastAsia="宋体" w:cs="宋体"/>
          <w:b/>
          <w:bCs/>
          <w:color w:val="auto"/>
          <w:sz w:val="24"/>
          <w:szCs w:val="24"/>
        </w:rPr>
      </w:pPr>
      <w:bookmarkStart w:id="181" w:name="_Toc231"/>
      <w:r>
        <w:rPr>
          <w:rFonts w:hint="eastAsia" w:ascii="宋体" w:hAnsi="宋体" w:eastAsia="宋体" w:cs="宋体"/>
          <w:b/>
          <w:bCs/>
          <w:color w:val="auto"/>
          <w:sz w:val="24"/>
          <w:szCs w:val="24"/>
        </w:rPr>
        <w:t>★质量要求</w:t>
      </w:r>
      <w:bookmarkEnd w:id="181"/>
    </w:p>
    <w:p>
      <w:pPr>
        <w:tabs>
          <w:tab w:val="left" w:pos="0"/>
        </w:tabs>
        <w:wordWrap w:val="0"/>
        <w:topLinePunct/>
        <w:spacing w:line="440" w:lineRule="exact"/>
        <w:ind w:firstLine="480" w:firstLineChars="200"/>
        <w:jc w:val="left"/>
        <w:rPr>
          <w:rFonts w:ascii="宋体" w:hAnsi="宋体" w:eastAsia="宋体" w:cs="宋体"/>
          <w:color w:val="auto"/>
          <w:sz w:val="24"/>
          <w:szCs w:val="24"/>
        </w:rPr>
      </w:pPr>
      <w:r>
        <w:rPr>
          <w:rFonts w:hint="eastAsia" w:ascii="宋体" w:hAnsi="宋体" w:eastAsia="宋体" w:cs="宋体"/>
          <w:color w:val="auto"/>
          <w:sz w:val="24"/>
          <w:szCs w:val="24"/>
        </w:rPr>
        <w:t>投标人向采购人提供所有产品、配件及安装质量须符合国家</w:t>
      </w:r>
      <w:r>
        <w:rPr>
          <w:rFonts w:hint="eastAsia" w:ascii="宋体" w:hAnsi="宋体" w:cs="宋体"/>
          <w:color w:val="auto"/>
          <w:sz w:val="24"/>
          <w:szCs w:val="24"/>
          <w:lang w:eastAsia="zh-CN"/>
        </w:rPr>
        <w:t>及行业</w:t>
      </w:r>
      <w:r>
        <w:rPr>
          <w:rFonts w:hint="eastAsia" w:ascii="宋体" w:hAnsi="宋体" w:eastAsia="宋体" w:cs="宋体"/>
          <w:color w:val="auto"/>
          <w:sz w:val="24"/>
          <w:szCs w:val="24"/>
        </w:rPr>
        <w:t>相关规定。</w:t>
      </w:r>
    </w:p>
    <w:p>
      <w:pPr>
        <w:pStyle w:val="3"/>
        <w:rPr>
          <w:color w:val="auto"/>
        </w:rPr>
      </w:pPr>
    </w:p>
    <w:p>
      <w:pPr>
        <w:keepNext/>
        <w:keepLines/>
        <w:numPr>
          <w:ilvl w:val="1"/>
          <w:numId w:val="5"/>
        </w:numPr>
        <w:tabs>
          <w:tab w:val="left" w:pos="0"/>
          <w:tab w:val="left" w:pos="426"/>
          <w:tab w:val="left" w:pos="576"/>
          <w:tab w:val="left" w:pos="786"/>
        </w:tabs>
        <w:spacing w:line="360" w:lineRule="auto"/>
        <w:ind w:left="0" w:firstLine="0"/>
        <w:outlineLvl w:val="1"/>
        <w:rPr>
          <w:rFonts w:ascii="宋体" w:hAnsi="宋体" w:eastAsia="宋体" w:cs="宋体"/>
          <w:b/>
          <w:bCs/>
          <w:color w:val="auto"/>
          <w:sz w:val="24"/>
          <w:szCs w:val="24"/>
        </w:rPr>
      </w:pPr>
      <w:bookmarkStart w:id="182" w:name="_Toc11584"/>
      <w:r>
        <w:rPr>
          <w:rFonts w:hint="eastAsia" w:ascii="宋体" w:hAnsi="宋体" w:eastAsia="宋体" w:cs="宋体"/>
          <w:b/>
          <w:bCs/>
          <w:color w:val="auto"/>
          <w:sz w:val="24"/>
          <w:szCs w:val="24"/>
        </w:rPr>
        <w:t>★售后要求</w:t>
      </w:r>
      <w:bookmarkEnd w:id="182"/>
    </w:p>
    <w:p>
      <w:pPr>
        <w:tabs>
          <w:tab w:val="left" w:pos="0"/>
        </w:tabs>
        <w:wordWrap w:val="0"/>
        <w:topLinePunct/>
        <w:spacing w:line="440" w:lineRule="exact"/>
        <w:ind w:firstLine="480" w:firstLineChars="200"/>
        <w:jc w:val="left"/>
        <w:rPr>
          <w:rFonts w:ascii="宋体" w:hAnsi="宋体" w:eastAsia="宋体" w:cs="宋体"/>
          <w:color w:val="auto"/>
          <w:sz w:val="24"/>
          <w:szCs w:val="24"/>
        </w:rPr>
      </w:pPr>
      <w:r>
        <w:rPr>
          <w:rFonts w:hint="eastAsia" w:ascii="宋体" w:hAnsi="宋体" w:cs="宋体"/>
          <w:color w:val="auto"/>
          <w:sz w:val="24"/>
          <w:szCs w:val="24"/>
          <w:lang w:val="en-US" w:eastAsia="zh-CN"/>
        </w:rPr>
        <w:t>1.</w:t>
      </w:r>
      <w:r>
        <w:rPr>
          <w:rFonts w:hint="eastAsia" w:ascii="宋体" w:hAnsi="宋体" w:eastAsia="宋体" w:cs="宋体"/>
          <w:color w:val="auto"/>
          <w:sz w:val="24"/>
          <w:szCs w:val="24"/>
        </w:rPr>
        <w:t>投标人应有完善的技术支持与服务体系，专人负责与采购人联系售后服务事宜，必要的售后机具配置、具有专门的服务电话，并能提供本地化服务。</w:t>
      </w:r>
    </w:p>
    <w:p>
      <w:pPr>
        <w:tabs>
          <w:tab w:val="left" w:pos="0"/>
        </w:tabs>
        <w:wordWrap w:val="0"/>
        <w:topLinePunct/>
        <w:spacing w:line="440" w:lineRule="exact"/>
        <w:ind w:firstLine="480" w:firstLineChars="200"/>
        <w:jc w:val="left"/>
        <w:rPr>
          <w:rFonts w:ascii="宋体" w:hAnsi="宋体" w:eastAsia="宋体" w:cs="宋体"/>
          <w:color w:val="auto"/>
          <w:sz w:val="24"/>
          <w:szCs w:val="24"/>
        </w:rPr>
      </w:pPr>
      <w:r>
        <w:rPr>
          <w:rFonts w:hint="eastAsia" w:ascii="宋体" w:hAnsi="宋体" w:cs="宋体"/>
          <w:color w:val="auto"/>
          <w:sz w:val="24"/>
          <w:szCs w:val="24"/>
          <w:lang w:val="en-US" w:eastAsia="zh-CN"/>
        </w:rPr>
        <w:t>2.</w:t>
      </w:r>
      <w:r>
        <w:rPr>
          <w:rFonts w:hint="eastAsia" w:ascii="宋体" w:hAnsi="宋体" w:eastAsia="宋体" w:cs="宋体"/>
          <w:color w:val="auto"/>
          <w:sz w:val="24"/>
          <w:szCs w:val="24"/>
        </w:rPr>
        <w:t>提供7×24小时的技术支持服务，配置专门固定的售后服务电话。接到采购人系统故障报修应10分钟内响应，1小时内到达现场，12小时内排除故障。12小时内不能排除故障，须给出具体可行的解决方案及解决完成期限。</w:t>
      </w:r>
    </w:p>
    <w:p>
      <w:pPr>
        <w:tabs>
          <w:tab w:val="left" w:pos="0"/>
        </w:tabs>
        <w:wordWrap w:val="0"/>
        <w:topLinePunct/>
        <w:spacing w:line="440" w:lineRule="exact"/>
        <w:ind w:firstLine="480" w:firstLineChars="200"/>
        <w:jc w:val="left"/>
        <w:rPr>
          <w:rFonts w:ascii="宋体" w:hAnsi="宋体" w:eastAsia="宋体" w:cs="宋体"/>
          <w:color w:val="auto"/>
          <w:sz w:val="24"/>
          <w:szCs w:val="24"/>
        </w:rPr>
      </w:pPr>
      <w:r>
        <w:rPr>
          <w:rFonts w:hint="eastAsia" w:ascii="宋体" w:hAnsi="宋体" w:cs="宋体"/>
          <w:color w:val="auto"/>
          <w:sz w:val="24"/>
          <w:szCs w:val="24"/>
          <w:lang w:val="en-US" w:eastAsia="zh-CN"/>
        </w:rPr>
        <w:t>3.</w:t>
      </w:r>
      <w:r>
        <w:rPr>
          <w:rFonts w:hint="eastAsia" w:ascii="宋体" w:hAnsi="宋体" w:eastAsia="宋体" w:cs="宋体"/>
          <w:color w:val="auto"/>
          <w:sz w:val="24"/>
          <w:szCs w:val="24"/>
        </w:rPr>
        <w:t>故障问题解决后24小时内，向采购人提交问题处理报告，说明问题种类、问题原因、问题解决中使用的方法及造成的损失等情况。</w:t>
      </w:r>
    </w:p>
    <w:p>
      <w:pPr>
        <w:tabs>
          <w:tab w:val="left" w:pos="0"/>
        </w:tabs>
        <w:wordWrap w:val="0"/>
        <w:topLinePunct/>
        <w:spacing w:line="440" w:lineRule="exact"/>
        <w:ind w:firstLine="480" w:firstLineChars="200"/>
        <w:jc w:val="left"/>
        <w:rPr>
          <w:rFonts w:ascii="宋体" w:hAnsi="宋体" w:eastAsia="宋体" w:cs="宋体"/>
          <w:color w:val="auto"/>
          <w:sz w:val="24"/>
          <w:szCs w:val="24"/>
        </w:rPr>
      </w:pPr>
      <w:r>
        <w:rPr>
          <w:rFonts w:hint="eastAsia" w:ascii="宋体" w:hAnsi="宋体" w:cs="宋体"/>
          <w:color w:val="auto"/>
          <w:sz w:val="24"/>
          <w:szCs w:val="24"/>
          <w:lang w:val="en-US" w:eastAsia="zh-CN"/>
        </w:rPr>
        <w:t>4.项目通过采购人验收后一年，</w:t>
      </w:r>
      <w:r>
        <w:rPr>
          <w:rFonts w:hint="eastAsia" w:ascii="宋体" w:hAnsi="宋体" w:eastAsia="宋体" w:cs="宋体"/>
          <w:color w:val="auto"/>
          <w:sz w:val="24"/>
          <w:szCs w:val="24"/>
        </w:rPr>
        <w:t>投标人对所投产品提供不少于6次的巡检和维护保养。当采购人有要求时，投标人应当提供现场技术保障服务。</w:t>
      </w:r>
    </w:p>
    <w:p>
      <w:pPr>
        <w:tabs>
          <w:tab w:val="left" w:pos="0"/>
        </w:tabs>
        <w:wordWrap w:val="0"/>
        <w:topLinePunct/>
        <w:spacing w:line="440" w:lineRule="exact"/>
        <w:ind w:firstLine="480" w:firstLineChars="200"/>
        <w:jc w:val="left"/>
        <w:rPr>
          <w:rFonts w:ascii="宋体" w:hAnsi="宋体" w:eastAsia="宋体" w:cs="宋体"/>
          <w:color w:val="auto"/>
          <w:sz w:val="24"/>
          <w:szCs w:val="24"/>
        </w:rPr>
      </w:pPr>
      <w:r>
        <w:rPr>
          <w:rFonts w:hint="eastAsia" w:ascii="宋体" w:hAnsi="宋体" w:cs="宋体"/>
          <w:color w:val="auto"/>
          <w:sz w:val="24"/>
          <w:szCs w:val="24"/>
          <w:lang w:val="en-US" w:eastAsia="zh-CN"/>
        </w:rPr>
        <w:t>5.</w:t>
      </w:r>
      <w:r>
        <w:rPr>
          <w:rFonts w:hint="eastAsia" w:ascii="宋体" w:hAnsi="宋体" w:eastAsia="宋体" w:cs="宋体"/>
          <w:color w:val="auto"/>
          <w:sz w:val="24"/>
          <w:szCs w:val="24"/>
        </w:rPr>
        <w:t>质保期为</w:t>
      </w:r>
      <w:r>
        <w:rPr>
          <w:rFonts w:hint="eastAsia" w:ascii="宋体" w:hAnsi="宋体" w:cs="宋体"/>
          <w:color w:val="auto"/>
          <w:sz w:val="24"/>
          <w:szCs w:val="24"/>
          <w:lang w:eastAsia="zh-CN"/>
        </w:rPr>
        <w:t>采购人</w:t>
      </w:r>
      <w:r>
        <w:rPr>
          <w:rFonts w:hint="eastAsia" w:ascii="宋体" w:hAnsi="宋体" w:eastAsia="宋体" w:cs="宋体"/>
          <w:color w:val="auto"/>
          <w:sz w:val="24"/>
          <w:szCs w:val="24"/>
        </w:rPr>
        <w:t>验收合格后1年</w:t>
      </w: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质保期内产品出现质量问题，投标人在接到采购人电话通知后三个工作日内进行维修或更换，涉及的所有费用由投标人承担。</w:t>
      </w:r>
    </w:p>
    <w:p>
      <w:pPr>
        <w:tabs>
          <w:tab w:val="left" w:pos="0"/>
        </w:tabs>
        <w:wordWrap w:val="0"/>
        <w:topLinePunct/>
        <w:spacing w:line="440" w:lineRule="exact"/>
        <w:ind w:firstLine="480" w:firstLineChars="200"/>
        <w:jc w:val="left"/>
        <w:rPr>
          <w:rFonts w:ascii="宋体" w:hAnsi="宋体" w:eastAsia="宋体" w:cs="宋体"/>
          <w:color w:val="auto"/>
          <w:sz w:val="24"/>
          <w:szCs w:val="24"/>
        </w:rPr>
      </w:pPr>
      <w:r>
        <w:rPr>
          <w:rFonts w:hint="eastAsia" w:ascii="宋体" w:hAnsi="宋体" w:cs="宋体"/>
          <w:color w:val="auto"/>
          <w:sz w:val="24"/>
          <w:szCs w:val="24"/>
          <w:lang w:val="en-US" w:eastAsia="zh-CN"/>
        </w:rPr>
        <w:t>6.</w:t>
      </w:r>
      <w:r>
        <w:rPr>
          <w:rFonts w:hint="eastAsia" w:ascii="宋体" w:hAnsi="宋体" w:eastAsia="宋体" w:cs="宋体"/>
          <w:color w:val="auto"/>
          <w:sz w:val="24"/>
          <w:szCs w:val="24"/>
        </w:rPr>
        <w:t>投标人向采购人提供不少于12小时使用培训，达到采购人可独立使用，并在培训后免费提供使用咨询等。</w:t>
      </w:r>
    </w:p>
    <w:p>
      <w:pPr>
        <w:tabs>
          <w:tab w:val="left" w:pos="0"/>
        </w:tabs>
        <w:wordWrap w:val="0"/>
        <w:topLinePunct/>
        <w:spacing w:line="440" w:lineRule="exact"/>
        <w:ind w:firstLine="480" w:firstLineChars="200"/>
        <w:jc w:val="left"/>
        <w:rPr>
          <w:rFonts w:ascii="宋体" w:hAnsi="宋体" w:eastAsia="宋体" w:cs="宋体"/>
          <w:color w:val="auto"/>
          <w:sz w:val="24"/>
          <w:szCs w:val="24"/>
        </w:rPr>
      </w:pPr>
      <w:r>
        <w:rPr>
          <w:rFonts w:hint="eastAsia" w:ascii="宋体" w:hAnsi="宋体" w:cs="宋体"/>
          <w:color w:val="auto"/>
          <w:sz w:val="24"/>
          <w:szCs w:val="24"/>
          <w:lang w:val="en-US" w:eastAsia="zh-CN"/>
        </w:rPr>
        <w:t>7.</w:t>
      </w:r>
      <w:r>
        <w:rPr>
          <w:rFonts w:hint="eastAsia" w:ascii="宋体" w:hAnsi="宋体" w:eastAsia="宋体" w:cs="宋体"/>
          <w:color w:val="auto"/>
          <w:sz w:val="24"/>
          <w:szCs w:val="24"/>
        </w:rPr>
        <w:t>本项目安装过程中所有安全责任(含事故)由成交投标人全部承担，与采购人无关，投标人在进场后须严格按照相关规范要求进行施工。</w:t>
      </w:r>
    </w:p>
    <w:p>
      <w:pPr>
        <w:pStyle w:val="3"/>
        <w:rPr>
          <w:color w:val="auto"/>
        </w:rPr>
      </w:pPr>
    </w:p>
    <w:p>
      <w:pPr>
        <w:pStyle w:val="6"/>
        <w:numPr>
          <w:ilvl w:val="2"/>
          <w:numId w:val="5"/>
        </w:numPr>
        <w:tabs>
          <w:tab w:val="left" w:pos="0"/>
          <w:tab w:val="left" w:pos="426"/>
          <w:tab w:val="left" w:pos="576"/>
          <w:tab w:val="left" w:pos="786"/>
        </w:tabs>
        <w:rPr>
          <w:rFonts w:cs="宋体"/>
          <w:color w:val="auto"/>
          <w:sz w:val="24"/>
          <w:szCs w:val="24"/>
        </w:rPr>
      </w:pPr>
      <w:r>
        <w:rPr>
          <w:rFonts w:hint="eastAsia" w:cs="宋体"/>
          <w:color w:val="auto"/>
          <w:sz w:val="24"/>
          <w:szCs w:val="24"/>
        </w:rPr>
        <w:t>履约要求</w:t>
      </w:r>
    </w:p>
    <w:p>
      <w:pPr>
        <w:pStyle w:val="233"/>
        <w:numPr>
          <w:ilvl w:val="2"/>
          <w:numId w:val="0"/>
        </w:numPr>
        <w:spacing w:line="440" w:lineRule="exact"/>
        <w:ind w:firstLine="480" w:firstLineChars="200"/>
        <w:outlineLvl w:val="9"/>
        <w:rPr>
          <w:rFonts w:cs="宋体"/>
          <w:b w:val="0"/>
          <w:color w:val="auto"/>
          <w:sz w:val="24"/>
          <w:szCs w:val="24"/>
          <w:lang w:val="zh-CN"/>
        </w:rPr>
      </w:pPr>
      <w:bookmarkStart w:id="183" w:name="_Toc12763"/>
      <w:bookmarkStart w:id="184" w:name="_Toc5248"/>
      <w:bookmarkStart w:id="185" w:name="_Toc19299"/>
      <w:r>
        <w:rPr>
          <w:rFonts w:hint="eastAsia" w:cs="宋体"/>
          <w:b w:val="0"/>
          <w:color w:val="auto"/>
          <w:sz w:val="24"/>
          <w:szCs w:val="24"/>
        </w:rPr>
        <w:t>1.实施方案应具有①项目总体施工程序、②施工流水作业段的划分和组织、③施工测量、④设备运输方案、⑤设备安装工程等内容。</w:t>
      </w:r>
      <w:bookmarkEnd w:id="183"/>
      <w:bookmarkEnd w:id="184"/>
      <w:bookmarkEnd w:id="185"/>
    </w:p>
    <w:p>
      <w:pPr>
        <w:pStyle w:val="233"/>
        <w:numPr>
          <w:ilvl w:val="2"/>
          <w:numId w:val="0"/>
        </w:numPr>
        <w:spacing w:line="440" w:lineRule="exact"/>
        <w:ind w:firstLine="480" w:firstLineChars="200"/>
        <w:outlineLvl w:val="9"/>
        <w:rPr>
          <w:rFonts w:cs="宋体"/>
          <w:b w:val="0"/>
          <w:color w:val="auto"/>
          <w:sz w:val="24"/>
          <w:szCs w:val="24"/>
          <w:lang w:val="zh-CN"/>
        </w:rPr>
      </w:pPr>
      <w:bookmarkStart w:id="186" w:name="_Toc1771"/>
      <w:bookmarkStart w:id="187" w:name="_Toc8217"/>
      <w:bookmarkStart w:id="188" w:name="_Toc28148"/>
      <w:r>
        <w:rPr>
          <w:rFonts w:hint="eastAsia" w:cs="宋体"/>
          <w:b w:val="0"/>
          <w:color w:val="auto"/>
          <w:sz w:val="24"/>
          <w:szCs w:val="24"/>
        </w:rPr>
        <w:t>2.措施应具有①质量保证措施，②包括质量管理体系、③质量管理职责、④技术质量措</w:t>
      </w:r>
      <w:r>
        <w:rPr>
          <w:rFonts w:hint="eastAsia" w:cs="宋体"/>
          <w:b w:val="0"/>
          <w:color w:val="auto"/>
          <w:kern w:val="0"/>
          <w:sz w:val="24"/>
          <w:szCs w:val="24"/>
        </w:rPr>
        <w:t>施等内容</w:t>
      </w:r>
      <w:r>
        <w:rPr>
          <w:rFonts w:hint="eastAsia" w:cs="宋体"/>
          <w:b w:val="0"/>
          <w:color w:val="auto"/>
          <w:sz w:val="24"/>
          <w:szCs w:val="24"/>
          <w:lang w:val="zh-CN"/>
        </w:rPr>
        <w:t>。</w:t>
      </w:r>
      <w:bookmarkEnd w:id="186"/>
      <w:bookmarkEnd w:id="187"/>
      <w:bookmarkEnd w:id="188"/>
    </w:p>
    <w:p>
      <w:pPr>
        <w:pStyle w:val="233"/>
        <w:numPr>
          <w:ilvl w:val="2"/>
          <w:numId w:val="0"/>
        </w:numPr>
        <w:spacing w:line="440" w:lineRule="exact"/>
        <w:ind w:firstLine="480" w:firstLineChars="200"/>
        <w:outlineLvl w:val="9"/>
        <w:rPr>
          <w:rFonts w:ascii="宋体" w:hAnsi="宋体"/>
          <w:color w:val="auto"/>
          <w:sz w:val="28"/>
          <w:szCs w:val="28"/>
        </w:rPr>
      </w:pPr>
      <w:bookmarkStart w:id="189" w:name="_Toc12385"/>
      <w:bookmarkStart w:id="190" w:name="_Toc5177"/>
      <w:bookmarkStart w:id="191" w:name="_Toc17516"/>
      <w:r>
        <w:rPr>
          <w:rFonts w:hint="eastAsia" w:cs="宋体"/>
          <w:b w:val="0"/>
          <w:color w:val="auto"/>
          <w:sz w:val="24"/>
          <w:szCs w:val="24"/>
        </w:rPr>
        <w:t>3.</w:t>
      </w:r>
      <w:r>
        <w:rPr>
          <w:rFonts w:hint="eastAsia" w:cs="宋体"/>
          <w:b w:val="0"/>
          <w:color w:val="auto"/>
          <w:sz w:val="24"/>
          <w:szCs w:val="24"/>
          <w:lang w:val="zh-CN"/>
        </w:rPr>
        <w:t>履约能力包含</w:t>
      </w:r>
      <w:bookmarkStart w:id="192" w:name="_Toc10704"/>
      <w:bookmarkStart w:id="193" w:name="_Toc14097"/>
      <w:bookmarkEnd w:id="189"/>
      <w:bookmarkEnd w:id="190"/>
      <w:r>
        <w:rPr>
          <w:rFonts w:hint="eastAsia" w:cs="宋体"/>
          <w:b w:val="0"/>
          <w:color w:val="auto"/>
          <w:sz w:val="24"/>
          <w:szCs w:val="24"/>
          <w:lang w:val="zh-CN"/>
        </w:rPr>
        <w:t>①投标人具有的类似项目履约经验、②投标人提供的产品和期生产厂家具有的相关证书</w:t>
      </w:r>
      <w:r>
        <w:rPr>
          <w:rFonts w:hint="eastAsia" w:cs="宋体"/>
          <w:b w:val="0"/>
          <w:color w:val="auto"/>
          <w:sz w:val="24"/>
          <w:szCs w:val="24"/>
        </w:rPr>
        <w:t>(具体详见综合评分表内要求)</w:t>
      </w:r>
      <w:r>
        <w:rPr>
          <w:rFonts w:hint="eastAsia" w:cs="宋体"/>
          <w:b w:val="0"/>
          <w:color w:val="auto"/>
          <w:sz w:val="24"/>
          <w:szCs w:val="24"/>
          <w:lang w:val="zh-CN"/>
        </w:rPr>
        <w:t>、③投标人针对本项目质保期的承诺等内容。</w:t>
      </w:r>
      <w:bookmarkEnd w:id="191"/>
      <w:bookmarkEnd w:id="192"/>
      <w:bookmarkEnd w:id="193"/>
    </w:p>
    <w:p>
      <w:pPr>
        <w:pStyle w:val="6"/>
        <w:numPr>
          <w:ilvl w:val="2"/>
          <w:numId w:val="5"/>
        </w:numPr>
        <w:tabs>
          <w:tab w:val="left" w:pos="0"/>
          <w:tab w:val="left" w:pos="426"/>
          <w:tab w:val="left" w:pos="576"/>
          <w:tab w:val="left" w:pos="786"/>
        </w:tabs>
        <w:rPr>
          <w:rFonts w:ascii="宋体" w:hAnsi="宋体" w:eastAsia="宋体" w:cs="宋体"/>
          <w:b/>
          <w:bCs/>
          <w:color w:val="auto"/>
          <w:sz w:val="24"/>
          <w:szCs w:val="24"/>
        </w:rPr>
      </w:pPr>
      <w:r>
        <w:rPr>
          <w:rFonts w:hint="eastAsia" w:ascii="宋体" w:hAnsi="宋体" w:eastAsia="宋体" w:cs="宋体"/>
          <w:b/>
          <w:bCs/>
          <w:color w:val="auto"/>
          <w:sz w:val="24"/>
          <w:szCs w:val="24"/>
        </w:rPr>
        <w:t>★商务要求</w:t>
      </w:r>
    </w:p>
    <w:p>
      <w:pPr>
        <w:pStyle w:val="150"/>
        <w:tabs>
          <w:tab w:val="left" w:pos="0"/>
        </w:tabs>
        <w:wordWrap w:val="0"/>
        <w:spacing w:line="440" w:lineRule="exact"/>
        <w:ind w:firstLine="482"/>
        <w:jc w:val="left"/>
        <w:rPr>
          <w:rFonts w:ascii="宋体" w:hAnsi="宋体" w:eastAsia="宋体" w:cs="宋体"/>
          <w:b/>
          <w:bCs/>
          <w:color w:val="auto"/>
          <w:sz w:val="24"/>
          <w:szCs w:val="24"/>
        </w:rPr>
      </w:pPr>
      <w:r>
        <w:rPr>
          <w:rFonts w:hint="eastAsia" w:ascii="宋体" w:hAnsi="宋体" w:eastAsia="宋体" w:cs="宋体"/>
          <w:b/>
          <w:bCs/>
          <w:color w:val="auto"/>
          <w:sz w:val="24"/>
          <w:szCs w:val="24"/>
        </w:rPr>
        <w:t>(一)履约时间、地点及要求</w:t>
      </w:r>
    </w:p>
    <w:p>
      <w:pPr>
        <w:pStyle w:val="150"/>
        <w:tabs>
          <w:tab w:val="left" w:pos="0"/>
        </w:tabs>
        <w:wordWrap w:val="0"/>
        <w:spacing w:line="440" w:lineRule="exact"/>
        <w:ind w:firstLine="482"/>
        <w:jc w:val="left"/>
        <w:rPr>
          <w:rFonts w:ascii="宋体" w:hAnsi="宋体" w:eastAsia="宋体" w:cs="宋体"/>
          <w:b/>
          <w:bCs/>
          <w:color w:val="auto"/>
          <w:sz w:val="24"/>
          <w:szCs w:val="24"/>
        </w:rPr>
      </w:pPr>
      <w:r>
        <w:rPr>
          <w:rFonts w:hint="eastAsia" w:ascii="宋体" w:hAnsi="宋体" w:eastAsia="宋体" w:cs="宋体"/>
          <w:b/>
          <w:bCs/>
          <w:color w:val="auto"/>
          <w:sz w:val="24"/>
          <w:szCs w:val="24"/>
        </w:rPr>
        <w:t>1、履约时间：</w:t>
      </w:r>
      <w:r>
        <w:rPr>
          <w:rFonts w:hint="eastAsia" w:ascii="宋体" w:hAnsi="宋体" w:eastAsia="宋体" w:cs="宋体"/>
          <w:color w:val="auto"/>
          <w:sz w:val="24"/>
          <w:szCs w:val="24"/>
        </w:rPr>
        <w:t>政府采购合同签订生效后60个日历日内完成电梯安装调试并通过验收。</w:t>
      </w:r>
    </w:p>
    <w:p>
      <w:pPr>
        <w:pStyle w:val="150"/>
        <w:tabs>
          <w:tab w:val="left" w:pos="0"/>
        </w:tabs>
        <w:wordWrap w:val="0"/>
        <w:spacing w:line="440" w:lineRule="exact"/>
        <w:ind w:firstLine="482"/>
        <w:jc w:val="left"/>
        <w:rPr>
          <w:rFonts w:ascii="宋体" w:hAnsi="宋体" w:eastAsia="宋体" w:cs="宋体"/>
          <w:color w:val="auto"/>
          <w:sz w:val="24"/>
          <w:szCs w:val="24"/>
        </w:rPr>
      </w:pPr>
      <w:r>
        <w:rPr>
          <w:rFonts w:hint="eastAsia" w:ascii="宋体" w:hAnsi="宋体" w:eastAsia="宋体" w:cs="宋体"/>
          <w:b/>
          <w:bCs/>
          <w:color w:val="auto"/>
          <w:sz w:val="24"/>
          <w:szCs w:val="24"/>
        </w:rPr>
        <w:t>2、履约地点</w:t>
      </w:r>
      <w:r>
        <w:rPr>
          <w:rFonts w:hint="eastAsia" w:ascii="宋体" w:hAnsi="宋体" w:eastAsia="宋体" w:cs="宋体"/>
          <w:color w:val="auto"/>
          <w:sz w:val="24"/>
          <w:szCs w:val="24"/>
        </w:rPr>
        <w:t>：采购人指定地点。</w:t>
      </w:r>
    </w:p>
    <w:p>
      <w:pPr>
        <w:rPr>
          <w:color w:val="auto"/>
        </w:rPr>
      </w:pPr>
    </w:p>
    <w:p>
      <w:pPr>
        <w:tabs>
          <w:tab w:val="left" w:pos="0"/>
        </w:tabs>
        <w:spacing w:line="440" w:lineRule="exact"/>
        <w:ind w:firstLine="482" w:firstLineChars="200"/>
        <w:rPr>
          <w:rFonts w:ascii="宋体" w:hAnsi="宋体" w:eastAsia="宋体" w:cs="宋体"/>
          <w:b/>
          <w:bCs/>
          <w:color w:val="auto"/>
          <w:sz w:val="24"/>
          <w:szCs w:val="24"/>
        </w:rPr>
      </w:pPr>
      <w:r>
        <w:rPr>
          <w:rFonts w:hint="eastAsia" w:ascii="宋体" w:hAnsi="宋体" w:eastAsia="宋体" w:cs="宋体"/>
          <w:b/>
          <w:bCs/>
          <w:color w:val="auto"/>
          <w:sz w:val="24"/>
          <w:szCs w:val="24"/>
        </w:rPr>
        <w:t>(二)履约保证金</w:t>
      </w:r>
    </w:p>
    <w:p>
      <w:pPr>
        <w:tabs>
          <w:tab w:val="left" w:pos="0"/>
        </w:tabs>
        <w:wordWrap w:val="0"/>
        <w:spacing w:line="440" w:lineRule="exact"/>
        <w:ind w:firstLine="480" w:firstLineChars="200"/>
        <w:rPr>
          <w:rFonts w:ascii="宋体" w:hAnsi="宋体" w:eastAsia="宋体" w:cs="宋体"/>
          <w:bCs/>
          <w:color w:val="auto"/>
          <w:sz w:val="24"/>
          <w:szCs w:val="24"/>
        </w:rPr>
      </w:pPr>
      <w:r>
        <w:rPr>
          <w:rFonts w:hint="eastAsia" w:ascii="宋体" w:hAnsi="宋体" w:eastAsia="宋体" w:cs="宋体"/>
          <w:color w:val="auto"/>
          <w:sz w:val="24"/>
          <w:szCs w:val="24"/>
        </w:rPr>
        <w:t>本项目不收取履约保证金。</w:t>
      </w:r>
    </w:p>
    <w:p>
      <w:pPr>
        <w:tabs>
          <w:tab w:val="left" w:pos="0"/>
        </w:tabs>
        <w:spacing w:line="440" w:lineRule="exact"/>
        <w:ind w:firstLine="482" w:firstLineChars="200"/>
        <w:rPr>
          <w:rFonts w:ascii="宋体" w:hAnsi="宋体" w:eastAsia="宋体" w:cs="宋体"/>
          <w:b/>
          <w:bCs/>
          <w:color w:val="auto"/>
          <w:sz w:val="24"/>
          <w:szCs w:val="24"/>
        </w:rPr>
      </w:pPr>
      <w:r>
        <w:rPr>
          <w:rFonts w:hint="eastAsia" w:ascii="宋体" w:hAnsi="宋体" w:eastAsia="宋体" w:cs="宋体"/>
          <w:b/>
          <w:bCs/>
          <w:color w:val="auto"/>
          <w:sz w:val="24"/>
          <w:szCs w:val="24"/>
        </w:rPr>
        <w:t>(三)合同价款</w:t>
      </w:r>
    </w:p>
    <w:p>
      <w:pPr>
        <w:tabs>
          <w:tab w:val="left" w:pos="0"/>
        </w:tabs>
        <w:spacing w:line="440" w:lineRule="exact"/>
        <w:ind w:firstLine="480" w:firstLineChars="200"/>
        <w:jc w:val="left"/>
        <w:rPr>
          <w:rFonts w:ascii="宋体" w:hAnsi="宋体" w:eastAsia="宋体" w:cs="宋体"/>
          <w:color w:val="auto"/>
          <w:sz w:val="24"/>
          <w:szCs w:val="24"/>
        </w:rPr>
      </w:pPr>
      <w:r>
        <w:rPr>
          <w:rFonts w:hint="eastAsia" w:ascii="宋体" w:hAnsi="宋体" w:eastAsia="宋体" w:cs="宋体"/>
          <w:color w:val="auto"/>
          <w:sz w:val="24"/>
          <w:szCs w:val="24"/>
        </w:rPr>
        <w:t>合同价是投标人响应采购项目要求的全部工作内容的价格体现，包括货物制造、包装、运输、检测、培训、招标代理服务费、验收合格交付使用之前及保修期内保修服务与备用物件等等所有其他有关各项的含税费用。</w:t>
      </w:r>
    </w:p>
    <w:p>
      <w:pPr>
        <w:pStyle w:val="150"/>
        <w:tabs>
          <w:tab w:val="left" w:pos="0"/>
        </w:tabs>
        <w:wordWrap w:val="0"/>
        <w:spacing w:line="440" w:lineRule="exact"/>
        <w:ind w:firstLine="482"/>
        <w:jc w:val="left"/>
        <w:rPr>
          <w:rFonts w:ascii="宋体" w:hAnsi="宋体" w:eastAsia="宋体" w:cs="宋体"/>
          <w:b/>
          <w:bCs/>
          <w:color w:val="auto"/>
          <w:sz w:val="24"/>
          <w:szCs w:val="24"/>
        </w:rPr>
      </w:pPr>
      <w:r>
        <w:rPr>
          <w:rFonts w:hint="eastAsia" w:ascii="宋体" w:hAnsi="宋体" w:eastAsia="宋体" w:cs="宋体"/>
          <w:b/>
          <w:bCs/>
          <w:color w:val="auto"/>
          <w:sz w:val="24"/>
          <w:szCs w:val="24"/>
        </w:rPr>
        <w:t>(四)付款方式</w:t>
      </w:r>
    </w:p>
    <w:p>
      <w:pPr>
        <w:pStyle w:val="103"/>
        <w:tabs>
          <w:tab w:val="left" w:pos="0"/>
        </w:tabs>
        <w:spacing w:line="440" w:lineRule="exact"/>
        <w:ind w:firstLine="480"/>
        <w:rPr>
          <w:rFonts w:ascii="宋体" w:hAnsi="宋体" w:eastAsia="宋体"/>
          <w:color w:val="auto"/>
          <w:szCs w:val="24"/>
        </w:rPr>
      </w:pPr>
      <w:r>
        <w:rPr>
          <w:rFonts w:hint="eastAsia" w:ascii="宋体" w:hAnsi="宋体" w:eastAsia="宋体"/>
          <w:color w:val="auto"/>
          <w:szCs w:val="24"/>
        </w:rPr>
        <w:t>1、政府采购合同签订生效后支付合同总金额的30%，供应商完成电梯安装调试并达到使用条件后支付合同总金额的40%，供应商取得电梯相关行业主管部门所有手续并移交采购人且通过采购人验收后支付合同总金额的20%。剩余合同总金额的10%</w:t>
      </w:r>
      <w:r>
        <w:rPr>
          <w:rFonts w:hint="eastAsia" w:ascii="宋体" w:hAnsi="宋体"/>
          <w:color w:val="auto"/>
          <w:szCs w:val="24"/>
          <w:lang w:eastAsia="zh-CN"/>
        </w:rPr>
        <w:t>在采购人验收合格后一年，产品</w:t>
      </w:r>
      <w:r>
        <w:rPr>
          <w:rFonts w:hint="eastAsia" w:ascii="宋体" w:hAnsi="宋体" w:eastAsia="宋体"/>
          <w:color w:val="auto"/>
          <w:szCs w:val="24"/>
        </w:rPr>
        <w:t>无任何质量问题且中标方按合同约定全面履行了售后服务义务后支付。</w:t>
      </w:r>
    </w:p>
    <w:p>
      <w:pPr>
        <w:pStyle w:val="150"/>
        <w:tabs>
          <w:tab w:val="left" w:pos="0"/>
        </w:tabs>
        <w:wordWrap w:val="0"/>
        <w:spacing w:line="440" w:lineRule="exact"/>
        <w:ind w:firstLine="480"/>
        <w:jc w:val="left"/>
        <w:rPr>
          <w:rFonts w:ascii="宋体" w:hAnsi="宋体" w:eastAsia="宋体" w:cs="宋体"/>
          <w:color w:val="auto"/>
          <w:sz w:val="24"/>
          <w:szCs w:val="24"/>
        </w:rPr>
      </w:pPr>
      <w:r>
        <w:rPr>
          <w:rFonts w:hint="eastAsia" w:ascii="宋体" w:hAnsi="宋体" w:eastAsia="宋体" w:cs="宋体"/>
          <w:color w:val="auto"/>
          <w:sz w:val="24"/>
          <w:szCs w:val="24"/>
        </w:rPr>
        <w:t>2、投标人须向采购人出具合法有效完整的完税发票及凭证资料进行支付结算。</w:t>
      </w:r>
    </w:p>
    <w:p>
      <w:pPr>
        <w:pStyle w:val="150"/>
        <w:tabs>
          <w:tab w:val="left" w:pos="0"/>
        </w:tabs>
        <w:wordWrap w:val="0"/>
        <w:spacing w:line="440" w:lineRule="exact"/>
        <w:ind w:firstLine="482"/>
        <w:jc w:val="left"/>
        <w:rPr>
          <w:rFonts w:ascii="宋体" w:hAnsi="宋体" w:eastAsia="宋体" w:cs="宋体"/>
          <w:b/>
          <w:bCs/>
          <w:color w:val="auto"/>
          <w:sz w:val="24"/>
          <w:szCs w:val="24"/>
        </w:rPr>
      </w:pPr>
      <w:r>
        <w:rPr>
          <w:rFonts w:hint="eastAsia" w:ascii="宋体" w:hAnsi="宋体" w:eastAsia="宋体" w:cs="宋体"/>
          <w:b/>
          <w:bCs/>
          <w:color w:val="auto"/>
          <w:sz w:val="24"/>
          <w:szCs w:val="24"/>
        </w:rPr>
        <w:t>(五)违约责任</w:t>
      </w:r>
    </w:p>
    <w:p>
      <w:pPr>
        <w:tabs>
          <w:tab w:val="left" w:pos="0"/>
        </w:tabs>
        <w:spacing w:line="440" w:lineRule="exact"/>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1、投标人必须遵守采购合同并执行合同中的各项规定，保证采购合同的正常履行。</w:t>
      </w:r>
    </w:p>
    <w:p>
      <w:pPr>
        <w:tabs>
          <w:tab w:val="left" w:pos="0"/>
        </w:tabs>
        <w:spacing w:line="440" w:lineRule="exact"/>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2、如因投标人工作人员在履行职务过程中的的疏忽、失职、过错等故意或者过失原因给采购人造成损失或侵害，包括但不限于采购人本身的财产损失、由此而导致的采购人对任何第三方的法律责任等，投标人对此均应承担全部的赔偿责任。</w:t>
      </w:r>
    </w:p>
    <w:p>
      <w:pPr>
        <w:tabs>
          <w:tab w:val="left" w:pos="0"/>
        </w:tabs>
        <w:spacing w:line="440" w:lineRule="exact"/>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3、投标人必须遵守采购合同按时完成合同相关工作，若由于投标人原因导致合同迟延履行，投标人应承担每迟延一天处罚人民币1000元的违约责任。</w:t>
      </w:r>
    </w:p>
    <w:p>
      <w:pPr>
        <w:tabs>
          <w:tab w:val="left" w:pos="0"/>
        </w:tabs>
        <w:spacing w:line="440" w:lineRule="exact"/>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4、投标人应当遵守采购人的相关项目需求及相关技术要求及实质性条款，实施完成采购合同应当完全满足相关项目需求及相关技术要求及实质性条款，若投标人瑕疵履行采购合同，采购人有权向投标人要求赔偿合同总价款20%的违约金，若造成相关损失的，采购人有权要求投标人承担所有赔偿责任。</w:t>
      </w:r>
    </w:p>
    <w:p>
      <w:pPr>
        <w:tabs>
          <w:tab w:val="left" w:pos="0"/>
        </w:tabs>
        <w:spacing w:line="440" w:lineRule="exact"/>
        <w:ind w:firstLine="480" w:firstLineChars="200"/>
        <w:jc w:val="left"/>
        <w:rPr>
          <w:rFonts w:ascii="宋体" w:hAnsi="宋体" w:eastAsia="宋体" w:cs="宋体"/>
          <w:color w:val="auto"/>
          <w:kern w:val="0"/>
          <w:sz w:val="24"/>
          <w:szCs w:val="24"/>
        </w:rPr>
      </w:pPr>
      <w:r>
        <w:rPr>
          <w:rFonts w:hint="eastAsia" w:ascii="宋体" w:hAnsi="宋体" w:eastAsia="宋体" w:cs="宋体"/>
          <w:color w:val="auto"/>
          <w:kern w:val="0"/>
          <w:sz w:val="24"/>
          <w:szCs w:val="24"/>
        </w:rPr>
        <w:t>5、有下列情形之一的，当事人可以解除合同：</w:t>
      </w:r>
    </w:p>
    <w:p>
      <w:pPr>
        <w:tabs>
          <w:tab w:val="left" w:pos="0"/>
        </w:tabs>
        <w:spacing w:line="440" w:lineRule="exact"/>
        <w:ind w:firstLine="480" w:firstLineChars="200"/>
        <w:jc w:val="left"/>
        <w:rPr>
          <w:rFonts w:ascii="宋体" w:hAnsi="宋体" w:eastAsia="宋体" w:cs="宋体"/>
          <w:color w:val="auto"/>
          <w:kern w:val="0"/>
          <w:sz w:val="24"/>
          <w:szCs w:val="24"/>
        </w:rPr>
      </w:pPr>
      <w:r>
        <w:rPr>
          <w:rFonts w:hint="eastAsia" w:ascii="宋体" w:hAnsi="宋体" w:eastAsia="宋体" w:cs="宋体"/>
          <w:color w:val="auto"/>
          <w:kern w:val="0"/>
          <w:sz w:val="24"/>
          <w:szCs w:val="24"/>
        </w:rPr>
        <w:t>(1)因不可抗力致使不能实现合同目的(由于非投标人或采购人原因，致使合同实质性条款无法实现的)；</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 xml:space="preserve">    (2)当事人一方迟延履行主要债务，经催告后在合理期限内仍未履行；</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 xml:space="preserve">    (3)当事人一方迟延履行债务或者有其他违约行为致使不能实现合同目的；</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 xml:space="preserve">    (4)法律规定的其他情形。</w:t>
      </w:r>
    </w:p>
    <w:p>
      <w:pPr>
        <w:tabs>
          <w:tab w:val="left" w:pos="0"/>
        </w:tabs>
        <w:spacing w:line="440" w:lineRule="exact"/>
        <w:ind w:firstLine="482" w:firstLineChars="200"/>
        <w:jc w:val="left"/>
        <w:rPr>
          <w:rFonts w:ascii="宋体" w:hAnsi="宋体" w:eastAsia="宋体" w:cs="宋体"/>
          <w:b/>
          <w:bCs/>
          <w:color w:val="auto"/>
          <w:sz w:val="24"/>
          <w:szCs w:val="24"/>
        </w:rPr>
      </w:pPr>
      <w:r>
        <w:rPr>
          <w:rFonts w:hint="eastAsia" w:ascii="宋体" w:hAnsi="宋体" w:eastAsia="宋体" w:cs="宋体"/>
          <w:b/>
          <w:bCs/>
          <w:color w:val="auto"/>
          <w:sz w:val="24"/>
          <w:szCs w:val="24"/>
        </w:rPr>
        <w:t>(六)解决争议的方法</w:t>
      </w:r>
    </w:p>
    <w:p>
      <w:pPr>
        <w:pStyle w:val="103"/>
        <w:tabs>
          <w:tab w:val="left" w:pos="0"/>
        </w:tabs>
        <w:wordWrap w:val="0"/>
        <w:topLinePunct/>
        <w:spacing w:line="440" w:lineRule="exact"/>
        <w:ind w:firstLine="480"/>
        <w:rPr>
          <w:rFonts w:ascii="宋体" w:hAnsi="宋体" w:eastAsia="宋体"/>
          <w:color w:val="auto"/>
          <w:kern w:val="0"/>
          <w:szCs w:val="24"/>
        </w:rPr>
      </w:pPr>
      <w:r>
        <w:rPr>
          <w:rFonts w:hint="eastAsia" w:ascii="宋体" w:hAnsi="宋体" w:eastAsia="宋体"/>
          <w:color w:val="auto"/>
          <w:kern w:val="0"/>
          <w:szCs w:val="24"/>
        </w:rPr>
        <w:t>1、因质量问题发生争议，由采购人或其指定的第三方机构进行质量鉴定，鉴定费由投标人承担。</w:t>
      </w:r>
    </w:p>
    <w:p>
      <w:pPr>
        <w:tabs>
          <w:tab w:val="left" w:pos="0"/>
        </w:tabs>
        <w:spacing w:line="440" w:lineRule="exact"/>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2、合同履行期间,若双方发生争议，可协商或由有关部门调解解决，协商或调解不成的，</w:t>
      </w:r>
      <w:r>
        <w:rPr>
          <w:rFonts w:hint="eastAsia" w:ascii="宋体" w:hAnsi="宋体" w:eastAsia="宋体" w:cs="宋体"/>
          <w:color w:val="auto"/>
          <w:kern w:val="0"/>
          <w:sz w:val="24"/>
          <w:szCs w:val="24"/>
        </w:rPr>
        <w:t xml:space="preserve"> 向采购人所在地</w:t>
      </w:r>
      <w:r>
        <w:rPr>
          <w:rFonts w:hint="eastAsia" w:ascii="宋体" w:hAnsi="宋体" w:cs="宋体"/>
          <w:color w:val="auto"/>
          <w:kern w:val="0"/>
          <w:sz w:val="24"/>
          <w:szCs w:val="24"/>
          <w:lang w:eastAsia="zh-CN"/>
        </w:rPr>
        <w:t>人民法院提起诉讼</w:t>
      </w:r>
      <w:r>
        <w:rPr>
          <w:rFonts w:hint="eastAsia" w:ascii="宋体" w:hAnsi="宋体" w:eastAsia="宋体" w:cs="宋体"/>
          <w:color w:val="auto"/>
          <w:kern w:val="0"/>
          <w:sz w:val="24"/>
          <w:szCs w:val="24"/>
        </w:rPr>
        <w:t>。</w:t>
      </w:r>
    </w:p>
    <w:p>
      <w:pPr>
        <w:tabs>
          <w:tab w:val="left" w:pos="0"/>
        </w:tabs>
        <w:spacing w:line="440" w:lineRule="exact"/>
        <w:ind w:firstLine="482" w:firstLineChars="200"/>
        <w:textAlignment w:val="baseline"/>
        <w:rPr>
          <w:rFonts w:ascii="宋体" w:hAnsi="宋体" w:eastAsia="宋体" w:cs="宋体"/>
          <w:b/>
          <w:bCs/>
          <w:color w:val="auto"/>
          <w:sz w:val="24"/>
          <w:szCs w:val="24"/>
        </w:rPr>
      </w:pPr>
      <w:r>
        <w:rPr>
          <w:rFonts w:hint="eastAsia" w:ascii="宋体" w:hAnsi="宋体" w:eastAsia="宋体" w:cs="宋体"/>
          <w:b/>
          <w:bCs/>
          <w:color w:val="auto"/>
          <w:sz w:val="24"/>
          <w:szCs w:val="24"/>
        </w:rPr>
        <w:t>(七)验收方法和标准</w:t>
      </w:r>
    </w:p>
    <w:p>
      <w:pPr>
        <w:tabs>
          <w:tab w:val="left" w:pos="0"/>
        </w:tabs>
        <w:spacing w:line="440" w:lineRule="exact"/>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1、投标人在设备安装并正常运行10天后通知采购人，采购人在接到通知后5个工作日内组织履约验收，验收合格，双方签署《验收报告》；</w:t>
      </w:r>
    </w:p>
    <w:p>
      <w:pPr>
        <w:tabs>
          <w:tab w:val="left" w:pos="0"/>
        </w:tabs>
        <w:spacing w:line="440" w:lineRule="exact"/>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2、验收标准：按国家有关规定以及采购文件的质量要求和技术指标、供应商的投标文件及承诺与本合同约定标准进行验收；采购人与供应商双方如对质量要求和技术指标的约定标准有相互抵触或异议的事项，由采购人在采购文件及投标文件中按质量要求和技术指标比较优胜的原则确定该项的约定标准进行验收；</w:t>
      </w:r>
    </w:p>
    <w:p>
      <w:pPr>
        <w:tabs>
          <w:tab w:val="left" w:pos="0"/>
        </w:tabs>
        <w:spacing w:line="440" w:lineRule="exact"/>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3、验收时如发现所交付的货物有短装、次品、损坏或其它不符合标准及本合同规定之情形者，采购人应做出详尽的现场记录，或由采购人与供应商双方签署备忘录，此现场记录或备忘录可用作补充、缺失和更换损坏部件的有效证据，由此产生的时间延误与有关费用由供应商承担，验收期限相应顺延，但最长不得超过7个日历天，不得影响采购人正常工作的开展；</w:t>
      </w:r>
    </w:p>
    <w:p>
      <w:pPr>
        <w:tabs>
          <w:tab w:val="left" w:pos="0"/>
        </w:tabs>
        <w:spacing w:line="440" w:lineRule="exact"/>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4、供应商应将所提供货物的装箱清单、配件、随机工具、用户使用手册、原厂保修卡等资料交付给采购人；供应商不能完整交付货物及本款规定的单证和工具的，必须负责补齐，否则视为未按合同约定交货；</w:t>
      </w:r>
    </w:p>
    <w:p>
      <w:pPr>
        <w:tabs>
          <w:tab w:val="left" w:pos="0"/>
        </w:tabs>
        <w:spacing w:line="440" w:lineRule="exact"/>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5、如货物经供应商2次维修仍不能达到合同约定的质量标准，采购人有权退货，并依法追究供应商的违约责任；</w:t>
      </w:r>
    </w:p>
    <w:p>
      <w:pPr>
        <w:tabs>
          <w:tab w:val="left" w:pos="0"/>
        </w:tabs>
        <w:spacing w:line="440" w:lineRule="exact"/>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6、验收结果不合格且拒不整改的，采购人将不予支付采购资金，还可能上报本项目同级财政部门按照政府采购法律法规等有关规定给予行政处罚；</w:t>
      </w:r>
    </w:p>
    <w:p>
      <w:pPr>
        <w:tabs>
          <w:tab w:val="left" w:pos="0"/>
        </w:tabs>
        <w:spacing w:line="440" w:lineRule="exact"/>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7、其他未尽事宜应严格按照《财政部关于进一步加强政府采购需求和履约验收管理的指导意见》(财库〔2016〕205号)的要求进行验收 </w:t>
      </w:r>
    </w:p>
    <w:p>
      <w:pPr>
        <w:tabs>
          <w:tab w:val="left" w:pos="0"/>
        </w:tabs>
        <w:spacing w:line="440" w:lineRule="exact"/>
        <w:ind w:firstLine="482" w:firstLineChars="200"/>
        <w:textAlignment w:val="baseline"/>
        <w:rPr>
          <w:rFonts w:ascii="宋体" w:hAnsi="宋体" w:eastAsia="宋体" w:cs="宋体"/>
          <w:b/>
          <w:bCs/>
          <w:color w:val="auto"/>
          <w:sz w:val="24"/>
          <w:szCs w:val="24"/>
        </w:rPr>
      </w:pPr>
      <w:r>
        <w:rPr>
          <w:rFonts w:hint="eastAsia" w:ascii="宋体" w:hAnsi="宋体" w:eastAsia="宋体" w:cs="宋体"/>
          <w:b/>
          <w:bCs/>
          <w:color w:val="auto"/>
          <w:sz w:val="24"/>
          <w:szCs w:val="24"/>
        </w:rPr>
        <w:t>(八)其他要求</w:t>
      </w:r>
    </w:p>
    <w:p>
      <w:pPr>
        <w:pStyle w:val="150"/>
        <w:tabs>
          <w:tab w:val="left" w:pos="0"/>
        </w:tabs>
        <w:wordWrap w:val="0"/>
        <w:spacing w:line="440" w:lineRule="exact"/>
        <w:ind w:firstLine="480"/>
        <w:rPr>
          <w:rFonts w:ascii="宋体" w:hAnsi="宋体" w:eastAsia="宋体" w:cs="宋体"/>
          <w:color w:val="auto"/>
          <w:sz w:val="24"/>
          <w:szCs w:val="24"/>
        </w:rPr>
      </w:pPr>
      <w:r>
        <w:rPr>
          <w:rFonts w:hint="eastAsia" w:ascii="宋体" w:hAnsi="宋体" w:eastAsia="宋体" w:cs="宋体"/>
          <w:color w:val="auto"/>
          <w:sz w:val="24"/>
          <w:szCs w:val="24"/>
        </w:rPr>
        <w:t>1、政府采购合同签订时间：投标人中标后，自中标通知书发出之日起，须按政府采购相关法律法规要求，在30日内与采购人签定政府采购合同。</w:t>
      </w:r>
    </w:p>
    <w:p>
      <w:pPr>
        <w:pStyle w:val="150"/>
        <w:tabs>
          <w:tab w:val="left" w:pos="0"/>
        </w:tabs>
        <w:wordWrap w:val="0"/>
        <w:spacing w:line="440" w:lineRule="exact"/>
        <w:ind w:firstLine="480"/>
        <w:rPr>
          <w:rFonts w:ascii="宋体" w:hAnsi="宋体" w:eastAsia="宋体" w:cs="宋体"/>
          <w:color w:val="auto"/>
          <w:sz w:val="24"/>
          <w:szCs w:val="24"/>
        </w:rPr>
      </w:pPr>
      <w:r>
        <w:rPr>
          <w:rFonts w:hint="eastAsia" w:ascii="宋体" w:hAnsi="宋体" w:eastAsia="宋体" w:cs="宋体"/>
          <w:color w:val="auto"/>
          <w:sz w:val="24"/>
          <w:szCs w:val="24"/>
        </w:rPr>
        <w:t>2、投标人应保证所提供的服务或其任何一部分均不会侵犯任何第三方的专利权、商标权或著作权。</w:t>
      </w:r>
    </w:p>
    <w:p>
      <w:pPr>
        <w:pStyle w:val="150"/>
        <w:tabs>
          <w:tab w:val="left" w:pos="0"/>
        </w:tabs>
        <w:wordWrap w:val="0"/>
        <w:spacing w:line="440" w:lineRule="exact"/>
        <w:ind w:firstLine="480"/>
        <w:rPr>
          <w:rFonts w:ascii="宋体" w:hAnsi="宋体" w:eastAsia="宋体" w:cs="宋体"/>
          <w:color w:val="auto"/>
          <w:sz w:val="24"/>
          <w:szCs w:val="24"/>
        </w:rPr>
      </w:pPr>
      <w:r>
        <w:rPr>
          <w:rFonts w:hint="eastAsia" w:ascii="宋体" w:hAnsi="宋体" w:eastAsia="宋体" w:cs="宋体"/>
          <w:color w:val="auto"/>
          <w:sz w:val="24"/>
          <w:szCs w:val="24"/>
        </w:rPr>
        <w:t>3、</w:t>
      </w:r>
      <w:r>
        <w:rPr>
          <w:rFonts w:hint="eastAsia" w:ascii="宋体" w:hAnsi="宋体" w:eastAsia="宋体" w:cs="宋体"/>
          <w:bCs/>
          <w:color w:val="auto"/>
          <w:sz w:val="24"/>
          <w:szCs w:val="24"/>
        </w:rPr>
        <w:t>投标人在</w:t>
      </w:r>
      <w:r>
        <w:rPr>
          <w:rFonts w:hint="eastAsia" w:ascii="宋体" w:hAnsi="宋体" w:eastAsia="宋体" w:cs="宋体"/>
          <w:color w:val="auto"/>
          <w:sz w:val="24"/>
          <w:szCs w:val="24"/>
        </w:rPr>
        <w:t>项目执行过程中</w:t>
      </w:r>
      <w:r>
        <w:rPr>
          <w:rFonts w:hint="eastAsia" w:ascii="宋体" w:hAnsi="宋体" w:eastAsia="宋体" w:cs="宋体"/>
          <w:bCs/>
          <w:color w:val="auto"/>
          <w:sz w:val="24"/>
          <w:szCs w:val="24"/>
        </w:rPr>
        <w:t>定期</w:t>
      </w:r>
      <w:r>
        <w:rPr>
          <w:rFonts w:hint="eastAsia" w:ascii="宋体" w:hAnsi="宋体" w:eastAsia="宋体" w:cs="宋体"/>
          <w:color w:val="auto"/>
          <w:sz w:val="24"/>
          <w:szCs w:val="24"/>
        </w:rPr>
        <w:t>及时向采购人通告本项目供货的重大事项及其进度。</w:t>
      </w:r>
    </w:p>
    <w:p>
      <w:pPr>
        <w:pStyle w:val="150"/>
        <w:tabs>
          <w:tab w:val="left" w:pos="0"/>
        </w:tabs>
        <w:wordWrap w:val="0"/>
        <w:spacing w:line="440" w:lineRule="exact"/>
        <w:ind w:firstLine="480"/>
        <w:rPr>
          <w:rFonts w:ascii="宋体" w:hAnsi="宋体" w:eastAsia="宋体" w:cs="宋体"/>
          <w:color w:val="auto"/>
          <w:sz w:val="24"/>
          <w:szCs w:val="24"/>
        </w:rPr>
      </w:pPr>
      <w:r>
        <w:rPr>
          <w:rFonts w:hint="eastAsia" w:ascii="宋体" w:hAnsi="宋体" w:eastAsia="宋体" w:cs="宋体"/>
          <w:color w:val="auto"/>
          <w:sz w:val="24"/>
          <w:szCs w:val="24"/>
        </w:rPr>
        <w:t>4、接受项目行业管理部门及政府有关部门的指导，接受采购人的监督。</w:t>
      </w:r>
    </w:p>
    <w:p>
      <w:pPr>
        <w:pStyle w:val="150"/>
        <w:tabs>
          <w:tab w:val="left" w:pos="0"/>
        </w:tabs>
        <w:wordWrap w:val="0"/>
        <w:spacing w:line="440" w:lineRule="exact"/>
        <w:ind w:firstLine="480"/>
        <w:rPr>
          <w:rFonts w:ascii="宋体" w:hAnsi="宋体" w:eastAsia="宋体" w:cs="宋体"/>
          <w:color w:val="auto"/>
          <w:sz w:val="24"/>
          <w:szCs w:val="24"/>
        </w:rPr>
      </w:pPr>
      <w:r>
        <w:rPr>
          <w:rFonts w:hint="eastAsia" w:ascii="宋体" w:hAnsi="宋体" w:eastAsia="宋体" w:cs="宋体"/>
          <w:color w:val="auto"/>
          <w:sz w:val="24"/>
          <w:szCs w:val="24"/>
        </w:rPr>
        <w:t>5、在采购合同履约过程中发生的或与本合同有关的争端，投标人与采购人应通过友好协商解决，协商或调解不成的，由当事人依法维护其合法权益。</w:t>
      </w:r>
    </w:p>
    <w:p>
      <w:pPr>
        <w:pStyle w:val="235"/>
        <w:tabs>
          <w:tab w:val="clear" w:pos="700"/>
          <w:tab w:val="clear" w:pos="840"/>
        </w:tabs>
        <w:spacing w:line="440" w:lineRule="exact"/>
        <w:ind w:left="0" w:firstLine="480" w:firstLineChars="200"/>
        <w:rPr>
          <w:rFonts w:ascii="宋体" w:eastAsia="宋体" w:cs="宋体"/>
          <w:color w:val="auto"/>
          <w:szCs w:val="24"/>
        </w:rPr>
      </w:pPr>
      <w:r>
        <w:rPr>
          <w:rFonts w:hint="eastAsia" w:ascii="宋体" w:eastAsia="宋体" w:cs="宋体"/>
          <w:color w:val="auto"/>
          <w:szCs w:val="24"/>
        </w:rPr>
        <w:t>6、投标人所提供的设备是经检验合格的全新正品。投标人不得以次充好，产品来源渠道必须合法，同时应根据国家有关规定、厂家服务承诺及采购单位的要求做好售后服务工作。投标人所提供的设备若发现有诸如数量、型号和外观尺寸与合同不符，或产生更换或补货等情形并导致工期延误，采购人有权根据合同有关条款的规定对因此造成的直接损失向投标人索赔。</w:t>
      </w:r>
    </w:p>
    <w:p>
      <w:pPr>
        <w:pStyle w:val="234"/>
        <w:spacing w:line="440" w:lineRule="exact"/>
        <w:ind w:firstLine="480" w:firstLineChars="200"/>
        <w:rPr>
          <w:rFonts w:cs="宋体"/>
          <w:color w:val="auto"/>
          <w:sz w:val="24"/>
          <w:szCs w:val="24"/>
        </w:rPr>
      </w:pPr>
      <w:r>
        <w:rPr>
          <w:rFonts w:hint="eastAsia" w:cs="宋体"/>
          <w:color w:val="auto"/>
          <w:sz w:val="24"/>
          <w:szCs w:val="24"/>
        </w:rPr>
        <w:t>7、如涉及政府优先采购和强制采购的产品依据财政部、发展改革委、生态环境部等部门确定的品目清单提供清单截图或提供国家确定的认证机构出具的、处于有效期之内的节能产品、环境标志产品认证证书。</w:t>
      </w:r>
    </w:p>
    <w:p>
      <w:pPr>
        <w:pStyle w:val="236"/>
        <w:spacing w:line="440" w:lineRule="exact"/>
        <w:ind w:firstLine="482"/>
        <w:rPr>
          <w:rFonts w:cs="宋体"/>
          <w:color w:val="auto"/>
          <w:sz w:val="24"/>
          <w:szCs w:val="24"/>
        </w:rPr>
      </w:pPr>
      <w:r>
        <w:rPr>
          <w:rFonts w:hint="eastAsia" w:cs="宋体"/>
          <w:color w:val="auto"/>
          <w:sz w:val="24"/>
          <w:szCs w:val="24"/>
        </w:rPr>
        <w:t>注意：①本章带“</w:t>
      </w:r>
      <w:r>
        <w:rPr>
          <w:rFonts w:hint="eastAsia" w:cs="宋体"/>
          <w:color w:val="auto"/>
          <w:sz w:val="24"/>
          <w:szCs w:val="24"/>
          <w:lang w:val="zh-CN"/>
        </w:rPr>
        <w:t>▲</w:t>
      </w:r>
      <w:r>
        <w:rPr>
          <w:rFonts w:hint="eastAsia" w:cs="宋体"/>
          <w:color w:val="auto"/>
          <w:sz w:val="24"/>
          <w:szCs w:val="24"/>
        </w:rPr>
        <w:t>”号项目作为关键性指标要求，如未满足将根据评分办法规定进行扣分；带“★”号条款为实质性要求，投标人若未满足的，将被视为无效投标(如涉及)。</w:t>
      </w:r>
    </w:p>
    <w:p>
      <w:pPr>
        <w:pStyle w:val="236"/>
        <w:spacing w:line="440" w:lineRule="exact"/>
        <w:ind w:firstLine="482"/>
        <w:rPr>
          <w:rFonts w:cs="宋体"/>
          <w:color w:val="auto"/>
          <w:sz w:val="24"/>
          <w:szCs w:val="24"/>
        </w:rPr>
      </w:pPr>
      <w:r>
        <w:rPr>
          <w:rFonts w:hint="eastAsia" w:cs="宋体"/>
          <w:color w:val="auto"/>
          <w:sz w:val="24"/>
          <w:szCs w:val="24"/>
        </w:rPr>
        <w:t>②对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w:t>
      </w:r>
    </w:p>
    <w:p>
      <w:pPr>
        <w:pStyle w:val="236"/>
        <w:spacing w:line="440" w:lineRule="exact"/>
        <w:ind w:firstLine="482"/>
        <w:rPr>
          <w:rFonts w:cs="宋体"/>
          <w:color w:val="auto"/>
          <w:sz w:val="24"/>
          <w:szCs w:val="24"/>
        </w:rPr>
      </w:pPr>
      <w:r>
        <w:rPr>
          <w:rFonts w:hint="eastAsia" w:cs="宋体"/>
          <w:color w:val="auto"/>
          <w:sz w:val="24"/>
          <w:szCs w:val="24"/>
        </w:rPr>
        <w:t>③采购产品为“政府采购节能产品、环境标志产品实施品目清单”中实施政府强制采购的，未获得国家确定的认证机构出具的、处于有效期之内的节能产品、环境标志产品认证证书的产品不得参与投标。</w:t>
      </w:r>
    </w:p>
    <w:p>
      <w:pPr>
        <w:spacing w:line="440" w:lineRule="exact"/>
        <w:ind w:firstLine="480" w:firstLineChars="200"/>
        <w:rPr>
          <w:rFonts w:ascii="宋体" w:hAnsi="宋体" w:eastAsia="宋体" w:cs="宋体"/>
          <w:b/>
          <w:bCs/>
          <w:color w:val="auto"/>
          <w:sz w:val="24"/>
          <w:szCs w:val="24"/>
        </w:rPr>
      </w:pPr>
      <w:r>
        <w:rPr>
          <w:rFonts w:hint="eastAsia" w:ascii="宋体" w:hAnsi="宋体" w:eastAsia="宋体" w:cs="宋体"/>
          <w:color w:val="auto"/>
          <w:sz w:val="24"/>
          <w:szCs w:val="24"/>
        </w:rPr>
        <w:t>④本项目涉及企业资质、产品认证、人员执业资格等描述与国家最新要求不一致时以最新要求为准。</w:t>
      </w:r>
    </w:p>
    <w:p>
      <w:pPr>
        <w:rPr>
          <w:color w:val="auto"/>
        </w:rPr>
      </w:pPr>
    </w:p>
    <w:p>
      <w:pPr>
        <w:pStyle w:val="6"/>
        <w:numPr>
          <w:ilvl w:val="2"/>
          <w:numId w:val="5"/>
        </w:numPr>
        <w:tabs>
          <w:tab w:val="left" w:pos="0"/>
          <w:tab w:val="left" w:pos="426"/>
          <w:tab w:val="left" w:pos="576"/>
          <w:tab w:val="left" w:pos="786"/>
        </w:tabs>
        <w:rPr>
          <w:rFonts w:ascii="宋体" w:hAnsi="宋体"/>
          <w:b/>
          <w:bCs/>
          <w:color w:val="auto"/>
          <w:sz w:val="28"/>
          <w:szCs w:val="28"/>
        </w:rPr>
      </w:pPr>
      <w:r>
        <w:rPr>
          <w:rFonts w:hint="eastAsia" w:ascii="宋体" w:hAnsi="宋体"/>
          <w:b/>
          <w:color w:val="auto"/>
          <w:sz w:val="28"/>
          <w:szCs w:val="28"/>
        </w:rPr>
        <w:t>★</w:t>
      </w:r>
      <w:r>
        <w:rPr>
          <w:rFonts w:hint="eastAsia" w:cs="宋体"/>
          <w:b/>
          <w:bCs/>
          <w:color w:val="auto"/>
          <w:sz w:val="24"/>
          <w:szCs w:val="24"/>
          <w:lang w:eastAsia="zh-CN"/>
        </w:rPr>
        <w:t>最高限价</w:t>
      </w:r>
    </w:p>
    <w:p>
      <w:pPr>
        <w:pStyle w:val="120"/>
        <w:spacing w:line="360" w:lineRule="auto"/>
        <w:ind w:left="38"/>
        <w:rPr>
          <w:b/>
          <w:bCs/>
          <w:color w:val="auto"/>
          <w:sz w:val="28"/>
          <w:szCs w:val="28"/>
        </w:rPr>
      </w:pPr>
      <w:bookmarkStart w:id="194" w:name="_Toc78191629"/>
      <w:r>
        <w:rPr>
          <w:rFonts w:hint="eastAsia"/>
          <w:color w:val="auto"/>
          <w:sz w:val="28"/>
          <w:szCs w:val="28"/>
          <w:lang w:val="en-US" w:eastAsia="zh-CN"/>
        </w:rPr>
        <w:t xml:space="preserve">    </w:t>
      </w:r>
      <w:r>
        <w:rPr>
          <w:rFonts w:hint="eastAsia"/>
          <w:color w:val="auto"/>
          <w:sz w:val="28"/>
          <w:szCs w:val="28"/>
        </w:rPr>
        <w:t>本项目最高限价为人民币：</w:t>
      </w:r>
      <w:r>
        <w:rPr>
          <w:rFonts w:hint="eastAsia"/>
          <w:b/>
          <w:bCs/>
          <w:color w:val="auto"/>
          <w:sz w:val="28"/>
          <w:szCs w:val="28"/>
          <w:lang w:val="en-US" w:eastAsia="zh-CN"/>
        </w:rPr>
        <w:t>58万</w:t>
      </w:r>
      <w:r>
        <w:rPr>
          <w:rFonts w:hint="eastAsia"/>
          <w:b/>
          <w:bCs/>
          <w:color w:val="auto"/>
          <w:sz w:val="28"/>
          <w:szCs w:val="28"/>
        </w:rPr>
        <w:t>元</w:t>
      </w:r>
      <w:r>
        <w:rPr>
          <w:rFonts w:hint="eastAsia"/>
          <w:color w:val="auto"/>
          <w:sz w:val="28"/>
          <w:szCs w:val="28"/>
        </w:rPr>
        <w:t>。</w:t>
      </w:r>
      <w:r>
        <w:rPr>
          <w:rFonts w:hint="eastAsia"/>
          <w:b/>
          <w:bCs/>
          <w:color w:val="auto"/>
          <w:sz w:val="28"/>
          <w:szCs w:val="28"/>
        </w:rPr>
        <w:t>（</w:t>
      </w:r>
      <w:r>
        <w:rPr>
          <w:rFonts w:hint="eastAsia"/>
          <w:b/>
          <w:color w:val="auto"/>
          <w:kern w:val="2"/>
          <w:lang w:val="zh-CN"/>
        </w:rPr>
        <w:t>投标人投标报价高于最高限价的则其投标文件将按未响应招标文件实质性要求处理。）</w:t>
      </w:r>
    </w:p>
    <w:p>
      <w:pPr>
        <w:keepNext/>
        <w:keepLines/>
        <w:numPr>
          <w:ilvl w:val="1"/>
          <w:numId w:val="41"/>
        </w:numPr>
        <w:tabs>
          <w:tab w:val="left" w:pos="0"/>
          <w:tab w:val="left" w:pos="426"/>
          <w:tab w:val="left" w:pos="576"/>
          <w:tab w:val="left" w:pos="786"/>
        </w:tabs>
        <w:spacing w:line="360" w:lineRule="auto"/>
        <w:ind w:left="0" w:firstLine="0"/>
        <w:outlineLvl w:val="1"/>
        <w:rPr>
          <w:rFonts w:ascii="宋体" w:hAnsi="宋体"/>
          <w:b/>
          <w:color w:val="auto"/>
          <w:sz w:val="28"/>
          <w:szCs w:val="28"/>
        </w:rPr>
      </w:pPr>
      <w:r>
        <w:rPr>
          <w:rFonts w:hint="eastAsia" w:asciiTheme="minorEastAsia" w:hAnsiTheme="minorEastAsia"/>
          <w:b/>
          <w:color w:val="auto"/>
          <w:sz w:val="28"/>
          <w:szCs w:val="28"/>
        </w:rPr>
        <w:t>★</w:t>
      </w:r>
      <w:r>
        <w:rPr>
          <w:rFonts w:hint="eastAsia" w:ascii="宋体" w:hAnsi="宋体"/>
          <w:b/>
          <w:color w:val="auto"/>
          <w:sz w:val="28"/>
          <w:szCs w:val="28"/>
        </w:rPr>
        <w:t>其他要求</w:t>
      </w:r>
      <w:bookmarkEnd w:id="194"/>
    </w:p>
    <w:p>
      <w:pPr>
        <w:spacing w:line="360" w:lineRule="auto"/>
        <w:rPr>
          <w:color w:val="auto"/>
          <w:sz w:val="28"/>
          <w:szCs w:val="28"/>
        </w:rPr>
      </w:pPr>
      <w:r>
        <w:rPr>
          <w:rFonts w:hint="eastAsia"/>
          <w:color w:val="auto"/>
        </w:rPr>
        <w:t xml:space="preserve"> </w:t>
      </w:r>
      <w:r>
        <w:rPr>
          <w:rFonts w:hint="eastAsia"/>
          <w:color w:val="auto"/>
          <w:lang w:val="en-US" w:eastAsia="zh-CN"/>
        </w:rPr>
        <w:tab/>
      </w:r>
      <w:r>
        <w:rPr>
          <w:rFonts w:hint="eastAsia"/>
          <w:color w:val="auto"/>
          <w:lang w:val="en-US" w:eastAsia="zh-CN"/>
        </w:rPr>
        <w:t xml:space="preserve"> </w:t>
      </w:r>
      <w:r>
        <w:rPr>
          <w:rFonts w:hint="eastAsia" w:ascii="宋体" w:hAnsi="宋体"/>
          <w:b/>
          <w:color w:val="auto"/>
          <w:sz w:val="28"/>
          <w:szCs w:val="28"/>
          <w:lang w:val="zh-CN"/>
        </w:rPr>
        <w:t>评标委员会认为投标人的报价明显低于其他通过符合性审查投标人的报价，有可能影响产品质量或者不能诚信履约的，评标委员会应当要求其在评标现场合理的时间内提供成本构成书面说明，并提交相关证明材料。投标人书面说明应当按照国家财务会计制度的规定要求，逐项就投标人提供的货物和服务的主营业务成本（应根据投标人企业类型予以区别）、税金及附加、销售费用、管理费用、财务费用等成本构成事项详细陈述。</w:t>
      </w:r>
    </w:p>
    <w:p>
      <w:pPr>
        <w:rPr>
          <w:color w:val="auto"/>
        </w:rPr>
      </w:pPr>
    </w:p>
    <w:p>
      <w:pPr>
        <w:tabs>
          <w:tab w:val="left" w:pos="1134"/>
        </w:tabs>
        <w:snapToGrid w:val="0"/>
        <w:spacing w:line="360" w:lineRule="auto"/>
        <w:rPr>
          <w:rFonts w:asciiTheme="minorEastAsia" w:hAnsiTheme="minorEastAsia"/>
          <w:b/>
          <w:bCs/>
          <w:color w:val="auto"/>
          <w:sz w:val="28"/>
          <w:szCs w:val="28"/>
          <w:lang w:val="zh-CN"/>
        </w:rPr>
      </w:pPr>
    </w:p>
    <w:p>
      <w:pPr>
        <w:tabs>
          <w:tab w:val="left" w:pos="1134"/>
        </w:tabs>
        <w:snapToGrid w:val="0"/>
        <w:spacing w:line="360" w:lineRule="auto"/>
        <w:rPr>
          <w:rFonts w:asciiTheme="minorEastAsia" w:hAnsiTheme="minorEastAsia"/>
          <w:b/>
          <w:bCs/>
          <w:color w:val="auto"/>
          <w:sz w:val="28"/>
          <w:szCs w:val="28"/>
          <w:lang w:val="zh-CN"/>
        </w:rPr>
      </w:pPr>
    </w:p>
    <w:p>
      <w:pPr>
        <w:tabs>
          <w:tab w:val="left" w:pos="1134"/>
        </w:tabs>
        <w:snapToGrid w:val="0"/>
        <w:spacing w:line="360" w:lineRule="auto"/>
        <w:rPr>
          <w:rFonts w:asciiTheme="minorEastAsia" w:hAnsiTheme="minorEastAsia"/>
          <w:b/>
          <w:bCs/>
          <w:color w:val="auto"/>
          <w:sz w:val="28"/>
          <w:szCs w:val="28"/>
          <w:lang w:val="zh-CN"/>
        </w:rPr>
      </w:pPr>
    </w:p>
    <w:p>
      <w:pPr>
        <w:tabs>
          <w:tab w:val="left" w:pos="1134"/>
        </w:tabs>
        <w:snapToGrid w:val="0"/>
        <w:spacing w:line="360" w:lineRule="auto"/>
        <w:rPr>
          <w:color w:val="auto"/>
          <w:lang w:val="zh-CN"/>
        </w:rPr>
      </w:pPr>
      <w:r>
        <w:rPr>
          <w:rFonts w:asciiTheme="minorEastAsia" w:hAnsiTheme="minorEastAsia"/>
          <w:b/>
          <w:bCs/>
          <w:color w:val="auto"/>
          <w:sz w:val="28"/>
          <w:szCs w:val="28"/>
          <w:lang w:val="zh-CN"/>
        </w:rPr>
        <w:br w:type="page"/>
      </w:r>
    </w:p>
    <w:bookmarkEnd w:id="177"/>
    <w:bookmarkEnd w:id="178"/>
    <w:p>
      <w:pPr>
        <w:keepNext/>
        <w:keepLines/>
        <w:numPr>
          <w:ilvl w:val="0"/>
          <w:numId w:val="5"/>
        </w:numPr>
        <w:spacing w:before="340" w:after="330" w:line="400" w:lineRule="exact"/>
        <w:ind w:hanging="2692"/>
        <w:jc w:val="center"/>
        <w:outlineLvl w:val="0"/>
        <w:rPr>
          <w:rFonts w:ascii="宋体" w:hAnsi="宋体"/>
          <w:b/>
          <w:bCs/>
          <w:color w:val="auto"/>
          <w:spacing w:val="-20"/>
          <w:kern w:val="44"/>
          <w:sz w:val="32"/>
          <w:szCs w:val="32"/>
        </w:rPr>
      </w:pPr>
      <w:bookmarkStart w:id="195" w:name="_Toc9593"/>
      <w:r>
        <w:rPr>
          <w:rFonts w:hint="eastAsia" w:ascii="宋体" w:hAnsi="宋体"/>
          <w:b/>
          <w:bCs/>
          <w:color w:val="auto"/>
          <w:spacing w:val="-20"/>
          <w:kern w:val="44"/>
          <w:sz w:val="32"/>
          <w:szCs w:val="32"/>
        </w:rPr>
        <w:t>资格性审查</w:t>
      </w:r>
      <w:bookmarkEnd w:id="195"/>
    </w:p>
    <w:p>
      <w:pPr>
        <w:tabs>
          <w:tab w:val="left" w:pos="851"/>
        </w:tabs>
        <w:spacing w:line="360" w:lineRule="auto"/>
        <w:ind w:firstLine="424" w:firstLineChars="202"/>
        <w:rPr>
          <w:rFonts w:ascii="宋体" w:hAnsi="宋体"/>
          <w:color w:val="auto"/>
          <w:sz w:val="28"/>
          <w:szCs w:val="28"/>
        </w:rPr>
      </w:pPr>
      <w:r>
        <w:rPr>
          <w:rFonts w:hint="eastAsia" w:ascii="宋体" w:hAnsi="宋体"/>
          <w:color w:val="auto"/>
          <w:sz w:val="28"/>
          <w:szCs w:val="28"/>
        </w:rPr>
        <w:t>资格性审查由采购人组成的资格审查小组依据法律法规和招标文件的规定，对投标文件中的资格证明等进行审查，以确定投标人是否具备投标资格，并出具资格性审查报告。</w:t>
      </w:r>
    </w:p>
    <w:p>
      <w:pPr>
        <w:tabs>
          <w:tab w:val="left" w:pos="851"/>
        </w:tabs>
        <w:spacing w:line="360" w:lineRule="auto"/>
        <w:ind w:firstLine="566" w:firstLineChars="202"/>
        <w:rPr>
          <w:rFonts w:ascii="宋体" w:hAnsi="宋体"/>
          <w:color w:val="auto"/>
          <w:sz w:val="28"/>
          <w:szCs w:val="28"/>
        </w:rPr>
      </w:pPr>
      <w:r>
        <w:rPr>
          <w:rFonts w:hint="eastAsia" w:ascii="宋体" w:hAnsi="宋体"/>
          <w:color w:val="auto"/>
          <w:sz w:val="28"/>
          <w:szCs w:val="28"/>
        </w:rPr>
        <w:t>资格性审查时因断电、断网、系统故障或其他不可抗力等因素，导致资格审查小组无法通过系统阅读投标文件进行审查的，待系统恢复后继续审查。出现上述情况时，</w:t>
      </w:r>
      <w:r>
        <w:rPr>
          <w:rFonts w:hint="eastAsia" w:ascii="宋体" w:hAnsi="宋体"/>
          <w:color w:val="auto"/>
          <w:sz w:val="28"/>
          <w:szCs w:val="28"/>
          <w:lang w:eastAsia="zh-CN"/>
        </w:rPr>
        <w:t>区采购中心</w:t>
      </w:r>
      <w:r>
        <w:rPr>
          <w:rFonts w:hint="eastAsia" w:ascii="宋体" w:hAnsi="宋体"/>
          <w:color w:val="auto"/>
          <w:sz w:val="28"/>
          <w:szCs w:val="28"/>
        </w:rPr>
        <w:t>将以电子邮件形式通知各投标人。资格性审查标准见下表：</w:t>
      </w:r>
    </w:p>
    <w:tbl>
      <w:tblPr>
        <w:tblStyle w:val="47"/>
        <w:tblW w:w="88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5"/>
        <w:gridCol w:w="446"/>
        <w:gridCol w:w="1756"/>
        <w:gridCol w:w="62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57" w:type="dxa"/>
            <w:gridSpan w:val="3"/>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b/>
                <w:color w:val="auto"/>
                <w:sz w:val="20"/>
              </w:rPr>
            </w:pPr>
            <w:r>
              <w:rPr>
                <w:b/>
                <w:color w:val="auto"/>
                <w:sz w:val="20"/>
              </w:rPr>
              <w:t>资格性审查项</w:t>
            </w:r>
          </w:p>
        </w:tc>
        <w:tc>
          <w:tcPr>
            <w:tcW w:w="629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color w:val="auto"/>
                <w:sz w:val="20"/>
              </w:rPr>
            </w:pPr>
            <w:r>
              <w:rPr>
                <w:b/>
                <w:color w:val="auto"/>
                <w:sz w:val="20"/>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01"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color w:val="auto"/>
                <w:sz w:val="20"/>
              </w:rPr>
              <w:t>1</w:t>
            </w:r>
          </w:p>
        </w:tc>
        <w:tc>
          <w:tcPr>
            <w:tcW w:w="175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color w:val="auto"/>
                <w:sz w:val="20"/>
              </w:rPr>
              <w:t>在中华人民共和国境内依法登记注册，并有效存续具有独立法人资格的</w:t>
            </w:r>
            <w:r>
              <w:rPr>
                <w:rFonts w:hint="eastAsia"/>
                <w:color w:val="auto"/>
                <w:sz w:val="20"/>
              </w:rPr>
              <w:t>供应商</w:t>
            </w:r>
          </w:p>
        </w:tc>
        <w:tc>
          <w:tcPr>
            <w:tcW w:w="629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1、</w:t>
            </w:r>
            <w:r>
              <w:rPr>
                <w:color w:val="auto"/>
                <w:sz w:val="20"/>
              </w:rPr>
              <w:t>营业执照复印件（正本或副本）或法人证书复印件（正本或副本）</w:t>
            </w:r>
            <w:r>
              <w:rPr>
                <w:rFonts w:hint="eastAsia"/>
                <w:color w:val="auto"/>
                <w:sz w:val="20"/>
              </w:rPr>
              <w:t>。</w:t>
            </w:r>
            <w:r>
              <w:rPr>
                <w:color w:val="auto"/>
                <w:sz w:val="20"/>
              </w:rPr>
              <w:t>【说明：</w:t>
            </w:r>
            <w:r>
              <w:rPr>
                <w:rFonts w:hint="eastAsia" w:ascii="宋体" w:hAnsi="宋体"/>
                <w:color w:val="auto"/>
                <w:sz w:val="20"/>
                <w:szCs w:val="28"/>
              </w:rPr>
              <w:t>①</w:t>
            </w:r>
            <w:r>
              <w:rPr>
                <w:color w:val="auto"/>
                <w:sz w:val="20"/>
              </w:rPr>
              <w:t>营业执照或法人证书载明有期限的，应在有效期限内；</w:t>
            </w:r>
            <w:r>
              <w:rPr>
                <w:rFonts w:hint="eastAsia" w:ascii="宋体" w:hAnsi="宋体"/>
                <w:color w:val="auto"/>
                <w:sz w:val="20"/>
                <w:szCs w:val="28"/>
              </w:rPr>
              <w:t>②</w:t>
            </w:r>
            <w:r>
              <w:rPr>
                <w:color w:val="auto"/>
                <w:sz w:val="20"/>
              </w:rPr>
              <w:t>在中华人民共和国境内注册，具有独立法人资格。】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5" w:type="dxa"/>
            <w:vMerge w:val="restart"/>
            <w:tcBorders>
              <w:top w:val="single" w:color="auto" w:sz="2" w:space="0"/>
              <w:left w:val="single" w:color="auto" w:sz="2" w:space="0"/>
              <w:right w:val="single" w:color="auto" w:sz="2" w:space="0"/>
            </w:tcBorders>
            <w:vAlign w:val="center"/>
          </w:tcPr>
          <w:p>
            <w:pPr>
              <w:tabs>
                <w:tab w:val="left" w:pos="851"/>
              </w:tabs>
              <w:spacing w:line="360" w:lineRule="auto"/>
              <w:rPr>
                <w:color w:val="auto"/>
                <w:sz w:val="20"/>
              </w:rPr>
            </w:pPr>
            <w:r>
              <w:rPr>
                <w:color w:val="auto"/>
                <w:sz w:val="20"/>
              </w:rPr>
              <w:t>2</w:t>
            </w:r>
          </w:p>
        </w:tc>
        <w:tc>
          <w:tcPr>
            <w:tcW w:w="446" w:type="dxa"/>
            <w:vMerge w:val="restart"/>
            <w:tcBorders>
              <w:top w:val="single" w:color="auto" w:sz="2" w:space="0"/>
              <w:left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书面声明材料</w:t>
            </w:r>
          </w:p>
        </w:tc>
        <w:tc>
          <w:tcPr>
            <w:tcW w:w="175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color w:val="auto"/>
                <w:sz w:val="20"/>
              </w:rPr>
              <w:t>具有良好的商业信誉的证明材料</w:t>
            </w:r>
          </w:p>
        </w:tc>
        <w:tc>
          <w:tcPr>
            <w:tcW w:w="629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color w:val="auto"/>
                <w:sz w:val="20"/>
              </w:rPr>
              <w:t>投标人具有良好的商业信誉的书面声明材料。【</w:t>
            </w:r>
            <w:r>
              <w:rPr>
                <w:rFonts w:hint="eastAsia"/>
                <w:color w:val="auto"/>
                <w:sz w:val="20"/>
              </w:rPr>
              <w:t>说明</w:t>
            </w:r>
            <w:r>
              <w:rPr>
                <w:color w:val="auto"/>
                <w:sz w:val="20"/>
              </w:rPr>
              <w:t>：</w:t>
            </w:r>
            <w:r>
              <w:rPr>
                <w:rFonts w:hint="eastAsia" w:ascii="宋体" w:hAnsi="宋体"/>
                <w:color w:val="auto"/>
                <w:sz w:val="20"/>
                <w:szCs w:val="28"/>
              </w:rPr>
              <w:t>①</w:t>
            </w:r>
            <w:r>
              <w:rPr>
                <w:color w:val="auto"/>
                <w:sz w:val="20"/>
              </w:rPr>
              <w:t>按招标文件</w:t>
            </w:r>
            <w:r>
              <w:rPr>
                <w:rFonts w:ascii="Times New Roman" w:hAnsi="Times New Roman" w:eastAsiaTheme="minorEastAsia"/>
                <w:color w:val="auto"/>
                <w:sz w:val="20"/>
              </w:rPr>
              <w:t>3.2.2</w:t>
            </w:r>
            <w:r>
              <w:rPr>
                <w:rFonts w:hint="eastAsia" w:asciiTheme="minorEastAsia" w:hAnsiTheme="minorEastAsia" w:eastAsiaTheme="minorEastAsia"/>
                <w:color w:val="auto"/>
                <w:sz w:val="20"/>
              </w:rPr>
              <w:t>声明</w:t>
            </w:r>
            <w:r>
              <w:rPr>
                <w:color w:val="auto"/>
                <w:sz w:val="20"/>
              </w:rPr>
              <w:t>的</w:t>
            </w:r>
            <w:r>
              <w:rPr>
                <w:rFonts w:hint="eastAsia"/>
                <w:color w:val="auto"/>
                <w:sz w:val="20"/>
              </w:rPr>
              <w:t>内容</w:t>
            </w:r>
            <w:r>
              <w:rPr>
                <w:color w:val="auto"/>
                <w:sz w:val="20"/>
              </w:rPr>
              <w:t>提供书面声明材料</w:t>
            </w:r>
            <w:r>
              <w:rPr>
                <w:rFonts w:hint="eastAsia" w:ascii="宋体" w:hAnsi="宋体"/>
                <w:color w:val="auto"/>
                <w:sz w:val="20"/>
                <w:szCs w:val="28"/>
              </w:rPr>
              <w:t>；②供应商</w:t>
            </w:r>
            <w:r>
              <w:rPr>
                <w:rFonts w:ascii="宋体" w:hAnsi="宋体"/>
                <w:color w:val="auto"/>
                <w:sz w:val="20"/>
                <w:szCs w:val="28"/>
              </w:rPr>
              <w:t>具有良好的商业信誉</w:t>
            </w:r>
            <w:r>
              <w:rPr>
                <w:color w:val="auto"/>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5" w:type="dxa"/>
            <w:vMerge w:val="continue"/>
            <w:tcBorders>
              <w:left w:val="single" w:color="auto" w:sz="2" w:space="0"/>
              <w:right w:val="single" w:color="auto" w:sz="2" w:space="0"/>
            </w:tcBorders>
            <w:vAlign w:val="center"/>
          </w:tcPr>
          <w:p>
            <w:pPr>
              <w:tabs>
                <w:tab w:val="left" w:pos="851"/>
              </w:tabs>
              <w:spacing w:line="360" w:lineRule="auto"/>
              <w:rPr>
                <w:color w:val="auto"/>
                <w:sz w:val="20"/>
              </w:rPr>
            </w:pPr>
          </w:p>
        </w:tc>
        <w:tc>
          <w:tcPr>
            <w:tcW w:w="446" w:type="dxa"/>
            <w:vMerge w:val="continue"/>
            <w:tcBorders>
              <w:left w:val="single" w:color="auto" w:sz="2" w:space="0"/>
              <w:right w:val="single" w:color="auto" w:sz="2" w:space="0"/>
            </w:tcBorders>
            <w:vAlign w:val="center"/>
          </w:tcPr>
          <w:p>
            <w:pPr>
              <w:tabs>
                <w:tab w:val="left" w:pos="851"/>
              </w:tabs>
              <w:spacing w:line="360" w:lineRule="auto"/>
              <w:rPr>
                <w:color w:val="auto"/>
                <w:sz w:val="20"/>
              </w:rPr>
            </w:pPr>
          </w:p>
        </w:tc>
        <w:tc>
          <w:tcPr>
            <w:tcW w:w="175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color w:val="auto"/>
                <w:sz w:val="20"/>
              </w:rPr>
              <w:t>参加政府采购活动前三年内，在经营活动中没有重大违法记录</w:t>
            </w:r>
          </w:p>
        </w:tc>
        <w:tc>
          <w:tcPr>
            <w:tcW w:w="629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color w:val="auto"/>
                <w:sz w:val="20"/>
              </w:rPr>
              <w:t>1.投标人参加政府采购活动前三年内，在经营活动中没有重大违法记录的书面声明材料</w:t>
            </w:r>
            <w:r>
              <w:rPr>
                <w:rFonts w:hint="eastAsia"/>
                <w:color w:val="auto"/>
                <w:sz w:val="20"/>
              </w:rPr>
              <w:t>。</w:t>
            </w:r>
            <w:r>
              <w:rPr>
                <w:color w:val="auto"/>
                <w:sz w:val="20"/>
              </w:rPr>
              <w:t>【说明：</w:t>
            </w:r>
            <w:r>
              <w:rPr>
                <w:rFonts w:hint="eastAsia" w:ascii="宋体" w:hAnsi="宋体"/>
                <w:color w:val="auto"/>
                <w:sz w:val="20"/>
                <w:szCs w:val="28"/>
              </w:rPr>
              <w:t>①</w:t>
            </w:r>
            <w:r>
              <w:rPr>
                <w:color w:val="auto"/>
                <w:sz w:val="20"/>
              </w:rPr>
              <w:t>按</w:t>
            </w:r>
            <w:r>
              <w:rPr>
                <w:rFonts w:hint="eastAsia"/>
                <w:color w:val="auto"/>
                <w:sz w:val="20"/>
              </w:rPr>
              <w:t>招标文件</w:t>
            </w:r>
            <w:r>
              <w:rPr>
                <w:rFonts w:ascii="Times New Roman" w:hAnsi="Times New Roman" w:eastAsiaTheme="minorEastAsia"/>
                <w:color w:val="auto"/>
                <w:sz w:val="20"/>
              </w:rPr>
              <w:t>3.2.2</w:t>
            </w:r>
            <w:r>
              <w:rPr>
                <w:rFonts w:hint="eastAsia" w:asciiTheme="minorEastAsia" w:hAnsiTheme="minorEastAsia" w:eastAsiaTheme="minorEastAsia"/>
                <w:color w:val="auto"/>
                <w:sz w:val="20"/>
              </w:rPr>
              <w:t>声明</w:t>
            </w:r>
            <w:r>
              <w:rPr>
                <w:color w:val="auto"/>
                <w:sz w:val="20"/>
              </w:rPr>
              <w:t>的</w:t>
            </w:r>
            <w:r>
              <w:rPr>
                <w:rFonts w:hint="eastAsia"/>
                <w:color w:val="auto"/>
                <w:sz w:val="20"/>
              </w:rPr>
              <w:t>内容</w:t>
            </w:r>
            <w:r>
              <w:rPr>
                <w:color w:val="auto"/>
                <w:sz w:val="20"/>
              </w:rPr>
              <w:t>提供书面声明材料</w:t>
            </w:r>
            <w:r>
              <w:rPr>
                <w:rFonts w:hint="eastAsia"/>
                <w:color w:val="auto"/>
                <w:sz w:val="20"/>
              </w:rPr>
              <w:t>；</w:t>
            </w:r>
            <w:r>
              <w:rPr>
                <w:rFonts w:hint="eastAsia" w:ascii="宋体" w:hAnsi="宋体"/>
                <w:color w:val="auto"/>
                <w:sz w:val="20"/>
                <w:szCs w:val="28"/>
              </w:rPr>
              <w:t>②供应商参加政府采购活动前三年内，在经营活动中没有重大违法记录</w:t>
            </w:r>
            <w:r>
              <w:rPr>
                <w:color w:val="auto"/>
                <w:sz w:val="20"/>
              </w:rPr>
              <w:t>。】</w:t>
            </w:r>
          </w:p>
          <w:p>
            <w:pPr>
              <w:tabs>
                <w:tab w:val="left" w:pos="851"/>
              </w:tabs>
              <w:spacing w:line="360" w:lineRule="auto"/>
              <w:rPr>
                <w:color w:val="auto"/>
                <w:sz w:val="20"/>
              </w:rPr>
            </w:pPr>
            <w:r>
              <w:rPr>
                <w:color w:val="auto"/>
                <w:sz w:val="20"/>
              </w:rPr>
              <w:t>2. 资格审查小组根据“信用中国”</w:t>
            </w:r>
            <w:r>
              <w:rPr>
                <w:rFonts w:hint="eastAsia"/>
                <w:color w:val="auto"/>
                <w:sz w:val="20"/>
              </w:rPr>
              <w:t>和</w:t>
            </w:r>
            <w:r>
              <w:rPr>
                <w:color w:val="auto"/>
                <w:sz w:val="20"/>
              </w:rPr>
              <w:t>“中国政府采购网”网站的查询结果，在资格审查期间对投标人在参加政府采购活动前三年内，在经营活动中是否有重大违法记录进行审查</w:t>
            </w:r>
            <w:r>
              <w:rPr>
                <w:rFonts w:hint="eastAsia"/>
                <w:color w:val="auto"/>
                <w:sz w:val="20"/>
              </w:rPr>
              <w:t>。</w:t>
            </w:r>
            <w:r>
              <w:rPr>
                <w:color w:val="auto"/>
                <w:sz w:val="20"/>
              </w:rPr>
              <w:t>【说明：投标人参加政府采购活动前三年内，在经营活动中没有重大违法记录</w:t>
            </w:r>
            <w:r>
              <w:rPr>
                <w:rFonts w:hint="eastAsia"/>
                <w:color w:val="auto"/>
                <w:sz w:val="20"/>
              </w:rPr>
              <w:t>。</w:t>
            </w:r>
            <w:r>
              <w:rPr>
                <w:color w:val="auto"/>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5" w:type="dxa"/>
            <w:vMerge w:val="continue"/>
            <w:tcBorders>
              <w:left w:val="single" w:color="auto" w:sz="2" w:space="0"/>
              <w:right w:val="single" w:color="auto" w:sz="2" w:space="0"/>
            </w:tcBorders>
            <w:vAlign w:val="center"/>
          </w:tcPr>
          <w:p>
            <w:pPr>
              <w:tabs>
                <w:tab w:val="left" w:pos="851"/>
              </w:tabs>
              <w:spacing w:line="360" w:lineRule="auto"/>
              <w:rPr>
                <w:color w:val="auto"/>
                <w:sz w:val="20"/>
              </w:rPr>
            </w:pPr>
          </w:p>
        </w:tc>
        <w:tc>
          <w:tcPr>
            <w:tcW w:w="446" w:type="dxa"/>
            <w:vMerge w:val="continue"/>
            <w:tcBorders>
              <w:left w:val="single" w:color="auto" w:sz="2" w:space="0"/>
              <w:right w:val="single" w:color="auto" w:sz="2" w:space="0"/>
            </w:tcBorders>
            <w:vAlign w:val="center"/>
          </w:tcPr>
          <w:p>
            <w:pPr>
              <w:tabs>
                <w:tab w:val="left" w:pos="851"/>
              </w:tabs>
              <w:spacing w:line="360" w:lineRule="auto"/>
              <w:rPr>
                <w:color w:val="auto"/>
                <w:sz w:val="20"/>
              </w:rPr>
            </w:pPr>
          </w:p>
        </w:tc>
        <w:tc>
          <w:tcPr>
            <w:tcW w:w="175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color w:val="auto"/>
                <w:sz w:val="20"/>
              </w:rPr>
              <w:t>未被列入失信被执行人、重大税收违法案件当事人名单、政府采购严重违法失信行为记录名单</w:t>
            </w:r>
          </w:p>
        </w:tc>
        <w:tc>
          <w:tcPr>
            <w:tcW w:w="629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color w:val="auto"/>
                <w:sz w:val="20"/>
              </w:rPr>
              <w:t>1.投标人未列入失信被执行人、重大税收违法案件当事人名单、政府采购严重违法失信行为记录名单的书面声明材料</w:t>
            </w:r>
            <w:r>
              <w:rPr>
                <w:rFonts w:hint="eastAsia"/>
                <w:color w:val="auto"/>
                <w:sz w:val="20"/>
              </w:rPr>
              <w:t>。</w:t>
            </w:r>
            <w:r>
              <w:rPr>
                <w:color w:val="auto"/>
                <w:sz w:val="20"/>
              </w:rPr>
              <w:t>【说明：</w:t>
            </w:r>
            <w:r>
              <w:rPr>
                <w:rFonts w:hint="eastAsia" w:ascii="宋体" w:hAnsi="宋体" w:cs="宋体"/>
                <w:color w:val="auto"/>
                <w:sz w:val="20"/>
                <w:lang w:eastAsia="ja-JP"/>
              </w:rPr>
              <w:t>①</w:t>
            </w:r>
            <w:r>
              <w:rPr>
                <w:color w:val="auto"/>
                <w:sz w:val="20"/>
              </w:rPr>
              <w:t>投标人未列入失信被执行人、重大税收违法案件当事人名单、政府采购严重违法失信行为记录名单；</w:t>
            </w:r>
            <w:r>
              <w:rPr>
                <w:rFonts w:hint="eastAsia" w:ascii="宋体" w:hAnsi="宋体"/>
                <w:color w:val="auto"/>
                <w:sz w:val="20"/>
                <w:szCs w:val="28"/>
              </w:rPr>
              <w:t>②</w:t>
            </w:r>
            <w:r>
              <w:rPr>
                <w:color w:val="auto"/>
                <w:sz w:val="20"/>
              </w:rPr>
              <w:t>按</w:t>
            </w:r>
            <w:r>
              <w:rPr>
                <w:rFonts w:hint="eastAsia"/>
                <w:color w:val="auto"/>
                <w:sz w:val="20"/>
              </w:rPr>
              <w:t>招标文件</w:t>
            </w:r>
            <w:r>
              <w:rPr>
                <w:rFonts w:ascii="Times New Roman" w:hAnsi="Times New Roman" w:eastAsiaTheme="minorEastAsia"/>
                <w:color w:val="auto"/>
                <w:sz w:val="20"/>
              </w:rPr>
              <w:t>3.2.2</w:t>
            </w:r>
            <w:r>
              <w:rPr>
                <w:rFonts w:hint="eastAsia" w:asciiTheme="minorEastAsia" w:hAnsiTheme="minorEastAsia" w:eastAsiaTheme="minorEastAsia"/>
                <w:color w:val="auto"/>
                <w:sz w:val="20"/>
              </w:rPr>
              <w:t>声明</w:t>
            </w:r>
            <w:r>
              <w:rPr>
                <w:color w:val="auto"/>
                <w:sz w:val="20"/>
              </w:rPr>
              <w:t>的</w:t>
            </w:r>
            <w:r>
              <w:rPr>
                <w:rFonts w:hint="eastAsia"/>
                <w:color w:val="auto"/>
                <w:sz w:val="20"/>
              </w:rPr>
              <w:t>内容</w:t>
            </w:r>
            <w:r>
              <w:rPr>
                <w:color w:val="auto"/>
                <w:sz w:val="20"/>
              </w:rPr>
              <w:t>提供书面声明材料。】</w:t>
            </w:r>
          </w:p>
          <w:p>
            <w:pPr>
              <w:tabs>
                <w:tab w:val="left" w:pos="851"/>
              </w:tabs>
              <w:spacing w:line="360" w:lineRule="auto"/>
              <w:rPr>
                <w:color w:val="auto"/>
                <w:sz w:val="20"/>
              </w:rPr>
            </w:pPr>
            <w:r>
              <w:rPr>
                <w:color w:val="auto"/>
                <w:sz w:val="20"/>
              </w:rPr>
              <w:t>2. 资格审查小组根据“信用中国”</w:t>
            </w:r>
            <w:r>
              <w:rPr>
                <w:rFonts w:hint="eastAsia"/>
                <w:color w:val="auto"/>
                <w:sz w:val="20"/>
              </w:rPr>
              <w:t>和</w:t>
            </w:r>
            <w:r>
              <w:rPr>
                <w:color w:val="auto"/>
                <w:sz w:val="20"/>
              </w:rPr>
              <w:t>“中国政府采购网”网站的查询结果，在资格审查期间对投标人是否被列入失信被执行人、重大税收违法案件当事人名单、政府采购严重违法失信行为记录名单进行审查</w:t>
            </w:r>
            <w:r>
              <w:rPr>
                <w:rFonts w:hint="eastAsia"/>
                <w:color w:val="auto"/>
                <w:sz w:val="20"/>
              </w:rPr>
              <w:t>。</w:t>
            </w:r>
            <w:r>
              <w:rPr>
                <w:color w:val="auto"/>
                <w:sz w:val="20"/>
              </w:rPr>
              <w:t>【说明：投标人未列入失信被执行人、重大税收违法案件当事人名单、政府采购严重违法失信行为记录名单。】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5" w:type="dxa"/>
            <w:vMerge w:val="continue"/>
            <w:tcBorders>
              <w:left w:val="single" w:color="auto" w:sz="2" w:space="0"/>
              <w:right w:val="single" w:color="auto" w:sz="2" w:space="0"/>
            </w:tcBorders>
            <w:vAlign w:val="center"/>
          </w:tcPr>
          <w:p>
            <w:pPr>
              <w:tabs>
                <w:tab w:val="left" w:pos="851"/>
              </w:tabs>
              <w:spacing w:line="360" w:lineRule="auto"/>
              <w:rPr>
                <w:color w:val="auto"/>
                <w:sz w:val="20"/>
              </w:rPr>
            </w:pPr>
          </w:p>
        </w:tc>
        <w:tc>
          <w:tcPr>
            <w:tcW w:w="446" w:type="dxa"/>
            <w:vMerge w:val="continue"/>
            <w:tcBorders>
              <w:left w:val="single" w:color="auto" w:sz="2" w:space="0"/>
              <w:right w:val="single" w:color="auto" w:sz="2" w:space="0"/>
            </w:tcBorders>
            <w:vAlign w:val="center"/>
          </w:tcPr>
          <w:p>
            <w:pPr>
              <w:tabs>
                <w:tab w:val="left" w:pos="851"/>
              </w:tabs>
              <w:spacing w:line="360" w:lineRule="auto"/>
              <w:rPr>
                <w:color w:val="auto"/>
                <w:sz w:val="20"/>
              </w:rPr>
            </w:pPr>
          </w:p>
        </w:tc>
        <w:tc>
          <w:tcPr>
            <w:tcW w:w="175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color w:val="auto"/>
                <w:sz w:val="20"/>
              </w:rPr>
              <w:t>未处于被行政部门禁止参与政府采购活动的期限内</w:t>
            </w:r>
          </w:p>
        </w:tc>
        <w:tc>
          <w:tcPr>
            <w:tcW w:w="629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color w:val="auto"/>
                <w:sz w:val="20"/>
              </w:rPr>
              <w:t>投标人未处于被行政部门禁止参与政府采购活动的期限内。【说明：</w:t>
            </w:r>
            <w:r>
              <w:rPr>
                <w:rFonts w:hint="eastAsia"/>
                <w:color w:val="auto"/>
                <w:sz w:val="20"/>
              </w:rPr>
              <w:t>①</w:t>
            </w:r>
            <w:r>
              <w:rPr>
                <w:color w:val="auto"/>
                <w:sz w:val="20"/>
              </w:rPr>
              <w:t>按招标文件</w:t>
            </w:r>
            <w:r>
              <w:rPr>
                <w:rFonts w:ascii="Times New Roman" w:hAnsi="Times New Roman" w:eastAsiaTheme="minorEastAsia"/>
                <w:color w:val="auto"/>
                <w:sz w:val="20"/>
              </w:rPr>
              <w:t>3.2.2</w:t>
            </w:r>
            <w:r>
              <w:rPr>
                <w:rFonts w:hint="eastAsia" w:asciiTheme="minorEastAsia" w:hAnsiTheme="minorEastAsia" w:eastAsiaTheme="minorEastAsia"/>
                <w:color w:val="auto"/>
                <w:sz w:val="20"/>
              </w:rPr>
              <w:t>声明</w:t>
            </w:r>
            <w:r>
              <w:rPr>
                <w:color w:val="auto"/>
                <w:sz w:val="20"/>
              </w:rPr>
              <w:t>的</w:t>
            </w:r>
            <w:r>
              <w:rPr>
                <w:rFonts w:hint="eastAsia"/>
                <w:color w:val="auto"/>
                <w:sz w:val="20"/>
              </w:rPr>
              <w:t>内容</w:t>
            </w:r>
            <w:r>
              <w:rPr>
                <w:color w:val="auto"/>
                <w:sz w:val="20"/>
              </w:rPr>
              <w:t>提供书面声明材料</w:t>
            </w:r>
            <w:r>
              <w:rPr>
                <w:rFonts w:hint="eastAsia" w:ascii="宋体" w:hAnsi="宋体"/>
                <w:color w:val="auto"/>
                <w:sz w:val="20"/>
                <w:szCs w:val="28"/>
              </w:rPr>
              <w:t>；②供应商未处于被行政部门禁止参与政府采购活动的期限内。</w:t>
            </w:r>
            <w:r>
              <w:rPr>
                <w:color w:val="auto"/>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37" w:hRule="atLeast"/>
        </w:trPr>
        <w:tc>
          <w:tcPr>
            <w:tcW w:w="355" w:type="dxa"/>
            <w:vMerge w:val="continue"/>
            <w:tcBorders>
              <w:left w:val="single" w:color="auto" w:sz="2" w:space="0"/>
              <w:right w:val="single" w:color="auto" w:sz="2" w:space="0"/>
            </w:tcBorders>
            <w:vAlign w:val="center"/>
          </w:tcPr>
          <w:p>
            <w:pPr>
              <w:tabs>
                <w:tab w:val="left" w:pos="851"/>
              </w:tabs>
              <w:spacing w:line="360" w:lineRule="auto"/>
              <w:rPr>
                <w:color w:val="auto"/>
                <w:sz w:val="20"/>
              </w:rPr>
            </w:pPr>
          </w:p>
        </w:tc>
        <w:tc>
          <w:tcPr>
            <w:tcW w:w="446" w:type="dxa"/>
            <w:vMerge w:val="continue"/>
            <w:tcBorders>
              <w:left w:val="single" w:color="auto" w:sz="2" w:space="0"/>
              <w:right w:val="single" w:color="auto" w:sz="2" w:space="0"/>
            </w:tcBorders>
            <w:vAlign w:val="center"/>
          </w:tcPr>
          <w:p>
            <w:pPr>
              <w:tabs>
                <w:tab w:val="left" w:pos="851"/>
              </w:tabs>
              <w:spacing w:line="360" w:lineRule="auto"/>
              <w:rPr>
                <w:color w:val="auto"/>
                <w:sz w:val="20"/>
              </w:rPr>
            </w:pPr>
          </w:p>
        </w:tc>
        <w:tc>
          <w:tcPr>
            <w:tcW w:w="1756" w:type="dxa"/>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rPr>
                <w:color w:val="auto"/>
                <w:sz w:val="20"/>
              </w:rPr>
            </w:pPr>
            <w:r>
              <w:rPr>
                <w:color w:val="auto"/>
                <w:sz w:val="20"/>
              </w:rPr>
              <w:t>行贿犯罪记录</w:t>
            </w:r>
          </w:p>
        </w:tc>
        <w:tc>
          <w:tcPr>
            <w:tcW w:w="6299" w:type="dxa"/>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rPr>
                <w:color w:val="auto"/>
                <w:sz w:val="20"/>
              </w:rPr>
            </w:pPr>
            <w:r>
              <w:rPr>
                <w:color w:val="auto"/>
                <w:sz w:val="20"/>
              </w:rPr>
              <w:t>在行贿犯罪信息查询期限内，投标人及其现任法定代表人、主要负责人没有行贿犯罪记录的书面声明材料。【说明：</w:t>
            </w:r>
            <w:r>
              <w:rPr>
                <w:rFonts w:hint="eastAsia" w:ascii="宋体" w:hAnsi="宋体" w:cs="宋体"/>
                <w:color w:val="auto"/>
                <w:sz w:val="20"/>
                <w:lang w:eastAsia="ja-JP"/>
              </w:rPr>
              <w:t>①</w:t>
            </w:r>
            <w:r>
              <w:rPr>
                <w:color w:val="auto"/>
                <w:sz w:val="20"/>
              </w:rPr>
              <w:t>按招标文件</w:t>
            </w:r>
            <w:r>
              <w:rPr>
                <w:rFonts w:ascii="Times New Roman" w:hAnsi="Times New Roman" w:eastAsiaTheme="minorEastAsia"/>
                <w:color w:val="auto"/>
                <w:sz w:val="20"/>
              </w:rPr>
              <w:t>3.2.2</w:t>
            </w:r>
            <w:r>
              <w:rPr>
                <w:rFonts w:hint="eastAsia" w:asciiTheme="minorEastAsia" w:hAnsiTheme="minorEastAsia" w:eastAsiaTheme="minorEastAsia"/>
                <w:color w:val="auto"/>
                <w:sz w:val="20"/>
              </w:rPr>
              <w:t>声明</w:t>
            </w:r>
            <w:r>
              <w:rPr>
                <w:color w:val="auto"/>
                <w:sz w:val="20"/>
              </w:rPr>
              <w:t>的</w:t>
            </w:r>
            <w:r>
              <w:rPr>
                <w:rFonts w:hint="eastAsia"/>
                <w:color w:val="auto"/>
                <w:sz w:val="20"/>
              </w:rPr>
              <w:t>内容</w:t>
            </w:r>
            <w:r>
              <w:rPr>
                <w:color w:val="auto"/>
                <w:sz w:val="20"/>
              </w:rPr>
              <w:t>提供书面声明材料，投标文件中不需提供中国裁判文书网（https://wenshu.court.gov.cn）查询结果的证明材料</w:t>
            </w:r>
            <w:r>
              <w:rPr>
                <w:rFonts w:hint="eastAsia"/>
                <w:color w:val="auto"/>
                <w:sz w:val="20"/>
              </w:rPr>
              <w:t>；</w:t>
            </w:r>
            <w:r>
              <w:rPr>
                <w:rFonts w:hint="eastAsia" w:ascii="宋体" w:hAnsi="宋体"/>
                <w:color w:val="auto"/>
                <w:sz w:val="20"/>
                <w:szCs w:val="28"/>
              </w:rPr>
              <w:t>②在行贿犯罪信息查询期限内，供应商及其现任法定代表人、主要负责人没有行贿犯罪记录</w:t>
            </w:r>
            <w:r>
              <w:rPr>
                <w:color w:val="auto"/>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1" w:hRule="atLeast"/>
        </w:trPr>
        <w:tc>
          <w:tcPr>
            <w:tcW w:w="355"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p>
        </w:tc>
        <w:tc>
          <w:tcPr>
            <w:tcW w:w="446"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p>
        </w:tc>
        <w:tc>
          <w:tcPr>
            <w:tcW w:w="1756" w:type="dxa"/>
            <w:tcBorders>
              <w:top w:val="single" w:color="auto" w:sz="4"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单位负责人为同一人或者存在直接控股、管理关系的不同供应商，不得参加同一项目的投标</w:t>
            </w:r>
          </w:p>
        </w:tc>
        <w:tc>
          <w:tcPr>
            <w:tcW w:w="6299" w:type="dxa"/>
            <w:tcBorders>
              <w:top w:val="single" w:color="auto" w:sz="4"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与投标人负责人为同一人或者存在直接控股、管理关系的相关供应商的书面声明材料。</w:t>
            </w:r>
            <w:r>
              <w:rPr>
                <w:color w:val="auto"/>
                <w:sz w:val="20"/>
              </w:rPr>
              <w:t>【说明：</w:t>
            </w:r>
            <w:r>
              <w:rPr>
                <w:rFonts w:hint="eastAsia"/>
                <w:color w:val="auto"/>
                <w:sz w:val="20"/>
              </w:rPr>
              <w:t>①</w:t>
            </w:r>
            <w:r>
              <w:rPr>
                <w:color w:val="auto"/>
                <w:sz w:val="20"/>
              </w:rPr>
              <w:t>按招标文件3.2.2</w:t>
            </w:r>
            <w:r>
              <w:rPr>
                <w:rFonts w:hint="eastAsia"/>
                <w:color w:val="auto"/>
                <w:sz w:val="20"/>
              </w:rPr>
              <w:t>声明</w:t>
            </w:r>
            <w:r>
              <w:rPr>
                <w:color w:val="auto"/>
                <w:sz w:val="20"/>
              </w:rPr>
              <w:t>的</w:t>
            </w:r>
            <w:r>
              <w:rPr>
                <w:rFonts w:hint="eastAsia"/>
                <w:color w:val="auto"/>
                <w:sz w:val="20"/>
              </w:rPr>
              <w:t>内容</w:t>
            </w:r>
            <w:r>
              <w:rPr>
                <w:color w:val="auto"/>
                <w:sz w:val="20"/>
              </w:rPr>
              <w:t>提供书面声明材料</w:t>
            </w:r>
            <w:r>
              <w:rPr>
                <w:rFonts w:hint="eastAsia"/>
                <w:color w:val="auto"/>
                <w:sz w:val="20"/>
              </w:rPr>
              <w:t>；②参加投标的供应商中无与投标人的负责人为同一人或者存在直接控股、管理关系的供应商</w:t>
            </w:r>
            <w:r>
              <w:rPr>
                <w:color w:val="auto"/>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5" w:type="dxa"/>
            <w:vMerge w:val="restart"/>
            <w:tcBorders>
              <w:top w:val="single" w:color="auto" w:sz="2" w:space="0"/>
              <w:left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3</w:t>
            </w:r>
          </w:p>
        </w:tc>
        <w:tc>
          <w:tcPr>
            <w:tcW w:w="446" w:type="dxa"/>
            <w:vMerge w:val="restart"/>
            <w:tcBorders>
              <w:top w:val="single" w:color="auto" w:sz="2" w:space="0"/>
              <w:left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其他</w:t>
            </w:r>
          </w:p>
        </w:tc>
        <w:tc>
          <w:tcPr>
            <w:tcW w:w="175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color w:val="auto"/>
                <w:sz w:val="20"/>
              </w:rPr>
              <w:t>不属于其他国家相关法律法规规定的禁止参加投标的供应商</w:t>
            </w:r>
          </w:p>
        </w:tc>
        <w:tc>
          <w:tcPr>
            <w:tcW w:w="629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color w:val="auto"/>
                <w:sz w:val="20"/>
              </w:rPr>
              <w:t>1、根据招标文件的要求不属于禁止参加投标或投标无效的供应商；</w:t>
            </w:r>
          </w:p>
          <w:p>
            <w:pPr>
              <w:tabs>
                <w:tab w:val="left" w:pos="851"/>
              </w:tabs>
              <w:spacing w:line="360" w:lineRule="auto"/>
              <w:rPr>
                <w:color w:val="auto"/>
                <w:sz w:val="20"/>
              </w:rPr>
            </w:pPr>
            <w:r>
              <w:rPr>
                <w:color w:val="auto"/>
                <w:sz w:val="20"/>
              </w:rPr>
              <w:t>2、资格审查小组未发现或者未知晓投标人存在属于国家相关法律法规规定的禁止参加投标或投标无效的供应商。</w:t>
            </w:r>
          </w:p>
          <w:p>
            <w:pPr>
              <w:tabs>
                <w:tab w:val="left" w:pos="851"/>
              </w:tabs>
              <w:spacing w:line="360" w:lineRule="auto"/>
              <w:rPr>
                <w:color w:val="auto"/>
                <w:sz w:val="20"/>
              </w:rPr>
            </w:pPr>
            <w:r>
              <w:rPr>
                <w:rFonts w:hint="eastAsia"/>
                <w:color w:val="auto"/>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5" w:type="dxa"/>
            <w:vMerge w:val="continue"/>
            <w:tcBorders>
              <w:left w:val="single" w:color="auto" w:sz="2" w:space="0"/>
              <w:right w:val="single" w:color="auto" w:sz="2" w:space="0"/>
            </w:tcBorders>
            <w:vAlign w:val="center"/>
          </w:tcPr>
          <w:p>
            <w:pPr>
              <w:tabs>
                <w:tab w:val="left" w:pos="851"/>
              </w:tabs>
              <w:spacing w:line="360" w:lineRule="auto"/>
              <w:rPr>
                <w:color w:val="auto"/>
                <w:sz w:val="20"/>
              </w:rPr>
            </w:pPr>
          </w:p>
        </w:tc>
        <w:tc>
          <w:tcPr>
            <w:tcW w:w="446" w:type="dxa"/>
            <w:vMerge w:val="continue"/>
            <w:tcBorders>
              <w:left w:val="single" w:color="auto" w:sz="2" w:space="0"/>
              <w:right w:val="single" w:color="auto" w:sz="2" w:space="0"/>
            </w:tcBorders>
            <w:vAlign w:val="center"/>
          </w:tcPr>
          <w:p>
            <w:pPr>
              <w:tabs>
                <w:tab w:val="left" w:pos="851"/>
              </w:tabs>
              <w:spacing w:line="360" w:lineRule="auto"/>
              <w:rPr>
                <w:color w:val="auto"/>
                <w:sz w:val="20"/>
              </w:rPr>
            </w:pPr>
          </w:p>
        </w:tc>
        <w:tc>
          <w:tcPr>
            <w:tcW w:w="175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color w:val="auto"/>
                <w:sz w:val="20"/>
              </w:rPr>
              <w:t>具有履行合同所必须的设备和专业技术能力</w:t>
            </w:r>
          </w:p>
        </w:tc>
        <w:tc>
          <w:tcPr>
            <w:tcW w:w="629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color w:val="auto"/>
                <w:sz w:val="20"/>
              </w:rPr>
              <w:t>采购人对投标人履行合同所必须的设备和专业技术能力无其他特殊要求，</w:t>
            </w:r>
            <w:r>
              <w:rPr>
                <w:rFonts w:hint="eastAsia"/>
                <w:color w:val="auto"/>
                <w:sz w:val="20"/>
              </w:rPr>
              <w:t>投标人具有有效的营业执照或法人证书</w:t>
            </w:r>
            <w:r>
              <w:rPr>
                <w:rFonts w:hint="eastAsia"/>
                <w:color w:val="auto"/>
                <w:sz w:val="20"/>
                <w:lang w:eastAsia="zh-CN"/>
              </w:rPr>
              <w:t>。</w:t>
            </w:r>
            <w:r>
              <w:rPr>
                <w:rFonts w:hint="eastAsia"/>
                <w:color w:val="auto"/>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5" w:type="dxa"/>
            <w:vMerge w:val="continue"/>
            <w:tcBorders>
              <w:left w:val="single" w:color="auto" w:sz="2" w:space="0"/>
              <w:right w:val="single" w:color="auto" w:sz="2" w:space="0"/>
            </w:tcBorders>
            <w:vAlign w:val="center"/>
          </w:tcPr>
          <w:p>
            <w:pPr>
              <w:tabs>
                <w:tab w:val="left" w:pos="851"/>
              </w:tabs>
              <w:spacing w:line="360" w:lineRule="auto"/>
              <w:rPr>
                <w:color w:val="auto"/>
                <w:sz w:val="20"/>
              </w:rPr>
            </w:pPr>
          </w:p>
        </w:tc>
        <w:tc>
          <w:tcPr>
            <w:tcW w:w="446" w:type="dxa"/>
            <w:vMerge w:val="continue"/>
            <w:tcBorders>
              <w:left w:val="single" w:color="auto" w:sz="2" w:space="0"/>
              <w:right w:val="single" w:color="auto" w:sz="2" w:space="0"/>
            </w:tcBorders>
            <w:vAlign w:val="center"/>
          </w:tcPr>
          <w:p>
            <w:pPr>
              <w:tabs>
                <w:tab w:val="left" w:pos="851"/>
              </w:tabs>
              <w:spacing w:line="360" w:lineRule="auto"/>
              <w:rPr>
                <w:color w:val="auto"/>
                <w:sz w:val="20"/>
              </w:rPr>
            </w:pPr>
          </w:p>
        </w:tc>
        <w:tc>
          <w:tcPr>
            <w:tcW w:w="175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color w:val="auto"/>
                <w:sz w:val="20"/>
              </w:rPr>
              <w:t>法律、行政法规规定的其他条件</w:t>
            </w:r>
          </w:p>
        </w:tc>
        <w:tc>
          <w:tcPr>
            <w:tcW w:w="629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ascii="宋体" w:hAnsi="宋体"/>
                <w:color w:val="auto"/>
                <w:sz w:val="20"/>
                <w:szCs w:val="28"/>
              </w:rPr>
              <w:t>采购人对法律、行政法规规定的其他条件无其他特殊要求，投标人具有有效的营业执照或法人证书即可，可不提供其他证明材料。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5" w:type="dxa"/>
            <w:vMerge w:val="continue"/>
            <w:tcBorders>
              <w:left w:val="single" w:color="auto" w:sz="2" w:space="0"/>
              <w:right w:val="single" w:color="auto" w:sz="2" w:space="0"/>
            </w:tcBorders>
            <w:vAlign w:val="center"/>
          </w:tcPr>
          <w:p>
            <w:pPr>
              <w:tabs>
                <w:tab w:val="left" w:pos="851"/>
              </w:tabs>
              <w:spacing w:line="360" w:lineRule="auto"/>
              <w:rPr>
                <w:color w:val="auto"/>
                <w:sz w:val="20"/>
              </w:rPr>
            </w:pPr>
          </w:p>
        </w:tc>
        <w:tc>
          <w:tcPr>
            <w:tcW w:w="446" w:type="dxa"/>
            <w:vMerge w:val="continue"/>
            <w:tcBorders>
              <w:left w:val="single" w:color="auto" w:sz="2" w:space="0"/>
              <w:right w:val="single" w:color="auto" w:sz="2" w:space="0"/>
            </w:tcBorders>
            <w:vAlign w:val="center"/>
          </w:tcPr>
          <w:p>
            <w:pPr>
              <w:tabs>
                <w:tab w:val="left" w:pos="851"/>
              </w:tabs>
              <w:spacing w:line="360" w:lineRule="auto"/>
              <w:rPr>
                <w:color w:val="auto"/>
                <w:sz w:val="20"/>
              </w:rPr>
            </w:pPr>
          </w:p>
        </w:tc>
        <w:tc>
          <w:tcPr>
            <w:tcW w:w="175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color w:val="auto"/>
                <w:sz w:val="20"/>
              </w:rPr>
              <w:t>联合体投标</w:t>
            </w:r>
          </w:p>
        </w:tc>
        <w:tc>
          <w:tcPr>
            <w:tcW w:w="629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lang w:eastAsia="zh-CN"/>
              </w:rPr>
              <w:t>本项目接受联合体投标</w:t>
            </w:r>
            <w:r>
              <w:rPr>
                <w:color w:val="auto"/>
                <w:sz w:val="20"/>
              </w:rPr>
              <w:t>。【</w:t>
            </w:r>
            <w:r>
              <w:rPr>
                <w:rFonts w:hint="eastAsia"/>
                <w:color w:val="auto"/>
                <w:sz w:val="20"/>
              </w:rPr>
              <w:t>说明</w:t>
            </w:r>
            <w:r>
              <w:rPr>
                <w:color w:val="auto"/>
                <w:sz w:val="20"/>
              </w:rPr>
              <w:t>：</w:t>
            </w:r>
            <w:r>
              <w:rPr>
                <w:rFonts w:hint="eastAsia" w:ascii="宋体" w:hAnsi="宋体"/>
                <w:color w:val="auto"/>
                <w:sz w:val="20"/>
                <w:szCs w:val="28"/>
              </w:rPr>
              <w:t>①</w:t>
            </w:r>
            <w:r>
              <w:rPr>
                <w:color w:val="auto"/>
                <w:sz w:val="20"/>
              </w:rPr>
              <w:t>按招标文件</w:t>
            </w:r>
            <w:r>
              <w:rPr>
                <w:rFonts w:ascii="Times New Roman" w:hAnsi="Times New Roman" w:eastAsiaTheme="minorEastAsia"/>
                <w:color w:val="auto"/>
                <w:sz w:val="20"/>
              </w:rPr>
              <w:t>3.2.</w:t>
            </w:r>
            <w:r>
              <w:rPr>
                <w:rFonts w:hint="eastAsia" w:ascii="Times New Roman" w:hAnsi="Times New Roman" w:eastAsiaTheme="minorEastAsia"/>
                <w:color w:val="auto"/>
                <w:sz w:val="20"/>
                <w:lang w:val="en-US" w:eastAsia="zh-CN"/>
              </w:rPr>
              <w:t>6</w:t>
            </w:r>
            <w:r>
              <w:rPr>
                <w:rFonts w:hint="eastAsia" w:asciiTheme="minorEastAsia" w:hAnsiTheme="minorEastAsia" w:eastAsiaTheme="minorEastAsia"/>
                <w:color w:val="auto"/>
                <w:sz w:val="20"/>
                <w:lang w:eastAsia="zh-CN"/>
              </w:rPr>
              <w:t>联合体投标协议</w:t>
            </w:r>
            <w:r>
              <w:rPr>
                <w:color w:val="auto"/>
                <w:sz w:val="20"/>
              </w:rPr>
              <w:t>的</w:t>
            </w:r>
            <w:r>
              <w:rPr>
                <w:rFonts w:hint="eastAsia"/>
                <w:color w:val="auto"/>
                <w:sz w:val="20"/>
              </w:rPr>
              <w:t>内容</w:t>
            </w:r>
            <w:r>
              <w:rPr>
                <w:rFonts w:hint="eastAsia"/>
                <w:color w:val="auto"/>
                <w:sz w:val="20"/>
                <w:lang w:eastAsia="zh-CN"/>
              </w:rPr>
              <w:t>上传盖章后的协议材料</w:t>
            </w:r>
            <w:r>
              <w:rPr>
                <w:rFonts w:hint="eastAsia" w:ascii="宋体" w:hAnsi="宋体"/>
                <w:color w:val="auto"/>
                <w:sz w:val="20"/>
                <w:szCs w:val="28"/>
              </w:rPr>
              <w:t>；</w:t>
            </w:r>
            <w:r>
              <w:rPr>
                <w:rFonts w:hint="eastAsia"/>
                <w:color w:val="auto"/>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5" w:type="dxa"/>
            <w:vMerge w:val="continue"/>
            <w:tcBorders>
              <w:left w:val="single" w:color="auto" w:sz="2" w:space="0"/>
              <w:right w:val="single" w:color="auto" w:sz="2" w:space="0"/>
            </w:tcBorders>
            <w:vAlign w:val="center"/>
          </w:tcPr>
          <w:p>
            <w:pPr>
              <w:tabs>
                <w:tab w:val="left" w:pos="851"/>
              </w:tabs>
              <w:spacing w:line="360" w:lineRule="auto"/>
              <w:rPr>
                <w:color w:val="auto"/>
                <w:sz w:val="20"/>
              </w:rPr>
            </w:pPr>
          </w:p>
        </w:tc>
        <w:tc>
          <w:tcPr>
            <w:tcW w:w="446" w:type="dxa"/>
            <w:vMerge w:val="continue"/>
            <w:tcBorders>
              <w:left w:val="single" w:color="auto" w:sz="2" w:space="0"/>
              <w:right w:val="single" w:color="auto" w:sz="2" w:space="0"/>
            </w:tcBorders>
            <w:vAlign w:val="center"/>
          </w:tcPr>
          <w:p>
            <w:pPr>
              <w:tabs>
                <w:tab w:val="left" w:pos="851"/>
              </w:tabs>
              <w:spacing w:line="360" w:lineRule="auto"/>
              <w:rPr>
                <w:color w:val="auto"/>
                <w:sz w:val="20"/>
              </w:rPr>
            </w:pPr>
          </w:p>
        </w:tc>
        <w:tc>
          <w:tcPr>
            <w:tcW w:w="175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color w:val="auto"/>
                <w:sz w:val="20"/>
              </w:rPr>
              <w:t>资质要求</w:t>
            </w:r>
          </w:p>
        </w:tc>
        <w:tc>
          <w:tcPr>
            <w:tcW w:w="629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ascii="宋体" w:hAnsi="宋体" w:cs="宋体"/>
                <w:color w:val="auto"/>
                <w:szCs w:val="21"/>
                <w:lang w:val="en-US" w:eastAsia="zh-CN"/>
              </w:rPr>
              <w:t>1</w:t>
            </w:r>
            <w:r>
              <w:rPr>
                <w:rFonts w:hint="eastAsia"/>
                <w:color w:val="auto"/>
                <w:sz w:val="20"/>
                <w:lang w:val="en-US" w:eastAsia="zh-CN"/>
              </w:rPr>
              <w:t>、</w:t>
            </w:r>
            <w:r>
              <w:rPr>
                <w:rFonts w:hint="eastAsia"/>
                <w:color w:val="auto"/>
                <w:sz w:val="20"/>
                <w:lang w:val="zh-CN"/>
              </w:rPr>
              <w:t>国家行政主管部门颁发且在有效期内的《中华人民共和国特种设备生产许可证》(含安装、修理、改造许可)；</w:t>
            </w:r>
            <w:r>
              <w:rPr>
                <w:rFonts w:hint="eastAsia"/>
                <w:color w:val="auto"/>
                <w:sz w:val="20"/>
                <w:lang w:val="en-US" w:eastAsia="zh-CN"/>
              </w:rPr>
              <w:t>2、</w:t>
            </w:r>
            <w:r>
              <w:rPr>
                <w:rFonts w:hint="eastAsia"/>
                <w:color w:val="auto"/>
                <w:sz w:val="20"/>
                <w:lang w:val="zh-CN"/>
              </w:rPr>
              <w:t>国家行政主管部门颁发且在有效期内的建筑施工总承包三级及以上资质；</w:t>
            </w:r>
            <w:r>
              <w:rPr>
                <w:rFonts w:hint="eastAsia"/>
                <w:color w:val="auto"/>
                <w:sz w:val="20"/>
                <w:lang w:val="en-US" w:eastAsia="zh-CN"/>
              </w:rPr>
              <w:t>3、</w:t>
            </w:r>
            <w:r>
              <w:rPr>
                <w:rFonts w:hint="eastAsia"/>
                <w:color w:val="auto"/>
                <w:sz w:val="20"/>
                <w:lang w:val="zh-CN"/>
              </w:rPr>
              <w:t>国家行政主管部门颁发且在有效期内的安全生产许可证。</w:t>
            </w:r>
            <w:r>
              <w:rPr>
                <w:rFonts w:hint="eastAsia"/>
                <w:color w:val="auto"/>
                <w:sz w:val="20"/>
              </w:rPr>
              <w:t>【说明：</w:t>
            </w:r>
            <w:r>
              <w:rPr>
                <w:rFonts w:hint="eastAsia"/>
                <w:color w:val="auto"/>
                <w:sz w:val="20"/>
                <w:lang w:eastAsia="zh-CN"/>
              </w:rPr>
              <w:t>上传相关证件复印件</w:t>
            </w:r>
            <w:r>
              <w:rPr>
                <w:rFonts w:hint="eastAsia"/>
                <w:color w:val="auto"/>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5" w:type="dxa"/>
            <w:vMerge w:val="continue"/>
            <w:tcBorders>
              <w:left w:val="single" w:color="auto" w:sz="2" w:space="0"/>
              <w:right w:val="single" w:color="auto" w:sz="2" w:space="0"/>
            </w:tcBorders>
            <w:vAlign w:val="center"/>
          </w:tcPr>
          <w:p>
            <w:pPr>
              <w:tabs>
                <w:tab w:val="left" w:pos="851"/>
              </w:tabs>
              <w:spacing w:line="360" w:lineRule="auto"/>
              <w:rPr>
                <w:color w:val="auto"/>
                <w:sz w:val="20"/>
              </w:rPr>
            </w:pPr>
          </w:p>
        </w:tc>
        <w:tc>
          <w:tcPr>
            <w:tcW w:w="446" w:type="dxa"/>
            <w:vMerge w:val="continue"/>
            <w:tcBorders>
              <w:left w:val="single" w:color="auto" w:sz="2" w:space="0"/>
              <w:right w:val="single" w:color="auto" w:sz="2" w:space="0"/>
            </w:tcBorders>
            <w:vAlign w:val="center"/>
          </w:tcPr>
          <w:p>
            <w:pPr>
              <w:tabs>
                <w:tab w:val="left" w:pos="851"/>
              </w:tabs>
              <w:spacing w:line="360" w:lineRule="auto"/>
              <w:rPr>
                <w:color w:val="auto"/>
                <w:sz w:val="20"/>
              </w:rPr>
            </w:pPr>
          </w:p>
        </w:tc>
        <w:tc>
          <w:tcPr>
            <w:tcW w:w="175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color w:val="auto"/>
                <w:sz w:val="20"/>
              </w:rPr>
              <w:t>投标保证金</w:t>
            </w:r>
          </w:p>
        </w:tc>
        <w:tc>
          <w:tcPr>
            <w:tcW w:w="629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color w:val="auto"/>
                <w:sz w:val="20"/>
              </w:rPr>
              <w:t>无</w:t>
            </w:r>
            <w:r>
              <w:rPr>
                <w:rFonts w:hint="eastAsia"/>
                <w:color w:val="auto"/>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66" w:hRule="atLeast"/>
        </w:trPr>
        <w:tc>
          <w:tcPr>
            <w:tcW w:w="355" w:type="dxa"/>
            <w:vMerge w:val="continue"/>
            <w:tcBorders>
              <w:left w:val="single" w:color="auto" w:sz="2" w:space="0"/>
              <w:right w:val="single" w:color="auto" w:sz="2" w:space="0"/>
            </w:tcBorders>
            <w:vAlign w:val="center"/>
          </w:tcPr>
          <w:p>
            <w:pPr>
              <w:tabs>
                <w:tab w:val="left" w:pos="851"/>
              </w:tabs>
              <w:spacing w:line="360" w:lineRule="auto"/>
              <w:rPr>
                <w:color w:val="auto"/>
                <w:sz w:val="20"/>
              </w:rPr>
            </w:pPr>
          </w:p>
        </w:tc>
        <w:tc>
          <w:tcPr>
            <w:tcW w:w="446" w:type="dxa"/>
            <w:vMerge w:val="continue"/>
            <w:tcBorders>
              <w:left w:val="single" w:color="auto" w:sz="2" w:space="0"/>
              <w:right w:val="single" w:color="auto" w:sz="2" w:space="0"/>
            </w:tcBorders>
            <w:vAlign w:val="center"/>
          </w:tcPr>
          <w:p>
            <w:pPr>
              <w:tabs>
                <w:tab w:val="left" w:pos="851"/>
              </w:tabs>
              <w:spacing w:line="360" w:lineRule="auto"/>
              <w:rPr>
                <w:color w:val="auto"/>
                <w:sz w:val="20"/>
              </w:rPr>
            </w:pPr>
          </w:p>
        </w:tc>
        <w:tc>
          <w:tcPr>
            <w:tcW w:w="1756" w:type="dxa"/>
            <w:tcBorders>
              <w:top w:val="single" w:color="auto" w:sz="2" w:space="0"/>
              <w:left w:val="single" w:color="auto" w:sz="2" w:space="0"/>
              <w:right w:val="single" w:color="auto" w:sz="2" w:space="0"/>
            </w:tcBorders>
            <w:vAlign w:val="center"/>
          </w:tcPr>
          <w:p>
            <w:pPr>
              <w:tabs>
                <w:tab w:val="left" w:pos="851"/>
              </w:tabs>
              <w:spacing w:line="360" w:lineRule="auto"/>
              <w:rPr>
                <w:rFonts w:ascii="宋体" w:hAnsi="宋体"/>
                <w:color w:val="auto"/>
                <w:sz w:val="20"/>
                <w:szCs w:val="28"/>
              </w:rPr>
            </w:pPr>
            <w:r>
              <w:rPr>
                <w:color w:val="auto"/>
                <w:sz w:val="20"/>
              </w:rPr>
              <w:t>投标文件解密情况</w:t>
            </w:r>
          </w:p>
        </w:tc>
        <w:tc>
          <w:tcPr>
            <w:tcW w:w="6299" w:type="dxa"/>
            <w:tcBorders>
              <w:top w:val="single" w:color="auto" w:sz="2" w:space="0"/>
              <w:left w:val="single" w:color="auto" w:sz="2" w:space="0"/>
              <w:right w:val="single" w:color="auto" w:sz="2" w:space="0"/>
            </w:tcBorders>
            <w:vAlign w:val="center"/>
          </w:tcPr>
          <w:p>
            <w:pPr>
              <w:tabs>
                <w:tab w:val="left" w:pos="851"/>
              </w:tabs>
              <w:spacing w:line="360" w:lineRule="auto"/>
              <w:rPr>
                <w:rFonts w:ascii="宋体" w:hAnsi="宋体"/>
                <w:color w:val="auto"/>
                <w:sz w:val="20"/>
                <w:szCs w:val="28"/>
              </w:rPr>
            </w:pPr>
            <w:r>
              <w:rPr>
                <w:rFonts w:hint="eastAsia" w:ascii="宋体" w:hAnsi="宋体"/>
                <w:color w:val="auto"/>
                <w:sz w:val="20"/>
                <w:szCs w:val="28"/>
              </w:rPr>
              <w:t>除因断电、断网、系统故障或其他不可抗力等因素，导致系统无法使用外，投标文件已成功解密。</w:t>
            </w:r>
            <w:r>
              <w:rPr>
                <w:rFonts w:hint="eastAsia"/>
                <w:color w:val="auto"/>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5" w:type="dxa"/>
            <w:vMerge w:val="continue"/>
            <w:tcBorders>
              <w:left w:val="single" w:color="auto" w:sz="2" w:space="0"/>
              <w:right w:val="single" w:color="auto" w:sz="2" w:space="0"/>
            </w:tcBorders>
            <w:vAlign w:val="center"/>
          </w:tcPr>
          <w:p>
            <w:pPr>
              <w:tabs>
                <w:tab w:val="left" w:pos="851"/>
              </w:tabs>
              <w:spacing w:line="360" w:lineRule="auto"/>
              <w:rPr>
                <w:color w:val="auto"/>
                <w:sz w:val="20"/>
              </w:rPr>
            </w:pPr>
          </w:p>
        </w:tc>
        <w:tc>
          <w:tcPr>
            <w:tcW w:w="446" w:type="dxa"/>
            <w:vMerge w:val="continue"/>
            <w:tcBorders>
              <w:left w:val="single" w:color="auto" w:sz="2" w:space="0"/>
              <w:right w:val="single" w:color="auto" w:sz="2" w:space="0"/>
            </w:tcBorders>
            <w:vAlign w:val="center"/>
          </w:tcPr>
          <w:p>
            <w:pPr>
              <w:tabs>
                <w:tab w:val="left" w:pos="851"/>
              </w:tabs>
              <w:spacing w:line="360" w:lineRule="auto"/>
              <w:rPr>
                <w:color w:val="auto"/>
                <w:sz w:val="20"/>
              </w:rPr>
            </w:pPr>
          </w:p>
        </w:tc>
        <w:tc>
          <w:tcPr>
            <w:tcW w:w="175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color w:val="auto"/>
                <w:sz w:val="20"/>
              </w:rPr>
              <w:t>投标文件签章</w:t>
            </w:r>
          </w:p>
        </w:tc>
        <w:tc>
          <w:tcPr>
            <w:tcW w:w="629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投标文件加盖有投标人（法定名称）电子签章</w:t>
            </w:r>
            <w:r>
              <w:rPr>
                <w:color w:val="auto"/>
                <w:sz w:val="20"/>
              </w:rPr>
              <w:t>。</w:t>
            </w:r>
            <w:r>
              <w:rPr>
                <w:rFonts w:hint="eastAsia"/>
                <w:color w:val="auto"/>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5"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p>
        </w:tc>
        <w:tc>
          <w:tcPr>
            <w:tcW w:w="446"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p>
        </w:tc>
        <w:tc>
          <w:tcPr>
            <w:tcW w:w="175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color w:val="auto"/>
                <w:sz w:val="20"/>
              </w:rPr>
              <w:t>投标文件资格性审查部分的语言</w:t>
            </w:r>
          </w:p>
        </w:tc>
        <w:tc>
          <w:tcPr>
            <w:tcW w:w="629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color w:val="auto"/>
                <w:sz w:val="20"/>
              </w:rPr>
              <w:t>语言符合招标文件的要求。</w:t>
            </w:r>
            <w:r>
              <w:rPr>
                <w:rFonts w:hint="eastAsia"/>
                <w:color w:val="auto"/>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01"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4</w:t>
            </w:r>
          </w:p>
        </w:tc>
        <w:tc>
          <w:tcPr>
            <w:tcW w:w="175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投标文件资格性审查部分组成</w:t>
            </w:r>
          </w:p>
        </w:tc>
        <w:tc>
          <w:tcPr>
            <w:tcW w:w="629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0"/>
                <w:szCs w:val="28"/>
              </w:rPr>
            </w:pPr>
            <w:r>
              <w:rPr>
                <w:rFonts w:hint="eastAsia" w:ascii="宋体" w:hAnsi="宋体"/>
                <w:color w:val="auto"/>
                <w:sz w:val="20"/>
                <w:szCs w:val="28"/>
              </w:rPr>
              <w:t>符合招标文件“</w:t>
            </w:r>
            <w:r>
              <w:rPr>
                <w:rFonts w:ascii="宋体" w:hAnsi="宋体"/>
                <w:color w:val="auto"/>
                <w:sz w:val="20"/>
                <w:szCs w:val="28"/>
              </w:rPr>
              <w:t>2.4.</w:t>
            </w:r>
            <w:r>
              <w:rPr>
                <w:rFonts w:hint="eastAsia" w:ascii="宋体" w:hAnsi="宋体"/>
                <w:color w:val="auto"/>
                <w:sz w:val="20"/>
                <w:szCs w:val="28"/>
              </w:rPr>
              <w:t>6投标</w:t>
            </w:r>
            <w:r>
              <w:rPr>
                <w:rFonts w:ascii="宋体" w:hAnsi="宋体"/>
                <w:color w:val="auto"/>
                <w:sz w:val="20"/>
                <w:szCs w:val="28"/>
              </w:rPr>
              <w:t>文件的组成”规定要求。</w:t>
            </w:r>
            <w:r>
              <w:rPr>
                <w:rFonts w:hint="eastAsia" w:ascii="宋体" w:hAnsi="宋体"/>
                <w:color w:val="auto"/>
                <w:sz w:val="20"/>
                <w:szCs w:val="28"/>
              </w:rPr>
              <w:t>【说明：投标人按招标文件3.2.1关于投标人资格申明的</w:t>
            </w:r>
            <w:r>
              <w:rPr>
                <w:rFonts w:hint="eastAsia"/>
                <w:color w:val="auto"/>
                <w:sz w:val="20"/>
              </w:rPr>
              <w:t>内容</w:t>
            </w:r>
            <w:r>
              <w:rPr>
                <w:rFonts w:hint="eastAsia" w:ascii="宋体" w:hAnsi="宋体"/>
                <w:color w:val="auto"/>
                <w:sz w:val="20"/>
                <w:szCs w:val="28"/>
              </w:rPr>
              <w:t>提供关于投标人资格申明的函。】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01"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5</w:t>
            </w:r>
          </w:p>
        </w:tc>
        <w:tc>
          <w:tcPr>
            <w:tcW w:w="175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color w:val="auto"/>
                <w:sz w:val="20"/>
              </w:rPr>
              <w:t>缴纳社会保障资金的证明材料</w:t>
            </w:r>
          </w:p>
        </w:tc>
        <w:tc>
          <w:tcPr>
            <w:tcW w:w="629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投标人缴纳</w:t>
            </w:r>
            <w:r>
              <w:rPr>
                <w:color w:val="auto"/>
                <w:sz w:val="20"/>
              </w:rPr>
              <w:t>2020</w:t>
            </w:r>
            <w:r>
              <w:rPr>
                <w:rFonts w:hint="eastAsia"/>
                <w:color w:val="auto"/>
                <w:sz w:val="20"/>
              </w:rPr>
              <w:t>或</w:t>
            </w:r>
            <w:r>
              <w:rPr>
                <w:color w:val="auto"/>
                <w:sz w:val="20"/>
              </w:rPr>
              <w:t>2021</w:t>
            </w:r>
            <w:r>
              <w:rPr>
                <w:rFonts w:hint="eastAsia"/>
                <w:color w:val="auto"/>
                <w:sz w:val="20"/>
              </w:rPr>
              <w:t>年任意时段的社保的银行电子回单或行政部门出具的社保缴纳证明材料复印件。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01"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6</w:t>
            </w:r>
          </w:p>
        </w:tc>
        <w:tc>
          <w:tcPr>
            <w:tcW w:w="175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color w:val="auto"/>
                <w:sz w:val="20"/>
              </w:rPr>
              <w:t>缴纳税收的证明材料</w:t>
            </w:r>
          </w:p>
        </w:tc>
        <w:tc>
          <w:tcPr>
            <w:tcW w:w="629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投标人缴纳</w:t>
            </w:r>
            <w:r>
              <w:rPr>
                <w:color w:val="auto"/>
                <w:sz w:val="20"/>
              </w:rPr>
              <w:t>2020</w:t>
            </w:r>
            <w:r>
              <w:rPr>
                <w:rFonts w:hint="eastAsia"/>
                <w:color w:val="auto"/>
                <w:sz w:val="20"/>
              </w:rPr>
              <w:t>或</w:t>
            </w:r>
            <w:r>
              <w:rPr>
                <w:color w:val="auto"/>
                <w:sz w:val="20"/>
              </w:rPr>
              <w:t>2021</w:t>
            </w:r>
            <w:r>
              <w:rPr>
                <w:rFonts w:hint="eastAsia"/>
                <w:color w:val="auto"/>
                <w:sz w:val="20"/>
              </w:rPr>
              <w:t>年任意时段的税收的银行电子回单或者行政部门出具的纳税证明或完税证明的复印件。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01"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7</w:t>
            </w:r>
          </w:p>
        </w:tc>
        <w:tc>
          <w:tcPr>
            <w:tcW w:w="175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color w:val="auto"/>
                <w:sz w:val="20"/>
              </w:rPr>
              <w:t>具有健全的财务会计制度的证明材料</w:t>
            </w:r>
          </w:p>
        </w:tc>
        <w:tc>
          <w:tcPr>
            <w:tcW w:w="629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color w:val="auto"/>
                <w:sz w:val="20"/>
              </w:rPr>
              <w:t>2019</w:t>
            </w:r>
            <w:r>
              <w:rPr>
                <w:rFonts w:hint="eastAsia"/>
                <w:color w:val="auto"/>
                <w:sz w:val="20"/>
              </w:rPr>
              <w:t>或</w:t>
            </w:r>
            <w:r>
              <w:rPr>
                <w:color w:val="auto"/>
                <w:sz w:val="20"/>
              </w:rPr>
              <w:t>2020</w:t>
            </w:r>
            <w:r>
              <w:rPr>
                <w:rFonts w:hint="eastAsia"/>
                <w:color w:val="auto"/>
                <w:sz w:val="20"/>
              </w:rPr>
              <w:t>会计年度资产负债表复印件。【说明：投标人成立时间至投标截止时间止不足一年的，提供成立后任意时段的资产负债表复印件。】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01"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color w:val="auto"/>
                <w:sz w:val="20"/>
              </w:rPr>
              <w:t>8</w:t>
            </w:r>
          </w:p>
        </w:tc>
        <w:tc>
          <w:tcPr>
            <w:tcW w:w="175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本项目为专门面向中小企业采购项目，投标人提供的货物全部由符合政策要求的中小企业制造；（说明：监狱企业、残疾人福利性单位视同小型、微型企业）</w:t>
            </w:r>
          </w:p>
        </w:tc>
        <w:tc>
          <w:tcPr>
            <w:tcW w:w="629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中小企业声明函或残疾人福利性单位声明函或投标产品制造商属于监狱企业的证明文件复印件【说明：（1）投标产品的制造商属于中小企业的投标人应提供中小企业声明函，投标产品的制造商属于残疾人福利性单位的投标人应提供残疾人福利性单位声明函，投标产品的制造商属于监狱企业的投标人应提供省级以上监狱管理局、戒毒管理局（含新疆生产建设兵团）出具的投标人属于监狱企业的证明文件复印件；（2）投标人投标产品全部由采购标的以及其所属行业的中型企业、小型企业、微型企业制造；（3）残疾人福利性单位、监狱企业视同为小型微型企业。】。</w:t>
            </w:r>
          </w:p>
        </w:tc>
      </w:tr>
    </w:tbl>
    <w:p>
      <w:pPr>
        <w:tabs>
          <w:tab w:val="left" w:pos="851"/>
        </w:tabs>
        <w:spacing w:line="360" w:lineRule="auto"/>
        <w:ind w:firstLine="560" w:firstLineChars="200"/>
        <w:rPr>
          <w:rFonts w:ascii="宋体" w:hAnsi="宋体"/>
          <w:color w:val="auto"/>
          <w:sz w:val="28"/>
          <w:szCs w:val="28"/>
        </w:rPr>
      </w:pPr>
      <w:r>
        <w:rPr>
          <w:rFonts w:hint="eastAsia" w:ascii="宋体" w:hAnsi="宋体"/>
          <w:color w:val="auto"/>
          <w:sz w:val="28"/>
          <w:szCs w:val="28"/>
        </w:rPr>
        <w:t>注：一、以上每一项结论均为“通过”的，则投标人的投标文件通过资格性审查；如有其中任意一项结论为“不通过”的，则投标人的投标文件按无效投标文件处理。如果资格审查小组认为投标人有任意一项不通过的，应在资格性审查报告中载明不通过的具体原因。</w:t>
      </w:r>
    </w:p>
    <w:p>
      <w:pPr>
        <w:tabs>
          <w:tab w:val="left" w:pos="851"/>
        </w:tabs>
        <w:spacing w:line="360" w:lineRule="auto"/>
        <w:ind w:firstLine="566" w:firstLineChars="202"/>
        <w:rPr>
          <w:rFonts w:ascii="宋体" w:hAnsi="宋体"/>
          <w:color w:val="auto"/>
          <w:sz w:val="28"/>
          <w:szCs w:val="28"/>
        </w:rPr>
      </w:pPr>
      <w:r>
        <w:rPr>
          <w:rFonts w:hint="eastAsia" w:ascii="宋体" w:hAnsi="宋体"/>
          <w:color w:val="auto"/>
          <w:sz w:val="28"/>
          <w:szCs w:val="28"/>
        </w:rPr>
        <w:t>二、“信用中国”和“中国政府采购网”网站查询结果，将以纸质截图或将截图保存至电子介质的形式留存。</w:t>
      </w:r>
    </w:p>
    <w:p>
      <w:pPr>
        <w:tabs>
          <w:tab w:val="left" w:pos="851"/>
        </w:tabs>
        <w:spacing w:line="360" w:lineRule="auto"/>
        <w:ind w:firstLine="566" w:firstLineChars="202"/>
        <w:rPr>
          <w:rFonts w:ascii="宋体" w:hAnsi="宋体"/>
          <w:color w:val="auto"/>
          <w:sz w:val="28"/>
          <w:szCs w:val="28"/>
        </w:rPr>
      </w:pPr>
      <w:r>
        <w:rPr>
          <w:rFonts w:hint="eastAsia" w:ascii="宋体" w:hAnsi="宋体"/>
          <w:color w:val="auto"/>
          <w:sz w:val="28"/>
          <w:szCs w:val="28"/>
        </w:rPr>
        <w:t>三、投标人的投标文件资格性审查时被判定为无效的，</w:t>
      </w:r>
      <w:r>
        <w:rPr>
          <w:rFonts w:hint="eastAsia" w:ascii="宋体" w:hAnsi="宋体"/>
          <w:color w:val="auto"/>
          <w:sz w:val="28"/>
          <w:szCs w:val="28"/>
          <w:lang w:eastAsia="zh-CN"/>
        </w:rPr>
        <w:t>区采购中心</w:t>
      </w:r>
      <w:r>
        <w:rPr>
          <w:rFonts w:hint="eastAsia" w:ascii="宋体" w:hAnsi="宋体"/>
          <w:color w:val="auto"/>
          <w:sz w:val="28"/>
          <w:szCs w:val="28"/>
        </w:rPr>
        <w:t>将通知投标人（以短信、现场公示、电话、“政府采购云平台”等任一方式）。。投标人如对资格审查结论有异议的，应及时向</w:t>
      </w:r>
      <w:r>
        <w:rPr>
          <w:rFonts w:hint="eastAsia" w:ascii="宋体" w:hAnsi="宋体"/>
          <w:color w:val="auto"/>
          <w:sz w:val="28"/>
          <w:szCs w:val="28"/>
          <w:lang w:eastAsia="zh-CN"/>
        </w:rPr>
        <w:t>区采购中心</w:t>
      </w:r>
      <w:r>
        <w:rPr>
          <w:rFonts w:hint="eastAsia" w:ascii="宋体" w:hAnsi="宋体"/>
          <w:color w:val="auto"/>
          <w:sz w:val="28"/>
          <w:szCs w:val="28"/>
        </w:rPr>
        <w:t>反馈意见。</w:t>
      </w:r>
      <w:r>
        <w:rPr>
          <w:rFonts w:hint="eastAsia" w:ascii="宋体" w:hAnsi="宋体"/>
          <w:color w:val="auto"/>
          <w:sz w:val="28"/>
          <w:szCs w:val="28"/>
          <w:lang w:eastAsia="zh-CN"/>
        </w:rPr>
        <w:t>区采购中心</w:t>
      </w:r>
      <w:r>
        <w:rPr>
          <w:rFonts w:hint="eastAsia" w:ascii="宋体" w:hAnsi="宋体"/>
          <w:color w:val="auto"/>
          <w:sz w:val="28"/>
          <w:szCs w:val="28"/>
        </w:rPr>
        <w:t>将及时告知资格审查小组。（说明：无论投标人是否收到通知或提供反馈意见，均不影响资格审查和评标工作，且</w:t>
      </w:r>
      <w:r>
        <w:rPr>
          <w:rFonts w:hint="eastAsia" w:ascii="宋体" w:hAnsi="宋体"/>
          <w:color w:val="auto"/>
          <w:sz w:val="28"/>
          <w:szCs w:val="28"/>
          <w:lang w:eastAsia="zh-CN"/>
        </w:rPr>
        <w:t>区采购中心</w:t>
      </w:r>
      <w:r>
        <w:rPr>
          <w:rFonts w:hint="eastAsia" w:ascii="宋体" w:hAnsi="宋体"/>
          <w:color w:val="auto"/>
          <w:sz w:val="28"/>
          <w:szCs w:val="28"/>
        </w:rPr>
        <w:t>对此将不承担任何的责任。投标人对资格审查结论有异议的，其反馈意见仅限于资格审查小组对资格审查结论的正确性进行复核，避免出现审查错误。）</w:t>
      </w:r>
    </w:p>
    <w:p>
      <w:pPr>
        <w:tabs>
          <w:tab w:val="left" w:pos="851"/>
        </w:tabs>
        <w:spacing w:line="360" w:lineRule="auto"/>
        <w:ind w:firstLine="566" w:firstLineChars="202"/>
        <w:rPr>
          <w:rFonts w:ascii="宋体" w:hAnsi="宋体"/>
          <w:color w:val="auto"/>
          <w:sz w:val="28"/>
          <w:szCs w:val="28"/>
        </w:rPr>
      </w:pPr>
      <w:r>
        <w:rPr>
          <w:rFonts w:hint="eastAsia" w:ascii="宋体" w:hAnsi="宋体"/>
          <w:color w:val="auto"/>
          <w:sz w:val="28"/>
          <w:szCs w:val="28"/>
        </w:rPr>
        <w:t>四、通过资格性审查的供应商＜3名，采购失败。</w:t>
      </w:r>
    </w:p>
    <w:p>
      <w:pPr>
        <w:tabs>
          <w:tab w:val="left" w:pos="851"/>
        </w:tabs>
        <w:spacing w:line="360" w:lineRule="auto"/>
        <w:ind w:firstLine="566" w:firstLineChars="202"/>
        <w:rPr>
          <w:rFonts w:ascii="宋体" w:hAnsi="宋体"/>
          <w:color w:val="auto"/>
          <w:sz w:val="28"/>
          <w:szCs w:val="28"/>
        </w:rPr>
      </w:pPr>
    </w:p>
    <w:p>
      <w:pPr>
        <w:tabs>
          <w:tab w:val="left" w:pos="851"/>
        </w:tabs>
        <w:spacing w:line="360" w:lineRule="auto"/>
        <w:rPr>
          <w:rFonts w:ascii="宋体" w:hAnsi="宋体"/>
          <w:color w:val="auto"/>
          <w:sz w:val="28"/>
          <w:szCs w:val="28"/>
        </w:rPr>
      </w:pPr>
      <w:r>
        <w:rPr>
          <w:rFonts w:ascii="宋体" w:hAnsi="宋体"/>
          <w:color w:val="auto"/>
          <w:sz w:val="28"/>
          <w:szCs w:val="28"/>
        </w:rPr>
        <w:br w:type="page"/>
      </w:r>
    </w:p>
    <w:p>
      <w:pPr>
        <w:pStyle w:val="2"/>
        <w:rPr>
          <w:color w:val="auto"/>
        </w:rPr>
      </w:pPr>
    </w:p>
    <w:p>
      <w:pPr>
        <w:keepNext/>
        <w:keepLines/>
        <w:numPr>
          <w:ilvl w:val="0"/>
          <w:numId w:val="5"/>
        </w:numPr>
        <w:spacing w:line="360" w:lineRule="auto"/>
        <w:ind w:left="0" w:firstLine="0"/>
        <w:jc w:val="center"/>
        <w:outlineLvl w:val="0"/>
        <w:rPr>
          <w:rFonts w:ascii="宋体" w:hAnsi="宋体"/>
          <w:b/>
          <w:bCs/>
          <w:color w:val="auto"/>
          <w:spacing w:val="-20"/>
          <w:kern w:val="44"/>
          <w:sz w:val="32"/>
          <w:szCs w:val="32"/>
        </w:rPr>
      </w:pPr>
      <w:bookmarkStart w:id="196" w:name="_Toc30449"/>
      <w:r>
        <w:rPr>
          <w:rFonts w:hint="eastAsia" w:ascii="宋体" w:hAnsi="宋体"/>
          <w:b/>
          <w:bCs/>
          <w:color w:val="auto"/>
          <w:spacing w:val="-20"/>
          <w:kern w:val="44"/>
          <w:sz w:val="32"/>
          <w:szCs w:val="32"/>
        </w:rPr>
        <w:t>评标办法</w:t>
      </w:r>
      <w:bookmarkEnd w:id="196"/>
    </w:p>
    <w:p>
      <w:pPr>
        <w:keepNext/>
        <w:keepLines/>
        <w:numPr>
          <w:ilvl w:val="1"/>
          <w:numId w:val="5"/>
        </w:numPr>
        <w:spacing w:line="360" w:lineRule="auto"/>
        <w:jc w:val="left"/>
        <w:outlineLvl w:val="1"/>
        <w:rPr>
          <w:rFonts w:ascii="宋体" w:hAnsi="宋体"/>
          <w:b/>
          <w:bCs/>
          <w:color w:val="auto"/>
          <w:sz w:val="28"/>
          <w:szCs w:val="28"/>
        </w:rPr>
      </w:pPr>
      <w:bookmarkStart w:id="197" w:name="_Toc32332"/>
      <w:r>
        <w:rPr>
          <w:rFonts w:hint="eastAsia" w:ascii="宋体" w:hAnsi="宋体"/>
          <w:b/>
          <w:bCs/>
          <w:color w:val="auto"/>
          <w:sz w:val="28"/>
          <w:szCs w:val="28"/>
        </w:rPr>
        <w:t>总则</w:t>
      </w:r>
      <w:bookmarkEnd w:id="197"/>
    </w:p>
    <w:p>
      <w:pPr>
        <w:numPr>
          <w:ilvl w:val="0"/>
          <w:numId w:val="42"/>
        </w:numPr>
        <w:tabs>
          <w:tab w:val="left" w:pos="1134"/>
        </w:tabs>
        <w:spacing w:line="360" w:lineRule="auto"/>
        <w:ind w:left="0" w:firstLine="566" w:firstLineChars="202"/>
        <w:rPr>
          <w:rFonts w:ascii="宋体" w:hAnsi="宋体"/>
          <w:color w:val="auto"/>
          <w:sz w:val="28"/>
          <w:szCs w:val="28"/>
        </w:rPr>
      </w:pPr>
      <w:r>
        <w:rPr>
          <w:rFonts w:hint="eastAsia" w:ascii="宋体" w:hAnsi="宋体"/>
          <w:color w:val="auto"/>
          <w:sz w:val="28"/>
          <w:szCs w:val="28"/>
        </w:rPr>
        <w:t>根据《中华人民共和国政府采购法》、《中华人民共和国政府采购法实施条例》和《政府采购货物和服务招标投标管理办法》等法律规章，结合采购项目特点制定本评标办法。</w:t>
      </w:r>
    </w:p>
    <w:p>
      <w:pPr>
        <w:numPr>
          <w:ilvl w:val="0"/>
          <w:numId w:val="43"/>
        </w:numPr>
        <w:tabs>
          <w:tab w:val="left" w:pos="1134"/>
        </w:tabs>
        <w:spacing w:after="0" w:line="360" w:lineRule="auto"/>
        <w:ind w:left="0" w:firstLine="424" w:firstLineChars="202"/>
        <w:rPr>
          <w:rFonts w:ascii="宋体" w:hAnsi="宋体"/>
          <w:color w:val="auto"/>
          <w:sz w:val="28"/>
          <w:szCs w:val="28"/>
        </w:rPr>
      </w:pPr>
      <w:r>
        <w:rPr>
          <w:rFonts w:hint="eastAsia" w:ascii="宋体" w:hAnsi="宋体"/>
          <w:color w:val="auto"/>
          <w:sz w:val="28"/>
          <w:szCs w:val="28"/>
        </w:rPr>
        <w:t>评标工作由</w:t>
      </w:r>
      <w:r>
        <w:rPr>
          <w:rFonts w:hint="eastAsia" w:cs="Arial"/>
          <w:color w:val="auto"/>
          <w:sz w:val="28"/>
          <w:szCs w:val="28"/>
          <w:lang w:eastAsia="zh-CN"/>
        </w:rPr>
        <w:t>区采购中心</w:t>
      </w:r>
      <w:r>
        <w:rPr>
          <w:rFonts w:hint="eastAsia" w:ascii="宋体" w:hAnsi="宋体"/>
          <w:color w:val="auto"/>
          <w:sz w:val="28"/>
          <w:szCs w:val="28"/>
        </w:rPr>
        <w:t>负责组织，具体评标事务由采购人或</w:t>
      </w:r>
      <w:r>
        <w:rPr>
          <w:rFonts w:hint="eastAsia" w:cs="Arial"/>
          <w:color w:val="auto"/>
          <w:sz w:val="28"/>
          <w:szCs w:val="28"/>
          <w:lang w:eastAsia="zh-CN"/>
        </w:rPr>
        <w:t>区采购中心</w:t>
      </w:r>
      <w:r>
        <w:rPr>
          <w:rFonts w:hint="eastAsia" w:ascii="宋体" w:hAnsi="宋体"/>
          <w:color w:val="auto"/>
          <w:sz w:val="28"/>
          <w:szCs w:val="28"/>
        </w:rPr>
        <w:t>依法组建的评标委员会负责。评标委员会由采购人代表和有关技术、经济等方面的专家组成。</w:t>
      </w:r>
    </w:p>
    <w:p>
      <w:pPr>
        <w:numPr>
          <w:ilvl w:val="0"/>
          <w:numId w:val="42"/>
        </w:numPr>
        <w:tabs>
          <w:tab w:val="left" w:pos="1134"/>
        </w:tabs>
        <w:spacing w:line="360" w:lineRule="auto"/>
        <w:ind w:left="0" w:firstLine="566" w:firstLineChars="202"/>
        <w:rPr>
          <w:rFonts w:ascii="宋体" w:hAnsi="宋体"/>
          <w:color w:val="auto"/>
          <w:sz w:val="28"/>
          <w:szCs w:val="28"/>
        </w:rPr>
      </w:pPr>
      <w:r>
        <w:rPr>
          <w:rFonts w:hint="eastAsia" w:ascii="宋体" w:hAnsi="宋体"/>
          <w:color w:val="auto"/>
          <w:sz w:val="28"/>
          <w:szCs w:val="28"/>
        </w:rPr>
        <w:t>评标工作应遵循公平、公正、科学及择优的原则，并以相同的评标程序和标准对待所有的投标人。</w:t>
      </w:r>
    </w:p>
    <w:p>
      <w:pPr>
        <w:numPr>
          <w:ilvl w:val="0"/>
          <w:numId w:val="42"/>
        </w:numPr>
        <w:tabs>
          <w:tab w:val="left" w:pos="1134"/>
        </w:tabs>
        <w:spacing w:line="360" w:lineRule="auto"/>
        <w:ind w:left="0" w:firstLine="566" w:firstLineChars="202"/>
        <w:rPr>
          <w:rFonts w:ascii="宋体" w:hAnsi="宋体"/>
          <w:color w:val="auto"/>
          <w:sz w:val="28"/>
          <w:szCs w:val="28"/>
        </w:rPr>
      </w:pPr>
      <w:r>
        <w:rPr>
          <w:rFonts w:hint="eastAsia" w:ascii="宋体" w:hAnsi="宋体"/>
          <w:color w:val="auto"/>
          <w:sz w:val="28"/>
          <w:szCs w:val="28"/>
        </w:rPr>
        <w:t>评标委员会按照招标文件规定的评标程序、评标方法和标准进行独立评审，并独立履行下列职责：</w:t>
      </w:r>
    </w:p>
    <w:p>
      <w:pPr>
        <w:numPr>
          <w:ilvl w:val="1"/>
          <w:numId w:val="44"/>
        </w:numPr>
        <w:spacing w:line="360" w:lineRule="auto"/>
        <w:ind w:left="0" w:firstLine="567"/>
        <w:rPr>
          <w:rFonts w:ascii="宋体" w:hAnsi="宋体"/>
          <w:color w:val="auto"/>
          <w:sz w:val="28"/>
          <w:szCs w:val="28"/>
        </w:rPr>
      </w:pPr>
      <w:r>
        <w:rPr>
          <w:rFonts w:hint="eastAsia" w:ascii="宋体" w:hAnsi="宋体"/>
          <w:color w:val="auto"/>
          <w:sz w:val="28"/>
          <w:szCs w:val="28"/>
        </w:rPr>
        <w:t>熟悉和理解招标文件；</w:t>
      </w:r>
    </w:p>
    <w:p>
      <w:pPr>
        <w:numPr>
          <w:ilvl w:val="1"/>
          <w:numId w:val="44"/>
        </w:numPr>
        <w:spacing w:line="360" w:lineRule="auto"/>
        <w:ind w:left="0" w:firstLine="567"/>
        <w:rPr>
          <w:rFonts w:ascii="宋体" w:hAnsi="宋体"/>
          <w:color w:val="auto"/>
          <w:sz w:val="28"/>
          <w:szCs w:val="28"/>
        </w:rPr>
      </w:pPr>
      <w:r>
        <w:rPr>
          <w:rFonts w:hint="eastAsia" w:ascii="宋体" w:hAnsi="宋体"/>
          <w:color w:val="auto"/>
          <w:sz w:val="28"/>
          <w:szCs w:val="28"/>
        </w:rPr>
        <w:t>审查、评价投标文件是否符合招标文件的商务、技术等实质性要求；</w:t>
      </w:r>
    </w:p>
    <w:p>
      <w:pPr>
        <w:numPr>
          <w:ilvl w:val="1"/>
          <w:numId w:val="44"/>
        </w:numPr>
        <w:spacing w:line="360" w:lineRule="auto"/>
        <w:ind w:left="0" w:firstLine="567"/>
        <w:rPr>
          <w:rFonts w:ascii="宋体" w:hAnsi="宋体"/>
          <w:color w:val="auto"/>
          <w:sz w:val="28"/>
          <w:szCs w:val="28"/>
        </w:rPr>
      </w:pPr>
      <w:r>
        <w:rPr>
          <w:rFonts w:hint="eastAsia" w:ascii="宋体" w:hAnsi="宋体"/>
          <w:color w:val="auto"/>
          <w:sz w:val="28"/>
          <w:szCs w:val="28"/>
        </w:rPr>
        <w:t>对投标文件进行比较和评价；</w:t>
      </w:r>
    </w:p>
    <w:p>
      <w:pPr>
        <w:numPr>
          <w:ilvl w:val="1"/>
          <w:numId w:val="44"/>
        </w:numPr>
        <w:spacing w:line="360" w:lineRule="auto"/>
        <w:ind w:left="0" w:firstLine="567"/>
        <w:rPr>
          <w:rFonts w:ascii="宋体" w:hAnsi="宋体"/>
          <w:color w:val="auto"/>
          <w:sz w:val="28"/>
          <w:szCs w:val="28"/>
        </w:rPr>
      </w:pPr>
      <w:r>
        <w:rPr>
          <w:rFonts w:hint="eastAsia" w:ascii="宋体" w:hAnsi="宋体"/>
          <w:color w:val="auto"/>
          <w:sz w:val="28"/>
          <w:szCs w:val="28"/>
        </w:rPr>
        <w:t>根据需要要求采购人对招标文件作出解释；根据需要要求投标人对投标文件有关事项作出解释或者澄清；</w:t>
      </w:r>
    </w:p>
    <w:p>
      <w:pPr>
        <w:numPr>
          <w:ilvl w:val="1"/>
          <w:numId w:val="44"/>
        </w:numPr>
        <w:spacing w:line="360" w:lineRule="auto"/>
        <w:ind w:left="0" w:firstLine="567"/>
        <w:rPr>
          <w:rFonts w:ascii="宋体" w:hAnsi="宋体"/>
          <w:color w:val="auto"/>
          <w:sz w:val="28"/>
          <w:szCs w:val="28"/>
        </w:rPr>
      </w:pPr>
      <w:r>
        <w:rPr>
          <w:rFonts w:hint="eastAsia" w:ascii="宋体" w:hAnsi="宋体"/>
          <w:color w:val="auto"/>
          <w:sz w:val="28"/>
          <w:szCs w:val="28"/>
        </w:rPr>
        <w:t>确定中标候选人名单，以及根据采购人委托直接确定中标人；</w:t>
      </w:r>
    </w:p>
    <w:p>
      <w:pPr>
        <w:numPr>
          <w:ilvl w:val="1"/>
          <w:numId w:val="44"/>
        </w:numPr>
        <w:spacing w:line="360" w:lineRule="auto"/>
        <w:ind w:left="0" w:firstLine="567"/>
        <w:rPr>
          <w:rFonts w:ascii="宋体" w:hAnsi="宋体"/>
          <w:color w:val="auto"/>
          <w:sz w:val="28"/>
          <w:szCs w:val="28"/>
        </w:rPr>
      </w:pPr>
      <w:r>
        <w:rPr>
          <w:rFonts w:hint="eastAsia" w:ascii="宋体" w:hAnsi="宋体"/>
          <w:color w:val="auto"/>
          <w:sz w:val="28"/>
          <w:szCs w:val="28"/>
        </w:rPr>
        <w:t>起草评标报告并进行签署；</w:t>
      </w:r>
    </w:p>
    <w:p>
      <w:pPr>
        <w:numPr>
          <w:ilvl w:val="1"/>
          <w:numId w:val="44"/>
        </w:numPr>
        <w:spacing w:line="360" w:lineRule="auto"/>
        <w:ind w:left="0" w:firstLine="567"/>
        <w:rPr>
          <w:rFonts w:ascii="宋体" w:hAnsi="宋体"/>
          <w:color w:val="auto"/>
          <w:sz w:val="28"/>
          <w:szCs w:val="28"/>
        </w:rPr>
      </w:pPr>
      <w:r>
        <w:rPr>
          <w:rFonts w:hint="eastAsia" w:ascii="宋体" w:hAnsi="宋体"/>
          <w:color w:val="auto"/>
          <w:sz w:val="28"/>
          <w:szCs w:val="28"/>
        </w:rPr>
        <w:t>向采购人、</w:t>
      </w:r>
      <w:r>
        <w:rPr>
          <w:rFonts w:hint="eastAsia" w:ascii="宋体" w:hAnsi="宋体"/>
          <w:color w:val="auto"/>
          <w:sz w:val="28"/>
          <w:szCs w:val="28"/>
          <w:lang w:eastAsia="zh-CN"/>
        </w:rPr>
        <w:t>区采购中心</w:t>
      </w:r>
      <w:r>
        <w:rPr>
          <w:rFonts w:hint="eastAsia" w:ascii="宋体" w:hAnsi="宋体"/>
          <w:color w:val="auto"/>
          <w:sz w:val="28"/>
          <w:szCs w:val="28"/>
        </w:rPr>
        <w:t>或者财政、监察等有关部门报告或举报非法干预评标工作的行为；</w:t>
      </w:r>
    </w:p>
    <w:p>
      <w:pPr>
        <w:numPr>
          <w:ilvl w:val="1"/>
          <w:numId w:val="44"/>
        </w:numPr>
        <w:spacing w:line="360" w:lineRule="auto"/>
        <w:ind w:left="0" w:firstLine="567"/>
        <w:rPr>
          <w:rFonts w:ascii="宋体" w:hAnsi="宋体"/>
          <w:color w:val="auto"/>
          <w:sz w:val="28"/>
          <w:szCs w:val="28"/>
        </w:rPr>
      </w:pPr>
      <w:r>
        <w:rPr>
          <w:rFonts w:hint="eastAsia" w:ascii="宋体" w:hAnsi="宋体"/>
          <w:color w:val="auto"/>
          <w:sz w:val="28"/>
          <w:szCs w:val="28"/>
        </w:rPr>
        <w:t>向采购人、</w:t>
      </w:r>
      <w:r>
        <w:rPr>
          <w:rFonts w:hint="eastAsia" w:cs="Arial"/>
          <w:color w:val="auto"/>
          <w:sz w:val="28"/>
          <w:szCs w:val="28"/>
          <w:lang w:eastAsia="zh-CN"/>
        </w:rPr>
        <w:t>区采购中心</w:t>
      </w:r>
      <w:r>
        <w:rPr>
          <w:rFonts w:hint="eastAsia" w:ascii="宋体" w:hAnsi="宋体"/>
          <w:color w:val="auto"/>
          <w:sz w:val="28"/>
          <w:szCs w:val="28"/>
        </w:rPr>
        <w:t>或者有关部门报告评标中发现的违法行为。</w:t>
      </w:r>
    </w:p>
    <w:p>
      <w:pPr>
        <w:numPr>
          <w:ilvl w:val="1"/>
          <w:numId w:val="44"/>
        </w:numPr>
        <w:spacing w:line="360" w:lineRule="auto"/>
        <w:ind w:left="0" w:firstLine="567"/>
        <w:rPr>
          <w:rFonts w:ascii="宋体" w:hAnsi="宋体"/>
          <w:color w:val="auto"/>
          <w:sz w:val="28"/>
          <w:szCs w:val="28"/>
        </w:rPr>
      </w:pPr>
      <w:r>
        <w:rPr>
          <w:rFonts w:hint="eastAsia" w:ascii="宋体" w:hAnsi="宋体"/>
          <w:color w:val="auto"/>
          <w:sz w:val="28"/>
          <w:szCs w:val="28"/>
        </w:rPr>
        <w:t>法律、法规和规章规定的其他职责。</w:t>
      </w:r>
    </w:p>
    <w:p>
      <w:pPr>
        <w:numPr>
          <w:ilvl w:val="0"/>
          <w:numId w:val="42"/>
        </w:numPr>
        <w:tabs>
          <w:tab w:val="left" w:pos="1134"/>
        </w:tabs>
        <w:spacing w:line="360" w:lineRule="auto"/>
        <w:ind w:left="0" w:firstLine="566" w:firstLineChars="202"/>
        <w:rPr>
          <w:rFonts w:ascii="宋体" w:hAnsi="宋体"/>
          <w:color w:val="auto"/>
          <w:sz w:val="28"/>
          <w:szCs w:val="28"/>
        </w:rPr>
      </w:pPr>
      <w:r>
        <w:rPr>
          <w:rFonts w:hint="eastAsia" w:ascii="宋体" w:hAnsi="宋体"/>
          <w:color w:val="auto"/>
          <w:sz w:val="28"/>
          <w:szCs w:val="28"/>
        </w:rPr>
        <w:t>评标过程独立、保密。投标人非法干预评标过程的行为将导致其投标文件作为无效处理。</w:t>
      </w:r>
    </w:p>
    <w:p>
      <w:pPr>
        <w:numPr>
          <w:ilvl w:val="0"/>
          <w:numId w:val="42"/>
        </w:numPr>
        <w:tabs>
          <w:tab w:val="left" w:pos="1134"/>
        </w:tabs>
        <w:spacing w:line="360" w:lineRule="auto"/>
        <w:ind w:left="0" w:firstLine="566" w:firstLineChars="202"/>
        <w:rPr>
          <w:rFonts w:ascii="宋体" w:hAnsi="宋体"/>
          <w:color w:val="auto"/>
          <w:sz w:val="28"/>
          <w:szCs w:val="28"/>
        </w:rPr>
      </w:pPr>
      <w:r>
        <w:rPr>
          <w:rFonts w:hint="eastAsia" w:ascii="宋体" w:hAnsi="宋体"/>
          <w:color w:val="auto"/>
          <w:sz w:val="28"/>
          <w:szCs w:val="28"/>
        </w:rPr>
        <w:t>评标委员会决定投标文件的响应性依据投标文件本身的内容，而不寻求外部的证据，招标文件有明确约定的除外。</w:t>
      </w:r>
    </w:p>
    <w:p>
      <w:pPr>
        <w:numPr>
          <w:ilvl w:val="0"/>
          <w:numId w:val="42"/>
        </w:numPr>
        <w:tabs>
          <w:tab w:val="left" w:pos="1134"/>
        </w:tabs>
        <w:spacing w:line="360" w:lineRule="auto"/>
        <w:ind w:left="0" w:firstLine="566" w:firstLineChars="202"/>
        <w:rPr>
          <w:rFonts w:ascii="宋体" w:hAnsi="宋体"/>
          <w:color w:val="auto"/>
          <w:sz w:val="28"/>
          <w:szCs w:val="28"/>
        </w:rPr>
      </w:pPr>
      <w:r>
        <w:rPr>
          <w:rFonts w:hint="eastAsia" w:ascii="宋体" w:hAnsi="宋体"/>
          <w:color w:val="auto"/>
          <w:sz w:val="28"/>
          <w:szCs w:val="28"/>
        </w:rPr>
        <w:t>评标委员会发现招标文件表述不明确或需要说明的事项，可提请采购人和</w:t>
      </w:r>
      <w:r>
        <w:rPr>
          <w:rFonts w:hint="eastAsia" w:ascii="宋体" w:hAnsi="宋体"/>
          <w:color w:val="auto"/>
          <w:sz w:val="28"/>
          <w:szCs w:val="28"/>
          <w:lang w:eastAsia="zh-CN"/>
        </w:rPr>
        <w:t>区采购中心</w:t>
      </w:r>
      <w:r>
        <w:rPr>
          <w:rFonts w:hint="eastAsia" w:ascii="宋体" w:hAnsi="宋体"/>
          <w:color w:val="auto"/>
          <w:sz w:val="28"/>
          <w:szCs w:val="28"/>
        </w:rPr>
        <w:t>书面解释说明。</w:t>
      </w:r>
    </w:p>
    <w:p>
      <w:pPr>
        <w:keepNext/>
        <w:keepLines/>
        <w:numPr>
          <w:ilvl w:val="1"/>
          <w:numId w:val="5"/>
        </w:numPr>
        <w:spacing w:line="360" w:lineRule="auto"/>
        <w:jc w:val="left"/>
        <w:outlineLvl w:val="1"/>
        <w:rPr>
          <w:rFonts w:ascii="宋体" w:hAnsi="宋体"/>
          <w:b/>
          <w:bCs/>
          <w:color w:val="auto"/>
          <w:sz w:val="28"/>
          <w:szCs w:val="28"/>
        </w:rPr>
      </w:pPr>
      <w:bookmarkStart w:id="198" w:name="_Toc13925"/>
      <w:r>
        <w:rPr>
          <w:rFonts w:hint="eastAsia" w:ascii="宋体" w:hAnsi="宋体"/>
          <w:b/>
          <w:bCs/>
          <w:color w:val="auto"/>
          <w:sz w:val="28"/>
          <w:szCs w:val="28"/>
        </w:rPr>
        <w:t>评标方法</w:t>
      </w:r>
      <w:bookmarkEnd w:id="198"/>
    </w:p>
    <w:p>
      <w:pPr>
        <w:spacing w:line="360" w:lineRule="auto"/>
        <w:ind w:firstLine="566" w:firstLineChars="202"/>
        <w:rPr>
          <w:rFonts w:ascii="宋体" w:hAnsi="宋体"/>
          <w:color w:val="auto"/>
          <w:sz w:val="28"/>
          <w:szCs w:val="28"/>
        </w:rPr>
      </w:pPr>
      <w:r>
        <w:rPr>
          <w:rFonts w:hint="eastAsia" w:ascii="宋体" w:hAnsi="宋体"/>
          <w:color w:val="auto"/>
          <w:sz w:val="28"/>
          <w:szCs w:val="28"/>
        </w:rPr>
        <w:t>综合评分法。</w:t>
      </w:r>
    </w:p>
    <w:p>
      <w:pPr>
        <w:keepNext/>
        <w:keepLines/>
        <w:numPr>
          <w:ilvl w:val="1"/>
          <w:numId w:val="5"/>
        </w:numPr>
        <w:spacing w:line="360" w:lineRule="auto"/>
        <w:jc w:val="left"/>
        <w:outlineLvl w:val="1"/>
        <w:rPr>
          <w:rFonts w:ascii="宋体" w:hAnsi="宋体"/>
          <w:b/>
          <w:bCs/>
          <w:color w:val="auto"/>
          <w:sz w:val="28"/>
          <w:szCs w:val="28"/>
        </w:rPr>
      </w:pPr>
      <w:bookmarkStart w:id="199" w:name="_Toc8008"/>
      <w:r>
        <w:rPr>
          <w:rFonts w:hint="eastAsia" w:ascii="宋体" w:hAnsi="宋体"/>
          <w:b/>
          <w:bCs/>
          <w:color w:val="auto"/>
          <w:sz w:val="28"/>
          <w:szCs w:val="28"/>
        </w:rPr>
        <w:t>评标程序</w:t>
      </w:r>
      <w:bookmarkEnd w:id="199"/>
    </w:p>
    <w:p>
      <w:pPr>
        <w:keepNext/>
        <w:keepLines/>
        <w:numPr>
          <w:ilvl w:val="2"/>
          <w:numId w:val="5"/>
        </w:numPr>
        <w:spacing w:line="360" w:lineRule="auto"/>
        <w:ind w:left="3119" w:hanging="3119"/>
        <w:outlineLvl w:val="2"/>
        <w:rPr>
          <w:rFonts w:ascii="宋体" w:hAnsi="宋体"/>
          <w:b/>
          <w:bCs/>
          <w:color w:val="auto"/>
          <w:sz w:val="28"/>
          <w:szCs w:val="28"/>
        </w:rPr>
      </w:pPr>
      <w:r>
        <w:rPr>
          <w:rFonts w:hint="eastAsia" w:ascii="宋体" w:hAnsi="宋体"/>
          <w:b/>
          <w:bCs/>
          <w:color w:val="auto"/>
          <w:sz w:val="28"/>
          <w:szCs w:val="28"/>
        </w:rPr>
        <w:t>符合性审查</w:t>
      </w:r>
    </w:p>
    <w:p>
      <w:pPr>
        <w:tabs>
          <w:tab w:val="left" w:pos="851"/>
        </w:tabs>
        <w:spacing w:line="360" w:lineRule="auto"/>
        <w:ind w:firstLine="566" w:firstLineChars="202"/>
        <w:rPr>
          <w:rFonts w:ascii="宋体" w:hAnsi="宋体"/>
          <w:color w:val="auto"/>
          <w:sz w:val="28"/>
          <w:szCs w:val="28"/>
        </w:rPr>
      </w:pPr>
      <w:r>
        <w:rPr>
          <w:rFonts w:hint="eastAsia" w:ascii="宋体" w:hAnsi="宋体"/>
          <w:color w:val="auto"/>
          <w:sz w:val="28"/>
          <w:szCs w:val="28"/>
        </w:rPr>
        <w:t>符合性审查由评标委员会依据招标文件的规定，从投标文件的有效性、完整性和对招标文件的响应程度进行审查，以确定是否对招标文件的实质性要求作出响应。在投标文件符合性审查过程中，如果出现评标委员会成员意见不一致的情况，按照少数服从多数的原则确定，但不得违背政府采购基本原则和招标文件规定。</w:t>
      </w:r>
    </w:p>
    <w:p>
      <w:pPr>
        <w:tabs>
          <w:tab w:val="left" w:pos="851"/>
        </w:tabs>
        <w:spacing w:line="360" w:lineRule="auto"/>
        <w:ind w:firstLine="566" w:firstLineChars="202"/>
        <w:rPr>
          <w:rFonts w:ascii="宋体" w:hAnsi="宋体"/>
          <w:color w:val="auto"/>
          <w:sz w:val="28"/>
          <w:szCs w:val="28"/>
        </w:rPr>
      </w:pPr>
      <w:r>
        <w:rPr>
          <w:rFonts w:hint="eastAsia" w:ascii="宋体" w:hAnsi="宋体"/>
          <w:color w:val="auto"/>
          <w:sz w:val="28"/>
          <w:szCs w:val="28"/>
        </w:rPr>
        <w:t>符合性审查标准见下表（按以下顺序审查）：</w:t>
      </w:r>
    </w:p>
    <w:tbl>
      <w:tblPr>
        <w:tblStyle w:val="47"/>
        <w:tblW w:w="9173"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2143"/>
        <w:gridCol w:w="62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b/>
                <w:color w:val="auto"/>
                <w:sz w:val="24"/>
                <w:szCs w:val="28"/>
              </w:rPr>
            </w:pPr>
            <w:r>
              <w:rPr>
                <w:rFonts w:hint="eastAsia" w:ascii="宋体" w:hAnsi="宋体"/>
                <w:b/>
                <w:color w:val="auto"/>
                <w:sz w:val="24"/>
                <w:szCs w:val="28"/>
              </w:rPr>
              <w:t>序号</w:t>
            </w:r>
          </w:p>
        </w:tc>
        <w:tc>
          <w:tcPr>
            <w:tcW w:w="21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b/>
                <w:color w:val="auto"/>
                <w:sz w:val="24"/>
                <w:szCs w:val="28"/>
              </w:rPr>
            </w:pPr>
            <w:r>
              <w:rPr>
                <w:rFonts w:hint="eastAsia" w:ascii="宋体" w:hAnsi="宋体"/>
                <w:b/>
                <w:color w:val="auto"/>
                <w:sz w:val="24"/>
                <w:szCs w:val="28"/>
              </w:rPr>
              <w:t>符合性审查项</w:t>
            </w:r>
          </w:p>
        </w:tc>
        <w:tc>
          <w:tcPr>
            <w:tcW w:w="62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ind w:firstLine="487" w:firstLineChars="202"/>
              <w:rPr>
                <w:rFonts w:ascii="宋体" w:hAnsi="宋体"/>
                <w:color w:val="auto"/>
                <w:sz w:val="24"/>
                <w:szCs w:val="28"/>
              </w:rPr>
            </w:pPr>
            <w:r>
              <w:rPr>
                <w:rFonts w:hint="eastAsia" w:ascii="宋体" w:hAnsi="宋体"/>
                <w:b/>
                <w:color w:val="auto"/>
                <w:sz w:val="24"/>
                <w:szCs w:val="28"/>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auto"/>
                <w:sz w:val="24"/>
                <w:szCs w:val="28"/>
              </w:rPr>
            </w:pPr>
            <w:r>
              <w:rPr>
                <w:rFonts w:hint="eastAsia" w:ascii="宋体" w:hAnsi="宋体"/>
                <w:color w:val="auto"/>
                <w:sz w:val="24"/>
                <w:szCs w:val="28"/>
              </w:rPr>
              <w:t>1</w:t>
            </w:r>
          </w:p>
        </w:tc>
        <w:tc>
          <w:tcPr>
            <w:tcW w:w="21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rPr>
            </w:pPr>
            <w:r>
              <w:rPr>
                <w:rFonts w:hint="eastAsia" w:ascii="宋体" w:hAnsi="宋体"/>
                <w:color w:val="auto"/>
                <w:sz w:val="24"/>
                <w:szCs w:val="28"/>
              </w:rPr>
              <w:t>投标文件商务</w:t>
            </w:r>
            <w:r>
              <w:rPr>
                <w:rFonts w:ascii="宋体" w:hAnsi="宋体"/>
                <w:color w:val="auto"/>
                <w:sz w:val="24"/>
                <w:szCs w:val="28"/>
              </w:rPr>
              <w:t>技术响应文件</w:t>
            </w:r>
            <w:r>
              <w:rPr>
                <w:rFonts w:hint="eastAsia" w:ascii="宋体" w:hAnsi="宋体"/>
                <w:color w:val="auto"/>
                <w:sz w:val="24"/>
                <w:szCs w:val="28"/>
              </w:rPr>
              <w:t>、</w:t>
            </w:r>
            <w:r>
              <w:rPr>
                <w:rFonts w:ascii="宋体" w:hAnsi="宋体"/>
                <w:color w:val="auto"/>
                <w:sz w:val="24"/>
                <w:szCs w:val="28"/>
              </w:rPr>
              <w:t>报价要求响应文件</w:t>
            </w:r>
            <w:r>
              <w:rPr>
                <w:rFonts w:hint="eastAsia" w:ascii="宋体" w:hAnsi="宋体"/>
                <w:color w:val="auto"/>
                <w:sz w:val="24"/>
                <w:szCs w:val="28"/>
              </w:rPr>
              <w:t>组成</w:t>
            </w:r>
          </w:p>
        </w:tc>
        <w:tc>
          <w:tcPr>
            <w:tcW w:w="62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rPr>
            </w:pPr>
            <w:r>
              <w:rPr>
                <w:rFonts w:hint="eastAsia" w:ascii="宋体" w:hAnsi="宋体"/>
                <w:color w:val="auto"/>
                <w:sz w:val="24"/>
                <w:szCs w:val="28"/>
              </w:rPr>
              <w:t>符合招标文件“2.4.6投标文件的组成”规定要求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auto"/>
                <w:sz w:val="24"/>
                <w:szCs w:val="28"/>
              </w:rPr>
            </w:pPr>
            <w:r>
              <w:rPr>
                <w:rFonts w:ascii="宋体" w:hAnsi="宋体"/>
                <w:color w:val="auto"/>
                <w:sz w:val="24"/>
                <w:szCs w:val="28"/>
              </w:rPr>
              <w:t>2</w:t>
            </w:r>
          </w:p>
        </w:tc>
        <w:tc>
          <w:tcPr>
            <w:tcW w:w="21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rPr>
            </w:pPr>
            <w:r>
              <w:rPr>
                <w:rFonts w:hint="eastAsia" w:ascii="宋体" w:hAnsi="宋体"/>
                <w:color w:val="auto"/>
                <w:sz w:val="24"/>
                <w:szCs w:val="28"/>
              </w:rPr>
              <w:t>投标文件商务</w:t>
            </w:r>
            <w:r>
              <w:rPr>
                <w:rFonts w:ascii="宋体" w:hAnsi="宋体"/>
                <w:color w:val="auto"/>
                <w:sz w:val="24"/>
                <w:szCs w:val="28"/>
              </w:rPr>
              <w:t>技术响应文件</w:t>
            </w:r>
            <w:r>
              <w:rPr>
                <w:rFonts w:hint="eastAsia" w:ascii="宋体" w:hAnsi="宋体"/>
                <w:color w:val="auto"/>
                <w:sz w:val="24"/>
                <w:szCs w:val="28"/>
              </w:rPr>
              <w:t>、</w:t>
            </w:r>
            <w:r>
              <w:rPr>
                <w:rFonts w:ascii="宋体" w:hAnsi="宋体"/>
                <w:color w:val="auto"/>
                <w:sz w:val="24"/>
                <w:szCs w:val="28"/>
              </w:rPr>
              <w:t>报价要求响应文件</w:t>
            </w:r>
            <w:r>
              <w:rPr>
                <w:rFonts w:hint="eastAsia" w:ascii="宋体" w:hAnsi="宋体"/>
                <w:color w:val="auto"/>
                <w:sz w:val="24"/>
                <w:szCs w:val="28"/>
              </w:rPr>
              <w:t>的计量单位、语言、报价货币、投标有效期</w:t>
            </w:r>
          </w:p>
        </w:tc>
        <w:tc>
          <w:tcPr>
            <w:tcW w:w="62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rPr>
            </w:pPr>
            <w:r>
              <w:rPr>
                <w:rFonts w:hint="eastAsia" w:ascii="宋体" w:hAnsi="宋体"/>
                <w:color w:val="auto"/>
                <w:sz w:val="24"/>
                <w:szCs w:val="28"/>
              </w:rPr>
              <w:t>计量单位、语言、报价货币、投标有效期均符合招标文件的要求。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auto"/>
                <w:sz w:val="24"/>
                <w:szCs w:val="28"/>
              </w:rPr>
            </w:pPr>
            <w:r>
              <w:rPr>
                <w:rFonts w:ascii="宋体" w:hAnsi="宋体"/>
                <w:color w:val="auto"/>
                <w:sz w:val="24"/>
                <w:szCs w:val="28"/>
              </w:rPr>
              <w:t>3</w:t>
            </w:r>
          </w:p>
        </w:tc>
        <w:tc>
          <w:tcPr>
            <w:tcW w:w="21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rPr>
            </w:pPr>
            <w:r>
              <w:rPr>
                <w:rFonts w:hint="eastAsia" w:ascii="宋体" w:hAnsi="宋体"/>
                <w:color w:val="auto"/>
                <w:sz w:val="24"/>
                <w:szCs w:val="28"/>
              </w:rPr>
              <w:t>第4章打★号的技术、服务、商务和其他要求</w:t>
            </w:r>
          </w:p>
        </w:tc>
        <w:tc>
          <w:tcPr>
            <w:tcW w:w="62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rPr>
            </w:pPr>
            <w:r>
              <w:rPr>
                <w:rFonts w:hint="eastAsia" w:ascii="宋体" w:hAnsi="宋体"/>
                <w:color w:val="auto"/>
                <w:sz w:val="24"/>
                <w:szCs w:val="28"/>
              </w:rPr>
              <w:t>投标文件均实质性响应招标文件中加★号的技术、服务、商务和其他要求。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auto"/>
                <w:sz w:val="24"/>
                <w:szCs w:val="28"/>
              </w:rPr>
            </w:pPr>
            <w:r>
              <w:rPr>
                <w:rFonts w:ascii="宋体" w:hAnsi="宋体"/>
                <w:color w:val="auto"/>
                <w:sz w:val="24"/>
                <w:szCs w:val="28"/>
              </w:rPr>
              <w:t>4</w:t>
            </w:r>
          </w:p>
        </w:tc>
        <w:tc>
          <w:tcPr>
            <w:tcW w:w="21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rPr>
            </w:pPr>
            <w:r>
              <w:rPr>
                <w:rFonts w:hint="eastAsia" w:ascii="宋体" w:hAnsi="宋体"/>
                <w:color w:val="auto"/>
                <w:sz w:val="24"/>
                <w:szCs w:val="28"/>
              </w:rPr>
              <w:t>进口产品</w:t>
            </w:r>
          </w:p>
        </w:tc>
        <w:tc>
          <w:tcPr>
            <w:tcW w:w="62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rPr>
            </w:pPr>
            <w:r>
              <w:rPr>
                <w:rFonts w:hint="eastAsia" w:ascii="宋体" w:hAnsi="宋体"/>
                <w:color w:val="auto"/>
                <w:sz w:val="24"/>
                <w:szCs w:val="28"/>
              </w:rPr>
              <w:t>招标文件中未载明“允许采购进口产品”的产品，投标产品为国产产品。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auto"/>
                <w:sz w:val="24"/>
                <w:szCs w:val="28"/>
              </w:rPr>
            </w:pPr>
            <w:r>
              <w:rPr>
                <w:rFonts w:ascii="宋体" w:hAnsi="宋体"/>
                <w:color w:val="auto"/>
                <w:sz w:val="24"/>
                <w:szCs w:val="28"/>
              </w:rPr>
              <w:t>5</w:t>
            </w:r>
          </w:p>
        </w:tc>
        <w:tc>
          <w:tcPr>
            <w:tcW w:w="21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rPr>
            </w:pPr>
            <w:r>
              <w:rPr>
                <w:rFonts w:hint="eastAsia" w:ascii="宋体" w:hAnsi="宋体"/>
                <w:color w:val="auto"/>
                <w:sz w:val="24"/>
                <w:szCs w:val="28"/>
              </w:rPr>
              <w:t>不属于禁止参加投标或投标无效的供应商</w:t>
            </w:r>
          </w:p>
        </w:tc>
        <w:tc>
          <w:tcPr>
            <w:tcW w:w="62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rPr>
            </w:pPr>
            <w:r>
              <w:rPr>
                <w:rFonts w:hint="eastAsia" w:ascii="宋体" w:hAnsi="宋体"/>
                <w:color w:val="auto"/>
                <w:sz w:val="24"/>
                <w:szCs w:val="28"/>
              </w:rPr>
              <w:t>（1）根据招标文件的要求不属于禁止参加投标或投标无效的供应商；</w:t>
            </w:r>
          </w:p>
          <w:p>
            <w:pPr>
              <w:tabs>
                <w:tab w:val="left" w:pos="851"/>
              </w:tabs>
              <w:spacing w:line="360" w:lineRule="auto"/>
              <w:rPr>
                <w:rFonts w:ascii="宋体" w:hAnsi="宋体"/>
                <w:color w:val="auto"/>
                <w:sz w:val="24"/>
                <w:szCs w:val="28"/>
              </w:rPr>
            </w:pPr>
            <w:r>
              <w:rPr>
                <w:rFonts w:hint="eastAsia" w:ascii="宋体" w:hAnsi="宋体"/>
                <w:color w:val="auto"/>
                <w:sz w:val="24"/>
                <w:szCs w:val="28"/>
              </w:rPr>
              <w:t>（2）评标委员会未发现或者未知晓投标人存在属于国家相关法律法规规定的禁止参加投标或投标无效的供应商。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auto"/>
                <w:sz w:val="24"/>
                <w:szCs w:val="28"/>
              </w:rPr>
            </w:pPr>
            <w:r>
              <w:rPr>
                <w:rFonts w:ascii="宋体" w:hAnsi="宋体"/>
                <w:color w:val="auto"/>
                <w:sz w:val="24"/>
                <w:szCs w:val="28"/>
              </w:rPr>
              <w:t>6</w:t>
            </w:r>
          </w:p>
        </w:tc>
        <w:tc>
          <w:tcPr>
            <w:tcW w:w="21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rPr>
            </w:pPr>
            <w:r>
              <w:rPr>
                <w:rFonts w:hint="eastAsia" w:ascii="宋体" w:hAnsi="宋体"/>
                <w:color w:val="auto"/>
                <w:sz w:val="24"/>
                <w:szCs w:val="28"/>
              </w:rPr>
              <w:t>法定代表人身份证复印件或护照复印件</w:t>
            </w:r>
          </w:p>
        </w:tc>
        <w:tc>
          <w:tcPr>
            <w:tcW w:w="62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rPr>
            </w:pPr>
            <w:r>
              <w:rPr>
                <w:rFonts w:hint="eastAsia" w:ascii="宋体" w:hAnsi="宋体"/>
                <w:color w:val="auto"/>
                <w:sz w:val="24"/>
                <w:szCs w:val="28"/>
              </w:rPr>
              <w:t>身份证复印件或护照复印件【注：法定代表人身份证复印件（身份证两面均应复印，在有效期内）或护照复印件（法定代表人为外籍人士的，按此提供）。】。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auto"/>
                <w:sz w:val="24"/>
                <w:szCs w:val="28"/>
              </w:rPr>
            </w:pPr>
            <w:r>
              <w:rPr>
                <w:rFonts w:ascii="宋体" w:hAnsi="宋体"/>
                <w:color w:val="auto"/>
                <w:sz w:val="24"/>
                <w:szCs w:val="28"/>
              </w:rPr>
              <w:t>7</w:t>
            </w:r>
          </w:p>
        </w:tc>
        <w:tc>
          <w:tcPr>
            <w:tcW w:w="21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rPr>
            </w:pPr>
            <w:r>
              <w:rPr>
                <w:rFonts w:hint="eastAsia" w:ascii="宋体" w:hAnsi="宋体"/>
                <w:color w:val="auto"/>
                <w:sz w:val="24"/>
                <w:szCs w:val="28"/>
              </w:rPr>
              <w:t>除资格性审查要求的证明材料外，招标文件要求提供的其他证明材料</w:t>
            </w:r>
          </w:p>
        </w:tc>
        <w:tc>
          <w:tcPr>
            <w:tcW w:w="6219" w:type="dxa"/>
            <w:tcBorders>
              <w:top w:val="single" w:color="auto" w:sz="2" w:space="0"/>
              <w:left w:val="single" w:color="auto" w:sz="2" w:space="0"/>
              <w:bottom w:val="single" w:color="auto" w:sz="2" w:space="0"/>
              <w:right w:val="single" w:color="auto" w:sz="2" w:space="0"/>
            </w:tcBorders>
            <w:vAlign w:val="center"/>
          </w:tcPr>
          <w:p>
            <w:pPr>
              <w:spacing w:line="360" w:lineRule="auto"/>
              <w:ind w:left="34"/>
              <w:rPr>
                <w:rFonts w:hint="eastAsia" w:ascii="宋体" w:hAnsi="宋体" w:cs="宋体"/>
                <w:color w:val="auto"/>
                <w:kern w:val="0"/>
                <w:szCs w:val="21"/>
              </w:rPr>
            </w:pPr>
            <w:r>
              <w:rPr>
                <w:rFonts w:hint="eastAsia" w:ascii="宋体" w:hAnsi="宋体" w:cs="宋体"/>
                <w:color w:val="auto"/>
                <w:kern w:val="0"/>
                <w:szCs w:val="21"/>
              </w:rPr>
              <w:t>承诺函原件【注：①按3.3</w:t>
            </w:r>
            <w:r>
              <w:rPr>
                <w:rFonts w:hint="eastAsia" w:ascii="宋体" w:hAnsi="宋体" w:cs="宋体"/>
                <w:color w:val="auto"/>
                <w:kern w:val="0"/>
                <w:szCs w:val="21"/>
                <w:lang w:val="en-US" w:eastAsia="zh-CN"/>
              </w:rPr>
              <w:t>.6</w:t>
            </w:r>
            <w:r>
              <w:rPr>
                <w:rFonts w:hint="eastAsia" w:ascii="宋体" w:hAnsi="宋体" w:cs="宋体"/>
                <w:color w:val="auto"/>
                <w:kern w:val="0"/>
                <w:szCs w:val="21"/>
              </w:rPr>
              <w:t>的格式及要求提供加盖投标人</w:t>
            </w:r>
            <w:r>
              <w:rPr>
                <w:rFonts w:hint="eastAsia" w:ascii="宋体" w:hAnsi="宋体" w:cs="宋体"/>
                <w:color w:val="auto"/>
                <w:kern w:val="0"/>
                <w:szCs w:val="21"/>
                <w:lang w:eastAsia="zh-CN"/>
              </w:rPr>
              <w:t>电子章</w:t>
            </w:r>
            <w:r>
              <w:rPr>
                <w:rFonts w:hint="eastAsia" w:ascii="宋体" w:hAnsi="宋体" w:cs="宋体"/>
                <w:color w:val="auto"/>
                <w:kern w:val="0"/>
                <w:szCs w:val="21"/>
              </w:rPr>
              <w:t>的承诺函原件；②承诺的内容满足招标文件的要求。】。</w:t>
            </w:r>
          </w:p>
          <w:p>
            <w:pPr>
              <w:tabs>
                <w:tab w:val="left" w:pos="851"/>
              </w:tabs>
              <w:spacing w:line="360" w:lineRule="auto"/>
              <w:rPr>
                <w:color w:val="auto"/>
                <w:sz w:val="24"/>
              </w:rPr>
            </w:pPr>
            <w:r>
              <w:rPr>
                <w:rFonts w:hint="eastAsia" w:ascii="宋体" w:hAnsi="宋体" w:cs="宋体"/>
                <w:color w:val="auto"/>
                <w:kern w:val="0"/>
                <w:szCs w:val="21"/>
              </w:rPr>
              <w:t>2.本项目中设备如属于政府强制采购节能产品，则应提供该设备的节能产品认证证书的复印件，【说明：投标产品具有国家确定的认证机构出具的有效期内的节能产品认证证书。】。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auto"/>
                <w:sz w:val="24"/>
                <w:szCs w:val="28"/>
              </w:rPr>
            </w:pPr>
            <w:r>
              <w:rPr>
                <w:rFonts w:ascii="宋体" w:hAnsi="宋体"/>
                <w:color w:val="auto"/>
                <w:sz w:val="24"/>
                <w:szCs w:val="28"/>
              </w:rPr>
              <w:t>8</w:t>
            </w:r>
          </w:p>
        </w:tc>
        <w:tc>
          <w:tcPr>
            <w:tcW w:w="21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rPr>
            </w:pPr>
            <w:r>
              <w:rPr>
                <w:rFonts w:hint="eastAsia" w:ascii="宋体" w:hAnsi="宋体"/>
                <w:color w:val="auto"/>
                <w:sz w:val="24"/>
                <w:szCs w:val="28"/>
              </w:rPr>
              <w:t>投标报价</w:t>
            </w:r>
          </w:p>
        </w:tc>
        <w:tc>
          <w:tcPr>
            <w:tcW w:w="62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4"/>
              </w:rPr>
            </w:pPr>
            <w:r>
              <w:rPr>
                <w:rFonts w:hint="eastAsia" w:ascii="宋体" w:hAnsi="宋体"/>
                <w:color w:val="auto"/>
                <w:sz w:val="24"/>
                <w:szCs w:val="28"/>
              </w:rPr>
              <w:t>开标一览表、</w:t>
            </w:r>
            <w:r>
              <w:rPr>
                <w:rFonts w:ascii="宋体" w:hAnsi="宋体"/>
                <w:color w:val="auto"/>
                <w:sz w:val="24"/>
                <w:szCs w:val="28"/>
              </w:rPr>
              <w:t>投标文件</w:t>
            </w:r>
            <w:r>
              <w:rPr>
                <w:rFonts w:hint="eastAsia" w:ascii="宋体" w:hAnsi="宋体"/>
                <w:color w:val="auto"/>
                <w:sz w:val="24"/>
                <w:szCs w:val="28"/>
              </w:rPr>
              <w:t>【注：（1）投标报价唯一（说明：投标报价出现下列情况的，按以下原则处理，并以修正后的价格作为投标人的投标报价：①投标文件中的大写金额和小写金额不一致的，以大写金额为准，但大写金额出现文字错误，导致金额无法判断的除外；</w:t>
            </w:r>
            <w:r>
              <w:rPr>
                <w:rFonts w:hint="eastAsia" w:ascii="宋体" w:hAnsi="宋体" w:cs="宋体"/>
                <w:color w:val="auto"/>
                <w:sz w:val="24"/>
                <w:szCs w:val="28"/>
              </w:rPr>
              <w:t>②</w:t>
            </w:r>
            <w:r>
              <w:rPr>
                <w:rFonts w:hint="eastAsia" w:ascii="宋体" w:hAnsi="宋体"/>
                <w:color w:val="auto"/>
                <w:sz w:val="24"/>
                <w:szCs w:val="28"/>
              </w:rPr>
              <w:t>单价金额小数点或者百分比有明显错位的，以总价为准，并修改单价；</w:t>
            </w:r>
            <w:r>
              <w:rPr>
                <w:rFonts w:hint="eastAsia" w:ascii="宋体" w:hAnsi="宋体" w:cs="宋体"/>
                <w:color w:val="auto"/>
                <w:sz w:val="24"/>
                <w:szCs w:val="28"/>
              </w:rPr>
              <w:t>③</w:t>
            </w:r>
            <w:r>
              <w:rPr>
                <w:rFonts w:hint="eastAsia" w:ascii="宋体" w:hAnsi="宋体"/>
                <w:color w:val="auto"/>
                <w:sz w:val="24"/>
                <w:szCs w:val="28"/>
              </w:rPr>
              <w:t>总价金额与按单价汇总金额不一致的，以单价金额计算结果为准；同时出现两种以上不一致的，按照前款规定的顺序修正。修正后的报价经投标人以书面形式通过政府采购云平台进行确认，并加盖投标人（法定名称）电子签章，投标人逾时确认的，其投标无效。（2）未超过招标文件规定的最高限价；（3）投标报价应包含本次招标要求的所有货物及服务的费用；（4）在评标过程中，评标委员会认为投标人投标报价明显低于其他通过符合性审查投标人的投标报价，有可能影响产品质量或者不能诚信履约的，评标委员会应当要求其在合理的时间内提供书面说明，必要时提交相关证明材料。（说明：①书面说明、相关证明材料（如涉及）加盖投标人（法定名称）章（电子签章），在评标委员会要求的时间内通过政府采购云平台进行递交；②投标人提供了书面说明、相关证明材料（如涉及），且能证明其投标报价合理性）。（</w:t>
            </w:r>
            <w:r>
              <w:rPr>
                <w:rFonts w:ascii="宋体" w:hAnsi="宋体"/>
                <w:color w:val="auto"/>
                <w:sz w:val="24"/>
                <w:szCs w:val="28"/>
              </w:rPr>
              <w:t>5）如因断电、断网、系统故障或其他不可抗力等因素，导致系统无法使用的，由投标人按评标委员会的要求进行澄清或者说明</w:t>
            </w:r>
            <w:r>
              <w:rPr>
                <w:rFonts w:hint="eastAsia" w:ascii="宋体" w:hAnsi="宋体"/>
                <w:color w:val="auto"/>
                <w:sz w:val="24"/>
                <w:szCs w:val="28"/>
              </w:rPr>
              <w:t>。】</w:t>
            </w:r>
          </w:p>
        </w:tc>
      </w:tr>
    </w:tbl>
    <w:p>
      <w:pPr>
        <w:tabs>
          <w:tab w:val="left" w:pos="851"/>
        </w:tabs>
        <w:spacing w:line="360" w:lineRule="auto"/>
        <w:ind w:firstLine="560" w:firstLineChars="200"/>
        <w:rPr>
          <w:rFonts w:ascii="宋体" w:hAnsi="宋体"/>
          <w:color w:val="auto"/>
          <w:sz w:val="28"/>
          <w:szCs w:val="28"/>
        </w:rPr>
      </w:pPr>
      <w:r>
        <w:rPr>
          <w:rFonts w:hint="eastAsia" w:ascii="宋体" w:hAnsi="宋体"/>
          <w:color w:val="auto"/>
          <w:sz w:val="28"/>
          <w:szCs w:val="28"/>
        </w:rPr>
        <w:t>一、以上每一项结论均为“通过”的，则投标人的投标文件通过符合性审查；如有任意一项结论为“不通过”的，则投标人的投标文件按无效投标文件处理。如果评标委员会认为投标人有任意一项不通过的，应在符合性审查报告中载明不通过的具体原因。</w:t>
      </w:r>
    </w:p>
    <w:p>
      <w:pPr>
        <w:tabs>
          <w:tab w:val="left" w:pos="851"/>
        </w:tabs>
        <w:spacing w:line="360" w:lineRule="auto"/>
        <w:ind w:firstLine="566" w:firstLineChars="202"/>
        <w:rPr>
          <w:rFonts w:ascii="宋体" w:hAnsi="宋体"/>
          <w:color w:val="auto"/>
          <w:sz w:val="28"/>
          <w:szCs w:val="28"/>
        </w:rPr>
      </w:pPr>
      <w:r>
        <w:rPr>
          <w:rFonts w:hint="eastAsia" w:ascii="宋体" w:hAnsi="宋体"/>
          <w:color w:val="auto"/>
          <w:sz w:val="28"/>
          <w:szCs w:val="28"/>
        </w:rPr>
        <w:t>二、投标人的投标文件符合性审查时被判定为无效投标文件的，</w:t>
      </w:r>
      <w:r>
        <w:rPr>
          <w:rFonts w:hint="eastAsia" w:ascii="宋体" w:hAnsi="宋体"/>
          <w:color w:val="auto"/>
          <w:sz w:val="28"/>
          <w:szCs w:val="28"/>
          <w:lang w:eastAsia="zh-CN"/>
        </w:rPr>
        <w:t>区采购中心</w:t>
      </w:r>
      <w:r>
        <w:rPr>
          <w:rFonts w:hint="eastAsia" w:ascii="宋体" w:hAnsi="宋体"/>
          <w:color w:val="auto"/>
          <w:sz w:val="28"/>
          <w:szCs w:val="28"/>
        </w:rPr>
        <w:t>将通知投标人（以短信、现场公示、电话、 “政府采购云平台”等任一方式）。投标人如对评审结论有异议的，应及时向</w:t>
      </w:r>
      <w:r>
        <w:rPr>
          <w:rFonts w:hint="eastAsia" w:ascii="宋体" w:hAnsi="宋体"/>
          <w:color w:val="auto"/>
          <w:sz w:val="28"/>
          <w:szCs w:val="28"/>
          <w:lang w:eastAsia="zh-CN"/>
        </w:rPr>
        <w:t>区采购中心</w:t>
      </w:r>
      <w:r>
        <w:rPr>
          <w:rFonts w:hint="eastAsia" w:ascii="宋体" w:hAnsi="宋体"/>
          <w:color w:val="auto"/>
          <w:sz w:val="28"/>
          <w:szCs w:val="28"/>
        </w:rPr>
        <w:t>反馈意见。</w:t>
      </w:r>
      <w:r>
        <w:rPr>
          <w:rFonts w:hint="eastAsia" w:ascii="宋体" w:hAnsi="宋体"/>
          <w:color w:val="auto"/>
          <w:sz w:val="28"/>
          <w:szCs w:val="28"/>
          <w:lang w:eastAsia="zh-CN"/>
        </w:rPr>
        <w:t>区采购中心</w:t>
      </w:r>
      <w:r>
        <w:rPr>
          <w:rFonts w:hint="eastAsia" w:ascii="宋体" w:hAnsi="宋体"/>
          <w:color w:val="auto"/>
          <w:sz w:val="28"/>
          <w:szCs w:val="28"/>
        </w:rPr>
        <w:t>在评审结束前将收到的反馈意见及时告知评标委员会。（说明：无论投标人是否收到通知或提供反馈意见，均不影响评标委员会的评标工作，且</w:t>
      </w:r>
      <w:r>
        <w:rPr>
          <w:rFonts w:hint="eastAsia" w:ascii="宋体" w:hAnsi="宋体"/>
          <w:color w:val="auto"/>
          <w:sz w:val="28"/>
          <w:szCs w:val="28"/>
          <w:lang w:eastAsia="zh-CN"/>
        </w:rPr>
        <w:t>区采购中心</w:t>
      </w:r>
      <w:r>
        <w:rPr>
          <w:rFonts w:hint="eastAsia" w:ascii="宋体" w:hAnsi="宋体"/>
          <w:color w:val="auto"/>
          <w:sz w:val="28"/>
          <w:szCs w:val="28"/>
        </w:rPr>
        <w:t>对此将不承担任何的责任。投标人对评审结论有异议的，其反馈意见仅限于评标委员会对评审结论的正确性进行复核，避免出现评审错误。）</w:t>
      </w:r>
    </w:p>
    <w:p>
      <w:pPr>
        <w:tabs>
          <w:tab w:val="left" w:pos="851"/>
        </w:tabs>
        <w:spacing w:line="360" w:lineRule="auto"/>
        <w:ind w:firstLine="566" w:firstLineChars="202"/>
        <w:rPr>
          <w:rFonts w:ascii="宋体" w:hAnsi="宋体"/>
          <w:color w:val="auto"/>
          <w:sz w:val="28"/>
          <w:szCs w:val="28"/>
        </w:rPr>
      </w:pPr>
      <w:r>
        <w:rPr>
          <w:rFonts w:hint="eastAsia" w:ascii="宋体" w:hAnsi="宋体"/>
          <w:color w:val="auto"/>
          <w:sz w:val="28"/>
          <w:szCs w:val="28"/>
        </w:rPr>
        <w:t>三、通过符合性审查的供应商＜3名，本项目采购失败。</w:t>
      </w:r>
    </w:p>
    <w:p>
      <w:pPr>
        <w:keepNext/>
        <w:keepLines/>
        <w:numPr>
          <w:ilvl w:val="2"/>
          <w:numId w:val="5"/>
        </w:numPr>
        <w:spacing w:line="360" w:lineRule="auto"/>
        <w:ind w:left="0" w:firstLine="0"/>
        <w:outlineLvl w:val="2"/>
        <w:rPr>
          <w:rFonts w:ascii="宋体" w:hAnsi="宋体"/>
          <w:b/>
          <w:bCs/>
          <w:color w:val="auto"/>
          <w:sz w:val="28"/>
          <w:szCs w:val="28"/>
        </w:rPr>
      </w:pPr>
      <w:r>
        <w:rPr>
          <w:rFonts w:hint="eastAsia" w:ascii="宋体" w:hAnsi="宋体"/>
          <w:b/>
          <w:bCs/>
          <w:color w:val="auto"/>
          <w:sz w:val="28"/>
          <w:szCs w:val="28"/>
        </w:rPr>
        <w:t>解释、澄清有关问题</w:t>
      </w:r>
    </w:p>
    <w:p>
      <w:pPr>
        <w:numPr>
          <w:ilvl w:val="0"/>
          <w:numId w:val="45"/>
        </w:numPr>
        <w:tabs>
          <w:tab w:val="left" w:pos="1134"/>
        </w:tabs>
        <w:spacing w:line="360" w:lineRule="auto"/>
        <w:ind w:left="0" w:firstLine="525"/>
        <w:rPr>
          <w:rFonts w:ascii="宋体" w:hAnsi="宋体"/>
          <w:color w:val="auto"/>
          <w:sz w:val="28"/>
          <w:szCs w:val="28"/>
        </w:rPr>
      </w:pPr>
      <w:r>
        <w:rPr>
          <w:rFonts w:hint="eastAsia" w:ascii="宋体" w:hAnsi="宋体"/>
          <w:color w:val="auto"/>
          <w:sz w:val="28"/>
          <w:szCs w:val="28"/>
        </w:rPr>
        <w:t>评标过程中，评标委员会认为招标文件有关事项表述不明确或需要说明的，可以提请</w:t>
      </w:r>
      <w:r>
        <w:rPr>
          <w:rFonts w:hint="eastAsia" w:ascii="宋体" w:hAnsi="宋体"/>
          <w:color w:val="auto"/>
          <w:sz w:val="28"/>
          <w:szCs w:val="28"/>
          <w:lang w:eastAsia="zh-CN"/>
        </w:rPr>
        <w:t>区采购中心</w:t>
      </w:r>
      <w:r>
        <w:rPr>
          <w:rFonts w:hint="eastAsia" w:ascii="宋体" w:hAnsi="宋体"/>
          <w:color w:val="auto"/>
          <w:sz w:val="28"/>
          <w:szCs w:val="28"/>
        </w:rPr>
        <w:t>书面解释。</w:t>
      </w:r>
      <w:r>
        <w:rPr>
          <w:rFonts w:hint="eastAsia" w:ascii="宋体" w:hAnsi="宋体"/>
          <w:color w:val="auto"/>
          <w:sz w:val="28"/>
          <w:szCs w:val="28"/>
          <w:lang w:eastAsia="zh-CN"/>
        </w:rPr>
        <w:t>区采购中心</w:t>
      </w:r>
      <w:r>
        <w:rPr>
          <w:rFonts w:hint="eastAsia" w:ascii="宋体" w:hAnsi="宋体"/>
          <w:color w:val="auto"/>
          <w:sz w:val="28"/>
          <w:szCs w:val="28"/>
        </w:rPr>
        <w:t>的解释不得改变招标文件的原义或者影响公平、公正，解释事项如果涉及投标人权益的以有利于投标人的原则进行解释。</w:t>
      </w:r>
    </w:p>
    <w:p>
      <w:pPr>
        <w:numPr>
          <w:ilvl w:val="0"/>
          <w:numId w:val="45"/>
        </w:numPr>
        <w:tabs>
          <w:tab w:val="left" w:pos="1134"/>
        </w:tabs>
        <w:spacing w:after="200" w:line="560" w:lineRule="exact"/>
        <w:ind w:left="0" w:firstLine="525"/>
        <w:rPr>
          <w:rFonts w:ascii="宋体" w:hAnsi="宋体"/>
          <w:color w:val="auto"/>
          <w:sz w:val="28"/>
          <w:szCs w:val="28"/>
        </w:rPr>
      </w:pPr>
      <w:r>
        <w:rPr>
          <w:rFonts w:hint="eastAsia" w:ascii="宋体" w:hAnsi="宋体"/>
          <w:color w:val="auto"/>
          <w:sz w:val="28"/>
          <w:szCs w:val="28"/>
        </w:rPr>
        <w:t>对投标文件中含义不明确、同类问题表述不一致或者有明显文字和计算错误的内容，评标委员会应当要求投标人作出必要的澄清、说明或补正，并给予投标人必要的反馈时间。投标人应当按评标委员会的要求进行澄清、说明或者补正。投标人的澄清、说明或者补正不得超出投标文件的范围或者改变投标文件的实质性内容。澄清不影响投标文件的效力，有效的澄清材料，是投标文件的组成部分。</w:t>
      </w:r>
    </w:p>
    <w:p>
      <w:pPr>
        <w:numPr>
          <w:ilvl w:val="0"/>
          <w:numId w:val="45"/>
        </w:numPr>
        <w:tabs>
          <w:tab w:val="left" w:pos="1134"/>
        </w:tabs>
        <w:spacing w:line="360" w:lineRule="auto"/>
        <w:ind w:left="0" w:firstLine="525"/>
        <w:rPr>
          <w:rFonts w:ascii="宋体" w:hAnsi="宋体"/>
          <w:color w:val="auto"/>
          <w:sz w:val="28"/>
          <w:szCs w:val="28"/>
        </w:rPr>
      </w:pPr>
      <w:r>
        <w:rPr>
          <w:rFonts w:hint="eastAsia" w:ascii="宋体" w:hAnsi="宋体"/>
          <w:color w:val="auto"/>
          <w:sz w:val="28"/>
          <w:szCs w:val="28"/>
        </w:rPr>
        <w:t>澄清应当不超出投标文件的范围、不实质性改变投标文件的内容、不影响投标人的公平竞争、不导致投标文件从不响应招标文件变为响应招标文件的条件。下列内容不得澄清：</w:t>
      </w:r>
    </w:p>
    <w:p>
      <w:pPr>
        <w:numPr>
          <w:ilvl w:val="0"/>
          <w:numId w:val="46"/>
        </w:numPr>
        <w:tabs>
          <w:tab w:val="left" w:pos="1260"/>
          <w:tab w:val="clear" w:pos="846"/>
        </w:tabs>
        <w:spacing w:line="360" w:lineRule="auto"/>
        <w:ind w:left="0" w:firstLine="525"/>
        <w:rPr>
          <w:rFonts w:ascii="宋体" w:hAnsi="宋体" w:cstheme="minorBidi"/>
          <w:color w:val="auto"/>
          <w:sz w:val="28"/>
          <w:szCs w:val="28"/>
        </w:rPr>
      </w:pPr>
      <w:r>
        <w:rPr>
          <w:rFonts w:hint="eastAsia" w:ascii="宋体" w:hAnsi="宋体" w:cstheme="minorBidi"/>
          <w:color w:val="auto"/>
          <w:sz w:val="28"/>
          <w:szCs w:val="28"/>
        </w:rPr>
        <w:t>投标人投标文件中不响应招标文件规定的技术参数指标和商务应答；</w:t>
      </w:r>
    </w:p>
    <w:p>
      <w:pPr>
        <w:numPr>
          <w:ilvl w:val="0"/>
          <w:numId w:val="46"/>
        </w:numPr>
        <w:tabs>
          <w:tab w:val="left" w:pos="1260"/>
        </w:tabs>
        <w:spacing w:line="360" w:lineRule="auto"/>
        <w:ind w:left="0" w:firstLine="525"/>
        <w:rPr>
          <w:rFonts w:ascii="宋体" w:hAnsi="宋体" w:cstheme="minorBidi"/>
          <w:color w:val="auto"/>
          <w:sz w:val="28"/>
          <w:szCs w:val="28"/>
        </w:rPr>
      </w:pPr>
      <w:r>
        <w:rPr>
          <w:rFonts w:hint="eastAsia" w:ascii="宋体" w:hAnsi="宋体" w:cstheme="minorBidi"/>
          <w:color w:val="auto"/>
          <w:sz w:val="28"/>
          <w:szCs w:val="28"/>
        </w:rPr>
        <w:t>投标人投标文件中未提供的证明其是否符合招标文件资格性、符合性规定要求的相关材料。</w:t>
      </w:r>
    </w:p>
    <w:p>
      <w:pPr>
        <w:numPr>
          <w:ilvl w:val="0"/>
          <w:numId w:val="46"/>
        </w:numPr>
        <w:tabs>
          <w:tab w:val="left" w:pos="993"/>
          <w:tab w:val="left" w:pos="1260"/>
          <w:tab w:val="clear" w:pos="846"/>
        </w:tabs>
        <w:spacing w:line="360" w:lineRule="auto"/>
        <w:ind w:left="0" w:firstLine="525"/>
        <w:rPr>
          <w:rFonts w:ascii="宋体" w:hAnsi="宋体" w:cstheme="minorBidi"/>
          <w:color w:val="auto"/>
          <w:sz w:val="28"/>
          <w:szCs w:val="28"/>
        </w:rPr>
      </w:pPr>
      <w:r>
        <w:rPr>
          <w:rFonts w:hint="eastAsia" w:ascii="宋体" w:hAnsi="宋体" w:cstheme="minorBidi"/>
          <w:color w:val="auto"/>
          <w:sz w:val="28"/>
          <w:szCs w:val="28"/>
        </w:rPr>
        <w:t>投标人投标文件中的材料因印刷、影印等不清晰而难以辨认的。</w:t>
      </w:r>
    </w:p>
    <w:p>
      <w:pPr>
        <w:numPr>
          <w:ilvl w:val="0"/>
          <w:numId w:val="45"/>
        </w:numPr>
        <w:tabs>
          <w:tab w:val="left" w:pos="1134"/>
        </w:tabs>
        <w:spacing w:line="360" w:lineRule="auto"/>
        <w:ind w:left="0" w:firstLine="525"/>
        <w:rPr>
          <w:rFonts w:ascii="宋体" w:hAnsi="宋体"/>
          <w:color w:val="auto"/>
          <w:sz w:val="28"/>
          <w:szCs w:val="28"/>
        </w:rPr>
      </w:pPr>
      <w:r>
        <w:rPr>
          <w:rFonts w:hint="eastAsia" w:ascii="宋体" w:hAnsi="宋体"/>
          <w:color w:val="auto"/>
          <w:sz w:val="28"/>
          <w:szCs w:val="28"/>
        </w:rPr>
        <w:t>投标文件报价出现下列情况的，不需要投标人澄清，按以下原则处理：</w:t>
      </w:r>
    </w:p>
    <w:p>
      <w:pPr>
        <w:tabs>
          <w:tab w:val="left" w:pos="1134"/>
        </w:tabs>
        <w:spacing w:line="360" w:lineRule="auto"/>
        <w:ind w:firstLine="560" w:firstLineChars="200"/>
        <w:rPr>
          <w:rFonts w:ascii="宋体" w:hAnsi="宋体"/>
          <w:color w:val="auto"/>
          <w:sz w:val="28"/>
          <w:szCs w:val="28"/>
        </w:rPr>
      </w:pPr>
      <w:r>
        <w:rPr>
          <w:rFonts w:hint="eastAsia" w:ascii="宋体" w:hAnsi="宋体"/>
          <w:color w:val="auto"/>
          <w:sz w:val="28"/>
          <w:szCs w:val="28"/>
        </w:rPr>
        <w:t>（二）大写金额和小写金额不一致的，以大写金额为准，但大写金额出现文字错误，导致金额无法判断的除外；</w:t>
      </w:r>
    </w:p>
    <w:p>
      <w:pPr>
        <w:tabs>
          <w:tab w:val="left" w:pos="1134"/>
        </w:tabs>
        <w:spacing w:line="360" w:lineRule="auto"/>
        <w:ind w:firstLine="560" w:firstLineChars="200"/>
        <w:rPr>
          <w:rFonts w:ascii="宋体" w:hAnsi="宋体"/>
          <w:color w:val="auto"/>
          <w:sz w:val="28"/>
          <w:szCs w:val="28"/>
        </w:rPr>
      </w:pPr>
      <w:r>
        <w:rPr>
          <w:rFonts w:hint="eastAsia" w:ascii="宋体" w:hAnsi="宋体"/>
          <w:color w:val="auto"/>
          <w:sz w:val="28"/>
          <w:szCs w:val="28"/>
        </w:rPr>
        <w:t>（三）单价金额小数点或者百分比有明显错位的，以总价为准，并修改单价；</w:t>
      </w:r>
    </w:p>
    <w:p>
      <w:pPr>
        <w:tabs>
          <w:tab w:val="left" w:pos="1134"/>
        </w:tabs>
        <w:spacing w:line="360" w:lineRule="auto"/>
        <w:ind w:firstLine="560" w:firstLineChars="200"/>
        <w:rPr>
          <w:rFonts w:ascii="宋体" w:hAnsi="宋体"/>
          <w:color w:val="auto"/>
          <w:sz w:val="28"/>
          <w:szCs w:val="28"/>
        </w:rPr>
      </w:pPr>
      <w:r>
        <w:rPr>
          <w:rFonts w:hint="eastAsia" w:ascii="宋体" w:hAnsi="宋体"/>
          <w:color w:val="auto"/>
          <w:sz w:val="28"/>
          <w:szCs w:val="28"/>
        </w:rPr>
        <w:t>（四）总价金额与按单价汇总金额不一致的，以单价金额计算结果为准。</w:t>
      </w:r>
    </w:p>
    <w:p>
      <w:pPr>
        <w:spacing w:line="360" w:lineRule="auto"/>
        <w:ind w:firstLine="561"/>
        <w:rPr>
          <w:color w:val="auto"/>
          <w:sz w:val="28"/>
          <w:szCs w:val="28"/>
        </w:rPr>
      </w:pPr>
      <w:r>
        <w:rPr>
          <w:rFonts w:hint="eastAsia"/>
          <w:color w:val="auto"/>
          <w:sz w:val="28"/>
          <w:szCs w:val="28"/>
        </w:rPr>
        <w:t>同时出现两种以上不一致的，按照前款规定的顺序修正。修正后的报价经投标人确认后产生约束力，投标人不确认的，其投标无效。</w:t>
      </w:r>
    </w:p>
    <w:p>
      <w:pPr>
        <w:tabs>
          <w:tab w:val="left" w:pos="720"/>
        </w:tabs>
        <w:spacing w:line="360" w:lineRule="auto"/>
        <w:ind w:firstLine="561"/>
        <w:rPr>
          <w:color w:val="auto"/>
          <w:sz w:val="28"/>
          <w:szCs w:val="28"/>
        </w:rPr>
      </w:pPr>
      <w:r>
        <w:rPr>
          <w:rFonts w:hint="eastAsia"/>
          <w:color w:val="auto"/>
          <w:sz w:val="28"/>
          <w:szCs w:val="28"/>
        </w:rPr>
        <w:t>五、对不同语言文本投标文件的解释发生异议的，以中文文本为准。</w:t>
      </w:r>
    </w:p>
    <w:p>
      <w:pPr>
        <w:tabs>
          <w:tab w:val="left" w:pos="720"/>
        </w:tabs>
        <w:spacing w:line="560" w:lineRule="exact"/>
        <w:ind w:firstLine="560" w:firstLineChars="200"/>
        <w:rPr>
          <w:color w:val="auto"/>
          <w:sz w:val="28"/>
          <w:szCs w:val="28"/>
        </w:rPr>
      </w:pPr>
      <w:r>
        <w:rPr>
          <w:rFonts w:hint="eastAsia"/>
          <w:color w:val="auto"/>
          <w:sz w:val="28"/>
          <w:szCs w:val="28"/>
        </w:rPr>
        <w:t>六、评标结束之前，投标人应随时关注系统提示，及时通过“政府采购云平台”在线响应评标委员会发出的澄清、说明或补正要求，签章并确认提交成功。逾时回复将不能提交，视为投标人自行放弃，其损失由投标人承担。</w:t>
      </w:r>
    </w:p>
    <w:p>
      <w:pPr>
        <w:tabs>
          <w:tab w:val="left" w:pos="851"/>
        </w:tabs>
        <w:spacing w:line="360" w:lineRule="auto"/>
        <w:ind w:firstLine="568" w:firstLineChars="202"/>
        <w:rPr>
          <w:rFonts w:ascii="宋体" w:hAnsi="宋体"/>
          <w:b/>
          <w:color w:val="auto"/>
          <w:sz w:val="28"/>
          <w:szCs w:val="28"/>
        </w:rPr>
      </w:pPr>
      <w:r>
        <w:rPr>
          <w:rFonts w:hint="eastAsia" w:ascii="宋体" w:hAnsi="宋体"/>
          <w:b/>
          <w:color w:val="auto"/>
          <w:sz w:val="28"/>
          <w:szCs w:val="28"/>
        </w:rPr>
        <w:t>评标委员会应当积极履行澄清、说明或者更正的职责，不得滥用权力。</w:t>
      </w:r>
    </w:p>
    <w:p>
      <w:pPr>
        <w:keepNext/>
        <w:keepLines/>
        <w:numPr>
          <w:ilvl w:val="2"/>
          <w:numId w:val="5"/>
        </w:numPr>
        <w:spacing w:line="360" w:lineRule="auto"/>
        <w:ind w:left="0" w:firstLine="0"/>
        <w:outlineLvl w:val="2"/>
        <w:rPr>
          <w:rFonts w:ascii="宋体" w:hAnsi="宋体"/>
          <w:b/>
          <w:bCs/>
          <w:color w:val="auto"/>
          <w:sz w:val="28"/>
          <w:szCs w:val="28"/>
        </w:rPr>
      </w:pPr>
      <w:r>
        <w:rPr>
          <w:rFonts w:hint="eastAsia" w:ascii="宋体" w:hAnsi="宋体"/>
          <w:b/>
          <w:bCs/>
          <w:color w:val="auto"/>
          <w:sz w:val="28"/>
          <w:szCs w:val="28"/>
        </w:rPr>
        <w:t>比较与评价</w:t>
      </w:r>
    </w:p>
    <w:p>
      <w:pPr>
        <w:tabs>
          <w:tab w:val="left" w:pos="851"/>
        </w:tabs>
        <w:spacing w:line="360" w:lineRule="auto"/>
        <w:ind w:firstLine="566" w:firstLineChars="202"/>
        <w:rPr>
          <w:rFonts w:ascii="宋体" w:hAnsi="宋体"/>
          <w:color w:val="auto"/>
          <w:sz w:val="28"/>
          <w:szCs w:val="28"/>
        </w:rPr>
      </w:pPr>
      <w:r>
        <w:rPr>
          <w:rFonts w:hint="eastAsia" w:ascii="宋体" w:hAnsi="宋体"/>
          <w:color w:val="auto"/>
          <w:sz w:val="28"/>
          <w:szCs w:val="28"/>
        </w:rPr>
        <w:t>按招标文件中规定的评标细则及标准，对符合性检查合格的投标文件进行商务和技术评估，综合比较和评价。</w:t>
      </w:r>
    </w:p>
    <w:p>
      <w:pPr>
        <w:keepNext/>
        <w:keepLines/>
        <w:numPr>
          <w:ilvl w:val="2"/>
          <w:numId w:val="5"/>
        </w:numPr>
        <w:spacing w:line="360" w:lineRule="auto"/>
        <w:ind w:left="0" w:firstLine="0"/>
        <w:outlineLvl w:val="2"/>
        <w:rPr>
          <w:rFonts w:ascii="宋体" w:hAnsi="宋体"/>
          <w:b/>
          <w:bCs/>
          <w:color w:val="auto"/>
          <w:sz w:val="28"/>
          <w:szCs w:val="28"/>
        </w:rPr>
      </w:pPr>
      <w:r>
        <w:rPr>
          <w:rFonts w:hint="eastAsia" w:ascii="宋体" w:hAnsi="宋体"/>
          <w:b/>
          <w:bCs/>
          <w:color w:val="auto"/>
          <w:sz w:val="28"/>
          <w:szCs w:val="28"/>
        </w:rPr>
        <w:t>复核</w:t>
      </w:r>
    </w:p>
    <w:p>
      <w:pPr>
        <w:tabs>
          <w:tab w:val="left" w:pos="851"/>
        </w:tabs>
        <w:spacing w:line="360" w:lineRule="auto"/>
        <w:ind w:firstLine="566" w:firstLineChars="202"/>
        <w:rPr>
          <w:rFonts w:ascii="宋体" w:hAnsi="宋体"/>
          <w:color w:val="auto"/>
          <w:sz w:val="28"/>
          <w:szCs w:val="28"/>
        </w:rPr>
      </w:pPr>
      <w:r>
        <w:rPr>
          <w:rFonts w:hint="eastAsia" w:ascii="宋体" w:hAnsi="宋体"/>
          <w:color w:val="auto"/>
          <w:sz w:val="28"/>
          <w:szCs w:val="28"/>
        </w:rPr>
        <w:t>评分汇总结束后，评标委员会应当进行复核，特别要对拟推荐为中标候选供应商的、报价最低的、投标文件被认定为无效的进行重点复核。</w:t>
      </w:r>
    </w:p>
    <w:p>
      <w:pPr>
        <w:tabs>
          <w:tab w:val="left" w:pos="851"/>
        </w:tabs>
        <w:spacing w:line="360" w:lineRule="auto"/>
        <w:ind w:firstLine="566" w:firstLineChars="202"/>
        <w:rPr>
          <w:rFonts w:ascii="宋体" w:hAnsi="宋体"/>
          <w:color w:val="auto"/>
          <w:sz w:val="28"/>
          <w:szCs w:val="28"/>
        </w:rPr>
      </w:pPr>
      <w:r>
        <w:rPr>
          <w:rFonts w:hint="eastAsia" w:ascii="宋体" w:hAnsi="宋体"/>
          <w:color w:val="auto"/>
          <w:sz w:val="28"/>
          <w:szCs w:val="28"/>
        </w:rPr>
        <w:t>评标结果汇总完成后，评标委员会拟出具评审报告前，</w:t>
      </w:r>
      <w:r>
        <w:rPr>
          <w:rFonts w:hint="eastAsia" w:cs="Arial"/>
          <w:color w:val="auto"/>
          <w:sz w:val="28"/>
          <w:szCs w:val="28"/>
          <w:lang w:eastAsia="zh-CN"/>
        </w:rPr>
        <w:t>区采购中心</w:t>
      </w:r>
      <w:r>
        <w:rPr>
          <w:rFonts w:hint="eastAsia" w:ascii="宋体" w:hAnsi="宋体"/>
          <w:color w:val="auto"/>
          <w:sz w:val="28"/>
          <w:szCs w:val="28"/>
        </w:rPr>
        <w:t>应当组织2名以上的工作人员，在采购现场监督人员的监督之下，依据有关的法律制度和采购文件对评审结果进行复核，出具复核报告。</w:t>
      </w:r>
    </w:p>
    <w:p>
      <w:pPr>
        <w:tabs>
          <w:tab w:val="left" w:pos="851"/>
        </w:tabs>
        <w:spacing w:line="360" w:lineRule="auto"/>
        <w:ind w:firstLine="560" w:firstLineChars="200"/>
        <w:rPr>
          <w:rFonts w:ascii="宋体" w:hAnsi="宋体"/>
          <w:color w:val="auto"/>
          <w:sz w:val="28"/>
          <w:szCs w:val="28"/>
        </w:rPr>
      </w:pPr>
      <w:r>
        <w:rPr>
          <w:rFonts w:hint="eastAsia" w:ascii="宋体" w:hAnsi="宋体"/>
          <w:color w:val="auto"/>
          <w:sz w:val="28"/>
          <w:szCs w:val="28"/>
        </w:rPr>
        <w:t>评标结果汇总完成后，除下列情形外，任何人不得修改评标结果：</w:t>
      </w:r>
    </w:p>
    <w:p>
      <w:pPr>
        <w:numPr>
          <w:ilvl w:val="0"/>
          <w:numId w:val="47"/>
        </w:numPr>
        <w:tabs>
          <w:tab w:val="left" w:pos="851"/>
          <w:tab w:val="left" w:pos="1276"/>
        </w:tabs>
        <w:spacing w:line="360" w:lineRule="auto"/>
        <w:ind w:left="0" w:firstLine="424"/>
        <w:rPr>
          <w:rFonts w:ascii="宋体" w:hAnsi="宋体" w:cstheme="minorBidi"/>
          <w:color w:val="auto"/>
          <w:sz w:val="28"/>
          <w:szCs w:val="28"/>
        </w:rPr>
      </w:pPr>
      <w:r>
        <w:rPr>
          <w:rFonts w:hint="eastAsia" w:ascii="宋体" w:hAnsi="宋体" w:cstheme="minorBidi"/>
          <w:color w:val="auto"/>
          <w:sz w:val="28"/>
          <w:szCs w:val="28"/>
        </w:rPr>
        <w:t>分值汇总计算错误的；</w:t>
      </w:r>
    </w:p>
    <w:p>
      <w:pPr>
        <w:numPr>
          <w:ilvl w:val="0"/>
          <w:numId w:val="47"/>
        </w:numPr>
        <w:tabs>
          <w:tab w:val="left" w:pos="851"/>
          <w:tab w:val="left" w:pos="1276"/>
        </w:tabs>
        <w:spacing w:line="360" w:lineRule="auto"/>
        <w:ind w:left="0" w:firstLine="424"/>
        <w:rPr>
          <w:rFonts w:ascii="宋体" w:hAnsi="宋体" w:cstheme="minorBidi"/>
          <w:color w:val="auto"/>
          <w:sz w:val="28"/>
          <w:szCs w:val="28"/>
        </w:rPr>
      </w:pPr>
      <w:r>
        <w:rPr>
          <w:rFonts w:hint="eastAsia" w:ascii="宋体" w:hAnsi="宋体" w:cstheme="minorBidi"/>
          <w:color w:val="auto"/>
          <w:sz w:val="28"/>
          <w:szCs w:val="28"/>
        </w:rPr>
        <w:t>分项评分超出评分标准范围的；</w:t>
      </w:r>
    </w:p>
    <w:p>
      <w:pPr>
        <w:numPr>
          <w:ilvl w:val="0"/>
          <w:numId w:val="47"/>
        </w:numPr>
        <w:tabs>
          <w:tab w:val="left" w:pos="851"/>
          <w:tab w:val="left" w:pos="1276"/>
          <w:tab w:val="left" w:pos="1560"/>
        </w:tabs>
        <w:spacing w:line="360" w:lineRule="auto"/>
        <w:ind w:left="0" w:firstLine="424"/>
        <w:rPr>
          <w:rFonts w:ascii="宋体" w:hAnsi="宋体" w:cstheme="minorBidi"/>
          <w:color w:val="auto"/>
          <w:sz w:val="28"/>
          <w:szCs w:val="28"/>
        </w:rPr>
      </w:pPr>
      <w:r>
        <w:rPr>
          <w:rFonts w:hint="eastAsia" w:ascii="宋体" w:hAnsi="宋体" w:cstheme="minorBidi"/>
          <w:color w:val="auto"/>
          <w:sz w:val="28"/>
          <w:szCs w:val="28"/>
        </w:rPr>
        <w:t>评标委员会成员对客观评审因素评分不一致的；</w:t>
      </w:r>
    </w:p>
    <w:p>
      <w:pPr>
        <w:numPr>
          <w:ilvl w:val="0"/>
          <w:numId w:val="47"/>
        </w:numPr>
        <w:tabs>
          <w:tab w:val="left" w:pos="851"/>
          <w:tab w:val="left" w:pos="1276"/>
        </w:tabs>
        <w:spacing w:line="360" w:lineRule="auto"/>
        <w:ind w:left="0" w:firstLine="426"/>
        <w:rPr>
          <w:rFonts w:ascii="宋体" w:hAnsi="宋体" w:cstheme="minorBidi"/>
          <w:color w:val="auto"/>
          <w:sz w:val="28"/>
          <w:szCs w:val="28"/>
        </w:rPr>
      </w:pPr>
      <w:r>
        <w:rPr>
          <w:rFonts w:hint="eastAsia" w:ascii="宋体" w:hAnsi="宋体" w:cstheme="minorBidi"/>
          <w:color w:val="auto"/>
          <w:sz w:val="28"/>
          <w:szCs w:val="28"/>
        </w:rPr>
        <w:t>经评标委员会认定评分畸高、畸低的。</w:t>
      </w:r>
    </w:p>
    <w:p>
      <w:pPr>
        <w:tabs>
          <w:tab w:val="left" w:pos="851"/>
        </w:tabs>
        <w:spacing w:line="360" w:lineRule="auto"/>
        <w:ind w:firstLine="560" w:firstLineChars="200"/>
        <w:rPr>
          <w:rFonts w:ascii="宋体" w:hAnsi="宋体"/>
          <w:color w:val="auto"/>
          <w:sz w:val="28"/>
          <w:szCs w:val="28"/>
        </w:rPr>
      </w:pPr>
      <w:r>
        <w:rPr>
          <w:rFonts w:hint="eastAsia" w:ascii="宋体" w:hAnsi="宋体"/>
          <w:color w:val="auto"/>
          <w:sz w:val="28"/>
          <w:szCs w:val="28"/>
        </w:rPr>
        <w:t>评标报告签署前，经复核发现存在以上情形之一的，评标委员会应当当场修改评标结果，并在评标报告中记载；评标报告签署后，采购人或者集中机构发现存在以上情形之一的，应当组织原评标委员会进行重新评审，重新评审改变评标结果的，书面报告本级财政部门。</w:t>
      </w:r>
    </w:p>
    <w:p>
      <w:pPr>
        <w:keepNext/>
        <w:keepLines/>
        <w:numPr>
          <w:ilvl w:val="2"/>
          <w:numId w:val="5"/>
        </w:numPr>
        <w:spacing w:line="360" w:lineRule="auto"/>
        <w:ind w:left="0" w:firstLine="0"/>
        <w:outlineLvl w:val="2"/>
        <w:rPr>
          <w:rFonts w:ascii="宋体" w:hAnsi="宋体"/>
          <w:b/>
          <w:bCs/>
          <w:color w:val="auto"/>
          <w:sz w:val="28"/>
          <w:szCs w:val="28"/>
        </w:rPr>
      </w:pPr>
      <w:r>
        <w:rPr>
          <w:rFonts w:hint="eastAsia" w:ascii="宋体" w:hAnsi="宋体"/>
          <w:b/>
          <w:bCs/>
          <w:color w:val="auto"/>
          <w:sz w:val="28"/>
          <w:szCs w:val="28"/>
        </w:rPr>
        <w:t>确定中标候选人名单</w:t>
      </w:r>
    </w:p>
    <w:p>
      <w:pPr>
        <w:tabs>
          <w:tab w:val="left" w:pos="851"/>
        </w:tabs>
        <w:spacing w:line="360" w:lineRule="auto"/>
        <w:ind w:firstLine="566" w:firstLineChars="202"/>
        <w:rPr>
          <w:rFonts w:ascii="Helvetica" w:hAnsi="Helvetica" w:cs="Helvetica"/>
          <w:color w:val="auto"/>
          <w:kern w:val="0"/>
          <w:sz w:val="28"/>
          <w:szCs w:val="28"/>
        </w:rPr>
      </w:pPr>
      <w:r>
        <w:rPr>
          <w:rFonts w:hint="eastAsia" w:ascii="宋体" w:hAnsi="宋体"/>
          <w:color w:val="auto"/>
          <w:sz w:val="28"/>
          <w:szCs w:val="28"/>
        </w:rPr>
        <w:t>按投标人综合得分从高到低进行排序，确定1至3名中标候选人。综合得分相同的，按投标报价由低到高顺序排列，得分且投标报价相同的并列。</w:t>
      </w:r>
      <w:r>
        <w:rPr>
          <w:rFonts w:hint="eastAsia" w:ascii="Helvetica" w:hAnsi="Helvetica" w:cs="Helvetica"/>
          <w:color w:val="auto"/>
          <w:kern w:val="0"/>
          <w:sz w:val="28"/>
          <w:szCs w:val="28"/>
        </w:rPr>
        <w:t>投标文件满足招标文件全部实质性要求，且按照评审因素的量化指标评审得分最高的投标人为排名第一的中标候选人。</w:t>
      </w:r>
    </w:p>
    <w:p>
      <w:pPr>
        <w:tabs>
          <w:tab w:val="left" w:pos="851"/>
        </w:tabs>
        <w:spacing w:line="360" w:lineRule="auto"/>
        <w:ind w:firstLine="566" w:firstLineChars="202"/>
        <w:rPr>
          <w:rFonts w:ascii="宋体" w:hAnsi="宋体"/>
          <w:color w:val="auto"/>
          <w:sz w:val="28"/>
          <w:szCs w:val="28"/>
        </w:rPr>
      </w:pPr>
      <w:r>
        <w:rPr>
          <w:rFonts w:hint="eastAsia" w:ascii="宋体" w:hAnsi="宋体"/>
          <w:color w:val="auto"/>
          <w:sz w:val="28"/>
          <w:szCs w:val="28"/>
          <w:lang w:val="zh-CN"/>
        </w:rPr>
        <w:t>提供核心产品品牌相同且通过资格检查和符合性检查的不同投标人参加同一项目投标的，按一家投标人计算，评审后得分最高的投标人获得中标候选人推荐资格；评审得分相同的，报价最低的投标人获得中标候选人推荐资格；评审得分相同且报价相同的，由评标委员会采取随机抽取的方式确定一个投标人获得中标候选人推荐资格。</w:t>
      </w:r>
    </w:p>
    <w:p>
      <w:pPr>
        <w:keepNext/>
        <w:keepLines/>
        <w:numPr>
          <w:ilvl w:val="2"/>
          <w:numId w:val="5"/>
        </w:numPr>
        <w:spacing w:before="240" w:line="360" w:lineRule="auto"/>
        <w:ind w:left="0" w:firstLine="0"/>
        <w:outlineLvl w:val="2"/>
        <w:rPr>
          <w:rFonts w:ascii="宋体" w:hAnsi="宋体"/>
          <w:b/>
          <w:bCs/>
          <w:color w:val="auto"/>
          <w:sz w:val="28"/>
          <w:szCs w:val="28"/>
        </w:rPr>
      </w:pPr>
      <w:r>
        <w:rPr>
          <w:rFonts w:hint="eastAsia" w:ascii="宋体" w:hAnsi="宋体"/>
          <w:b/>
          <w:bCs/>
          <w:color w:val="auto"/>
          <w:sz w:val="28"/>
          <w:szCs w:val="28"/>
        </w:rPr>
        <w:t>编写评标报告</w:t>
      </w:r>
    </w:p>
    <w:p>
      <w:pPr>
        <w:spacing w:line="360" w:lineRule="auto"/>
        <w:ind w:firstLine="560" w:firstLineChars="200"/>
        <w:rPr>
          <w:rFonts w:ascii="宋体" w:hAnsi="宋体"/>
          <w:color w:val="auto"/>
          <w:sz w:val="28"/>
          <w:szCs w:val="28"/>
        </w:rPr>
      </w:pPr>
      <w:r>
        <w:rPr>
          <w:rFonts w:hint="eastAsia" w:ascii="宋体" w:hAnsi="宋体"/>
          <w:color w:val="auto"/>
          <w:sz w:val="28"/>
          <w:szCs w:val="28"/>
        </w:rPr>
        <w:t>评标报告是评标委员会根据全体评标成员签字的原始评标记录和评标结果编写的报告，其主要内容包括：</w:t>
      </w:r>
    </w:p>
    <w:p>
      <w:pPr>
        <w:numPr>
          <w:ilvl w:val="0"/>
          <w:numId w:val="48"/>
        </w:numPr>
        <w:tabs>
          <w:tab w:val="left" w:pos="1155"/>
        </w:tabs>
        <w:spacing w:line="360" w:lineRule="auto"/>
        <w:ind w:left="0" w:firstLine="525"/>
        <w:rPr>
          <w:rFonts w:ascii="宋体" w:hAnsi="宋体"/>
          <w:color w:val="auto"/>
          <w:sz w:val="28"/>
          <w:szCs w:val="28"/>
        </w:rPr>
      </w:pPr>
      <w:r>
        <w:rPr>
          <w:rFonts w:hint="eastAsia" w:ascii="宋体" w:hAnsi="宋体"/>
          <w:color w:val="auto"/>
          <w:sz w:val="28"/>
          <w:szCs w:val="28"/>
        </w:rPr>
        <w:t>招标公告刊登的媒体名称、开标日期和地点；</w:t>
      </w:r>
    </w:p>
    <w:p>
      <w:pPr>
        <w:numPr>
          <w:ilvl w:val="0"/>
          <w:numId w:val="48"/>
        </w:numPr>
        <w:tabs>
          <w:tab w:val="left" w:pos="1155"/>
        </w:tabs>
        <w:spacing w:line="360" w:lineRule="auto"/>
        <w:ind w:left="0" w:firstLine="525"/>
        <w:rPr>
          <w:rFonts w:ascii="宋体" w:hAnsi="宋体"/>
          <w:color w:val="auto"/>
          <w:sz w:val="28"/>
          <w:szCs w:val="28"/>
        </w:rPr>
      </w:pPr>
      <w:r>
        <w:rPr>
          <w:rFonts w:hint="eastAsia" w:ascii="宋体" w:hAnsi="宋体"/>
          <w:color w:val="auto"/>
          <w:sz w:val="28"/>
          <w:szCs w:val="28"/>
        </w:rPr>
        <w:t>投标人名单和评标委员会成员名单；</w:t>
      </w:r>
    </w:p>
    <w:p>
      <w:pPr>
        <w:numPr>
          <w:ilvl w:val="0"/>
          <w:numId w:val="48"/>
        </w:numPr>
        <w:tabs>
          <w:tab w:val="left" w:pos="1155"/>
        </w:tabs>
        <w:spacing w:line="360" w:lineRule="auto"/>
        <w:ind w:left="0" w:firstLine="525"/>
        <w:rPr>
          <w:rFonts w:ascii="宋体" w:hAnsi="宋体"/>
          <w:color w:val="auto"/>
          <w:sz w:val="28"/>
          <w:szCs w:val="28"/>
        </w:rPr>
      </w:pPr>
      <w:r>
        <w:rPr>
          <w:rFonts w:hint="eastAsia" w:ascii="宋体" w:hAnsi="宋体"/>
          <w:color w:val="auto"/>
          <w:sz w:val="28"/>
          <w:szCs w:val="28"/>
        </w:rPr>
        <w:t>评标方法和标准；</w:t>
      </w:r>
    </w:p>
    <w:p>
      <w:pPr>
        <w:numPr>
          <w:ilvl w:val="0"/>
          <w:numId w:val="48"/>
        </w:numPr>
        <w:tabs>
          <w:tab w:val="left" w:pos="1155"/>
        </w:tabs>
        <w:spacing w:line="360" w:lineRule="auto"/>
        <w:ind w:left="0" w:firstLine="525"/>
        <w:rPr>
          <w:rFonts w:ascii="宋体" w:hAnsi="宋体"/>
          <w:color w:val="auto"/>
          <w:sz w:val="28"/>
          <w:szCs w:val="28"/>
        </w:rPr>
      </w:pPr>
      <w:r>
        <w:rPr>
          <w:rFonts w:hint="eastAsia" w:ascii="宋体" w:hAnsi="宋体"/>
          <w:color w:val="auto"/>
          <w:sz w:val="28"/>
          <w:szCs w:val="28"/>
        </w:rPr>
        <w:t>开标记录和评标情况及说明，包括投标无效投标人名单及原因</w:t>
      </w:r>
    </w:p>
    <w:p>
      <w:pPr>
        <w:numPr>
          <w:ilvl w:val="0"/>
          <w:numId w:val="49"/>
        </w:numPr>
        <w:tabs>
          <w:tab w:val="left" w:pos="1155"/>
        </w:tabs>
        <w:spacing w:after="0" w:line="360" w:lineRule="auto"/>
        <w:ind w:left="0" w:firstLine="525"/>
        <w:rPr>
          <w:rFonts w:ascii="宋体" w:hAnsi="宋体"/>
          <w:color w:val="auto"/>
          <w:sz w:val="28"/>
          <w:szCs w:val="28"/>
        </w:rPr>
      </w:pPr>
      <w:r>
        <w:rPr>
          <w:rFonts w:hint="eastAsia" w:ascii="宋体" w:hAnsi="宋体"/>
          <w:color w:val="auto"/>
          <w:sz w:val="28"/>
          <w:szCs w:val="28"/>
        </w:rPr>
        <w:t>评标结果和中标候选供应商排序表；</w:t>
      </w:r>
    </w:p>
    <w:p>
      <w:pPr>
        <w:numPr>
          <w:ilvl w:val="0"/>
          <w:numId w:val="48"/>
        </w:numPr>
        <w:tabs>
          <w:tab w:val="left" w:pos="1155"/>
        </w:tabs>
        <w:spacing w:line="360" w:lineRule="auto"/>
        <w:ind w:left="0" w:firstLine="525"/>
        <w:rPr>
          <w:rFonts w:ascii="宋体" w:hAnsi="宋体"/>
          <w:color w:val="auto"/>
          <w:sz w:val="28"/>
          <w:szCs w:val="28"/>
        </w:rPr>
      </w:pPr>
      <w:r>
        <w:rPr>
          <w:rFonts w:hint="eastAsia" w:ascii="宋体" w:hAnsi="宋体"/>
          <w:color w:val="auto"/>
          <w:sz w:val="28"/>
          <w:szCs w:val="28"/>
        </w:rPr>
        <w:t>评标结果，确定的中标候选人名单或者经采购人委托直接确定的中标人；</w:t>
      </w:r>
    </w:p>
    <w:p>
      <w:pPr>
        <w:numPr>
          <w:ilvl w:val="0"/>
          <w:numId w:val="48"/>
        </w:numPr>
        <w:tabs>
          <w:tab w:val="left" w:pos="1155"/>
        </w:tabs>
        <w:spacing w:line="360" w:lineRule="auto"/>
        <w:ind w:left="0" w:firstLine="525"/>
        <w:rPr>
          <w:rFonts w:ascii="宋体" w:hAnsi="宋体"/>
          <w:color w:val="auto"/>
          <w:sz w:val="28"/>
          <w:szCs w:val="28"/>
        </w:rPr>
      </w:pPr>
      <w:r>
        <w:rPr>
          <w:rFonts w:hint="eastAsia" w:ascii="宋体" w:hAnsi="宋体"/>
          <w:color w:val="auto"/>
          <w:sz w:val="28"/>
          <w:szCs w:val="28"/>
        </w:rPr>
        <w:t>其他需要说明的情况，包括评标过程中投标人根据评标委员会要求进行的澄清、说明或者补正，评标委员会成员的更换等；</w:t>
      </w:r>
    </w:p>
    <w:p>
      <w:pPr>
        <w:numPr>
          <w:ilvl w:val="0"/>
          <w:numId w:val="48"/>
        </w:numPr>
        <w:tabs>
          <w:tab w:val="left" w:pos="1155"/>
        </w:tabs>
        <w:spacing w:line="360" w:lineRule="auto"/>
        <w:ind w:left="0" w:firstLine="525"/>
        <w:rPr>
          <w:rFonts w:ascii="宋体" w:hAnsi="宋体"/>
          <w:color w:val="auto"/>
          <w:sz w:val="28"/>
          <w:szCs w:val="28"/>
        </w:rPr>
      </w:pPr>
      <w:r>
        <w:rPr>
          <w:rFonts w:hint="eastAsia" w:ascii="宋体" w:hAnsi="宋体"/>
          <w:color w:val="auto"/>
          <w:sz w:val="28"/>
          <w:szCs w:val="28"/>
        </w:rPr>
        <w:t>报价最高的投标人为中标候选人的，评标委员会应当对其报价的合理性予以特别说明。</w:t>
      </w:r>
    </w:p>
    <w:p>
      <w:pPr>
        <w:tabs>
          <w:tab w:val="left" w:pos="1155"/>
        </w:tabs>
        <w:spacing w:line="360" w:lineRule="auto"/>
        <w:ind w:firstLine="524" w:firstLineChars="187"/>
        <w:rPr>
          <w:rFonts w:ascii="宋体" w:hAnsi="宋体"/>
          <w:color w:val="auto"/>
          <w:sz w:val="28"/>
          <w:szCs w:val="28"/>
        </w:rPr>
      </w:pPr>
      <w:r>
        <w:rPr>
          <w:rFonts w:hint="eastAsia" w:ascii="宋体" w:hAnsi="宋体"/>
          <w:color w:val="auto"/>
          <w:sz w:val="28"/>
          <w:szCs w:val="28"/>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keepNext/>
        <w:keepLines/>
        <w:numPr>
          <w:ilvl w:val="1"/>
          <w:numId w:val="5"/>
        </w:numPr>
        <w:spacing w:line="360" w:lineRule="auto"/>
        <w:jc w:val="left"/>
        <w:outlineLvl w:val="1"/>
        <w:rPr>
          <w:rFonts w:ascii="宋体" w:hAnsi="宋体"/>
          <w:b/>
          <w:bCs/>
          <w:color w:val="auto"/>
          <w:sz w:val="28"/>
          <w:szCs w:val="28"/>
        </w:rPr>
      </w:pPr>
      <w:bookmarkStart w:id="200" w:name="_Toc32260"/>
      <w:r>
        <w:rPr>
          <w:rFonts w:hint="eastAsia" w:ascii="宋体" w:hAnsi="宋体"/>
          <w:b/>
          <w:bCs/>
          <w:color w:val="auto"/>
          <w:sz w:val="28"/>
          <w:szCs w:val="28"/>
        </w:rPr>
        <w:t>评标争议处理规则</w:t>
      </w:r>
      <w:bookmarkEnd w:id="200"/>
    </w:p>
    <w:p>
      <w:pPr>
        <w:tabs>
          <w:tab w:val="left" w:pos="1155"/>
        </w:tabs>
        <w:spacing w:line="360" w:lineRule="auto"/>
        <w:ind w:firstLine="524" w:firstLineChars="187"/>
        <w:rPr>
          <w:rFonts w:ascii="宋体" w:hAnsi="宋体"/>
          <w:color w:val="auto"/>
          <w:sz w:val="28"/>
          <w:szCs w:val="28"/>
        </w:rPr>
      </w:pPr>
      <w:r>
        <w:rPr>
          <w:rFonts w:hint="eastAsia" w:ascii="宋体" w:hAnsi="宋体"/>
          <w:color w:val="auto"/>
          <w:sz w:val="28"/>
          <w:szCs w:val="28"/>
        </w:rPr>
        <w:t>评标委员会在评审过程中，对于符合性审查、对投标人文件做无效投标处理及其他需要共同认定的事项存在争议的，应当以少数服从多数的原则做出结论，但不得违背法律法规和招标文件规定。</w:t>
      </w:r>
      <w:r>
        <w:rPr>
          <w:rFonts w:hint="eastAsia" w:cs="Arial"/>
          <w:color w:val="auto"/>
          <w:sz w:val="28"/>
          <w:szCs w:val="28"/>
        </w:rPr>
        <w:t>持不同意见的评标委员会成员应当在评标报告上签署不同意见及理由，否则视为同意评标报告。</w:t>
      </w:r>
      <w:r>
        <w:rPr>
          <w:rFonts w:hint="eastAsia" w:ascii="宋体" w:hAnsi="宋体"/>
          <w:color w:val="auto"/>
          <w:sz w:val="28"/>
          <w:szCs w:val="28"/>
        </w:rPr>
        <w:t>持不同意见的评标委员会成员认为认定过程和结果不符合法律法规或者招标文件规定的，应当及时向采购人或</w:t>
      </w:r>
      <w:r>
        <w:rPr>
          <w:rFonts w:hint="eastAsia" w:cs="Arial"/>
          <w:color w:val="auto"/>
          <w:sz w:val="28"/>
          <w:szCs w:val="28"/>
          <w:lang w:eastAsia="zh-CN"/>
        </w:rPr>
        <w:t>区采购中心</w:t>
      </w:r>
      <w:r>
        <w:rPr>
          <w:rFonts w:hint="eastAsia" w:ascii="宋体" w:hAnsi="宋体"/>
          <w:color w:val="auto"/>
          <w:sz w:val="28"/>
          <w:szCs w:val="28"/>
        </w:rPr>
        <w:t>书面反映。采购人或</w:t>
      </w:r>
      <w:r>
        <w:rPr>
          <w:rFonts w:hint="eastAsia" w:cs="Arial"/>
          <w:color w:val="auto"/>
          <w:sz w:val="28"/>
          <w:szCs w:val="28"/>
          <w:lang w:eastAsia="zh-CN"/>
        </w:rPr>
        <w:t>区采购中心</w:t>
      </w:r>
      <w:r>
        <w:rPr>
          <w:rFonts w:hint="eastAsia" w:ascii="宋体" w:hAnsi="宋体"/>
          <w:color w:val="auto"/>
          <w:sz w:val="28"/>
          <w:szCs w:val="28"/>
        </w:rPr>
        <w:t>收到书面反映后，应当书面报告采购项目同级财政部门依法处理。</w:t>
      </w:r>
    </w:p>
    <w:p>
      <w:pPr>
        <w:keepNext/>
        <w:keepLines/>
        <w:numPr>
          <w:ilvl w:val="1"/>
          <w:numId w:val="5"/>
        </w:numPr>
        <w:spacing w:line="360" w:lineRule="auto"/>
        <w:jc w:val="left"/>
        <w:outlineLvl w:val="1"/>
        <w:rPr>
          <w:rFonts w:ascii="宋体" w:hAnsi="宋体"/>
          <w:b/>
          <w:bCs/>
          <w:color w:val="auto"/>
          <w:sz w:val="28"/>
          <w:szCs w:val="28"/>
        </w:rPr>
      </w:pPr>
      <w:bookmarkStart w:id="201" w:name="_Toc28372"/>
      <w:r>
        <w:rPr>
          <w:rFonts w:hint="eastAsia" w:ascii="宋体" w:hAnsi="宋体"/>
          <w:b/>
          <w:bCs/>
          <w:color w:val="auto"/>
          <w:sz w:val="28"/>
          <w:szCs w:val="28"/>
        </w:rPr>
        <w:t>评标细则及标准</w:t>
      </w:r>
      <w:bookmarkEnd w:id="201"/>
    </w:p>
    <w:p>
      <w:pPr>
        <w:numPr>
          <w:ilvl w:val="0"/>
          <w:numId w:val="50"/>
        </w:numPr>
        <w:tabs>
          <w:tab w:val="left" w:pos="1155"/>
        </w:tabs>
        <w:spacing w:after="200" w:line="360" w:lineRule="auto"/>
        <w:ind w:left="0" w:firstLine="567"/>
        <w:rPr>
          <w:rFonts w:ascii="宋体" w:hAnsi="宋体"/>
          <w:color w:val="auto"/>
          <w:sz w:val="28"/>
          <w:szCs w:val="28"/>
        </w:rPr>
      </w:pPr>
      <w:r>
        <w:rPr>
          <w:rFonts w:hint="eastAsia" w:ascii="宋体" w:hAnsi="宋体"/>
          <w:color w:val="auto"/>
          <w:sz w:val="28"/>
          <w:szCs w:val="28"/>
        </w:rPr>
        <w:t>评标委员会只对通过初审的投标文件，根据招标文件的要求采用相同的评标程序、评分办法及标准进行评价和比较。</w:t>
      </w:r>
    </w:p>
    <w:p>
      <w:pPr>
        <w:numPr>
          <w:ilvl w:val="0"/>
          <w:numId w:val="50"/>
        </w:numPr>
        <w:tabs>
          <w:tab w:val="left" w:pos="1155"/>
        </w:tabs>
        <w:spacing w:after="200" w:line="360" w:lineRule="auto"/>
        <w:ind w:left="0" w:firstLine="567"/>
        <w:rPr>
          <w:rFonts w:ascii="宋体" w:hAnsi="宋体"/>
          <w:color w:val="auto"/>
          <w:sz w:val="28"/>
          <w:szCs w:val="28"/>
        </w:rPr>
      </w:pPr>
      <w:r>
        <w:rPr>
          <w:rFonts w:hint="eastAsia" w:ascii="宋体" w:hAnsi="宋体"/>
          <w:color w:val="auto"/>
          <w:sz w:val="28"/>
          <w:szCs w:val="28"/>
        </w:rPr>
        <w:t>本次综合评分的因素是：价格、服务、商务等。</w:t>
      </w:r>
    </w:p>
    <w:p>
      <w:pPr>
        <w:numPr>
          <w:ilvl w:val="0"/>
          <w:numId w:val="50"/>
        </w:numPr>
        <w:tabs>
          <w:tab w:val="left" w:pos="1155"/>
        </w:tabs>
        <w:spacing w:after="200" w:line="360" w:lineRule="auto"/>
        <w:ind w:left="0" w:firstLine="525"/>
        <w:rPr>
          <w:rFonts w:ascii="宋体" w:hAnsi="宋体"/>
          <w:color w:val="auto"/>
          <w:sz w:val="28"/>
          <w:szCs w:val="28"/>
        </w:rPr>
      </w:pPr>
      <w:r>
        <w:rPr>
          <w:rFonts w:hint="eastAsia" w:ascii="宋体" w:hAnsi="宋体"/>
          <w:color w:val="auto"/>
          <w:sz w:val="28"/>
          <w:szCs w:val="28"/>
        </w:rPr>
        <w:t>评标委员会成员应依据招标文件规定的评分标准和方法独立打分。</w:t>
      </w:r>
    </w:p>
    <w:p>
      <w:pPr>
        <w:keepNext/>
        <w:keepLines/>
        <w:numPr>
          <w:ilvl w:val="2"/>
          <w:numId w:val="5"/>
        </w:numPr>
        <w:spacing w:line="360" w:lineRule="auto"/>
        <w:ind w:left="0" w:firstLine="0"/>
        <w:outlineLvl w:val="2"/>
        <w:rPr>
          <w:rFonts w:ascii="宋体" w:hAnsi="宋体"/>
          <w:b/>
          <w:bCs/>
          <w:color w:val="auto"/>
          <w:sz w:val="28"/>
          <w:szCs w:val="28"/>
        </w:rPr>
      </w:pPr>
      <w:r>
        <w:rPr>
          <w:rFonts w:hint="eastAsia" w:ascii="宋体" w:hAnsi="宋体"/>
          <w:b/>
          <w:bCs/>
          <w:color w:val="auto"/>
          <w:sz w:val="28"/>
          <w:szCs w:val="28"/>
        </w:rPr>
        <w:t>评分办法</w:t>
      </w:r>
    </w:p>
    <w:p>
      <w:pPr>
        <w:spacing w:line="360" w:lineRule="auto"/>
        <w:ind w:firstLine="630" w:firstLineChars="225"/>
        <w:rPr>
          <w:rFonts w:ascii="宋体" w:hAnsi="宋体"/>
          <w:color w:val="auto"/>
          <w:sz w:val="28"/>
          <w:szCs w:val="28"/>
        </w:rPr>
      </w:pPr>
      <w:r>
        <w:rPr>
          <w:rFonts w:hint="eastAsia" w:ascii="宋体" w:hAnsi="宋体"/>
          <w:color w:val="auto"/>
          <w:sz w:val="28"/>
          <w:szCs w:val="28"/>
        </w:rPr>
        <w:t xml:space="preserve">本次评标采用综合评分法，由评标委员会各成员独立对通过初审（资格检查和符合性检查）的投标人的投标文件进行评审和打分，    </w:t>
      </w:r>
    </w:p>
    <w:p>
      <w:pPr>
        <w:spacing w:line="360" w:lineRule="auto"/>
        <w:ind w:firstLine="630" w:firstLineChars="225"/>
        <w:rPr>
          <w:rFonts w:ascii="宋体" w:hAnsi="宋体"/>
          <w:color w:val="auto"/>
          <w:sz w:val="28"/>
          <w:szCs w:val="28"/>
        </w:rPr>
      </w:pPr>
      <w:r>
        <w:rPr>
          <w:rFonts w:hint="eastAsia" w:ascii="宋体" w:hAnsi="宋体"/>
          <w:color w:val="auto"/>
          <w:sz w:val="28"/>
          <w:szCs w:val="28"/>
        </w:rPr>
        <w:t>评标得分＝（A</w:t>
      </w:r>
      <w:r>
        <w:rPr>
          <w:rFonts w:hint="eastAsia" w:ascii="宋体" w:hAnsi="宋体"/>
          <w:color w:val="auto"/>
          <w:sz w:val="28"/>
          <w:szCs w:val="28"/>
          <w:vertAlign w:val="subscript"/>
        </w:rPr>
        <w:t>1</w:t>
      </w:r>
      <w:r>
        <w:rPr>
          <w:rFonts w:hint="eastAsia" w:ascii="宋体" w:hAnsi="宋体"/>
          <w:color w:val="auto"/>
          <w:sz w:val="28"/>
          <w:szCs w:val="28"/>
        </w:rPr>
        <w:t>＋A</w:t>
      </w:r>
      <w:r>
        <w:rPr>
          <w:rFonts w:hint="eastAsia" w:ascii="宋体" w:hAnsi="宋体"/>
          <w:color w:val="auto"/>
          <w:sz w:val="28"/>
          <w:szCs w:val="28"/>
          <w:vertAlign w:val="subscript"/>
        </w:rPr>
        <w:t>2</w:t>
      </w:r>
      <w:r>
        <w:rPr>
          <w:rFonts w:hint="eastAsia" w:ascii="宋体" w:hAnsi="宋体"/>
          <w:color w:val="auto"/>
          <w:sz w:val="28"/>
          <w:szCs w:val="28"/>
        </w:rPr>
        <w:t>＋……＋A</w:t>
      </w:r>
      <w:r>
        <w:rPr>
          <w:rFonts w:hint="eastAsia" w:ascii="宋体" w:hAnsi="宋体"/>
          <w:color w:val="auto"/>
          <w:sz w:val="28"/>
          <w:szCs w:val="28"/>
          <w:vertAlign w:val="subscript"/>
        </w:rPr>
        <w:t>n</w:t>
      </w:r>
      <w:r>
        <w:rPr>
          <w:rFonts w:hint="eastAsia" w:ascii="宋体" w:hAnsi="宋体"/>
          <w:color w:val="auto"/>
          <w:sz w:val="28"/>
          <w:szCs w:val="28"/>
        </w:rPr>
        <w:t>）/n</w:t>
      </w:r>
      <w:r>
        <w:rPr>
          <w:rFonts w:hint="eastAsia" w:ascii="宋体" w:hAnsi="宋体"/>
          <w:color w:val="auto"/>
          <w:sz w:val="28"/>
          <w:szCs w:val="28"/>
          <w:vertAlign w:val="subscript"/>
        </w:rPr>
        <w:t>1</w:t>
      </w:r>
      <w:r>
        <w:rPr>
          <w:rFonts w:hint="eastAsia" w:ascii="宋体" w:hAnsi="宋体"/>
          <w:color w:val="auto"/>
          <w:sz w:val="28"/>
          <w:szCs w:val="28"/>
        </w:rPr>
        <w:t>+（B</w:t>
      </w:r>
      <w:r>
        <w:rPr>
          <w:rFonts w:hint="eastAsia" w:ascii="宋体" w:hAnsi="宋体"/>
          <w:color w:val="auto"/>
          <w:sz w:val="28"/>
          <w:szCs w:val="28"/>
          <w:vertAlign w:val="subscript"/>
        </w:rPr>
        <w:t>1</w:t>
      </w:r>
      <w:r>
        <w:rPr>
          <w:rFonts w:hint="eastAsia" w:ascii="宋体" w:hAnsi="宋体"/>
          <w:color w:val="auto"/>
          <w:sz w:val="28"/>
          <w:szCs w:val="28"/>
        </w:rPr>
        <w:t>＋B</w:t>
      </w:r>
      <w:r>
        <w:rPr>
          <w:rFonts w:hint="eastAsia" w:ascii="宋体" w:hAnsi="宋体"/>
          <w:color w:val="auto"/>
          <w:sz w:val="28"/>
          <w:szCs w:val="28"/>
          <w:vertAlign w:val="subscript"/>
        </w:rPr>
        <w:t>2</w:t>
      </w:r>
      <w:r>
        <w:rPr>
          <w:rFonts w:hint="eastAsia" w:ascii="宋体" w:hAnsi="宋体"/>
          <w:color w:val="auto"/>
          <w:sz w:val="28"/>
          <w:szCs w:val="28"/>
        </w:rPr>
        <w:t>＋……＋B</w:t>
      </w:r>
      <w:r>
        <w:rPr>
          <w:rFonts w:hint="eastAsia" w:ascii="宋体" w:hAnsi="宋体"/>
          <w:color w:val="auto"/>
          <w:sz w:val="28"/>
          <w:szCs w:val="28"/>
          <w:vertAlign w:val="subscript"/>
        </w:rPr>
        <w:t>n</w:t>
      </w:r>
      <w:r>
        <w:rPr>
          <w:rFonts w:hint="eastAsia" w:ascii="宋体" w:hAnsi="宋体"/>
          <w:color w:val="auto"/>
          <w:sz w:val="28"/>
          <w:szCs w:val="28"/>
        </w:rPr>
        <w:t>）/ n</w:t>
      </w:r>
      <w:r>
        <w:rPr>
          <w:rFonts w:hint="eastAsia" w:ascii="宋体" w:hAnsi="宋体"/>
          <w:color w:val="auto"/>
          <w:sz w:val="28"/>
          <w:szCs w:val="28"/>
          <w:vertAlign w:val="subscript"/>
        </w:rPr>
        <w:t>2</w:t>
      </w:r>
      <w:r>
        <w:rPr>
          <w:rFonts w:hint="eastAsia" w:ascii="宋体" w:hAnsi="宋体"/>
          <w:color w:val="auto"/>
          <w:sz w:val="28"/>
          <w:szCs w:val="28"/>
        </w:rPr>
        <w:t>+（C</w:t>
      </w:r>
      <w:r>
        <w:rPr>
          <w:rFonts w:hint="eastAsia" w:ascii="宋体" w:hAnsi="宋体"/>
          <w:color w:val="auto"/>
          <w:sz w:val="28"/>
          <w:szCs w:val="28"/>
          <w:vertAlign w:val="subscript"/>
        </w:rPr>
        <w:t>1</w:t>
      </w:r>
      <w:r>
        <w:rPr>
          <w:rFonts w:hint="eastAsia" w:ascii="宋体" w:hAnsi="宋体"/>
          <w:color w:val="auto"/>
          <w:sz w:val="28"/>
          <w:szCs w:val="28"/>
        </w:rPr>
        <w:t>＋C</w:t>
      </w:r>
      <w:r>
        <w:rPr>
          <w:rFonts w:hint="eastAsia" w:ascii="宋体" w:hAnsi="宋体"/>
          <w:color w:val="auto"/>
          <w:sz w:val="28"/>
          <w:szCs w:val="28"/>
          <w:vertAlign w:val="subscript"/>
        </w:rPr>
        <w:t>2</w:t>
      </w:r>
      <w:r>
        <w:rPr>
          <w:rFonts w:hint="eastAsia" w:ascii="宋体" w:hAnsi="宋体"/>
          <w:color w:val="auto"/>
          <w:sz w:val="28"/>
          <w:szCs w:val="28"/>
        </w:rPr>
        <w:t>＋……＋C</w:t>
      </w:r>
      <w:r>
        <w:rPr>
          <w:rFonts w:hint="eastAsia" w:ascii="宋体" w:hAnsi="宋体"/>
          <w:color w:val="auto"/>
          <w:sz w:val="28"/>
          <w:szCs w:val="28"/>
          <w:vertAlign w:val="subscript"/>
        </w:rPr>
        <w:t>n</w:t>
      </w:r>
      <w:r>
        <w:rPr>
          <w:rFonts w:hint="eastAsia" w:ascii="宋体" w:hAnsi="宋体"/>
          <w:color w:val="auto"/>
          <w:sz w:val="28"/>
          <w:szCs w:val="28"/>
        </w:rPr>
        <w:t>）/ n</w:t>
      </w:r>
      <w:r>
        <w:rPr>
          <w:rFonts w:hint="eastAsia" w:ascii="宋体" w:hAnsi="宋体"/>
          <w:color w:val="auto"/>
          <w:sz w:val="28"/>
          <w:szCs w:val="28"/>
          <w:vertAlign w:val="subscript"/>
        </w:rPr>
        <w:t>3</w:t>
      </w:r>
    </w:p>
    <w:p>
      <w:pPr>
        <w:widowControl/>
        <w:spacing w:line="360" w:lineRule="auto"/>
        <w:ind w:firstLine="560" w:firstLineChars="200"/>
        <w:rPr>
          <w:rFonts w:ascii="宋体" w:hAnsi="宋体"/>
          <w:color w:val="auto"/>
          <w:sz w:val="28"/>
          <w:szCs w:val="28"/>
        </w:rPr>
      </w:pPr>
      <w:r>
        <w:rPr>
          <w:rFonts w:hint="eastAsia" w:ascii="宋体" w:hAnsi="宋体"/>
          <w:color w:val="auto"/>
          <w:sz w:val="28"/>
          <w:szCs w:val="28"/>
        </w:rPr>
        <w:t>A</w:t>
      </w:r>
      <w:r>
        <w:rPr>
          <w:rFonts w:hint="eastAsia" w:ascii="宋体" w:hAnsi="宋体"/>
          <w:color w:val="auto"/>
          <w:sz w:val="28"/>
          <w:szCs w:val="28"/>
          <w:vertAlign w:val="subscript"/>
        </w:rPr>
        <w:t>1</w:t>
      </w:r>
      <w:r>
        <w:rPr>
          <w:rFonts w:hint="eastAsia" w:ascii="宋体" w:hAnsi="宋体"/>
          <w:color w:val="auto"/>
          <w:sz w:val="28"/>
          <w:szCs w:val="28"/>
        </w:rPr>
        <w:t>、A</w:t>
      </w:r>
      <w:r>
        <w:rPr>
          <w:rFonts w:hint="eastAsia" w:ascii="宋体" w:hAnsi="宋体"/>
          <w:color w:val="auto"/>
          <w:sz w:val="28"/>
          <w:szCs w:val="28"/>
          <w:vertAlign w:val="subscript"/>
        </w:rPr>
        <w:t>2</w:t>
      </w:r>
      <w:r>
        <w:rPr>
          <w:rFonts w:hint="eastAsia" w:ascii="宋体" w:hAnsi="宋体"/>
          <w:color w:val="auto"/>
          <w:sz w:val="28"/>
          <w:szCs w:val="28"/>
        </w:rPr>
        <w:t>……A</w:t>
      </w:r>
      <w:r>
        <w:rPr>
          <w:rFonts w:hint="eastAsia" w:ascii="宋体" w:hAnsi="宋体"/>
          <w:color w:val="auto"/>
          <w:sz w:val="28"/>
          <w:szCs w:val="28"/>
          <w:vertAlign w:val="subscript"/>
        </w:rPr>
        <w:t>n</w:t>
      </w:r>
      <w:r>
        <w:rPr>
          <w:rFonts w:hint="eastAsia" w:ascii="宋体" w:hAnsi="宋体"/>
          <w:color w:val="auto"/>
          <w:sz w:val="28"/>
          <w:szCs w:val="28"/>
        </w:rPr>
        <w:t>分别为每个</w:t>
      </w:r>
      <w:r>
        <w:rPr>
          <w:rFonts w:hint="eastAsia" w:ascii="宋体" w:hAnsi="宋体" w:cs="宋体"/>
          <w:color w:val="auto"/>
          <w:kern w:val="0"/>
          <w:sz w:val="28"/>
          <w:szCs w:val="28"/>
        </w:rPr>
        <w:t>经济类</w:t>
      </w:r>
      <w:r>
        <w:rPr>
          <w:rFonts w:hint="eastAsia" w:ascii="宋体" w:hAnsi="宋体"/>
          <w:color w:val="auto"/>
          <w:sz w:val="28"/>
          <w:szCs w:val="28"/>
        </w:rPr>
        <w:t>评委的打分，n</w:t>
      </w:r>
      <w:r>
        <w:rPr>
          <w:rFonts w:hint="eastAsia" w:ascii="宋体" w:hAnsi="宋体"/>
          <w:color w:val="auto"/>
          <w:sz w:val="28"/>
          <w:szCs w:val="28"/>
          <w:vertAlign w:val="subscript"/>
        </w:rPr>
        <w:t>1</w:t>
      </w:r>
      <w:r>
        <w:rPr>
          <w:rFonts w:hint="eastAsia" w:ascii="宋体" w:hAnsi="宋体"/>
          <w:color w:val="auto"/>
          <w:sz w:val="28"/>
          <w:szCs w:val="28"/>
        </w:rPr>
        <w:t>为</w:t>
      </w:r>
      <w:r>
        <w:rPr>
          <w:rFonts w:hint="eastAsia" w:ascii="宋体" w:hAnsi="宋体" w:cs="宋体"/>
          <w:color w:val="auto"/>
          <w:kern w:val="0"/>
          <w:sz w:val="28"/>
          <w:szCs w:val="28"/>
        </w:rPr>
        <w:t>经济类</w:t>
      </w:r>
      <w:r>
        <w:rPr>
          <w:rFonts w:hint="eastAsia" w:ascii="宋体" w:hAnsi="宋体"/>
          <w:color w:val="auto"/>
          <w:sz w:val="28"/>
          <w:szCs w:val="28"/>
        </w:rPr>
        <w:t>评委人数；B</w:t>
      </w:r>
      <w:r>
        <w:rPr>
          <w:rFonts w:hint="eastAsia" w:ascii="宋体" w:hAnsi="宋体"/>
          <w:color w:val="auto"/>
          <w:sz w:val="28"/>
          <w:szCs w:val="28"/>
          <w:vertAlign w:val="subscript"/>
        </w:rPr>
        <w:t>1</w:t>
      </w:r>
      <w:r>
        <w:rPr>
          <w:rFonts w:hint="eastAsia" w:ascii="宋体" w:hAnsi="宋体"/>
          <w:color w:val="auto"/>
          <w:sz w:val="28"/>
          <w:szCs w:val="28"/>
        </w:rPr>
        <w:t>、B</w:t>
      </w:r>
      <w:r>
        <w:rPr>
          <w:rFonts w:hint="eastAsia" w:ascii="宋体" w:hAnsi="宋体"/>
          <w:color w:val="auto"/>
          <w:sz w:val="28"/>
          <w:szCs w:val="28"/>
          <w:vertAlign w:val="subscript"/>
        </w:rPr>
        <w:t>2</w:t>
      </w:r>
      <w:r>
        <w:rPr>
          <w:rFonts w:hint="eastAsia" w:ascii="宋体" w:hAnsi="宋体"/>
          <w:color w:val="auto"/>
          <w:sz w:val="28"/>
          <w:szCs w:val="28"/>
        </w:rPr>
        <w:t>＋……B</w:t>
      </w:r>
      <w:r>
        <w:rPr>
          <w:rFonts w:hint="eastAsia" w:ascii="宋体" w:hAnsi="宋体"/>
          <w:color w:val="auto"/>
          <w:sz w:val="28"/>
          <w:szCs w:val="28"/>
          <w:vertAlign w:val="subscript"/>
        </w:rPr>
        <w:t>n</w:t>
      </w:r>
      <w:r>
        <w:rPr>
          <w:rFonts w:hint="eastAsia" w:ascii="宋体" w:hAnsi="宋体"/>
          <w:color w:val="auto"/>
          <w:sz w:val="28"/>
          <w:szCs w:val="28"/>
        </w:rPr>
        <w:t xml:space="preserve"> 分别为每个技术类评委（含采购人代表）的打分，n</w:t>
      </w:r>
      <w:r>
        <w:rPr>
          <w:rFonts w:hint="eastAsia" w:ascii="宋体" w:hAnsi="宋体"/>
          <w:color w:val="auto"/>
          <w:sz w:val="28"/>
          <w:szCs w:val="28"/>
          <w:vertAlign w:val="subscript"/>
        </w:rPr>
        <w:t>2</w:t>
      </w:r>
      <w:r>
        <w:rPr>
          <w:rFonts w:hint="eastAsia" w:ascii="宋体" w:hAnsi="宋体"/>
          <w:color w:val="auto"/>
          <w:sz w:val="28"/>
          <w:szCs w:val="28"/>
        </w:rPr>
        <w:t>为</w:t>
      </w:r>
      <w:r>
        <w:rPr>
          <w:rFonts w:hint="eastAsia" w:ascii="宋体" w:hAnsi="宋体" w:cs="宋体"/>
          <w:color w:val="auto"/>
          <w:kern w:val="0"/>
          <w:sz w:val="28"/>
          <w:szCs w:val="28"/>
        </w:rPr>
        <w:t>技术类</w:t>
      </w:r>
      <w:r>
        <w:rPr>
          <w:rFonts w:hint="eastAsia" w:ascii="宋体" w:hAnsi="宋体"/>
          <w:color w:val="auto"/>
          <w:sz w:val="28"/>
          <w:szCs w:val="28"/>
        </w:rPr>
        <w:t>评委（含采购人代表）人数；C</w:t>
      </w:r>
      <w:r>
        <w:rPr>
          <w:rFonts w:hint="eastAsia" w:ascii="宋体" w:hAnsi="宋体"/>
          <w:color w:val="auto"/>
          <w:sz w:val="28"/>
          <w:szCs w:val="28"/>
          <w:vertAlign w:val="subscript"/>
        </w:rPr>
        <w:t>1</w:t>
      </w:r>
      <w:r>
        <w:rPr>
          <w:rFonts w:hint="eastAsia" w:ascii="宋体" w:hAnsi="宋体"/>
          <w:color w:val="auto"/>
          <w:sz w:val="28"/>
          <w:szCs w:val="28"/>
        </w:rPr>
        <w:t>、C</w:t>
      </w:r>
      <w:r>
        <w:rPr>
          <w:rFonts w:hint="eastAsia" w:ascii="宋体" w:hAnsi="宋体"/>
          <w:color w:val="auto"/>
          <w:sz w:val="28"/>
          <w:szCs w:val="28"/>
          <w:vertAlign w:val="subscript"/>
        </w:rPr>
        <w:t>2</w:t>
      </w:r>
      <w:r>
        <w:rPr>
          <w:rFonts w:hint="eastAsia" w:ascii="宋体" w:hAnsi="宋体"/>
          <w:color w:val="auto"/>
          <w:sz w:val="28"/>
          <w:szCs w:val="28"/>
        </w:rPr>
        <w:t>……C</w:t>
      </w:r>
      <w:r>
        <w:rPr>
          <w:rFonts w:hint="eastAsia" w:ascii="宋体" w:hAnsi="宋体"/>
          <w:color w:val="auto"/>
          <w:sz w:val="28"/>
          <w:szCs w:val="28"/>
          <w:vertAlign w:val="subscript"/>
        </w:rPr>
        <w:t>n</w:t>
      </w:r>
      <w:r>
        <w:rPr>
          <w:rFonts w:hint="eastAsia" w:ascii="宋体" w:hAnsi="宋体"/>
          <w:color w:val="auto"/>
          <w:sz w:val="28"/>
          <w:szCs w:val="28"/>
        </w:rPr>
        <w:t xml:space="preserve"> 分别为评审委员会每个成员的打分，n</w:t>
      </w:r>
      <w:r>
        <w:rPr>
          <w:rFonts w:hint="eastAsia" w:ascii="宋体" w:hAnsi="宋体"/>
          <w:color w:val="auto"/>
          <w:sz w:val="28"/>
          <w:szCs w:val="28"/>
          <w:vertAlign w:val="subscript"/>
        </w:rPr>
        <w:t>3</w:t>
      </w:r>
      <w:r>
        <w:rPr>
          <w:rFonts w:hint="eastAsia" w:ascii="宋体" w:hAnsi="宋体"/>
          <w:color w:val="auto"/>
          <w:sz w:val="28"/>
          <w:szCs w:val="28"/>
        </w:rPr>
        <w:t>为评委人数。</w:t>
      </w:r>
    </w:p>
    <w:p>
      <w:pPr>
        <w:keepNext/>
        <w:keepLines/>
        <w:numPr>
          <w:ilvl w:val="2"/>
          <w:numId w:val="5"/>
        </w:numPr>
        <w:spacing w:line="360" w:lineRule="auto"/>
        <w:ind w:left="0" w:firstLine="0"/>
        <w:outlineLvl w:val="2"/>
        <w:rPr>
          <w:rFonts w:ascii="宋体" w:hAnsi="宋体"/>
          <w:b/>
          <w:bCs/>
          <w:color w:val="auto"/>
          <w:sz w:val="28"/>
          <w:szCs w:val="28"/>
        </w:rPr>
      </w:pPr>
      <w:r>
        <w:rPr>
          <w:rFonts w:hint="eastAsia" w:ascii="宋体" w:hAnsi="宋体"/>
          <w:b/>
          <w:bCs/>
          <w:color w:val="auto"/>
          <w:sz w:val="28"/>
          <w:szCs w:val="28"/>
        </w:rPr>
        <w:t>评分标准</w:t>
      </w:r>
    </w:p>
    <w:tbl>
      <w:tblPr>
        <w:tblStyle w:val="47"/>
        <w:tblW w:w="894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
        <w:gridCol w:w="1505"/>
        <w:gridCol w:w="681"/>
        <w:gridCol w:w="5082"/>
        <w:gridCol w:w="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6" w:hRule="atLeast"/>
          <w:tblHeader/>
          <w:jc w:val="center"/>
        </w:trPr>
        <w:tc>
          <w:tcPr>
            <w:tcW w:w="711" w:type="dxa"/>
            <w:vAlign w:val="center"/>
          </w:tcPr>
          <w:p>
            <w:pPr>
              <w:tabs>
                <w:tab w:val="left" w:pos="0"/>
              </w:tabs>
              <w:spacing w:line="320" w:lineRule="exact"/>
              <w:ind w:firstLine="28"/>
              <w:jc w:val="center"/>
              <w:rPr>
                <w:rFonts w:ascii="宋体" w:hAnsi="宋体" w:eastAsia="宋体" w:cs="宋体"/>
                <w:color w:val="auto"/>
              </w:rPr>
            </w:pPr>
            <w:r>
              <w:rPr>
                <w:rFonts w:hint="eastAsia" w:ascii="宋体" w:hAnsi="宋体" w:eastAsia="宋体" w:cs="宋体"/>
                <w:b/>
                <w:bCs/>
                <w:color w:val="auto"/>
                <w:szCs w:val="21"/>
              </w:rPr>
              <w:t>序号</w:t>
            </w:r>
          </w:p>
        </w:tc>
        <w:tc>
          <w:tcPr>
            <w:tcW w:w="1505" w:type="dxa"/>
            <w:vAlign w:val="center"/>
          </w:tcPr>
          <w:p>
            <w:pPr>
              <w:tabs>
                <w:tab w:val="left" w:pos="0"/>
              </w:tabs>
              <w:spacing w:line="320" w:lineRule="exact"/>
              <w:ind w:firstLine="28"/>
              <w:jc w:val="center"/>
              <w:rPr>
                <w:rFonts w:ascii="宋体" w:hAnsi="宋体" w:eastAsia="宋体" w:cs="宋体"/>
                <w:b/>
                <w:bCs/>
                <w:color w:val="auto"/>
                <w:szCs w:val="21"/>
              </w:rPr>
            </w:pPr>
            <w:r>
              <w:rPr>
                <w:rFonts w:hint="eastAsia" w:ascii="宋体" w:hAnsi="宋体" w:eastAsia="宋体" w:cs="宋体"/>
                <w:b/>
                <w:bCs/>
                <w:color w:val="auto"/>
                <w:szCs w:val="21"/>
              </w:rPr>
              <w:t>评分因素</w:t>
            </w:r>
          </w:p>
          <w:p>
            <w:pPr>
              <w:tabs>
                <w:tab w:val="left" w:pos="0"/>
              </w:tabs>
              <w:spacing w:line="320" w:lineRule="exact"/>
              <w:ind w:firstLine="28"/>
              <w:jc w:val="center"/>
              <w:rPr>
                <w:rFonts w:ascii="宋体" w:hAnsi="宋体" w:eastAsia="宋体" w:cs="宋体"/>
                <w:color w:val="auto"/>
              </w:rPr>
            </w:pPr>
            <w:r>
              <w:rPr>
                <w:rFonts w:hint="eastAsia" w:ascii="宋体" w:hAnsi="宋体" w:eastAsia="宋体" w:cs="宋体"/>
                <w:b/>
                <w:bCs/>
                <w:color w:val="auto"/>
                <w:szCs w:val="21"/>
              </w:rPr>
              <w:t>及权重</w:t>
            </w:r>
          </w:p>
        </w:tc>
        <w:tc>
          <w:tcPr>
            <w:tcW w:w="681" w:type="dxa"/>
            <w:vAlign w:val="center"/>
          </w:tcPr>
          <w:p>
            <w:pPr>
              <w:tabs>
                <w:tab w:val="left" w:pos="0"/>
              </w:tabs>
              <w:spacing w:line="320" w:lineRule="exact"/>
              <w:jc w:val="center"/>
              <w:rPr>
                <w:rFonts w:ascii="宋体" w:hAnsi="宋体" w:eastAsia="宋体" w:cs="宋体"/>
                <w:color w:val="auto"/>
              </w:rPr>
            </w:pPr>
            <w:r>
              <w:rPr>
                <w:rFonts w:hint="eastAsia" w:ascii="宋体" w:hAnsi="宋体" w:eastAsia="宋体" w:cs="宋体"/>
                <w:b/>
                <w:bCs/>
                <w:color w:val="auto"/>
                <w:szCs w:val="21"/>
              </w:rPr>
              <w:t>分 值</w:t>
            </w:r>
          </w:p>
        </w:tc>
        <w:tc>
          <w:tcPr>
            <w:tcW w:w="5082" w:type="dxa"/>
            <w:vAlign w:val="center"/>
          </w:tcPr>
          <w:p>
            <w:pPr>
              <w:tabs>
                <w:tab w:val="left" w:pos="0"/>
              </w:tabs>
              <w:spacing w:line="320" w:lineRule="exact"/>
              <w:ind w:firstLine="28"/>
              <w:jc w:val="center"/>
              <w:rPr>
                <w:rFonts w:ascii="宋体" w:hAnsi="宋体" w:eastAsia="宋体" w:cs="宋体"/>
                <w:color w:val="auto"/>
              </w:rPr>
            </w:pPr>
            <w:r>
              <w:rPr>
                <w:rFonts w:hint="eastAsia" w:ascii="宋体" w:hAnsi="宋体" w:eastAsia="宋体" w:cs="宋体"/>
                <w:b/>
                <w:bCs/>
                <w:color w:val="auto"/>
                <w:szCs w:val="21"/>
              </w:rPr>
              <w:t>评分标准</w:t>
            </w:r>
          </w:p>
        </w:tc>
        <w:tc>
          <w:tcPr>
            <w:tcW w:w="962" w:type="dxa"/>
            <w:vAlign w:val="center"/>
          </w:tcPr>
          <w:p>
            <w:pPr>
              <w:tabs>
                <w:tab w:val="left" w:pos="0"/>
              </w:tabs>
              <w:spacing w:line="320" w:lineRule="exact"/>
              <w:jc w:val="center"/>
              <w:rPr>
                <w:rFonts w:ascii="宋体" w:hAnsi="宋体" w:eastAsia="宋体" w:cs="宋体"/>
                <w:color w:val="auto"/>
              </w:rPr>
            </w:pPr>
            <w:r>
              <w:rPr>
                <w:rFonts w:hint="eastAsia" w:ascii="宋体" w:hAnsi="宋体" w:eastAsia="宋体" w:cs="宋体"/>
                <w:b/>
                <w:bCs/>
                <w:color w:val="auto"/>
                <w:szCs w:val="21"/>
              </w:rPr>
              <w:t>说    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11" w:type="dxa"/>
            <w:vAlign w:val="center"/>
          </w:tcPr>
          <w:p>
            <w:pPr>
              <w:tabs>
                <w:tab w:val="left" w:pos="0"/>
              </w:tabs>
              <w:spacing w:line="320" w:lineRule="exact"/>
              <w:ind w:firstLine="28"/>
              <w:jc w:val="center"/>
              <w:rPr>
                <w:rFonts w:hint="eastAsia" w:ascii="宋体" w:hAnsi="宋体" w:eastAsia="宋体" w:cs="宋体"/>
                <w:color w:val="auto"/>
                <w:lang w:val="en-US" w:eastAsia="zh-CN"/>
              </w:rPr>
            </w:pPr>
            <w:r>
              <w:rPr>
                <w:rFonts w:hint="eastAsia" w:ascii="宋体" w:hAnsi="宋体" w:cs="宋体"/>
                <w:color w:val="auto"/>
                <w:lang w:val="en-US" w:eastAsia="zh-CN"/>
              </w:rPr>
              <w:t>1</w:t>
            </w:r>
          </w:p>
        </w:tc>
        <w:tc>
          <w:tcPr>
            <w:tcW w:w="1505" w:type="dxa"/>
            <w:vAlign w:val="center"/>
          </w:tcPr>
          <w:p>
            <w:pPr>
              <w:tabs>
                <w:tab w:val="left" w:pos="0"/>
              </w:tabs>
              <w:spacing w:line="320" w:lineRule="exact"/>
              <w:ind w:firstLine="28"/>
              <w:jc w:val="center"/>
              <w:rPr>
                <w:rFonts w:ascii="宋体" w:hAnsi="宋体" w:eastAsia="宋体" w:cs="宋体"/>
                <w:color w:val="auto"/>
              </w:rPr>
            </w:pPr>
            <w:r>
              <w:rPr>
                <w:rFonts w:hint="eastAsia" w:ascii="宋体" w:hAnsi="宋体" w:eastAsia="宋体" w:cs="宋体"/>
                <w:color w:val="auto"/>
                <w:szCs w:val="21"/>
              </w:rPr>
              <w:t>报价30%</w:t>
            </w:r>
          </w:p>
        </w:tc>
        <w:tc>
          <w:tcPr>
            <w:tcW w:w="681" w:type="dxa"/>
            <w:vAlign w:val="center"/>
          </w:tcPr>
          <w:p>
            <w:pPr>
              <w:tabs>
                <w:tab w:val="left" w:pos="0"/>
              </w:tabs>
              <w:spacing w:line="320" w:lineRule="exact"/>
              <w:ind w:firstLine="28"/>
              <w:jc w:val="center"/>
              <w:rPr>
                <w:rFonts w:ascii="宋体" w:hAnsi="宋体" w:eastAsia="宋体" w:cs="宋体"/>
                <w:color w:val="auto"/>
              </w:rPr>
            </w:pPr>
            <w:r>
              <w:rPr>
                <w:rFonts w:hint="eastAsia" w:ascii="宋体" w:hAnsi="宋体" w:eastAsia="宋体" w:cs="宋体"/>
                <w:color w:val="auto"/>
                <w:szCs w:val="21"/>
              </w:rPr>
              <w:t>30分</w:t>
            </w:r>
          </w:p>
        </w:tc>
        <w:tc>
          <w:tcPr>
            <w:tcW w:w="5082" w:type="dxa"/>
            <w:vAlign w:val="center"/>
          </w:tcPr>
          <w:p>
            <w:pPr>
              <w:pStyle w:val="237"/>
              <w:ind w:left="42"/>
              <w:rPr>
                <w:rFonts w:cs="宋体"/>
                <w:color w:val="auto"/>
              </w:rPr>
            </w:pPr>
            <w:r>
              <w:rPr>
                <w:rFonts w:hint="eastAsia" w:cs="宋体"/>
                <w:color w:val="auto"/>
              </w:rPr>
              <w:t>满足招标文件要求且投标价格最低的投标报价为评标基准价，其价格分为满分。其他投标人的价格分统一按照下列公式计算：投标报价得分=(评标基准价／投标报价)×30；</w:t>
            </w:r>
          </w:p>
          <w:p>
            <w:pPr>
              <w:pStyle w:val="237"/>
              <w:ind w:left="42"/>
              <w:rPr>
                <w:rFonts w:cs="宋体"/>
                <w:color w:val="auto"/>
              </w:rPr>
            </w:pPr>
            <w:r>
              <w:rPr>
                <w:rFonts w:hint="eastAsia" w:cs="宋体"/>
                <w:color w:val="auto"/>
              </w:rPr>
              <w:t>注：1.评标过程中，不得去掉报价中的最高报价和最低报价。</w:t>
            </w:r>
          </w:p>
          <w:p>
            <w:pPr>
              <w:pStyle w:val="237"/>
              <w:ind w:left="42"/>
              <w:rPr>
                <w:rFonts w:cs="宋体"/>
                <w:color w:val="auto"/>
              </w:rPr>
            </w:pPr>
            <w:r>
              <w:rPr>
                <w:rFonts w:hint="eastAsia" w:cs="宋体"/>
                <w:color w:val="auto"/>
              </w:rPr>
              <w:t>2.因落实政府采购政策进行价格调整的，以调整后的价格计算评标基准价和投标报价。</w:t>
            </w:r>
          </w:p>
          <w:p>
            <w:pPr>
              <w:pStyle w:val="237"/>
              <w:ind w:left="42"/>
              <w:rPr>
                <w:rFonts w:cs="宋体"/>
                <w:color w:val="auto"/>
              </w:rPr>
            </w:pPr>
            <w:r>
              <w:rPr>
                <w:rFonts w:hint="eastAsia" w:cs="宋体"/>
                <w:color w:val="auto"/>
              </w:rPr>
              <w:t>3.报价评分的取值按四舍五入法，保留小数点后两位。</w:t>
            </w:r>
          </w:p>
        </w:tc>
        <w:tc>
          <w:tcPr>
            <w:tcW w:w="962" w:type="dxa"/>
            <w:vAlign w:val="center"/>
          </w:tcPr>
          <w:p>
            <w:pPr>
              <w:tabs>
                <w:tab w:val="left" w:pos="0"/>
              </w:tabs>
              <w:spacing w:line="320" w:lineRule="exact"/>
              <w:ind w:left="-38"/>
              <w:jc w:val="center"/>
              <w:rPr>
                <w:rFonts w:ascii="宋体" w:hAnsi="宋体" w:eastAsia="宋体" w:cs="宋体"/>
                <w:color w:val="auto"/>
                <w:szCs w:val="21"/>
              </w:rPr>
            </w:pPr>
            <w:r>
              <w:rPr>
                <w:rFonts w:hint="eastAsia" w:ascii="宋体" w:hAnsi="宋体" w:eastAsia="宋体" w:cs="宋体"/>
                <w:color w:val="auto"/>
                <w:szCs w:val="21"/>
              </w:rPr>
              <w:t>共同评</w:t>
            </w:r>
          </w:p>
          <w:p>
            <w:pPr>
              <w:tabs>
                <w:tab w:val="left" w:pos="0"/>
              </w:tabs>
              <w:spacing w:line="320" w:lineRule="exact"/>
              <w:ind w:left="-38"/>
              <w:jc w:val="center"/>
              <w:rPr>
                <w:rFonts w:ascii="宋体" w:hAnsi="宋体" w:eastAsia="宋体" w:cs="宋体"/>
                <w:color w:val="auto"/>
              </w:rPr>
            </w:pPr>
            <w:r>
              <w:rPr>
                <w:rFonts w:hint="eastAsia" w:ascii="宋体" w:hAnsi="宋体" w:eastAsia="宋体" w:cs="宋体"/>
                <w:color w:val="auto"/>
                <w:szCs w:val="21"/>
              </w:rPr>
              <w:t>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11" w:type="dxa"/>
            <w:vAlign w:val="center"/>
          </w:tcPr>
          <w:p>
            <w:pPr>
              <w:tabs>
                <w:tab w:val="left" w:pos="0"/>
              </w:tabs>
              <w:spacing w:line="320" w:lineRule="exact"/>
              <w:ind w:firstLine="28"/>
              <w:jc w:val="center"/>
              <w:rPr>
                <w:rFonts w:hint="eastAsia" w:ascii="宋体" w:hAnsi="宋体" w:eastAsia="宋体" w:cs="宋体"/>
                <w:color w:val="auto"/>
                <w:lang w:val="en-US" w:eastAsia="zh-CN"/>
              </w:rPr>
            </w:pPr>
            <w:r>
              <w:rPr>
                <w:rFonts w:hint="eastAsia" w:ascii="宋体" w:hAnsi="宋体" w:cs="宋体"/>
                <w:color w:val="auto"/>
                <w:lang w:val="en-US" w:eastAsia="zh-CN"/>
              </w:rPr>
              <w:t>2</w:t>
            </w:r>
          </w:p>
        </w:tc>
        <w:tc>
          <w:tcPr>
            <w:tcW w:w="1505" w:type="dxa"/>
            <w:vAlign w:val="center"/>
          </w:tcPr>
          <w:p>
            <w:pPr>
              <w:tabs>
                <w:tab w:val="left" w:pos="0"/>
              </w:tabs>
              <w:spacing w:line="320" w:lineRule="exact"/>
              <w:ind w:firstLine="28"/>
              <w:jc w:val="center"/>
              <w:rPr>
                <w:rFonts w:ascii="宋体" w:hAnsi="宋体" w:eastAsia="宋体" w:cs="宋体"/>
                <w:color w:val="auto"/>
                <w:szCs w:val="21"/>
              </w:rPr>
            </w:pPr>
            <w:r>
              <w:rPr>
                <w:rFonts w:hint="eastAsia" w:ascii="宋体" w:hAnsi="宋体" w:eastAsia="宋体" w:cs="宋体"/>
                <w:color w:val="auto"/>
                <w:szCs w:val="21"/>
              </w:rPr>
              <w:t>方案及措施</w:t>
            </w:r>
          </w:p>
          <w:p>
            <w:pPr>
              <w:tabs>
                <w:tab w:val="left" w:pos="0"/>
              </w:tabs>
              <w:spacing w:line="320" w:lineRule="exact"/>
              <w:ind w:firstLine="28"/>
              <w:jc w:val="center"/>
              <w:rPr>
                <w:rFonts w:ascii="宋体" w:hAnsi="宋体" w:eastAsia="宋体" w:cs="宋体"/>
                <w:color w:val="auto"/>
                <w:szCs w:val="21"/>
              </w:rPr>
            </w:pPr>
            <w:r>
              <w:rPr>
                <w:rFonts w:hint="eastAsia" w:ascii="宋体" w:hAnsi="宋体" w:eastAsia="宋体" w:cs="宋体"/>
                <w:color w:val="auto"/>
                <w:szCs w:val="21"/>
              </w:rPr>
              <w:t>18%</w:t>
            </w:r>
          </w:p>
          <w:p>
            <w:pPr>
              <w:tabs>
                <w:tab w:val="left" w:pos="0"/>
              </w:tabs>
              <w:spacing w:line="320" w:lineRule="exact"/>
              <w:rPr>
                <w:rFonts w:ascii="宋体" w:hAnsi="宋体" w:eastAsia="宋体" w:cs="宋体"/>
                <w:color w:val="auto"/>
              </w:rPr>
            </w:pPr>
          </w:p>
        </w:tc>
        <w:tc>
          <w:tcPr>
            <w:tcW w:w="681" w:type="dxa"/>
            <w:vAlign w:val="center"/>
          </w:tcPr>
          <w:p>
            <w:pPr>
              <w:tabs>
                <w:tab w:val="left" w:pos="0"/>
              </w:tabs>
              <w:spacing w:line="320" w:lineRule="exact"/>
              <w:ind w:firstLine="28"/>
              <w:jc w:val="center"/>
              <w:rPr>
                <w:rFonts w:ascii="宋体" w:hAnsi="宋体" w:eastAsia="宋体" w:cs="宋体"/>
                <w:color w:val="auto"/>
              </w:rPr>
            </w:pPr>
            <w:r>
              <w:rPr>
                <w:rFonts w:hint="eastAsia" w:ascii="宋体" w:hAnsi="宋体" w:eastAsia="宋体" w:cs="宋体"/>
                <w:color w:val="auto"/>
                <w:szCs w:val="21"/>
              </w:rPr>
              <w:t>18分</w:t>
            </w:r>
          </w:p>
        </w:tc>
        <w:tc>
          <w:tcPr>
            <w:tcW w:w="5082" w:type="dxa"/>
            <w:vAlign w:val="center"/>
          </w:tcPr>
          <w:p>
            <w:pPr>
              <w:widowControl/>
              <w:tabs>
                <w:tab w:val="left" w:pos="0"/>
              </w:tabs>
              <w:spacing w:beforeLines="20" w:afterLines="20" w:line="320" w:lineRule="exact"/>
              <w:jc w:val="left"/>
              <w:rPr>
                <w:rFonts w:ascii="宋体" w:hAnsi="宋体" w:eastAsia="宋体" w:cs="宋体"/>
                <w:color w:val="auto"/>
                <w:kern w:val="0"/>
                <w:szCs w:val="21"/>
              </w:rPr>
            </w:pPr>
            <w:r>
              <w:rPr>
                <w:rFonts w:hint="eastAsia" w:ascii="宋体" w:hAnsi="宋体" w:eastAsia="宋体" w:cs="宋体"/>
                <w:b/>
                <w:bCs/>
                <w:color w:val="auto"/>
                <w:kern w:val="0"/>
                <w:szCs w:val="21"/>
              </w:rPr>
              <w:t>1.投标人针对本项目提供的实施方案中具有</w:t>
            </w:r>
            <w:r>
              <w:rPr>
                <w:rFonts w:hint="eastAsia" w:ascii="宋体" w:hAnsi="宋体" w:eastAsia="宋体" w:cs="宋体"/>
                <w:color w:val="auto"/>
                <w:kern w:val="0"/>
                <w:szCs w:val="21"/>
              </w:rPr>
              <w:t>①项目总体施工程序、②施工流水作业段的划分和组织、③施工测量、④设备运输方案、⑤设备安装工程等内容，并且以上五个方面内容均完善、详尽且与本项目匹配的得10分；每有一个方面内容存在不足的扣1分；每缺少一个方面内容扣2分，本项最多扣10分。</w:t>
            </w:r>
          </w:p>
          <w:p>
            <w:pPr>
              <w:widowControl/>
              <w:tabs>
                <w:tab w:val="left" w:pos="0"/>
              </w:tabs>
              <w:spacing w:beforeLines="20" w:afterLines="20" w:line="320" w:lineRule="exact"/>
              <w:jc w:val="left"/>
              <w:rPr>
                <w:rFonts w:ascii="宋体" w:hAnsi="宋体" w:eastAsia="宋体" w:cs="宋体"/>
                <w:color w:val="auto"/>
                <w:kern w:val="0"/>
                <w:szCs w:val="21"/>
              </w:rPr>
            </w:pPr>
            <w:r>
              <w:rPr>
                <w:rFonts w:hint="eastAsia" w:ascii="宋体" w:hAnsi="宋体" w:eastAsia="宋体" w:cs="宋体"/>
                <w:b/>
                <w:bCs/>
                <w:color w:val="auto"/>
                <w:kern w:val="0"/>
                <w:szCs w:val="21"/>
              </w:rPr>
              <w:t>2.投标人针对本项目提供的措施中具有</w:t>
            </w:r>
            <w:r>
              <w:rPr>
                <w:rFonts w:hint="eastAsia" w:ascii="宋体" w:hAnsi="宋体" w:eastAsia="宋体" w:cs="宋体"/>
                <w:color w:val="auto"/>
                <w:kern w:val="0"/>
                <w:szCs w:val="21"/>
              </w:rPr>
              <w:t>①质量保证措施，②包括质量管理体系、③质量管理职责、④技术质量措施等内容，并且以上四个方面内容均完善、详尽且与本项目匹配的得8分；每有一个方面内容存在不足的扣1分；每缺少一个方面内容扣2分，本项最多扣8分。</w:t>
            </w:r>
          </w:p>
          <w:p>
            <w:pPr>
              <w:widowControl/>
              <w:tabs>
                <w:tab w:val="left" w:pos="0"/>
              </w:tabs>
              <w:spacing w:beforeLines="20" w:afterLines="20" w:line="320" w:lineRule="exact"/>
              <w:jc w:val="left"/>
              <w:rPr>
                <w:b/>
                <w:bCs/>
                <w:color w:val="auto"/>
              </w:rPr>
            </w:pPr>
            <w:r>
              <w:rPr>
                <w:rFonts w:hint="eastAsia" w:ascii="宋体" w:hAnsi="宋体" w:eastAsia="宋体" w:cs="宋体"/>
                <w:b/>
                <w:bCs/>
                <w:color w:val="auto"/>
                <w:szCs w:val="21"/>
              </w:rPr>
              <w:t>注：</w:t>
            </w:r>
            <w:r>
              <w:rPr>
                <w:rFonts w:hint="eastAsia"/>
                <w:b/>
                <w:bCs/>
                <w:color w:val="auto"/>
              </w:rPr>
              <w:t>①内容不足指以下情形中的任意一项：涉及的规范、标准与本项目要求不一致；技术环节不规范或漏缺项；实施流程不规范或漏缺项；方案内容不清晰或交叉混乱；方案内容与项目内在需求有漏项；实施过程或质量控制措施缺乏有效监督机制；重要环节重要流程保障不充分；应急处置不规范或漏缺项或与实际情况不符。</w:t>
            </w:r>
          </w:p>
          <w:p>
            <w:pPr>
              <w:widowControl/>
              <w:tabs>
                <w:tab w:val="left" w:pos="0"/>
              </w:tabs>
              <w:spacing w:beforeLines="20" w:afterLines="20" w:line="320" w:lineRule="exact"/>
              <w:jc w:val="left"/>
              <w:rPr>
                <w:rFonts w:ascii="宋体" w:hAnsi="宋体" w:eastAsia="宋体" w:cs="宋体"/>
                <w:color w:val="auto"/>
              </w:rPr>
            </w:pPr>
            <w:r>
              <w:rPr>
                <w:rFonts w:hint="eastAsia" w:ascii="宋体" w:hAnsi="宋体" w:eastAsia="宋体" w:cs="宋体"/>
                <w:b/>
                <w:bCs/>
                <w:color w:val="auto"/>
              </w:rPr>
              <w:t>②</w:t>
            </w:r>
            <w:r>
              <w:rPr>
                <w:rFonts w:hint="eastAsia" w:ascii="宋体" w:hAnsi="宋体" w:eastAsia="宋体" w:cs="宋体"/>
                <w:b/>
                <w:bCs/>
                <w:color w:val="auto"/>
                <w:szCs w:val="21"/>
              </w:rPr>
              <w:t>以评审专家结合项目实际情况和响应文件情况独立评审为准。</w:t>
            </w:r>
          </w:p>
        </w:tc>
        <w:tc>
          <w:tcPr>
            <w:tcW w:w="962" w:type="dxa"/>
            <w:vAlign w:val="center"/>
          </w:tcPr>
          <w:p>
            <w:pPr>
              <w:tabs>
                <w:tab w:val="left" w:pos="0"/>
              </w:tabs>
              <w:spacing w:line="320" w:lineRule="exact"/>
              <w:ind w:left="-38"/>
              <w:jc w:val="center"/>
              <w:rPr>
                <w:rFonts w:ascii="宋体" w:hAnsi="宋体" w:eastAsia="宋体" w:cs="宋体"/>
                <w:color w:val="auto"/>
              </w:rPr>
            </w:pPr>
            <w:r>
              <w:rPr>
                <w:rFonts w:hint="eastAsia" w:ascii="宋体" w:hAnsi="宋体" w:eastAsia="宋体" w:cs="宋体"/>
                <w:color w:val="auto"/>
                <w:szCs w:val="21"/>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11" w:type="dxa"/>
            <w:vAlign w:val="center"/>
          </w:tcPr>
          <w:p>
            <w:pPr>
              <w:tabs>
                <w:tab w:val="left" w:pos="0"/>
              </w:tabs>
              <w:spacing w:line="320" w:lineRule="exact"/>
              <w:ind w:firstLine="28"/>
              <w:jc w:val="center"/>
              <w:rPr>
                <w:rFonts w:hint="eastAsia" w:ascii="宋体" w:hAnsi="宋体" w:eastAsia="宋体" w:cs="宋体"/>
                <w:color w:val="auto"/>
                <w:lang w:val="en-US" w:eastAsia="zh-CN"/>
              </w:rPr>
            </w:pPr>
            <w:r>
              <w:rPr>
                <w:rFonts w:hint="eastAsia" w:ascii="宋体" w:hAnsi="宋体" w:cs="宋体"/>
                <w:color w:val="auto"/>
                <w:lang w:val="en-US" w:eastAsia="zh-CN"/>
              </w:rPr>
              <w:t>3</w:t>
            </w:r>
          </w:p>
        </w:tc>
        <w:tc>
          <w:tcPr>
            <w:tcW w:w="1505" w:type="dxa"/>
            <w:vAlign w:val="center"/>
          </w:tcPr>
          <w:p>
            <w:pPr>
              <w:tabs>
                <w:tab w:val="left" w:pos="0"/>
              </w:tabs>
              <w:spacing w:line="320" w:lineRule="exact"/>
              <w:jc w:val="center"/>
              <w:rPr>
                <w:rFonts w:ascii="宋体" w:hAnsi="宋体" w:eastAsia="宋体" w:cs="宋体"/>
                <w:color w:val="auto"/>
              </w:rPr>
            </w:pPr>
            <w:r>
              <w:rPr>
                <w:rFonts w:hint="eastAsia" w:ascii="宋体" w:hAnsi="宋体" w:eastAsia="宋体" w:cs="宋体"/>
                <w:color w:val="auto"/>
                <w:szCs w:val="21"/>
              </w:rPr>
              <w:t>技术指标和配置29%</w:t>
            </w:r>
          </w:p>
        </w:tc>
        <w:tc>
          <w:tcPr>
            <w:tcW w:w="681" w:type="dxa"/>
            <w:vAlign w:val="center"/>
          </w:tcPr>
          <w:p>
            <w:pPr>
              <w:tabs>
                <w:tab w:val="left" w:pos="0"/>
              </w:tabs>
              <w:spacing w:line="320" w:lineRule="exact"/>
              <w:ind w:firstLine="28"/>
              <w:jc w:val="center"/>
              <w:rPr>
                <w:rFonts w:ascii="宋体" w:hAnsi="宋体" w:eastAsia="宋体" w:cs="宋体"/>
                <w:color w:val="auto"/>
              </w:rPr>
            </w:pPr>
            <w:r>
              <w:rPr>
                <w:rFonts w:hint="eastAsia" w:ascii="宋体" w:hAnsi="宋体" w:eastAsia="宋体" w:cs="宋体"/>
                <w:color w:val="auto"/>
                <w:szCs w:val="21"/>
              </w:rPr>
              <w:t>29分</w:t>
            </w:r>
          </w:p>
        </w:tc>
        <w:tc>
          <w:tcPr>
            <w:tcW w:w="5082" w:type="dxa"/>
            <w:vAlign w:val="center"/>
          </w:tcPr>
          <w:p>
            <w:pPr>
              <w:tabs>
                <w:tab w:val="left" w:pos="0"/>
              </w:tabs>
              <w:spacing w:line="320" w:lineRule="exact"/>
              <w:rPr>
                <w:rFonts w:ascii="宋体" w:hAnsi="宋体" w:eastAsia="宋体" w:cs="宋体"/>
                <w:color w:val="auto"/>
              </w:rPr>
            </w:pPr>
            <w:r>
              <w:rPr>
                <w:rFonts w:hint="eastAsia" w:ascii="宋体" w:hAnsi="宋体" w:eastAsia="宋体" w:cs="宋体"/>
                <w:color w:val="auto"/>
                <w:szCs w:val="21"/>
              </w:rPr>
              <w:t>投标人所投产品完全符合采购清单中“</w:t>
            </w:r>
            <w:r>
              <w:rPr>
                <w:rFonts w:hint="eastAsia" w:ascii="宋体" w:hAnsi="宋体" w:eastAsia="宋体" w:cs="宋体"/>
                <w:color w:val="auto"/>
                <w:szCs w:val="21"/>
                <w:lang w:val="zh-CN"/>
              </w:rPr>
              <w:t>▲”</w:t>
            </w:r>
            <w:r>
              <w:rPr>
                <w:rFonts w:hint="eastAsia" w:ascii="宋体" w:hAnsi="宋体" w:eastAsia="宋体" w:cs="宋体"/>
                <w:color w:val="auto"/>
                <w:szCs w:val="21"/>
              </w:rPr>
              <w:t>技术要求技术要求的得满分29分；所投产品每有一项技术参数存在负偏离的扣1分，本项最多扣29分。</w:t>
            </w:r>
          </w:p>
        </w:tc>
        <w:tc>
          <w:tcPr>
            <w:tcW w:w="962" w:type="dxa"/>
            <w:vAlign w:val="center"/>
          </w:tcPr>
          <w:p>
            <w:pPr>
              <w:tabs>
                <w:tab w:val="left" w:pos="0"/>
              </w:tabs>
              <w:spacing w:line="320" w:lineRule="exact"/>
              <w:ind w:left="-38"/>
              <w:jc w:val="center"/>
              <w:rPr>
                <w:rFonts w:ascii="宋体" w:hAnsi="宋体" w:eastAsia="宋体" w:cs="宋体"/>
                <w:color w:val="auto"/>
              </w:rPr>
            </w:pPr>
            <w:r>
              <w:rPr>
                <w:rFonts w:hint="eastAsia" w:ascii="宋体" w:hAnsi="宋体" w:eastAsia="宋体" w:cs="宋体"/>
                <w:color w:val="auto"/>
                <w:szCs w:val="21"/>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24" w:hRule="atLeast"/>
          <w:jc w:val="center"/>
        </w:trPr>
        <w:tc>
          <w:tcPr>
            <w:tcW w:w="711" w:type="dxa"/>
            <w:tcBorders>
              <w:top w:val="single" w:color="auto" w:sz="4" w:space="0"/>
              <w:left w:val="single" w:color="auto" w:sz="4" w:space="0"/>
              <w:bottom w:val="single" w:color="auto" w:sz="4" w:space="0"/>
              <w:right w:val="single" w:color="auto" w:sz="4" w:space="0"/>
            </w:tcBorders>
            <w:vAlign w:val="center"/>
          </w:tcPr>
          <w:p>
            <w:pPr>
              <w:tabs>
                <w:tab w:val="left" w:pos="0"/>
              </w:tabs>
              <w:spacing w:line="320" w:lineRule="exact"/>
              <w:ind w:firstLine="28"/>
              <w:jc w:val="center"/>
              <w:rPr>
                <w:rFonts w:hint="eastAsia" w:ascii="宋体" w:hAnsi="宋体" w:eastAsia="宋体" w:cs="宋体"/>
                <w:color w:val="auto"/>
                <w:lang w:val="en-US" w:eastAsia="zh-CN"/>
              </w:rPr>
            </w:pPr>
            <w:r>
              <w:rPr>
                <w:rFonts w:hint="eastAsia" w:ascii="宋体" w:hAnsi="宋体" w:cs="宋体"/>
                <w:color w:val="auto"/>
                <w:lang w:val="en-US" w:eastAsia="zh-CN"/>
              </w:rPr>
              <w:t>4</w:t>
            </w:r>
          </w:p>
        </w:tc>
        <w:tc>
          <w:tcPr>
            <w:tcW w:w="1505" w:type="dxa"/>
            <w:tcBorders>
              <w:top w:val="single" w:color="auto" w:sz="4" w:space="0"/>
              <w:left w:val="single" w:color="auto" w:sz="4" w:space="0"/>
              <w:bottom w:val="single" w:color="auto" w:sz="4" w:space="0"/>
              <w:right w:val="single" w:color="auto" w:sz="4" w:space="0"/>
            </w:tcBorders>
            <w:vAlign w:val="center"/>
          </w:tcPr>
          <w:p>
            <w:pPr>
              <w:tabs>
                <w:tab w:val="left" w:pos="0"/>
              </w:tabs>
              <w:spacing w:line="320" w:lineRule="exact"/>
              <w:ind w:firstLine="28"/>
              <w:jc w:val="center"/>
              <w:rPr>
                <w:rFonts w:ascii="宋体" w:hAnsi="宋体" w:eastAsia="宋体" w:cs="宋体"/>
                <w:color w:val="auto"/>
              </w:rPr>
            </w:pPr>
            <w:r>
              <w:rPr>
                <w:rFonts w:hint="eastAsia" w:ascii="宋体" w:hAnsi="宋体" w:eastAsia="宋体" w:cs="宋体"/>
                <w:color w:val="auto"/>
                <w:szCs w:val="21"/>
              </w:rPr>
              <w:t>履约能力21%</w:t>
            </w:r>
          </w:p>
        </w:tc>
        <w:tc>
          <w:tcPr>
            <w:tcW w:w="681" w:type="dxa"/>
            <w:tcBorders>
              <w:top w:val="single" w:color="auto" w:sz="4" w:space="0"/>
              <w:left w:val="single" w:color="auto" w:sz="4" w:space="0"/>
              <w:bottom w:val="single" w:color="auto" w:sz="4" w:space="0"/>
              <w:right w:val="single" w:color="auto" w:sz="4" w:space="0"/>
            </w:tcBorders>
            <w:vAlign w:val="center"/>
          </w:tcPr>
          <w:p>
            <w:pPr>
              <w:tabs>
                <w:tab w:val="left" w:pos="0"/>
              </w:tabs>
              <w:spacing w:line="320" w:lineRule="exact"/>
              <w:ind w:firstLine="28"/>
              <w:jc w:val="center"/>
              <w:rPr>
                <w:rFonts w:ascii="宋体" w:hAnsi="宋体" w:eastAsia="宋体" w:cs="宋体"/>
                <w:color w:val="auto"/>
              </w:rPr>
            </w:pPr>
            <w:r>
              <w:rPr>
                <w:rFonts w:hint="eastAsia" w:ascii="宋体" w:hAnsi="宋体" w:eastAsia="宋体" w:cs="宋体"/>
                <w:color w:val="auto"/>
                <w:szCs w:val="21"/>
              </w:rPr>
              <w:t>21分</w:t>
            </w:r>
          </w:p>
        </w:tc>
        <w:tc>
          <w:tcPr>
            <w:tcW w:w="5082" w:type="dxa"/>
            <w:tcBorders>
              <w:top w:val="single" w:color="auto" w:sz="4" w:space="0"/>
              <w:left w:val="single" w:color="auto" w:sz="4" w:space="0"/>
              <w:bottom w:val="single" w:color="auto" w:sz="4" w:space="0"/>
              <w:right w:val="single" w:color="auto" w:sz="4" w:space="0"/>
            </w:tcBorders>
            <w:vAlign w:val="center"/>
          </w:tcPr>
          <w:p>
            <w:pPr>
              <w:tabs>
                <w:tab w:val="left" w:pos="0"/>
              </w:tabs>
              <w:spacing w:line="320" w:lineRule="exact"/>
              <w:rPr>
                <w:rFonts w:ascii="宋体" w:hAnsi="宋体" w:eastAsia="宋体" w:cs="宋体"/>
                <w:color w:val="auto"/>
                <w:szCs w:val="21"/>
              </w:rPr>
            </w:pPr>
            <w:r>
              <w:rPr>
                <w:rFonts w:hint="eastAsia" w:ascii="宋体" w:hAnsi="宋体" w:eastAsia="宋体" w:cs="宋体"/>
                <w:color w:val="auto"/>
                <w:szCs w:val="21"/>
              </w:rPr>
              <w:t>1.投标人2018年以来每具有一个类似项目履约经验得2分，本项最多得6分；</w:t>
            </w:r>
          </w:p>
          <w:p>
            <w:pPr>
              <w:tabs>
                <w:tab w:val="left" w:pos="0"/>
              </w:tabs>
              <w:spacing w:line="320" w:lineRule="exact"/>
              <w:rPr>
                <w:rFonts w:ascii="宋体" w:hAnsi="宋体" w:eastAsia="宋体" w:cs="宋体"/>
                <w:b/>
                <w:bCs/>
                <w:color w:val="auto"/>
                <w:szCs w:val="21"/>
              </w:rPr>
            </w:pPr>
            <w:r>
              <w:rPr>
                <w:rFonts w:hint="eastAsia" w:ascii="宋体" w:hAnsi="宋体" w:eastAsia="宋体" w:cs="宋体"/>
                <w:b/>
                <w:bCs/>
                <w:color w:val="auto"/>
                <w:szCs w:val="21"/>
              </w:rPr>
              <w:t>注：提供项目合同复印件。</w:t>
            </w:r>
          </w:p>
          <w:p>
            <w:pPr>
              <w:pStyle w:val="238"/>
              <w:numPr>
                <w:ilvl w:val="2"/>
                <w:numId w:val="0"/>
              </w:numPr>
              <w:rPr>
                <w:rFonts w:cs="宋体"/>
                <w:color w:val="auto"/>
              </w:rPr>
            </w:pPr>
            <w:r>
              <w:rPr>
                <w:rFonts w:hint="eastAsia" w:cs="宋体"/>
                <w:color w:val="auto"/>
              </w:rPr>
              <w:t>2.投标人提供的产品具有电梯能量效率证书(A级)证书的得3分。</w:t>
            </w:r>
          </w:p>
          <w:p>
            <w:pPr>
              <w:pStyle w:val="238"/>
              <w:numPr>
                <w:ilvl w:val="2"/>
                <w:numId w:val="0"/>
              </w:numPr>
              <w:rPr>
                <w:rFonts w:cs="宋体"/>
                <w:color w:val="auto"/>
              </w:rPr>
            </w:pPr>
            <w:r>
              <w:rPr>
                <w:rFonts w:hint="eastAsia" w:cs="宋体"/>
                <w:color w:val="auto"/>
              </w:rPr>
              <w:t>3.投标人提供的电梯生产厂家具有五星级售后服务证书的得3分。</w:t>
            </w:r>
          </w:p>
          <w:p>
            <w:pPr>
              <w:tabs>
                <w:tab w:val="left" w:pos="0"/>
              </w:tabs>
              <w:spacing w:line="320" w:lineRule="exact"/>
              <w:rPr>
                <w:rFonts w:ascii="宋体" w:hAnsi="宋体" w:eastAsia="宋体" w:cs="宋体"/>
                <w:b/>
                <w:bCs/>
                <w:color w:val="auto"/>
                <w:szCs w:val="21"/>
              </w:rPr>
            </w:pPr>
            <w:r>
              <w:rPr>
                <w:rFonts w:hint="eastAsia" w:ascii="宋体" w:hAnsi="宋体" w:eastAsia="宋体" w:cs="宋体"/>
                <w:color w:val="auto"/>
                <w:szCs w:val="21"/>
              </w:rPr>
              <w:t>4.投标人承诺在本项质保期</w:t>
            </w:r>
            <w:bookmarkStart w:id="272" w:name="_GoBack"/>
            <w:bookmarkEnd w:id="272"/>
            <w:r>
              <w:rPr>
                <w:rFonts w:hint="eastAsia" w:ascii="宋体" w:hAnsi="宋体" w:eastAsia="宋体" w:cs="宋体"/>
                <w:color w:val="auto"/>
                <w:szCs w:val="21"/>
              </w:rPr>
              <w:t>1年的基础上每增加1年得3分，本项最多得9分(提供承诺函原件，格式自拟)。</w:t>
            </w:r>
          </w:p>
          <w:p>
            <w:pPr>
              <w:tabs>
                <w:tab w:val="left" w:pos="0"/>
              </w:tabs>
              <w:spacing w:line="320" w:lineRule="exact"/>
              <w:rPr>
                <w:rFonts w:ascii="宋体" w:hAnsi="宋体" w:eastAsia="宋体" w:cs="宋体"/>
                <w:color w:val="auto"/>
              </w:rPr>
            </w:pPr>
            <w:r>
              <w:rPr>
                <w:rFonts w:hint="eastAsia" w:ascii="宋体" w:hAnsi="宋体" w:eastAsia="宋体" w:cs="宋体"/>
                <w:b/>
                <w:bCs/>
                <w:color w:val="auto"/>
                <w:szCs w:val="21"/>
              </w:rPr>
              <w:t>注：提供证书复印件并加盖投标人单位</w:t>
            </w:r>
            <w:r>
              <w:rPr>
                <w:rFonts w:hint="eastAsia" w:ascii="宋体" w:hAnsi="宋体" w:cs="宋体"/>
                <w:b/>
                <w:bCs/>
                <w:color w:val="auto"/>
                <w:szCs w:val="21"/>
                <w:lang w:eastAsia="zh-CN"/>
              </w:rPr>
              <w:t>电子章</w:t>
            </w:r>
            <w:r>
              <w:rPr>
                <w:rFonts w:hint="eastAsia" w:ascii="宋体" w:hAnsi="宋体" w:eastAsia="宋体" w:cs="宋体"/>
                <w:b/>
                <w:bCs/>
                <w:color w:val="auto"/>
                <w:szCs w:val="21"/>
              </w:rPr>
              <w:t>。</w:t>
            </w:r>
          </w:p>
        </w:tc>
        <w:tc>
          <w:tcPr>
            <w:tcW w:w="962" w:type="dxa"/>
            <w:tcBorders>
              <w:top w:val="single" w:color="auto" w:sz="4" w:space="0"/>
              <w:left w:val="single" w:color="auto" w:sz="4" w:space="0"/>
              <w:bottom w:val="single" w:color="auto" w:sz="4" w:space="0"/>
              <w:right w:val="single" w:color="auto" w:sz="4" w:space="0"/>
            </w:tcBorders>
            <w:vAlign w:val="center"/>
          </w:tcPr>
          <w:p>
            <w:pPr>
              <w:tabs>
                <w:tab w:val="left" w:pos="0"/>
              </w:tabs>
              <w:spacing w:line="320" w:lineRule="exact"/>
              <w:ind w:left="-38"/>
              <w:jc w:val="center"/>
              <w:rPr>
                <w:rFonts w:ascii="宋体" w:hAnsi="宋体" w:eastAsia="宋体" w:cs="宋体"/>
                <w:color w:val="auto"/>
                <w:szCs w:val="21"/>
              </w:rPr>
            </w:pPr>
            <w:r>
              <w:rPr>
                <w:rFonts w:hint="eastAsia" w:ascii="宋体" w:hAnsi="宋体" w:eastAsia="宋体" w:cs="宋体"/>
                <w:color w:val="auto"/>
                <w:szCs w:val="21"/>
              </w:rPr>
              <w:t>共同评</w:t>
            </w:r>
          </w:p>
          <w:p>
            <w:pPr>
              <w:tabs>
                <w:tab w:val="left" w:pos="0"/>
              </w:tabs>
              <w:spacing w:line="320" w:lineRule="exact"/>
              <w:ind w:left="-38"/>
              <w:jc w:val="center"/>
              <w:rPr>
                <w:rFonts w:ascii="宋体" w:hAnsi="宋体" w:eastAsia="宋体" w:cs="宋体"/>
                <w:color w:val="auto"/>
              </w:rPr>
            </w:pPr>
            <w:r>
              <w:rPr>
                <w:rFonts w:hint="eastAsia" w:ascii="宋体" w:hAnsi="宋体" w:eastAsia="宋体" w:cs="宋体"/>
                <w:color w:val="auto"/>
                <w:szCs w:val="21"/>
              </w:rPr>
              <w:t>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11" w:type="dxa"/>
            <w:vMerge w:val="restart"/>
            <w:tcBorders>
              <w:top w:val="single" w:color="auto" w:sz="4" w:space="0"/>
              <w:left w:val="single" w:color="auto" w:sz="4" w:space="0"/>
              <w:bottom w:val="single" w:color="auto" w:sz="4" w:space="0"/>
              <w:right w:val="single" w:color="auto" w:sz="4" w:space="0"/>
            </w:tcBorders>
            <w:vAlign w:val="center"/>
          </w:tcPr>
          <w:p>
            <w:pPr>
              <w:tabs>
                <w:tab w:val="left" w:pos="0"/>
              </w:tabs>
              <w:spacing w:line="320" w:lineRule="exact"/>
              <w:ind w:firstLine="28"/>
              <w:jc w:val="center"/>
              <w:rPr>
                <w:rFonts w:hint="eastAsia" w:ascii="宋体" w:hAnsi="宋体" w:eastAsia="宋体" w:cs="宋体"/>
                <w:color w:val="auto"/>
                <w:lang w:val="en-US" w:eastAsia="zh-CN"/>
              </w:rPr>
            </w:pPr>
            <w:r>
              <w:rPr>
                <w:rFonts w:hint="eastAsia" w:ascii="宋体" w:hAnsi="宋体" w:cs="宋体"/>
                <w:color w:val="auto"/>
                <w:lang w:val="en-US" w:eastAsia="zh-CN"/>
              </w:rPr>
              <w:t>5</w:t>
            </w:r>
          </w:p>
        </w:tc>
        <w:tc>
          <w:tcPr>
            <w:tcW w:w="1505" w:type="dxa"/>
            <w:tcBorders>
              <w:top w:val="single" w:color="auto" w:sz="4" w:space="0"/>
              <w:left w:val="single" w:color="auto" w:sz="4" w:space="0"/>
              <w:bottom w:val="single" w:color="auto" w:sz="4" w:space="0"/>
              <w:right w:val="single" w:color="auto" w:sz="4" w:space="0"/>
            </w:tcBorders>
            <w:vAlign w:val="center"/>
          </w:tcPr>
          <w:p>
            <w:pPr>
              <w:tabs>
                <w:tab w:val="left" w:pos="0"/>
              </w:tabs>
              <w:spacing w:line="320" w:lineRule="exact"/>
              <w:ind w:firstLine="28"/>
              <w:jc w:val="center"/>
              <w:rPr>
                <w:rFonts w:ascii="宋体" w:hAnsi="宋体" w:eastAsia="宋体" w:cs="宋体"/>
                <w:color w:val="auto"/>
              </w:rPr>
            </w:pPr>
            <w:r>
              <w:rPr>
                <w:rFonts w:hint="eastAsia" w:ascii="宋体" w:hAnsi="宋体" w:eastAsia="宋体" w:cs="宋体"/>
                <w:color w:val="auto"/>
                <w:szCs w:val="21"/>
              </w:rPr>
              <w:t>节能、环境标志产品1%</w:t>
            </w:r>
          </w:p>
        </w:tc>
        <w:tc>
          <w:tcPr>
            <w:tcW w:w="681" w:type="dxa"/>
            <w:tcBorders>
              <w:top w:val="single" w:color="auto" w:sz="4" w:space="0"/>
              <w:left w:val="single" w:color="auto" w:sz="4" w:space="0"/>
              <w:bottom w:val="single" w:color="auto" w:sz="4" w:space="0"/>
              <w:right w:val="single" w:color="auto" w:sz="4" w:space="0"/>
            </w:tcBorders>
            <w:vAlign w:val="center"/>
          </w:tcPr>
          <w:p>
            <w:pPr>
              <w:tabs>
                <w:tab w:val="left" w:pos="0"/>
              </w:tabs>
              <w:spacing w:line="320" w:lineRule="exact"/>
              <w:ind w:firstLine="28"/>
              <w:jc w:val="center"/>
              <w:rPr>
                <w:rFonts w:ascii="宋体" w:hAnsi="宋体" w:eastAsia="宋体" w:cs="宋体"/>
                <w:color w:val="auto"/>
              </w:rPr>
            </w:pPr>
            <w:r>
              <w:rPr>
                <w:rFonts w:hint="eastAsia" w:ascii="宋体" w:hAnsi="宋体" w:eastAsia="宋体" w:cs="宋体"/>
                <w:color w:val="auto"/>
                <w:szCs w:val="21"/>
              </w:rPr>
              <w:t>1分</w:t>
            </w:r>
          </w:p>
        </w:tc>
        <w:tc>
          <w:tcPr>
            <w:tcW w:w="5082" w:type="dxa"/>
            <w:tcBorders>
              <w:top w:val="single" w:color="auto" w:sz="4" w:space="0"/>
              <w:left w:val="single" w:color="auto" w:sz="4" w:space="0"/>
              <w:bottom w:val="single" w:color="auto" w:sz="4" w:space="0"/>
              <w:right w:val="single" w:color="auto" w:sz="4" w:space="0"/>
            </w:tcBorders>
          </w:tcPr>
          <w:p>
            <w:pPr>
              <w:tabs>
                <w:tab w:val="left" w:pos="0"/>
              </w:tabs>
              <w:spacing w:line="320" w:lineRule="exact"/>
              <w:ind w:firstLine="28"/>
              <w:rPr>
                <w:rFonts w:ascii="宋体" w:hAnsi="宋体" w:eastAsia="宋体" w:cs="宋体"/>
                <w:color w:val="auto"/>
                <w:szCs w:val="21"/>
              </w:rPr>
            </w:pPr>
            <w:r>
              <w:rPr>
                <w:rFonts w:hint="eastAsia" w:ascii="宋体" w:hAnsi="宋体" w:eastAsia="宋体" w:cs="宋体"/>
                <w:color w:val="auto"/>
                <w:szCs w:val="21"/>
              </w:rPr>
              <w:t>投标人所投产品被认定为优先采购节能产品或者政府采购环境标志产品或者无线局域网认证产品的得1分。非政府采购节能、环境标志产品的、无线局域网认证产品的不得分。</w:t>
            </w:r>
          </w:p>
          <w:p>
            <w:pPr>
              <w:tabs>
                <w:tab w:val="left" w:pos="0"/>
              </w:tabs>
              <w:spacing w:line="320" w:lineRule="exact"/>
              <w:ind w:firstLine="28"/>
              <w:rPr>
                <w:rFonts w:ascii="宋体" w:hAnsi="宋体" w:eastAsia="宋体" w:cs="宋体"/>
                <w:color w:val="auto"/>
                <w:szCs w:val="21"/>
              </w:rPr>
            </w:pPr>
            <w:r>
              <w:rPr>
                <w:rFonts w:hint="eastAsia" w:ascii="宋体" w:hAnsi="宋体" w:eastAsia="宋体" w:cs="宋体"/>
                <w:color w:val="auto"/>
                <w:szCs w:val="21"/>
              </w:rPr>
              <w:t>注：1.“节能产品政府采购清单”以财政部会同国务院有关部门机构认定的为准；</w:t>
            </w:r>
          </w:p>
          <w:p>
            <w:pPr>
              <w:tabs>
                <w:tab w:val="left" w:pos="0"/>
              </w:tabs>
              <w:spacing w:line="320" w:lineRule="exact"/>
              <w:ind w:firstLine="28"/>
              <w:rPr>
                <w:rFonts w:ascii="宋体" w:hAnsi="宋体" w:eastAsia="宋体" w:cs="宋体"/>
                <w:color w:val="auto"/>
                <w:szCs w:val="21"/>
              </w:rPr>
            </w:pPr>
            <w:r>
              <w:rPr>
                <w:rFonts w:hint="eastAsia" w:ascii="宋体" w:hAnsi="宋体" w:eastAsia="宋体" w:cs="宋体"/>
                <w:color w:val="auto"/>
                <w:szCs w:val="21"/>
              </w:rPr>
              <w:t>2.“环境标志产品政府采购清单”以财政部会同国务院有关部门机构认定的为准；</w:t>
            </w:r>
          </w:p>
          <w:p>
            <w:pPr>
              <w:tabs>
                <w:tab w:val="left" w:pos="0"/>
              </w:tabs>
              <w:spacing w:line="320" w:lineRule="exact"/>
              <w:ind w:firstLine="28"/>
              <w:rPr>
                <w:rFonts w:ascii="宋体" w:hAnsi="宋体" w:eastAsia="宋体" w:cs="宋体"/>
                <w:color w:val="auto"/>
                <w:szCs w:val="21"/>
              </w:rPr>
            </w:pPr>
            <w:r>
              <w:rPr>
                <w:rFonts w:hint="eastAsia" w:ascii="宋体" w:hAnsi="宋体" w:eastAsia="宋体" w:cs="宋体"/>
                <w:color w:val="auto"/>
                <w:szCs w:val="21"/>
              </w:rPr>
              <w:t>3.“无线局域网认证产品政府采购清单”以财政部会同国务院有关部门机构认定的为准；</w:t>
            </w:r>
          </w:p>
          <w:p>
            <w:pPr>
              <w:tabs>
                <w:tab w:val="left" w:pos="0"/>
              </w:tabs>
              <w:spacing w:line="320" w:lineRule="exact"/>
              <w:ind w:firstLine="28"/>
              <w:rPr>
                <w:rFonts w:ascii="宋体" w:hAnsi="宋体" w:eastAsia="宋体" w:cs="宋体"/>
                <w:color w:val="auto"/>
              </w:rPr>
            </w:pPr>
            <w:r>
              <w:rPr>
                <w:rFonts w:hint="eastAsia" w:ascii="宋体" w:hAnsi="宋体" w:eastAsia="宋体" w:cs="宋体"/>
                <w:color w:val="auto"/>
                <w:szCs w:val="21"/>
              </w:rPr>
              <w:t>4.采购产品为政府强制采购节能产品的，非节能清单内产品不得参与</w:t>
            </w:r>
            <w:r>
              <w:rPr>
                <w:rFonts w:hint="eastAsia" w:ascii="宋体" w:hAnsi="宋体" w:cs="宋体"/>
                <w:color w:val="auto"/>
                <w:szCs w:val="21"/>
                <w:lang w:eastAsia="zh-CN"/>
              </w:rPr>
              <w:t>评审</w:t>
            </w:r>
            <w:r>
              <w:rPr>
                <w:rFonts w:hint="eastAsia" w:ascii="宋体" w:hAnsi="宋体" w:eastAsia="宋体" w:cs="宋体"/>
                <w:color w:val="auto"/>
                <w:szCs w:val="21"/>
              </w:rPr>
              <w:t>。</w:t>
            </w:r>
          </w:p>
        </w:tc>
        <w:tc>
          <w:tcPr>
            <w:tcW w:w="962" w:type="dxa"/>
            <w:vMerge w:val="restart"/>
            <w:tcBorders>
              <w:top w:val="single" w:color="auto" w:sz="4" w:space="0"/>
              <w:left w:val="single" w:color="auto" w:sz="4" w:space="0"/>
              <w:bottom w:val="single" w:color="auto" w:sz="4" w:space="0"/>
              <w:right w:val="single" w:color="auto" w:sz="4" w:space="0"/>
            </w:tcBorders>
            <w:vAlign w:val="center"/>
          </w:tcPr>
          <w:p>
            <w:pPr>
              <w:tabs>
                <w:tab w:val="left" w:pos="0"/>
              </w:tabs>
              <w:spacing w:line="320" w:lineRule="exact"/>
              <w:ind w:left="-38"/>
              <w:jc w:val="center"/>
              <w:rPr>
                <w:rFonts w:ascii="宋体" w:hAnsi="宋体" w:eastAsia="宋体" w:cs="宋体"/>
                <w:color w:val="auto"/>
                <w:szCs w:val="21"/>
              </w:rPr>
            </w:pPr>
            <w:r>
              <w:rPr>
                <w:rFonts w:hint="eastAsia" w:ascii="宋体" w:hAnsi="宋体" w:eastAsia="宋体" w:cs="宋体"/>
                <w:color w:val="auto"/>
                <w:szCs w:val="21"/>
              </w:rPr>
              <w:t>共同评</w:t>
            </w:r>
          </w:p>
          <w:p>
            <w:pPr>
              <w:tabs>
                <w:tab w:val="left" w:pos="0"/>
              </w:tabs>
              <w:spacing w:line="320" w:lineRule="exact"/>
              <w:ind w:left="-38"/>
              <w:jc w:val="center"/>
              <w:rPr>
                <w:rFonts w:ascii="宋体" w:hAnsi="宋体" w:eastAsia="宋体" w:cs="宋体"/>
                <w:color w:val="auto"/>
              </w:rPr>
            </w:pPr>
            <w:r>
              <w:rPr>
                <w:rFonts w:hint="eastAsia" w:ascii="宋体" w:hAnsi="宋体" w:eastAsia="宋体" w:cs="宋体"/>
                <w:color w:val="auto"/>
                <w:szCs w:val="21"/>
              </w:rPr>
              <w:t>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8" w:hRule="atLeast"/>
          <w:jc w:val="center"/>
        </w:trPr>
        <w:tc>
          <w:tcPr>
            <w:tcW w:w="711" w:type="dxa"/>
            <w:vMerge w:val="continue"/>
            <w:tcBorders>
              <w:top w:val="single" w:color="auto" w:sz="4" w:space="0"/>
              <w:left w:val="single" w:color="auto" w:sz="4" w:space="0"/>
              <w:bottom w:val="single" w:color="auto" w:sz="4" w:space="0"/>
              <w:right w:val="single" w:color="auto" w:sz="4" w:space="0"/>
            </w:tcBorders>
            <w:vAlign w:val="center"/>
          </w:tcPr>
          <w:p>
            <w:pPr>
              <w:tabs>
                <w:tab w:val="left" w:pos="0"/>
              </w:tabs>
              <w:spacing w:line="320" w:lineRule="exact"/>
              <w:ind w:firstLine="28"/>
              <w:jc w:val="center"/>
              <w:rPr>
                <w:rFonts w:ascii="宋体" w:hAnsi="宋体" w:eastAsia="宋体" w:cs="宋体"/>
                <w:color w:val="auto"/>
              </w:rPr>
            </w:pPr>
          </w:p>
        </w:tc>
        <w:tc>
          <w:tcPr>
            <w:tcW w:w="1505" w:type="dxa"/>
            <w:tcBorders>
              <w:top w:val="single" w:color="auto" w:sz="4" w:space="0"/>
              <w:left w:val="single" w:color="auto" w:sz="4" w:space="0"/>
              <w:bottom w:val="single" w:color="auto" w:sz="4" w:space="0"/>
              <w:right w:val="single" w:color="auto" w:sz="4" w:space="0"/>
            </w:tcBorders>
            <w:vAlign w:val="center"/>
          </w:tcPr>
          <w:p>
            <w:pPr>
              <w:tabs>
                <w:tab w:val="left" w:pos="0"/>
              </w:tabs>
              <w:spacing w:line="320" w:lineRule="exact"/>
              <w:ind w:firstLine="28"/>
              <w:jc w:val="center"/>
              <w:rPr>
                <w:rFonts w:ascii="宋体" w:hAnsi="宋体" w:eastAsia="宋体" w:cs="宋体"/>
                <w:color w:val="auto"/>
              </w:rPr>
            </w:pPr>
            <w:r>
              <w:rPr>
                <w:rFonts w:hint="eastAsia" w:ascii="宋体" w:hAnsi="宋体" w:eastAsia="宋体" w:cs="宋体"/>
                <w:color w:val="auto"/>
                <w:szCs w:val="21"/>
              </w:rPr>
              <w:t>扶持不发达地区和少数民族地区1%</w:t>
            </w:r>
          </w:p>
        </w:tc>
        <w:tc>
          <w:tcPr>
            <w:tcW w:w="681" w:type="dxa"/>
            <w:tcBorders>
              <w:top w:val="single" w:color="auto" w:sz="4" w:space="0"/>
              <w:left w:val="single" w:color="auto" w:sz="4" w:space="0"/>
              <w:bottom w:val="single" w:color="auto" w:sz="4" w:space="0"/>
              <w:right w:val="single" w:color="auto" w:sz="4" w:space="0"/>
            </w:tcBorders>
            <w:vAlign w:val="center"/>
          </w:tcPr>
          <w:p>
            <w:pPr>
              <w:tabs>
                <w:tab w:val="left" w:pos="0"/>
              </w:tabs>
              <w:spacing w:line="320" w:lineRule="exact"/>
              <w:ind w:firstLine="28"/>
              <w:jc w:val="center"/>
              <w:rPr>
                <w:rFonts w:ascii="宋体" w:hAnsi="宋体" w:eastAsia="宋体" w:cs="宋体"/>
                <w:color w:val="auto"/>
              </w:rPr>
            </w:pPr>
            <w:r>
              <w:rPr>
                <w:rFonts w:hint="eastAsia" w:ascii="宋体" w:hAnsi="宋体" w:eastAsia="宋体" w:cs="宋体"/>
                <w:color w:val="auto"/>
                <w:szCs w:val="21"/>
              </w:rPr>
              <w:t>1分</w:t>
            </w:r>
          </w:p>
        </w:tc>
        <w:tc>
          <w:tcPr>
            <w:tcW w:w="5082" w:type="dxa"/>
            <w:tcBorders>
              <w:top w:val="single" w:color="auto" w:sz="4" w:space="0"/>
              <w:left w:val="single" w:color="auto" w:sz="4" w:space="0"/>
              <w:bottom w:val="single" w:color="auto" w:sz="4" w:space="0"/>
              <w:right w:val="single" w:color="auto" w:sz="4" w:space="0"/>
            </w:tcBorders>
            <w:vAlign w:val="center"/>
          </w:tcPr>
          <w:p>
            <w:pPr>
              <w:tabs>
                <w:tab w:val="left" w:pos="0"/>
              </w:tabs>
              <w:spacing w:line="320" w:lineRule="exact"/>
              <w:ind w:firstLine="28"/>
              <w:rPr>
                <w:rFonts w:ascii="宋体" w:hAnsi="宋体" w:eastAsia="宋体" w:cs="宋体"/>
                <w:color w:val="auto"/>
                <w:szCs w:val="21"/>
              </w:rPr>
            </w:pPr>
            <w:r>
              <w:rPr>
                <w:rFonts w:hint="eastAsia" w:ascii="宋体" w:hAnsi="宋体" w:eastAsia="宋体" w:cs="宋体"/>
                <w:color w:val="auto"/>
                <w:szCs w:val="21"/>
              </w:rPr>
              <w:t>投标人为不发达地区或少数民族地区企业的得1分。</w:t>
            </w:r>
          </w:p>
          <w:p>
            <w:pPr>
              <w:tabs>
                <w:tab w:val="left" w:pos="0"/>
              </w:tabs>
              <w:spacing w:line="320" w:lineRule="exact"/>
              <w:ind w:firstLine="28"/>
              <w:rPr>
                <w:rFonts w:ascii="宋体" w:hAnsi="宋体" w:eastAsia="宋体" w:cs="宋体"/>
                <w:color w:val="auto"/>
              </w:rPr>
            </w:pPr>
            <w:r>
              <w:rPr>
                <w:rFonts w:hint="eastAsia" w:ascii="宋体" w:hAnsi="宋体" w:eastAsia="宋体" w:cs="宋体"/>
                <w:b/>
                <w:bCs/>
                <w:color w:val="auto"/>
                <w:szCs w:val="21"/>
              </w:rPr>
              <w:t>注：投标人提供为不发达地区企业或注册地为少数民族地区的相关证明材料。</w:t>
            </w:r>
          </w:p>
        </w:tc>
        <w:tc>
          <w:tcPr>
            <w:tcW w:w="962" w:type="dxa"/>
            <w:vMerge w:val="continue"/>
            <w:tcBorders>
              <w:top w:val="single" w:color="auto" w:sz="4" w:space="0"/>
              <w:left w:val="single" w:color="auto" w:sz="4" w:space="0"/>
              <w:bottom w:val="single" w:color="auto" w:sz="4" w:space="0"/>
              <w:right w:val="single" w:color="auto" w:sz="4" w:space="0"/>
            </w:tcBorders>
            <w:vAlign w:val="center"/>
          </w:tcPr>
          <w:p>
            <w:pPr>
              <w:tabs>
                <w:tab w:val="left" w:pos="0"/>
              </w:tabs>
              <w:spacing w:line="320" w:lineRule="exact"/>
              <w:ind w:left="-38"/>
              <w:jc w:val="center"/>
              <w:rPr>
                <w:rFonts w:ascii="宋体" w:hAnsi="宋体" w:eastAsia="宋体" w:cs="宋体"/>
                <w:color w:val="auto"/>
              </w:rPr>
            </w:pPr>
          </w:p>
        </w:tc>
      </w:tr>
    </w:tbl>
    <w:p>
      <w:pPr>
        <w:rPr>
          <w:color w:val="auto"/>
        </w:rPr>
      </w:pPr>
    </w:p>
    <w:p>
      <w:pPr>
        <w:ind w:firstLine="560" w:firstLineChars="200"/>
        <w:rPr>
          <w:rFonts w:ascii="宋体" w:hAnsi="宋体"/>
          <w:color w:val="auto"/>
          <w:sz w:val="28"/>
        </w:rPr>
      </w:pPr>
      <w:r>
        <w:rPr>
          <w:rFonts w:hint="eastAsia" w:ascii="宋体" w:hAnsi="宋体"/>
          <w:color w:val="auto"/>
          <w:sz w:val="28"/>
        </w:rPr>
        <w:t>说明：</w:t>
      </w:r>
    </w:p>
    <w:p>
      <w:pPr>
        <w:spacing w:line="360" w:lineRule="auto"/>
        <w:ind w:firstLine="560" w:firstLineChars="200"/>
        <w:rPr>
          <w:rFonts w:ascii="宋体" w:hAnsi="宋体"/>
          <w:color w:val="auto"/>
          <w:sz w:val="28"/>
        </w:rPr>
      </w:pPr>
      <w:r>
        <w:rPr>
          <w:rFonts w:hint="eastAsia" w:ascii="宋体" w:hAnsi="宋体"/>
          <w:color w:val="auto"/>
          <w:sz w:val="28"/>
        </w:rPr>
        <w:t>1、评分的取值按四舍五入法，保留小数点后两位；</w:t>
      </w:r>
    </w:p>
    <w:p>
      <w:pPr>
        <w:spacing w:line="360" w:lineRule="auto"/>
        <w:ind w:firstLine="560" w:firstLineChars="200"/>
        <w:rPr>
          <w:rFonts w:ascii="宋体" w:hAnsi="宋体"/>
          <w:color w:val="auto"/>
          <w:sz w:val="28"/>
        </w:rPr>
      </w:pPr>
      <w:r>
        <w:rPr>
          <w:rFonts w:hint="eastAsia" w:ascii="宋体" w:hAnsi="宋体"/>
          <w:color w:val="auto"/>
          <w:sz w:val="28"/>
        </w:rPr>
        <w:t>2、评分标准中要求提供复印件的证明材料须清晰可辨。</w:t>
      </w:r>
    </w:p>
    <w:p>
      <w:pPr>
        <w:keepNext/>
        <w:keepLines/>
        <w:numPr>
          <w:ilvl w:val="1"/>
          <w:numId w:val="5"/>
        </w:numPr>
        <w:spacing w:before="260" w:after="260" w:line="360" w:lineRule="auto"/>
        <w:jc w:val="left"/>
        <w:outlineLvl w:val="1"/>
        <w:rPr>
          <w:rFonts w:ascii="宋体" w:hAnsi="宋体"/>
          <w:b/>
          <w:bCs/>
          <w:color w:val="auto"/>
          <w:sz w:val="28"/>
          <w:szCs w:val="28"/>
        </w:rPr>
      </w:pPr>
      <w:bookmarkStart w:id="202" w:name="_Toc10700"/>
      <w:r>
        <w:rPr>
          <w:rFonts w:hint="eastAsia" w:ascii="宋体" w:hAnsi="宋体"/>
          <w:b/>
          <w:bCs/>
          <w:color w:val="auto"/>
          <w:sz w:val="28"/>
          <w:szCs w:val="28"/>
        </w:rPr>
        <w:t>废标</w:t>
      </w:r>
      <w:bookmarkEnd w:id="202"/>
    </w:p>
    <w:p>
      <w:pPr>
        <w:spacing w:line="360" w:lineRule="auto"/>
        <w:ind w:firstLine="560" w:firstLineChars="200"/>
        <w:rPr>
          <w:rFonts w:ascii="宋体" w:hAnsi="宋体"/>
          <w:color w:val="auto"/>
          <w:sz w:val="28"/>
          <w:szCs w:val="28"/>
        </w:rPr>
      </w:pPr>
      <w:r>
        <w:rPr>
          <w:rFonts w:hint="eastAsia" w:ascii="宋体" w:hAnsi="宋体"/>
          <w:color w:val="auto"/>
          <w:sz w:val="28"/>
          <w:szCs w:val="28"/>
        </w:rPr>
        <w:t>本次政府采购活动中，出现下列情形之一的，予以废标：</w:t>
      </w:r>
    </w:p>
    <w:p>
      <w:pPr>
        <w:numPr>
          <w:ilvl w:val="0"/>
          <w:numId w:val="51"/>
        </w:numPr>
        <w:tabs>
          <w:tab w:val="left" w:pos="1155"/>
        </w:tabs>
        <w:spacing w:line="360" w:lineRule="auto"/>
        <w:ind w:left="0" w:firstLine="525"/>
        <w:rPr>
          <w:rFonts w:ascii="宋体" w:hAnsi="宋体"/>
          <w:color w:val="auto"/>
          <w:sz w:val="28"/>
          <w:szCs w:val="28"/>
        </w:rPr>
      </w:pPr>
      <w:r>
        <w:rPr>
          <w:rFonts w:hint="eastAsia" w:ascii="宋体" w:hAnsi="宋体"/>
          <w:color w:val="auto"/>
          <w:sz w:val="28"/>
          <w:szCs w:val="28"/>
        </w:rPr>
        <w:t>符合专业条件的投标人或者对招标文件作实质响应的投标人不足三家的；</w:t>
      </w:r>
    </w:p>
    <w:p>
      <w:pPr>
        <w:numPr>
          <w:ilvl w:val="0"/>
          <w:numId w:val="51"/>
        </w:numPr>
        <w:tabs>
          <w:tab w:val="left" w:pos="1155"/>
        </w:tabs>
        <w:spacing w:line="360" w:lineRule="auto"/>
        <w:ind w:left="0" w:firstLine="525"/>
        <w:rPr>
          <w:rFonts w:ascii="宋体" w:hAnsi="宋体"/>
          <w:color w:val="auto"/>
          <w:sz w:val="28"/>
          <w:szCs w:val="28"/>
        </w:rPr>
      </w:pPr>
      <w:r>
        <w:rPr>
          <w:rFonts w:hint="eastAsia" w:ascii="宋体" w:hAnsi="宋体"/>
          <w:color w:val="auto"/>
          <w:sz w:val="28"/>
          <w:szCs w:val="28"/>
        </w:rPr>
        <w:t>出现影响采购公正的违法、违规行为的；</w:t>
      </w:r>
    </w:p>
    <w:p>
      <w:pPr>
        <w:numPr>
          <w:ilvl w:val="0"/>
          <w:numId w:val="51"/>
        </w:numPr>
        <w:tabs>
          <w:tab w:val="left" w:pos="1155"/>
        </w:tabs>
        <w:spacing w:line="360" w:lineRule="auto"/>
        <w:ind w:left="0" w:firstLine="525"/>
        <w:rPr>
          <w:rFonts w:ascii="宋体" w:hAnsi="宋体"/>
          <w:color w:val="auto"/>
          <w:sz w:val="28"/>
          <w:szCs w:val="28"/>
        </w:rPr>
      </w:pPr>
      <w:r>
        <w:rPr>
          <w:rFonts w:hint="eastAsia" w:ascii="宋体" w:hAnsi="宋体"/>
          <w:color w:val="auto"/>
          <w:sz w:val="28"/>
          <w:szCs w:val="28"/>
        </w:rPr>
        <w:t>投标人的报价均超过了采购预算，采购人不能支付的；</w:t>
      </w:r>
    </w:p>
    <w:p>
      <w:pPr>
        <w:numPr>
          <w:ilvl w:val="0"/>
          <w:numId w:val="51"/>
        </w:numPr>
        <w:tabs>
          <w:tab w:val="left" w:pos="1155"/>
        </w:tabs>
        <w:spacing w:line="360" w:lineRule="auto"/>
        <w:ind w:left="0" w:firstLine="525"/>
        <w:rPr>
          <w:rFonts w:ascii="宋体" w:hAnsi="宋体"/>
          <w:color w:val="auto"/>
          <w:sz w:val="28"/>
          <w:szCs w:val="28"/>
        </w:rPr>
      </w:pPr>
      <w:r>
        <w:rPr>
          <w:rFonts w:hint="eastAsia" w:ascii="宋体" w:hAnsi="宋体"/>
          <w:color w:val="auto"/>
          <w:sz w:val="28"/>
          <w:szCs w:val="28"/>
        </w:rPr>
        <w:t>因重大变故，采购任务取消的；</w:t>
      </w:r>
    </w:p>
    <w:p>
      <w:pPr>
        <w:numPr>
          <w:ilvl w:val="0"/>
          <w:numId w:val="51"/>
        </w:numPr>
        <w:tabs>
          <w:tab w:val="left" w:pos="1155"/>
        </w:tabs>
        <w:spacing w:line="360" w:lineRule="auto"/>
        <w:ind w:left="0" w:firstLine="525"/>
        <w:rPr>
          <w:rFonts w:ascii="宋体" w:hAnsi="宋体"/>
          <w:color w:val="auto"/>
          <w:sz w:val="28"/>
          <w:szCs w:val="28"/>
        </w:rPr>
      </w:pPr>
      <w:r>
        <w:rPr>
          <w:rFonts w:hint="eastAsia" w:ascii="宋体" w:hAnsi="宋体"/>
          <w:color w:val="auto"/>
          <w:sz w:val="28"/>
          <w:szCs w:val="28"/>
        </w:rPr>
        <w:t>废标后，</w:t>
      </w:r>
      <w:r>
        <w:rPr>
          <w:rFonts w:hint="eastAsia" w:ascii="宋体" w:hAnsi="宋体"/>
          <w:color w:val="auto"/>
          <w:sz w:val="28"/>
          <w:szCs w:val="28"/>
          <w:lang w:eastAsia="zh-CN"/>
        </w:rPr>
        <w:t>区采购中心</w:t>
      </w:r>
      <w:r>
        <w:rPr>
          <w:rFonts w:hint="eastAsia" w:ascii="宋体" w:hAnsi="宋体"/>
          <w:color w:val="auto"/>
          <w:sz w:val="28"/>
          <w:szCs w:val="28"/>
        </w:rPr>
        <w:t>将在“四川政府采购网”和“</w:t>
      </w:r>
      <w:r>
        <w:rPr>
          <w:rFonts w:hint="eastAsia" w:ascii="宋体" w:hAnsi="宋体"/>
          <w:color w:val="auto"/>
          <w:sz w:val="28"/>
          <w:szCs w:val="28"/>
          <w:lang w:eastAsia="zh-CN"/>
        </w:rPr>
        <w:t>成都市公共资源交易服务中心</w:t>
      </w:r>
      <w:r>
        <w:rPr>
          <w:rFonts w:hint="eastAsia" w:ascii="宋体" w:hAnsi="宋体"/>
          <w:color w:val="auto"/>
          <w:sz w:val="28"/>
          <w:szCs w:val="28"/>
        </w:rPr>
        <w:t>”网站上公告。</w:t>
      </w:r>
    </w:p>
    <w:p>
      <w:pPr>
        <w:keepNext/>
        <w:keepLines/>
        <w:numPr>
          <w:ilvl w:val="1"/>
          <w:numId w:val="5"/>
        </w:numPr>
        <w:spacing w:before="260" w:after="260" w:line="360" w:lineRule="auto"/>
        <w:jc w:val="left"/>
        <w:outlineLvl w:val="1"/>
        <w:rPr>
          <w:rFonts w:ascii="宋体" w:hAnsi="宋体"/>
          <w:b/>
          <w:bCs/>
          <w:color w:val="auto"/>
          <w:sz w:val="28"/>
          <w:szCs w:val="28"/>
        </w:rPr>
      </w:pPr>
      <w:bookmarkStart w:id="203" w:name="_Toc29531"/>
      <w:r>
        <w:rPr>
          <w:rFonts w:hint="eastAsia" w:ascii="宋体" w:hAnsi="宋体"/>
          <w:b/>
          <w:bCs/>
          <w:color w:val="auto"/>
          <w:sz w:val="28"/>
          <w:szCs w:val="28"/>
        </w:rPr>
        <w:t>定标</w:t>
      </w:r>
      <w:bookmarkEnd w:id="203"/>
    </w:p>
    <w:p>
      <w:pPr>
        <w:keepNext/>
        <w:keepLines/>
        <w:numPr>
          <w:ilvl w:val="2"/>
          <w:numId w:val="5"/>
        </w:numPr>
        <w:spacing w:line="360" w:lineRule="auto"/>
        <w:ind w:left="0" w:firstLine="0"/>
        <w:outlineLvl w:val="2"/>
        <w:rPr>
          <w:rFonts w:ascii="宋体" w:hAnsi="宋体"/>
          <w:b/>
          <w:bCs/>
          <w:color w:val="auto"/>
          <w:sz w:val="28"/>
          <w:szCs w:val="28"/>
        </w:rPr>
      </w:pPr>
      <w:r>
        <w:rPr>
          <w:rFonts w:hint="eastAsia" w:ascii="宋体" w:hAnsi="宋体"/>
          <w:b/>
          <w:bCs/>
          <w:color w:val="auto"/>
          <w:sz w:val="28"/>
          <w:szCs w:val="28"/>
        </w:rPr>
        <w:t>定标原则</w:t>
      </w:r>
    </w:p>
    <w:p>
      <w:pPr>
        <w:spacing w:line="560" w:lineRule="exact"/>
        <w:ind w:firstLine="560" w:firstLineChars="200"/>
        <w:rPr>
          <w:rFonts w:ascii="宋体" w:hAnsi="宋体"/>
          <w:color w:val="auto"/>
          <w:sz w:val="28"/>
          <w:szCs w:val="28"/>
        </w:rPr>
      </w:pPr>
      <w:r>
        <w:rPr>
          <w:rFonts w:hint="eastAsia" w:ascii="宋体" w:hAnsi="宋体"/>
          <w:color w:val="auto"/>
          <w:sz w:val="28"/>
          <w:szCs w:val="28"/>
        </w:rPr>
        <w:t>本项目根据评标委员会确定的中标候选人名单，采购人按顺序确定1名中标人。中标候选供应商并列的，</w:t>
      </w:r>
      <w:r>
        <w:rPr>
          <w:rFonts w:hint="eastAsia" w:ascii="宋体"/>
          <w:color w:val="auto"/>
          <w:sz w:val="28"/>
          <w:szCs w:val="28"/>
        </w:rPr>
        <w:t>由采购人采取随机抽取的方式确定中标人</w:t>
      </w:r>
      <w:r>
        <w:rPr>
          <w:rFonts w:hint="eastAsia" w:ascii="宋体" w:hAnsi="宋体"/>
          <w:color w:val="auto"/>
          <w:sz w:val="28"/>
          <w:szCs w:val="28"/>
        </w:rPr>
        <w:t>。</w:t>
      </w:r>
    </w:p>
    <w:p>
      <w:pPr>
        <w:spacing w:line="560" w:lineRule="exact"/>
        <w:ind w:firstLine="560" w:firstLineChars="200"/>
        <w:rPr>
          <w:rFonts w:ascii="宋体" w:hAnsi="宋体"/>
          <w:color w:val="auto"/>
          <w:sz w:val="28"/>
          <w:szCs w:val="28"/>
        </w:rPr>
      </w:pPr>
      <w:r>
        <w:rPr>
          <w:rFonts w:hint="eastAsia" w:cs="Helvetica" w:asciiTheme="minorEastAsia" w:hAnsiTheme="minorEastAsia" w:eastAsiaTheme="minorEastAsia"/>
          <w:color w:val="auto"/>
          <w:kern w:val="0"/>
          <w:sz w:val="28"/>
          <w:szCs w:val="28"/>
        </w:rPr>
        <w:t>采购人在收到评标报告</w:t>
      </w:r>
      <w:r>
        <w:rPr>
          <w:rFonts w:hint="eastAsia" w:cs="宋体" w:asciiTheme="minorEastAsia" w:hAnsiTheme="minorEastAsia" w:eastAsiaTheme="minorEastAsia"/>
          <w:color w:val="auto"/>
          <w:kern w:val="0"/>
          <w:sz w:val="28"/>
          <w:szCs w:val="28"/>
        </w:rPr>
        <w:t>5</w:t>
      </w:r>
      <w:r>
        <w:rPr>
          <w:rFonts w:hint="eastAsia" w:cs="Helvetica" w:asciiTheme="minorEastAsia" w:hAnsiTheme="minorEastAsia" w:eastAsiaTheme="minorEastAsia"/>
          <w:color w:val="auto"/>
          <w:kern w:val="0"/>
          <w:sz w:val="28"/>
          <w:szCs w:val="28"/>
        </w:rPr>
        <w:t>个工作日内未按评标报告推荐的中标候选人顺序确定中标人，又不能说明合法理由的，视同按评标报告推荐的顺序确定排名第一的中标候选人为中标人。</w:t>
      </w:r>
    </w:p>
    <w:p>
      <w:pPr>
        <w:keepNext/>
        <w:keepLines/>
        <w:numPr>
          <w:ilvl w:val="2"/>
          <w:numId w:val="5"/>
        </w:numPr>
        <w:spacing w:line="360" w:lineRule="auto"/>
        <w:ind w:left="0" w:firstLine="0"/>
        <w:outlineLvl w:val="2"/>
        <w:rPr>
          <w:rFonts w:ascii="宋体" w:hAnsi="宋体"/>
          <w:b/>
          <w:bCs/>
          <w:color w:val="auto"/>
          <w:sz w:val="28"/>
          <w:szCs w:val="28"/>
        </w:rPr>
      </w:pPr>
      <w:r>
        <w:rPr>
          <w:rFonts w:hint="eastAsia" w:ascii="宋体" w:hAnsi="宋体"/>
          <w:b/>
          <w:bCs/>
          <w:color w:val="auto"/>
          <w:sz w:val="28"/>
          <w:szCs w:val="28"/>
        </w:rPr>
        <w:t>定标程序</w:t>
      </w:r>
    </w:p>
    <w:p>
      <w:pPr>
        <w:spacing w:line="360" w:lineRule="auto"/>
        <w:ind w:firstLine="560" w:firstLineChars="200"/>
        <w:rPr>
          <w:rFonts w:ascii="宋体" w:hAnsi="宋体" w:cs="Helvetica"/>
          <w:color w:val="auto"/>
          <w:sz w:val="28"/>
          <w:szCs w:val="28"/>
        </w:rPr>
      </w:pPr>
      <w:r>
        <w:rPr>
          <w:rFonts w:hint="eastAsia" w:ascii="宋体" w:hAnsi="宋体" w:cs="Helvetica"/>
          <w:color w:val="auto"/>
          <w:sz w:val="28"/>
          <w:szCs w:val="28"/>
        </w:rPr>
        <w:t>一、评审委员会将评审情况写出书面报告。</w:t>
      </w:r>
    </w:p>
    <w:p>
      <w:pPr>
        <w:spacing w:line="360" w:lineRule="auto"/>
        <w:ind w:firstLine="560" w:firstLineChars="200"/>
        <w:rPr>
          <w:rFonts w:ascii="宋体" w:hAnsi="宋体" w:cs="Helvetica"/>
          <w:color w:val="auto"/>
          <w:sz w:val="28"/>
          <w:szCs w:val="28"/>
        </w:rPr>
      </w:pPr>
      <w:r>
        <w:rPr>
          <w:rFonts w:hint="eastAsia" w:ascii="宋体" w:hAnsi="宋体" w:cs="Helvetica"/>
          <w:color w:val="auto"/>
          <w:sz w:val="28"/>
          <w:szCs w:val="28"/>
        </w:rPr>
        <w:t>二、</w:t>
      </w:r>
      <w:r>
        <w:rPr>
          <w:rFonts w:hint="eastAsia" w:ascii="宋体" w:hAnsi="宋体" w:cs="Helvetica"/>
          <w:color w:val="auto"/>
          <w:sz w:val="28"/>
          <w:szCs w:val="28"/>
          <w:lang w:eastAsia="zh-CN"/>
        </w:rPr>
        <w:t>区采购中心</w:t>
      </w:r>
      <w:r>
        <w:rPr>
          <w:rFonts w:hint="eastAsia" w:ascii="宋体" w:hAnsi="宋体" w:cs="Helvetica"/>
          <w:color w:val="auto"/>
          <w:sz w:val="28"/>
          <w:szCs w:val="28"/>
        </w:rPr>
        <w:t>在评审结束之日起2个工作日内将评审报告送采购人。</w:t>
      </w:r>
    </w:p>
    <w:p>
      <w:pPr>
        <w:spacing w:line="360" w:lineRule="auto"/>
        <w:ind w:firstLine="560" w:firstLineChars="200"/>
        <w:rPr>
          <w:rFonts w:ascii="宋体" w:hAnsi="宋体" w:cs="Helvetica"/>
          <w:color w:val="auto"/>
          <w:sz w:val="28"/>
          <w:szCs w:val="28"/>
        </w:rPr>
      </w:pPr>
      <w:r>
        <w:rPr>
          <w:rFonts w:hint="eastAsia" w:ascii="宋体" w:hAnsi="宋体" w:cs="Helvetica"/>
          <w:color w:val="auto"/>
          <w:sz w:val="28"/>
          <w:szCs w:val="28"/>
        </w:rPr>
        <w:t>三、采购人在收到评审报告后五个工作日内，按照评审报告中推荐的中标（成交）候选人顺序确定中标（成交）人。如果中标（成交）候选人及其现任法定代表人、主要负责人存在行贿犯罪记录，采购人将不确定其为中标（成交）人。采购人在确认成交供应商前，应到中国裁判文书网（https://wenshu.court.gov.cn）查询成交候选供应商及其现任法定代表人、主要负责人是否存在行贿犯罪记录。</w:t>
      </w:r>
    </w:p>
    <w:p>
      <w:pPr>
        <w:spacing w:line="360" w:lineRule="auto"/>
        <w:ind w:firstLine="560" w:firstLineChars="200"/>
        <w:rPr>
          <w:rFonts w:ascii="宋体" w:hAnsi="宋体" w:cs="Helvetica"/>
          <w:color w:val="auto"/>
          <w:sz w:val="28"/>
          <w:szCs w:val="28"/>
        </w:rPr>
      </w:pPr>
      <w:r>
        <w:rPr>
          <w:rFonts w:hint="eastAsia" w:ascii="宋体" w:hAnsi="宋体" w:cs="Helvetica"/>
          <w:color w:val="auto"/>
          <w:sz w:val="28"/>
          <w:szCs w:val="28"/>
        </w:rPr>
        <w:t>四、根据采购人确定的中标（成交）人，</w:t>
      </w:r>
      <w:r>
        <w:rPr>
          <w:rFonts w:hint="eastAsia" w:ascii="宋体" w:hAnsi="宋体" w:cs="Helvetica"/>
          <w:color w:val="auto"/>
          <w:sz w:val="28"/>
          <w:szCs w:val="28"/>
          <w:lang w:eastAsia="zh-CN"/>
        </w:rPr>
        <w:t>区采购中心</w:t>
      </w:r>
      <w:r>
        <w:rPr>
          <w:rFonts w:hint="eastAsia" w:ascii="宋体" w:hAnsi="宋体" w:cs="Helvetica"/>
          <w:color w:val="auto"/>
          <w:sz w:val="28"/>
          <w:szCs w:val="28"/>
        </w:rPr>
        <w:t>在“四川政府采购网”和“</w:t>
      </w:r>
      <w:r>
        <w:rPr>
          <w:rFonts w:hint="eastAsia" w:ascii="宋体" w:hAnsi="宋体" w:cs="Helvetica"/>
          <w:color w:val="auto"/>
          <w:sz w:val="28"/>
          <w:szCs w:val="28"/>
          <w:lang w:eastAsia="zh-CN"/>
        </w:rPr>
        <w:t>成都市公共资源交易服务中心</w:t>
      </w:r>
      <w:r>
        <w:rPr>
          <w:rFonts w:hint="eastAsia" w:ascii="宋体" w:hAnsi="宋体" w:cs="Helvetica"/>
          <w:color w:val="auto"/>
          <w:sz w:val="28"/>
          <w:szCs w:val="28"/>
        </w:rPr>
        <w:t>”网站上发布中标（成交）公告，同时向中标（成交）人发出中标（成交）通知书。</w:t>
      </w:r>
    </w:p>
    <w:p>
      <w:pPr>
        <w:spacing w:line="360" w:lineRule="auto"/>
        <w:ind w:firstLine="560" w:firstLineChars="200"/>
        <w:rPr>
          <w:rFonts w:ascii="宋体" w:hAnsi="宋体" w:cs="Helvetica"/>
          <w:color w:val="auto"/>
          <w:sz w:val="28"/>
          <w:szCs w:val="28"/>
        </w:rPr>
      </w:pPr>
      <w:r>
        <w:rPr>
          <w:rFonts w:hint="eastAsia" w:ascii="宋体" w:hAnsi="宋体" w:cs="Helvetica"/>
          <w:color w:val="auto"/>
          <w:sz w:val="28"/>
          <w:szCs w:val="28"/>
        </w:rPr>
        <w:t>五、采购人、</w:t>
      </w:r>
      <w:r>
        <w:rPr>
          <w:rFonts w:hint="eastAsia" w:ascii="宋体" w:hAnsi="宋体" w:cs="Helvetica"/>
          <w:color w:val="auto"/>
          <w:sz w:val="28"/>
          <w:szCs w:val="28"/>
          <w:lang w:eastAsia="zh-CN"/>
        </w:rPr>
        <w:t>区采购中心</w:t>
      </w:r>
      <w:r>
        <w:rPr>
          <w:rFonts w:hint="eastAsia" w:ascii="宋体" w:hAnsi="宋体" w:cs="Helvetica"/>
          <w:color w:val="auto"/>
          <w:sz w:val="28"/>
          <w:szCs w:val="28"/>
        </w:rPr>
        <w:t>不解释中标（成交）或未中标（成交）原因，不退回投标文件和其他投标资料。</w:t>
      </w:r>
    </w:p>
    <w:p>
      <w:pPr>
        <w:keepNext/>
        <w:keepLines/>
        <w:numPr>
          <w:ilvl w:val="1"/>
          <w:numId w:val="5"/>
        </w:numPr>
        <w:spacing w:line="360" w:lineRule="auto"/>
        <w:jc w:val="left"/>
        <w:outlineLvl w:val="1"/>
        <w:rPr>
          <w:rFonts w:ascii="宋体" w:hAnsi="宋体"/>
          <w:b/>
          <w:bCs/>
          <w:color w:val="auto"/>
          <w:sz w:val="28"/>
          <w:szCs w:val="28"/>
        </w:rPr>
      </w:pPr>
      <w:bookmarkStart w:id="204" w:name="_Toc32573"/>
      <w:r>
        <w:rPr>
          <w:rFonts w:hint="eastAsia" w:ascii="宋体" w:hAnsi="宋体"/>
          <w:b/>
          <w:bCs/>
          <w:color w:val="auto"/>
          <w:sz w:val="28"/>
          <w:szCs w:val="28"/>
        </w:rPr>
        <w:t>评标专家在政府采购活动中承担以下义务</w:t>
      </w:r>
      <w:bookmarkEnd w:id="204"/>
    </w:p>
    <w:p>
      <w:pPr>
        <w:numPr>
          <w:ilvl w:val="0"/>
          <w:numId w:val="52"/>
        </w:numPr>
        <w:tabs>
          <w:tab w:val="left" w:pos="1155"/>
        </w:tabs>
        <w:spacing w:line="360" w:lineRule="auto"/>
        <w:ind w:left="0" w:firstLine="525"/>
        <w:rPr>
          <w:rFonts w:ascii="宋体" w:hAnsi="宋体"/>
          <w:color w:val="auto"/>
          <w:sz w:val="28"/>
          <w:szCs w:val="28"/>
        </w:rPr>
      </w:pPr>
      <w:r>
        <w:rPr>
          <w:rFonts w:hint="eastAsia" w:ascii="宋体" w:hAnsi="宋体"/>
          <w:color w:val="auto"/>
          <w:sz w:val="28"/>
          <w:szCs w:val="28"/>
        </w:rPr>
        <w:t>遵纪守法，客观、公正、廉洁地履行职责。</w:t>
      </w:r>
    </w:p>
    <w:p>
      <w:pPr>
        <w:numPr>
          <w:ilvl w:val="0"/>
          <w:numId w:val="52"/>
        </w:numPr>
        <w:tabs>
          <w:tab w:val="left" w:pos="1155"/>
        </w:tabs>
        <w:spacing w:line="360" w:lineRule="auto"/>
        <w:ind w:left="0" w:firstLine="525"/>
        <w:rPr>
          <w:rFonts w:ascii="宋体" w:hAnsi="宋体"/>
          <w:color w:val="auto"/>
          <w:sz w:val="28"/>
          <w:szCs w:val="28"/>
        </w:rPr>
      </w:pPr>
      <w:r>
        <w:rPr>
          <w:rFonts w:hint="eastAsia" w:ascii="宋体" w:hAnsi="宋体"/>
          <w:color w:val="auto"/>
          <w:sz w:val="28"/>
          <w:szCs w:val="28"/>
        </w:rPr>
        <w:t>按照政府采购法律法规和采购文件的规定要求对投标人的资格条件和投标人提供的产品价格、技术、服务等方面严格进行独立评审，提供科学合理、公平公正的评审意见，参与起草评审报告，并予签字确认。</w:t>
      </w:r>
    </w:p>
    <w:p>
      <w:pPr>
        <w:numPr>
          <w:ilvl w:val="0"/>
          <w:numId w:val="52"/>
        </w:numPr>
        <w:tabs>
          <w:tab w:val="left" w:pos="1155"/>
        </w:tabs>
        <w:spacing w:line="360" w:lineRule="auto"/>
        <w:ind w:left="0" w:firstLine="525"/>
        <w:rPr>
          <w:rFonts w:ascii="宋体" w:hAnsi="宋体"/>
          <w:color w:val="auto"/>
          <w:sz w:val="28"/>
          <w:szCs w:val="28"/>
        </w:rPr>
      </w:pPr>
      <w:r>
        <w:rPr>
          <w:rFonts w:hint="eastAsia" w:ascii="宋体" w:hAnsi="宋体"/>
          <w:color w:val="auto"/>
          <w:sz w:val="28"/>
          <w:szCs w:val="28"/>
        </w:rPr>
        <w:t>保守秘密。不得泄漏投标人的投标文件及知悉的商业秘密，不得向投标人透露评审情况。</w:t>
      </w:r>
    </w:p>
    <w:p>
      <w:pPr>
        <w:numPr>
          <w:ilvl w:val="0"/>
          <w:numId w:val="52"/>
        </w:numPr>
        <w:tabs>
          <w:tab w:val="left" w:pos="1155"/>
        </w:tabs>
        <w:spacing w:line="360" w:lineRule="auto"/>
        <w:ind w:left="0" w:firstLine="525"/>
        <w:rPr>
          <w:rFonts w:ascii="宋体" w:hAnsi="宋体"/>
          <w:color w:val="auto"/>
          <w:sz w:val="28"/>
          <w:szCs w:val="28"/>
        </w:rPr>
      </w:pPr>
      <w:r>
        <w:rPr>
          <w:rFonts w:hint="eastAsia" w:ascii="宋体" w:hAnsi="宋体"/>
          <w:color w:val="auto"/>
          <w:sz w:val="28"/>
          <w:szCs w:val="28"/>
        </w:rPr>
        <w:t>发现投标人在政府采购活动中有不正当竞争或恶意串通等违规行为，及时向政府采购评审工作的组织者或财政部门报告并加以制止。</w:t>
      </w:r>
    </w:p>
    <w:p>
      <w:pPr>
        <w:numPr>
          <w:ilvl w:val="0"/>
          <w:numId w:val="52"/>
        </w:numPr>
        <w:tabs>
          <w:tab w:val="left" w:pos="1155"/>
        </w:tabs>
        <w:spacing w:line="360" w:lineRule="auto"/>
        <w:ind w:left="0" w:firstLine="525"/>
        <w:rPr>
          <w:rFonts w:ascii="宋体" w:hAnsi="宋体"/>
          <w:color w:val="auto"/>
          <w:sz w:val="28"/>
          <w:szCs w:val="28"/>
        </w:rPr>
      </w:pPr>
      <w:r>
        <w:rPr>
          <w:rFonts w:hint="eastAsia" w:ascii="宋体" w:hAnsi="宋体"/>
          <w:color w:val="auto"/>
          <w:sz w:val="28"/>
          <w:szCs w:val="28"/>
        </w:rPr>
        <w:t>发现采购人、</w:t>
      </w:r>
      <w:r>
        <w:rPr>
          <w:rFonts w:hint="eastAsia" w:ascii="宋体" w:hAnsi="宋体"/>
          <w:color w:val="auto"/>
          <w:sz w:val="28"/>
          <w:szCs w:val="28"/>
          <w:lang w:eastAsia="zh-CN"/>
        </w:rPr>
        <w:t>区采购中心</w:t>
      </w:r>
      <w:r>
        <w:rPr>
          <w:rFonts w:hint="eastAsia" w:ascii="宋体" w:hAnsi="宋体"/>
          <w:color w:val="auto"/>
          <w:sz w:val="28"/>
          <w:szCs w:val="28"/>
        </w:rPr>
        <w:t>及其工作人员在政府采购活动中有干预评审、发表倾向性和歧视性言论、受贿或者接受投标人的其他好处及其他违法违规行为，及时向财政部门报告。</w:t>
      </w:r>
    </w:p>
    <w:p>
      <w:pPr>
        <w:numPr>
          <w:ilvl w:val="0"/>
          <w:numId w:val="52"/>
        </w:numPr>
        <w:tabs>
          <w:tab w:val="left" w:pos="1155"/>
        </w:tabs>
        <w:spacing w:line="360" w:lineRule="auto"/>
        <w:ind w:left="0" w:firstLine="525"/>
        <w:rPr>
          <w:rFonts w:ascii="宋体" w:hAnsi="宋体"/>
          <w:color w:val="auto"/>
          <w:sz w:val="28"/>
          <w:szCs w:val="28"/>
        </w:rPr>
      </w:pPr>
      <w:r>
        <w:rPr>
          <w:rFonts w:hint="eastAsia" w:ascii="宋体" w:hAnsi="宋体"/>
          <w:color w:val="auto"/>
          <w:sz w:val="28"/>
          <w:szCs w:val="28"/>
        </w:rPr>
        <w:t>解答有关方面对政府采购评审工作中有关问题的询问，配合采购人或者</w:t>
      </w:r>
      <w:r>
        <w:rPr>
          <w:rFonts w:hint="eastAsia" w:ascii="宋体" w:hAnsi="宋体"/>
          <w:color w:val="auto"/>
          <w:sz w:val="28"/>
          <w:szCs w:val="28"/>
          <w:lang w:eastAsia="zh-CN"/>
        </w:rPr>
        <w:t>区采购中心</w:t>
      </w:r>
      <w:r>
        <w:rPr>
          <w:rFonts w:hint="eastAsia" w:ascii="宋体" w:hAnsi="宋体"/>
          <w:color w:val="auto"/>
          <w:sz w:val="28"/>
          <w:szCs w:val="28"/>
        </w:rPr>
        <w:t>答复投标人的询问、质疑，配合财政部门的投诉处理工作等事宜。</w:t>
      </w:r>
    </w:p>
    <w:p>
      <w:pPr>
        <w:numPr>
          <w:ilvl w:val="0"/>
          <w:numId w:val="52"/>
        </w:numPr>
        <w:tabs>
          <w:tab w:val="left" w:pos="1155"/>
        </w:tabs>
        <w:spacing w:line="360" w:lineRule="auto"/>
        <w:ind w:left="0" w:firstLine="525"/>
        <w:rPr>
          <w:rFonts w:ascii="宋体" w:hAnsi="宋体"/>
          <w:color w:val="auto"/>
          <w:sz w:val="28"/>
          <w:szCs w:val="28"/>
        </w:rPr>
      </w:pPr>
      <w:r>
        <w:rPr>
          <w:rFonts w:hint="eastAsia" w:ascii="宋体" w:hAnsi="宋体"/>
          <w:color w:val="auto"/>
          <w:sz w:val="28"/>
          <w:szCs w:val="28"/>
        </w:rPr>
        <w:t>法律、法规和规章规定的其他义务。</w:t>
      </w:r>
    </w:p>
    <w:p>
      <w:pPr>
        <w:keepNext/>
        <w:keepLines/>
        <w:numPr>
          <w:ilvl w:val="1"/>
          <w:numId w:val="5"/>
        </w:numPr>
        <w:spacing w:line="360" w:lineRule="auto"/>
        <w:jc w:val="left"/>
        <w:outlineLvl w:val="1"/>
        <w:rPr>
          <w:rFonts w:ascii="宋体" w:hAnsi="宋体"/>
          <w:b/>
          <w:bCs/>
          <w:color w:val="auto"/>
          <w:sz w:val="28"/>
          <w:szCs w:val="28"/>
        </w:rPr>
      </w:pPr>
      <w:bookmarkStart w:id="205" w:name="_Toc23062"/>
      <w:r>
        <w:rPr>
          <w:rFonts w:hint="eastAsia" w:ascii="宋体" w:hAnsi="宋体"/>
          <w:b/>
          <w:bCs/>
          <w:color w:val="auto"/>
          <w:sz w:val="28"/>
          <w:szCs w:val="28"/>
        </w:rPr>
        <w:t>评标委员会及其成员不得有下列行为</w:t>
      </w:r>
      <w:bookmarkEnd w:id="205"/>
    </w:p>
    <w:p>
      <w:pPr>
        <w:numPr>
          <w:ilvl w:val="0"/>
          <w:numId w:val="53"/>
        </w:numPr>
        <w:tabs>
          <w:tab w:val="left" w:pos="1155"/>
        </w:tabs>
        <w:spacing w:line="360" w:lineRule="auto"/>
        <w:rPr>
          <w:rFonts w:ascii="宋体" w:hAnsi="宋体"/>
          <w:color w:val="auto"/>
          <w:sz w:val="28"/>
          <w:szCs w:val="28"/>
        </w:rPr>
      </w:pPr>
      <w:r>
        <w:rPr>
          <w:rFonts w:hint="eastAsia" w:ascii="宋体" w:hAnsi="宋体"/>
          <w:color w:val="auto"/>
          <w:sz w:val="28"/>
          <w:szCs w:val="28"/>
        </w:rPr>
        <w:t>确定参与评标至评标结束前私自接触投标人；</w:t>
      </w:r>
    </w:p>
    <w:p>
      <w:pPr>
        <w:numPr>
          <w:ilvl w:val="0"/>
          <w:numId w:val="53"/>
        </w:numPr>
        <w:tabs>
          <w:tab w:val="left" w:pos="1155"/>
        </w:tabs>
        <w:spacing w:line="360" w:lineRule="auto"/>
        <w:ind w:left="0" w:firstLine="567"/>
        <w:rPr>
          <w:rFonts w:ascii="宋体" w:hAnsi="宋体"/>
          <w:color w:val="auto"/>
          <w:sz w:val="28"/>
          <w:szCs w:val="28"/>
        </w:rPr>
      </w:pPr>
      <w:r>
        <w:rPr>
          <w:rFonts w:hint="eastAsia" w:ascii="宋体" w:hAnsi="宋体"/>
          <w:color w:val="auto"/>
          <w:sz w:val="28"/>
          <w:szCs w:val="28"/>
        </w:rPr>
        <w:t>接受投标人提出的与投标文件不一致的澄清或者说明，除招标文件明确可以澄清的除外；</w:t>
      </w:r>
    </w:p>
    <w:p>
      <w:pPr>
        <w:numPr>
          <w:ilvl w:val="0"/>
          <w:numId w:val="53"/>
        </w:numPr>
        <w:tabs>
          <w:tab w:val="left" w:pos="1155"/>
        </w:tabs>
        <w:spacing w:line="360" w:lineRule="auto"/>
        <w:ind w:left="0" w:firstLine="567"/>
        <w:rPr>
          <w:rFonts w:ascii="宋体" w:hAnsi="宋体"/>
          <w:color w:val="auto"/>
          <w:sz w:val="28"/>
          <w:szCs w:val="28"/>
        </w:rPr>
      </w:pPr>
      <w:r>
        <w:rPr>
          <w:rFonts w:hint="eastAsia" w:ascii="宋体" w:hAnsi="宋体"/>
          <w:color w:val="auto"/>
          <w:sz w:val="28"/>
          <w:szCs w:val="28"/>
        </w:rPr>
        <w:t>违反评标纪律发表倾向性意见或者征询采购人的倾向性意见；</w:t>
      </w:r>
    </w:p>
    <w:p>
      <w:pPr>
        <w:numPr>
          <w:ilvl w:val="0"/>
          <w:numId w:val="53"/>
        </w:numPr>
        <w:tabs>
          <w:tab w:val="left" w:pos="1155"/>
        </w:tabs>
        <w:spacing w:line="360" w:lineRule="auto"/>
        <w:rPr>
          <w:rFonts w:ascii="宋体" w:hAnsi="宋体"/>
          <w:color w:val="auto"/>
          <w:sz w:val="28"/>
          <w:szCs w:val="28"/>
        </w:rPr>
      </w:pPr>
      <w:r>
        <w:rPr>
          <w:rFonts w:hint="eastAsia" w:ascii="宋体" w:hAnsi="宋体"/>
          <w:color w:val="auto"/>
          <w:sz w:val="28"/>
          <w:szCs w:val="28"/>
        </w:rPr>
        <w:t>对需要专业判断的主观评审因素协商评分；</w:t>
      </w:r>
    </w:p>
    <w:p>
      <w:pPr>
        <w:numPr>
          <w:ilvl w:val="0"/>
          <w:numId w:val="53"/>
        </w:numPr>
        <w:tabs>
          <w:tab w:val="left" w:pos="1155"/>
        </w:tabs>
        <w:spacing w:line="360" w:lineRule="auto"/>
        <w:rPr>
          <w:rFonts w:ascii="宋体" w:hAnsi="宋体"/>
          <w:color w:val="auto"/>
          <w:sz w:val="28"/>
          <w:szCs w:val="28"/>
        </w:rPr>
      </w:pPr>
      <w:r>
        <w:rPr>
          <w:rFonts w:hint="eastAsia" w:ascii="宋体" w:hAnsi="宋体"/>
          <w:color w:val="auto"/>
          <w:sz w:val="28"/>
          <w:szCs w:val="28"/>
        </w:rPr>
        <w:t>在评标过程中擅离职守，影响评标程序正常进行的；</w:t>
      </w:r>
    </w:p>
    <w:p>
      <w:pPr>
        <w:numPr>
          <w:ilvl w:val="0"/>
          <w:numId w:val="53"/>
        </w:numPr>
        <w:tabs>
          <w:tab w:val="left" w:pos="1155"/>
        </w:tabs>
        <w:spacing w:line="360" w:lineRule="auto"/>
        <w:rPr>
          <w:rFonts w:ascii="宋体" w:hAnsi="宋体"/>
          <w:color w:val="auto"/>
          <w:sz w:val="28"/>
          <w:szCs w:val="28"/>
        </w:rPr>
      </w:pPr>
      <w:r>
        <w:rPr>
          <w:rFonts w:hint="eastAsia" w:ascii="宋体" w:hAnsi="宋体"/>
          <w:color w:val="auto"/>
          <w:sz w:val="28"/>
          <w:szCs w:val="28"/>
        </w:rPr>
        <w:t>记录、复制或者带走任何评标资料；</w:t>
      </w:r>
    </w:p>
    <w:p>
      <w:pPr>
        <w:numPr>
          <w:ilvl w:val="0"/>
          <w:numId w:val="53"/>
        </w:numPr>
        <w:tabs>
          <w:tab w:val="left" w:pos="1155"/>
        </w:tabs>
        <w:spacing w:line="360" w:lineRule="auto"/>
        <w:rPr>
          <w:rFonts w:ascii="宋体" w:hAnsi="宋体"/>
          <w:color w:val="auto"/>
          <w:sz w:val="28"/>
          <w:szCs w:val="28"/>
        </w:rPr>
      </w:pPr>
      <w:r>
        <w:rPr>
          <w:rFonts w:hint="eastAsia" w:ascii="宋体" w:hAnsi="宋体"/>
          <w:color w:val="auto"/>
          <w:sz w:val="28"/>
          <w:szCs w:val="28"/>
        </w:rPr>
        <w:t>其他不遵守评标纪律的行为。</w:t>
      </w:r>
    </w:p>
    <w:p>
      <w:pPr>
        <w:spacing w:line="360" w:lineRule="auto"/>
        <w:ind w:firstLine="560" w:firstLineChars="200"/>
        <w:rPr>
          <w:color w:val="auto"/>
          <w:sz w:val="28"/>
          <w:szCs w:val="28"/>
        </w:rPr>
      </w:pPr>
      <w:r>
        <w:rPr>
          <w:rFonts w:hint="eastAsia"/>
          <w:color w:val="auto"/>
          <w:sz w:val="28"/>
          <w:szCs w:val="28"/>
        </w:rPr>
        <w:t>评标委员会成员有前款第一至五项行为之一的，其评审意见无效，并不得获取评审劳务报酬和报销异地评审差旅费。</w:t>
      </w:r>
    </w:p>
    <w:p>
      <w:pPr>
        <w:keepNext/>
        <w:keepLines/>
        <w:numPr>
          <w:ilvl w:val="1"/>
          <w:numId w:val="5"/>
        </w:numPr>
        <w:spacing w:before="240" w:line="360" w:lineRule="auto"/>
        <w:jc w:val="left"/>
        <w:outlineLvl w:val="1"/>
        <w:rPr>
          <w:rFonts w:ascii="宋体" w:hAnsi="宋体"/>
          <w:b/>
          <w:bCs/>
          <w:color w:val="auto"/>
          <w:sz w:val="28"/>
          <w:szCs w:val="28"/>
        </w:rPr>
      </w:pPr>
      <w:bookmarkStart w:id="206" w:name="_Toc25981"/>
      <w:r>
        <w:rPr>
          <w:rFonts w:hint="eastAsia" w:ascii="宋体" w:hAnsi="宋体"/>
          <w:b/>
          <w:bCs/>
          <w:color w:val="auto"/>
          <w:sz w:val="28"/>
          <w:szCs w:val="28"/>
        </w:rPr>
        <w:t>评审专家在政府采购活动中应当遵守以下工作纪律</w:t>
      </w:r>
      <w:bookmarkEnd w:id="206"/>
    </w:p>
    <w:p>
      <w:pPr>
        <w:numPr>
          <w:ilvl w:val="0"/>
          <w:numId w:val="54"/>
        </w:numPr>
        <w:tabs>
          <w:tab w:val="left" w:pos="1155"/>
        </w:tabs>
        <w:spacing w:line="360" w:lineRule="auto"/>
        <w:ind w:left="0" w:firstLine="527"/>
        <w:rPr>
          <w:rFonts w:ascii="宋体" w:hAnsi="宋体"/>
          <w:color w:val="auto"/>
          <w:sz w:val="28"/>
          <w:szCs w:val="28"/>
        </w:rPr>
      </w:pPr>
      <w:r>
        <w:rPr>
          <w:rFonts w:hint="eastAsia" w:ascii="宋体" w:hAnsi="宋体"/>
          <w:color w:val="auto"/>
          <w:sz w:val="28"/>
          <w:szCs w:val="28"/>
        </w:rPr>
        <w:t>遵行《政府采购法》第十二条和《政府采购法实施条例》第九条及政府采购相关法律法规关于回避的规定。</w:t>
      </w:r>
    </w:p>
    <w:p>
      <w:pPr>
        <w:numPr>
          <w:ilvl w:val="0"/>
          <w:numId w:val="54"/>
        </w:numPr>
        <w:tabs>
          <w:tab w:val="left" w:pos="1155"/>
        </w:tabs>
        <w:spacing w:line="580" w:lineRule="exact"/>
        <w:ind w:left="0" w:firstLine="527"/>
        <w:rPr>
          <w:rFonts w:ascii="宋体" w:hAnsi="宋体"/>
          <w:color w:val="auto"/>
          <w:sz w:val="28"/>
          <w:szCs w:val="28"/>
        </w:rPr>
      </w:pPr>
      <w:r>
        <w:rPr>
          <w:rFonts w:hint="eastAsia" w:ascii="宋体" w:hAnsi="宋体"/>
          <w:color w:val="auto"/>
          <w:sz w:val="28"/>
          <w:szCs w:val="28"/>
        </w:rPr>
        <w:t>应邀按时参加评审和咨询活动，遵守评标区管理规定。</w:t>
      </w:r>
    </w:p>
    <w:p>
      <w:pPr>
        <w:numPr>
          <w:ilvl w:val="0"/>
          <w:numId w:val="54"/>
        </w:numPr>
        <w:tabs>
          <w:tab w:val="left" w:pos="1155"/>
        </w:tabs>
        <w:spacing w:line="580" w:lineRule="exact"/>
        <w:ind w:left="0" w:firstLine="527"/>
        <w:rPr>
          <w:rFonts w:ascii="宋体" w:hAnsi="宋体"/>
          <w:color w:val="auto"/>
          <w:sz w:val="28"/>
          <w:szCs w:val="28"/>
        </w:rPr>
      </w:pPr>
      <w:r>
        <w:rPr>
          <w:rFonts w:hint="eastAsia" w:ascii="宋体" w:hAnsi="宋体"/>
          <w:color w:val="auto"/>
          <w:sz w:val="28"/>
          <w:szCs w:val="28"/>
        </w:rPr>
        <w:t>进入评标区之前应将所有的通信设备存入</w:t>
      </w:r>
      <w:r>
        <w:rPr>
          <w:rFonts w:hint="eastAsia" w:ascii="宋体" w:hAnsi="宋体"/>
          <w:color w:val="auto"/>
          <w:sz w:val="28"/>
          <w:szCs w:val="28"/>
          <w:lang w:eastAsia="zh-CN"/>
        </w:rPr>
        <w:t>区采购中心</w:t>
      </w:r>
      <w:r>
        <w:rPr>
          <w:rFonts w:hint="eastAsia" w:ascii="宋体" w:hAnsi="宋体"/>
          <w:color w:val="auto"/>
          <w:sz w:val="28"/>
          <w:szCs w:val="28"/>
        </w:rPr>
        <w:t>指定的存放处。评标专家不得以任何方式将通信设备带入评标区，否则将被取消其当次项目的评标资格。遇特殊情况不能出席或途中遇阻不能按时参加评审或咨询的，应及时告知财政部门或者采购人或者</w:t>
      </w:r>
      <w:r>
        <w:rPr>
          <w:rFonts w:hint="eastAsia" w:cs="Arial"/>
          <w:color w:val="auto"/>
          <w:sz w:val="28"/>
          <w:szCs w:val="28"/>
          <w:lang w:eastAsia="zh-CN"/>
        </w:rPr>
        <w:t>区采购中心</w:t>
      </w:r>
      <w:r>
        <w:rPr>
          <w:rFonts w:hint="eastAsia" w:ascii="宋体" w:hAnsi="宋体"/>
          <w:color w:val="auto"/>
          <w:sz w:val="28"/>
          <w:szCs w:val="28"/>
        </w:rPr>
        <w:t>，不得私自转托他人。</w:t>
      </w:r>
    </w:p>
    <w:p>
      <w:pPr>
        <w:numPr>
          <w:ilvl w:val="0"/>
          <w:numId w:val="54"/>
        </w:numPr>
        <w:tabs>
          <w:tab w:val="left" w:pos="1155"/>
        </w:tabs>
        <w:spacing w:line="580" w:lineRule="exact"/>
        <w:ind w:left="0" w:firstLine="527"/>
        <w:rPr>
          <w:rFonts w:ascii="宋体" w:hAnsi="宋体"/>
          <w:color w:val="auto"/>
          <w:sz w:val="28"/>
          <w:szCs w:val="28"/>
        </w:rPr>
      </w:pPr>
      <w:r>
        <w:rPr>
          <w:rFonts w:hint="eastAsia" w:ascii="宋体" w:hAnsi="宋体"/>
          <w:color w:val="auto"/>
          <w:sz w:val="28"/>
          <w:szCs w:val="28"/>
        </w:rPr>
        <w:t>不得参加与自己有利害关系的政府采购项目的评审活动。对与自己有利害关系的评审项目，如受到邀请，应主动提出回避。财政部门、采购人或</w:t>
      </w:r>
      <w:r>
        <w:rPr>
          <w:rFonts w:hint="eastAsia" w:cs="Arial"/>
          <w:color w:val="auto"/>
          <w:sz w:val="28"/>
          <w:szCs w:val="28"/>
          <w:lang w:eastAsia="zh-CN"/>
        </w:rPr>
        <w:t>区采购中心</w:t>
      </w:r>
      <w:r>
        <w:rPr>
          <w:rFonts w:hint="eastAsia" w:ascii="宋体" w:hAnsi="宋体"/>
          <w:color w:val="auto"/>
          <w:sz w:val="28"/>
          <w:szCs w:val="28"/>
        </w:rPr>
        <w:t>也可要求该评审专家回避。</w:t>
      </w:r>
    </w:p>
    <w:p>
      <w:pPr>
        <w:numPr>
          <w:ilvl w:val="0"/>
          <w:numId w:val="54"/>
        </w:numPr>
        <w:tabs>
          <w:tab w:val="left" w:pos="1155"/>
        </w:tabs>
        <w:spacing w:line="580" w:lineRule="exact"/>
        <w:ind w:left="0" w:firstLine="527"/>
        <w:rPr>
          <w:rFonts w:ascii="宋体" w:hAnsi="宋体"/>
          <w:color w:val="auto"/>
          <w:sz w:val="28"/>
          <w:szCs w:val="28"/>
        </w:rPr>
      </w:pPr>
      <w:r>
        <w:rPr>
          <w:rFonts w:hint="eastAsia" w:ascii="宋体" w:hAnsi="宋体"/>
          <w:color w:val="auto"/>
          <w:sz w:val="28"/>
          <w:szCs w:val="28"/>
        </w:rPr>
        <w:t>评审过程中关闭通讯设备，不得与外界联系。因发生不可预见情况，确实需要与外界联系的，应告知评标区值守人员，使用评标区内由</w:t>
      </w:r>
      <w:r>
        <w:rPr>
          <w:rFonts w:hint="eastAsia" w:ascii="宋体" w:hAnsi="宋体"/>
          <w:color w:val="auto"/>
          <w:sz w:val="28"/>
          <w:szCs w:val="28"/>
          <w:lang w:eastAsia="zh-CN"/>
        </w:rPr>
        <w:t>区采购中心</w:t>
      </w:r>
      <w:r>
        <w:rPr>
          <w:rFonts w:hint="eastAsia" w:ascii="宋体" w:hAnsi="宋体"/>
          <w:color w:val="auto"/>
          <w:sz w:val="28"/>
          <w:szCs w:val="28"/>
        </w:rPr>
        <w:t>提供的通信设备，在监督人员监督之下办理。</w:t>
      </w:r>
    </w:p>
    <w:p>
      <w:pPr>
        <w:numPr>
          <w:ilvl w:val="0"/>
          <w:numId w:val="54"/>
        </w:numPr>
        <w:tabs>
          <w:tab w:val="left" w:pos="1155"/>
        </w:tabs>
        <w:spacing w:line="580" w:lineRule="exact"/>
        <w:ind w:left="0" w:firstLine="527"/>
        <w:rPr>
          <w:rFonts w:ascii="宋体" w:hAnsi="宋体"/>
          <w:color w:val="auto"/>
          <w:sz w:val="28"/>
          <w:szCs w:val="28"/>
        </w:rPr>
      </w:pPr>
      <w:r>
        <w:rPr>
          <w:rFonts w:hint="eastAsia" w:ascii="宋体" w:hAnsi="宋体"/>
          <w:color w:val="auto"/>
          <w:sz w:val="28"/>
          <w:szCs w:val="28"/>
        </w:rPr>
        <w:t>评审过程中，不得发表影响评审公正的倾向性、歧视性言论；不得征询或者接受采购人的倾向性意见；不得修改或细化招标文件确定的评标程序、评标方法、评标因素和评标标准；不得接受投标人主动提出的澄清和解释；不得协商评分；不得以任何明示或暗示的方式要求参加该采购项目的投标人以澄清、说明或补正为借口，表达与其原投标文件原意不同的新意见；不得以采购文件没有规定的方法和标准作为评审的依据；不得违反规定的评审格式评分和撰写评审意见；不得拒绝对自己的评审意见签字确认。</w:t>
      </w:r>
    </w:p>
    <w:p>
      <w:pPr>
        <w:numPr>
          <w:ilvl w:val="0"/>
          <w:numId w:val="54"/>
        </w:numPr>
        <w:tabs>
          <w:tab w:val="left" w:pos="1155"/>
        </w:tabs>
        <w:spacing w:line="580" w:lineRule="exact"/>
        <w:ind w:left="0" w:firstLine="527"/>
        <w:rPr>
          <w:rFonts w:ascii="宋体" w:hAnsi="宋体"/>
          <w:color w:val="auto"/>
          <w:sz w:val="28"/>
          <w:szCs w:val="28"/>
        </w:rPr>
      </w:pPr>
      <w:r>
        <w:rPr>
          <w:rFonts w:hint="eastAsia" w:ascii="宋体" w:hAnsi="宋体"/>
          <w:color w:val="auto"/>
          <w:sz w:val="28"/>
          <w:szCs w:val="28"/>
        </w:rPr>
        <w:t>在评标过程中和评标结束后，不得记录、复制或带走任何评标资料，除因规定的义务外，不得向外界透露评标内容。</w:t>
      </w:r>
    </w:p>
    <w:p>
      <w:pPr>
        <w:numPr>
          <w:ilvl w:val="0"/>
          <w:numId w:val="54"/>
        </w:numPr>
        <w:tabs>
          <w:tab w:val="left" w:pos="1155"/>
        </w:tabs>
        <w:spacing w:line="580" w:lineRule="exact"/>
        <w:ind w:left="0" w:firstLine="527"/>
        <w:rPr>
          <w:rFonts w:ascii="宋体" w:hAnsi="宋体"/>
          <w:color w:val="auto"/>
          <w:sz w:val="28"/>
          <w:szCs w:val="28"/>
        </w:rPr>
      </w:pPr>
      <w:r>
        <w:rPr>
          <w:rFonts w:hint="eastAsia" w:ascii="宋体" w:hAnsi="宋体"/>
          <w:color w:val="auto"/>
          <w:sz w:val="28"/>
          <w:szCs w:val="28"/>
        </w:rPr>
        <w:t>服从评标现场</w:t>
      </w:r>
      <w:r>
        <w:rPr>
          <w:rFonts w:hint="eastAsia" w:cs="Arial"/>
          <w:color w:val="auto"/>
          <w:sz w:val="28"/>
          <w:szCs w:val="28"/>
          <w:lang w:eastAsia="zh-CN"/>
        </w:rPr>
        <w:t>区采购中心</w:t>
      </w:r>
      <w:r>
        <w:rPr>
          <w:rFonts w:hint="eastAsia" w:ascii="宋体" w:hAnsi="宋体"/>
          <w:color w:val="auto"/>
          <w:sz w:val="28"/>
          <w:szCs w:val="28"/>
        </w:rPr>
        <w:t>的现场秩序管理，接受评标现场监督人员的合法监督。</w:t>
      </w:r>
    </w:p>
    <w:p>
      <w:pPr>
        <w:numPr>
          <w:ilvl w:val="0"/>
          <w:numId w:val="54"/>
        </w:numPr>
        <w:tabs>
          <w:tab w:val="left" w:pos="1155"/>
        </w:tabs>
        <w:spacing w:line="580" w:lineRule="exact"/>
        <w:ind w:left="0" w:firstLine="527"/>
        <w:rPr>
          <w:rFonts w:ascii="宋体" w:hAnsi="宋体"/>
          <w:color w:val="auto"/>
          <w:sz w:val="28"/>
          <w:szCs w:val="28"/>
        </w:rPr>
      </w:pPr>
      <w:r>
        <w:rPr>
          <w:rFonts w:hint="eastAsia" w:ascii="宋体" w:hAnsi="宋体"/>
          <w:color w:val="auto"/>
          <w:sz w:val="28"/>
          <w:szCs w:val="28"/>
        </w:rPr>
        <w:t>遵守有关廉洁自律规定，不得私下接触投标人，不得收受投标人及有关业务单位和个人的财物或好处，不得接受采购组织单位的请托。</w:t>
      </w:r>
    </w:p>
    <w:p>
      <w:pPr>
        <w:numPr>
          <w:ilvl w:val="0"/>
          <w:numId w:val="54"/>
        </w:numPr>
        <w:tabs>
          <w:tab w:val="left" w:pos="1155"/>
        </w:tabs>
        <w:spacing w:line="580" w:lineRule="exact"/>
        <w:ind w:left="0" w:firstLine="527"/>
        <w:rPr>
          <w:rFonts w:ascii="宋体" w:hAnsi="宋体"/>
          <w:color w:val="auto"/>
          <w:sz w:val="28"/>
          <w:szCs w:val="28"/>
        </w:rPr>
      </w:pPr>
      <w:r>
        <w:rPr>
          <w:rFonts w:hint="eastAsia" w:ascii="宋体" w:hAnsi="宋体"/>
          <w:color w:val="auto"/>
          <w:sz w:val="28"/>
          <w:szCs w:val="28"/>
        </w:rPr>
        <w:t>在咨询工作中，严格执行国家产业政策和产品标准，认真听取咨询方的合理要求，提出科学合理的、无倾向性和歧视性的咨询方案，并对所提出的意见和建议承担个人责任。</w:t>
      </w:r>
    </w:p>
    <w:p>
      <w:pPr>
        <w:numPr>
          <w:ilvl w:val="0"/>
          <w:numId w:val="54"/>
        </w:numPr>
        <w:tabs>
          <w:tab w:val="left" w:pos="1155"/>
          <w:tab w:val="left" w:pos="1276"/>
          <w:tab w:val="left" w:pos="1418"/>
        </w:tabs>
        <w:spacing w:line="580" w:lineRule="exact"/>
        <w:ind w:left="527" w:firstLine="40"/>
        <w:rPr>
          <w:rFonts w:ascii="宋体" w:hAnsi="宋体"/>
          <w:color w:val="auto"/>
          <w:sz w:val="28"/>
          <w:szCs w:val="28"/>
        </w:rPr>
      </w:pPr>
      <w:r>
        <w:rPr>
          <w:rFonts w:hint="eastAsia" w:ascii="宋体" w:hAnsi="宋体"/>
          <w:color w:val="auto"/>
          <w:sz w:val="28"/>
          <w:szCs w:val="28"/>
        </w:rPr>
        <w:t>有关部门（机构）制定的其他评审工作纪律。</w:t>
      </w:r>
    </w:p>
    <w:p>
      <w:pPr>
        <w:tabs>
          <w:tab w:val="left" w:pos="1155"/>
          <w:tab w:val="left" w:pos="1276"/>
          <w:tab w:val="left" w:pos="1418"/>
        </w:tabs>
        <w:spacing w:line="580" w:lineRule="exact"/>
        <w:rPr>
          <w:rFonts w:ascii="宋体" w:hAnsi="宋体"/>
          <w:color w:val="auto"/>
          <w:sz w:val="28"/>
          <w:szCs w:val="28"/>
        </w:rPr>
      </w:pPr>
    </w:p>
    <w:p>
      <w:pPr>
        <w:tabs>
          <w:tab w:val="left" w:pos="1155"/>
          <w:tab w:val="left" w:pos="1276"/>
          <w:tab w:val="left" w:pos="1418"/>
        </w:tabs>
        <w:spacing w:line="580" w:lineRule="exact"/>
        <w:rPr>
          <w:rFonts w:ascii="宋体" w:hAnsi="宋体"/>
          <w:color w:val="auto"/>
          <w:sz w:val="28"/>
          <w:szCs w:val="28"/>
        </w:rPr>
      </w:pPr>
    </w:p>
    <w:p>
      <w:pPr>
        <w:tabs>
          <w:tab w:val="left" w:pos="1155"/>
          <w:tab w:val="left" w:pos="1276"/>
          <w:tab w:val="left" w:pos="1418"/>
        </w:tabs>
        <w:spacing w:line="580" w:lineRule="exact"/>
        <w:rPr>
          <w:rFonts w:ascii="宋体" w:hAnsi="宋体"/>
          <w:color w:val="auto"/>
          <w:sz w:val="28"/>
          <w:szCs w:val="28"/>
        </w:rPr>
      </w:pPr>
    </w:p>
    <w:p>
      <w:pPr>
        <w:tabs>
          <w:tab w:val="left" w:pos="1155"/>
          <w:tab w:val="left" w:pos="1276"/>
          <w:tab w:val="left" w:pos="1418"/>
        </w:tabs>
        <w:spacing w:line="580" w:lineRule="exact"/>
        <w:rPr>
          <w:rFonts w:ascii="宋体" w:hAnsi="宋体"/>
          <w:color w:val="auto"/>
          <w:sz w:val="28"/>
          <w:szCs w:val="28"/>
        </w:rPr>
      </w:pPr>
    </w:p>
    <w:p>
      <w:pPr>
        <w:tabs>
          <w:tab w:val="left" w:pos="1155"/>
          <w:tab w:val="left" w:pos="1276"/>
          <w:tab w:val="left" w:pos="1418"/>
        </w:tabs>
        <w:spacing w:line="580" w:lineRule="exact"/>
        <w:rPr>
          <w:rFonts w:ascii="宋体" w:hAnsi="宋体"/>
          <w:color w:val="auto"/>
          <w:sz w:val="28"/>
          <w:szCs w:val="28"/>
        </w:rPr>
      </w:pPr>
    </w:p>
    <w:p>
      <w:pPr>
        <w:keepNext/>
        <w:keepLines/>
        <w:numPr>
          <w:ilvl w:val="0"/>
          <w:numId w:val="55"/>
        </w:numPr>
        <w:spacing w:line="360" w:lineRule="auto"/>
        <w:ind w:left="0" w:firstLine="0"/>
        <w:jc w:val="center"/>
        <w:outlineLvl w:val="0"/>
        <w:rPr>
          <w:rFonts w:ascii="宋体" w:hAnsi="宋体"/>
          <w:b/>
          <w:bCs/>
          <w:color w:val="auto"/>
          <w:spacing w:val="-20"/>
          <w:kern w:val="44"/>
          <w:sz w:val="32"/>
          <w:szCs w:val="32"/>
        </w:rPr>
      </w:pPr>
      <w:bookmarkStart w:id="207" w:name="_Toc26912"/>
      <w:r>
        <w:rPr>
          <w:rFonts w:hint="eastAsia" w:ascii="宋体" w:hAnsi="宋体"/>
          <w:b/>
          <w:bCs/>
          <w:color w:val="auto"/>
          <w:spacing w:val="-20"/>
          <w:kern w:val="44"/>
          <w:sz w:val="32"/>
          <w:szCs w:val="32"/>
        </w:rPr>
        <w:t>拟签订合同</w:t>
      </w:r>
      <w:bookmarkStart w:id="208" w:name="_Toc316475670"/>
      <w:bookmarkEnd w:id="208"/>
      <w:bookmarkStart w:id="209" w:name="_Toc316475757"/>
      <w:bookmarkEnd w:id="209"/>
      <w:bookmarkStart w:id="210" w:name="_Toc316475753"/>
      <w:bookmarkEnd w:id="210"/>
      <w:bookmarkStart w:id="211" w:name="_Toc316475676"/>
      <w:bookmarkEnd w:id="211"/>
      <w:bookmarkStart w:id="212" w:name="_Toc316475761"/>
      <w:bookmarkEnd w:id="212"/>
      <w:bookmarkStart w:id="213" w:name="_Toc214858832"/>
      <w:bookmarkEnd w:id="213"/>
      <w:bookmarkStart w:id="214" w:name="_Toc316475763"/>
      <w:bookmarkEnd w:id="214"/>
      <w:bookmarkStart w:id="215" w:name="_Toc316475673"/>
      <w:bookmarkEnd w:id="215"/>
      <w:bookmarkStart w:id="216" w:name="_Toc316475671"/>
      <w:bookmarkEnd w:id="216"/>
      <w:bookmarkStart w:id="217" w:name="_Toc316475677"/>
      <w:bookmarkEnd w:id="217"/>
      <w:bookmarkStart w:id="218" w:name="_Toc316475764"/>
      <w:bookmarkEnd w:id="218"/>
      <w:bookmarkStart w:id="219" w:name="_Toc316475675"/>
      <w:bookmarkEnd w:id="219"/>
      <w:bookmarkStart w:id="220" w:name="_Toc316475665"/>
      <w:bookmarkEnd w:id="220"/>
      <w:bookmarkStart w:id="221" w:name="_Toc316475754"/>
      <w:bookmarkEnd w:id="221"/>
      <w:bookmarkStart w:id="222" w:name="_Toc316475755"/>
      <w:bookmarkEnd w:id="222"/>
      <w:bookmarkStart w:id="223" w:name="_Toc316475751"/>
      <w:bookmarkEnd w:id="223"/>
      <w:bookmarkStart w:id="224" w:name="_Toc316475760"/>
      <w:bookmarkEnd w:id="224"/>
      <w:bookmarkStart w:id="225" w:name="_Toc316475756"/>
      <w:bookmarkEnd w:id="225"/>
      <w:bookmarkStart w:id="226" w:name="_Toc277152523"/>
      <w:bookmarkEnd w:id="226"/>
      <w:bookmarkStart w:id="227" w:name="_Toc316475668"/>
      <w:bookmarkEnd w:id="227"/>
      <w:bookmarkStart w:id="228" w:name="_Toc316475664"/>
      <w:bookmarkEnd w:id="228"/>
      <w:bookmarkStart w:id="229" w:name="_Toc316475758"/>
      <w:bookmarkEnd w:id="229"/>
      <w:bookmarkStart w:id="230" w:name="_Toc316475674"/>
      <w:bookmarkEnd w:id="230"/>
      <w:bookmarkStart w:id="231" w:name="_Toc277152520"/>
      <w:bookmarkEnd w:id="231"/>
      <w:bookmarkStart w:id="232" w:name="_Toc316475666"/>
      <w:bookmarkEnd w:id="232"/>
      <w:bookmarkStart w:id="233" w:name="_Toc316475667"/>
      <w:bookmarkEnd w:id="233"/>
      <w:bookmarkStart w:id="234" w:name="_Toc316475752"/>
      <w:bookmarkEnd w:id="234"/>
      <w:bookmarkStart w:id="235" w:name="_Toc299975364"/>
      <w:bookmarkEnd w:id="235"/>
      <w:bookmarkStart w:id="236" w:name="_Toc299975392"/>
      <w:bookmarkEnd w:id="236"/>
      <w:bookmarkStart w:id="237" w:name="_Toc316475759"/>
      <w:bookmarkEnd w:id="237"/>
      <w:bookmarkStart w:id="238" w:name="_Toc277152522"/>
      <w:bookmarkEnd w:id="238"/>
      <w:bookmarkStart w:id="239" w:name="_Toc316475762"/>
      <w:bookmarkEnd w:id="239"/>
      <w:bookmarkStart w:id="240" w:name="_Toc316475672"/>
      <w:bookmarkEnd w:id="240"/>
      <w:bookmarkStart w:id="241" w:name="_Toc316475669"/>
      <w:bookmarkEnd w:id="241"/>
      <w:bookmarkStart w:id="242" w:name="_Toc277152521"/>
      <w:bookmarkEnd w:id="242"/>
      <w:bookmarkStart w:id="243" w:name="_Toc34729074"/>
      <w:bookmarkStart w:id="244" w:name="_Toc8573798"/>
      <w:bookmarkStart w:id="245" w:name="_Toc217446108"/>
      <w:r>
        <w:rPr>
          <w:rFonts w:hint="eastAsia" w:ascii="宋体" w:hAnsi="宋体"/>
          <w:b/>
          <w:bCs/>
          <w:color w:val="auto"/>
          <w:spacing w:val="-20"/>
          <w:kern w:val="44"/>
          <w:sz w:val="32"/>
          <w:szCs w:val="32"/>
        </w:rPr>
        <w:t>文本</w:t>
      </w:r>
      <w:bookmarkEnd w:id="207"/>
      <w:r>
        <w:rPr>
          <w:rFonts w:ascii="宋体" w:hAnsi="宋体"/>
          <w:b/>
          <w:bCs/>
          <w:color w:val="auto"/>
          <w:spacing w:val="-20"/>
          <w:kern w:val="44"/>
          <w:sz w:val="32"/>
          <w:szCs w:val="32"/>
        </w:rPr>
        <w:t xml:space="preserve"> </w:t>
      </w:r>
      <w:bookmarkEnd w:id="243"/>
      <w:bookmarkEnd w:id="244"/>
      <w:bookmarkEnd w:id="245"/>
    </w:p>
    <w:p>
      <w:pPr>
        <w:spacing w:line="360" w:lineRule="auto"/>
        <w:ind w:firstLine="480" w:firstLineChars="200"/>
        <w:rPr>
          <w:rFonts w:ascii="仿宋" w:hAnsi="仿宋" w:eastAsia="仿宋"/>
          <w:color w:val="auto"/>
          <w:sz w:val="24"/>
        </w:rPr>
      </w:pPr>
      <w:r>
        <w:rPr>
          <w:rFonts w:hint="eastAsia" w:ascii="仿宋" w:hAnsi="仿宋" w:eastAsia="仿宋"/>
          <w:color w:val="auto"/>
          <w:sz w:val="24"/>
        </w:rPr>
        <w:t>合同编号：</w:t>
      </w:r>
      <w:r>
        <w:rPr>
          <w:rFonts w:hint="eastAsia" w:ascii="仿宋" w:hAnsi="仿宋" w:eastAsia="仿宋"/>
          <w:color w:val="auto"/>
          <w:szCs w:val="21"/>
        </w:rPr>
        <w:t>XXXX。</w:t>
      </w:r>
    </w:p>
    <w:p>
      <w:pPr>
        <w:spacing w:line="360" w:lineRule="auto"/>
        <w:ind w:firstLine="480" w:firstLineChars="200"/>
        <w:rPr>
          <w:rFonts w:ascii="仿宋" w:hAnsi="仿宋" w:eastAsia="仿宋"/>
          <w:color w:val="auto"/>
          <w:sz w:val="24"/>
        </w:rPr>
      </w:pPr>
      <w:r>
        <w:rPr>
          <w:rFonts w:hint="eastAsia" w:ascii="仿宋" w:hAnsi="仿宋" w:eastAsia="仿宋"/>
          <w:color w:val="auto"/>
          <w:sz w:val="24"/>
        </w:rPr>
        <w:t>签订地点：</w:t>
      </w:r>
      <w:r>
        <w:rPr>
          <w:rFonts w:hint="eastAsia" w:ascii="仿宋" w:hAnsi="仿宋" w:eastAsia="仿宋"/>
          <w:color w:val="auto"/>
          <w:szCs w:val="21"/>
        </w:rPr>
        <w:t>XXXX。</w:t>
      </w:r>
    </w:p>
    <w:p>
      <w:pPr>
        <w:spacing w:line="360" w:lineRule="auto"/>
        <w:ind w:firstLine="480" w:firstLineChars="200"/>
        <w:rPr>
          <w:rFonts w:ascii="仿宋" w:hAnsi="仿宋" w:eastAsia="仿宋"/>
          <w:color w:val="auto"/>
          <w:sz w:val="24"/>
        </w:rPr>
      </w:pPr>
      <w:r>
        <w:rPr>
          <w:rFonts w:hint="eastAsia" w:ascii="仿宋" w:hAnsi="仿宋" w:eastAsia="仿宋"/>
          <w:color w:val="auto"/>
          <w:sz w:val="24"/>
        </w:rPr>
        <w:t>签订时间：</w:t>
      </w:r>
      <w:r>
        <w:rPr>
          <w:rFonts w:hint="eastAsia" w:ascii="仿宋" w:hAnsi="仿宋" w:eastAsia="仿宋"/>
          <w:color w:val="auto"/>
          <w:szCs w:val="21"/>
        </w:rPr>
        <w:t>XXXX</w:t>
      </w:r>
      <w:r>
        <w:rPr>
          <w:rFonts w:hint="eastAsia" w:ascii="仿宋" w:hAnsi="仿宋" w:eastAsia="仿宋"/>
          <w:color w:val="auto"/>
          <w:sz w:val="24"/>
        </w:rPr>
        <w:t>年</w:t>
      </w:r>
      <w:r>
        <w:rPr>
          <w:rFonts w:hint="eastAsia" w:ascii="仿宋" w:hAnsi="仿宋" w:eastAsia="仿宋"/>
          <w:color w:val="auto"/>
          <w:szCs w:val="21"/>
        </w:rPr>
        <w:t>XX</w:t>
      </w:r>
      <w:r>
        <w:rPr>
          <w:rFonts w:hint="eastAsia" w:ascii="仿宋" w:hAnsi="仿宋" w:eastAsia="仿宋"/>
          <w:color w:val="auto"/>
          <w:sz w:val="24"/>
        </w:rPr>
        <w:t>月</w:t>
      </w:r>
      <w:r>
        <w:rPr>
          <w:rFonts w:hint="eastAsia" w:ascii="仿宋" w:hAnsi="仿宋" w:eastAsia="仿宋"/>
          <w:color w:val="auto"/>
          <w:szCs w:val="21"/>
        </w:rPr>
        <w:t>XX</w:t>
      </w:r>
      <w:r>
        <w:rPr>
          <w:rFonts w:hint="eastAsia" w:ascii="仿宋" w:hAnsi="仿宋" w:eastAsia="仿宋"/>
          <w:color w:val="auto"/>
          <w:sz w:val="24"/>
        </w:rPr>
        <w:t>日。</w:t>
      </w:r>
    </w:p>
    <w:p>
      <w:pPr>
        <w:spacing w:line="360" w:lineRule="auto"/>
        <w:ind w:firstLine="482" w:firstLineChars="200"/>
        <w:rPr>
          <w:rFonts w:hint="eastAsia" w:ascii="仿宋" w:hAnsi="仿宋" w:eastAsia="仿宋"/>
          <w:b/>
          <w:bCs/>
          <w:color w:val="auto"/>
          <w:sz w:val="24"/>
        </w:rPr>
      </w:pPr>
      <w:r>
        <w:rPr>
          <w:rFonts w:hint="eastAsia" w:ascii="仿宋" w:hAnsi="仿宋" w:eastAsia="仿宋"/>
          <w:b/>
          <w:bCs/>
          <w:color w:val="auto"/>
          <w:sz w:val="24"/>
        </w:rPr>
        <w:t>采购人（甲方）：</w:t>
      </w:r>
    </w:p>
    <w:p>
      <w:pPr>
        <w:spacing w:line="360" w:lineRule="auto"/>
        <w:ind w:firstLine="480" w:firstLineChars="200"/>
        <w:rPr>
          <w:rFonts w:hint="default" w:ascii="仿宋" w:hAnsi="仿宋" w:eastAsia="仿宋"/>
          <w:color w:val="auto"/>
          <w:sz w:val="24"/>
          <w:lang w:eastAsia="zh-Hans"/>
        </w:rPr>
      </w:pPr>
      <w:r>
        <w:rPr>
          <w:rFonts w:hint="eastAsia" w:ascii="仿宋" w:hAnsi="仿宋" w:eastAsia="仿宋"/>
          <w:color w:val="auto"/>
          <w:sz w:val="24"/>
          <w:lang w:val="en-US" w:eastAsia="zh-Hans"/>
        </w:rPr>
        <w:t>法定代表人</w:t>
      </w:r>
      <w:r>
        <w:rPr>
          <w:rFonts w:hint="default" w:ascii="仿宋" w:hAnsi="仿宋" w:eastAsia="仿宋"/>
          <w:color w:val="auto"/>
          <w:sz w:val="24"/>
          <w:lang w:eastAsia="zh-Hans"/>
        </w:rPr>
        <w:t>：</w:t>
      </w:r>
    </w:p>
    <w:p>
      <w:pPr>
        <w:spacing w:line="360" w:lineRule="auto"/>
        <w:ind w:firstLine="480" w:firstLineChars="200"/>
        <w:rPr>
          <w:rFonts w:hint="default" w:ascii="仿宋" w:hAnsi="仿宋" w:eastAsia="仿宋"/>
          <w:color w:val="auto"/>
          <w:sz w:val="24"/>
          <w:lang w:eastAsia="zh-Hans"/>
        </w:rPr>
      </w:pPr>
      <w:r>
        <w:rPr>
          <w:rFonts w:hint="eastAsia" w:ascii="仿宋" w:hAnsi="仿宋" w:eastAsia="仿宋"/>
          <w:color w:val="auto"/>
          <w:sz w:val="24"/>
          <w:lang w:val="en-US" w:eastAsia="zh-Hans"/>
        </w:rPr>
        <w:t>联系电话</w:t>
      </w:r>
      <w:r>
        <w:rPr>
          <w:rFonts w:hint="default" w:ascii="仿宋" w:hAnsi="仿宋" w:eastAsia="仿宋"/>
          <w:color w:val="auto"/>
          <w:sz w:val="24"/>
          <w:lang w:eastAsia="zh-Hans"/>
        </w:rPr>
        <w:t>：</w:t>
      </w:r>
    </w:p>
    <w:p>
      <w:pPr>
        <w:spacing w:line="360" w:lineRule="auto"/>
        <w:ind w:firstLine="480" w:firstLineChars="200"/>
        <w:rPr>
          <w:rFonts w:ascii="仿宋" w:hAnsi="仿宋" w:eastAsia="仿宋"/>
          <w:color w:val="auto"/>
          <w:sz w:val="24"/>
        </w:rPr>
      </w:pPr>
      <w:r>
        <w:rPr>
          <w:rFonts w:hint="eastAsia" w:ascii="仿宋" w:hAnsi="仿宋" w:eastAsia="仿宋"/>
          <w:color w:val="auto"/>
          <w:sz w:val="24"/>
          <w:lang w:val="en-US" w:eastAsia="zh-Hans"/>
        </w:rPr>
        <w:t>联系地址</w:t>
      </w:r>
      <w:r>
        <w:rPr>
          <w:rFonts w:hint="default" w:ascii="仿宋" w:hAnsi="仿宋" w:eastAsia="仿宋"/>
          <w:color w:val="auto"/>
          <w:sz w:val="24"/>
          <w:lang w:eastAsia="zh-Hans"/>
        </w:rPr>
        <w:t>：</w:t>
      </w:r>
    </w:p>
    <w:p>
      <w:pPr>
        <w:spacing w:line="360" w:lineRule="auto"/>
        <w:ind w:firstLine="482" w:firstLineChars="200"/>
        <w:rPr>
          <w:rFonts w:ascii="仿宋" w:hAnsi="仿宋" w:eastAsia="仿宋"/>
          <w:b/>
          <w:bCs/>
          <w:color w:val="auto"/>
          <w:sz w:val="24"/>
        </w:rPr>
      </w:pPr>
      <w:r>
        <w:rPr>
          <w:rFonts w:hint="eastAsia" w:ascii="仿宋" w:hAnsi="仿宋" w:eastAsia="仿宋"/>
          <w:b/>
          <w:bCs/>
          <w:color w:val="auto"/>
          <w:sz w:val="24"/>
        </w:rPr>
        <w:t>供应商（乙</w:t>
      </w:r>
      <w:r>
        <w:rPr>
          <w:rFonts w:ascii="仿宋" w:hAnsi="仿宋" w:eastAsia="仿宋"/>
          <w:b/>
          <w:bCs/>
          <w:color w:val="auto"/>
          <w:sz w:val="24"/>
        </w:rPr>
        <w:t>方</w:t>
      </w:r>
      <w:r>
        <w:rPr>
          <w:rFonts w:hint="eastAsia" w:ascii="仿宋" w:hAnsi="仿宋" w:eastAsia="仿宋"/>
          <w:b/>
          <w:bCs/>
          <w:color w:val="auto"/>
          <w:sz w:val="24"/>
        </w:rPr>
        <w:t>）</w:t>
      </w:r>
      <w:r>
        <w:rPr>
          <w:rFonts w:ascii="仿宋" w:hAnsi="仿宋" w:eastAsia="仿宋"/>
          <w:b/>
          <w:bCs/>
          <w:color w:val="auto"/>
          <w:sz w:val="24"/>
        </w:rPr>
        <w:t>：</w:t>
      </w:r>
    </w:p>
    <w:p>
      <w:pPr>
        <w:spacing w:line="360" w:lineRule="auto"/>
        <w:ind w:firstLine="480" w:firstLineChars="200"/>
        <w:rPr>
          <w:rFonts w:hint="default" w:ascii="仿宋" w:hAnsi="仿宋" w:eastAsia="仿宋"/>
          <w:color w:val="auto"/>
          <w:sz w:val="24"/>
          <w:lang w:eastAsia="zh-Hans"/>
        </w:rPr>
      </w:pPr>
      <w:r>
        <w:rPr>
          <w:rFonts w:hint="eastAsia" w:ascii="仿宋" w:hAnsi="仿宋" w:eastAsia="仿宋"/>
          <w:color w:val="auto"/>
          <w:sz w:val="24"/>
          <w:lang w:val="en-US" w:eastAsia="zh-Hans"/>
        </w:rPr>
        <w:t>法定代表人</w:t>
      </w:r>
      <w:r>
        <w:rPr>
          <w:rFonts w:hint="default" w:ascii="仿宋" w:hAnsi="仿宋" w:eastAsia="仿宋"/>
          <w:color w:val="auto"/>
          <w:sz w:val="24"/>
          <w:lang w:eastAsia="zh-Hans"/>
        </w:rPr>
        <w:t>：</w:t>
      </w:r>
    </w:p>
    <w:p>
      <w:pPr>
        <w:spacing w:line="360" w:lineRule="auto"/>
        <w:ind w:firstLine="480" w:firstLineChars="200"/>
        <w:rPr>
          <w:rFonts w:hint="default" w:ascii="仿宋" w:hAnsi="仿宋" w:eastAsia="仿宋"/>
          <w:color w:val="auto"/>
          <w:sz w:val="24"/>
          <w:lang w:eastAsia="zh-Hans"/>
        </w:rPr>
      </w:pPr>
      <w:r>
        <w:rPr>
          <w:rFonts w:hint="eastAsia" w:ascii="仿宋" w:hAnsi="仿宋" w:eastAsia="仿宋"/>
          <w:color w:val="auto"/>
          <w:sz w:val="24"/>
          <w:lang w:val="en-US" w:eastAsia="zh-Hans"/>
        </w:rPr>
        <w:t>联系电话</w:t>
      </w:r>
      <w:r>
        <w:rPr>
          <w:rFonts w:hint="default" w:ascii="仿宋" w:hAnsi="仿宋" w:eastAsia="仿宋"/>
          <w:color w:val="auto"/>
          <w:sz w:val="24"/>
          <w:lang w:eastAsia="zh-Hans"/>
        </w:rPr>
        <w:t>：</w:t>
      </w:r>
    </w:p>
    <w:p>
      <w:pPr>
        <w:spacing w:line="360" w:lineRule="auto"/>
        <w:ind w:firstLine="480" w:firstLineChars="200"/>
        <w:rPr>
          <w:rFonts w:ascii="仿宋" w:hAnsi="仿宋" w:eastAsia="仿宋"/>
          <w:color w:val="auto"/>
          <w:sz w:val="24"/>
        </w:rPr>
      </w:pPr>
      <w:r>
        <w:rPr>
          <w:rFonts w:hint="eastAsia" w:ascii="仿宋" w:hAnsi="仿宋" w:eastAsia="仿宋"/>
          <w:color w:val="auto"/>
          <w:sz w:val="24"/>
          <w:lang w:val="en-US" w:eastAsia="zh-Hans"/>
        </w:rPr>
        <w:t>联系地址</w:t>
      </w:r>
      <w:r>
        <w:rPr>
          <w:rFonts w:hint="default" w:ascii="仿宋" w:hAnsi="仿宋" w:eastAsia="仿宋"/>
          <w:color w:val="auto"/>
          <w:sz w:val="24"/>
          <w:lang w:eastAsia="zh-Hans"/>
        </w:rPr>
        <w:t>：</w:t>
      </w:r>
    </w:p>
    <w:p>
      <w:pPr>
        <w:spacing w:line="400" w:lineRule="exact"/>
        <w:rPr>
          <w:rFonts w:ascii="仿宋" w:hAnsi="仿宋" w:eastAsia="仿宋"/>
          <w:color w:val="auto"/>
          <w:sz w:val="24"/>
        </w:rPr>
      </w:pPr>
    </w:p>
    <w:p>
      <w:pPr>
        <w:pStyle w:val="103"/>
        <w:ind w:firstLine="480"/>
        <w:rPr>
          <w:rFonts w:ascii="仿宋" w:hAnsi="仿宋" w:eastAsia="仿宋"/>
          <w:color w:val="auto"/>
        </w:rPr>
      </w:pPr>
      <w:r>
        <w:rPr>
          <w:rFonts w:hint="eastAsia" w:ascii="仿宋" w:hAnsi="仿宋" w:eastAsia="仿宋"/>
          <w:color w:val="auto"/>
        </w:rPr>
        <w:t>根据《中华人民共和国政府采购法》、《中华人民共和国民法典》及</w:t>
      </w:r>
      <w:r>
        <w:rPr>
          <w:rFonts w:hint="eastAsia" w:ascii="仿宋" w:hAnsi="仿宋" w:eastAsia="仿宋"/>
          <w:color w:val="auto"/>
          <w:lang w:eastAsia="zh-CN"/>
        </w:rPr>
        <w:t>成都市锦江区殡葬服务中心悼念厅观光电梯及安装（二次）采购项目</w:t>
      </w:r>
      <w:r>
        <w:rPr>
          <w:rFonts w:hint="eastAsia" w:ascii="仿宋" w:hAnsi="仿宋" w:eastAsia="仿宋"/>
          <w:color w:val="auto"/>
        </w:rPr>
        <w:t>（项目编号：</w:t>
      </w:r>
      <w:r>
        <w:rPr>
          <w:rFonts w:hint="eastAsia" w:ascii="仿宋" w:hAnsi="仿宋" w:eastAsia="仿宋"/>
          <w:color w:val="auto"/>
          <w:lang w:eastAsia="zh-CN"/>
        </w:rPr>
        <w:t xml:space="preserve"> 锦江政采（2021）A0013号-2</w:t>
      </w:r>
      <w:r>
        <w:rPr>
          <w:rFonts w:hint="eastAsia" w:ascii="仿宋" w:hAnsi="仿宋" w:eastAsia="仿宋"/>
          <w:color w:val="auto"/>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pPr>
        <w:pStyle w:val="5"/>
        <w:numPr>
          <w:ilvl w:val="0"/>
          <w:numId w:val="0"/>
        </w:numPr>
        <w:spacing w:line="400" w:lineRule="exact"/>
        <w:rPr>
          <w:rFonts w:ascii="仿宋" w:hAnsi="仿宋" w:eastAsia="仿宋"/>
          <w:color w:val="auto"/>
          <w:sz w:val="24"/>
          <w:szCs w:val="24"/>
        </w:rPr>
      </w:pPr>
      <w:bookmarkStart w:id="246" w:name="_Toc16289"/>
      <w:bookmarkStart w:id="247" w:name="_Toc217446107"/>
      <w:bookmarkStart w:id="248" w:name="_Toc78191643"/>
      <w:r>
        <w:rPr>
          <w:rFonts w:hint="eastAsia" w:ascii="仿宋" w:hAnsi="仿宋" w:eastAsia="仿宋"/>
          <w:color w:val="auto"/>
          <w:sz w:val="24"/>
          <w:szCs w:val="24"/>
        </w:rPr>
        <w:t>一、合同货物</w:t>
      </w:r>
      <w:bookmarkEnd w:id="246"/>
      <w:bookmarkEnd w:id="247"/>
      <w:bookmarkEnd w:id="248"/>
      <w:r>
        <w:rPr>
          <w:rFonts w:hint="eastAsia" w:ascii="仿宋" w:hAnsi="仿宋" w:eastAsia="仿宋"/>
          <w:color w:val="auto"/>
          <w:sz w:val="24"/>
          <w:szCs w:val="24"/>
          <w:lang w:val="en-US" w:eastAsia="zh-Hans"/>
        </w:rPr>
        <w:t>及技术参数要求</w:t>
      </w:r>
    </w:p>
    <w:tbl>
      <w:tblPr>
        <w:tblStyle w:val="47"/>
        <w:tblW w:w="9030" w:type="dxa"/>
        <w:tblInd w:w="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575"/>
        <w:gridCol w:w="1050"/>
        <w:gridCol w:w="720"/>
        <w:gridCol w:w="900"/>
        <w:gridCol w:w="1080"/>
        <w:gridCol w:w="1185"/>
        <w:gridCol w:w="1260"/>
        <w:gridCol w:w="126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83" w:hRule="atLeast"/>
        </w:trPr>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240" w:firstLineChars="100"/>
              <w:rPr>
                <w:rFonts w:ascii="仿宋" w:hAnsi="仿宋" w:eastAsia="仿宋"/>
                <w:color w:val="auto"/>
                <w:sz w:val="24"/>
              </w:rPr>
            </w:pPr>
            <w:r>
              <w:rPr>
                <w:rFonts w:hint="eastAsia" w:ascii="仿宋" w:hAnsi="仿宋" w:eastAsia="仿宋" w:cs="Arial"/>
                <w:color w:val="auto"/>
                <w:sz w:val="24"/>
              </w:rPr>
              <w:t>货物品名</w:t>
            </w:r>
          </w:p>
        </w:tc>
        <w:tc>
          <w:tcPr>
            <w:tcW w:w="105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Arial"/>
                <w:color w:val="auto"/>
                <w:sz w:val="24"/>
              </w:rPr>
            </w:pPr>
            <w:r>
              <w:rPr>
                <w:rFonts w:hint="eastAsia" w:ascii="仿宋" w:hAnsi="仿宋" w:eastAsia="仿宋" w:cs="Arial"/>
                <w:color w:val="auto"/>
                <w:sz w:val="24"/>
              </w:rPr>
              <w:t>规格</w:t>
            </w:r>
          </w:p>
          <w:p>
            <w:pPr>
              <w:spacing w:line="400" w:lineRule="exact"/>
              <w:jc w:val="center"/>
              <w:rPr>
                <w:rFonts w:ascii="仿宋" w:hAnsi="仿宋" w:eastAsia="仿宋"/>
                <w:color w:val="auto"/>
                <w:sz w:val="24"/>
              </w:rPr>
            </w:pPr>
            <w:r>
              <w:rPr>
                <w:rFonts w:hint="eastAsia" w:ascii="仿宋" w:hAnsi="仿宋" w:eastAsia="仿宋" w:cs="Arial"/>
                <w:color w:val="auto"/>
                <w:sz w:val="24"/>
              </w:rPr>
              <w:t>型号</w:t>
            </w:r>
          </w:p>
        </w:tc>
        <w:tc>
          <w:tcPr>
            <w:tcW w:w="720"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 w:hAnsi="仿宋" w:eastAsia="仿宋"/>
                <w:color w:val="auto"/>
                <w:sz w:val="24"/>
              </w:rPr>
            </w:pPr>
            <w:r>
              <w:rPr>
                <w:rFonts w:hint="eastAsia" w:ascii="仿宋" w:hAnsi="仿宋" w:eastAsia="仿宋" w:cs="Arial"/>
                <w:color w:val="auto"/>
                <w:sz w:val="24"/>
              </w:rPr>
              <w:t>单位</w:t>
            </w:r>
          </w:p>
        </w:tc>
        <w:tc>
          <w:tcPr>
            <w:tcW w:w="900" w:type="dxa"/>
            <w:tcBorders>
              <w:top w:val="single" w:color="auto" w:sz="4" w:space="0"/>
              <w:left w:val="single" w:color="auto" w:sz="4" w:space="0"/>
              <w:bottom w:val="single" w:color="auto" w:sz="4" w:space="0"/>
              <w:right w:val="single" w:color="auto" w:sz="4" w:space="0"/>
            </w:tcBorders>
            <w:vAlign w:val="center"/>
          </w:tcPr>
          <w:p>
            <w:pPr>
              <w:spacing w:line="400" w:lineRule="exact"/>
              <w:ind w:firstLine="120" w:firstLineChars="50"/>
              <w:rPr>
                <w:rFonts w:ascii="仿宋" w:hAnsi="仿宋" w:eastAsia="仿宋"/>
                <w:color w:val="auto"/>
                <w:sz w:val="24"/>
              </w:rPr>
            </w:pPr>
            <w:r>
              <w:rPr>
                <w:rFonts w:hint="eastAsia" w:ascii="仿宋" w:hAnsi="仿宋" w:eastAsia="仿宋" w:cs="Arial"/>
                <w:color w:val="auto"/>
                <w:sz w:val="24"/>
              </w:rPr>
              <w:t>数量</w:t>
            </w:r>
          </w:p>
        </w:tc>
        <w:tc>
          <w:tcPr>
            <w:tcW w:w="1080" w:type="dxa"/>
            <w:tcBorders>
              <w:top w:val="single" w:color="auto" w:sz="4" w:space="0"/>
              <w:left w:val="single" w:color="auto" w:sz="4" w:space="0"/>
              <w:bottom w:val="single" w:color="auto" w:sz="4" w:space="0"/>
              <w:right w:val="single" w:color="auto" w:sz="4" w:space="0"/>
            </w:tcBorders>
            <w:vAlign w:val="center"/>
          </w:tcPr>
          <w:p>
            <w:pPr>
              <w:spacing w:line="400" w:lineRule="exact"/>
              <w:ind w:firstLine="120" w:firstLineChars="50"/>
              <w:jc w:val="center"/>
              <w:rPr>
                <w:rFonts w:ascii="仿宋" w:hAnsi="仿宋" w:eastAsia="仿宋" w:cs="Arial"/>
                <w:color w:val="auto"/>
                <w:sz w:val="24"/>
              </w:rPr>
            </w:pPr>
            <w:r>
              <w:rPr>
                <w:rFonts w:hint="eastAsia" w:ascii="仿宋" w:hAnsi="仿宋" w:eastAsia="仿宋" w:cs="Arial"/>
                <w:color w:val="auto"/>
                <w:sz w:val="24"/>
              </w:rPr>
              <w:t>单价</w:t>
            </w:r>
          </w:p>
          <w:p>
            <w:pPr>
              <w:spacing w:line="400" w:lineRule="exact"/>
              <w:jc w:val="center"/>
              <w:rPr>
                <w:rFonts w:ascii="仿宋" w:hAnsi="仿宋" w:eastAsia="仿宋" w:cs="Arial"/>
                <w:color w:val="auto"/>
                <w:sz w:val="24"/>
              </w:rPr>
            </w:pPr>
            <w:r>
              <w:rPr>
                <w:rFonts w:hint="eastAsia" w:ascii="仿宋" w:hAnsi="仿宋" w:eastAsia="仿宋" w:cs="Arial"/>
                <w:color w:val="auto"/>
                <w:sz w:val="24"/>
              </w:rPr>
              <w:t>（万元）</w:t>
            </w:r>
          </w:p>
        </w:tc>
        <w:tc>
          <w:tcPr>
            <w:tcW w:w="118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240" w:firstLineChars="100"/>
              <w:rPr>
                <w:rFonts w:ascii="仿宋" w:hAnsi="仿宋" w:eastAsia="仿宋" w:cs="Arial"/>
                <w:color w:val="auto"/>
                <w:sz w:val="24"/>
              </w:rPr>
            </w:pPr>
            <w:r>
              <w:rPr>
                <w:rFonts w:hint="eastAsia" w:ascii="仿宋" w:hAnsi="仿宋" w:eastAsia="仿宋" w:cs="Arial"/>
                <w:color w:val="auto"/>
                <w:sz w:val="24"/>
              </w:rPr>
              <w:t>总价</w:t>
            </w:r>
          </w:p>
          <w:p>
            <w:pPr>
              <w:spacing w:line="400" w:lineRule="exact"/>
              <w:rPr>
                <w:rFonts w:ascii="仿宋" w:hAnsi="仿宋" w:eastAsia="仿宋"/>
                <w:color w:val="auto"/>
                <w:sz w:val="24"/>
              </w:rPr>
            </w:pPr>
            <w:r>
              <w:rPr>
                <w:rFonts w:hint="eastAsia" w:ascii="仿宋" w:hAnsi="仿宋" w:eastAsia="仿宋" w:cs="Arial"/>
                <w:color w:val="auto"/>
                <w:sz w:val="24"/>
              </w:rPr>
              <w:t>（万元）</w:t>
            </w: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Arial"/>
                <w:color w:val="auto"/>
                <w:sz w:val="24"/>
              </w:rPr>
            </w:pPr>
            <w:r>
              <w:rPr>
                <w:rFonts w:hint="eastAsia" w:ascii="仿宋" w:hAnsi="仿宋" w:eastAsia="仿宋" w:cs="Arial"/>
                <w:color w:val="auto"/>
                <w:sz w:val="24"/>
              </w:rPr>
              <w:t>随机</w:t>
            </w:r>
          </w:p>
          <w:p>
            <w:pPr>
              <w:spacing w:line="400" w:lineRule="exact"/>
              <w:jc w:val="center"/>
              <w:rPr>
                <w:rFonts w:ascii="仿宋" w:hAnsi="仿宋" w:eastAsia="仿宋"/>
                <w:color w:val="auto"/>
                <w:sz w:val="24"/>
              </w:rPr>
            </w:pPr>
            <w:r>
              <w:rPr>
                <w:rFonts w:hint="eastAsia" w:ascii="仿宋" w:hAnsi="仿宋" w:eastAsia="仿宋" w:cs="Arial"/>
                <w:color w:val="auto"/>
                <w:sz w:val="24"/>
              </w:rPr>
              <w:t>配件</w:t>
            </w: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ind w:firstLine="120" w:firstLineChars="50"/>
              <w:rPr>
                <w:rFonts w:ascii="仿宋" w:hAnsi="仿宋" w:eastAsia="仿宋"/>
                <w:color w:val="auto"/>
                <w:sz w:val="24"/>
              </w:rPr>
            </w:pPr>
            <w:r>
              <w:rPr>
                <w:rFonts w:hint="eastAsia" w:ascii="仿宋" w:hAnsi="仿宋" w:eastAsia="仿宋" w:cs="Arial"/>
                <w:color w:val="auto"/>
                <w:sz w:val="24"/>
              </w:rPr>
              <w:t>交货期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47" w:hRule="atLeast"/>
        </w:trPr>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olor w:val="auto"/>
                <w:sz w:val="24"/>
              </w:rPr>
            </w:pPr>
          </w:p>
        </w:tc>
        <w:tc>
          <w:tcPr>
            <w:tcW w:w="105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olor w:val="auto"/>
                <w:sz w:val="24"/>
              </w:rPr>
            </w:pPr>
          </w:p>
        </w:tc>
        <w:tc>
          <w:tcPr>
            <w:tcW w:w="72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olor w:val="auto"/>
                <w:sz w:val="24"/>
              </w:rPr>
            </w:pPr>
          </w:p>
        </w:tc>
        <w:tc>
          <w:tcPr>
            <w:tcW w:w="90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olor w:val="auto"/>
                <w:sz w:val="24"/>
              </w:rPr>
            </w:pPr>
          </w:p>
        </w:tc>
        <w:tc>
          <w:tcPr>
            <w:tcW w:w="108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olor w:val="auto"/>
                <w:sz w:val="24"/>
              </w:rPr>
            </w:pPr>
          </w:p>
        </w:tc>
        <w:tc>
          <w:tcPr>
            <w:tcW w:w="118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olor w:val="auto"/>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olor w:val="auto"/>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47" w:hRule="atLeast"/>
        </w:trPr>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olor w:val="auto"/>
                <w:sz w:val="24"/>
              </w:rPr>
            </w:pPr>
          </w:p>
        </w:tc>
        <w:tc>
          <w:tcPr>
            <w:tcW w:w="105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olor w:val="auto"/>
                <w:sz w:val="24"/>
              </w:rPr>
            </w:pPr>
          </w:p>
        </w:tc>
        <w:tc>
          <w:tcPr>
            <w:tcW w:w="72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olor w:val="auto"/>
                <w:sz w:val="24"/>
              </w:rPr>
            </w:pPr>
          </w:p>
        </w:tc>
        <w:tc>
          <w:tcPr>
            <w:tcW w:w="90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olor w:val="auto"/>
                <w:sz w:val="24"/>
              </w:rPr>
            </w:pPr>
          </w:p>
        </w:tc>
        <w:tc>
          <w:tcPr>
            <w:tcW w:w="108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olor w:val="auto"/>
                <w:sz w:val="24"/>
              </w:rPr>
            </w:pPr>
          </w:p>
        </w:tc>
        <w:tc>
          <w:tcPr>
            <w:tcW w:w="118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olor w:val="auto"/>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olor w:val="auto"/>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olor w:val="auto"/>
                <w:sz w:val="24"/>
              </w:rPr>
            </w:pPr>
          </w:p>
        </w:tc>
      </w:tr>
    </w:tbl>
    <w:p>
      <w:pPr>
        <w:pStyle w:val="5"/>
        <w:numPr>
          <w:ilvl w:val="0"/>
          <w:numId w:val="0"/>
        </w:numPr>
        <w:spacing w:line="400" w:lineRule="exact"/>
        <w:rPr>
          <w:rFonts w:ascii="仿宋" w:hAnsi="仿宋" w:eastAsia="仿宋"/>
          <w:color w:val="auto"/>
          <w:sz w:val="24"/>
          <w:szCs w:val="24"/>
        </w:rPr>
      </w:pPr>
      <w:bookmarkStart w:id="249" w:name="_Toc78191644"/>
      <w:bookmarkStart w:id="250" w:name="_Toc24341"/>
      <w:r>
        <w:rPr>
          <w:rFonts w:hint="eastAsia" w:ascii="仿宋" w:hAnsi="仿宋" w:eastAsia="仿宋"/>
          <w:color w:val="auto"/>
          <w:sz w:val="24"/>
          <w:szCs w:val="24"/>
        </w:rPr>
        <w:t>二、合同总价</w:t>
      </w:r>
      <w:bookmarkEnd w:id="249"/>
      <w:bookmarkEnd w:id="250"/>
    </w:p>
    <w:p>
      <w:pPr>
        <w:pStyle w:val="16"/>
        <w:spacing w:line="400" w:lineRule="exact"/>
        <w:ind w:firstLineChars="175"/>
        <w:rPr>
          <w:rFonts w:hint="eastAsia" w:ascii="仿宋" w:hAnsi="仿宋" w:eastAsia="仿宋"/>
          <w:color w:val="auto"/>
          <w:sz w:val="24"/>
        </w:rPr>
      </w:pPr>
      <w:r>
        <w:rPr>
          <w:rFonts w:hint="eastAsia" w:ascii="仿宋" w:hAnsi="仿宋" w:eastAsia="仿宋"/>
          <w:color w:val="auto"/>
          <w:sz w:val="24"/>
        </w:rPr>
        <w:t>合同总价为人民币大写：</w:t>
      </w:r>
      <w:r>
        <w:rPr>
          <w:rFonts w:hint="default" w:ascii="仿宋" w:hAnsi="仿宋" w:eastAsia="仿宋"/>
          <w:color w:val="auto"/>
          <w:sz w:val="24"/>
        </w:rPr>
        <w:t xml:space="preserve">   </w:t>
      </w:r>
      <w:r>
        <w:rPr>
          <w:rFonts w:hint="eastAsia" w:ascii="仿宋" w:hAnsi="仿宋" w:eastAsia="仿宋"/>
          <w:color w:val="auto"/>
          <w:sz w:val="24"/>
        </w:rPr>
        <w:t>元，即RMB￥</w:t>
      </w:r>
      <w:r>
        <w:rPr>
          <w:rFonts w:hint="default" w:ascii="仿宋" w:hAnsi="仿宋" w:eastAsia="仿宋"/>
          <w:color w:val="auto"/>
          <w:sz w:val="24"/>
        </w:rPr>
        <w:t xml:space="preserve">     </w:t>
      </w:r>
      <w:r>
        <w:rPr>
          <w:rFonts w:hint="eastAsia" w:ascii="仿宋" w:hAnsi="仿宋" w:eastAsia="仿宋"/>
          <w:color w:val="auto"/>
          <w:sz w:val="24"/>
        </w:rPr>
        <w:t>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pPr>
        <w:pStyle w:val="16"/>
        <w:numPr>
          <w:ilvl w:val="0"/>
          <w:numId w:val="56"/>
        </w:numPr>
        <w:spacing w:line="400" w:lineRule="exact"/>
        <w:ind w:firstLine="0" w:firstLineChars="0"/>
        <w:rPr>
          <w:rFonts w:hint="eastAsia" w:ascii="仿宋" w:hAnsi="仿宋" w:eastAsia="仿宋"/>
          <w:b/>
          <w:bCs/>
          <w:color w:val="auto"/>
          <w:sz w:val="24"/>
          <w:lang w:eastAsia="zh-Hans"/>
        </w:rPr>
      </w:pPr>
      <w:r>
        <w:rPr>
          <w:rFonts w:hint="eastAsia" w:ascii="仿宋" w:hAnsi="仿宋" w:eastAsia="仿宋"/>
          <w:b/>
          <w:bCs/>
          <w:color w:val="auto"/>
          <w:sz w:val="24"/>
          <w:lang w:val="en-US" w:eastAsia="zh-Hans"/>
        </w:rPr>
        <w:t>合同期限及履约地点</w:t>
      </w:r>
    </w:p>
    <w:p>
      <w:pPr>
        <w:pStyle w:val="16"/>
        <w:numPr>
          <w:ilvl w:val="0"/>
          <w:numId w:val="57"/>
        </w:numPr>
        <w:spacing w:line="400" w:lineRule="exact"/>
        <w:ind w:firstLine="480" w:firstLineChars="200"/>
        <w:rPr>
          <w:rFonts w:hint="default" w:ascii="仿宋" w:hAnsi="仿宋" w:eastAsia="仿宋"/>
          <w:color w:val="auto"/>
          <w:sz w:val="24"/>
          <w:lang w:eastAsia="zh-Hans"/>
        </w:rPr>
      </w:pPr>
      <w:r>
        <w:rPr>
          <w:rFonts w:hint="eastAsia" w:ascii="仿宋" w:hAnsi="仿宋" w:eastAsia="仿宋"/>
          <w:color w:val="auto"/>
          <w:sz w:val="24"/>
          <w:lang w:val="en-US" w:eastAsia="zh-Hans"/>
        </w:rPr>
        <w:t>合同期限</w:t>
      </w:r>
      <w:r>
        <w:rPr>
          <w:rFonts w:hint="default" w:ascii="仿宋" w:hAnsi="仿宋" w:eastAsia="仿宋"/>
          <w:color w:val="auto"/>
          <w:sz w:val="24"/>
          <w:lang w:eastAsia="zh-Hans"/>
        </w:rPr>
        <w:t>：</w:t>
      </w:r>
      <w:r>
        <w:rPr>
          <w:rFonts w:hint="eastAsia" w:ascii="仿宋" w:hAnsi="仿宋" w:eastAsia="仿宋"/>
          <w:color w:val="auto"/>
          <w:sz w:val="24"/>
          <w:lang w:val="en-US" w:eastAsia="zh-Hans"/>
        </w:rPr>
        <w:t>自本</w:t>
      </w:r>
      <w:r>
        <w:rPr>
          <w:rFonts w:hint="default" w:ascii="仿宋" w:hAnsi="仿宋" w:eastAsia="仿宋"/>
          <w:color w:val="auto"/>
          <w:sz w:val="24"/>
          <w:lang w:eastAsia="zh-Hans"/>
        </w:rPr>
        <w:t>合同签订生效</w:t>
      </w:r>
      <w:r>
        <w:rPr>
          <w:rFonts w:hint="eastAsia" w:ascii="仿宋" w:hAnsi="仿宋" w:eastAsia="仿宋"/>
          <w:color w:val="auto"/>
          <w:sz w:val="24"/>
          <w:lang w:val="en-US" w:eastAsia="zh-Hans"/>
        </w:rPr>
        <w:t>之日起</w:t>
      </w:r>
      <w:r>
        <w:rPr>
          <w:rFonts w:hint="default" w:ascii="仿宋" w:hAnsi="仿宋" w:eastAsia="仿宋"/>
          <w:color w:val="auto"/>
          <w:sz w:val="24"/>
          <w:lang w:eastAsia="zh-Hans"/>
        </w:rPr>
        <w:t>60个日历日内完成电梯安装调试并通过</w:t>
      </w:r>
      <w:r>
        <w:rPr>
          <w:rFonts w:hint="eastAsia" w:ascii="仿宋" w:hAnsi="仿宋" w:eastAsia="仿宋"/>
          <w:color w:val="auto"/>
          <w:sz w:val="24"/>
          <w:lang w:val="en-US" w:eastAsia="zh-Hans"/>
        </w:rPr>
        <w:t>甲方</w:t>
      </w:r>
      <w:r>
        <w:rPr>
          <w:rFonts w:hint="default" w:ascii="仿宋" w:hAnsi="仿宋" w:eastAsia="仿宋"/>
          <w:color w:val="auto"/>
          <w:sz w:val="24"/>
          <w:lang w:eastAsia="zh-Hans"/>
        </w:rPr>
        <w:t>验收。</w:t>
      </w:r>
    </w:p>
    <w:p>
      <w:pPr>
        <w:pStyle w:val="16"/>
        <w:numPr>
          <w:ilvl w:val="0"/>
          <w:numId w:val="57"/>
        </w:numPr>
        <w:spacing w:line="400" w:lineRule="exact"/>
        <w:ind w:firstLine="480" w:firstLineChars="200"/>
        <w:rPr>
          <w:rFonts w:hint="eastAsia" w:ascii="仿宋" w:hAnsi="仿宋" w:eastAsia="仿宋"/>
          <w:color w:val="auto"/>
          <w:sz w:val="24"/>
          <w:lang w:eastAsia="zh-Hans"/>
        </w:rPr>
      </w:pPr>
      <w:r>
        <w:rPr>
          <w:rFonts w:hint="eastAsia" w:ascii="仿宋" w:hAnsi="仿宋" w:eastAsia="仿宋"/>
          <w:color w:val="auto"/>
          <w:sz w:val="24"/>
          <w:lang w:val="en-US" w:eastAsia="zh-Hans"/>
        </w:rPr>
        <w:t>履约地点</w:t>
      </w:r>
      <w:r>
        <w:rPr>
          <w:rFonts w:hint="default" w:ascii="仿宋" w:hAnsi="仿宋" w:eastAsia="仿宋"/>
          <w:color w:val="auto"/>
          <w:sz w:val="24"/>
          <w:lang w:eastAsia="zh-Hans"/>
        </w:rPr>
        <w:t>：</w:t>
      </w:r>
      <w:r>
        <w:rPr>
          <w:rFonts w:hint="eastAsia" w:ascii="仿宋" w:hAnsi="仿宋" w:eastAsia="仿宋"/>
          <w:color w:val="auto"/>
          <w:sz w:val="24"/>
          <w:lang w:val="en-US" w:eastAsia="zh-Hans"/>
        </w:rPr>
        <w:t>甲方指定地点</w:t>
      </w:r>
      <w:r>
        <w:rPr>
          <w:rFonts w:hint="default" w:ascii="仿宋" w:hAnsi="仿宋" w:eastAsia="仿宋"/>
          <w:color w:val="auto"/>
          <w:sz w:val="24"/>
          <w:lang w:eastAsia="zh-Hans"/>
        </w:rPr>
        <w:t>，</w:t>
      </w:r>
      <w:r>
        <w:rPr>
          <w:rFonts w:hint="eastAsia" w:ascii="仿宋" w:hAnsi="仿宋" w:eastAsia="仿宋"/>
          <w:color w:val="auto"/>
          <w:sz w:val="24"/>
          <w:lang w:val="en-US" w:eastAsia="zh-Hans"/>
        </w:rPr>
        <w:t>根据甲方要求安装电梯</w:t>
      </w:r>
    </w:p>
    <w:p>
      <w:pPr>
        <w:pStyle w:val="5"/>
        <w:numPr>
          <w:ilvl w:val="0"/>
          <w:numId w:val="0"/>
        </w:numPr>
        <w:spacing w:line="400" w:lineRule="exact"/>
        <w:rPr>
          <w:rFonts w:ascii="仿宋" w:hAnsi="仿宋" w:eastAsia="仿宋"/>
          <w:color w:val="auto"/>
          <w:sz w:val="24"/>
          <w:szCs w:val="24"/>
        </w:rPr>
      </w:pPr>
      <w:bookmarkStart w:id="251" w:name="_Toc577"/>
      <w:bookmarkStart w:id="252" w:name="_Toc217446109"/>
      <w:bookmarkStart w:id="253" w:name="_Toc78191645"/>
      <w:r>
        <w:rPr>
          <w:rFonts w:hint="eastAsia" w:ascii="仿宋" w:hAnsi="仿宋" w:eastAsia="仿宋"/>
          <w:color w:val="auto"/>
          <w:sz w:val="24"/>
          <w:szCs w:val="24"/>
          <w:lang w:val="en-US" w:eastAsia="zh-Hans"/>
        </w:rPr>
        <w:t>四</w:t>
      </w:r>
      <w:r>
        <w:rPr>
          <w:rFonts w:hint="eastAsia" w:ascii="仿宋" w:hAnsi="仿宋" w:eastAsia="仿宋"/>
          <w:color w:val="auto"/>
          <w:sz w:val="24"/>
          <w:szCs w:val="24"/>
        </w:rPr>
        <w:t>、质量要求</w:t>
      </w:r>
      <w:bookmarkEnd w:id="251"/>
      <w:bookmarkEnd w:id="252"/>
      <w:bookmarkEnd w:id="253"/>
    </w:p>
    <w:p>
      <w:pPr>
        <w:pStyle w:val="103"/>
        <w:ind w:firstLine="480"/>
        <w:rPr>
          <w:rFonts w:ascii="仿宋" w:hAnsi="仿宋" w:eastAsia="仿宋"/>
          <w:color w:val="auto"/>
        </w:rPr>
      </w:pPr>
      <w:r>
        <w:rPr>
          <w:rFonts w:hint="eastAsia" w:ascii="仿宋" w:hAnsi="仿宋" w:eastAsia="仿宋"/>
          <w:color w:val="auto"/>
        </w:rPr>
        <w:t>1.乙方须提供全新的货物（含零部件、配件等），表面无划伤、无碰撞痕迹，且权属清楚，不得侵害他人的知识产权。</w:t>
      </w:r>
    </w:p>
    <w:p>
      <w:pPr>
        <w:pStyle w:val="103"/>
        <w:ind w:firstLine="480"/>
        <w:rPr>
          <w:rFonts w:ascii="仿宋" w:hAnsi="仿宋" w:eastAsia="仿宋"/>
          <w:color w:val="auto"/>
        </w:rPr>
      </w:pPr>
      <w:r>
        <w:rPr>
          <w:rFonts w:ascii="仿宋" w:hAnsi="仿宋" w:eastAsia="仿宋"/>
          <w:color w:val="auto"/>
        </w:rPr>
        <w:t>2.</w:t>
      </w:r>
      <w:r>
        <w:rPr>
          <w:rFonts w:hint="eastAsia" w:ascii="仿宋" w:hAnsi="仿宋" w:eastAsia="仿宋"/>
          <w:color w:val="auto"/>
        </w:rPr>
        <w:t>货物必须符合或优于国家（行业）标准，以及本项目招标文件的质量要求和技术指标与出厂标准。</w:t>
      </w:r>
    </w:p>
    <w:p>
      <w:pPr>
        <w:pStyle w:val="103"/>
        <w:ind w:firstLine="480"/>
        <w:rPr>
          <w:rFonts w:hint="eastAsia" w:ascii="仿宋" w:hAnsi="仿宋" w:eastAsia="仿宋"/>
          <w:color w:val="auto"/>
        </w:rPr>
      </w:pPr>
      <w:r>
        <w:rPr>
          <w:rFonts w:hint="eastAsia" w:ascii="仿宋" w:hAnsi="仿宋" w:eastAsia="仿宋"/>
          <w:color w:val="auto"/>
        </w:rPr>
        <w:t>3</w:t>
      </w:r>
      <w:r>
        <w:rPr>
          <w:rFonts w:ascii="仿宋" w:hAnsi="仿宋" w:eastAsia="仿宋"/>
          <w:color w:val="auto"/>
        </w:rPr>
        <w:t>.</w:t>
      </w:r>
      <w:r>
        <w:rPr>
          <w:rFonts w:hint="eastAsia" w:ascii="仿宋" w:hAnsi="仿宋" w:eastAsia="仿宋"/>
          <w:color w:val="auto"/>
        </w:rPr>
        <w:t>货物制造质量出现问题，乙方应负责三包（包修、包换、包退），费用由乙方负担，甲方有权到乙方生产场地检查货物质量和生产进度。</w:t>
      </w:r>
    </w:p>
    <w:p>
      <w:pPr>
        <w:pStyle w:val="103"/>
        <w:ind w:firstLine="0" w:firstLineChars="0"/>
        <w:rPr>
          <w:rFonts w:hint="eastAsia" w:ascii="仿宋" w:hAnsi="仿宋" w:eastAsia="仿宋"/>
          <w:b/>
          <w:bCs/>
          <w:color w:val="auto"/>
          <w:lang w:val="en-US" w:eastAsia="zh-Hans"/>
        </w:rPr>
      </w:pPr>
      <w:r>
        <w:rPr>
          <w:rFonts w:hint="eastAsia" w:ascii="仿宋" w:hAnsi="仿宋" w:eastAsia="仿宋"/>
          <w:b/>
          <w:bCs/>
          <w:color w:val="auto"/>
          <w:lang w:val="en-US" w:eastAsia="zh-Hans"/>
        </w:rPr>
        <w:t>五</w:t>
      </w:r>
      <w:r>
        <w:rPr>
          <w:rFonts w:hint="default" w:ascii="仿宋" w:hAnsi="仿宋" w:eastAsia="仿宋"/>
          <w:b/>
          <w:bCs/>
          <w:color w:val="auto"/>
          <w:lang w:eastAsia="zh-Hans"/>
        </w:rPr>
        <w:t>、</w:t>
      </w:r>
      <w:r>
        <w:rPr>
          <w:rFonts w:hint="eastAsia" w:ascii="仿宋" w:hAnsi="仿宋" w:eastAsia="仿宋"/>
          <w:b/>
          <w:bCs/>
          <w:color w:val="auto"/>
          <w:lang w:val="en-US" w:eastAsia="zh-Hans"/>
        </w:rPr>
        <w:t>甲乙双方的权利及义务</w:t>
      </w:r>
    </w:p>
    <w:p>
      <w:pPr>
        <w:pStyle w:val="103"/>
        <w:ind w:firstLine="480"/>
        <w:rPr>
          <w:rFonts w:hint="eastAsia" w:ascii="仿宋" w:hAnsi="仿宋" w:eastAsia="仿宋"/>
          <w:color w:val="auto"/>
        </w:rPr>
      </w:pPr>
      <w:r>
        <w:rPr>
          <w:rFonts w:hint="eastAsia" w:ascii="仿宋" w:hAnsi="仿宋" w:eastAsia="仿宋"/>
          <w:color w:val="auto"/>
        </w:rPr>
        <w:t>1</w:t>
      </w:r>
      <w:r>
        <w:rPr>
          <w:rFonts w:hint="default" w:ascii="仿宋" w:hAnsi="仿宋" w:eastAsia="仿宋"/>
          <w:color w:val="auto"/>
        </w:rPr>
        <w:t>.</w:t>
      </w:r>
      <w:r>
        <w:rPr>
          <w:rFonts w:hint="eastAsia" w:ascii="仿宋" w:hAnsi="仿宋" w:eastAsia="仿宋"/>
          <w:color w:val="auto"/>
          <w:lang w:val="en-US" w:eastAsia="zh-Hans"/>
        </w:rPr>
        <w:t>甲方应当按时</w:t>
      </w:r>
      <w:r>
        <w:rPr>
          <w:rFonts w:hint="default" w:ascii="仿宋" w:hAnsi="仿宋" w:eastAsia="仿宋"/>
          <w:color w:val="auto"/>
          <w:lang w:eastAsia="zh-Hans"/>
        </w:rPr>
        <w:t>、</w:t>
      </w:r>
      <w:r>
        <w:rPr>
          <w:rFonts w:hint="eastAsia" w:ascii="仿宋" w:hAnsi="仿宋" w:eastAsia="仿宋"/>
          <w:color w:val="auto"/>
          <w:lang w:val="en-US" w:eastAsia="zh-Hans"/>
        </w:rPr>
        <w:t>足额向乙方支付费用</w:t>
      </w:r>
      <w:r>
        <w:rPr>
          <w:rFonts w:hint="default" w:ascii="仿宋" w:hAnsi="仿宋" w:eastAsia="仿宋"/>
          <w:color w:val="auto"/>
          <w:lang w:eastAsia="zh-Hans"/>
        </w:rPr>
        <w:t>。</w:t>
      </w:r>
    </w:p>
    <w:p>
      <w:pPr>
        <w:pStyle w:val="103"/>
        <w:ind w:firstLine="480"/>
        <w:rPr>
          <w:rFonts w:hint="eastAsia" w:ascii="仿宋" w:hAnsi="仿宋" w:eastAsia="仿宋"/>
          <w:color w:val="auto"/>
        </w:rPr>
      </w:pPr>
      <w:r>
        <w:rPr>
          <w:rFonts w:hint="default" w:ascii="仿宋" w:hAnsi="仿宋" w:eastAsia="仿宋"/>
          <w:color w:val="auto"/>
        </w:rPr>
        <w:t>2</w:t>
      </w:r>
      <w:r>
        <w:rPr>
          <w:rFonts w:hint="eastAsia" w:ascii="仿宋" w:hAnsi="仿宋" w:eastAsia="仿宋"/>
          <w:color w:val="auto"/>
          <w:lang w:val="en-US" w:eastAsia="zh-Hans"/>
        </w:rPr>
        <w:t>.电梯安装完成后</w:t>
      </w:r>
      <w:r>
        <w:rPr>
          <w:rFonts w:hint="default" w:ascii="仿宋" w:hAnsi="仿宋" w:eastAsia="仿宋"/>
          <w:color w:val="auto"/>
          <w:lang w:eastAsia="zh-Hans"/>
        </w:rPr>
        <w:t>，</w:t>
      </w:r>
      <w:r>
        <w:rPr>
          <w:rFonts w:hint="eastAsia" w:ascii="仿宋" w:hAnsi="仿宋" w:eastAsia="仿宋"/>
          <w:color w:val="auto"/>
          <w:lang w:val="en-US" w:eastAsia="zh-Hans"/>
        </w:rPr>
        <w:t>乙方应当</w:t>
      </w:r>
      <w:r>
        <w:rPr>
          <w:rFonts w:hint="eastAsia" w:ascii="仿宋" w:hAnsi="仿宋" w:eastAsia="仿宋"/>
          <w:color w:val="auto"/>
        </w:rPr>
        <w:t>向</w:t>
      </w:r>
      <w:r>
        <w:rPr>
          <w:rFonts w:hint="eastAsia" w:ascii="仿宋" w:hAnsi="仿宋" w:eastAsia="仿宋"/>
          <w:color w:val="auto"/>
          <w:lang w:val="en-US" w:eastAsia="zh-Hans"/>
        </w:rPr>
        <w:t>甲方</w:t>
      </w:r>
      <w:r>
        <w:rPr>
          <w:rFonts w:hint="eastAsia" w:ascii="仿宋" w:hAnsi="仿宋" w:eastAsia="仿宋"/>
          <w:color w:val="auto"/>
        </w:rPr>
        <w:t>提供不少于12小时使用培训，达到</w:t>
      </w:r>
      <w:r>
        <w:rPr>
          <w:rFonts w:hint="eastAsia" w:ascii="仿宋" w:hAnsi="仿宋" w:eastAsia="仿宋"/>
          <w:color w:val="auto"/>
          <w:lang w:val="en-US" w:eastAsia="zh-Hans"/>
        </w:rPr>
        <w:t>甲方</w:t>
      </w:r>
      <w:r>
        <w:rPr>
          <w:rFonts w:hint="eastAsia" w:ascii="仿宋" w:hAnsi="仿宋" w:eastAsia="仿宋"/>
          <w:color w:val="auto"/>
        </w:rPr>
        <w:t>可独立使用，并在培训后免费提供使用咨询等。</w:t>
      </w:r>
    </w:p>
    <w:p>
      <w:pPr>
        <w:pStyle w:val="103"/>
        <w:ind w:firstLine="480"/>
        <w:rPr>
          <w:rFonts w:hint="default" w:ascii="仿宋" w:hAnsi="仿宋" w:eastAsia="仿宋"/>
          <w:color w:val="auto"/>
        </w:rPr>
      </w:pPr>
      <w:r>
        <w:rPr>
          <w:rFonts w:hint="default" w:ascii="仿宋" w:hAnsi="仿宋" w:eastAsia="仿宋"/>
          <w:color w:val="auto"/>
        </w:rPr>
        <w:t>3.乙方应当遵守甲方的相关项目需求及相关技术要求及实质性条款，实施完成采购合同应当完全满足相关项目需求及相关技术要求及实质性条款，</w:t>
      </w:r>
    </w:p>
    <w:p>
      <w:pPr>
        <w:pStyle w:val="103"/>
        <w:ind w:firstLine="480"/>
        <w:rPr>
          <w:rFonts w:hint="eastAsia" w:ascii="仿宋" w:hAnsi="仿宋" w:eastAsia="仿宋"/>
          <w:color w:val="auto"/>
        </w:rPr>
      </w:pPr>
      <w:r>
        <w:rPr>
          <w:rFonts w:hint="default" w:ascii="仿宋" w:hAnsi="仿宋" w:eastAsia="仿宋"/>
          <w:color w:val="auto"/>
        </w:rPr>
        <w:t>4</w:t>
      </w:r>
      <w:r>
        <w:rPr>
          <w:rFonts w:hint="eastAsia" w:ascii="仿宋" w:hAnsi="仿宋" w:eastAsia="仿宋"/>
          <w:color w:val="auto"/>
          <w:lang w:val="en-US" w:eastAsia="zh-Hans"/>
        </w:rPr>
        <w:t>.乙方</w:t>
      </w:r>
      <w:r>
        <w:rPr>
          <w:rFonts w:hint="eastAsia" w:ascii="仿宋" w:hAnsi="仿宋" w:eastAsia="仿宋"/>
          <w:color w:val="auto"/>
        </w:rPr>
        <w:t>在进场后须严格按照相关规范要求进行施工</w:t>
      </w:r>
      <w:r>
        <w:rPr>
          <w:rFonts w:hint="default" w:ascii="仿宋" w:hAnsi="仿宋" w:eastAsia="仿宋"/>
          <w:color w:val="auto"/>
        </w:rPr>
        <w:t>，</w:t>
      </w:r>
      <w:r>
        <w:rPr>
          <w:rFonts w:hint="eastAsia" w:ascii="仿宋" w:hAnsi="仿宋" w:eastAsia="仿宋"/>
          <w:color w:val="auto"/>
          <w:lang w:val="en-US" w:eastAsia="zh-Hans"/>
        </w:rPr>
        <w:t>甲方提供必要的水电</w:t>
      </w:r>
      <w:r>
        <w:rPr>
          <w:rFonts w:hint="eastAsia" w:ascii="仿宋" w:hAnsi="仿宋" w:eastAsia="仿宋"/>
          <w:color w:val="auto"/>
        </w:rPr>
        <w:t>。</w:t>
      </w:r>
    </w:p>
    <w:p>
      <w:pPr>
        <w:pStyle w:val="103"/>
        <w:ind w:firstLine="480"/>
        <w:rPr>
          <w:rFonts w:hint="default" w:ascii="仿宋" w:hAnsi="仿宋" w:eastAsia="仿宋"/>
          <w:color w:val="auto"/>
        </w:rPr>
      </w:pPr>
      <w:r>
        <w:rPr>
          <w:rFonts w:hint="default" w:ascii="仿宋" w:hAnsi="仿宋" w:eastAsia="仿宋"/>
          <w:color w:val="auto"/>
        </w:rPr>
        <w:t>5</w:t>
      </w:r>
      <w:r>
        <w:rPr>
          <w:rFonts w:hint="eastAsia" w:ascii="仿宋" w:hAnsi="仿宋" w:eastAsia="仿宋"/>
          <w:color w:val="auto"/>
          <w:lang w:val="en-US" w:eastAsia="zh-Hans"/>
        </w:rPr>
        <w:t>.</w:t>
      </w:r>
      <w:r>
        <w:rPr>
          <w:rFonts w:hint="default" w:ascii="仿宋" w:hAnsi="仿宋" w:eastAsia="仿宋"/>
          <w:color w:val="auto"/>
        </w:rPr>
        <w:t>乙方应保证所提供的</w:t>
      </w:r>
      <w:r>
        <w:rPr>
          <w:rFonts w:hint="eastAsia" w:ascii="仿宋" w:hAnsi="仿宋" w:eastAsia="仿宋"/>
          <w:color w:val="auto"/>
          <w:lang w:val="en-US" w:eastAsia="zh-Hans"/>
        </w:rPr>
        <w:t>电梯</w:t>
      </w:r>
      <w:r>
        <w:rPr>
          <w:rFonts w:hint="default" w:ascii="仿宋" w:hAnsi="仿宋" w:eastAsia="仿宋"/>
          <w:color w:val="auto"/>
        </w:rPr>
        <w:t>或其任何一部分均不会侵犯任何第三方的专利权、商标权或著作权。</w:t>
      </w:r>
    </w:p>
    <w:p>
      <w:pPr>
        <w:pStyle w:val="103"/>
        <w:ind w:firstLine="480"/>
        <w:rPr>
          <w:rFonts w:hint="eastAsia" w:ascii="仿宋" w:hAnsi="仿宋" w:eastAsia="仿宋"/>
          <w:color w:val="auto"/>
        </w:rPr>
      </w:pPr>
      <w:r>
        <w:rPr>
          <w:rFonts w:hint="default" w:ascii="仿宋" w:hAnsi="仿宋" w:eastAsia="仿宋"/>
          <w:color w:val="auto"/>
        </w:rPr>
        <w:t>6.</w:t>
      </w:r>
      <w:r>
        <w:rPr>
          <w:rFonts w:hint="eastAsia" w:ascii="仿宋" w:hAnsi="仿宋" w:eastAsia="仿宋"/>
          <w:color w:val="auto"/>
        </w:rPr>
        <w:t>本项目安装过程中</w:t>
      </w:r>
      <w:r>
        <w:rPr>
          <w:rFonts w:hint="default" w:ascii="仿宋" w:hAnsi="仿宋" w:eastAsia="仿宋"/>
          <w:color w:val="auto"/>
        </w:rPr>
        <w:t>，</w:t>
      </w:r>
      <w:r>
        <w:rPr>
          <w:rFonts w:hint="eastAsia" w:ascii="仿宋" w:hAnsi="仿宋" w:eastAsia="仿宋"/>
          <w:color w:val="auto"/>
        </w:rPr>
        <w:t>乙方给其他任何第三方造成损失的，由乙方承担全部损害赔偿责任，同时乙方自愿放弃向甲方请求赔偿或追偿的权利；若甲方先行垫付相关费用，乙方同意甲方在本合同总价款中扣付。</w:t>
      </w:r>
    </w:p>
    <w:p>
      <w:pPr>
        <w:pStyle w:val="103"/>
        <w:ind w:firstLine="480"/>
        <w:rPr>
          <w:rFonts w:ascii="仿宋" w:hAnsi="仿宋" w:eastAsia="仿宋"/>
          <w:color w:val="auto"/>
        </w:rPr>
      </w:pPr>
      <w:r>
        <w:rPr>
          <w:rFonts w:hint="default" w:ascii="仿宋" w:hAnsi="仿宋" w:eastAsia="仿宋"/>
          <w:color w:val="auto"/>
          <w:lang w:eastAsia="zh-Hans"/>
        </w:rPr>
        <w:t>7</w:t>
      </w:r>
      <w:r>
        <w:rPr>
          <w:rFonts w:hint="eastAsia" w:ascii="仿宋" w:hAnsi="仿宋" w:eastAsia="仿宋"/>
          <w:color w:val="auto"/>
          <w:lang w:val="en-US" w:eastAsia="zh-Hans"/>
        </w:rPr>
        <w:t>.</w:t>
      </w:r>
      <w:r>
        <w:rPr>
          <w:rFonts w:hint="eastAsia" w:ascii="仿宋" w:hAnsi="仿宋" w:eastAsia="仿宋"/>
          <w:color w:val="auto"/>
        </w:rPr>
        <w:t>本项目安装过程中，若因第三人造成乙方人身损害的，乙方应向第三人主张赔偿责任，甲方不承担任何责任，同时乙方自愿放弃向甲方请求赔偿的权利。</w:t>
      </w:r>
    </w:p>
    <w:p>
      <w:pPr>
        <w:pStyle w:val="5"/>
        <w:numPr>
          <w:ilvl w:val="0"/>
          <w:numId w:val="0"/>
        </w:numPr>
        <w:spacing w:line="400" w:lineRule="exact"/>
        <w:rPr>
          <w:rFonts w:ascii="仿宋" w:hAnsi="仿宋" w:eastAsia="仿宋"/>
          <w:color w:val="auto"/>
          <w:sz w:val="24"/>
          <w:szCs w:val="24"/>
        </w:rPr>
      </w:pPr>
      <w:bookmarkStart w:id="254" w:name="_Toc5331"/>
      <w:bookmarkStart w:id="255" w:name="_Toc78191646"/>
      <w:r>
        <w:rPr>
          <w:rFonts w:hint="eastAsia" w:ascii="仿宋" w:hAnsi="仿宋" w:eastAsia="仿宋"/>
          <w:color w:val="auto"/>
          <w:sz w:val="24"/>
          <w:szCs w:val="24"/>
          <w:lang w:val="en-US" w:eastAsia="zh-Hans"/>
        </w:rPr>
        <w:t>六</w:t>
      </w:r>
      <w:r>
        <w:rPr>
          <w:rFonts w:hint="eastAsia" w:ascii="仿宋" w:hAnsi="仿宋" w:eastAsia="仿宋"/>
          <w:color w:val="auto"/>
          <w:sz w:val="24"/>
          <w:szCs w:val="24"/>
        </w:rPr>
        <w:t>、</w:t>
      </w:r>
      <w:bookmarkStart w:id="256" w:name="_Toc217446110"/>
      <w:r>
        <w:rPr>
          <w:rFonts w:hint="eastAsia" w:ascii="仿宋" w:hAnsi="仿宋" w:eastAsia="仿宋"/>
          <w:color w:val="auto"/>
          <w:sz w:val="24"/>
          <w:szCs w:val="24"/>
        </w:rPr>
        <w:t>交货及验收</w:t>
      </w:r>
      <w:bookmarkEnd w:id="254"/>
      <w:bookmarkEnd w:id="255"/>
      <w:bookmarkEnd w:id="256"/>
    </w:p>
    <w:p>
      <w:pPr>
        <w:tabs>
          <w:tab w:val="left" w:pos="851"/>
        </w:tabs>
        <w:spacing w:line="360" w:lineRule="auto"/>
        <w:ind w:firstLine="480" w:firstLineChars="200"/>
        <w:rPr>
          <w:rFonts w:hint="eastAsia" w:ascii="仿宋" w:hAnsi="仿宋" w:eastAsia="仿宋" w:cs="宋体"/>
          <w:color w:val="auto"/>
          <w:sz w:val="24"/>
          <w:szCs w:val="24"/>
        </w:rPr>
      </w:pPr>
      <w:r>
        <w:rPr>
          <w:rFonts w:hint="eastAsia" w:ascii="仿宋" w:hAnsi="仿宋" w:eastAsia="仿宋" w:cs="宋体"/>
          <w:color w:val="auto"/>
          <w:sz w:val="24"/>
          <w:szCs w:val="24"/>
        </w:rPr>
        <w:t>1.</w:t>
      </w:r>
      <w:r>
        <w:rPr>
          <w:rFonts w:hint="default" w:ascii="仿宋" w:hAnsi="仿宋" w:eastAsia="仿宋" w:cs="宋体"/>
          <w:color w:val="auto"/>
          <w:sz w:val="24"/>
          <w:szCs w:val="24"/>
        </w:rPr>
        <w:t>乙方</w:t>
      </w:r>
      <w:r>
        <w:rPr>
          <w:rFonts w:hint="eastAsia" w:ascii="仿宋" w:hAnsi="仿宋" w:eastAsia="仿宋" w:cs="宋体"/>
          <w:color w:val="auto"/>
          <w:sz w:val="24"/>
          <w:szCs w:val="24"/>
        </w:rPr>
        <w:t>在设备安装并正常运行10天后通知</w:t>
      </w:r>
      <w:r>
        <w:rPr>
          <w:rFonts w:hint="default" w:ascii="仿宋" w:hAnsi="仿宋" w:eastAsia="仿宋" w:cs="宋体"/>
          <w:color w:val="auto"/>
          <w:sz w:val="24"/>
          <w:szCs w:val="24"/>
        </w:rPr>
        <w:t>甲方</w:t>
      </w:r>
      <w:r>
        <w:rPr>
          <w:rFonts w:hint="eastAsia" w:ascii="仿宋" w:hAnsi="仿宋" w:eastAsia="仿宋" w:cs="宋体"/>
          <w:color w:val="auto"/>
          <w:sz w:val="24"/>
          <w:szCs w:val="24"/>
        </w:rPr>
        <w:t>，</w:t>
      </w:r>
      <w:r>
        <w:rPr>
          <w:rFonts w:hint="default" w:ascii="仿宋" w:hAnsi="仿宋" w:eastAsia="仿宋" w:cs="宋体"/>
          <w:color w:val="auto"/>
          <w:sz w:val="24"/>
          <w:szCs w:val="24"/>
        </w:rPr>
        <w:t>甲方</w:t>
      </w:r>
      <w:r>
        <w:rPr>
          <w:rFonts w:hint="eastAsia" w:ascii="仿宋" w:hAnsi="仿宋" w:eastAsia="仿宋" w:cs="宋体"/>
          <w:color w:val="auto"/>
          <w:sz w:val="24"/>
          <w:szCs w:val="24"/>
        </w:rPr>
        <w:t>在接到通知后5个工作日内组织履约验收，</w:t>
      </w:r>
      <w:r>
        <w:rPr>
          <w:rFonts w:hint="eastAsia" w:ascii="仿宋" w:hAnsi="仿宋" w:eastAsia="仿宋" w:cs="宋体"/>
          <w:color w:val="auto"/>
          <w:sz w:val="24"/>
          <w:szCs w:val="24"/>
          <w:lang w:val="en-US" w:eastAsia="zh-Hans"/>
        </w:rPr>
        <w:t>经甲方</w:t>
      </w:r>
      <w:r>
        <w:rPr>
          <w:rFonts w:hint="eastAsia" w:ascii="仿宋" w:hAnsi="仿宋" w:eastAsia="仿宋" w:cs="宋体"/>
          <w:color w:val="auto"/>
          <w:sz w:val="24"/>
          <w:szCs w:val="24"/>
        </w:rPr>
        <w:t>验收合格</w:t>
      </w:r>
      <w:r>
        <w:rPr>
          <w:rFonts w:hint="eastAsia" w:ascii="仿宋" w:hAnsi="仿宋" w:eastAsia="仿宋" w:cs="宋体"/>
          <w:color w:val="auto"/>
          <w:sz w:val="24"/>
          <w:szCs w:val="24"/>
          <w:lang w:val="en-US" w:eastAsia="zh-Hans"/>
        </w:rPr>
        <w:t>后</w:t>
      </w:r>
      <w:r>
        <w:rPr>
          <w:rFonts w:hint="eastAsia" w:ascii="仿宋" w:hAnsi="仿宋" w:eastAsia="仿宋" w:cs="宋体"/>
          <w:color w:val="auto"/>
          <w:sz w:val="24"/>
          <w:szCs w:val="24"/>
        </w:rPr>
        <w:t>，双方签署《验收报告》；</w:t>
      </w:r>
    </w:p>
    <w:p>
      <w:pPr>
        <w:tabs>
          <w:tab w:val="left" w:pos="851"/>
        </w:tabs>
        <w:spacing w:line="360" w:lineRule="auto"/>
        <w:ind w:firstLine="480" w:firstLineChars="200"/>
        <w:rPr>
          <w:rFonts w:hint="eastAsia" w:ascii="仿宋" w:hAnsi="仿宋" w:eastAsia="仿宋" w:cs="宋体"/>
          <w:color w:val="auto"/>
          <w:sz w:val="24"/>
          <w:szCs w:val="24"/>
          <w:lang w:val="en-US" w:eastAsia="zh-Hans"/>
        </w:rPr>
      </w:pPr>
      <w:r>
        <w:rPr>
          <w:rFonts w:hint="default" w:ascii="仿宋" w:hAnsi="仿宋" w:eastAsia="仿宋" w:cs="宋体"/>
          <w:color w:val="auto"/>
          <w:sz w:val="24"/>
          <w:szCs w:val="24"/>
        </w:rPr>
        <w:t>2</w:t>
      </w:r>
      <w:r>
        <w:rPr>
          <w:rFonts w:hint="eastAsia" w:ascii="仿宋" w:hAnsi="仿宋" w:eastAsia="仿宋" w:cs="宋体"/>
          <w:color w:val="auto"/>
          <w:sz w:val="24"/>
          <w:szCs w:val="24"/>
          <w:lang w:val="en-US" w:eastAsia="zh-Hans"/>
        </w:rPr>
        <w:t>.验收标准：按国家有关规定以及采购文件的质量要求和技术指标、</w:t>
      </w:r>
      <w:r>
        <w:rPr>
          <w:rFonts w:hint="default" w:ascii="仿宋" w:hAnsi="仿宋" w:eastAsia="仿宋" w:cs="宋体"/>
          <w:color w:val="auto"/>
          <w:sz w:val="24"/>
          <w:szCs w:val="24"/>
          <w:lang w:eastAsia="zh-Hans"/>
        </w:rPr>
        <w:t>乙方</w:t>
      </w:r>
      <w:r>
        <w:rPr>
          <w:rFonts w:hint="eastAsia" w:ascii="仿宋" w:hAnsi="仿宋" w:eastAsia="仿宋" w:cs="宋体"/>
          <w:color w:val="auto"/>
          <w:sz w:val="24"/>
          <w:szCs w:val="24"/>
          <w:lang w:val="en-US" w:eastAsia="zh-Hans"/>
        </w:rPr>
        <w:t>的投标文件及承诺与本合同约定标准进行验收；</w:t>
      </w:r>
      <w:r>
        <w:rPr>
          <w:rFonts w:hint="default" w:ascii="仿宋" w:hAnsi="仿宋" w:eastAsia="仿宋" w:cs="宋体"/>
          <w:color w:val="auto"/>
          <w:sz w:val="24"/>
          <w:szCs w:val="24"/>
          <w:lang w:eastAsia="zh-Hans"/>
        </w:rPr>
        <w:t>甲方</w:t>
      </w:r>
      <w:r>
        <w:rPr>
          <w:rFonts w:hint="eastAsia" w:ascii="仿宋" w:hAnsi="仿宋" w:eastAsia="仿宋" w:cs="宋体"/>
          <w:color w:val="auto"/>
          <w:sz w:val="24"/>
          <w:szCs w:val="24"/>
          <w:lang w:val="en-US" w:eastAsia="zh-Hans"/>
        </w:rPr>
        <w:t>与</w:t>
      </w:r>
      <w:r>
        <w:rPr>
          <w:rFonts w:hint="default" w:ascii="仿宋" w:hAnsi="仿宋" w:eastAsia="仿宋" w:cs="宋体"/>
          <w:color w:val="auto"/>
          <w:sz w:val="24"/>
          <w:szCs w:val="24"/>
          <w:lang w:eastAsia="zh-Hans"/>
        </w:rPr>
        <w:t>乙方</w:t>
      </w:r>
      <w:r>
        <w:rPr>
          <w:rFonts w:hint="eastAsia" w:ascii="仿宋" w:hAnsi="仿宋" w:eastAsia="仿宋" w:cs="宋体"/>
          <w:color w:val="auto"/>
          <w:sz w:val="24"/>
          <w:szCs w:val="24"/>
          <w:lang w:val="en-US" w:eastAsia="zh-Hans"/>
        </w:rPr>
        <w:t>双方如对质量要求和技术指标的约定标准有相互抵触或异议的事项，由</w:t>
      </w:r>
      <w:r>
        <w:rPr>
          <w:rFonts w:hint="default" w:ascii="仿宋" w:hAnsi="仿宋" w:eastAsia="仿宋" w:cs="宋体"/>
          <w:color w:val="auto"/>
          <w:sz w:val="24"/>
          <w:szCs w:val="24"/>
          <w:lang w:eastAsia="zh-Hans"/>
        </w:rPr>
        <w:t>甲方</w:t>
      </w:r>
      <w:r>
        <w:rPr>
          <w:rFonts w:hint="eastAsia" w:ascii="仿宋" w:hAnsi="仿宋" w:eastAsia="仿宋" w:cs="宋体"/>
          <w:color w:val="auto"/>
          <w:sz w:val="24"/>
          <w:szCs w:val="24"/>
          <w:lang w:val="en-US" w:eastAsia="zh-Hans"/>
        </w:rPr>
        <w:t>在采购文件及投标文件中按质量要求和技术指标比较优胜的原则确定该项的约定标准进行验收；</w:t>
      </w:r>
    </w:p>
    <w:p>
      <w:pPr>
        <w:tabs>
          <w:tab w:val="left" w:pos="851"/>
        </w:tabs>
        <w:spacing w:line="360" w:lineRule="auto"/>
        <w:ind w:firstLine="480" w:firstLineChars="200"/>
        <w:rPr>
          <w:rFonts w:hint="eastAsia" w:ascii="仿宋" w:hAnsi="仿宋" w:eastAsia="仿宋" w:cs="宋体"/>
          <w:color w:val="auto"/>
          <w:sz w:val="24"/>
          <w:szCs w:val="24"/>
          <w:lang w:val="en-US" w:eastAsia="zh-Hans"/>
        </w:rPr>
      </w:pPr>
      <w:r>
        <w:rPr>
          <w:rFonts w:hint="eastAsia" w:ascii="仿宋" w:hAnsi="仿宋" w:eastAsia="仿宋" w:cs="宋体"/>
          <w:color w:val="auto"/>
          <w:sz w:val="24"/>
          <w:szCs w:val="24"/>
          <w:lang w:val="en-US" w:eastAsia="zh-Hans"/>
        </w:rPr>
        <w:t>3</w:t>
      </w:r>
      <w:r>
        <w:rPr>
          <w:rFonts w:hint="default" w:ascii="仿宋" w:hAnsi="仿宋" w:eastAsia="仿宋" w:cs="宋体"/>
          <w:color w:val="auto"/>
          <w:sz w:val="24"/>
          <w:szCs w:val="24"/>
          <w:lang w:eastAsia="zh-Hans"/>
        </w:rPr>
        <w:t>.</w:t>
      </w:r>
      <w:r>
        <w:rPr>
          <w:rFonts w:hint="eastAsia" w:ascii="仿宋" w:hAnsi="仿宋" w:eastAsia="仿宋" w:cs="宋体"/>
          <w:color w:val="auto"/>
          <w:sz w:val="24"/>
          <w:szCs w:val="24"/>
          <w:lang w:val="en-US" w:eastAsia="zh-Hans"/>
        </w:rPr>
        <w:t>验收时如发现所交付的货物有短装、次品、损坏或其它不符合标准及本合同规定之情形者，</w:t>
      </w:r>
      <w:r>
        <w:rPr>
          <w:rFonts w:hint="default" w:ascii="仿宋" w:hAnsi="仿宋" w:eastAsia="仿宋" w:cs="宋体"/>
          <w:color w:val="auto"/>
          <w:sz w:val="24"/>
          <w:szCs w:val="24"/>
          <w:lang w:eastAsia="zh-Hans"/>
        </w:rPr>
        <w:t>甲方</w:t>
      </w:r>
      <w:r>
        <w:rPr>
          <w:rFonts w:hint="eastAsia" w:ascii="仿宋" w:hAnsi="仿宋" w:eastAsia="仿宋" w:cs="宋体"/>
          <w:color w:val="auto"/>
          <w:sz w:val="24"/>
          <w:szCs w:val="24"/>
          <w:lang w:val="en-US" w:eastAsia="zh-Hans"/>
        </w:rPr>
        <w:t>应做出详尽的现场记录，或由</w:t>
      </w:r>
      <w:r>
        <w:rPr>
          <w:rFonts w:hint="default" w:ascii="仿宋" w:hAnsi="仿宋" w:eastAsia="仿宋" w:cs="宋体"/>
          <w:color w:val="auto"/>
          <w:sz w:val="24"/>
          <w:szCs w:val="24"/>
          <w:lang w:eastAsia="zh-Hans"/>
        </w:rPr>
        <w:t>甲方</w:t>
      </w:r>
      <w:r>
        <w:rPr>
          <w:rFonts w:hint="eastAsia" w:ascii="仿宋" w:hAnsi="仿宋" w:eastAsia="仿宋" w:cs="宋体"/>
          <w:color w:val="auto"/>
          <w:sz w:val="24"/>
          <w:szCs w:val="24"/>
          <w:lang w:val="en-US" w:eastAsia="zh-Hans"/>
        </w:rPr>
        <w:t>与</w:t>
      </w:r>
      <w:r>
        <w:rPr>
          <w:rFonts w:hint="default" w:ascii="仿宋" w:hAnsi="仿宋" w:eastAsia="仿宋" w:cs="宋体"/>
          <w:color w:val="auto"/>
          <w:sz w:val="24"/>
          <w:szCs w:val="24"/>
          <w:lang w:eastAsia="zh-Hans"/>
        </w:rPr>
        <w:t>乙方</w:t>
      </w:r>
      <w:r>
        <w:rPr>
          <w:rFonts w:hint="eastAsia" w:ascii="仿宋" w:hAnsi="仿宋" w:eastAsia="仿宋" w:cs="宋体"/>
          <w:color w:val="auto"/>
          <w:sz w:val="24"/>
          <w:szCs w:val="24"/>
          <w:lang w:val="en-US" w:eastAsia="zh-Hans"/>
        </w:rPr>
        <w:t>双方签署备忘录，此现场记录或备忘录可用作补充、缺失和更换损坏部件的有效证据，由此产生的时间延误与有关费用由</w:t>
      </w:r>
      <w:r>
        <w:rPr>
          <w:rFonts w:hint="default" w:ascii="仿宋" w:hAnsi="仿宋" w:eastAsia="仿宋" w:cs="宋体"/>
          <w:color w:val="auto"/>
          <w:sz w:val="24"/>
          <w:szCs w:val="24"/>
          <w:lang w:eastAsia="zh-Hans"/>
        </w:rPr>
        <w:t>乙方</w:t>
      </w:r>
      <w:r>
        <w:rPr>
          <w:rFonts w:hint="eastAsia" w:ascii="仿宋" w:hAnsi="仿宋" w:eastAsia="仿宋" w:cs="宋体"/>
          <w:color w:val="auto"/>
          <w:sz w:val="24"/>
          <w:szCs w:val="24"/>
          <w:lang w:val="en-US" w:eastAsia="zh-Hans"/>
        </w:rPr>
        <w:t>承担，验收期限相应顺延，但最长不得超过7个日历天，不得影响</w:t>
      </w:r>
      <w:r>
        <w:rPr>
          <w:rFonts w:hint="default" w:ascii="仿宋" w:hAnsi="仿宋" w:eastAsia="仿宋" w:cs="宋体"/>
          <w:color w:val="auto"/>
          <w:sz w:val="24"/>
          <w:szCs w:val="24"/>
          <w:lang w:eastAsia="zh-Hans"/>
        </w:rPr>
        <w:t>甲方</w:t>
      </w:r>
      <w:r>
        <w:rPr>
          <w:rFonts w:hint="eastAsia" w:ascii="仿宋" w:hAnsi="仿宋" w:eastAsia="仿宋" w:cs="宋体"/>
          <w:color w:val="auto"/>
          <w:sz w:val="24"/>
          <w:szCs w:val="24"/>
          <w:lang w:val="en-US" w:eastAsia="zh-Hans"/>
        </w:rPr>
        <w:t>正常工作的开展；</w:t>
      </w:r>
    </w:p>
    <w:p>
      <w:pPr>
        <w:tabs>
          <w:tab w:val="left" w:pos="851"/>
        </w:tabs>
        <w:spacing w:line="360" w:lineRule="auto"/>
        <w:ind w:firstLine="480" w:firstLineChars="200"/>
        <w:rPr>
          <w:rFonts w:hint="eastAsia" w:ascii="仿宋" w:hAnsi="仿宋" w:eastAsia="仿宋" w:cs="宋体"/>
          <w:color w:val="auto"/>
          <w:sz w:val="24"/>
          <w:szCs w:val="24"/>
          <w:lang w:val="en-US" w:eastAsia="zh-Hans"/>
        </w:rPr>
      </w:pPr>
      <w:r>
        <w:rPr>
          <w:rFonts w:hint="eastAsia" w:ascii="仿宋" w:hAnsi="仿宋" w:eastAsia="仿宋" w:cs="宋体"/>
          <w:color w:val="auto"/>
          <w:sz w:val="24"/>
          <w:szCs w:val="24"/>
          <w:lang w:val="en-US" w:eastAsia="zh-Hans"/>
        </w:rPr>
        <w:t>4</w:t>
      </w:r>
      <w:r>
        <w:rPr>
          <w:rFonts w:hint="default" w:ascii="仿宋" w:hAnsi="仿宋" w:eastAsia="仿宋" w:cs="宋体"/>
          <w:color w:val="auto"/>
          <w:sz w:val="24"/>
          <w:szCs w:val="24"/>
          <w:lang w:eastAsia="zh-Hans"/>
        </w:rPr>
        <w:t>.乙方</w:t>
      </w:r>
      <w:r>
        <w:rPr>
          <w:rFonts w:hint="eastAsia" w:ascii="仿宋" w:hAnsi="仿宋" w:eastAsia="仿宋" w:cs="宋体"/>
          <w:color w:val="auto"/>
          <w:sz w:val="24"/>
          <w:szCs w:val="24"/>
          <w:lang w:val="en-US" w:eastAsia="zh-Hans"/>
        </w:rPr>
        <w:t>应将所提供货物的装箱清单、配件、随机工具、用户使用手册、原厂保修卡等资料交付给</w:t>
      </w:r>
      <w:r>
        <w:rPr>
          <w:rFonts w:hint="default" w:ascii="仿宋" w:hAnsi="仿宋" w:eastAsia="仿宋" w:cs="宋体"/>
          <w:color w:val="auto"/>
          <w:sz w:val="24"/>
          <w:szCs w:val="24"/>
          <w:lang w:eastAsia="zh-Hans"/>
        </w:rPr>
        <w:t>甲方</w:t>
      </w:r>
      <w:r>
        <w:rPr>
          <w:rFonts w:hint="eastAsia" w:ascii="仿宋" w:hAnsi="仿宋" w:eastAsia="仿宋" w:cs="宋体"/>
          <w:color w:val="auto"/>
          <w:sz w:val="24"/>
          <w:szCs w:val="24"/>
          <w:lang w:val="en-US" w:eastAsia="zh-Hans"/>
        </w:rPr>
        <w:t>；</w:t>
      </w:r>
      <w:r>
        <w:rPr>
          <w:rFonts w:hint="default" w:ascii="仿宋" w:hAnsi="仿宋" w:eastAsia="仿宋" w:cs="宋体"/>
          <w:color w:val="auto"/>
          <w:sz w:val="24"/>
          <w:szCs w:val="24"/>
          <w:lang w:eastAsia="zh-Hans"/>
        </w:rPr>
        <w:t>乙方</w:t>
      </w:r>
      <w:r>
        <w:rPr>
          <w:rFonts w:hint="eastAsia" w:ascii="仿宋" w:hAnsi="仿宋" w:eastAsia="仿宋" w:cs="宋体"/>
          <w:color w:val="auto"/>
          <w:sz w:val="24"/>
          <w:szCs w:val="24"/>
          <w:lang w:val="en-US" w:eastAsia="zh-Hans"/>
        </w:rPr>
        <w:t>不能完整交付货物及本款规定的单证和工具的，必须负责补齐，否则视为未按合同约定交货；</w:t>
      </w:r>
    </w:p>
    <w:p>
      <w:pPr>
        <w:tabs>
          <w:tab w:val="left" w:pos="851"/>
        </w:tabs>
        <w:spacing w:line="360" w:lineRule="auto"/>
        <w:ind w:firstLine="480" w:firstLineChars="200"/>
        <w:rPr>
          <w:rFonts w:hint="eastAsia" w:ascii="仿宋" w:hAnsi="仿宋" w:eastAsia="仿宋" w:cs="宋体"/>
          <w:color w:val="auto"/>
          <w:sz w:val="24"/>
          <w:szCs w:val="24"/>
          <w:lang w:val="en-US" w:eastAsia="zh-Hans"/>
        </w:rPr>
      </w:pPr>
      <w:r>
        <w:rPr>
          <w:rFonts w:hint="eastAsia" w:ascii="仿宋" w:hAnsi="仿宋" w:eastAsia="仿宋" w:cs="宋体"/>
          <w:color w:val="auto"/>
          <w:sz w:val="24"/>
          <w:szCs w:val="24"/>
          <w:lang w:val="en-US" w:eastAsia="zh-Hans"/>
        </w:rPr>
        <w:t>5</w:t>
      </w:r>
      <w:r>
        <w:rPr>
          <w:rFonts w:hint="default" w:ascii="仿宋" w:hAnsi="仿宋" w:eastAsia="仿宋" w:cs="宋体"/>
          <w:color w:val="auto"/>
          <w:sz w:val="24"/>
          <w:szCs w:val="24"/>
          <w:lang w:eastAsia="zh-Hans"/>
        </w:rPr>
        <w:t>.</w:t>
      </w:r>
      <w:r>
        <w:rPr>
          <w:rFonts w:hint="eastAsia" w:ascii="仿宋" w:hAnsi="仿宋" w:eastAsia="仿宋" w:cs="宋体"/>
          <w:color w:val="auto"/>
          <w:sz w:val="24"/>
          <w:szCs w:val="24"/>
          <w:lang w:val="en-US" w:eastAsia="zh-Hans"/>
        </w:rPr>
        <w:t>如货物经</w:t>
      </w:r>
      <w:r>
        <w:rPr>
          <w:rFonts w:hint="default" w:ascii="仿宋" w:hAnsi="仿宋" w:eastAsia="仿宋" w:cs="宋体"/>
          <w:color w:val="auto"/>
          <w:sz w:val="24"/>
          <w:szCs w:val="24"/>
          <w:lang w:eastAsia="zh-Hans"/>
        </w:rPr>
        <w:t>乙方</w:t>
      </w:r>
      <w:r>
        <w:rPr>
          <w:rFonts w:hint="eastAsia" w:ascii="仿宋" w:hAnsi="仿宋" w:eastAsia="仿宋" w:cs="宋体"/>
          <w:color w:val="auto"/>
          <w:sz w:val="24"/>
          <w:szCs w:val="24"/>
          <w:lang w:val="en-US" w:eastAsia="zh-Hans"/>
        </w:rPr>
        <w:t>2次维修仍不能达到合同约定的质量标准，</w:t>
      </w:r>
      <w:r>
        <w:rPr>
          <w:rFonts w:hint="default" w:ascii="仿宋" w:hAnsi="仿宋" w:eastAsia="仿宋" w:cs="宋体"/>
          <w:color w:val="auto"/>
          <w:sz w:val="24"/>
          <w:szCs w:val="24"/>
          <w:lang w:eastAsia="zh-Hans"/>
        </w:rPr>
        <w:t>甲方</w:t>
      </w:r>
      <w:r>
        <w:rPr>
          <w:rFonts w:hint="eastAsia" w:ascii="仿宋" w:hAnsi="仿宋" w:eastAsia="仿宋" w:cs="宋体"/>
          <w:color w:val="auto"/>
          <w:sz w:val="24"/>
          <w:szCs w:val="24"/>
          <w:lang w:val="en-US" w:eastAsia="zh-Hans"/>
        </w:rPr>
        <w:t>有权退货，并依法追究</w:t>
      </w:r>
      <w:r>
        <w:rPr>
          <w:rFonts w:hint="default" w:ascii="仿宋" w:hAnsi="仿宋" w:eastAsia="仿宋" w:cs="宋体"/>
          <w:color w:val="auto"/>
          <w:sz w:val="24"/>
          <w:szCs w:val="24"/>
          <w:lang w:eastAsia="zh-Hans"/>
        </w:rPr>
        <w:t>乙方</w:t>
      </w:r>
      <w:r>
        <w:rPr>
          <w:rFonts w:hint="eastAsia" w:ascii="仿宋" w:hAnsi="仿宋" w:eastAsia="仿宋" w:cs="宋体"/>
          <w:color w:val="auto"/>
          <w:sz w:val="24"/>
          <w:szCs w:val="24"/>
          <w:lang w:val="en-US" w:eastAsia="zh-Hans"/>
        </w:rPr>
        <w:t>的违约责任；</w:t>
      </w:r>
    </w:p>
    <w:p>
      <w:pPr>
        <w:tabs>
          <w:tab w:val="left" w:pos="851"/>
        </w:tabs>
        <w:spacing w:line="360" w:lineRule="auto"/>
        <w:ind w:firstLine="480" w:firstLineChars="200"/>
        <w:rPr>
          <w:rFonts w:hint="eastAsia" w:ascii="仿宋" w:hAnsi="仿宋" w:eastAsia="仿宋" w:cs="宋体"/>
          <w:color w:val="auto"/>
          <w:sz w:val="24"/>
          <w:szCs w:val="24"/>
          <w:lang w:val="en-US" w:eastAsia="zh-Hans"/>
        </w:rPr>
      </w:pPr>
      <w:r>
        <w:rPr>
          <w:rFonts w:hint="eastAsia" w:ascii="仿宋" w:hAnsi="仿宋" w:eastAsia="仿宋" w:cs="宋体"/>
          <w:color w:val="auto"/>
          <w:sz w:val="24"/>
          <w:szCs w:val="24"/>
          <w:lang w:val="en-US" w:eastAsia="zh-Hans"/>
        </w:rPr>
        <w:t>6</w:t>
      </w:r>
      <w:r>
        <w:rPr>
          <w:rFonts w:hint="default" w:ascii="仿宋" w:hAnsi="仿宋" w:eastAsia="仿宋" w:cs="宋体"/>
          <w:color w:val="auto"/>
          <w:sz w:val="24"/>
          <w:szCs w:val="24"/>
          <w:lang w:eastAsia="zh-Hans"/>
        </w:rPr>
        <w:t>.</w:t>
      </w:r>
      <w:r>
        <w:rPr>
          <w:rFonts w:hint="eastAsia" w:ascii="仿宋" w:hAnsi="仿宋" w:eastAsia="仿宋" w:cs="宋体"/>
          <w:color w:val="auto"/>
          <w:sz w:val="24"/>
          <w:szCs w:val="24"/>
          <w:lang w:val="en-US" w:eastAsia="zh-Hans"/>
        </w:rPr>
        <w:t>验收结果不合格且拒不整改的，</w:t>
      </w:r>
      <w:r>
        <w:rPr>
          <w:rFonts w:hint="default" w:ascii="仿宋" w:hAnsi="仿宋" w:eastAsia="仿宋" w:cs="宋体"/>
          <w:color w:val="auto"/>
          <w:sz w:val="24"/>
          <w:szCs w:val="24"/>
          <w:lang w:eastAsia="zh-Hans"/>
        </w:rPr>
        <w:t>甲方</w:t>
      </w:r>
      <w:r>
        <w:rPr>
          <w:rFonts w:hint="eastAsia" w:ascii="仿宋" w:hAnsi="仿宋" w:eastAsia="仿宋" w:cs="宋体"/>
          <w:color w:val="auto"/>
          <w:sz w:val="24"/>
          <w:szCs w:val="24"/>
          <w:lang w:val="en-US" w:eastAsia="zh-Hans"/>
        </w:rPr>
        <w:t>将不予支付采购资金，还有权上报本项目同级财政部门按照政府采购法律法规等有关规定给予行政处罚；</w:t>
      </w:r>
    </w:p>
    <w:p>
      <w:pPr>
        <w:tabs>
          <w:tab w:val="left" w:pos="851"/>
        </w:tabs>
        <w:spacing w:line="360" w:lineRule="auto"/>
        <w:ind w:firstLine="0" w:firstLineChars="0"/>
        <w:rPr>
          <w:rFonts w:hint="eastAsia" w:ascii="仿宋" w:hAnsi="仿宋" w:eastAsia="仿宋"/>
          <w:color w:val="auto"/>
        </w:rPr>
      </w:pPr>
      <w:r>
        <w:rPr>
          <w:rFonts w:hint="eastAsia" w:ascii="仿宋" w:hAnsi="仿宋" w:eastAsia="仿宋" w:cs="宋体"/>
          <w:color w:val="auto"/>
          <w:sz w:val="24"/>
          <w:szCs w:val="24"/>
          <w:lang w:val="en-US" w:eastAsia="zh-CN"/>
        </w:rPr>
        <w:t xml:space="preserve">    </w:t>
      </w:r>
      <w:r>
        <w:rPr>
          <w:rFonts w:hint="default" w:ascii="仿宋" w:hAnsi="仿宋" w:eastAsia="仿宋" w:cs="宋体"/>
          <w:color w:val="auto"/>
          <w:sz w:val="24"/>
          <w:szCs w:val="24"/>
          <w:lang w:eastAsia="zh-Hans"/>
        </w:rPr>
        <w:t>7.</w:t>
      </w:r>
      <w:r>
        <w:rPr>
          <w:rFonts w:hint="eastAsia" w:ascii="仿宋" w:hAnsi="仿宋" w:eastAsia="仿宋"/>
          <w:color w:val="auto"/>
          <w:sz w:val="24"/>
          <w:szCs w:val="24"/>
        </w:rPr>
        <w:t>甲方</w:t>
      </w:r>
      <w:r>
        <w:rPr>
          <w:rFonts w:hint="eastAsia" w:ascii="仿宋" w:hAnsi="仿宋" w:eastAsia="仿宋" w:cs="宋体"/>
          <w:color w:val="auto"/>
          <w:sz w:val="24"/>
          <w:szCs w:val="24"/>
        </w:rPr>
        <w:t>在接到</w:t>
      </w:r>
      <w:r>
        <w:rPr>
          <w:rFonts w:hint="eastAsia" w:ascii="仿宋" w:hAnsi="仿宋" w:eastAsia="仿宋" w:cs="宋体"/>
          <w:color w:val="auto"/>
          <w:sz w:val="24"/>
          <w:szCs w:val="24"/>
          <w:lang w:val="en-US" w:eastAsia="zh-Hans"/>
        </w:rPr>
        <w:t>乙方验收</w:t>
      </w:r>
      <w:r>
        <w:rPr>
          <w:rFonts w:hint="eastAsia" w:ascii="仿宋" w:hAnsi="仿宋" w:eastAsia="仿宋" w:cs="宋体"/>
          <w:color w:val="auto"/>
          <w:sz w:val="24"/>
          <w:szCs w:val="24"/>
        </w:rPr>
        <w:t>通知后5个工作日</w:t>
      </w:r>
      <w:r>
        <w:rPr>
          <w:rFonts w:hint="eastAsia" w:ascii="仿宋" w:hAnsi="仿宋" w:eastAsia="仿宋"/>
          <w:color w:val="auto"/>
          <w:sz w:val="24"/>
          <w:szCs w:val="24"/>
        </w:rPr>
        <w:t>无故不进行验收工作并已使用货物的，视同已安装调试完成并验收合格。项目验收前，项目全部货物产品财产安全保管责任由乙方承担。</w:t>
      </w:r>
    </w:p>
    <w:p>
      <w:pPr>
        <w:pStyle w:val="103"/>
        <w:ind w:firstLine="480"/>
        <w:rPr>
          <w:rFonts w:ascii="仿宋" w:hAnsi="仿宋" w:eastAsia="仿宋"/>
          <w:color w:val="auto"/>
        </w:rPr>
      </w:pPr>
      <w:r>
        <w:rPr>
          <w:rFonts w:hint="default" w:ascii="仿宋" w:hAnsi="仿宋" w:eastAsia="仿宋"/>
          <w:color w:val="auto"/>
        </w:rPr>
        <w:t>8</w:t>
      </w:r>
      <w:r>
        <w:rPr>
          <w:rFonts w:hint="eastAsia" w:ascii="仿宋" w:hAnsi="仿宋" w:eastAsia="仿宋"/>
          <w:color w:val="auto"/>
          <w:lang w:val="en-US" w:eastAsia="zh-Hans"/>
        </w:rPr>
        <w:t>.</w:t>
      </w:r>
      <w:r>
        <w:rPr>
          <w:rFonts w:hint="eastAsia" w:ascii="仿宋" w:hAnsi="仿宋" w:eastAsia="仿宋"/>
          <w:color w:val="auto"/>
        </w:rPr>
        <w:t>其他未尽事宜应严格按照《财政部关于进一步加强政府采购需求和履约验收管理的指导意见》(财库〔2016〕205号)的要求进行验收 </w:t>
      </w:r>
    </w:p>
    <w:p>
      <w:pPr>
        <w:pStyle w:val="5"/>
        <w:numPr>
          <w:ilvl w:val="0"/>
          <w:numId w:val="0"/>
        </w:numPr>
        <w:spacing w:line="400" w:lineRule="exact"/>
        <w:rPr>
          <w:rFonts w:ascii="仿宋" w:hAnsi="仿宋" w:eastAsia="仿宋"/>
          <w:color w:val="auto"/>
          <w:sz w:val="24"/>
          <w:szCs w:val="24"/>
        </w:rPr>
      </w:pPr>
      <w:bookmarkStart w:id="257" w:name="_Toc9929"/>
      <w:bookmarkStart w:id="258" w:name="_Toc217446111"/>
      <w:bookmarkStart w:id="259" w:name="_Toc78191647"/>
      <w:r>
        <w:rPr>
          <w:rFonts w:hint="eastAsia" w:ascii="仿宋" w:hAnsi="仿宋" w:eastAsia="仿宋"/>
          <w:color w:val="auto"/>
          <w:sz w:val="24"/>
          <w:szCs w:val="24"/>
          <w:lang w:val="en-US" w:eastAsia="zh-Hans"/>
        </w:rPr>
        <w:t>七</w:t>
      </w:r>
      <w:r>
        <w:rPr>
          <w:rFonts w:hint="eastAsia" w:ascii="仿宋" w:hAnsi="仿宋" w:eastAsia="仿宋"/>
          <w:color w:val="auto"/>
          <w:sz w:val="24"/>
          <w:szCs w:val="24"/>
        </w:rPr>
        <w:t>、付款方式</w:t>
      </w:r>
      <w:bookmarkEnd w:id="257"/>
      <w:bookmarkEnd w:id="258"/>
      <w:bookmarkEnd w:id="259"/>
    </w:p>
    <w:p>
      <w:pPr>
        <w:ind w:firstLine="480" w:firstLineChars="200"/>
        <w:rPr>
          <w:rFonts w:hint="default" w:ascii="仿宋" w:hAnsi="仿宋" w:eastAsia="仿宋" w:cs="宋体"/>
          <w:color w:val="auto"/>
          <w:sz w:val="24"/>
          <w:szCs w:val="24"/>
          <w:lang w:eastAsia="zh-Hans"/>
        </w:rPr>
      </w:pPr>
      <w:r>
        <w:rPr>
          <w:rFonts w:hint="eastAsia" w:ascii="仿宋" w:hAnsi="仿宋" w:eastAsia="仿宋" w:cs="宋体"/>
          <w:color w:val="auto"/>
          <w:sz w:val="24"/>
          <w:szCs w:val="24"/>
        </w:rPr>
        <w:t>1、</w:t>
      </w:r>
      <w:r>
        <w:rPr>
          <w:rFonts w:hint="eastAsia" w:ascii="仿宋" w:hAnsi="仿宋" w:eastAsia="仿宋" w:cs="宋体"/>
          <w:color w:val="auto"/>
          <w:sz w:val="24"/>
          <w:szCs w:val="24"/>
          <w:lang w:val="en-US" w:eastAsia="zh-Hans"/>
        </w:rPr>
        <w:t>本合同价款分四次支付</w:t>
      </w:r>
      <w:r>
        <w:rPr>
          <w:rFonts w:hint="default" w:ascii="仿宋" w:hAnsi="仿宋" w:eastAsia="仿宋" w:cs="宋体"/>
          <w:color w:val="auto"/>
          <w:sz w:val="24"/>
          <w:szCs w:val="24"/>
          <w:lang w:eastAsia="zh-Hans"/>
        </w:rPr>
        <w:t>：</w:t>
      </w:r>
    </w:p>
    <w:p>
      <w:pPr>
        <w:ind w:firstLine="480" w:firstLineChars="200"/>
        <w:rPr>
          <w:rFonts w:hint="default" w:ascii="仿宋" w:hAnsi="仿宋" w:eastAsia="仿宋" w:cs="宋体"/>
          <w:color w:val="auto"/>
          <w:sz w:val="24"/>
          <w:szCs w:val="24"/>
        </w:rPr>
      </w:pPr>
      <w:r>
        <w:rPr>
          <w:rFonts w:hint="default" w:ascii="仿宋" w:hAnsi="仿宋" w:eastAsia="仿宋" w:cs="宋体"/>
          <w:color w:val="auto"/>
          <w:sz w:val="24"/>
          <w:szCs w:val="24"/>
          <w:lang w:eastAsia="zh-Hans"/>
        </w:rPr>
        <w:t>（1）</w:t>
      </w:r>
      <w:r>
        <w:rPr>
          <w:rFonts w:hint="eastAsia" w:ascii="仿宋" w:hAnsi="仿宋" w:eastAsia="仿宋" w:cs="宋体"/>
          <w:color w:val="auto"/>
          <w:sz w:val="24"/>
          <w:szCs w:val="24"/>
          <w:lang w:val="en-US" w:eastAsia="zh-Hans"/>
        </w:rPr>
        <w:t>本</w:t>
      </w:r>
      <w:r>
        <w:rPr>
          <w:rFonts w:hint="eastAsia" w:ascii="仿宋" w:hAnsi="仿宋" w:eastAsia="仿宋" w:cs="宋体"/>
          <w:color w:val="auto"/>
          <w:sz w:val="24"/>
          <w:szCs w:val="24"/>
        </w:rPr>
        <w:t>合同签订生效</w:t>
      </w:r>
      <w:r>
        <w:rPr>
          <w:rFonts w:hint="eastAsia" w:ascii="仿宋" w:hAnsi="仿宋" w:eastAsia="仿宋" w:cs="宋体"/>
          <w:color w:val="auto"/>
          <w:sz w:val="24"/>
          <w:szCs w:val="24"/>
          <w:lang w:val="en-US" w:eastAsia="zh-Hans"/>
        </w:rPr>
        <w:t>之日起</w:t>
      </w:r>
      <w:r>
        <w:rPr>
          <w:rFonts w:hint="default" w:ascii="仿宋" w:hAnsi="仿宋" w:eastAsia="仿宋" w:cs="宋体"/>
          <w:color w:val="auto"/>
          <w:sz w:val="24"/>
          <w:szCs w:val="24"/>
          <w:lang w:eastAsia="zh-Hans"/>
        </w:rPr>
        <w:t xml:space="preserve">     </w:t>
      </w:r>
      <w:r>
        <w:rPr>
          <w:rFonts w:hint="eastAsia" w:ascii="仿宋" w:hAnsi="仿宋" w:eastAsia="仿宋" w:cs="宋体"/>
          <w:color w:val="auto"/>
          <w:sz w:val="24"/>
          <w:szCs w:val="24"/>
          <w:lang w:val="en-US" w:eastAsia="zh-Hans"/>
        </w:rPr>
        <w:t>个工作日内</w:t>
      </w:r>
      <w:r>
        <w:rPr>
          <w:rFonts w:hint="default" w:ascii="仿宋" w:hAnsi="仿宋" w:eastAsia="仿宋" w:cs="宋体"/>
          <w:color w:val="auto"/>
          <w:sz w:val="24"/>
          <w:szCs w:val="24"/>
          <w:lang w:eastAsia="zh-Hans"/>
        </w:rPr>
        <w:t>，</w:t>
      </w:r>
      <w:r>
        <w:rPr>
          <w:rFonts w:hint="eastAsia" w:ascii="仿宋" w:hAnsi="仿宋" w:eastAsia="仿宋" w:cs="宋体"/>
          <w:color w:val="auto"/>
          <w:sz w:val="24"/>
          <w:szCs w:val="24"/>
          <w:lang w:val="en-US" w:eastAsia="zh-Hans"/>
        </w:rPr>
        <w:t>由甲方向乙方</w:t>
      </w:r>
      <w:r>
        <w:rPr>
          <w:rFonts w:hint="eastAsia" w:ascii="仿宋" w:hAnsi="仿宋" w:eastAsia="仿宋" w:cs="宋体"/>
          <w:color w:val="auto"/>
          <w:sz w:val="24"/>
          <w:szCs w:val="24"/>
        </w:rPr>
        <w:t>支付合同总金额的30%</w:t>
      </w:r>
      <w:r>
        <w:rPr>
          <w:rFonts w:hint="default" w:ascii="仿宋" w:hAnsi="仿宋" w:eastAsia="仿宋" w:cs="宋体"/>
          <w:color w:val="auto"/>
          <w:sz w:val="24"/>
          <w:szCs w:val="24"/>
        </w:rPr>
        <w:t>。</w:t>
      </w:r>
    </w:p>
    <w:p>
      <w:pPr>
        <w:ind w:firstLine="480" w:firstLineChars="200"/>
        <w:rPr>
          <w:rFonts w:hint="default" w:ascii="仿宋" w:hAnsi="仿宋" w:eastAsia="仿宋" w:cs="宋体"/>
          <w:color w:val="auto"/>
          <w:sz w:val="24"/>
          <w:szCs w:val="24"/>
        </w:rPr>
      </w:pPr>
      <w:r>
        <w:rPr>
          <w:rFonts w:hint="default" w:ascii="仿宋" w:hAnsi="仿宋" w:eastAsia="仿宋" w:cs="宋体"/>
          <w:color w:val="auto"/>
          <w:sz w:val="24"/>
          <w:szCs w:val="24"/>
        </w:rPr>
        <w:t>（2）</w:t>
      </w:r>
      <w:r>
        <w:rPr>
          <w:rFonts w:hint="eastAsia" w:ascii="仿宋" w:hAnsi="仿宋" w:eastAsia="仿宋" w:cs="宋体"/>
          <w:color w:val="auto"/>
          <w:sz w:val="24"/>
          <w:szCs w:val="24"/>
          <w:lang w:val="en-US" w:eastAsia="zh-Hans"/>
        </w:rPr>
        <w:t>乙方</w:t>
      </w:r>
      <w:r>
        <w:rPr>
          <w:rFonts w:hint="eastAsia" w:ascii="仿宋" w:hAnsi="仿宋" w:eastAsia="仿宋" w:cs="宋体"/>
          <w:color w:val="auto"/>
          <w:sz w:val="24"/>
          <w:szCs w:val="24"/>
        </w:rPr>
        <w:t>完成电梯安装调试并达到使用条件后</w:t>
      </w:r>
      <w:r>
        <w:rPr>
          <w:rFonts w:hint="default" w:ascii="仿宋" w:hAnsi="仿宋" w:eastAsia="仿宋" w:cs="宋体"/>
          <w:color w:val="auto"/>
          <w:sz w:val="24"/>
          <w:szCs w:val="24"/>
          <w:lang w:eastAsia="zh-Hans"/>
        </w:rPr>
        <w:t xml:space="preserve">     </w:t>
      </w:r>
      <w:r>
        <w:rPr>
          <w:rFonts w:hint="eastAsia" w:ascii="仿宋" w:hAnsi="仿宋" w:eastAsia="仿宋" w:cs="宋体"/>
          <w:color w:val="auto"/>
          <w:sz w:val="24"/>
          <w:szCs w:val="24"/>
          <w:lang w:val="en-US" w:eastAsia="zh-Hans"/>
        </w:rPr>
        <w:t>个工作日内</w:t>
      </w:r>
      <w:r>
        <w:rPr>
          <w:rFonts w:hint="default" w:ascii="仿宋" w:hAnsi="仿宋" w:eastAsia="仿宋" w:cs="宋体"/>
          <w:color w:val="auto"/>
          <w:sz w:val="24"/>
          <w:szCs w:val="24"/>
          <w:lang w:eastAsia="zh-Hans"/>
        </w:rPr>
        <w:t>，</w:t>
      </w:r>
      <w:r>
        <w:rPr>
          <w:rFonts w:hint="eastAsia" w:ascii="仿宋" w:hAnsi="仿宋" w:eastAsia="仿宋" w:cs="宋体"/>
          <w:color w:val="auto"/>
          <w:sz w:val="24"/>
          <w:szCs w:val="24"/>
          <w:lang w:val="en-US" w:eastAsia="zh-Hans"/>
        </w:rPr>
        <w:t>由甲方向乙方</w:t>
      </w:r>
      <w:r>
        <w:rPr>
          <w:rFonts w:hint="eastAsia" w:ascii="仿宋" w:hAnsi="仿宋" w:eastAsia="仿宋" w:cs="宋体"/>
          <w:color w:val="auto"/>
          <w:sz w:val="24"/>
          <w:szCs w:val="24"/>
        </w:rPr>
        <w:t>支付合同总金额的40%</w:t>
      </w:r>
      <w:r>
        <w:rPr>
          <w:rFonts w:hint="default" w:ascii="仿宋" w:hAnsi="仿宋" w:eastAsia="仿宋" w:cs="宋体"/>
          <w:color w:val="auto"/>
          <w:sz w:val="24"/>
          <w:szCs w:val="24"/>
        </w:rPr>
        <w:t>。</w:t>
      </w:r>
    </w:p>
    <w:p>
      <w:pPr>
        <w:ind w:firstLine="480" w:firstLineChars="200"/>
        <w:rPr>
          <w:rFonts w:hint="eastAsia" w:ascii="仿宋" w:hAnsi="仿宋" w:eastAsia="仿宋" w:cs="宋体"/>
          <w:color w:val="auto"/>
          <w:sz w:val="24"/>
          <w:szCs w:val="24"/>
        </w:rPr>
      </w:pPr>
      <w:r>
        <w:rPr>
          <w:rFonts w:hint="default" w:ascii="仿宋" w:hAnsi="仿宋" w:eastAsia="仿宋" w:cs="宋体"/>
          <w:color w:val="auto"/>
          <w:sz w:val="24"/>
          <w:szCs w:val="24"/>
        </w:rPr>
        <w:t>（3）</w:t>
      </w:r>
      <w:r>
        <w:rPr>
          <w:rFonts w:hint="eastAsia" w:ascii="仿宋" w:hAnsi="仿宋" w:eastAsia="仿宋" w:cs="宋体"/>
          <w:color w:val="auto"/>
          <w:sz w:val="24"/>
          <w:szCs w:val="24"/>
          <w:lang w:val="en-US" w:eastAsia="zh-Hans"/>
        </w:rPr>
        <w:t>乙方</w:t>
      </w:r>
      <w:r>
        <w:rPr>
          <w:rFonts w:hint="eastAsia" w:ascii="仿宋" w:hAnsi="仿宋" w:eastAsia="仿宋" w:cs="宋体"/>
          <w:color w:val="auto"/>
          <w:sz w:val="24"/>
          <w:szCs w:val="24"/>
        </w:rPr>
        <w:t>取得电梯相关行业主管部门所有手续并移交</w:t>
      </w:r>
      <w:r>
        <w:rPr>
          <w:rFonts w:hint="eastAsia" w:ascii="仿宋" w:hAnsi="仿宋" w:eastAsia="仿宋" w:cs="宋体"/>
          <w:color w:val="auto"/>
          <w:sz w:val="24"/>
          <w:szCs w:val="24"/>
          <w:lang w:val="en-US" w:eastAsia="zh-Hans"/>
        </w:rPr>
        <w:t>甲方</w:t>
      </w:r>
      <w:r>
        <w:rPr>
          <w:rFonts w:hint="eastAsia" w:ascii="仿宋" w:hAnsi="仿宋" w:eastAsia="仿宋" w:cs="宋体"/>
          <w:color w:val="auto"/>
          <w:sz w:val="24"/>
          <w:szCs w:val="24"/>
        </w:rPr>
        <w:t>且</w:t>
      </w:r>
      <w:r>
        <w:rPr>
          <w:rFonts w:hint="eastAsia" w:ascii="仿宋" w:hAnsi="仿宋" w:eastAsia="仿宋" w:cs="宋体"/>
          <w:color w:val="auto"/>
          <w:sz w:val="24"/>
          <w:szCs w:val="24"/>
          <w:lang w:val="en-US" w:eastAsia="zh-Hans"/>
        </w:rPr>
        <w:t>经甲方</w:t>
      </w:r>
      <w:r>
        <w:rPr>
          <w:rFonts w:hint="eastAsia" w:ascii="仿宋" w:hAnsi="仿宋" w:eastAsia="仿宋" w:cs="宋体"/>
          <w:color w:val="auto"/>
          <w:sz w:val="24"/>
          <w:szCs w:val="24"/>
        </w:rPr>
        <w:t>验收</w:t>
      </w:r>
      <w:r>
        <w:rPr>
          <w:rFonts w:hint="eastAsia" w:ascii="仿宋" w:hAnsi="仿宋" w:eastAsia="仿宋" w:cs="宋体"/>
          <w:color w:val="auto"/>
          <w:sz w:val="24"/>
          <w:szCs w:val="24"/>
          <w:lang w:val="en-US" w:eastAsia="zh-Hans"/>
        </w:rPr>
        <w:t>合格之日起</w:t>
      </w:r>
      <w:r>
        <w:rPr>
          <w:rFonts w:hint="default" w:ascii="仿宋" w:hAnsi="仿宋" w:eastAsia="仿宋" w:cs="宋体"/>
          <w:color w:val="auto"/>
          <w:sz w:val="24"/>
          <w:szCs w:val="24"/>
          <w:lang w:eastAsia="zh-Hans"/>
        </w:rPr>
        <w:t xml:space="preserve">    </w:t>
      </w:r>
      <w:r>
        <w:rPr>
          <w:rFonts w:hint="eastAsia" w:ascii="仿宋" w:hAnsi="仿宋" w:eastAsia="仿宋" w:cs="宋体"/>
          <w:color w:val="auto"/>
          <w:sz w:val="24"/>
          <w:szCs w:val="24"/>
          <w:lang w:val="en-US" w:eastAsia="zh-Hans"/>
        </w:rPr>
        <w:t>个工作日内</w:t>
      </w:r>
      <w:r>
        <w:rPr>
          <w:rFonts w:hint="eastAsia" w:ascii="仿宋" w:hAnsi="仿宋" w:eastAsia="仿宋" w:cs="宋体"/>
          <w:color w:val="auto"/>
          <w:sz w:val="24"/>
          <w:szCs w:val="24"/>
        </w:rPr>
        <w:t>支付合同总金额的20%。</w:t>
      </w:r>
    </w:p>
    <w:p>
      <w:pPr>
        <w:ind w:firstLine="480" w:firstLineChars="200"/>
        <w:rPr>
          <w:rFonts w:hint="eastAsia" w:ascii="仿宋" w:hAnsi="仿宋" w:eastAsia="仿宋" w:cs="宋体"/>
          <w:color w:val="auto"/>
          <w:sz w:val="24"/>
          <w:szCs w:val="24"/>
        </w:rPr>
      </w:pPr>
      <w:r>
        <w:rPr>
          <w:rFonts w:hint="default" w:ascii="仿宋" w:hAnsi="仿宋" w:eastAsia="仿宋" w:cs="宋体"/>
          <w:color w:val="auto"/>
          <w:sz w:val="24"/>
          <w:szCs w:val="24"/>
        </w:rPr>
        <w:t>（4）</w:t>
      </w:r>
      <w:r>
        <w:rPr>
          <w:rFonts w:hint="eastAsia" w:ascii="仿宋" w:hAnsi="仿宋" w:eastAsia="仿宋" w:cs="宋体"/>
          <w:color w:val="auto"/>
          <w:sz w:val="24"/>
          <w:szCs w:val="24"/>
        </w:rPr>
        <w:t>剩余合同总金额的10%待质保期满后，货物无任何质量问题且</w:t>
      </w:r>
      <w:r>
        <w:rPr>
          <w:rFonts w:hint="eastAsia" w:ascii="仿宋" w:hAnsi="仿宋" w:eastAsia="仿宋" w:cs="宋体"/>
          <w:color w:val="auto"/>
          <w:sz w:val="24"/>
          <w:szCs w:val="24"/>
          <w:lang w:val="en-US" w:eastAsia="zh-Hans"/>
        </w:rPr>
        <w:t>乙方</w:t>
      </w:r>
      <w:r>
        <w:rPr>
          <w:rFonts w:hint="eastAsia" w:ascii="仿宋" w:hAnsi="仿宋" w:eastAsia="仿宋" w:cs="宋体"/>
          <w:color w:val="auto"/>
          <w:sz w:val="24"/>
          <w:szCs w:val="24"/>
        </w:rPr>
        <w:t>按合同约定全面履行了售后服务义务后</w:t>
      </w:r>
      <w:r>
        <w:rPr>
          <w:rFonts w:hint="default" w:ascii="仿宋" w:hAnsi="仿宋" w:eastAsia="仿宋" w:cs="宋体"/>
          <w:color w:val="auto"/>
          <w:sz w:val="24"/>
          <w:szCs w:val="24"/>
        </w:rPr>
        <w:t>，</w:t>
      </w:r>
      <w:r>
        <w:rPr>
          <w:rFonts w:hint="eastAsia" w:ascii="仿宋" w:hAnsi="仿宋" w:eastAsia="仿宋" w:cs="宋体"/>
          <w:color w:val="auto"/>
          <w:sz w:val="24"/>
          <w:szCs w:val="24"/>
          <w:lang w:val="en-US" w:eastAsia="zh-Hans"/>
        </w:rPr>
        <w:t>由甲方无息</w:t>
      </w:r>
      <w:r>
        <w:rPr>
          <w:rFonts w:hint="eastAsia" w:ascii="仿宋" w:hAnsi="仿宋" w:eastAsia="仿宋" w:cs="宋体"/>
          <w:color w:val="auto"/>
          <w:sz w:val="24"/>
          <w:szCs w:val="24"/>
        </w:rPr>
        <w:t>支付。</w:t>
      </w:r>
    </w:p>
    <w:p>
      <w:pPr>
        <w:ind w:firstLine="480" w:firstLineChars="200"/>
        <w:rPr>
          <w:rFonts w:hint="eastAsia" w:ascii="仿宋" w:hAnsi="仿宋" w:eastAsia="仿宋" w:cs="宋体"/>
          <w:color w:val="auto"/>
          <w:sz w:val="24"/>
          <w:szCs w:val="24"/>
        </w:rPr>
      </w:pPr>
      <w:r>
        <w:rPr>
          <w:rFonts w:hint="eastAsia" w:ascii="仿宋" w:hAnsi="仿宋" w:eastAsia="仿宋" w:cs="宋体"/>
          <w:color w:val="auto"/>
          <w:sz w:val="24"/>
          <w:szCs w:val="24"/>
        </w:rPr>
        <w:t>2、</w:t>
      </w:r>
      <w:r>
        <w:rPr>
          <w:rFonts w:hint="eastAsia" w:ascii="仿宋" w:hAnsi="仿宋" w:eastAsia="仿宋" w:cs="宋体"/>
          <w:color w:val="auto"/>
          <w:sz w:val="24"/>
          <w:szCs w:val="24"/>
          <w:lang w:val="en-US" w:eastAsia="zh-Hans"/>
        </w:rPr>
        <w:t>先票后款</w:t>
      </w:r>
      <w:r>
        <w:rPr>
          <w:rFonts w:hint="default" w:ascii="仿宋" w:hAnsi="仿宋" w:eastAsia="仿宋" w:cs="宋体"/>
          <w:color w:val="auto"/>
          <w:sz w:val="24"/>
          <w:szCs w:val="24"/>
          <w:lang w:eastAsia="zh-Hans"/>
        </w:rPr>
        <w:t>：</w:t>
      </w:r>
      <w:r>
        <w:rPr>
          <w:rFonts w:hint="eastAsia" w:ascii="仿宋" w:hAnsi="仿宋" w:eastAsia="仿宋" w:cs="宋体"/>
          <w:color w:val="auto"/>
          <w:sz w:val="24"/>
          <w:szCs w:val="24"/>
          <w:lang w:val="en-US" w:eastAsia="zh-Hans"/>
        </w:rPr>
        <w:t>乙方</w:t>
      </w:r>
      <w:r>
        <w:rPr>
          <w:rFonts w:hint="eastAsia" w:ascii="仿宋" w:hAnsi="仿宋" w:eastAsia="仿宋" w:cs="宋体"/>
          <w:color w:val="auto"/>
          <w:sz w:val="24"/>
          <w:szCs w:val="24"/>
        </w:rPr>
        <w:t>须向</w:t>
      </w:r>
      <w:r>
        <w:rPr>
          <w:rFonts w:hint="eastAsia" w:ascii="仿宋" w:hAnsi="仿宋" w:eastAsia="仿宋" w:cs="宋体"/>
          <w:color w:val="auto"/>
          <w:sz w:val="24"/>
          <w:szCs w:val="24"/>
          <w:lang w:val="en-US" w:eastAsia="zh-Hans"/>
        </w:rPr>
        <w:t>甲方出具等额</w:t>
      </w:r>
      <w:r>
        <w:rPr>
          <w:rFonts w:hint="eastAsia" w:ascii="仿宋" w:hAnsi="仿宋" w:eastAsia="仿宋" w:cs="宋体"/>
          <w:color w:val="auto"/>
          <w:sz w:val="24"/>
          <w:szCs w:val="24"/>
        </w:rPr>
        <w:t>合法有效完整</w:t>
      </w:r>
      <w:r>
        <w:rPr>
          <w:rFonts w:hint="eastAsia" w:ascii="仿宋" w:hAnsi="仿宋" w:eastAsia="仿宋" w:cs="宋体"/>
          <w:color w:val="auto"/>
          <w:sz w:val="24"/>
          <w:szCs w:val="24"/>
          <w:lang w:val="en-US" w:eastAsia="zh-Hans"/>
        </w:rPr>
        <w:t>且符合甲方票务管理要求的</w:t>
      </w:r>
      <w:r>
        <w:rPr>
          <w:rFonts w:hint="eastAsia" w:ascii="仿宋" w:hAnsi="仿宋" w:eastAsia="仿宋" w:cs="宋体"/>
          <w:color w:val="auto"/>
          <w:sz w:val="24"/>
          <w:szCs w:val="24"/>
        </w:rPr>
        <w:t>完税发票及凭证资料</w:t>
      </w:r>
      <w:r>
        <w:rPr>
          <w:rFonts w:hint="default" w:ascii="仿宋" w:hAnsi="仿宋" w:eastAsia="仿宋" w:cs="宋体"/>
          <w:color w:val="auto"/>
          <w:sz w:val="24"/>
          <w:szCs w:val="24"/>
        </w:rPr>
        <w:t>，</w:t>
      </w:r>
      <w:r>
        <w:rPr>
          <w:rFonts w:hint="eastAsia" w:ascii="仿宋" w:hAnsi="仿宋" w:eastAsia="仿宋" w:cs="宋体"/>
          <w:color w:val="auto"/>
          <w:sz w:val="24"/>
          <w:szCs w:val="24"/>
          <w:lang w:val="en-US" w:eastAsia="zh-Hans"/>
        </w:rPr>
        <w:t>甲方收到发票后按期</w:t>
      </w:r>
      <w:r>
        <w:rPr>
          <w:rFonts w:hint="eastAsia" w:ascii="仿宋" w:hAnsi="仿宋" w:eastAsia="仿宋" w:cs="宋体"/>
          <w:color w:val="auto"/>
          <w:sz w:val="24"/>
          <w:szCs w:val="24"/>
        </w:rPr>
        <w:t>进行支付结算。</w:t>
      </w:r>
      <w:r>
        <w:rPr>
          <w:rFonts w:hint="eastAsia" w:ascii="仿宋" w:hAnsi="仿宋" w:eastAsia="仿宋" w:cs="宋体"/>
          <w:color w:val="auto"/>
          <w:sz w:val="24"/>
          <w:szCs w:val="24"/>
          <w:lang w:val="en-US" w:eastAsia="zh-Hans"/>
        </w:rPr>
        <w:t>若乙方提供的发票不符合甲方的要求</w:t>
      </w:r>
      <w:r>
        <w:rPr>
          <w:rFonts w:hint="default" w:ascii="仿宋" w:hAnsi="仿宋" w:eastAsia="仿宋" w:cs="宋体"/>
          <w:color w:val="auto"/>
          <w:sz w:val="24"/>
          <w:szCs w:val="24"/>
          <w:lang w:eastAsia="zh-Hans"/>
        </w:rPr>
        <w:t>，</w:t>
      </w:r>
      <w:r>
        <w:rPr>
          <w:rFonts w:hint="eastAsia" w:ascii="仿宋" w:hAnsi="仿宋" w:eastAsia="仿宋" w:cs="宋体"/>
          <w:color w:val="auto"/>
          <w:sz w:val="24"/>
          <w:szCs w:val="24"/>
          <w:lang w:val="en-US" w:eastAsia="zh-Hans"/>
        </w:rPr>
        <w:t>甲方有权拒绝付款</w:t>
      </w:r>
      <w:r>
        <w:rPr>
          <w:rFonts w:hint="default" w:ascii="仿宋" w:hAnsi="仿宋" w:eastAsia="仿宋" w:cs="宋体"/>
          <w:color w:val="auto"/>
          <w:sz w:val="24"/>
          <w:szCs w:val="24"/>
          <w:lang w:eastAsia="zh-Hans"/>
        </w:rPr>
        <w:t>，</w:t>
      </w:r>
      <w:r>
        <w:rPr>
          <w:rFonts w:hint="eastAsia" w:ascii="仿宋" w:hAnsi="仿宋" w:eastAsia="仿宋" w:cs="宋体"/>
          <w:color w:val="auto"/>
          <w:sz w:val="24"/>
          <w:szCs w:val="24"/>
          <w:lang w:val="en-US" w:eastAsia="zh-Hans"/>
        </w:rPr>
        <w:t>且不承担任何违约责任</w:t>
      </w:r>
      <w:r>
        <w:rPr>
          <w:rFonts w:hint="default" w:ascii="仿宋" w:hAnsi="仿宋" w:eastAsia="仿宋" w:cs="宋体"/>
          <w:color w:val="auto"/>
          <w:sz w:val="24"/>
          <w:szCs w:val="24"/>
          <w:lang w:eastAsia="zh-Hans"/>
        </w:rPr>
        <w:t>。</w:t>
      </w:r>
    </w:p>
    <w:p>
      <w:pPr>
        <w:ind w:firstLine="480" w:firstLineChars="200"/>
        <w:rPr>
          <w:rFonts w:hint="eastAsia" w:ascii="仿宋" w:hAnsi="仿宋" w:eastAsia="仿宋" w:cs="宋体"/>
          <w:color w:val="auto"/>
          <w:sz w:val="24"/>
          <w:szCs w:val="24"/>
          <w:lang w:val="en-US" w:eastAsia="zh-Hans"/>
        </w:rPr>
      </w:pPr>
      <w:r>
        <w:rPr>
          <w:rFonts w:hint="default" w:ascii="仿宋" w:hAnsi="仿宋" w:eastAsia="仿宋" w:cs="宋体"/>
          <w:color w:val="auto"/>
          <w:sz w:val="24"/>
          <w:szCs w:val="24"/>
        </w:rPr>
        <w:t>3、</w:t>
      </w:r>
      <w:r>
        <w:rPr>
          <w:rFonts w:hint="eastAsia" w:ascii="仿宋" w:hAnsi="仿宋" w:eastAsia="仿宋" w:cs="宋体"/>
          <w:color w:val="auto"/>
          <w:sz w:val="24"/>
          <w:szCs w:val="24"/>
          <w:lang w:val="en-US" w:eastAsia="zh-Hans"/>
        </w:rPr>
        <w:t>乙方指定的收款账号</w:t>
      </w:r>
    </w:p>
    <w:p>
      <w:pPr>
        <w:ind w:firstLine="480" w:firstLineChars="200"/>
        <w:rPr>
          <w:rFonts w:hint="default" w:ascii="仿宋" w:hAnsi="仿宋" w:eastAsia="仿宋" w:cs="宋体"/>
          <w:color w:val="auto"/>
          <w:sz w:val="24"/>
          <w:szCs w:val="24"/>
          <w:lang w:eastAsia="zh-Hans"/>
        </w:rPr>
      </w:pPr>
      <w:r>
        <w:rPr>
          <w:rFonts w:hint="eastAsia" w:ascii="仿宋" w:hAnsi="仿宋" w:eastAsia="仿宋" w:cs="宋体"/>
          <w:color w:val="auto"/>
          <w:sz w:val="24"/>
          <w:szCs w:val="24"/>
          <w:lang w:val="en-US" w:eastAsia="zh-Hans"/>
        </w:rPr>
        <w:t>开户名</w:t>
      </w:r>
      <w:r>
        <w:rPr>
          <w:rFonts w:hint="default" w:ascii="仿宋" w:hAnsi="仿宋" w:eastAsia="仿宋" w:cs="宋体"/>
          <w:color w:val="auto"/>
          <w:sz w:val="24"/>
          <w:szCs w:val="24"/>
          <w:lang w:eastAsia="zh-Hans"/>
        </w:rPr>
        <w:t>：</w:t>
      </w:r>
    </w:p>
    <w:p>
      <w:pPr>
        <w:ind w:firstLine="480" w:firstLineChars="200"/>
        <w:rPr>
          <w:rFonts w:hint="default" w:ascii="仿宋" w:hAnsi="仿宋" w:eastAsia="仿宋" w:cs="宋体"/>
          <w:color w:val="auto"/>
          <w:sz w:val="24"/>
          <w:szCs w:val="24"/>
          <w:lang w:eastAsia="zh-Hans"/>
        </w:rPr>
      </w:pPr>
      <w:r>
        <w:rPr>
          <w:rFonts w:hint="eastAsia" w:ascii="仿宋" w:hAnsi="仿宋" w:eastAsia="仿宋" w:cs="宋体"/>
          <w:color w:val="auto"/>
          <w:sz w:val="24"/>
          <w:szCs w:val="24"/>
          <w:lang w:val="en-US" w:eastAsia="zh-Hans"/>
        </w:rPr>
        <w:t>开户行</w:t>
      </w:r>
      <w:r>
        <w:rPr>
          <w:rFonts w:hint="default" w:ascii="仿宋" w:hAnsi="仿宋" w:eastAsia="仿宋" w:cs="宋体"/>
          <w:color w:val="auto"/>
          <w:sz w:val="24"/>
          <w:szCs w:val="24"/>
          <w:lang w:eastAsia="zh-Hans"/>
        </w:rPr>
        <w:t>：</w:t>
      </w:r>
    </w:p>
    <w:p>
      <w:pPr>
        <w:ind w:firstLine="480" w:firstLineChars="200"/>
        <w:rPr>
          <w:rFonts w:ascii="仿宋" w:hAnsi="仿宋" w:eastAsia="仿宋" w:cs="宋体"/>
          <w:color w:val="auto"/>
          <w:sz w:val="24"/>
          <w:szCs w:val="24"/>
        </w:rPr>
      </w:pPr>
      <w:r>
        <w:rPr>
          <w:rFonts w:hint="eastAsia" w:ascii="仿宋" w:hAnsi="仿宋" w:eastAsia="仿宋" w:cs="宋体"/>
          <w:color w:val="auto"/>
          <w:sz w:val="24"/>
          <w:szCs w:val="24"/>
          <w:lang w:val="en-US" w:eastAsia="zh-Hans"/>
        </w:rPr>
        <w:t>开户账号</w:t>
      </w:r>
      <w:r>
        <w:rPr>
          <w:rFonts w:hint="default" w:ascii="仿宋" w:hAnsi="仿宋" w:eastAsia="仿宋" w:cs="宋体"/>
          <w:color w:val="auto"/>
          <w:sz w:val="24"/>
          <w:szCs w:val="24"/>
          <w:lang w:eastAsia="zh-Hans"/>
        </w:rPr>
        <w:t>：</w:t>
      </w:r>
    </w:p>
    <w:p>
      <w:pPr>
        <w:pStyle w:val="5"/>
        <w:numPr>
          <w:ilvl w:val="0"/>
          <w:numId w:val="0"/>
        </w:numPr>
        <w:spacing w:line="400" w:lineRule="exact"/>
        <w:rPr>
          <w:rFonts w:ascii="仿宋" w:hAnsi="仿宋" w:eastAsia="仿宋"/>
          <w:color w:val="auto"/>
          <w:sz w:val="24"/>
          <w:szCs w:val="24"/>
        </w:rPr>
      </w:pPr>
      <w:bookmarkStart w:id="260" w:name="_Toc78191648"/>
      <w:bookmarkStart w:id="261" w:name="_Toc217446112"/>
      <w:bookmarkStart w:id="262" w:name="_Toc6676"/>
      <w:r>
        <w:rPr>
          <w:rFonts w:hint="eastAsia" w:ascii="仿宋" w:hAnsi="仿宋" w:eastAsia="仿宋"/>
          <w:color w:val="auto"/>
          <w:sz w:val="24"/>
          <w:szCs w:val="24"/>
          <w:lang w:val="en-US" w:eastAsia="zh-Hans"/>
        </w:rPr>
        <w:t>八</w:t>
      </w:r>
      <w:r>
        <w:rPr>
          <w:rFonts w:hint="eastAsia" w:ascii="仿宋" w:hAnsi="仿宋" w:eastAsia="仿宋"/>
          <w:color w:val="auto"/>
          <w:sz w:val="24"/>
          <w:szCs w:val="24"/>
        </w:rPr>
        <w:t>、售后服务</w:t>
      </w:r>
      <w:bookmarkEnd w:id="260"/>
      <w:bookmarkEnd w:id="261"/>
      <w:bookmarkEnd w:id="262"/>
    </w:p>
    <w:p>
      <w:pPr>
        <w:pStyle w:val="103"/>
        <w:ind w:firstLine="480"/>
        <w:rPr>
          <w:rFonts w:hint="eastAsia" w:ascii="仿宋" w:hAnsi="仿宋" w:eastAsia="仿宋"/>
          <w:color w:val="auto"/>
        </w:rPr>
      </w:pPr>
      <w:r>
        <w:rPr>
          <w:rFonts w:hint="eastAsia" w:ascii="仿宋" w:hAnsi="仿宋" w:eastAsia="仿宋"/>
          <w:color w:val="auto"/>
        </w:rPr>
        <w:t>1、</w:t>
      </w:r>
      <w:r>
        <w:rPr>
          <w:rFonts w:hint="eastAsia" w:ascii="仿宋" w:hAnsi="仿宋" w:eastAsia="仿宋"/>
          <w:color w:val="auto"/>
          <w:lang w:val="en-US" w:eastAsia="zh-Hans"/>
        </w:rPr>
        <w:t>乙方</w:t>
      </w:r>
      <w:r>
        <w:rPr>
          <w:rFonts w:hint="eastAsia" w:ascii="仿宋" w:hAnsi="仿宋" w:eastAsia="仿宋"/>
          <w:color w:val="auto"/>
        </w:rPr>
        <w:t>应有完善的技术支持与服务体系，提供7×24小时的技术支持服务，配置专门固定的售后服务电话。</w:t>
      </w:r>
      <w:r>
        <w:rPr>
          <w:rFonts w:hint="eastAsia" w:ascii="仿宋" w:hAnsi="仿宋" w:eastAsia="仿宋"/>
          <w:color w:val="auto"/>
          <w:lang w:val="en-US" w:eastAsia="zh-Hans"/>
        </w:rPr>
        <w:t>指定人员</w:t>
      </w:r>
      <w:r>
        <w:rPr>
          <w:rFonts w:hint="eastAsia" w:ascii="仿宋" w:hAnsi="仿宋" w:eastAsia="仿宋"/>
          <w:color w:val="auto"/>
        </w:rPr>
        <w:t>负责与</w:t>
      </w:r>
      <w:r>
        <w:rPr>
          <w:rFonts w:hint="default" w:ascii="仿宋" w:hAnsi="仿宋" w:eastAsia="仿宋"/>
          <w:color w:val="auto"/>
        </w:rPr>
        <w:t>甲方</w:t>
      </w:r>
      <w:r>
        <w:rPr>
          <w:rFonts w:hint="eastAsia" w:ascii="仿宋" w:hAnsi="仿宋" w:eastAsia="仿宋"/>
          <w:color w:val="auto"/>
        </w:rPr>
        <w:t>联系售后服务事宜，必要的售后机具配置、具有专门的服务电话，并能提供本地化服务</w:t>
      </w:r>
      <w:r>
        <w:rPr>
          <w:rFonts w:hint="default" w:ascii="仿宋" w:hAnsi="仿宋" w:eastAsia="仿宋"/>
          <w:color w:val="auto"/>
        </w:rPr>
        <w:t>。</w:t>
      </w:r>
      <w:r>
        <w:rPr>
          <w:rFonts w:hint="eastAsia" w:ascii="仿宋" w:hAnsi="仿宋" w:eastAsia="仿宋"/>
          <w:color w:val="auto"/>
          <w:lang w:val="en-US" w:eastAsia="zh-Hans"/>
        </w:rPr>
        <w:t>指定人员</w:t>
      </w:r>
      <w:r>
        <w:rPr>
          <w:rFonts w:hint="default" w:ascii="仿宋" w:hAnsi="仿宋" w:eastAsia="仿宋"/>
          <w:color w:val="auto"/>
          <w:lang w:eastAsia="zh-Hans"/>
        </w:rPr>
        <w:t xml:space="preserve">：     </w:t>
      </w:r>
      <w:r>
        <w:rPr>
          <w:rFonts w:hint="eastAsia" w:ascii="仿宋" w:hAnsi="仿宋" w:eastAsia="仿宋"/>
          <w:color w:val="auto"/>
          <w:lang w:val="en-US" w:eastAsia="zh-Hans"/>
        </w:rPr>
        <w:t>身份证号码</w:t>
      </w:r>
      <w:r>
        <w:rPr>
          <w:rFonts w:hint="default" w:ascii="仿宋" w:hAnsi="仿宋" w:eastAsia="仿宋"/>
          <w:color w:val="auto"/>
          <w:lang w:eastAsia="zh-Hans"/>
        </w:rPr>
        <w:t xml:space="preserve">：           </w:t>
      </w:r>
      <w:r>
        <w:rPr>
          <w:rFonts w:hint="eastAsia" w:ascii="仿宋" w:hAnsi="仿宋" w:eastAsia="仿宋"/>
          <w:color w:val="auto"/>
          <w:lang w:val="en-US" w:eastAsia="zh-Hans"/>
        </w:rPr>
        <w:t>联系电话</w:t>
      </w:r>
      <w:r>
        <w:rPr>
          <w:rFonts w:hint="default" w:ascii="仿宋" w:hAnsi="仿宋" w:eastAsia="仿宋"/>
          <w:color w:val="auto"/>
          <w:lang w:eastAsia="zh-Hans"/>
        </w:rPr>
        <w:t xml:space="preserve">：        </w:t>
      </w:r>
      <w:r>
        <w:rPr>
          <w:rFonts w:hint="eastAsia" w:ascii="仿宋" w:hAnsi="仿宋" w:eastAsia="仿宋"/>
          <w:color w:val="auto"/>
        </w:rPr>
        <w:t>。</w:t>
      </w:r>
    </w:p>
    <w:p>
      <w:pPr>
        <w:pStyle w:val="103"/>
        <w:ind w:firstLine="480"/>
        <w:rPr>
          <w:rFonts w:hint="eastAsia" w:ascii="仿宋" w:hAnsi="仿宋" w:eastAsia="仿宋"/>
          <w:color w:val="auto"/>
        </w:rPr>
      </w:pPr>
      <w:r>
        <w:rPr>
          <w:rFonts w:hint="default" w:ascii="仿宋" w:hAnsi="仿宋" w:eastAsia="仿宋"/>
          <w:color w:val="auto"/>
        </w:rPr>
        <w:t>2、</w:t>
      </w:r>
      <w:r>
        <w:rPr>
          <w:rFonts w:hint="eastAsia" w:ascii="仿宋" w:hAnsi="仿宋" w:eastAsia="仿宋"/>
          <w:color w:val="auto"/>
        </w:rPr>
        <w:t>质保期</w:t>
      </w:r>
      <w:r>
        <w:rPr>
          <w:rFonts w:hint="default" w:ascii="仿宋" w:hAnsi="仿宋" w:eastAsia="仿宋"/>
          <w:color w:val="auto"/>
        </w:rPr>
        <w:t>：</w:t>
      </w:r>
      <w:r>
        <w:rPr>
          <w:rFonts w:hint="eastAsia" w:ascii="仿宋" w:hAnsi="仿宋" w:eastAsia="仿宋"/>
          <w:color w:val="auto"/>
          <w:lang w:val="en-US" w:eastAsia="zh-Hans"/>
        </w:rPr>
        <w:t>自甲方</w:t>
      </w:r>
      <w:r>
        <w:rPr>
          <w:rFonts w:hint="eastAsia" w:ascii="仿宋" w:hAnsi="仿宋" w:eastAsia="仿宋"/>
          <w:color w:val="auto"/>
        </w:rPr>
        <w:t>验收合格</w:t>
      </w:r>
      <w:r>
        <w:rPr>
          <w:rFonts w:hint="eastAsia" w:ascii="仿宋" w:hAnsi="仿宋" w:eastAsia="仿宋"/>
          <w:color w:val="auto"/>
          <w:lang w:val="en-US" w:eastAsia="zh-Hans"/>
        </w:rPr>
        <w:t>之日起计算</w:t>
      </w:r>
      <w:r>
        <w:rPr>
          <w:rFonts w:hint="eastAsia" w:ascii="仿宋" w:hAnsi="仿宋" w:eastAsia="仿宋"/>
          <w:color w:val="auto"/>
          <w:szCs w:val="21"/>
        </w:rPr>
        <w:t>XX</w:t>
      </w:r>
      <w:r>
        <w:rPr>
          <w:rFonts w:hint="eastAsia" w:ascii="仿宋" w:hAnsi="仿宋" w:eastAsia="仿宋"/>
          <w:color w:val="auto"/>
        </w:rPr>
        <w:t>年，质保期内出现质量问题，乙方在接到通知后</w:t>
      </w:r>
      <w:r>
        <w:rPr>
          <w:rFonts w:hint="default" w:ascii="仿宋" w:hAnsi="仿宋" w:eastAsia="仿宋"/>
          <w:color w:val="auto"/>
        </w:rPr>
        <w:t xml:space="preserve"> </w:t>
      </w:r>
      <w:r>
        <w:rPr>
          <w:rFonts w:hint="eastAsia" w:ascii="仿宋" w:hAnsi="仿宋" w:eastAsia="仿宋"/>
          <w:color w:val="auto"/>
        </w:rPr>
        <w:t>小时内响应到场，</w:t>
      </w:r>
      <w:r>
        <w:rPr>
          <w:rFonts w:hint="default" w:ascii="仿宋" w:hAnsi="仿宋" w:eastAsia="仿宋"/>
          <w:color w:val="auto"/>
        </w:rPr>
        <w:t xml:space="preserve">  </w:t>
      </w:r>
      <w:r>
        <w:rPr>
          <w:rFonts w:hint="eastAsia" w:ascii="仿宋" w:hAnsi="仿宋" w:eastAsia="仿宋"/>
          <w:color w:val="auto"/>
        </w:rPr>
        <w:t>小时内完成维修或更换，并承担修理调换的费用；如货物经乙方</w:t>
      </w:r>
      <w:r>
        <w:rPr>
          <w:rFonts w:hint="default" w:ascii="仿宋" w:hAnsi="仿宋" w:eastAsia="仿宋"/>
          <w:color w:val="auto"/>
        </w:rPr>
        <w:t xml:space="preserve">  </w:t>
      </w:r>
      <w:r>
        <w:rPr>
          <w:rFonts w:hint="eastAsia" w:ascii="仿宋" w:hAnsi="仿宋" w:eastAsia="仿宋"/>
          <w:color w:val="auto"/>
        </w:rPr>
        <w:t>次维修仍不能达到本合同约定的质量标准，视作乙方未能按时交货，甲方有权退货并追究乙方的违约责任。货到现场后由于甲方保管不当造成的问题，乙方亦应负责修复，但费用由甲方负担。</w:t>
      </w:r>
    </w:p>
    <w:p>
      <w:pPr>
        <w:pStyle w:val="103"/>
        <w:ind w:firstLine="480"/>
        <w:rPr>
          <w:rFonts w:hint="eastAsia" w:ascii="仿宋" w:hAnsi="仿宋" w:eastAsia="仿宋"/>
          <w:color w:val="auto"/>
        </w:rPr>
      </w:pPr>
      <w:r>
        <w:rPr>
          <w:rFonts w:hint="default" w:ascii="仿宋" w:hAnsi="仿宋" w:eastAsia="仿宋"/>
          <w:color w:val="auto"/>
        </w:rPr>
        <w:t>3、</w:t>
      </w:r>
      <w:r>
        <w:rPr>
          <w:rFonts w:hint="eastAsia" w:ascii="仿宋" w:hAnsi="仿宋" w:eastAsia="仿宋"/>
          <w:color w:val="auto"/>
          <w:lang w:val="en-US" w:eastAsia="zh-Hans"/>
        </w:rPr>
        <w:t>质量及</w:t>
      </w:r>
      <w:r>
        <w:rPr>
          <w:rFonts w:hint="eastAsia" w:ascii="仿宋" w:hAnsi="仿宋" w:eastAsia="仿宋"/>
          <w:color w:val="auto"/>
        </w:rPr>
        <w:t>故障问题解决后</w:t>
      </w:r>
      <w:r>
        <w:rPr>
          <w:rFonts w:hint="default" w:ascii="仿宋" w:hAnsi="仿宋" w:eastAsia="仿宋"/>
          <w:color w:val="auto"/>
        </w:rPr>
        <w:t xml:space="preserve">   </w:t>
      </w:r>
      <w:r>
        <w:rPr>
          <w:rFonts w:hint="eastAsia" w:ascii="仿宋" w:hAnsi="仿宋" w:eastAsia="仿宋"/>
          <w:color w:val="auto"/>
        </w:rPr>
        <w:t>小时内，向</w:t>
      </w:r>
      <w:r>
        <w:rPr>
          <w:rFonts w:hint="default" w:ascii="仿宋" w:hAnsi="仿宋" w:eastAsia="仿宋"/>
          <w:color w:val="auto"/>
        </w:rPr>
        <w:t>甲方</w:t>
      </w:r>
      <w:r>
        <w:rPr>
          <w:rFonts w:hint="eastAsia" w:ascii="仿宋" w:hAnsi="仿宋" w:eastAsia="仿宋"/>
          <w:color w:val="auto"/>
        </w:rPr>
        <w:t>提交问题处理报告，说明问题种类、问题原因、问题解决中使用的方法及造成的损失等情况。</w:t>
      </w:r>
    </w:p>
    <w:p>
      <w:pPr>
        <w:tabs>
          <w:tab w:val="left" w:pos="1747"/>
        </w:tabs>
        <w:jc w:val="left"/>
        <w:rPr>
          <w:rFonts w:hint="eastAsia" w:ascii="仿宋" w:hAnsi="仿宋" w:eastAsia="仿宋"/>
          <w:color w:val="auto"/>
          <w:sz w:val="24"/>
          <w:szCs w:val="24"/>
          <w:lang w:val="en-US" w:eastAsia="zh-Hans"/>
        </w:rPr>
      </w:pPr>
      <w:bookmarkStart w:id="263" w:name="_Toc217446113"/>
      <w:bookmarkStart w:id="264" w:name="_Toc78191649"/>
      <w:bookmarkStart w:id="265" w:name="_Toc29213"/>
    </w:p>
    <w:p>
      <w:pPr>
        <w:numPr>
          <w:ilvl w:val="0"/>
          <w:numId w:val="58"/>
        </w:numPr>
        <w:tabs>
          <w:tab w:val="left" w:pos="1747"/>
        </w:tabs>
        <w:jc w:val="left"/>
        <w:rPr>
          <w:rFonts w:hint="eastAsia" w:ascii="仿宋" w:hAnsi="仿宋" w:eastAsia="仿宋"/>
          <w:b/>
          <w:bCs/>
          <w:color w:val="auto"/>
          <w:sz w:val="24"/>
          <w:szCs w:val="24"/>
        </w:rPr>
      </w:pPr>
      <w:r>
        <w:rPr>
          <w:rFonts w:hint="eastAsia" w:ascii="仿宋" w:hAnsi="仿宋" w:eastAsia="仿宋"/>
          <w:b/>
          <w:bCs/>
          <w:color w:val="auto"/>
          <w:sz w:val="24"/>
          <w:szCs w:val="24"/>
        </w:rPr>
        <w:t>违约责任</w:t>
      </w:r>
      <w:bookmarkEnd w:id="263"/>
      <w:bookmarkEnd w:id="264"/>
      <w:bookmarkEnd w:id="265"/>
    </w:p>
    <w:p>
      <w:pPr>
        <w:numPr>
          <w:ilvl w:val="0"/>
          <w:numId w:val="0"/>
        </w:numPr>
        <w:tabs>
          <w:tab w:val="left" w:pos="1747"/>
        </w:tabs>
        <w:jc w:val="left"/>
        <w:rPr>
          <w:rFonts w:hint="eastAsia" w:ascii="仿宋" w:hAnsi="仿宋" w:eastAsia="仿宋" w:cs="Times New Roman"/>
          <w:b w:val="0"/>
          <w:bCs w:val="0"/>
          <w:color w:val="auto"/>
          <w:kern w:val="2"/>
          <w:sz w:val="24"/>
          <w:szCs w:val="24"/>
          <w:lang w:val="en-US" w:eastAsia="zh-CN" w:bidi="ar-SA"/>
        </w:rPr>
      </w:pPr>
      <w:r>
        <w:rPr>
          <w:rFonts w:hint="eastAsia" w:ascii="仿宋" w:hAnsi="仿宋" w:eastAsia="仿宋"/>
          <w:b w:val="0"/>
          <w:bCs w:val="0"/>
          <w:color w:val="auto"/>
          <w:sz w:val="24"/>
          <w:szCs w:val="24"/>
          <w:lang w:val="en-US" w:eastAsia="zh-CN"/>
        </w:rPr>
        <w:t xml:space="preserve">    </w:t>
      </w:r>
      <w:r>
        <w:rPr>
          <w:rFonts w:hint="eastAsia" w:ascii="仿宋" w:hAnsi="仿宋" w:eastAsia="仿宋"/>
          <w:b w:val="0"/>
          <w:bCs w:val="0"/>
          <w:color w:val="auto"/>
          <w:sz w:val="24"/>
          <w:szCs w:val="24"/>
        </w:rPr>
        <w:t>1、</w:t>
      </w:r>
      <w:r>
        <w:rPr>
          <w:rFonts w:hint="eastAsia" w:ascii="仿宋" w:hAnsi="仿宋" w:eastAsia="仿宋"/>
          <w:b w:val="0"/>
          <w:bCs w:val="0"/>
          <w:color w:val="auto"/>
          <w:sz w:val="24"/>
          <w:szCs w:val="24"/>
          <w:lang w:val="en-US" w:eastAsia="zh-Hans"/>
        </w:rPr>
        <w:t>甲</w:t>
      </w:r>
      <w:r>
        <w:rPr>
          <w:rFonts w:hint="default" w:ascii="仿宋" w:hAnsi="仿宋" w:eastAsia="仿宋"/>
          <w:b w:val="0"/>
          <w:bCs w:val="0"/>
          <w:color w:val="auto"/>
          <w:sz w:val="24"/>
          <w:szCs w:val="24"/>
        </w:rPr>
        <w:t>乙</w:t>
      </w:r>
      <w:r>
        <w:rPr>
          <w:rFonts w:hint="eastAsia" w:ascii="仿宋" w:hAnsi="仿宋" w:eastAsia="仿宋"/>
          <w:b w:val="0"/>
          <w:bCs w:val="0"/>
          <w:color w:val="auto"/>
          <w:sz w:val="24"/>
          <w:szCs w:val="24"/>
          <w:lang w:val="en-US" w:eastAsia="zh-Hans"/>
        </w:rPr>
        <w:t>双</w:t>
      </w:r>
      <w:r>
        <w:rPr>
          <w:rFonts w:hint="default" w:ascii="仿宋" w:hAnsi="仿宋" w:eastAsia="仿宋"/>
          <w:b w:val="0"/>
          <w:bCs w:val="0"/>
          <w:color w:val="auto"/>
          <w:sz w:val="24"/>
          <w:szCs w:val="24"/>
        </w:rPr>
        <w:t>方</w:t>
      </w:r>
      <w:r>
        <w:rPr>
          <w:rFonts w:hint="eastAsia" w:ascii="仿宋" w:hAnsi="仿宋" w:eastAsia="仿宋"/>
          <w:b w:val="0"/>
          <w:bCs w:val="0"/>
          <w:color w:val="auto"/>
          <w:sz w:val="24"/>
          <w:szCs w:val="24"/>
        </w:rPr>
        <w:t>必须遵守采购合同并执行合同中的各项规定，保证采购合同的正常履行。</w:t>
      </w:r>
    </w:p>
    <w:p>
      <w:pPr>
        <w:tabs>
          <w:tab w:val="left" w:pos="1324"/>
        </w:tabs>
        <w:jc w:val="left"/>
        <w:rPr>
          <w:rFonts w:hint="eastAsia" w:ascii="仿宋" w:hAnsi="仿宋" w:eastAsia="仿宋"/>
          <w:b w:val="0"/>
          <w:bCs w:val="0"/>
          <w:color w:val="auto"/>
          <w:sz w:val="24"/>
          <w:szCs w:val="24"/>
        </w:rPr>
      </w:pPr>
      <w:r>
        <w:rPr>
          <w:rFonts w:hint="eastAsia" w:ascii="仿宋" w:hAnsi="仿宋" w:eastAsia="仿宋"/>
          <w:b w:val="0"/>
          <w:bCs w:val="0"/>
          <w:color w:val="auto"/>
          <w:sz w:val="24"/>
          <w:szCs w:val="24"/>
          <w:lang w:val="en-US" w:eastAsia="zh-CN"/>
        </w:rPr>
        <w:t xml:space="preserve">    </w:t>
      </w:r>
      <w:r>
        <w:rPr>
          <w:rFonts w:hint="eastAsia" w:ascii="仿宋" w:hAnsi="仿宋" w:eastAsia="仿宋"/>
          <w:b w:val="0"/>
          <w:bCs w:val="0"/>
          <w:color w:val="auto"/>
          <w:sz w:val="24"/>
          <w:szCs w:val="24"/>
        </w:rPr>
        <w:t>2、如因</w:t>
      </w:r>
      <w:r>
        <w:rPr>
          <w:rFonts w:hint="default" w:ascii="仿宋" w:hAnsi="仿宋" w:eastAsia="仿宋"/>
          <w:b w:val="0"/>
          <w:bCs w:val="0"/>
          <w:color w:val="auto"/>
          <w:sz w:val="24"/>
          <w:szCs w:val="24"/>
        </w:rPr>
        <w:t>乙方</w:t>
      </w:r>
      <w:r>
        <w:rPr>
          <w:rFonts w:hint="eastAsia" w:ascii="仿宋" w:hAnsi="仿宋" w:eastAsia="仿宋"/>
          <w:b w:val="0"/>
          <w:bCs w:val="0"/>
          <w:color w:val="auto"/>
          <w:sz w:val="24"/>
          <w:szCs w:val="24"/>
        </w:rPr>
        <w:t>工作人员在履行职务过程中的的疏忽、失职、过错等故意或者过失原因给</w:t>
      </w:r>
      <w:r>
        <w:rPr>
          <w:rFonts w:hint="default" w:ascii="仿宋" w:hAnsi="仿宋" w:eastAsia="仿宋"/>
          <w:b w:val="0"/>
          <w:bCs w:val="0"/>
          <w:color w:val="auto"/>
          <w:sz w:val="24"/>
          <w:szCs w:val="24"/>
        </w:rPr>
        <w:t>甲方</w:t>
      </w:r>
      <w:r>
        <w:rPr>
          <w:rFonts w:hint="eastAsia" w:ascii="仿宋" w:hAnsi="仿宋" w:eastAsia="仿宋"/>
          <w:b w:val="0"/>
          <w:bCs w:val="0"/>
          <w:color w:val="auto"/>
          <w:sz w:val="24"/>
          <w:szCs w:val="24"/>
        </w:rPr>
        <w:t>造成损失或侵害，包括但不限于</w:t>
      </w:r>
      <w:r>
        <w:rPr>
          <w:rFonts w:hint="default" w:ascii="仿宋" w:hAnsi="仿宋" w:eastAsia="仿宋"/>
          <w:b w:val="0"/>
          <w:bCs w:val="0"/>
          <w:color w:val="auto"/>
          <w:sz w:val="24"/>
          <w:szCs w:val="24"/>
        </w:rPr>
        <w:t>甲方</w:t>
      </w:r>
      <w:r>
        <w:rPr>
          <w:rFonts w:hint="eastAsia" w:ascii="仿宋" w:hAnsi="仿宋" w:eastAsia="仿宋"/>
          <w:b w:val="0"/>
          <w:bCs w:val="0"/>
          <w:color w:val="auto"/>
          <w:sz w:val="24"/>
          <w:szCs w:val="24"/>
        </w:rPr>
        <w:t>本身的财产损失、由此而导致的</w:t>
      </w:r>
      <w:r>
        <w:rPr>
          <w:rFonts w:hint="default" w:ascii="仿宋" w:hAnsi="仿宋" w:eastAsia="仿宋"/>
          <w:b w:val="0"/>
          <w:bCs w:val="0"/>
          <w:color w:val="auto"/>
          <w:sz w:val="24"/>
          <w:szCs w:val="24"/>
        </w:rPr>
        <w:t>甲方</w:t>
      </w:r>
      <w:r>
        <w:rPr>
          <w:rFonts w:hint="eastAsia" w:ascii="仿宋" w:hAnsi="仿宋" w:eastAsia="仿宋"/>
          <w:b w:val="0"/>
          <w:bCs w:val="0"/>
          <w:color w:val="auto"/>
          <w:sz w:val="24"/>
          <w:szCs w:val="24"/>
        </w:rPr>
        <w:t>对任何第三方的法律责任等，</w:t>
      </w:r>
      <w:r>
        <w:rPr>
          <w:rFonts w:hint="default" w:ascii="仿宋" w:hAnsi="仿宋" w:eastAsia="仿宋"/>
          <w:b w:val="0"/>
          <w:bCs w:val="0"/>
          <w:color w:val="auto"/>
          <w:sz w:val="24"/>
          <w:szCs w:val="24"/>
        </w:rPr>
        <w:t>乙方</w:t>
      </w:r>
      <w:r>
        <w:rPr>
          <w:rFonts w:hint="eastAsia" w:ascii="仿宋" w:hAnsi="仿宋" w:eastAsia="仿宋"/>
          <w:b w:val="0"/>
          <w:bCs w:val="0"/>
          <w:color w:val="auto"/>
          <w:sz w:val="24"/>
          <w:szCs w:val="24"/>
        </w:rPr>
        <w:t>对此均应承担全部的赔偿责任。</w:t>
      </w:r>
    </w:p>
    <w:p>
      <w:pPr>
        <w:tabs>
          <w:tab w:val="left" w:pos="1092"/>
        </w:tabs>
        <w:jc w:val="left"/>
        <w:rPr>
          <w:rFonts w:hint="eastAsia" w:ascii="仿宋" w:hAnsi="仿宋" w:eastAsia="仿宋"/>
          <w:b w:val="0"/>
          <w:bCs w:val="0"/>
          <w:color w:val="auto"/>
          <w:sz w:val="24"/>
          <w:szCs w:val="24"/>
        </w:rPr>
      </w:pPr>
      <w:r>
        <w:rPr>
          <w:rFonts w:hint="eastAsia" w:ascii="仿宋" w:hAnsi="仿宋" w:eastAsia="仿宋"/>
          <w:b w:val="0"/>
          <w:bCs w:val="0"/>
          <w:color w:val="auto"/>
          <w:sz w:val="24"/>
          <w:szCs w:val="24"/>
          <w:lang w:val="en-US" w:eastAsia="zh-CN"/>
        </w:rPr>
        <w:t xml:space="preserve">    </w:t>
      </w:r>
      <w:r>
        <w:rPr>
          <w:rFonts w:hint="eastAsia" w:ascii="仿宋" w:hAnsi="仿宋" w:eastAsia="仿宋"/>
          <w:b w:val="0"/>
          <w:bCs w:val="0"/>
          <w:color w:val="auto"/>
          <w:sz w:val="24"/>
          <w:szCs w:val="24"/>
        </w:rPr>
        <w:t>3、</w:t>
      </w:r>
      <w:r>
        <w:rPr>
          <w:rFonts w:hint="default" w:ascii="仿宋" w:hAnsi="仿宋" w:eastAsia="仿宋"/>
          <w:b w:val="0"/>
          <w:bCs w:val="0"/>
          <w:color w:val="auto"/>
          <w:sz w:val="24"/>
          <w:szCs w:val="24"/>
        </w:rPr>
        <w:t>乙方</w:t>
      </w:r>
      <w:r>
        <w:rPr>
          <w:rFonts w:hint="eastAsia" w:ascii="仿宋" w:hAnsi="仿宋" w:eastAsia="仿宋"/>
          <w:b w:val="0"/>
          <w:bCs w:val="0"/>
          <w:color w:val="auto"/>
          <w:sz w:val="24"/>
          <w:szCs w:val="24"/>
        </w:rPr>
        <w:t>必须遵守采购合同按时完成合同相关工作，若由于</w:t>
      </w:r>
      <w:r>
        <w:rPr>
          <w:rFonts w:hint="default" w:ascii="仿宋" w:hAnsi="仿宋" w:eastAsia="仿宋"/>
          <w:b w:val="0"/>
          <w:bCs w:val="0"/>
          <w:color w:val="auto"/>
          <w:sz w:val="24"/>
          <w:szCs w:val="24"/>
        </w:rPr>
        <w:t>乙方</w:t>
      </w:r>
      <w:r>
        <w:rPr>
          <w:rFonts w:hint="eastAsia" w:ascii="仿宋" w:hAnsi="仿宋" w:eastAsia="仿宋"/>
          <w:b w:val="0"/>
          <w:bCs w:val="0"/>
          <w:color w:val="auto"/>
          <w:sz w:val="24"/>
          <w:szCs w:val="24"/>
        </w:rPr>
        <w:t>原因导致合同迟延履行，</w:t>
      </w:r>
      <w:r>
        <w:rPr>
          <w:rFonts w:hint="default" w:ascii="仿宋" w:hAnsi="仿宋" w:eastAsia="仿宋"/>
          <w:b w:val="0"/>
          <w:bCs w:val="0"/>
          <w:color w:val="auto"/>
          <w:sz w:val="24"/>
          <w:szCs w:val="24"/>
        </w:rPr>
        <w:t>乙方</w:t>
      </w:r>
      <w:r>
        <w:rPr>
          <w:rFonts w:hint="eastAsia" w:ascii="仿宋" w:hAnsi="仿宋" w:eastAsia="仿宋"/>
          <w:b w:val="0"/>
          <w:bCs w:val="0"/>
          <w:color w:val="auto"/>
          <w:sz w:val="24"/>
          <w:szCs w:val="24"/>
        </w:rPr>
        <w:t>应承担每迟延一天</w:t>
      </w:r>
      <w:r>
        <w:rPr>
          <w:rFonts w:hint="eastAsia" w:ascii="仿宋" w:hAnsi="仿宋" w:eastAsia="仿宋"/>
          <w:b w:val="0"/>
          <w:bCs w:val="0"/>
          <w:color w:val="auto"/>
          <w:sz w:val="24"/>
          <w:szCs w:val="24"/>
          <w:lang w:val="en-US" w:eastAsia="zh-Hans"/>
        </w:rPr>
        <w:t>支付</w:t>
      </w:r>
      <w:r>
        <w:rPr>
          <w:rFonts w:hint="eastAsia" w:ascii="仿宋" w:hAnsi="仿宋" w:eastAsia="仿宋"/>
          <w:b w:val="0"/>
          <w:bCs w:val="0"/>
          <w:color w:val="auto"/>
          <w:sz w:val="24"/>
          <w:szCs w:val="24"/>
        </w:rPr>
        <w:t>人民币1000元</w:t>
      </w:r>
      <w:r>
        <w:rPr>
          <w:rFonts w:hint="eastAsia" w:ascii="仿宋" w:hAnsi="仿宋" w:eastAsia="仿宋"/>
          <w:b w:val="0"/>
          <w:bCs w:val="0"/>
          <w:color w:val="auto"/>
          <w:sz w:val="24"/>
          <w:szCs w:val="24"/>
          <w:lang w:val="en-US" w:eastAsia="zh-Hans"/>
        </w:rPr>
        <w:t>违约金的责任</w:t>
      </w:r>
      <w:r>
        <w:rPr>
          <w:rFonts w:hint="eastAsia" w:ascii="仿宋" w:hAnsi="仿宋" w:eastAsia="仿宋"/>
          <w:b w:val="0"/>
          <w:bCs w:val="0"/>
          <w:color w:val="auto"/>
          <w:sz w:val="24"/>
          <w:szCs w:val="24"/>
        </w:rPr>
        <w:t>。</w:t>
      </w:r>
    </w:p>
    <w:p>
      <w:pPr>
        <w:tabs>
          <w:tab w:val="left" w:pos="1147"/>
        </w:tabs>
        <w:jc w:val="left"/>
        <w:rPr>
          <w:rFonts w:hint="eastAsia" w:ascii="仿宋" w:hAnsi="仿宋" w:eastAsia="仿宋"/>
          <w:b w:val="0"/>
          <w:bCs w:val="0"/>
          <w:color w:val="auto"/>
          <w:sz w:val="24"/>
          <w:szCs w:val="24"/>
        </w:rPr>
      </w:pPr>
      <w:r>
        <w:rPr>
          <w:rFonts w:hint="eastAsia" w:ascii="仿宋" w:hAnsi="仿宋" w:eastAsia="仿宋"/>
          <w:b w:val="0"/>
          <w:bCs w:val="0"/>
          <w:color w:val="auto"/>
          <w:sz w:val="24"/>
          <w:szCs w:val="24"/>
          <w:lang w:val="en-US" w:eastAsia="zh-CN"/>
        </w:rPr>
        <w:t xml:space="preserve">   </w:t>
      </w:r>
      <w:r>
        <w:rPr>
          <w:rFonts w:hint="eastAsia" w:ascii="仿宋" w:hAnsi="仿宋" w:eastAsia="仿宋"/>
          <w:b w:val="0"/>
          <w:bCs w:val="0"/>
          <w:color w:val="auto"/>
          <w:sz w:val="24"/>
          <w:szCs w:val="24"/>
        </w:rPr>
        <w:t>4、若</w:t>
      </w:r>
      <w:r>
        <w:rPr>
          <w:rFonts w:hint="default" w:ascii="仿宋" w:hAnsi="仿宋" w:eastAsia="仿宋"/>
          <w:b w:val="0"/>
          <w:bCs w:val="0"/>
          <w:color w:val="auto"/>
          <w:sz w:val="24"/>
          <w:szCs w:val="24"/>
        </w:rPr>
        <w:t>乙方</w:t>
      </w:r>
      <w:r>
        <w:rPr>
          <w:rFonts w:hint="eastAsia" w:ascii="仿宋" w:hAnsi="仿宋" w:eastAsia="仿宋"/>
          <w:b w:val="0"/>
          <w:bCs w:val="0"/>
          <w:color w:val="auto"/>
          <w:sz w:val="24"/>
          <w:szCs w:val="24"/>
        </w:rPr>
        <w:t>瑕疵履行采购合同，</w:t>
      </w:r>
      <w:r>
        <w:rPr>
          <w:rFonts w:hint="default" w:ascii="仿宋" w:hAnsi="仿宋" w:eastAsia="仿宋"/>
          <w:b w:val="0"/>
          <w:bCs w:val="0"/>
          <w:color w:val="auto"/>
          <w:sz w:val="24"/>
          <w:szCs w:val="24"/>
        </w:rPr>
        <w:t>甲方</w:t>
      </w:r>
      <w:r>
        <w:rPr>
          <w:rFonts w:hint="eastAsia" w:ascii="仿宋" w:hAnsi="仿宋" w:eastAsia="仿宋"/>
          <w:b w:val="0"/>
          <w:bCs w:val="0"/>
          <w:color w:val="auto"/>
          <w:sz w:val="24"/>
          <w:szCs w:val="24"/>
        </w:rPr>
        <w:t>有权向</w:t>
      </w:r>
      <w:r>
        <w:rPr>
          <w:rFonts w:hint="default" w:ascii="仿宋" w:hAnsi="仿宋" w:eastAsia="仿宋"/>
          <w:b w:val="0"/>
          <w:bCs w:val="0"/>
          <w:color w:val="auto"/>
          <w:sz w:val="24"/>
          <w:szCs w:val="24"/>
        </w:rPr>
        <w:t>乙方</w:t>
      </w:r>
      <w:r>
        <w:rPr>
          <w:rFonts w:hint="eastAsia" w:ascii="仿宋" w:hAnsi="仿宋" w:eastAsia="仿宋"/>
          <w:b w:val="0"/>
          <w:bCs w:val="0"/>
          <w:color w:val="auto"/>
          <w:sz w:val="24"/>
          <w:szCs w:val="24"/>
        </w:rPr>
        <w:t>要求赔偿合同总</w:t>
      </w:r>
      <w:r>
        <w:rPr>
          <w:rFonts w:hint="eastAsia" w:ascii="仿宋" w:hAnsi="仿宋" w:eastAsia="仿宋"/>
          <w:b w:val="0"/>
          <w:bCs w:val="0"/>
          <w:color w:val="auto"/>
          <w:sz w:val="24"/>
          <w:szCs w:val="24"/>
          <w:lang w:val="en-US" w:eastAsia="zh-Hans"/>
        </w:rPr>
        <w:t>金额</w:t>
      </w:r>
      <w:r>
        <w:rPr>
          <w:rFonts w:hint="eastAsia" w:ascii="仿宋" w:hAnsi="仿宋" w:eastAsia="仿宋"/>
          <w:b w:val="0"/>
          <w:bCs w:val="0"/>
          <w:color w:val="auto"/>
          <w:sz w:val="24"/>
          <w:szCs w:val="24"/>
        </w:rPr>
        <w:t>20%的违约金，若造成相关损失的，</w:t>
      </w:r>
      <w:r>
        <w:rPr>
          <w:rFonts w:hint="default" w:ascii="仿宋" w:hAnsi="仿宋" w:eastAsia="仿宋"/>
          <w:b w:val="0"/>
          <w:bCs w:val="0"/>
          <w:color w:val="auto"/>
          <w:sz w:val="24"/>
          <w:szCs w:val="24"/>
        </w:rPr>
        <w:t>甲方</w:t>
      </w:r>
      <w:r>
        <w:rPr>
          <w:rFonts w:hint="eastAsia" w:ascii="仿宋" w:hAnsi="仿宋" w:eastAsia="仿宋"/>
          <w:b w:val="0"/>
          <w:bCs w:val="0"/>
          <w:color w:val="auto"/>
          <w:sz w:val="24"/>
          <w:szCs w:val="24"/>
        </w:rPr>
        <w:t>有权要求</w:t>
      </w:r>
      <w:r>
        <w:rPr>
          <w:rFonts w:hint="default" w:ascii="仿宋" w:hAnsi="仿宋" w:eastAsia="仿宋"/>
          <w:b w:val="0"/>
          <w:bCs w:val="0"/>
          <w:color w:val="auto"/>
          <w:sz w:val="24"/>
          <w:szCs w:val="24"/>
        </w:rPr>
        <w:t>乙方</w:t>
      </w:r>
      <w:r>
        <w:rPr>
          <w:rFonts w:hint="eastAsia" w:ascii="仿宋" w:hAnsi="仿宋" w:eastAsia="仿宋"/>
          <w:b w:val="0"/>
          <w:bCs w:val="0"/>
          <w:color w:val="auto"/>
          <w:sz w:val="24"/>
          <w:szCs w:val="24"/>
        </w:rPr>
        <w:t>承担所有赔偿责任。</w:t>
      </w:r>
    </w:p>
    <w:p>
      <w:pPr>
        <w:tabs>
          <w:tab w:val="left" w:pos="2360"/>
        </w:tabs>
        <w:jc w:val="left"/>
        <w:rPr>
          <w:rFonts w:hint="eastAsia" w:ascii="仿宋" w:hAnsi="仿宋" w:eastAsia="仿宋"/>
          <w:b w:val="0"/>
          <w:bCs w:val="0"/>
          <w:color w:val="auto"/>
          <w:sz w:val="24"/>
          <w:szCs w:val="24"/>
        </w:rPr>
      </w:pPr>
      <w:r>
        <w:rPr>
          <w:rFonts w:hint="eastAsia" w:ascii="仿宋" w:hAnsi="仿宋" w:eastAsia="仿宋"/>
          <w:b w:val="0"/>
          <w:bCs w:val="0"/>
          <w:color w:val="auto"/>
          <w:sz w:val="24"/>
          <w:szCs w:val="24"/>
          <w:lang w:val="en-US" w:eastAsia="zh-CN"/>
        </w:rPr>
        <w:t xml:space="preserve">   </w:t>
      </w:r>
      <w:r>
        <w:rPr>
          <w:rFonts w:hint="default" w:ascii="仿宋" w:hAnsi="仿宋" w:eastAsia="仿宋"/>
          <w:b w:val="0"/>
          <w:bCs w:val="0"/>
          <w:color w:val="auto"/>
          <w:sz w:val="24"/>
          <w:szCs w:val="24"/>
        </w:rPr>
        <w:t>5、合同各方均应严格履行本合同，因任意一方承诺、保证不实或违反本合同约定而产生纠纷的，视为违约，违约方自愿承担因守约方向违约方主张权利和守约方对外解决纠纷而产生的交通费、误工费、诉讼费、仲裁费、差旅费、查封保全担保费、保全保险费、公告费、执行费、中介服务费用（律师费用、会计费用、审计费用）。守约方因此遭受的其他直接、间接损失和可期待利益，违约方也应当进行赔偿。</w:t>
      </w:r>
    </w:p>
    <w:p>
      <w:pPr>
        <w:pStyle w:val="5"/>
        <w:numPr>
          <w:ilvl w:val="0"/>
          <w:numId w:val="0"/>
        </w:numPr>
        <w:spacing w:line="400" w:lineRule="exact"/>
        <w:rPr>
          <w:rFonts w:ascii="仿宋" w:hAnsi="仿宋" w:eastAsia="仿宋"/>
          <w:color w:val="auto"/>
          <w:sz w:val="24"/>
          <w:szCs w:val="24"/>
        </w:rPr>
      </w:pPr>
      <w:bookmarkStart w:id="266" w:name="_Toc78191650"/>
      <w:bookmarkStart w:id="267" w:name="_Toc217446114"/>
      <w:bookmarkStart w:id="268" w:name="_Toc3061"/>
      <w:r>
        <w:rPr>
          <w:rFonts w:hint="eastAsia" w:ascii="仿宋" w:hAnsi="仿宋" w:eastAsia="仿宋"/>
          <w:color w:val="auto"/>
          <w:sz w:val="24"/>
          <w:szCs w:val="24"/>
          <w:lang w:val="en-US" w:eastAsia="zh-Hans"/>
        </w:rPr>
        <w:t>十</w:t>
      </w:r>
      <w:r>
        <w:rPr>
          <w:rFonts w:hint="eastAsia" w:ascii="仿宋" w:hAnsi="仿宋" w:eastAsia="仿宋"/>
          <w:color w:val="auto"/>
          <w:sz w:val="24"/>
          <w:szCs w:val="24"/>
        </w:rPr>
        <w:t>、争议解决办法</w:t>
      </w:r>
      <w:bookmarkEnd w:id="266"/>
      <w:bookmarkEnd w:id="267"/>
      <w:bookmarkEnd w:id="268"/>
    </w:p>
    <w:p>
      <w:pPr>
        <w:pStyle w:val="103"/>
        <w:ind w:firstLine="480"/>
        <w:rPr>
          <w:rFonts w:ascii="仿宋" w:hAnsi="仿宋" w:eastAsia="仿宋"/>
          <w:color w:val="auto"/>
        </w:rPr>
      </w:pPr>
      <w:r>
        <w:rPr>
          <w:rFonts w:hint="eastAsia" w:ascii="仿宋" w:hAnsi="仿宋" w:eastAsia="仿宋"/>
          <w:color w:val="auto"/>
        </w:rPr>
        <w:t>1、因货物的质量问题发生争议，由质量技术监督部门或其指定的质量鉴定机构进行质量鉴定，鉴定费由乙方承担。</w:t>
      </w:r>
    </w:p>
    <w:p>
      <w:pPr>
        <w:pStyle w:val="103"/>
        <w:ind w:firstLine="480"/>
        <w:rPr>
          <w:rFonts w:hint="default" w:ascii="仿宋" w:hAnsi="仿宋" w:eastAsia="仿宋"/>
          <w:color w:val="auto"/>
          <w:lang w:eastAsia="zh-Hans"/>
        </w:rPr>
      </w:pPr>
      <w:r>
        <w:rPr>
          <w:rFonts w:hint="eastAsia" w:ascii="仿宋" w:hAnsi="仿宋" w:eastAsia="仿宋"/>
          <w:color w:val="auto"/>
        </w:rPr>
        <w:t>2、合同履行期间,若双方发生争议，可协商或由有关部门调解解决，协商或调解不成的，</w:t>
      </w:r>
      <w:r>
        <w:rPr>
          <w:rFonts w:hint="eastAsia" w:ascii="仿宋" w:hAnsi="仿宋" w:eastAsia="仿宋"/>
          <w:color w:val="auto"/>
          <w:lang w:val="en-US" w:eastAsia="zh-Hans"/>
        </w:rPr>
        <w:t>甲</w:t>
      </w:r>
      <w:r>
        <w:rPr>
          <w:rFonts w:hint="default" w:ascii="仿宋" w:hAnsi="仿宋" w:eastAsia="仿宋"/>
          <w:color w:val="auto"/>
          <w:lang w:eastAsia="zh-Hans"/>
        </w:rPr>
        <w:t>、</w:t>
      </w:r>
      <w:r>
        <w:rPr>
          <w:rFonts w:hint="eastAsia" w:ascii="仿宋" w:hAnsi="仿宋" w:eastAsia="仿宋"/>
          <w:color w:val="auto"/>
          <w:lang w:val="en-US" w:eastAsia="zh-Hans"/>
        </w:rPr>
        <w:t>乙双方均有权向甲方所在地人民法院提起诉讼</w:t>
      </w:r>
      <w:r>
        <w:rPr>
          <w:rFonts w:hint="default" w:ascii="仿宋" w:hAnsi="仿宋" w:eastAsia="仿宋"/>
          <w:color w:val="auto"/>
          <w:lang w:eastAsia="zh-Hans"/>
        </w:rPr>
        <w:t>。</w:t>
      </w:r>
    </w:p>
    <w:p>
      <w:pPr>
        <w:pStyle w:val="103"/>
        <w:ind w:firstLine="480"/>
        <w:rPr>
          <w:rFonts w:hint="default" w:ascii="仿宋" w:hAnsi="仿宋" w:eastAsia="仿宋"/>
          <w:color w:val="auto"/>
          <w:lang w:eastAsia="zh-Hans"/>
        </w:rPr>
      </w:pPr>
    </w:p>
    <w:p>
      <w:pPr>
        <w:pStyle w:val="103"/>
        <w:ind w:firstLine="0" w:firstLineChars="0"/>
        <w:rPr>
          <w:rFonts w:hint="eastAsia" w:ascii="仿宋" w:hAnsi="仿宋" w:eastAsia="仿宋"/>
          <w:b/>
          <w:bCs/>
          <w:color w:val="auto"/>
        </w:rPr>
      </w:pPr>
      <w:r>
        <w:rPr>
          <w:rFonts w:hint="eastAsia" w:ascii="仿宋" w:hAnsi="仿宋" w:eastAsia="仿宋"/>
          <w:b/>
          <w:bCs/>
          <w:color w:val="auto"/>
          <w:lang w:val="en-US" w:eastAsia="zh-Hans"/>
        </w:rPr>
        <w:t>十一</w:t>
      </w:r>
      <w:r>
        <w:rPr>
          <w:rFonts w:hint="default" w:ascii="仿宋" w:hAnsi="仿宋" w:eastAsia="仿宋"/>
          <w:b/>
          <w:bCs/>
          <w:color w:val="auto"/>
          <w:lang w:eastAsia="zh-Hans"/>
        </w:rPr>
        <w:t>、</w:t>
      </w:r>
      <w:r>
        <w:rPr>
          <w:rFonts w:hint="eastAsia" w:ascii="仿宋" w:hAnsi="仿宋" w:eastAsia="仿宋"/>
          <w:b/>
          <w:bCs/>
          <w:color w:val="auto"/>
          <w:lang w:val="en-US" w:eastAsia="zh-Hans"/>
        </w:rPr>
        <w:t>通知与送达</w:t>
      </w:r>
    </w:p>
    <w:p>
      <w:pPr>
        <w:pStyle w:val="103"/>
        <w:ind w:firstLine="480"/>
        <w:rPr>
          <w:rFonts w:hint="eastAsia" w:ascii="仿宋" w:hAnsi="仿宋" w:eastAsia="仿宋"/>
          <w:color w:val="auto"/>
        </w:rPr>
      </w:pPr>
      <w:r>
        <w:rPr>
          <w:rFonts w:hint="eastAsia" w:ascii="仿宋" w:hAnsi="仿宋" w:eastAsia="仿宋"/>
          <w:color w:val="auto"/>
        </w:rPr>
        <w:t>1、合同双方应在本合同的首部中如实提供联系地址及联系电话等（若联系地址未填写，则以身份证载明的住址或工商登记的住所地为准）。合同双方均有权按照上述地址或者联系方式以短信、传真、快递邮寄等方式相互送达相关文件或通知。</w:t>
      </w:r>
    </w:p>
    <w:p>
      <w:pPr>
        <w:pStyle w:val="103"/>
        <w:ind w:firstLine="480"/>
        <w:rPr>
          <w:rFonts w:hint="eastAsia" w:ascii="仿宋" w:hAnsi="仿宋" w:eastAsia="仿宋"/>
          <w:color w:val="auto"/>
        </w:rPr>
      </w:pPr>
      <w:r>
        <w:rPr>
          <w:rFonts w:hint="eastAsia" w:ascii="仿宋" w:hAnsi="仿宋" w:eastAsia="仿宋"/>
          <w:color w:val="auto"/>
        </w:rPr>
        <w:t>2、双方该送达地址适用范围包括双方非诉时各类通知、协议等文件以及就合同发生纠纷时相关文件和法律文书的送达，同时包括在争议进入仲裁、民事诉讼程序后的一审、二审、再审和执行程序过程中的法院送达。</w:t>
      </w:r>
    </w:p>
    <w:p>
      <w:pPr>
        <w:pStyle w:val="103"/>
        <w:ind w:firstLine="480"/>
        <w:rPr>
          <w:rFonts w:hint="eastAsia" w:ascii="仿宋" w:hAnsi="仿宋" w:eastAsia="仿宋"/>
          <w:color w:val="auto"/>
        </w:rPr>
      </w:pPr>
      <w:r>
        <w:rPr>
          <w:rFonts w:hint="eastAsia" w:ascii="仿宋" w:hAnsi="仿宋" w:eastAsia="仿宋"/>
          <w:color w:val="auto"/>
        </w:rPr>
        <w:t>3、一方选择邮寄送达或法院邮寄送达法律文书的，以交送邮寄之日起第三日视为送达完成。如有退件、他人代签及拒签等情况的，均视为已送达。</w:t>
      </w:r>
    </w:p>
    <w:p>
      <w:pPr>
        <w:pStyle w:val="103"/>
        <w:ind w:firstLine="480"/>
        <w:rPr>
          <w:rFonts w:ascii="仿宋" w:hAnsi="仿宋" w:eastAsia="仿宋"/>
          <w:color w:val="auto"/>
        </w:rPr>
      </w:pPr>
      <w:r>
        <w:rPr>
          <w:rFonts w:hint="eastAsia" w:ascii="仿宋" w:hAnsi="仿宋" w:eastAsia="仿宋"/>
          <w:color w:val="auto"/>
        </w:rPr>
        <w:t>4、任何一方的联系方式发生变更的，应当及时书面通知另一方，否则不发生变化的法律效力，一切不利后果自行承担。</w:t>
      </w:r>
    </w:p>
    <w:p>
      <w:pPr>
        <w:pStyle w:val="5"/>
        <w:numPr>
          <w:ilvl w:val="0"/>
          <w:numId w:val="0"/>
        </w:numPr>
        <w:spacing w:line="400" w:lineRule="exact"/>
        <w:rPr>
          <w:rFonts w:ascii="仿宋" w:hAnsi="仿宋" w:eastAsia="仿宋"/>
          <w:color w:val="auto"/>
          <w:sz w:val="24"/>
          <w:szCs w:val="24"/>
        </w:rPr>
      </w:pPr>
      <w:bookmarkStart w:id="269" w:name="_Toc78191651"/>
      <w:bookmarkStart w:id="270" w:name="_Toc29064"/>
      <w:bookmarkStart w:id="271" w:name="_Toc217446115"/>
      <w:r>
        <w:rPr>
          <w:rFonts w:hint="eastAsia" w:ascii="仿宋" w:hAnsi="仿宋" w:eastAsia="仿宋"/>
          <w:color w:val="auto"/>
          <w:sz w:val="24"/>
          <w:szCs w:val="24"/>
          <w:lang w:val="en-US" w:eastAsia="zh-Hans"/>
        </w:rPr>
        <w:t>十二</w:t>
      </w:r>
      <w:r>
        <w:rPr>
          <w:rFonts w:hint="eastAsia" w:ascii="仿宋" w:hAnsi="仿宋" w:eastAsia="仿宋"/>
          <w:color w:val="auto"/>
          <w:sz w:val="24"/>
          <w:szCs w:val="24"/>
        </w:rPr>
        <w:t>、其他</w:t>
      </w:r>
      <w:bookmarkEnd w:id="269"/>
      <w:bookmarkEnd w:id="270"/>
      <w:bookmarkEnd w:id="271"/>
    </w:p>
    <w:p>
      <w:pPr>
        <w:pStyle w:val="103"/>
        <w:ind w:firstLine="480"/>
        <w:rPr>
          <w:rFonts w:ascii="仿宋" w:hAnsi="仿宋" w:eastAsia="仿宋"/>
          <w:color w:val="auto"/>
        </w:rPr>
      </w:pPr>
      <w:r>
        <w:rPr>
          <w:rFonts w:hint="eastAsia" w:ascii="仿宋" w:hAnsi="仿宋" w:eastAsia="仿宋"/>
          <w:color w:val="auto"/>
        </w:rPr>
        <w:t>1、如有未尽事宜，由双方依法订立补充</w:t>
      </w:r>
      <w:r>
        <w:rPr>
          <w:rFonts w:hint="eastAsia" w:ascii="仿宋" w:hAnsi="仿宋" w:eastAsia="仿宋"/>
          <w:color w:val="auto"/>
          <w:lang w:val="en-US" w:eastAsia="zh-Hans"/>
        </w:rPr>
        <w:t>协议</w:t>
      </w:r>
      <w:r>
        <w:rPr>
          <w:rFonts w:hint="default" w:ascii="仿宋" w:hAnsi="仿宋" w:eastAsia="仿宋"/>
          <w:color w:val="auto"/>
          <w:lang w:eastAsia="zh-Hans"/>
        </w:rPr>
        <w:t>，</w:t>
      </w:r>
      <w:r>
        <w:rPr>
          <w:rFonts w:hint="eastAsia" w:ascii="仿宋" w:hAnsi="仿宋" w:eastAsia="仿宋"/>
          <w:color w:val="auto"/>
          <w:lang w:val="en-US" w:eastAsia="zh-Hans"/>
        </w:rPr>
        <w:t>补充协议与本合同具有相同的法律效力，补充协议与本合同不一致的，以补充协议为准。若干个补充协议约定不一致的，以最后订立的补充协议为准</w:t>
      </w:r>
      <w:r>
        <w:rPr>
          <w:rFonts w:hint="eastAsia" w:ascii="仿宋" w:hAnsi="仿宋" w:eastAsia="仿宋"/>
          <w:color w:val="auto"/>
        </w:rPr>
        <w:t>。</w:t>
      </w:r>
    </w:p>
    <w:p>
      <w:pPr>
        <w:pStyle w:val="103"/>
        <w:ind w:firstLine="480"/>
        <w:rPr>
          <w:rFonts w:ascii="仿宋" w:hAnsi="仿宋" w:eastAsia="仿宋"/>
          <w:color w:val="auto"/>
        </w:rPr>
      </w:pPr>
      <w:r>
        <w:rPr>
          <w:rFonts w:hint="eastAsia" w:ascii="仿宋" w:hAnsi="仿宋" w:eastAsia="仿宋"/>
          <w:color w:val="auto"/>
        </w:rPr>
        <w:t>2、本合同一式六份，自双方签章之日起生效。甲方三份，乙方、政府采购管理部门、采购代理机构各一份</w:t>
      </w:r>
      <w:r>
        <w:rPr>
          <w:rFonts w:hint="default" w:ascii="仿宋" w:hAnsi="仿宋" w:eastAsia="仿宋"/>
          <w:color w:val="auto"/>
        </w:rPr>
        <w:t>，</w:t>
      </w:r>
      <w:r>
        <w:rPr>
          <w:rFonts w:hint="eastAsia" w:ascii="仿宋" w:hAnsi="仿宋" w:eastAsia="仿宋"/>
          <w:color w:val="auto"/>
          <w:lang w:val="en-US" w:eastAsia="zh-Hans"/>
        </w:rPr>
        <w:t>均具有同等法律效力</w:t>
      </w:r>
      <w:r>
        <w:rPr>
          <w:rFonts w:hint="eastAsia" w:ascii="仿宋" w:hAnsi="仿宋" w:eastAsia="仿宋"/>
          <w:color w:val="auto"/>
        </w:rPr>
        <w:t>。</w:t>
      </w:r>
    </w:p>
    <w:p>
      <w:pPr>
        <w:spacing w:line="400" w:lineRule="exact"/>
        <w:rPr>
          <w:rFonts w:ascii="仿宋" w:hAnsi="仿宋" w:eastAsia="仿宋"/>
          <w:color w:val="auto"/>
          <w:sz w:val="24"/>
        </w:rPr>
      </w:pPr>
    </w:p>
    <w:p>
      <w:pPr>
        <w:pStyle w:val="2"/>
        <w:rPr>
          <w:color w:val="auto"/>
        </w:rPr>
      </w:pPr>
      <w:r>
        <w:rPr>
          <w:rFonts w:ascii="仿宋" w:hAnsi="仿宋" w:eastAsia="仿宋"/>
          <w:color w:val="auto"/>
          <w:sz w:val="24"/>
        </w:rPr>
        <w:t>（</w:t>
      </w:r>
      <w:r>
        <w:rPr>
          <w:rFonts w:hint="eastAsia" w:ascii="仿宋" w:hAnsi="仿宋" w:eastAsia="仿宋"/>
          <w:color w:val="auto"/>
          <w:sz w:val="24"/>
          <w:lang w:val="en-US" w:eastAsia="zh-Hans"/>
        </w:rPr>
        <w:t>以下为签字盖章部分</w:t>
      </w:r>
      <w:r>
        <w:rPr>
          <w:rFonts w:hint="default" w:ascii="仿宋" w:hAnsi="仿宋" w:eastAsia="仿宋"/>
          <w:color w:val="auto"/>
          <w:sz w:val="24"/>
          <w:lang w:eastAsia="zh-Hans"/>
        </w:rPr>
        <w:t>，</w:t>
      </w:r>
      <w:r>
        <w:rPr>
          <w:rFonts w:hint="eastAsia" w:ascii="仿宋" w:hAnsi="仿宋" w:eastAsia="仿宋"/>
          <w:color w:val="auto"/>
          <w:sz w:val="24"/>
          <w:lang w:val="en-US" w:eastAsia="zh-Hans"/>
        </w:rPr>
        <w:t>无正文</w:t>
      </w:r>
      <w:r>
        <w:rPr>
          <w:rFonts w:hint="default" w:ascii="仿宋" w:hAnsi="仿宋" w:eastAsia="仿宋"/>
          <w:color w:val="auto"/>
          <w:sz w:val="24"/>
          <w:lang w:eastAsia="zh-Hans"/>
        </w:rPr>
        <w:t>）</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 xml:space="preserve">甲方：   （盖章）   </w:t>
      </w:r>
      <w:r>
        <w:rPr>
          <w:rFonts w:hint="eastAsia" w:ascii="仿宋" w:hAnsi="仿宋" w:eastAsia="仿宋"/>
          <w:color w:val="auto"/>
          <w:sz w:val="24"/>
        </w:rPr>
        <w:tab/>
      </w:r>
      <w:r>
        <w:rPr>
          <w:rFonts w:hint="eastAsia" w:ascii="仿宋" w:hAnsi="仿宋" w:eastAsia="仿宋"/>
          <w:color w:val="auto"/>
          <w:sz w:val="24"/>
        </w:rPr>
        <w:tab/>
      </w:r>
      <w:r>
        <w:rPr>
          <w:rFonts w:hint="eastAsia" w:ascii="仿宋" w:hAnsi="仿宋" w:eastAsia="仿宋"/>
          <w:color w:val="auto"/>
          <w:sz w:val="24"/>
        </w:rPr>
        <w:tab/>
      </w:r>
      <w:r>
        <w:rPr>
          <w:rFonts w:hint="eastAsia" w:ascii="仿宋" w:hAnsi="仿宋" w:eastAsia="仿宋"/>
          <w:color w:val="auto"/>
          <w:sz w:val="24"/>
        </w:rPr>
        <w:t xml:space="preserve">       乙方：   （盖章）</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法定代表人/单位负责人（授权代表）： 法定代表人/单位负责人（授权代表）：</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地    址：                         地    址：</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开户银行：                         开户银行：</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账号：                             账号：</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电    话：                         电    话：</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传    真：                         传    真：</w:t>
      </w:r>
    </w:p>
    <w:p>
      <w:pPr>
        <w:wordWrap w:val="0"/>
        <w:spacing w:line="360" w:lineRule="auto"/>
        <w:ind w:firstLine="480" w:firstLineChars="200"/>
        <w:rPr>
          <w:rFonts w:eastAsia="黑体"/>
          <w:color w:val="auto"/>
          <w:sz w:val="24"/>
          <w:szCs w:val="24"/>
        </w:rPr>
      </w:pPr>
      <w:r>
        <w:rPr>
          <w:rFonts w:hint="eastAsia" w:ascii="仿宋" w:hAnsi="仿宋" w:eastAsia="仿宋"/>
          <w:color w:val="auto"/>
          <w:sz w:val="24"/>
          <w:szCs w:val="24"/>
        </w:rPr>
        <w:t xml:space="preserve">签约日期：XX年XX月XX日 </w:t>
      </w:r>
      <w:r>
        <w:rPr>
          <w:rFonts w:hint="eastAsia" w:ascii="仿宋" w:hAnsi="仿宋" w:eastAsia="仿宋"/>
          <w:color w:val="auto"/>
          <w:sz w:val="24"/>
          <w:szCs w:val="24"/>
        </w:rPr>
        <w:tab/>
      </w:r>
      <w:r>
        <w:rPr>
          <w:rFonts w:hint="eastAsia" w:ascii="仿宋" w:hAnsi="仿宋" w:eastAsia="仿宋"/>
          <w:color w:val="auto"/>
          <w:sz w:val="24"/>
          <w:szCs w:val="24"/>
        </w:rPr>
        <w:tab/>
      </w:r>
      <w:r>
        <w:rPr>
          <w:rFonts w:hint="eastAsia" w:ascii="仿宋" w:hAnsi="仿宋" w:eastAsia="仿宋"/>
          <w:color w:val="auto"/>
          <w:sz w:val="24"/>
          <w:szCs w:val="24"/>
        </w:rPr>
        <w:tab/>
      </w:r>
      <w:r>
        <w:rPr>
          <w:rFonts w:hint="default" w:ascii="仿宋" w:hAnsi="仿宋" w:eastAsia="仿宋"/>
          <w:color w:val="auto"/>
          <w:sz w:val="24"/>
          <w:szCs w:val="24"/>
        </w:rPr>
        <w:t xml:space="preserve"> </w:t>
      </w:r>
      <w:r>
        <w:rPr>
          <w:rFonts w:hint="eastAsia" w:ascii="仿宋" w:hAnsi="仿宋" w:eastAsia="仿宋"/>
          <w:color w:val="auto"/>
          <w:sz w:val="24"/>
          <w:szCs w:val="24"/>
        </w:rPr>
        <w:t>签约日期：XX年XX月XX日</w:t>
      </w:r>
    </w:p>
    <w:p>
      <w:pPr>
        <w:spacing w:line="460" w:lineRule="exact"/>
        <w:rPr>
          <w:rFonts w:ascii="仿宋" w:hAnsi="仿宋" w:eastAsia="仿宋"/>
          <w:color w:val="auto"/>
          <w:sz w:val="24"/>
          <w:szCs w:val="24"/>
        </w:rPr>
      </w:pPr>
    </w:p>
    <w:p>
      <w:pPr>
        <w:spacing w:line="460" w:lineRule="exact"/>
        <w:rPr>
          <w:rFonts w:ascii="仿宋" w:hAnsi="仿宋" w:eastAsia="仿宋"/>
          <w:color w:val="auto"/>
          <w:sz w:val="32"/>
          <w:szCs w:val="32"/>
        </w:rPr>
      </w:pPr>
    </w:p>
    <w:p>
      <w:pPr>
        <w:spacing w:line="460" w:lineRule="exact"/>
        <w:rPr>
          <w:rFonts w:ascii="仿宋" w:hAnsi="仿宋" w:eastAsia="仿宋"/>
          <w:color w:val="auto"/>
          <w:sz w:val="32"/>
          <w:szCs w:val="32"/>
        </w:rPr>
      </w:pPr>
    </w:p>
    <w:p>
      <w:pPr>
        <w:spacing w:line="460" w:lineRule="exact"/>
        <w:rPr>
          <w:rFonts w:ascii="仿宋" w:hAnsi="仿宋" w:eastAsia="仿宋"/>
          <w:color w:val="auto"/>
          <w:sz w:val="32"/>
          <w:szCs w:val="32"/>
        </w:rPr>
      </w:pPr>
    </w:p>
    <w:p>
      <w:pPr>
        <w:spacing w:line="460" w:lineRule="exact"/>
        <w:rPr>
          <w:rFonts w:ascii="仿宋" w:hAnsi="仿宋" w:eastAsia="仿宋"/>
          <w:color w:val="auto"/>
          <w:sz w:val="32"/>
          <w:szCs w:val="32"/>
        </w:rPr>
      </w:pPr>
    </w:p>
    <w:p>
      <w:pPr>
        <w:tabs>
          <w:tab w:val="left" w:pos="1155"/>
          <w:tab w:val="left" w:pos="1276"/>
          <w:tab w:val="left" w:pos="1418"/>
        </w:tabs>
        <w:spacing w:line="580" w:lineRule="exact"/>
        <w:rPr>
          <w:rFonts w:ascii="宋体" w:hAnsi="宋体"/>
          <w:color w:val="auto"/>
          <w:sz w:val="28"/>
          <w:szCs w:val="28"/>
        </w:rPr>
      </w:pPr>
    </w:p>
    <w:bookmarkEnd w:id="0"/>
    <w:bookmarkEnd w:id="1"/>
    <w:bookmarkEnd w:id="2"/>
    <w:bookmarkEnd w:id="3"/>
    <w:bookmarkEnd w:id="168"/>
    <w:bookmarkEnd w:id="169"/>
    <w:p>
      <w:pPr>
        <w:spacing w:line="460" w:lineRule="exact"/>
        <w:rPr>
          <w:rFonts w:ascii="仿宋" w:hAnsi="仿宋" w:eastAsia="仿宋"/>
          <w:color w:val="auto"/>
          <w:sz w:val="32"/>
          <w:szCs w:val="32"/>
        </w:rPr>
      </w:pPr>
    </w:p>
    <w:p>
      <w:pPr>
        <w:spacing w:line="460" w:lineRule="exact"/>
        <w:rPr>
          <w:rFonts w:ascii="仿宋" w:hAnsi="仿宋" w:eastAsia="仿宋"/>
          <w:color w:val="auto"/>
          <w:sz w:val="32"/>
          <w:szCs w:val="32"/>
        </w:rPr>
      </w:pPr>
    </w:p>
    <w:p>
      <w:pPr>
        <w:spacing w:line="460" w:lineRule="exact"/>
        <w:rPr>
          <w:rFonts w:ascii="仿宋" w:hAnsi="仿宋" w:eastAsia="仿宋"/>
          <w:color w:val="auto"/>
          <w:sz w:val="32"/>
          <w:szCs w:val="32"/>
        </w:rPr>
      </w:pPr>
    </w:p>
    <w:p>
      <w:pPr>
        <w:spacing w:line="460" w:lineRule="exact"/>
        <w:rPr>
          <w:rFonts w:ascii="仿宋" w:hAnsi="仿宋" w:eastAsia="仿宋"/>
          <w:color w:val="auto"/>
          <w:sz w:val="32"/>
          <w:szCs w:val="32"/>
        </w:rPr>
      </w:pPr>
    </w:p>
    <w:p>
      <w:pPr>
        <w:spacing w:line="460" w:lineRule="exact"/>
        <w:rPr>
          <w:rFonts w:ascii="仿宋" w:hAnsi="仿宋" w:eastAsia="仿宋"/>
          <w:color w:val="auto"/>
          <w:sz w:val="32"/>
          <w:szCs w:val="32"/>
        </w:rPr>
      </w:pPr>
    </w:p>
    <w:p>
      <w:pPr>
        <w:spacing w:line="460" w:lineRule="exact"/>
        <w:rPr>
          <w:rFonts w:ascii="仿宋" w:hAnsi="仿宋" w:eastAsia="仿宋"/>
          <w:color w:val="auto"/>
          <w:sz w:val="32"/>
          <w:szCs w:val="32"/>
        </w:rPr>
      </w:pPr>
    </w:p>
    <w:p>
      <w:pPr>
        <w:spacing w:line="460" w:lineRule="exact"/>
        <w:rPr>
          <w:rFonts w:ascii="仿宋" w:hAnsi="仿宋" w:eastAsia="仿宋"/>
          <w:color w:val="auto"/>
          <w:sz w:val="32"/>
          <w:szCs w:val="32"/>
        </w:rPr>
      </w:pPr>
    </w:p>
    <w:p>
      <w:pPr>
        <w:spacing w:line="460" w:lineRule="exact"/>
        <w:rPr>
          <w:rFonts w:ascii="仿宋" w:hAnsi="仿宋" w:eastAsia="仿宋"/>
          <w:color w:val="auto"/>
          <w:sz w:val="32"/>
          <w:szCs w:val="32"/>
        </w:rPr>
      </w:pPr>
    </w:p>
    <w:p>
      <w:pPr>
        <w:spacing w:line="460" w:lineRule="exact"/>
        <w:rPr>
          <w:rFonts w:ascii="仿宋" w:hAnsi="仿宋" w:eastAsia="仿宋"/>
          <w:color w:val="auto"/>
          <w:sz w:val="32"/>
          <w:szCs w:val="32"/>
        </w:rPr>
      </w:pPr>
    </w:p>
    <w:p>
      <w:pPr>
        <w:spacing w:line="460" w:lineRule="exact"/>
        <w:rPr>
          <w:rFonts w:ascii="仿宋" w:hAnsi="仿宋" w:eastAsia="仿宋"/>
          <w:color w:val="auto"/>
          <w:sz w:val="32"/>
          <w:szCs w:val="32"/>
        </w:rPr>
      </w:pPr>
    </w:p>
    <w:p>
      <w:pPr>
        <w:spacing w:line="460" w:lineRule="exact"/>
        <w:rPr>
          <w:rFonts w:ascii="仿宋" w:hAnsi="仿宋" w:eastAsia="仿宋"/>
          <w:color w:val="auto"/>
          <w:sz w:val="32"/>
          <w:szCs w:val="32"/>
        </w:rPr>
      </w:pPr>
    </w:p>
    <w:p>
      <w:pPr>
        <w:spacing w:line="460" w:lineRule="exact"/>
        <w:rPr>
          <w:rFonts w:ascii="仿宋" w:hAnsi="仿宋" w:eastAsia="仿宋"/>
          <w:color w:val="auto"/>
          <w:sz w:val="32"/>
          <w:szCs w:val="32"/>
        </w:rPr>
      </w:pPr>
    </w:p>
    <w:p>
      <w:pPr>
        <w:spacing w:line="460" w:lineRule="exact"/>
        <w:rPr>
          <w:rFonts w:ascii="仿宋" w:hAnsi="仿宋" w:eastAsia="仿宋"/>
          <w:color w:val="auto"/>
          <w:sz w:val="32"/>
          <w:szCs w:val="32"/>
        </w:rPr>
      </w:pPr>
    </w:p>
    <w:p>
      <w:pPr>
        <w:rPr>
          <w:color w:val="auto"/>
        </w:rPr>
      </w:pPr>
      <w:r>
        <w:rPr>
          <w:rFonts w:hint="eastAsia" w:ascii="宋体" w:hAnsi="宋体" w:cs="Tahoma"/>
          <w:b/>
          <w:color w:val="auto"/>
          <w:sz w:val="30"/>
          <w:szCs w:val="30"/>
        </w:rPr>
        <w:t>附件</w:t>
      </w:r>
    </w:p>
    <w:p>
      <w:pPr>
        <w:rPr>
          <w:color w:val="auto"/>
        </w:rPr>
      </w:pPr>
      <w:r>
        <w:rPr>
          <w:rFonts w:hint="eastAsia"/>
          <w:color w:val="auto"/>
        </w:rPr>
        <w:drawing>
          <wp:inline distT="0" distB="0" distL="0" distR="0">
            <wp:extent cx="5274310" cy="7463790"/>
            <wp:effectExtent l="0" t="0" r="2540" b="3810"/>
            <wp:docPr id="674" name="图片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图片 635"/>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Pr>
        <w:rPr>
          <w:color w:val="auto"/>
        </w:rPr>
      </w:pPr>
    </w:p>
    <w:p>
      <w:pPr>
        <w:rPr>
          <w:color w:val="auto"/>
        </w:rPr>
      </w:pPr>
      <w:r>
        <w:rPr>
          <w:rFonts w:hint="eastAsia"/>
          <w:color w:val="auto"/>
        </w:rPr>
        <w:drawing>
          <wp:inline distT="0" distB="0" distL="0" distR="0">
            <wp:extent cx="5274310" cy="7463790"/>
            <wp:effectExtent l="0" t="0" r="2540" b="3810"/>
            <wp:docPr id="675" name="图片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图片 636"/>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Pr>
        <w:rPr>
          <w:color w:val="auto"/>
        </w:rPr>
      </w:pPr>
    </w:p>
    <w:p>
      <w:pPr>
        <w:rPr>
          <w:color w:val="auto"/>
        </w:rPr>
      </w:pPr>
      <w:r>
        <w:rPr>
          <w:rFonts w:hint="eastAsia"/>
          <w:color w:val="auto"/>
        </w:rPr>
        <w:drawing>
          <wp:inline distT="0" distB="0" distL="0" distR="0">
            <wp:extent cx="5274310" cy="7451725"/>
            <wp:effectExtent l="0" t="0" r="2540" b="15875"/>
            <wp:docPr id="676" name="图片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图片 63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pPr>
        <w:rPr>
          <w:color w:val="auto"/>
        </w:rPr>
      </w:pPr>
    </w:p>
    <w:p>
      <w:pPr>
        <w:rPr>
          <w:color w:val="auto"/>
        </w:rPr>
      </w:pPr>
      <w:r>
        <w:rPr>
          <w:rFonts w:hint="eastAsia"/>
          <w:color w:val="auto"/>
        </w:rPr>
        <w:drawing>
          <wp:inline distT="0" distB="0" distL="0" distR="0">
            <wp:extent cx="5274310" cy="7463790"/>
            <wp:effectExtent l="0" t="0" r="2540" b="3810"/>
            <wp:docPr id="677" name="图片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图片 63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Pr>
        <w:rPr>
          <w:color w:val="auto"/>
        </w:rPr>
      </w:pPr>
    </w:p>
    <w:p>
      <w:pPr>
        <w:rPr>
          <w:color w:val="auto"/>
        </w:rPr>
      </w:pPr>
      <w:r>
        <w:rPr>
          <w:rFonts w:hint="eastAsia"/>
          <w:color w:val="auto"/>
        </w:rPr>
        <w:drawing>
          <wp:inline distT="0" distB="0" distL="0" distR="0">
            <wp:extent cx="5274310" cy="7451725"/>
            <wp:effectExtent l="0" t="0" r="2540" b="15875"/>
            <wp:docPr id="678" name="图片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图片 63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pPr>
        <w:rPr>
          <w:color w:val="auto"/>
        </w:rPr>
      </w:pPr>
    </w:p>
    <w:p>
      <w:pPr>
        <w:rPr>
          <w:color w:val="auto"/>
        </w:rPr>
      </w:pPr>
      <w:r>
        <w:rPr>
          <w:rFonts w:hint="eastAsia"/>
          <w:color w:val="auto"/>
        </w:rPr>
        <w:drawing>
          <wp:inline distT="0" distB="0" distL="0" distR="0">
            <wp:extent cx="5274310" cy="7463790"/>
            <wp:effectExtent l="0" t="0" r="2540" b="3810"/>
            <wp:docPr id="679" name="图片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图片 64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Pr>
        <w:rPr>
          <w:color w:val="auto"/>
        </w:rPr>
      </w:pPr>
    </w:p>
    <w:p>
      <w:pPr>
        <w:rPr>
          <w:color w:val="auto"/>
        </w:rPr>
      </w:pPr>
      <w:r>
        <w:rPr>
          <w:rFonts w:hint="eastAsia"/>
          <w:color w:val="auto"/>
        </w:rPr>
        <w:drawing>
          <wp:inline distT="0" distB="0" distL="0" distR="0">
            <wp:extent cx="5274310" cy="7451725"/>
            <wp:effectExtent l="0" t="0" r="2540" b="15875"/>
            <wp:docPr id="680" name="图片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图片 64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pPr>
        <w:rPr>
          <w:color w:val="auto"/>
        </w:rPr>
      </w:pPr>
    </w:p>
    <w:p>
      <w:pPr>
        <w:rPr>
          <w:color w:val="auto"/>
        </w:rPr>
      </w:pPr>
      <w:r>
        <w:rPr>
          <w:rFonts w:hint="eastAsia"/>
          <w:color w:val="auto"/>
        </w:rPr>
        <w:drawing>
          <wp:inline distT="0" distB="0" distL="0" distR="0">
            <wp:extent cx="5274310" cy="7451725"/>
            <wp:effectExtent l="0" t="0" r="2540" b="15875"/>
            <wp:docPr id="681" name="图片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 name="图片 64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pPr>
        <w:rPr>
          <w:color w:val="auto"/>
        </w:rPr>
      </w:pPr>
    </w:p>
    <w:p>
      <w:pPr>
        <w:rPr>
          <w:color w:val="auto"/>
        </w:rPr>
      </w:pPr>
      <w:r>
        <w:rPr>
          <w:rFonts w:hint="eastAsia"/>
          <w:color w:val="auto"/>
        </w:rPr>
        <w:drawing>
          <wp:inline distT="0" distB="0" distL="0" distR="0">
            <wp:extent cx="5274310" cy="7463790"/>
            <wp:effectExtent l="0" t="0" r="2540" b="3810"/>
            <wp:docPr id="696" name="图片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图片 64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Pr>
        <w:rPr>
          <w:color w:val="auto"/>
        </w:rPr>
      </w:pPr>
    </w:p>
    <w:p>
      <w:pPr>
        <w:rPr>
          <w:color w:val="auto"/>
        </w:rPr>
      </w:pPr>
      <w:r>
        <w:rPr>
          <w:rFonts w:hint="eastAsia"/>
          <w:color w:val="auto"/>
        </w:rPr>
        <w:drawing>
          <wp:inline distT="0" distB="0" distL="0" distR="0">
            <wp:extent cx="5274310" cy="7463790"/>
            <wp:effectExtent l="0" t="0" r="2540" b="3810"/>
            <wp:docPr id="697" name="图片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 name="图片 64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Pr>
        <w:rPr>
          <w:color w:val="auto"/>
        </w:rPr>
      </w:pPr>
    </w:p>
    <w:p>
      <w:pPr>
        <w:rPr>
          <w:color w:val="auto"/>
        </w:rPr>
      </w:pPr>
      <w:r>
        <w:rPr>
          <w:rFonts w:hint="eastAsia"/>
          <w:color w:val="auto"/>
        </w:rPr>
        <w:drawing>
          <wp:inline distT="0" distB="0" distL="0" distR="0">
            <wp:extent cx="5274310" cy="7463790"/>
            <wp:effectExtent l="0" t="0" r="2540" b="3810"/>
            <wp:docPr id="698" name="图片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图片 64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Pr>
        <w:rPr>
          <w:color w:val="auto"/>
        </w:rPr>
      </w:pPr>
    </w:p>
    <w:p>
      <w:pPr>
        <w:rPr>
          <w:color w:val="auto"/>
        </w:rPr>
      </w:pPr>
      <w:r>
        <w:rPr>
          <w:rFonts w:hint="eastAsia"/>
          <w:color w:val="auto"/>
        </w:rPr>
        <w:drawing>
          <wp:inline distT="0" distB="0" distL="0" distR="0">
            <wp:extent cx="5274310" cy="7451725"/>
            <wp:effectExtent l="0" t="0" r="2540" b="15875"/>
            <wp:docPr id="699" name="图片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 name="图片 64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pPr>
        <w:rPr>
          <w:color w:val="auto"/>
        </w:rPr>
      </w:pPr>
    </w:p>
    <w:p>
      <w:pPr>
        <w:rPr>
          <w:color w:val="auto"/>
        </w:rPr>
      </w:pPr>
      <w:r>
        <w:rPr>
          <w:rFonts w:hint="eastAsia"/>
          <w:color w:val="auto"/>
        </w:rPr>
        <w:drawing>
          <wp:inline distT="0" distB="0" distL="0" distR="0">
            <wp:extent cx="5274310" cy="7463790"/>
            <wp:effectExtent l="0" t="0" r="2540" b="3810"/>
            <wp:docPr id="700" name="图片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图片 648"/>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Pr>
        <w:rPr>
          <w:color w:val="auto"/>
        </w:rPr>
      </w:pPr>
    </w:p>
    <w:p>
      <w:pPr>
        <w:rPr>
          <w:color w:val="auto"/>
        </w:rPr>
      </w:pPr>
      <w:r>
        <w:rPr>
          <w:rFonts w:hint="eastAsia"/>
          <w:color w:val="auto"/>
        </w:rPr>
        <w:drawing>
          <wp:inline distT="0" distB="0" distL="0" distR="0">
            <wp:extent cx="5274310" cy="7463790"/>
            <wp:effectExtent l="0" t="0" r="2540" b="3810"/>
            <wp:docPr id="701" name="图片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图片 649"/>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Pr>
        <w:rPr>
          <w:color w:val="auto"/>
        </w:rPr>
      </w:pPr>
    </w:p>
    <w:p>
      <w:pPr>
        <w:rPr>
          <w:color w:val="auto"/>
        </w:rPr>
      </w:pPr>
    </w:p>
    <w:p>
      <w:pPr>
        <w:rPr>
          <w:color w:val="auto"/>
        </w:rPr>
      </w:pPr>
    </w:p>
    <w:p>
      <w:pPr>
        <w:rPr>
          <w:color w:val="auto"/>
        </w:rPr>
      </w:pPr>
      <w:r>
        <w:rPr>
          <w:rFonts w:hint="eastAsia"/>
          <w:color w:val="auto"/>
        </w:rPr>
        <w:drawing>
          <wp:inline distT="0" distB="0" distL="0" distR="0">
            <wp:extent cx="5274310" cy="7463790"/>
            <wp:effectExtent l="0" t="0" r="2540" b="3810"/>
            <wp:docPr id="702" name="图片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图片 65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Pr>
        <w:rPr>
          <w:color w:val="auto"/>
        </w:rPr>
      </w:pPr>
    </w:p>
    <w:p>
      <w:pPr>
        <w:rPr>
          <w:color w:val="auto"/>
        </w:rPr>
      </w:pPr>
    </w:p>
    <w:p>
      <w:pPr>
        <w:rPr>
          <w:color w:val="auto"/>
        </w:rPr>
      </w:pPr>
    </w:p>
    <w:p>
      <w:pPr>
        <w:spacing w:line="360" w:lineRule="auto"/>
        <w:ind w:firstLine="420" w:firstLineChars="200"/>
        <w:rPr>
          <w:rFonts w:ascii="宋体" w:hAnsi="宋体"/>
          <w:color w:val="auto"/>
          <w:szCs w:val="21"/>
        </w:rPr>
      </w:pPr>
    </w:p>
    <w:p>
      <w:pPr>
        <w:spacing w:line="360" w:lineRule="auto"/>
        <w:ind w:firstLine="420" w:firstLineChars="200"/>
        <w:rPr>
          <w:rFonts w:ascii="宋体" w:hAnsi="宋体"/>
          <w:color w:val="auto"/>
          <w:szCs w:val="21"/>
        </w:rPr>
      </w:pPr>
    </w:p>
    <w:p>
      <w:pPr>
        <w:spacing w:line="360" w:lineRule="auto"/>
        <w:ind w:firstLine="420" w:firstLineChars="200"/>
        <w:rPr>
          <w:rFonts w:ascii="宋体" w:hAnsi="宋体"/>
          <w:color w:val="auto"/>
          <w:szCs w:val="21"/>
        </w:rPr>
      </w:pPr>
    </w:p>
    <w:p>
      <w:pPr>
        <w:spacing w:line="360" w:lineRule="auto"/>
        <w:ind w:firstLine="420" w:firstLineChars="200"/>
        <w:rPr>
          <w:rFonts w:ascii="宋体" w:hAnsi="宋体"/>
          <w:color w:val="auto"/>
          <w:szCs w:val="21"/>
        </w:rPr>
      </w:pPr>
      <w:r>
        <w:rPr>
          <w:rFonts w:hint="eastAsia" w:ascii="宋体" w:hAnsi="宋体"/>
          <w:color w:val="auto"/>
          <w:szCs w:val="21"/>
        </w:rPr>
        <w:drawing>
          <wp:inline distT="0" distB="0" distL="0" distR="0">
            <wp:extent cx="5783580" cy="7386955"/>
            <wp:effectExtent l="0" t="0" r="7620" b="4445"/>
            <wp:docPr id="2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2"/>
                    <pic:cNvPicPr>
                      <a:picLocks noChangeAspect="1" noChangeArrowheads="1"/>
                    </pic:cNvPicPr>
                  </pic:nvPicPr>
                  <pic:blipFill>
                    <a:blip r:embed="rId21" cstate="print"/>
                    <a:stretch>
                      <a:fillRect/>
                    </a:stretch>
                  </pic:blipFill>
                  <pic:spPr>
                    <a:xfrm>
                      <a:off x="0" y="0"/>
                      <a:ext cx="5783651" cy="7387200"/>
                    </a:xfrm>
                    <a:prstGeom prst="rect">
                      <a:avLst/>
                    </a:prstGeom>
                    <a:noFill/>
                    <a:ln w="9525">
                      <a:noFill/>
                      <a:miter lim="800000"/>
                      <a:headEnd/>
                      <a:tailEnd/>
                    </a:ln>
                  </pic:spPr>
                </pic:pic>
              </a:graphicData>
            </a:graphic>
          </wp:inline>
        </w:drawing>
      </w:r>
    </w:p>
    <w:p>
      <w:pPr>
        <w:spacing w:line="360" w:lineRule="auto"/>
        <w:ind w:firstLine="420" w:firstLineChars="200"/>
        <w:rPr>
          <w:rFonts w:ascii="宋体" w:hAnsi="宋体"/>
          <w:color w:val="auto"/>
          <w:szCs w:val="21"/>
        </w:rPr>
      </w:pPr>
    </w:p>
    <w:p>
      <w:pPr>
        <w:spacing w:line="360" w:lineRule="auto"/>
        <w:ind w:firstLine="420" w:firstLineChars="200"/>
        <w:rPr>
          <w:rFonts w:ascii="宋体" w:hAnsi="宋体"/>
          <w:color w:val="auto"/>
          <w:szCs w:val="21"/>
        </w:rPr>
      </w:pPr>
    </w:p>
    <w:p>
      <w:pPr>
        <w:spacing w:line="360" w:lineRule="auto"/>
        <w:ind w:firstLine="420" w:firstLineChars="200"/>
        <w:rPr>
          <w:rFonts w:ascii="宋体" w:hAnsi="宋体"/>
          <w:color w:val="auto"/>
          <w:szCs w:val="21"/>
        </w:rPr>
      </w:pPr>
    </w:p>
    <w:p>
      <w:pPr>
        <w:spacing w:line="360" w:lineRule="auto"/>
        <w:ind w:firstLine="420" w:firstLineChars="200"/>
        <w:rPr>
          <w:rFonts w:ascii="宋体" w:hAnsi="宋体"/>
          <w:color w:val="auto"/>
          <w:szCs w:val="21"/>
        </w:rPr>
      </w:pPr>
      <w:r>
        <w:rPr>
          <w:rFonts w:hint="eastAsia" w:ascii="宋体" w:hAnsi="宋体"/>
          <w:color w:val="auto"/>
          <w:szCs w:val="21"/>
        </w:rPr>
        <w:drawing>
          <wp:inline distT="0" distB="0" distL="0" distR="0">
            <wp:extent cx="5487035" cy="7415530"/>
            <wp:effectExtent l="0" t="0" r="18415" b="1397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22" cstate="print"/>
                    <a:stretch>
                      <a:fillRect/>
                    </a:stretch>
                  </pic:blipFill>
                  <pic:spPr>
                    <a:xfrm>
                      <a:off x="0" y="0"/>
                      <a:ext cx="5487291" cy="7416000"/>
                    </a:xfrm>
                    <a:prstGeom prst="rect">
                      <a:avLst/>
                    </a:prstGeom>
                    <a:noFill/>
                    <a:ln w="9525">
                      <a:noFill/>
                      <a:miter lim="800000"/>
                      <a:headEnd/>
                      <a:tailEnd/>
                    </a:ln>
                  </pic:spPr>
                </pic:pic>
              </a:graphicData>
            </a:graphic>
          </wp:inline>
        </w:drawing>
      </w:r>
    </w:p>
    <w:p>
      <w:pPr>
        <w:spacing w:line="360" w:lineRule="auto"/>
        <w:ind w:firstLine="420" w:firstLineChars="200"/>
        <w:rPr>
          <w:rFonts w:ascii="宋体" w:hAnsi="宋体"/>
          <w:color w:val="auto"/>
          <w:szCs w:val="21"/>
        </w:rPr>
      </w:pPr>
    </w:p>
    <w:p>
      <w:pPr>
        <w:spacing w:line="360" w:lineRule="auto"/>
        <w:ind w:firstLine="420" w:firstLineChars="200"/>
        <w:rPr>
          <w:rFonts w:ascii="宋体" w:hAnsi="宋体"/>
          <w:color w:val="auto"/>
          <w:szCs w:val="21"/>
        </w:rPr>
      </w:pPr>
      <w:r>
        <w:rPr>
          <w:rFonts w:ascii="宋体" w:hAnsi="宋体"/>
          <w:color w:val="auto"/>
          <w:szCs w:val="21"/>
        </w:rPr>
        <w:drawing>
          <wp:inline distT="0" distB="0" distL="0" distR="0">
            <wp:extent cx="5033010" cy="7296785"/>
            <wp:effectExtent l="0" t="0" r="15240" b="18415"/>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noChangeArrowheads="1"/>
                    </pic:cNvPicPr>
                  </pic:nvPicPr>
                  <pic:blipFill>
                    <a:blip r:embed="rId23" cstate="print"/>
                    <a:stretch>
                      <a:fillRect/>
                    </a:stretch>
                  </pic:blipFill>
                  <pic:spPr>
                    <a:xfrm>
                      <a:off x="0" y="0"/>
                      <a:ext cx="5033260" cy="7297200"/>
                    </a:xfrm>
                    <a:prstGeom prst="rect">
                      <a:avLst/>
                    </a:prstGeom>
                    <a:noFill/>
                    <a:ln w="9525">
                      <a:noFill/>
                      <a:miter lim="800000"/>
                      <a:headEnd/>
                      <a:tailEnd/>
                    </a:ln>
                  </pic:spPr>
                </pic:pic>
              </a:graphicData>
            </a:graphic>
          </wp:inline>
        </w:drawing>
      </w:r>
    </w:p>
    <w:p>
      <w:pPr>
        <w:spacing w:line="360" w:lineRule="auto"/>
        <w:ind w:firstLine="420" w:firstLineChars="200"/>
        <w:rPr>
          <w:rFonts w:ascii="宋体" w:hAnsi="宋体"/>
          <w:color w:val="auto"/>
          <w:szCs w:val="21"/>
        </w:rPr>
      </w:pPr>
    </w:p>
    <w:p>
      <w:pPr>
        <w:spacing w:line="360" w:lineRule="auto"/>
        <w:ind w:firstLine="420" w:firstLineChars="200"/>
        <w:rPr>
          <w:rFonts w:ascii="宋体" w:hAnsi="宋体"/>
          <w:color w:val="auto"/>
          <w:szCs w:val="21"/>
        </w:rPr>
      </w:pPr>
      <w:r>
        <w:rPr>
          <w:rFonts w:ascii="宋体" w:hAnsi="宋体"/>
          <w:color w:val="auto"/>
          <w:szCs w:val="21"/>
        </w:rPr>
        <w:drawing>
          <wp:inline distT="0" distB="0" distL="0" distR="0">
            <wp:extent cx="5226685" cy="7203440"/>
            <wp:effectExtent l="0" t="0" r="12065" b="16510"/>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pic:cNvPicPr>
                      <a:picLocks noChangeAspect="1" noChangeArrowheads="1"/>
                    </pic:cNvPicPr>
                  </pic:nvPicPr>
                  <pic:blipFill>
                    <a:blip r:embed="rId24" cstate="print"/>
                    <a:stretch>
                      <a:fillRect/>
                    </a:stretch>
                  </pic:blipFill>
                  <pic:spPr>
                    <a:xfrm>
                      <a:off x="0" y="0"/>
                      <a:ext cx="5227193" cy="7203600"/>
                    </a:xfrm>
                    <a:prstGeom prst="rect">
                      <a:avLst/>
                    </a:prstGeom>
                    <a:noFill/>
                    <a:ln w="9525">
                      <a:noFill/>
                      <a:miter lim="800000"/>
                      <a:headEnd/>
                      <a:tailEnd/>
                    </a:ln>
                  </pic:spPr>
                </pic:pic>
              </a:graphicData>
            </a:graphic>
          </wp:inline>
        </w:drawing>
      </w:r>
    </w:p>
    <w:p>
      <w:pPr>
        <w:spacing w:line="360" w:lineRule="auto"/>
        <w:ind w:firstLine="420" w:firstLineChars="200"/>
        <w:rPr>
          <w:rFonts w:ascii="宋体" w:hAnsi="宋体"/>
          <w:color w:val="auto"/>
          <w:szCs w:val="21"/>
        </w:rPr>
      </w:pPr>
    </w:p>
    <w:p>
      <w:pPr>
        <w:spacing w:line="360" w:lineRule="auto"/>
        <w:ind w:firstLine="420" w:firstLineChars="200"/>
        <w:rPr>
          <w:rFonts w:ascii="宋体" w:hAnsi="宋体"/>
          <w:color w:val="auto"/>
          <w:szCs w:val="21"/>
        </w:rPr>
      </w:pPr>
    </w:p>
    <w:p>
      <w:pPr>
        <w:spacing w:line="360" w:lineRule="auto"/>
        <w:ind w:firstLine="420" w:firstLineChars="200"/>
        <w:rPr>
          <w:rFonts w:ascii="宋体" w:hAnsi="宋体"/>
          <w:color w:val="auto"/>
          <w:szCs w:val="21"/>
        </w:rPr>
      </w:pPr>
      <w:r>
        <w:rPr>
          <w:rFonts w:ascii="宋体" w:hAnsi="宋体"/>
          <w:color w:val="auto"/>
          <w:szCs w:val="21"/>
        </w:rPr>
        <w:drawing>
          <wp:inline distT="0" distB="0" distL="0" distR="0">
            <wp:extent cx="5353050" cy="7541895"/>
            <wp:effectExtent l="0" t="0" r="0" b="1905"/>
            <wp:docPr id="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0"/>
                    <pic:cNvPicPr>
                      <a:picLocks noChangeAspect="1" noChangeArrowheads="1"/>
                    </pic:cNvPicPr>
                  </pic:nvPicPr>
                  <pic:blipFill>
                    <a:blip r:embed="rId25" cstate="print"/>
                    <a:stretch>
                      <a:fillRect/>
                    </a:stretch>
                  </pic:blipFill>
                  <pic:spPr>
                    <a:xfrm>
                      <a:off x="0" y="0"/>
                      <a:ext cx="5353050" cy="7541895"/>
                    </a:xfrm>
                    <a:prstGeom prst="rect">
                      <a:avLst/>
                    </a:prstGeom>
                    <a:noFill/>
                    <a:ln w="9525">
                      <a:noFill/>
                      <a:miter lim="800000"/>
                      <a:headEnd/>
                      <a:tailEnd/>
                    </a:ln>
                  </pic:spPr>
                </pic:pic>
              </a:graphicData>
            </a:graphic>
          </wp:inline>
        </w:drawing>
      </w:r>
    </w:p>
    <w:p>
      <w:pPr>
        <w:spacing w:line="360" w:lineRule="auto"/>
        <w:ind w:firstLine="420" w:firstLineChars="200"/>
        <w:rPr>
          <w:rFonts w:ascii="宋体" w:hAnsi="宋体"/>
          <w:color w:val="auto"/>
          <w:szCs w:val="21"/>
        </w:rPr>
      </w:pPr>
    </w:p>
    <w:p>
      <w:pPr>
        <w:spacing w:line="360" w:lineRule="auto"/>
        <w:ind w:firstLine="420" w:firstLineChars="200"/>
        <w:rPr>
          <w:rFonts w:ascii="宋体" w:hAnsi="宋体"/>
          <w:color w:val="auto"/>
          <w:szCs w:val="21"/>
        </w:rPr>
      </w:pPr>
      <w:r>
        <w:rPr>
          <w:rFonts w:ascii="宋体" w:hAnsi="宋体"/>
          <w:color w:val="auto"/>
          <w:szCs w:val="21"/>
        </w:rPr>
        <w:drawing>
          <wp:inline distT="0" distB="0" distL="0" distR="0">
            <wp:extent cx="5466080" cy="7868920"/>
            <wp:effectExtent l="0" t="0" r="1270" b="17780"/>
            <wp:docPr id="2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3"/>
                    <pic:cNvPicPr>
                      <a:picLocks noChangeAspect="1" noChangeArrowheads="1"/>
                    </pic:cNvPicPr>
                  </pic:nvPicPr>
                  <pic:blipFill>
                    <a:blip r:embed="rId26" cstate="print"/>
                    <a:stretch>
                      <a:fillRect/>
                    </a:stretch>
                  </pic:blipFill>
                  <pic:spPr>
                    <a:xfrm>
                      <a:off x="0" y="0"/>
                      <a:ext cx="5466080" cy="7868920"/>
                    </a:xfrm>
                    <a:prstGeom prst="rect">
                      <a:avLst/>
                    </a:prstGeom>
                    <a:noFill/>
                    <a:ln w="9525">
                      <a:noFill/>
                      <a:miter lim="800000"/>
                      <a:headEnd/>
                      <a:tailEnd/>
                    </a:ln>
                  </pic:spPr>
                </pic:pic>
              </a:graphicData>
            </a:graphic>
          </wp:inline>
        </w:drawing>
      </w:r>
      <w:r>
        <w:rPr>
          <w:rFonts w:ascii="宋体" w:hAnsi="宋体"/>
          <w:color w:val="auto"/>
          <w:szCs w:val="21"/>
        </w:rPr>
        <w:drawing>
          <wp:inline distT="0" distB="0" distL="0" distR="0">
            <wp:extent cx="4883785" cy="7260590"/>
            <wp:effectExtent l="0" t="0" r="12065" b="16510"/>
            <wp:docPr id="3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6"/>
                    <pic:cNvPicPr>
                      <a:picLocks noChangeAspect="1" noChangeArrowheads="1"/>
                    </pic:cNvPicPr>
                  </pic:nvPicPr>
                  <pic:blipFill>
                    <a:blip r:embed="rId27" cstate="print"/>
                    <a:stretch>
                      <a:fillRect/>
                    </a:stretch>
                  </pic:blipFill>
                  <pic:spPr>
                    <a:xfrm>
                      <a:off x="0" y="0"/>
                      <a:ext cx="4884117" cy="7261200"/>
                    </a:xfrm>
                    <a:prstGeom prst="rect">
                      <a:avLst/>
                    </a:prstGeom>
                    <a:noFill/>
                    <a:ln w="9525">
                      <a:noFill/>
                      <a:miter lim="800000"/>
                      <a:headEnd/>
                      <a:tailEnd/>
                    </a:ln>
                  </pic:spPr>
                </pic:pic>
              </a:graphicData>
            </a:graphic>
          </wp:inline>
        </w:drawing>
      </w:r>
    </w:p>
    <w:p>
      <w:pPr>
        <w:spacing w:line="360" w:lineRule="auto"/>
        <w:ind w:firstLine="420" w:firstLineChars="200"/>
        <w:rPr>
          <w:rFonts w:ascii="宋体" w:hAnsi="宋体"/>
          <w:color w:val="auto"/>
          <w:szCs w:val="21"/>
        </w:rPr>
      </w:pPr>
    </w:p>
    <w:p>
      <w:pPr>
        <w:spacing w:line="360" w:lineRule="auto"/>
        <w:ind w:firstLine="420" w:firstLineChars="200"/>
        <w:rPr>
          <w:rFonts w:ascii="宋体" w:hAnsi="宋体"/>
          <w:color w:val="auto"/>
          <w:szCs w:val="21"/>
        </w:rPr>
      </w:pPr>
      <w:r>
        <w:rPr>
          <w:rFonts w:ascii="宋体" w:hAnsi="宋体"/>
          <w:color w:val="auto"/>
          <w:szCs w:val="21"/>
        </w:rPr>
        <w:drawing>
          <wp:inline distT="0" distB="0" distL="0" distR="0">
            <wp:extent cx="5086985" cy="7430135"/>
            <wp:effectExtent l="0" t="0" r="18415" b="18415"/>
            <wp:docPr id="3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9"/>
                    <pic:cNvPicPr>
                      <a:picLocks noChangeAspect="1" noChangeArrowheads="1"/>
                    </pic:cNvPicPr>
                  </pic:nvPicPr>
                  <pic:blipFill>
                    <a:blip r:embed="rId28" cstate="print"/>
                    <a:stretch>
                      <a:fillRect/>
                    </a:stretch>
                  </pic:blipFill>
                  <pic:spPr>
                    <a:xfrm>
                      <a:off x="0" y="0"/>
                      <a:ext cx="5087026" cy="7430400"/>
                    </a:xfrm>
                    <a:prstGeom prst="rect">
                      <a:avLst/>
                    </a:prstGeom>
                    <a:noFill/>
                    <a:ln w="9525">
                      <a:noFill/>
                      <a:miter lim="800000"/>
                      <a:headEnd/>
                      <a:tailEnd/>
                    </a:ln>
                  </pic:spPr>
                </pic:pic>
              </a:graphicData>
            </a:graphic>
          </wp:inline>
        </w:drawing>
      </w:r>
    </w:p>
    <w:p>
      <w:pPr>
        <w:spacing w:line="360" w:lineRule="auto"/>
        <w:ind w:firstLine="420" w:firstLineChars="200"/>
        <w:rPr>
          <w:rFonts w:ascii="宋体" w:hAnsi="宋体"/>
          <w:color w:val="auto"/>
          <w:szCs w:val="21"/>
        </w:rPr>
      </w:pPr>
    </w:p>
    <w:p>
      <w:pPr>
        <w:spacing w:line="360" w:lineRule="auto"/>
        <w:ind w:firstLine="420" w:firstLineChars="200"/>
        <w:rPr>
          <w:rFonts w:ascii="宋体" w:hAnsi="宋体"/>
          <w:color w:val="auto"/>
          <w:szCs w:val="21"/>
        </w:rPr>
      </w:pPr>
    </w:p>
    <w:p>
      <w:pPr>
        <w:pStyle w:val="2"/>
        <w:kinsoku w:val="0"/>
        <w:overflowPunct w:val="0"/>
        <w:rPr>
          <w:rFonts w:ascii="方正小标宋_GBK" w:hAnsi="方正小标宋_GBK" w:eastAsia="方正小标宋_GBK" w:cs="方正小标宋_GBK"/>
          <w:color w:val="auto"/>
          <w:sz w:val="30"/>
          <w:szCs w:val="30"/>
        </w:rPr>
      </w:pPr>
    </w:p>
    <w:p>
      <w:pPr>
        <w:pStyle w:val="2"/>
        <w:kinsoku w:val="0"/>
        <w:overflowPunct w:val="0"/>
        <w:rPr>
          <w:rFonts w:ascii="方正小标宋_GBK" w:hAnsi="方正小标宋_GBK" w:eastAsia="方正小标宋_GBK" w:cs="方正小标宋_GBK"/>
          <w:color w:val="auto"/>
          <w:sz w:val="30"/>
          <w:szCs w:val="30"/>
        </w:rPr>
      </w:pPr>
    </w:p>
    <w:p>
      <w:pPr>
        <w:pStyle w:val="2"/>
        <w:kinsoku w:val="0"/>
        <w:overflowPunct w:val="0"/>
        <w:jc w:val="center"/>
        <w:rPr>
          <w:rFonts w:ascii="宋体" w:hAnsi="宋体"/>
          <w:b/>
          <w:color w:val="auto"/>
          <w:sz w:val="44"/>
          <w:szCs w:val="44"/>
        </w:rPr>
      </w:pPr>
      <w:r>
        <w:rPr>
          <w:rFonts w:hint="eastAsia" w:ascii="宋体" w:hAnsi="宋体"/>
          <w:b/>
          <w:color w:val="auto"/>
          <w:sz w:val="44"/>
          <w:szCs w:val="44"/>
        </w:rPr>
        <w:t>锦江区政府采购信用融资机构名单</w:t>
      </w:r>
    </w:p>
    <w:tbl>
      <w:tblPr>
        <w:tblStyle w:val="47"/>
        <w:tblW w:w="9962" w:type="dxa"/>
        <w:tblInd w:w="0" w:type="dxa"/>
        <w:tblLayout w:type="fixed"/>
        <w:tblCellMar>
          <w:top w:w="0" w:type="dxa"/>
          <w:left w:w="108" w:type="dxa"/>
          <w:bottom w:w="0" w:type="dxa"/>
          <w:right w:w="108" w:type="dxa"/>
        </w:tblCellMar>
      </w:tblPr>
      <w:tblGrid>
        <w:gridCol w:w="821"/>
        <w:gridCol w:w="2602"/>
        <w:gridCol w:w="2993"/>
        <w:gridCol w:w="3546"/>
      </w:tblGrid>
      <w:tr>
        <w:tblPrEx>
          <w:tblLayout w:type="fixed"/>
          <w:tblCellMar>
            <w:top w:w="0" w:type="dxa"/>
            <w:left w:w="108" w:type="dxa"/>
            <w:bottom w:w="0" w:type="dxa"/>
            <w:right w:w="108" w:type="dxa"/>
          </w:tblCellMar>
        </w:tblPrEx>
        <w:trPr>
          <w:trHeight w:val="196" w:hRule="atLeast"/>
        </w:trPr>
        <w:tc>
          <w:tcPr>
            <w:tcW w:w="821" w:type="dxa"/>
            <w:tcBorders>
              <w:top w:val="single" w:color="000000" w:sz="4" w:space="0"/>
              <w:left w:val="single" w:color="000000" w:sz="4" w:space="0"/>
              <w:bottom w:val="single" w:color="000000" w:sz="4" w:space="0"/>
              <w:right w:val="single" w:color="000000" w:sz="4" w:space="0"/>
              <w:tl2br w:val="nil"/>
              <w:tr2bl w:val="nil"/>
            </w:tcBorders>
          </w:tcPr>
          <w:p>
            <w:pPr>
              <w:pStyle w:val="223"/>
              <w:kinsoku w:val="0"/>
              <w:overflowPunct w:val="0"/>
              <w:rPr>
                <w:rFonts w:ascii="黑体" w:hAnsi="黑体" w:eastAsia="黑体"/>
                <w:color w:val="auto"/>
              </w:rPr>
            </w:pPr>
            <w:r>
              <w:rPr>
                <w:rFonts w:hint="eastAsia" w:ascii="黑体" w:hAnsi="黑体" w:eastAsia="黑体"/>
                <w:color w:val="auto"/>
              </w:rPr>
              <w:t>序号</w:t>
            </w:r>
          </w:p>
        </w:tc>
        <w:tc>
          <w:tcPr>
            <w:tcW w:w="2602" w:type="dxa"/>
            <w:tcBorders>
              <w:top w:val="single" w:color="000000" w:sz="4" w:space="0"/>
              <w:left w:val="single" w:color="000000" w:sz="4" w:space="0"/>
              <w:bottom w:val="single" w:color="000000" w:sz="4" w:space="0"/>
              <w:right w:val="single" w:color="000000" w:sz="4" w:space="0"/>
              <w:tl2br w:val="nil"/>
              <w:tr2bl w:val="nil"/>
            </w:tcBorders>
          </w:tcPr>
          <w:p>
            <w:pPr>
              <w:pStyle w:val="223"/>
              <w:kinsoku w:val="0"/>
              <w:overflowPunct w:val="0"/>
              <w:jc w:val="center"/>
              <w:rPr>
                <w:rFonts w:ascii="黑体" w:hAnsi="黑体" w:eastAsia="黑体"/>
                <w:color w:val="auto"/>
              </w:rPr>
            </w:pPr>
            <w:r>
              <w:rPr>
                <w:rFonts w:hint="eastAsia" w:ascii="黑体" w:hAnsi="黑体" w:eastAsia="黑体"/>
                <w:color w:val="auto"/>
              </w:rPr>
              <w:t>银行名称</w:t>
            </w:r>
          </w:p>
        </w:tc>
        <w:tc>
          <w:tcPr>
            <w:tcW w:w="2993" w:type="dxa"/>
            <w:tcBorders>
              <w:top w:val="single" w:color="000000" w:sz="4" w:space="0"/>
              <w:left w:val="single" w:color="000000" w:sz="4" w:space="0"/>
              <w:bottom w:val="single" w:color="000000" w:sz="4" w:space="0"/>
              <w:right w:val="single" w:color="000000" w:sz="4" w:space="0"/>
              <w:tl2br w:val="nil"/>
              <w:tr2bl w:val="nil"/>
            </w:tcBorders>
          </w:tcPr>
          <w:p>
            <w:pPr>
              <w:pStyle w:val="223"/>
              <w:kinsoku w:val="0"/>
              <w:overflowPunct w:val="0"/>
              <w:jc w:val="center"/>
              <w:rPr>
                <w:rFonts w:ascii="黑体" w:hAnsi="黑体" w:eastAsia="黑体"/>
                <w:color w:val="auto"/>
              </w:rPr>
            </w:pPr>
            <w:r>
              <w:rPr>
                <w:rFonts w:hint="eastAsia" w:ascii="黑体" w:hAnsi="黑体" w:eastAsia="黑体"/>
                <w:color w:val="auto"/>
              </w:rPr>
              <w:t>银行地址</w:t>
            </w:r>
          </w:p>
        </w:tc>
        <w:tc>
          <w:tcPr>
            <w:tcW w:w="3546" w:type="dxa"/>
            <w:tcBorders>
              <w:top w:val="single" w:color="000000" w:sz="4" w:space="0"/>
              <w:left w:val="single" w:color="000000" w:sz="4" w:space="0"/>
              <w:bottom w:val="single" w:color="000000" w:sz="4" w:space="0"/>
              <w:right w:val="single" w:color="000000" w:sz="4" w:space="0"/>
              <w:tl2br w:val="nil"/>
              <w:tr2bl w:val="nil"/>
            </w:tcBorders>
          </w:tcPr>
          <w:p>
            <w:pPr>
              <w:pStyle w:val="223"/>
              <w:kinsoku w:val="0"/>
              <w:overflowPunct w:val="0"/>
              <w:rPr>
                <w:rFonts w:ascii="黑体" w:hAnsi="黑体" w:eastAsia="黑体"/>
                <w:color w:val="auto"/>
              </w:rPr>
            </w:pPr>
            <w:r>
              <w:rPr>
                <w:rFonts w:hint="eastAsia" w:ascii="黑体" w:hAnsi="黑体" w:eastAsia="黑体"/>
                <w:color w:val="auto"/>
              </w:rPr>
              <w:t>联系人及联系电话</w:t>
            </w:r>
          </w:p>
        </w:tc>
      </w:tr>
      <w:tr>
        <w:tblPrEx>
          <w:tblLayout w:type="fixed"/>
          <w:tblCellMar>
            <w:top w:w="0" w:type="dxa"/>
            <w:left w:w="108" w:type="dxa"/>
            <w:bottom w:w="0" w:type="dxa"/>
            <w:right w:w="108" w:type="dxa"/>
          </w:tblCellMar>
        </w:tblPrEx>
        <w:trPr>
          <w:trHeight w:val="616" w:hRule="atLeast"/>
        </w:trPr>
        <w:tc>
          <w:tcPr>
            <w:tcW w:w="821" w:type="dxa"/>
            <w:tcBorders>
              <w:top w:val="single" w:color="000000" w:sz="4" w:space="0"/>
              <w:left w:val="single" w:color="000000" w:sz="4" w:space="0"/>
              <w:bottom w:val="single" w:color="000000" w:sz="4" w:space="0"/>
              <w:right w:val="single" w:color="000000" w:sz="4" w:space="0"/>
              <w:tl2br w:val="nil"/>
              <w:tr2bl w:val="nil"/>
            </w:tcBorders>
          </w:tcPr>
          <w:p>
            <w:pPr>
              <w:pStyle w:val="223"/>
              <w:kinsoku w:val="0"/>
              <w:overflowPunct w:val="0"/>
              <w:jc w:val="center"/>
              <w:rPr>
                <w:rFonts w:eastAsiaTheme="minorEastAsia"/>
                <w:color w:val="auto"/>
              </w:rPr>
            </w:pPr>
          </w:p>
          <w:p>
            <w:pPr>
              <w:pStyle w:val="223"/>
              <w:kinsoku w:val="0"/>
              <w:overflowPunct w:val="0"/>
              <w:ind w:firstLine="210" w:firstLineChars="100"/>
              <w:rPr>
                <w:rFonts w:eastAsiaTheme="minorEastAsia"/>
                <w:color w:val="auto"/>
              </w:rPr>
            </w:pPr>
            <w:r>
              <w:rPr>
                <w:rFonts w:hint="eastAsia" w:eastAsiaTheme="minorEastAsia"/>
                <w:color w:val="auto"/>
              </w:rPr>
              <w:t>1</w:t>
            </w:r>
          </w:p>
        </w:tc>
        <w:tc>
          <w:tcPr>
            <w:tcW w:w="2602" w:type="dxa"/>
            <w:tcBorders>
              <w:top w:val="single" w:color="000000" w:sz="4" w:space="0"/>
              <w:left w:val="single" w:color="000000" w:sz="4" w:space="0"/>
              <w:bottom w:val="single" w:color="000000" w:sz="4" w:space="0"/>
              <w:right w:val="single" w:color="000000" w:sz="4" w:space="0"/>
              <w:tl2br w:val="nil"/>
              <w:tr2bl w:val="nil"/>
            </w:tcBorders>
          </w:tcPr>
          <w:p>
            <w:pPr>
              <w:pStyle w:val="223"/>
              <w:kinsoku w:val="0"/>
              <w:overflowPunct w:val="0"/>
              <w:jc w:val="left"/>
              <w:rPr>
                <w:rFonts w:ascii="宋体" w:hAnsi="宋体" w:eastAsia="宋体"/>
                <w:color w:val="auto"/>
              </w:rPr>
            </w:pPr>
            <w:r>
              <w:rPr>
                <w:rFonts w:hint="eastAsia" w:ascii="宋体" w:hAnsi="宋体" w:eastAsia="宋体"/>
                <w:color w:val="auto"/>
              </w:rPr>
              <w:t>中国工商银行成都芷泉支行</w:t>
            </w:r>
          </w:p>
        </w:tc>
        <w:tc>
          <w:tcPr>
            <w:tcW w:w="2993" w:type="dxa"/>
            <w:tcBorders>
              <w:top w:val="single" w:color="000000" w:sz="4" w:space="0"/>
              <w:left w:val="single" w:color="000000" w:sz="4" w:space="0"/>
              <w:bottom w:val="single" w:color="000000" w:sz="4" w:space="0"/>
              <w:right w:val="single" w:color="000000" w:sz="4" w:space="0"/>
              <w:tl2br w:val="nil"/>
              <w:tr2bl w:val="nil"/>
            </w:tcBorders>
          </w:tcPr>
          <w:p>
            <w:pPr>
              <w:pStyle w:val="223"/>
              <w:kinsoku w:val="0"/>
              <w:overflowPunct w:val="0"/>
              <w:jc w:val="left"/>
              <w:rPr>
                <w:rFonts w:ascii="宋体" w:hAnsi="宋体" w:eastAsia="宋体"/>
                <w:color w:val="auto"/>
              </w:rPr>
            </w:pPr>
            <w:r>
              <w:rPr>
                <w:rFonts w:hint="eastAsia" w:ascii="宋体" w:hAnsi="宋体" w:eastAsia="宋体"/>
                <w:color w:val="auto"/>
              </w:rPr>
              <w:t>成都市锦江区一环路东五段</w:t>
            </w:r>
            <w:r>
              <w:rPr>
                <w:color w:val="auto"/>
              </w:rPr>
              <w:t xml:space="preserve">103 </w:t>
            </w:r>
            <w:r>
              <w:rPr>
                <w:rFonts w:hint="eastAsia" w:ascii="宋体" w:hAnsi="宋体" w:eastAsia="宋体"/>
                <w:color w:val="auto"/>
              </w:rPr>
              <w:t>号</w:t>
            </w:r>
          </w:p>
        </w:tc>
        <w:tc>
          <w:tcPr>
            <w:tcW w:w="3546" w:type="dxa"/>
            <w:tcBorders>
              <w:top w:val="single" w:color="000000" w:sz="4" w:space="0"/>
              <w:left w:val="single" w:color="000000" w:sz="4" w:space="0"/>
              <w:bottom w:val="single" w:color="000000" w:sz="4" w:space="0"/>
              <w:right w:val="single" w:color="000000" w:sz="4" w:space="0"/>
              <w:tl2br w:val="nil"/>
              <w:tr2bl w:val="nil"/>
            </w:tcBorders>
          </w:tcPr>
          <w:p>
            <w:pPr>
              <w:pStyle w:val="223"/>
              <w:kinsoku w:val="0"/>
              <w:overflowPunct w:val="0"/>
              <w:spacing w:after="0"/>
              <w:jc w:val="left"/>
              <w:rPr>
                <w:color w:val="auto"/>
              </w:rPr>
            </w:pPr>
            <w:r>
              <w:rPr>
                <w:rFonts w:hint="eastAsia" w:ascii="宋体" w:hAnsi="宋体" w:eastAsia="宋体"/>
                <w:color w:val="auto"/>
              </w:rPr>
              <w:t xml:space="preserve">杨可 </w:t>
            </w:r>
            <w:r>
              <w:rPr>
                <w:color w:val="auto"/>
              </w:rPr>
              <w:t>18583269666</w:t>
            </w:r>
          </w:p>
          <w:p>
            <w:pPr>
              <w:pStyle w:val="223"/>
              <w:kinsoku w:val="0"/>
              <w:overflowPunct w:val="0"/>
              <w:spacing w:after="0" w:line="291" w:lineRule="exact"/>
              <w:jc w:val="left"/>
              <w:rPr>
                <w:color w:val="auto"/>
              </w:rPr>
            </w:pPr>
            <w:r>
              <w:rPr>
                <w:rFonts w:hint="eastAsia" w:ascii="宋体" w:hAnsi="宋体" w:eastAsia="宋体"/>
                <w:color w:val="auto"/>
              </w:rPr>
              <w:t xml:space="preserve">何小亮 </w:t>
            </w:r>
            <w:r>
              <w:rPr>
                <w:color w:val="auto"/>
              </w:rPr>
              <w:t>13880995541</w:t>
            </w:r>
          </w:p>
        </w:tc>
      </w:tr>
      <w:tr>
        <w:tblPrEx>
          <w:tblLayout w:type="fixed"/>
          <w:tblCellMar>
            <w:top w:w="0" w:type="dxa"/>
            <w:left w:w="108" w:type="dxa"/>
            <w:bottom w:w="0" w:type="dxa"/>
            <w:right w:w="108" w:type="dxa"/>
          </w:tblCellMar>
        </w:tblPrEx>
        <w:trPr>
          <w:trHeight w:val="984" w:hRule="atLeast"/>
        </w:trPr>
        <w:tc>
          <w:tcPr>
            <w:tcW w:w="821" w:type="dxa"/>
            <w:tcBorders>
              <w:top w:val="single" w:color="000000" w:sz="4" w:space="0"/>
              <w:left w:val="single" w:color="000000" w:sz="4" w:space="0"/>
              <w:bottom w:val="single" w:color="000000" w:sz="4" w:space="0"/>
              <w:right w:val="single" w:color="000000" w:sz="4" w:space="0"/>
              <w:tl2br w:val="nil"/>
              <w:tr2bl w:val="nil"/>
            </w:tcBorders>
          </w:tcPr>
          <w:p>
            <w:pPr>
              <w:pStyle w:val="223"/>
              <w:kinsoku w:val="0"/>
              <w:overflowPunct w:val="0"/>
              <w:rPr>
                <w:rFonts w:ascii="方正小标宋简体" w:hAnsi="方正小标宋简体" w:eastAsia="方正小标宋简体"/>
                <w:color w:val="auto"/>
                <w:sz w:val="13"/>
              </w:rPr>
            </w:pPr>
          </w:p>
          <w:p>
            <w:pPr>
              <w:pStyle w:val="223"/>
              <w:kinsoku w:val="0"/>
              <w:overflowPunct w:val="0"/>
              <w:jc w:val="center"/>
              <w:rPr>
                <w:color w:val="auto"/>
              </w:rPr>
            </w:pPr>
            <w:r>
              <w:rPr>
                <w:color w:val="auto"/>
              </w:rPr>
              <w:t>2</w:t>
            </w:r>
          </w:p>
        </w:tc>
        <w:tc>
          <w:tcPr>
            <w:tcW w:w="2602" w:type="dxa"/>
            <w:tcBorders>
              <w:top w:val="single" w:color="000000" w:sz="4" w:space="0"/>
              <w:left w:val="single" w:color="000000" w:sz="4" w:space="0"/>
              <w:bottom w:val="single" w:color="000000" w:sz="4" w:space="0"/>
              <w:right w:val="single" w:color="000000" w:sz="4" w:space="0"/>
              <w:tl2br w:val="nil"/>
              <w:tr2bl w:val="nil"/>
            </w:tcBorders>
          </w:tcPr>
          <w:p>
            <w:pPr>
              <w:pStyle w:val="223"/>
              <w:kinsoku w:val="0"/>
              <w:overflowPunct w:val="0"/>
              <w:jc w:val="left"/>
              <w:rPr>
                <w:rFonts w:ascii="宋体" w:hAnsi="宋体" w:eastAsia="宋体"/>
                <w:color w:val="auto"/>
              </w:rPr>
            </w:pPr>
            <w:r>
              <w:rPr>
                <w:rFonts w:hint="eastAsia" w:ascii="宋体" w:hAnsi="宋体" w:eastAsia="宋体"/>
                <w:color w:val="auto"/>
              </w:rPr>
              <w:t>成都农村商业银行锦江支行</w:t>
            </w:r>
          </w:p>
        </w:tc>
        <w:tc>
          <w:tcPr>
            <w:tcW w:w="2993" w:type="dxa"/>
            <w:tcBorders>
              <w:top w:val="single" w:color="000000" w:sz="4" w:space="0"/>
              <w:left w:val="single" w:color="000000" w:sz="4" w:space="0"/>
              <w:bottom w:val="single" w:color="000000" w:sz="4" w:space="0"/>
              <w:right w:val="single" w:color="000000" w:sz="4" w:space="0"/>
              <w:tl2br w:val="nil"/>
              <w:tr2bl w:val="nil"/>
            </w:tcBorders>
          </w:tcPr>
          <w:p>
            <w:pPr>
              <w:pStyle w:val="223"/>
              <w:kinsoku w:val="0"/>
              <w:overflowPunct w:val="0"/>
              <w:jc w:val="left"/>
              <w:rPr>
                <w:rFonts w:ascii="宋体" w:hAnsi="宋体" w:eastAsia="宋体"/>
                <w:color w:val="auto"/>
              </w:rPr>
            </w:pPr>
            <w:r>
              <w:rPr>
                <w:rFonts w:hint="eastAsia" w:ascii="宋体" w:hAnsi="宋体" w:eastAsia="宋体"/>
                <w:color w:val="auto"/>
              </w:rPr>
              <w:t xml:space="preserve">成都市锦江区经天路 </w:t>
            </w:r>
            <w:r>
              <w:rPr>
                <w:color w:val="auto"/>
              </w:rPr>
              <w:t xml:space="preserve">2 </w:t>
            </w:r>
            <w:r>
              <w:rPr>
                <w:rFonts w:hint="eastAsia" w:ascii="宋体" w:hAnsi="宋体" w:eastAsia="宋体"/>
                <w:color w:val="auto"/>
              </w:rPr>
              <w:t>号</w:t>
            </w:r>
          </w:p>
        </w:tc>
        <w:tc>
          <w:tcPr>
            <w:tcW w:w="3546" w:type="dxa"/>
            <w:tcBorders>
              <w:top w:val="single" w:color="000000" w:sz="4" w:space="0"/>
              <w:left w:val="single" w:color="000000" w:sz="4" w:space="0"/>
              <w:bottom w:val="single" w:color="000000" w:sz="4" w:space="0"/>
              <w:right w:val="single" w:color="000000" w:sz="4" w:space="0"/>
              <w:tl2br w:val="nil"/>
              <w:tr2bl w:val="nil"/>
            </w:tcBorders>
          </w:tcPr>
          <w:p>
            <w:pPr>
              <w:pStyle w:val="223"/>
              <w:kinsoku w:val="0"/>
              <w:overflowPunct w:val="0"/>
              <w:spacing w:after="0"/>
              <w:jc w:val="left"/>
              <w:rPr>
                <w:color w:val="auto"/>
              </w:rPr>
            </w:pPr>
            <w:r>
              <w:rPr>
                <w:rFonts w:hint="eastAsia" w:ascii="宋体" w:hAnsi="宋体" w:eastAsia="宋体"/>
                <w:color w:val="auto"/>
              </w:rPr>
              <w:t xml:space="preserve">向茜 </w:t>
            </w:r>
            <w:r>
              <w:rPr>
                <w:color w:val="auto"/>
              </w:rPr>
              <w:t>13882194997</w:t>
            </w:r>
          </w:p>
          <w:p>
            <w:pPr>
              <w:pStyle w:val="223"/>
              <w:kinsoku w:val="0"/>
              <w:overflowPunct w:val="0"/>
              <w:spacing w:after="0"/>
              <w:jc w:val="left"/>
              <w:rPr>
                <w:color w:val="auto"/>
              </w:rPr>
            </w:pPr>
            <w:r>
              <w:rPr>
                <w:rFonts w:hint="eastAsia" w:ascii="宋体" w:hAnsi="宋体" w:eastAsia="宋体"/>
                <w:color w:val="auto"/>
              </w:rPr>
              <w:t xml:space="preserve">吴姜鼗 </w:t>
            </w:r>
            <w:r>
              <w:rPr>
                <w:color w:val="auto"/>
              </w:rPr>
              <w:t>18981735117</w:t>
            </w:r>
          </w:p>
        </w:tc>
      </w:tr>
      <w:tr>
        <w:tblPrEx>
          <w:tblLayout w:type="fixed"/>
          <w:tblCellMar>
            <w:top w:w="0" w:type="dxa"/>
            <w:left w:w="108" w:type="dxa"/>
            <w:bottom w:w="0" w:type="dxa"/>
            <w:right w:w="108" w:type="dxa"/>
          </w:tblCellMar>
        </w:tblPrEx>
        <w:trPr>
          <w:trHeight w:val="1880" w:hRule="atLeast"/>
        </w:trPr>
        <w:tc>
          <w:tcPr>
            <w:tcW w:w="821" w:type="dxa"/>
            <w:tcBorders>
              <w:top w:val="single" w:color="000000" w:sz="4" w:space="0"/>
              <w:left w:val="single" w:color="000000" w:sz="4" w:space="0"/>
              <w:bottom w:val="single" w:color="000000" w:sz="4" w:space="0"/>
              <w:right w:val="single" w:color="000000" w:sz="4" w:space="0"/>
              <w:tl2br w:val="nil"/>
              <w:tr2bl w:val="nil"/>
            </w:tcBorders>
          </w:tcPr>
          <w:p>
            <w:pPr>
              <w:pStyle w:val="223"/>
              <w:kinsoku w:val="0"/>
              <w:overflowPunct w:val="0"/>
              <w:rPr>
                <w:rFonts w:ascii="方正小标宋简体" w:hAnsi="方正小标宋简体" w:eastAsia="方正小标宋简体"/>
                <w:color w:val="auto"/>
                <w:sz w:val="22"/>
              </w:rPr>
            </w:pPr>
          </w:p>
          <w:p>
            <w:pPr>
              <w:pStyle w:val="223"/>
              <w:kinsoku w:val="0"/>
              <w:overflowPunct w:val="0"/>
              <w:jc w:val="center"/>
              <w:rPr>
                <w:color w:val="auto"/>
              </w:rPr>
            </w:pPr>
            <w:r>
              <w:rPr>
                <w:color w:val="auto"/>
              </w:rPr>
              <w:t>3</w:t>
            </w:r>
          </w:p>
        </w:tc>
        <w:tc>
          <w:tcPr>
            <w:tcW w:w="2602" w:type="dxa"/>
            <w:tcBorders>
              <w:top w:val="single" w:color="000000" w:sz="4" w:space="0"/>
              <w:left w:val="single" w:color="000000" w:sz="4" w:space="0"/>
              <w:bottom w:val="single" w:color="000000" w:sz="4" w:space="0"/>
              <w:right w:val="single" w:color="000000" w:sz="4" w:space="0"/>
              <w:tl2br w:val="nil"/>
              <w:tr2bl w:val="nil"/>
            </w:tcBorders>
          </w:tcPr>
          <w:p>
            <w:pPr>
              <w:pStyle w:val="223"/>
              <w:kinsoku w:val="0"/>
              <w:overflowPunct w:val="0"/>
              <w:jc w:val="left"/>
              <w:rPr>
                <w:rFonts w:ascii="方正小标宋简体" w:hAnsi="方正小标宋简体" w:eastAsia="方正小标宋简体"/>
                <w:color w:val="auto"/>
              </w:rPr>
            </w:pPr>
          </w:p>
          <w:p>
            <w:pPr>
              <w:pStyle w:val="223"/>
              <w:kinsoku w:val="0"/>
              <w:overflowPunct w:val="0"/>
              <w:jc w:val="left"/>
              <w:rPr>
                <w:rFonts w:ascii="宋体" w:hAnsi="宋体" w:eastAsia="宋体"/>
                <w:color w:val="auto"/>
              </w:rPr>
            </w:pPr>
            <w:r>
              <w:rPr>
                <w:rFonts w:hint="eastAsia" w:ascii="宋体" w:hAnsi="宋体" w:eastAsia="宋体"/>
                <w:color w:val="auto"/>
              </w:rPr>
              <w:t>中国银行成都锦江支行</w:t>
            </w:r>
          </w:p>
        </w:tc>
        <w:tc>
          <w:tcPr>
            <w:tcW w:w="2993" w:type="dxa"/>
            <w:tcBorders>
              <w:top w:val="single" w:color="000000" w:sz="4" w:space="0"/>
              <w:left w:val="single" w:color="000000" w:sz="4" w:space="0"/>
              <w:bottom w:val="single" w:color="000000" w:sz="4" w:space="0"/>
              <w:right w:val="single" w:color="000000" w:sz="4" w:space="0"/>
              <w:tl2br w:val="nil"/>
              <w:tr2bl w:val="nil"/>
            </w:tcBorders>
          </w:tcPr>
          <w:p>
            <w:pPr>
              <w:pStyle w:val="223"/>
              <w:kinsoku w:val="0"/>
              <w:overflowPunct w:val="0"/>
              <w:jc w:val="left"/>
              <w:rPr>
                <w:rFonts w:ascii="方正小标宋简体" w:hAnsi="方正小标宋简体" w:eastAsia="方正小标宋简体"/>
                <w:color w:val="auto"/>
                <w:sz w:val="22"/>
              </w:rPr>
            </w:pPr>
          </w:p>
          <w:p>
            <w:pPr>
              <w:pStyle w:val="223"/>
              <w:kinsoku w:val="0"/>
              <w:overflowPunct w:val="0"/>
              <w:jc w:val="left"/>
              <w:rPr>
                <w:rFonts w:ascii="宋体" w:hAnsi="宋体" w:eastAsia="宋体"/>
                <w:color w:val="auto"/>
              </w:rPr>
            </w:pPr>
            <w:r>
              <w:rPr>
                <w:rFonts w:hint="eastAsia" w:ascii="宋体" w:hAnsi="宋体" w:eastAsia="宋体"/>
                <w:color w:val="auto"/>
              </w:rPr>
              <w:t xml:space="preserve">成都市锦江区汇泉南路 </w:t>
            </w:r>
            <w:r>
              <w:rPr>
                <w:color w:val="auto"/>
              </w:rPr>
              <w:t xml:space="preserve">1 </w:t>
            </w:r>
            <w:r>
              <w:rPr>
                <w:rFonts w:hint="eastAsia" w:ascii="宋体" w:hAnsi="宋体" w:eastAsia="宋体"/>
                <w:color w:val="auto"/>
              </w:rPr>
              <w:t>号</w:t>
            </w:r>
          </w:p>
        </w:tc>
        <w:tc>
          <w:tcPr>
            <w:tcW w:w="3546" w:type="dxa"/>
            <w:tcBorders>
              <w:top w:val="single" w:color="000000" w:sz="4" w:space="0"/>
              <w:left w:val="single" w:color="000000" w:sz="4" w:space="0"/>
              <w:bottom w:val="single" w:color="000000" w:sz="4" w:space="0"/>
              <w:right w:val="single" w:color="000000" w:sz="4" w:space="0"/>
              <w:tl2br w:val="nil"/>
              <w:tr2bl w:val="nil"/>
            </w:tcBorders>
          </w:tcPr>
          <w:p>
            <w:pPr>
              <w:pStyle w:val="223"/>
              <w:kinsoku w:val="0"/>
              <w:overflowPunct w:val="0"/>
              <w:spacing w:after="0" w:line="256" w:lineRule="auto"/>
              <w:jc w:val="left"/>
              <w:rPr>
                <w:rFonts w:ascii="宋体" w:hAnsi="宋体" w:eastAsia="宋体"/>
                <w:color w:val="auto"/>
                <w:spacing w:val="-16"/>
              </w:rPr>
            </w:pPr>
            <w:r>
              <w:rPr>
                <w:rFonts w:hint="eastAsia" w:ascii="宋体" w:hAnsi="宋体" w:eastAsia="宋体"/>
                <w:color w:val="auto"/>
                <w:spacing w:val="-16"/>
              </w:rPr>
              <w:t>李经理</w:t>
            </w:r>
          </w:p>
          <w:p>
            <w:pPr>
              <w:pStyle w:val="223"/>
              <w:kinsoku w:val="0"/>
              <w:overflowPunct w:val="0"/>
              <w:spacing w:after="0" w:line="256" w:lineRule="auto"/>
              <w:ind w:hanging="458"/>
              <w:jc w:val="left"/>
              <w:rPr>
                <w:color w:val="auto"/>
              </w:rPr>
            </w:pPr>
            <w:r>
              <w:rPr>
                <w:color w:val="auto"/>
                <w:spacing w:val="-2"/>
              </w:rPr>
              <w:t xml:space="preserve">028-69262125/ </w:t>
            </w:r>
            <w:r>
              <w:rPr>
                <w:color w:val="auto"/>
              </w:rPr>
              <w:t>13880694826</w:t>
            </w:r>
          </w:p>
          <w:p>
            <w:pPr>
              <w:pStyle w:val="223"/>
              <w:kinsoku w:val="0"/>
              <w:overflowPunct w:val="0"/>
              <w:spacing w:after="0" w:line="256" w:lineRule="auto"/>
              <w:jc w:val="left"/>
              <w:rPr>
                <w:rFonts w:ascii="宋体" w:hAnsi="宋体" w:eastAsia="宋体"/>
                <w:color w:val="auto"/>
                <w:spacing w:val="-16"/>
              </w:rPr>
            </w:pPr>
            <w:r>
              <w:rPr>
                <w:rFonts w:hint="eastAsia" w:ascii="宋体" w:hAnsi="宋体" w:eastAsia="宋体"/>
                <w:color w:val="auto"/>
                <w:spacing w:val="-16"/>
              </w:rPr>
              <w:t xml:space="preserve">程经理 </w:t>
            </w:r>
          </w:p>
          <w:p>
            <w:pPr>
              <w:pStyle w:val="223"/>
              <w:kinsoku w:val="0"/>
              <w:overflowPunct w:val="0"/>
              <w:spacing w:after="0" w:line="256" w:lineRule="auto"/>
              <w:jc w:val="left"/>
              <w:rPr>
                <w:color w:val="auto"/>
              </w:rPr>
            </w:pPr>
            <w:r>
              <w:rPr>
                <w:color w:val="auto"/>
                <w:spacing w:val="-2"/>
              </w:rPr>
              <w:t xml:space="preserve">028-69262124/ </w:t>
            </w:r>
            <w:r>
              <w:rPr>
                <w:color w:val="auto"/>
              </w:rPr>
              <w:t>15982295640</w:t>
            </w:r>
          </w:p>
          <w:p>
            <w:pPr>
              <w:pStyle w:val="223"/>
              <w:kinsoku w:val="0"/>
              <w:overflowPunct w:val="0"/>
              <w:spacing w:after="0" w:line="256" w:lineRule="auto"/>
              <w:jc w:val="left"/>
              <w:rPr>
                <w:rFonts w:ascii="宋体" w:hAnsi="宋体" w:eastAsia="宋体"/>
                <w:color w:val="auto"/>
                <w:spacing w:val="-16"/>
              </w:rPr>
            </w:pPr>
            <w:r>
              <w:rPr>
                <w:rFonts w:hint="eastAsia" w:ascii="宋体" w:hAnsi="宋体" w:eastAsia="宋体"/>
                <w:color w:val="auto"/>
                <w:spacing w:val="-16"/>
              </w:rPr>
              <w:t xml:space="preserve">张经理 </w:t>
            </w:r>
          </w:p>
          <w:p>
            <w:pPr>
              <w:pStyle w:val="223"/>
              <w:kinsoku w:val="0"/>
              <w:overflowPunct w:val="0"/>
              <w:spacing w:after="0" w:line="256" w:lineRule="auto"/>
              <w:jc w:val="left"/>
              <w:rPr>
                <w:color w:val="auto"/>
              </w:rPr>
            </w:pPr>
            <w:r>
              <w:rPr>
                <w:color w:val="auto"/>
                <w:spacing w:val="-2"/>
              </w:rPr>
              <w:t xml:space="preserve">028-69262122/ </w:t>
            </w:r>
            <w:r>
              <w:rPr>
                <w:color w:val="auto"/>
              </w:rPr>
              <w:t>186160.5547868</w:t>
            </w:r>
          </w:p>
        </w:tc>
      </w:tr>
      <w:tr>
        <w:tblPrEx>
          <w:tblLayout w:type="fixed"/>
          <w:tblCellMar>
            <w:top w:w="0" w:type="dxa"/>
            <w:left w:w="108" w:type="dxa"/>
            <w:bottom w:w="0" w:type="dxa"/>
            <w:right w:w="108" w:type="dxa"/>
          </w:tblCellMar>
        </w:tblPrEx>
        <w:trPr>
          <w:trHeight w:val="2035" w:hRule="atLeast"/>
        </w:trPr>
        <w:tc>
          <w:tcPr>
            <w:tcW w:w="821" w:type="dxa"/>
            <w:tcBorders>
              <w:top w:val="single" w:color="000000" w:sz="4" w:space="0"/>
              <w:left w:val="single" w:color="000000" w:sz="4" w:space="0"/>
              <w:bottom w:val="single" w:color="000000" w:sz="4" w:space="0"/>
              <w:right w:val="single" w:color="000000" w:sz="4" w:space="0"/>
              <w:tl2br w:val="nil"/>
              <w:tr2bl w:val="nil"/>
            </w:tcBorders>
          </w:tcPr>
          <w:p>
            <w:pPr>
              <w:pStyle w:val="223"/>
              <w:kinsoku w:val="0"/>
              <w:overflowPunct w:val="0"/>
              <w:rPr>
                <w:rFonts w:ascii="方正小标宋简体" w:hAnsi="方正小标宋简体" w:eastAsia="方正小标宋简体"/>
                <w:color w:val="auto"/>
                <w:sz w:val="22"/>
              </w:rPr>
            </w:pPr>
          </w:p>
          <w:p>
            <w:pPr>
              <w:pStyle w:val="223"/>
              <w:kinsoku w:val="0"/>
              <w:overflowPunct w:val="0"/>
              <w:jc w:val="center"/>
              <w:rPr>
                <w:color w:val="auto"/>
              </w:rPr>
            </w:pPr>
            <w:r>
              <w:rPr>
                <w:color w:val="auto"/>
              </w:rPr>
              <w:t>4</w:t>
            </w:r>
          </w:p>
        </w:tc>
        <w:tc>
          <w:tcPr>
            <w:tcW w:w="2602" w:type="dxa"/>
            <w:tcBorders>
              <w:top w:val="single" w:color="000000" w:sz="4" w:space="0"/>
              <w:left w:val="single" w:color="000000" w:sz="4" w:space="0"/>
              <w:bottom w:val="single" w:color="000000" w:sz="4" w:space="0"/>
              <w:right w:val="single" w:color="000000" w:sz="4" w:space="0"/>
              <w:tl2br w:val="nil"/>
              <w:tr2bl w:val="nil"/>
            </w:tcBorders>
          </w:tcPr>
          <w:p>
            <w:pPr>
              <w:pStyle w:val="223"/>
              <w:kinsoku w:val="0"/>
              <w:overflowPunct w:val="0"/>
              <w:jc w:val="left"/>
              <w:rPr>
                <w:rFonts w:ascii="方正小标宋简体" w:hAnsi="方正小标宋简体" w:eastAsia="方正小标宋简体"/>
                <w:color w:val="auto"/>
                <w:sz w:val="23"/>
              </w:rPr>
            </w:pPr>
          </w:p>
          <w:p>
            <w:pPr>
              <w:pStyle w:val="223"/>
              <w:kinsoku w:val="0"/>
              <w:overflowPunct w:val="0"/>
              <w:jc w:val="left"/>
              <w:rPr>
                <w:rFonts w:ascii="宋体" w:hAnsi="宋体" w:eastAsia="宋体"/>
                <w:color w:val="auto"/>
              </w:rPr>
            </w:pPr>
            <w:r>
              <w:rPr>
                <w:rFonts w:hint="eastAsia" w:ascii="宋体" w:hAnsi="宋体" w:eastAsia="宋体"/>
                <w:color w:val="auto"/>
              </w:rPr>
              <w:t>中国建设银行成都第九支行</w:t>
            </w:r>
          </w:p>
        </w:tc>
        <w:tc>
          <w:tcPr>
            <w:tcW w:w="2993" w:type="dxa"/>
            <w:tcBorders>
              <w:top w:val="single" w:color="000000" w:sz="4" w:space="0"/>
              <w:left w:val="single" w:color="000000" w:sz="4" w:space="0"/>
              <w:bottom w:val="single" w:color="000000" w:sz="4" w:space="0"/>
              <w:right w:val="single" w:color="000000" w:sz="4" w:space="0"/>
              <w:tl2br w:val="nil"/>
              <w:tr2bl w:val="nil"/>
            </w:tcBorders>
          </w:tcPr>
          <w:p>
            <w:pPr>
              <w:pStyle w:val="223"/>
              <w:kinsoku w:val="0"/>
              <w:overflowPunct w:val="0"/>
              <w:jc w:val="left"/>
              <w:rPr>
                <w:rFonts w:ascii="宋体" w:hAnsi="宋体" w:eastAsia="宋体"/>
                <w:color w:val="auto"/>
              </w:rPr>
            </w:pPr>
          </w:p>
          <w:p>
            <w:pPr>
              <w:pStyle w:val="223"/>
              <w:kinsoku w:val="0"/>
              <w:overflowPunct w:val="0"/>
              <w:jc w:val="left"/>
              <w:rPr>
                <w:rFonts w:ascii="宋体" w:hAnsi="宋体" w:eastAsia="宋体"/>
                <w:color w:val="auto"/>
              </w:rPr>
            </w:pPr>
            <w:r>
              <w:rPr>
                <w:rFonts w:hint="eastAsia" w:ascii="宋体" w:hAnsi="宋体" w:eastAsia="宋体"/>
                <w:color w:val="auto"/>
              </w:rPr>
              <w:t xml:space="preserve">成都市武侯区人民南路三段 </w:t>
            </w:r>
            <w:r>
              <w:rPr>
                <w:color w:val="auto"/>
              </w:rPr>
              <w:t>17</w:t>
            </w:r>
            <w:r>
              <w:rPr>
                <w:rFonts w:hint="eastAsia" w:ascii="宋体" w:hAnsi="宋体" w:eastAsia="宋体"/>
                <w:color w:val="auto"/>
              </w:rPr>
              <w:t xml:space="preserve">号附 </w:t>
            </w:r>
            <w:r>
              <w:rPr>
                <w:color w:val="auto"/>
              </w:rPr>
              <w:t xml:space="preserve">1 </w:t>
            </w:r>
            <w:r>
              <w:rPr>
                <w:rFonts w:hint="eastAsia" w:ascii="宋体" w:hAnsi="宋体" w:eastAsia="宋体"/>
                <w:color w:val="auto"/>
              </w:rPr>
              <w:t>号</w:t>
            </w:r>
          </w:p>
        </w:tc>
        <w:tc>
          <w:tcPr>
            <w:tcW w:w="3546" w:type="dxa"/>
            <w:tcBorders>
              <w:top w:val="single" w:color="000000" w:sz="4" w:space="0"/>
              <w:left w:val="single" w:color="000000" w:sz="4" w:space="0"/>
              <w:bottom w:val="single" w:color="000000" w:sz="4" w:space="0"/>
              <w:right w:val="single" w:color="000000" w:sz="4" w:space="0"/>
              <w:tl2br w:val="nil"/>
              <w:tr2bl w:val="nil"/>
            </w:tcBorders>
          </w:tcPr>
          <w:p>
            <w:pPr>
              <w:pStyle w:val="223"/>
              <w:kinsoku w:val="0"/>
              <w:overflowPunct w:val="0"/>
              <w:spacing w:after="0"/>
              <w:jc w:val="left"/>
              <w:rPr>
                <w:rFonts w:ascii="宋体" w:hAnsi="宋体" w:eastAsia="宋体"/>
                <w:color w:val="auto"/>
              </w:rPr>
            </w:pPr>
            <w:r>
              <w:rPr>
                <w:rFonts w:hint="eastAsia" w:ascii="宋体" w:hAnsi="宋体" w:eastAsia="宋体"/>
                <w:color w:val="auto"/>
              </w:rPr>
              <w:t>陈劲松</w:t>
            </w:r>
          </w:p>
          <w:p>
            <w:pPr>
              <w:pStyle w:val="223"/>
              <w:kinsoku w:val="0"/>
              <w:overflowPunct w:val="0"/>
              <w:spacing w:after="0"/>
              <w:jc w:val="left"/>
              <w:rPr>
                <w:color w:val="auto"/>
              </w:rPr>
            </w:pPr>
            <w:r>
              <w:rPr>
                <w:color w:val="auto"/>
              </w:rPr>
              <w:t>028-85442391/</w:t>
            </w:r>
          </w:p>
          <w:p>
            <w:pPr>
              <w:pStyle w:val="223"/>
              <w:kinsoku w:val="0"/>
              <w:overflowPunct w:val="0"/>
              <w:spacing w:after="0"/>
              <w:jc w:val="left"/>
              <w:rPr>
                <w:color w:val="auto"/>
              </w:rPr>
            </w:pPr>
            <w:r>
              <w:rPr>
                <w:color w:val="auto"/>
              </w:rPr>
              <w:t>13808042188</w:t>
            </w:r>
          </w:p>
          <w:p>
            <w:pPr>
              <w:pStyle w:val="223"/>
              <w:kinsoku w:val="0"/>
              <w:overflowPunct w:val="0"/>
              <w:spacing w:after="0"/>
              <w:jc w:val="left"/>
              <w:rPr>
                <w:rFonts w:ascii="宋体" w:hAnsi="宋体" w:eastAsia="宋体"/>
                <w:color w:val="auto"/>
              </w:rPr>
            </w:pPr>
            <w:r>
              <w:rPr>
                <w:rFonts w:hint="eastAsia" w:ascii="宋体" w:hAnsi="宋体" w:eastAsia="宋体"/>
                <w:color w:val="auto"/>
              </w:rPr>
              <w:t>张易伟</w:t>
            </w:r>
          </w:p>
          <w:p>
            <w:pPr>
              <w:pStyle w:val="223"/>
              <w:kinsoku w:val="0"/>
              <w:overflowPunct w:val="0"/>
              <w:spacing w:after="0"/>
              <w:jc w:val="left"/>
              <w:rPr>
                <w:color w:val="auto"/>
              </w:rPr>
            </w:pPr>
            <w:r>
              <w:rPr>
                <w:color w:val="auto"/>
              </w:rPr>
              <w:t>028-85289896/</w:t>
            </w:r>
          </w:p>
          <w:p>
            <w:pPr>
              <w:pStyle w:val="223"/>
              <w:kinsoku w:val="0"/>
              <w:overflowPunct w:val="0"/>
              <w:spacing w:after="0"/>
              <w:jc w:val="left"/>
              <w:rPr>
                <w:color w:val="auto"/>
              </w:rPr>
            </w:pPr>
            <w:r>
              <w:rPr>
                <w:color w:val="auto"/>
              </w:rPr>
              <w:t>18628249617</w:t>
            </w:r>
          </w:p>
        </w:tc>
      </w:tr>
      <w:tr>
        <w:tblPrEx>
          <w:tblLayout w:type="fixed"/>
          <w:tblCellMar>
            <w:top w:w="0" w:type="dxa"/>
            <w:left w:w="108" w:type="dxa"/>
            <w:bottom w:w="0" w:type="dxa"/>
            <w:right w:w="108" w:type="dxa"/>
          </w:tblCellMar>
        </w:tblPrEx>
        <w:trPr>
          <w:trHeight w:val="1094" w:hRule="atLeast"/>
        </w:trPr>
        <w:tc>
          <w:tcPr>
            <w:tcW w:w="821" w:type="dxa"/>
            <w:tcBorders>
              <w:top w:val="single" w:color="000000" w:sz="4" w:space="0"/>
              <w:left w:val="single" w:color="000000" w:sz="4" w:space="0"/>
              <w:bottom w:val="single" w:color="000000" w:sz="4" w:space="0"/>
              <w:right w:val="single" w:color="000000" w:sz="4" w:space="0"/>
              <w:tl2br w:val="nil"/>
              <w:tr2bl w:val="nil"/>
            </w:tcBorders>
          </w:tcPr>
          <w:p>
            <w:pPr>
              <w:pStyle w:val="223"/>
              <w:kinsoku w:val="0"/>
              <w:overflowPunct w:val="0"/>
              <w:rPr>
                <w:rFonts w:ascii="方正小标宋简体" w:hAnsi="方正小标宋简体" w:eastAsia="方正小标宋简体"/>
                <w:color w:val="auto"/>
                <w:sz w:val="23"/>
              </w:rPr>
            </w:pPr>
          </w:p>
          <w:p>
            <w:pPr>
              <w:pStyle w:val="223"/>
              <w:kinsoku w:val="0"/>
              <w:overflowPunct w:val="0"/>
              <w:jc w:val="center"/>
              <w:rPr>
                <w:color w:val="auto"/>
              </w:rPr>
            </w:pPr>
            <w:r>
              <w:rPr>
                <w:color w:val="auto"/>
              </w:rPr>
              <w:t>5</w:t>
            </w:r>
          </w:p>
        </w:tc>
        <w:tc>
          <w:tcPr>
            <w:tcW w:w="2602" w:type="dxa"/>
            <w:tcBorders>
              <w:top w:val="single" w:color="000000" w:sz="4" w:space="0"/>
              <w:left w:val="single" w:color="000000" w:sz="4" w:space="0"/>
              <w:bottom w:val="single" w:color="000000" w:sz="4" w:space="0"/>
              <w:right w:val="single" w:color="000000" w:sz="4" w:space="0"/>
              <w:tl2br w:val="nil"/>
              <w:tr2bl w:val="nil"/>
            </w:tcBorders>
          </w:tcPr>
          <w:p>
            <w:pPr>
              <w:pStyle w:val="223"/>
              <w:kinsoku w:val="0"/>
              <w:overflowPunct w:val="0"/>
              <w:jc w:val="left"/>
              <w:rPr>
                <w:rFonts w:ascii="宋体" w:hAnsi="宋体" w:eastAsia="宋体"/>
                <w:color w:val="auto"/>
              </w:rPr>
            </w:pPr>
            <w:r>
              <w:rPr>
                <w:rFonts w:hint="eastAsia" w:ascii="宋体" w:hAnsi="宋体" w:eastAsia="宋体"/>
                <w:color w:val="auto"/>
              </w:rPr>
              <w:t>成都银行锦江支行</w:t>
            </w:r>
          </w:p>
        </w:tc>
        <w:tc>
          <w:tcPr>
            <w:tcW w:w="2993" w:type="dxa"/>
            <w:tcBorders>
              <w:top w:val="single" w:color="000000" w:sz="4" w:space="0"/>
              <w:left w:val="single" w:color="000000" w:sz="4" w:space="0"/>
              <w:bottom w:val="single" w:color="000000" w:sz="4" w:space="0"/>
              <w:right w:val="single" w:color="000000" w:sz="4" w:space="0"/>
              <w:tl2br w:val="nil"/>
              <w:tr2bl w:val="nil"/>
            </w:tcBorders>
          </w:tcPr>
          <w:p>
            <w:pPr>
              <w:pStyle w:val="223"/>
              <w:kinsoku w:val="0"/>
              <w:overflowPunct w:val="0"/>
              <w:jc w:val="left"/>
              <w:rPr>
                <w:rFonts w:ascii="宋体" w:hAnsi="宋体" w:eastAsia="宋体"/>
                <w:color w:val="auto"/>
              </w:rPr>
            </w:pPr>
            <w:r>
              <w:rPr>
                <w:rFonts w:hint="eastAsia" w:ascii="宋体" w:hAnsi="宋体" w:eastAsia="宋体"/>
                <w:color w:val="auto"/>
              </w:rPr>
              <w:t xml:space="preserve">成都市锦江区书院西街 </w:t>
            </w:r>
            <w:r>
              <w:rPr>
                <w:color w:val="auto"/>
              </w:rPr>
              <w:t xml:space="preserve">1-33 </w:t>
            </w:r>
            <w:r>
              <w:rPr>
                <w:rFonts w:hint="eastAsia" w:ascii="宋体" w:hAnsi="宋体" w:eastAsia="宋体"/>
                <w:color w:val="auto"/>
              </w:rPr>
              <w:t>号</w:t>
            </w:r>
          </w:p>
        </w:tc>
        <w:tc>
          <w:tcPr>
            <w:tcW w:w="3546" w:type="dxa"/>
            <w:tcBorders>
              <w:top w:val="single" w:color="000000" w:sz="4" w:space="0"/>
              <w:left w:val="single" w:color="000000" w:sz="4" w:space="0"/>
              <w:bottom w:val="single" w:color="000000" w:sz="4" w:space="0"/>
              <w:right w:val="single" w:color="000000" w:sz="4" w:space="0"/>
              <w:tl2br w:val="nil"/>
              <w:tr2bl w:val="nil"/>
            </w:tcBorders>
          </w:tcPr>
          <w:p>
            <w:pPr>
              <w:pStyle w:val="223"/>
              <w:kinsoku w:val="0"/>
              <w:overflowPunct w:val="0"/>
              <w:spacing w:after="0"/>
              <w:jc w:val="left"/>
              <w:rPr>
                <w:color w:val="auto"/>
              </w:rPr>
            </w:pPr>
            <w:r>
              <w:rPr>
                <w:rFonts w:hint="eastAsia" w:ascii="宋体" w:hAnsi="宋体" w:eastAsia="宋体"/>
                <w:color w:val="auto"/>
                <w:spacing w:val="-20"/>
              </w:rPr>
              <w:t xml:space="preserve">徐强 </w:t>
            </w:r>
            <w:r>
              <w:rPr>
                <w:color w:val="auto"/>
              </w:rPr>
              <w:t>1361605551573</w:t>
            </w:r>
          </w:p>
          <w:p>
            <w:pPr>
              <w:pStyle w:val="223"/>
              <w:kinsoku w:val="0"/>
              <w:overflowPunct w:val="0"/>
              <w:spacing w:after="0"/>
              <w:jc w:val="left"/>
              <w:rPr>
                <w:color w:val="auto"/>
              </w:rPr>
            </w:pPr>
            <w:r>
              <w:rPr>
                <w:rFonts w:hint="eastAsia" w:ascii="宋体" w:hAnsi="宋体" w:eastAsia="宋体"/>
                <w:color w:val="auto"/>
                <w:spacing w:val="-20"/>
              </w:rPr>
              <w:t xml:space="preserve">郑蓓 </w:t>
            </w:r>
            <w:r>
              <w:rPr>
                <w:color w:val="auto"/>
              </w:rPr>
              <w:t>13982294491</w:t>
            </w:r>
          </w:p>
          <w:p>
            <w:pPr>
              <w:pStyle w:val="223"/>
              <w:kinsoku w:val="0"/>
              <w:overflowPunct w:val="0"/>
              <w:spacing w:after="0"/>
              <w:jc w:val="left"/>
              <w:rPr>
                <w:color w:val="auto"/>
              </w:rPr>
            </w:pPr>
            <w:r>
              <w:rPr>
                <w:rFonts w:hint="eastAsia" w:ascii="宋体" w:hAnsi="宋体" w:eastAsia="宋体"/>
                <w:color w:val="auto"/>
              </w:rPr>
              <w:t xml:space="preserve">余继龙 </w:t>
            </w:r>
            <w:r>
              <w:rPr>
                <w:color w:val="auto"/>
              </w:rPr>
              <w:t>18180671127</w:t>
            </w:r>
          </w:p>
        </w:tc>
      </w:tr>
      <w:tr>
        <w:tblPrEx>
          <w:tblLayout w:type="fixed"/>
          <w:tblCellMar>
            <w:top w:w="0" w:type="dxa"/>
            <w:left w:w="108" w:type="dxa"/>
            <w:bottom w:w="0" w:type="dxa"/>
            <w:right w:w="108" w:type="dxa"/>
          </w:tblCellMar>
        </w:tblPrEx>
        <w:trPr>
          <w:trHeight w:val="1054" w:hRule="atLeast"/>
        </w:trPr>
        <w:tc>
          <w:tcPr>
            <w:tcW w:w="821" w:type="dxa"/>
            <w:tcBorders>
              <w:top w:val="single" w:color="000000" w:sz="4" w:space="0"/>
              <w:left w:val="single" w:color="000000" w:sz="4" w:space="0"/>
              <w:bottom w:val="single" w:color="000000" w:sz="4" w:space="0"/>
              <w:right w:val="single" w:color="000000" w:sz="4" w:space="0"/>
              <w:tl2br w:val="nil"/>
              <w:tr2bl w:val="nil"/>
            </w:tcBorders>
          </w:tcPr>
          <w:p>
            <w:pPr>
              <w:pStyle w:val="223"/>
              <w:kinsoku w:val="0"/>
              <w:overflowPunct w:val="0"/>
              <w:rPr>
                <w:rFonts w:ascii="方正小标宋简体" w:hAnsi="方正小标宋简体" w:eastAsia="方正小标宋简体"/>
                <w:color w:val="auto"/>
                <w:sz w:val="23"/>
              </w:rPr>
            </w:pPr>
          </w:p>
          <w:p>
            <w:pPr>
              <w:pStyle w:val="223"/>
              <w:kinsoku w:val="0"/>
              <w:overflowPunct w:val="0"/>
              <w:jc w:val="center"/>
              <w:rPr>
                <w:color w:val="auto"/>
              </w:rPr>
            </w:pPr>
            <w:r>
              <w:rPr>
                <w:color w:val="auto"/>
              </w:rPr>
              <w:t>6</w:t>
            </w:r>
          </w:p>
        </w:tc>
        <w:tc>
          <w:tcPr>
            <w:tcW w:w="2602" w:type="dxa"/>
            <w:tcBorders>
              <w:top w:val="single" w:color="000000" w:sz="4" w:space="0"/>
              <w:left w:val="single" w:color="000000" w:sz="4" w:space="0"/>
              <w:bottom w:val="single" w:color="000000" w:sz="4" w:space="0"/>
              <w:right w:val="single" w:color="000000" w:sz="4" w:space="0"/>
              <w:tl2br w:val="nil"/>
              <w:tr2bl w:val="nil"/>
            </w:tcBorders>
          </w:tcPr>
          <w:p>
            <w:pPr>
              <w:pStyle w:val="223"/>
              <w:kinsoku w:val="0"/>
              <w:overflowPunct w:val="0"/>
              <w:jc w:val="left"/>
              <w:rPr>
                <w:rFonts w:ascii="宋体" w:hAnsi="宋体" w:eastAsia="宋体"/>
                <w:color w:val="auto"/>
              </w:rPr>
            </w:pPr>
            <w:r>
              <w:rPr>
                <w:rFonts w:hint="eastAsia" w:ascii="宋体" w:hAnsi="宋体" w:eastAsia="宋体"/>
                <w:color w:val="auto"/>
              </w:rPr>
              <w:t>中国工商银行成都春熙支行</w:t>
            </w:r>
          </w:p>
        </w:tc>
        <w:tc>
          <w:tcPr>
            <w:tcW w:w="2993" w:type="dxa"/>
            <w:tcBorders>
              <w:top w:val="single" w:color="000000" w:sz="4" w:space="0"/>
              <w:left w:val="single" w:color="000000" w:sz="4" w:space="0"/>
              <w:bottom w:val="single" w:color="000000" w:sz="4" w:space="0"/>
              <w:right w:val="single" w:color="000000" w:sz="4" w:space="0"/>
              <w:tl2br w:val="nil"/>
              <w:tr2bl w:val="nil"/>
            </w:tcBorders>
          </w:tcPr>
          <w:p>
            <w:pPr>
              <w:pStyle w:val="223"/>
              <w:kinsoku w:val="0"/>
              <w:overflowPunct w:val="0"/>
              <w:jc w:val="left"/>
              <w:rPr>
                <w:rFonts w:ascii="宋体" w:hAnsi="宋体" w:eastAsia="宋体"/>
                <w:color w:val="auto"/>
              </w:rPr>
            </w:pPr>
            <w:r>
              <w:rPr>
                <w:rFonts w:hint="eastAsia" w:ascii="宋体" w:hAnsi="宋体" w:eastAsia="宋体"/>
                <w:color w:val="auto"/>
              </w:rPr>
              <w:t xml:space="preserve">成都市提督街 </w:t>
            </w:r>
            <w:r>
              <w:rPr>
                <w:color w:val="auto"/>
              </w:rPr>
              <w:t xml:space="preserve">50 </w:t>
            </w:r>
            <w:r>
              <w:rPr>
                <w:rFonts w:hint="eastAsia" w:ascii="宋体" w:hAnsi="宋体" w:eastAsia="宋体"/>
                <w:color w:val="auto"/>
              </w:rPr>
              <w:t>号</w:t>
            </w:r>
          </w:p>
        </w:tc>
        <w:tc>
          <w:tcPr>
            <w:tcW w:w="3546" w:type="dxa"/>
            <w:tcBorders>
              <w:top w:val="single" w:color="000000" w:sz="4" w:space="0"/>
              <w:left w:val="single" w:color="000000" w:sz="4" w:space="0"/>
              <w:bottom w:val="single" w:color="000000" w:sz="4" w:space="0"/>
              <w:right w:val="single" w:color="000000" w:sz="4" w:space="0"/>
              <w:tl2br w:val="nil"/>
              <w:tr2bl w:val="nil"/>
            </w:tcBorders>
          </w:tcPr>
          <w:p>
            <w:pPr>
              <w:pStyle w:val="223"/>
              <w:kinsoku w:val="0"/>
              <w:overflowPunct w:val="0"/>
              <w:spacing w:after="0"/>
              <w:jc w:val="left"/>
              <w:rPr>
                <w:color w:val="auto"/>
              </w:rPr>
            </w:pPr>
            <w:r>
              <w:rPr>
                <w:rFonts w:hint="eastAsia" w:ascii="宋体" w:hAnsi="宋体" w:eastAsia="宋体"/>
                <w:color w:val="auto"/>
                <w:spacing w:val="-20"/>
              </w:rPr>
              <w:t xml:space="preserve">曾曦 </w:t>
            </w:r>
            <w:r>
              <w:rPr>
                <w:color w:val="auto"/>
              </w:rPr>
              <w:t>13982183613</w:t>
            </w:r>
          </w:p>
          <w:p>
            <w:pPr>
              <w:pStyle w:val="223"/>
              <w:kinsoku w:val="0"/>
              <w:overflowPunct w:val="0"/>
              <w:spacing w:after="0"/>
              <w:jc w:val="left"/>
              <w:rPr>
                <w:color w:val="auto"/>
              </w:rPr>
            </w:pPr>
            <w:r>
              <w:rPr>
                <w:rFonts w:hint="eastAsia" w:ascii="宋体" w:hAnsi="宋体" w:eastAsia="宋体"/>
                <w:color w:val="auto"/>
                <w:spacing w:val="-20"/>
              </w:rPr>
              <w:t xml:space="preserve">何煦 </w:t>
            </w:r>
            <w:r>
              <w:rPr>
                <w:color w:val="auto"/>
              </w:rPr>
              <w:t>13666223231</w:t>
            </w:r>
          </w:p>
          <w:p>
            <w:pPr>
              <w:pStyle w:val="223"/>
              <w:kinsoku w:val="0"/>
              <w:overflowPunct w:val="0"/>
              <w:spacing w:after="0"/>
              <w:jc w:val="left"/>
              <w:rPr>
                <w:color w:val="auto"/>
              </w:rPr>
            </w:pPr>
            <w:r>
              <w:rPr>
                <w:rFonts w:hint="eastAsia" w:ascii="宋体" w:hAnsi="宋体" w:eastAsia="宋体"/>
                <w:color w:val="auto"/>
              </w:rPr>
              <w:t xml:space="preserve">青呈伟 </w:t>
            </w:r>
            <w:r>
              <w:rPr>
                <w:color w:val="auto"/>
              </w:rPr>
              <w:t>13880968977</w:t>
            </w:r>
          </w:p>
        </w:tc>
      </w:tr>
      <w:tr>
        <w:tblPrEx>
          <w:tblLayout w:type="fixed"/>
          <w:tblCellMar>
            <w:top w:w="0" w:type="dxa"/>
            <w:left w:w="108" w:type="dxa"/>
            <w:bottom w:w="0" w:type="dxa"/>
            <w:right w:w="108" w:type="dxa"/>
          </w:tblCellMar>
        </w:tblPrEx>
        <w:trPr>
          <w:trHeight w:val="767" w:hRule="atLeast"/>
        </w:trPr>
        <w:tc>
          <w:tcPr>
            <w:tcW w:w="821" w:type="dxa"/>
            <w:tcBorders>
              <w:top w:val="single" w:color="000000" w:sz="4" w:space="0"/>
              <w:left w:val="single" w:color="000000" w:sz="4" w:space="0"/>
              <w:bottom w:val="single" w:color="000000" w:sz="4" w:space="0"/>
              <w:right w:val="single" w:color="000000" w:sz="4" w:space="0"/>
              <w:tl2br w:val="nil"/>
              <w:tr2bl w:val="nil"/>
            </w:tcBorders>
          </w:tcPr>
          <w:p>
            <w:pPr>
              <w:pStyle w:val="223"/>
              <w:kinsoku w:val="0"/>
              <w:overflowPunct w:val="0"/>
              <w:rPr>
                <w:rFonts w:ascii="方正小标宋简体" w:hAnsi="方正小标宋简体" w:eastAsia="方正小标宋简体"/>
                <w:color w:val="auto"/>
                <w:sz w:val="13"/>
              </w:rPr>
            </w:pPr>
          </w:p>
          <w:p>
            <w:pPr>
              <w:pStyle w:val="223"/>
              <w:kinsoku w:val="0"/>
              <w:overflowPunct w:val="0"/>
              <w:jc w:val="center"/>
              <w:rPr>
                <w:color w:val="auto"/>
              </w:rPr>
            </w:pPr>
            <w:r>
              <w:rPr>
                <w:color w:val="auto"/>
              </w:rPr>
              <w:t>7</w:t>
            </w:r>
          </w:p>
        </w:tc>
        <w:tc>
          <w:tcPr>
            <w:tcW w:w="2602" w:type="dxa"/>
            <w:tcBorders>
              <w:top w:val="single" w:color="000000" w:sz="4" w:space="0"/>
              <w:left w:val="single" w:color="000000" w:sz="4" w:space="0"/>
              <w:bottom w:val="single" w:color="000000" w:sz="4" w:space="0"/>
              <w:right w:val="single" w:color="000000" w:sz="4" w:space="0"/>
              <w:tl2br w:val="nil"/>
              <w:tr2bl w:val="nil"/>
            </w:tcBorders>
          </w:tcPr>
          <w:p>
            <w:pPr>
              <w:pStyle w:val="223"/>
              <w:kinsoku w:val="0"/>
              <w:overflowPunct w:val="0"/>
              <w:jc w:val="left"/>
              <w:rPr>
                <w:rFonts w:ascii="宋体" w:hAnsi="宋体" w:eastAsia="宋体"/>
                <w:color w:val="auto"/>
              </w:rPr>
            </w:pPr>
            <w:r>
              <w:rPr>
                <w:rFonts w:hint="eastAsia" w:ascii="宋体" w:hAnsi="宋体" w:eastAsia="宋体"/>
                <w:color w:val="auto"/>
              </w:rPr>
              <w:t>上海银行成都东大街支行</w:t>
            </w:r>
          </w:p>
        </w:tc>
        <w:tc>
          <w:tcPr>
            <w:tcW w:w="2993" w:type="dxa"/>
            <w:tcBorders>
              <w:top w:val="single" w:color="000000" w:sz="4" w:space="0"/>
              <w:left w:val="single" w:color="000000" w:sz="4" w:space="0"/>
              <w:bottom w:val="single" w:color="000000" w:sz="4" w:space="0"/>
              <w:right w:val="single" w:color="000000" w:sz="4" w:space="0"/>
              <w:tl2br w:val="nil"/>
              <w:tr2bl w:val="nil"/>
            </w:tcBorders>
          </w:tcPr>
          <w:p>
            <w:pPr>
              <w:pStyle w:val="223"/>
              <w:kinsoku w:val="0"/>
              <w:overflowPunct w:val="0"/>
              <w:spacing w:line="242" w:lineRule="auto"/>
              <w:jc w:val="left"/>
              <w:rPr>
                <w:rFonts w:ascii="宋体" w:hAnsi="宋体" w:eastAsia="宋体"/>
                <w:color w:val="auto"/>
              </w:rPr>
            </w:pPr>
            <w:r>
              <w:rPr>
                <w:rFonts w:hint="eastAsia" w:ascii="宋体" w:hAnsi="宋体" w:eastAsia="宋体"/>
                <w:color w:val="auto"/>
              </w:rPr>
              <w:t xml:space="preserve">成都市锦江区东大路 </w:t>
            </w:r>
            <w:r>
              <w:rPr>
                <w:color w:val="auto"/>
              </w:rPr>
              <w:t xml:space="preserve">100 </w:t>
            </w:r>
            <w:r>
              <w:rPr>
                <w:rFonts w:hint="eastAsia" w:ascii="宋体" w:hAnsi="宋体" w:eastAsia="宋体"/>
                <w:color w:val="auto"/>
              </w:rPr>
              <w:t xml:space="preserve">号商会大厦 </w:t>
            </w:r>
            <w:r>
              <w:rPr>
                <w:color w:val="auto"/>
              </w:rPr>
              <w:t xml:space="preserve">A </w:t>
            </w:r>
            <w:r>
              <w:rPr>
                <w:rFonts w:hint="eastAsia" w:ascii="宋体" w:hAnsi="宋体" w:eastAsia="宋体"/>
                <w:color w:val="auto"/>
              </w:rPr>
              <w:t xml:space="preserve">座 </w:t>
            </w:r>
            <w:r>
              <w:rPr>
                <w:color w:val="auto"/>
              </w:rPr>
              <w:t xml:space="preserve">2 </w:t>
            </w:r>
            <w:r>
              <w:rPr>
                <w:rFonts w:hint="eastAsia" w:ascii="宋体" w:hAnsi="宋体" w:eastAsia="宋体"/>
                <w:color w:val="auto"/>
              </w:rPr>
              <w:t>楼</w:t>
            </w:r>
          </w:p>
        </w:tc>
        <w:tc>
          <w:tcPr>
            <w:tcW w:w="3546" w:type="dxa"/>
            <w:tcBorders>
              <w:top w:val="single" w:color="000000" w:sz="4" w:space="0"/>
              <w:left w:val="single" w:color="000000" w:sz="4" w:space="0"/>
              <w:bottom w:val="single" w:color="000000" w:sz="4" w:space="0"/>
              <w:right w:val="single" w:color="000000" w:sz="4" w:space="0"/>
              <w:tl2br w:val="nil"/>
              <w:tr2bl w:val="nil"/>
            </w:tcBorders>
          </w:tcPr>
          <w:p>
            <w:pPr>
              <w:pStyle w:val="223"/>
              <w:kinsoku w:val="0"/>
              <w:overflowPunct w:val="0"/>
              <w:spacing w:after="0" w:line="256" w:lineRule="auto"/>
              <w:jc w:val="left"/>
              <w:rPr>
                <w:color w:val="auto"/>
              </w:rPr>
            </w:pPr>
            <w:r>
              <w:rPr>
                <w:rFonts w:hint="eastAsia" w:ascii="宋体" w:hAnsi="宋体" w:eastAsia="宋体"/>
                <w:color w:val="auto"/>
              </w:rPr>
              <w:t xml:space="preserve">金鑫 </w:t>
            </w:r>
            <w:r>
              <w:rPr>
                <w:color w:val="auto"/>
              </w:rPr>
              <w:t>028-61303012/ 17721885710</w:t>
            </w:r>
          </w:p>
        </w:tc>
      </w:tr>
      <w:tr>
        <w:tblPrEx>
          <w:tblLayout w:type="fixed"/>
          <w:tblCellMar>
            <w:top w:w="0" w:type="dxa"/>
            <w:left w:w="108" w:type="dxa"/>
            <w:bottom w:w="0" w:type="dxa"/>
            <w:right w:w="108" w:type="dxa"/>
          </w:tblCellMar>
        </w:tblPrEx>
        <w:trPr>
          <w:trHeight w:val="767" w:hRule="atLeast"/>
        </w:trPr>
        <w:tc>
          <w:tcPr>
            <w:tcW w:w="821" w:type="dxa"/>
            <w:tcBorders>
              <w:top w:val="single" w:color="000000" w:sz="4" w:space="0"/>
              <w:left w:val="single" w:color="000000" w:sz="4" w:space="0"/>
              <w:bottom w:val="single" w:color="000000" w:sz="4" w:space="0"/>
              <w:right w:val="single" w:color="000000" w:sz="4" w:space="0"/>
              <w:tl2br w:val="nil"/>
              <w:tr2bl w:val="nil"/>
            </w:tcBorders>
          </w:tcPr>
          <w:p>
            <w:pPr>
              <w:pStyle w:val="223"/>
              <w:kinsoku w:val="0"/>
              <w:overflowPunct w:val="0"/>
              <w:jc w:val="center"/>
              <w:rPr>
                <w:rFonts w:eastAsia="宋体"/>
                <w:color w:val="auto"/>
              </w:rPr>
            </w:pPr>
            <w:r>
              <w:rPr>
                <w:rFonts w:hint="eastAsia" w:eastAsia="宋体"/>
                <w:color w:val="auto"/>
              </w:rPr>
              <w:t>8</w:t>
            </w:r>
          </w:p>
        </w:tc>
        <w:tc>
          <w:tcPr>
            <w:tcW w:w="2602" w:type="dxa"/>
            <w:tcBorders>
              <w:top w:val="single" w:color="000000" w:sz="4" w:space="0"/>
              <w:left w:val="single" w:color="000000" w:sz="4" w:space="0"/>
              <w:bottom w:val="single" w:color="000000" w:sz="4" w:space="0"/>
              <w:right w:val="single" w:color="000000" w:sz="4" w:space="0"/>
              <w:tl2br w:val="nil"/>
              <w:tr2bl w:val="nil"/>
            </w:tcBorders>
          </w:tcPr>
          <w:p>
            <w:pPr>
              <w:pStyle w:val="223"/>
              <w:kinsoku w:val="0"/>
              <w:overflowPunct w:val="0"/>
              <w:jc w:val="left"/>
              <w:rPr>
                <w:rFonts w:ascii="宋体" w:hAnsi="宋体" w:eastAsia="宋体"/>
                <w:color w:val="auto"/>
              </w:rPr>
            </w:pPr>
            <w:r>
              <w:rPr>
                <w:rFonts w:hint="eastAsia" w:ascii="宋体" w:hAnsi="宋体" w:eastAsia="宋体"/>
                <w:color w:val="auto"/>
              </w:rPr>
              <w:t>四川天府银行</w:t>
            </w:r>
          </w:p>
        </w:tc>
        <w:tc>
          <w:tcPr>
            <w:tcW w:w="2993" w:type="dxa"/>
            <w:tcBorders>
              <w:top w:val="single" w:color="000000" w:sz="4" w:space="0"/>
              <w:left w:val="single" w:color="000000" w:sz="4" w:space="0"/>
              <w:bottom w:val="single" w:color="000000" w:sz="4" w:space="0"/>
              <w:right w:val="single" w:color="000000" w:sz="4" w:space="0"/>
              <w:tl2br w:val="nil"/>
              <w:tr2bl w:val="nil"/>
            </w:tcBorders>
          </w:tcPr>
          <w:p>
            <w:pPr>
              <w:pStyle w:val="223"/>
              <w:kinsoku w:val="0"/>
              <w:overflowPunct w:val="0"/>
              <w:spacing w:line="242" w:lineRule="auto"/>
              <w:jc w:val="left"/>
              <w:rPr>
                <w:rFonts w:ascii="宋体" w:hAnsi="宋体" w:eastAsia="宋体"/>
                <w:color w:val="auto"/>
              </w:rPr>
            </w:pPr>
            <w:r>
              <w:rPr>
                <w:rFonts w:hint="eastAsia" w:ascii="宋体" w:hAnsi="宋体" w:eastAsia="宋体"/>
                <w:color w:val="auto"/>
              </w:rPr>
              <w:t>四川天府银行</w:t>
            </w:r>
          </w:p>
        </w:tc>
        <w:tc>
          <w:tcPr>
            <w:tcW w:w="3546" w:type="dxa"/>
            <w:tcBorders>
              <w:top w:val="single" w:color="000000" w:sz="4" w:space="0"/>
              <w:left w:val="single" w:color="000000" w:sz="4" w:space="0"/>
              <w:bottom w:val="single" w:color="000000" w:sz="4" w:space="0"/>
              <w:right w:val="single" w:color="000000" w:sz="4" w:space="0"/>
              <w:tl2br w:val="nil"/>
              <w:tr2bl w:val="nil"/>
            </w:tcBorders>
          </w:tcPr>
          <w:p>
            <w:pPr>
              <w:pStyle w:val="223"/>
              <w:kinsoku w:val="0"/>
              <w:overflowPunct w:val="0"/>
              <w:spacing w:after="0" w:line="256" w:lineRule="auto"/>
              <w:jc w:val="left"/>
              <w:rPr>
                <w:rFonts w:ascii="宋体" w:hAnsi="宋体" w:eastAsia="宋体"/>
                <w:color w:val="auto"/>
              </w:rPr>
            </w:pPr>
            <w:r>
              <w:rPr>
                <w:rFonts w:hint="eastAsia" w:ascii="宋体" w:hAnsi="宋体" w:eastAsia="宋体"/>
                <w:color w:val="auto"/>
              </w:rPr>
              <w:t>刘艺婷15108295326</w:t>
            </w:r>
          </w:p>
          <w:p>
            <w:pPr>
              <w:pStyle w:val="223"/>
              <w:kinsoku w:val="0"/>
              <w:overflowPunct w:val="0"/>
              <w:spacing w:after="0" w:line="256" w:lineRule="auto"/>
              <w:jc w:val="left"/>
              <w:rPr>
                <w:rFonts w:ascii="宋体" w:hAnsi="宋体" w:eastAsia="宋体"/>
                <w:color w:val="auto"/>
              </w:rPr>
            </w:pPr>
            <w:r>
              <w:rPr>
                <w:rFonts w:hint="eastAsia" w:ascii="宋体" w:hAnsi="宋体" w:eastAsia="宋体"/>
                <w:color w:val="auto"/>
              </w:rPr>
              <w:t>郑瑶瑶13438008900</w:t>
            </w:r>
          </w:p>
        </w:tc>
      </w:tr>
    </w:tbl>
    <w:p>
      <w:pPr>
        <w:spacing w:line="360" w:lineRule="auto"/>
        <w:ind w:firstLine="420" w:firstLineChars="200"/>
        <w:rPr>
          <w:rFonts w:ascii="宋体" w:hAnsi="宋体"/>
          <w:b/>
          <w:color w:val="auto"/>
          <w:szCs w:val="21"/>
        </w:rPr>
      </w:pPr>
    </w:p>
    <w:p>
      <w:pPr>
        <w:rPr>
          <w:color w:val="auto"/>
        </w:rPr>
      </w:pPr>
    </w:p>
    <w:p>
      <w:pPr>
        <w:rPr>
          <w:color w:val="auto"/>
        </w:rPr>
      </w:pPr>
    </w:p>
    <w:sectPr>
      <w:headerReference r:id="rId3" w:type="default"/>
      <w:footerReference r:id="rId4" w:type="default"/>
      <w:pgSz w:w="12240" w:h="15840"/>
      <w:pgMar w:top="1440" w:right="1800" w:bottom="1440" w:left="180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decorative"/>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Helvetica">
    <w:altName w:val="Arial"/>
    <w:panose1 w:val="020B0604020202020204"/>
    <w:charset w:val="00"/>
    <w:family w:val="swiss"/>
    <w:pitch w:val="default"/>
    <w:sig w:usb0="00000000" w:usb1="00000000" w:usb2="00000009" w:usb3="00000000" w:csb0="000001FF" w:csb1="00000000"/>
  </w:font>
  <w:font w:name="Arial">
    <w:panose1 w:val="020B0604020202020204"/>
    <w:charset w:val="00"/>
    <w:family w:val="swiss"/>
    <w:pitch w:val="default"/>
    <w:sig w:usb0="E0002AFF" w:usb1="C0007843" w:usb2="00000009" w:usb3="00000000" w:csb0="400001FF" w:csb1="FFFF0000"/>
  </w:font>
  <w:font w:name="Arial Narrow">
    <w:altName w:val="Arial"/>
    <w:panose1 w:val="020B0606020202030204"/>
    <w:charset w:val="00"/>
    <w:family w:val="swiss"/>
    <w:pitch w:val="default"/>
    <w:sig w:usb0="00000000" w:usb1="00000000" w:usb2="00000000" w:usb3="00000000" w:csb0="0000009F" w:csb1="00000000"/>
  </w:font>
  <w:font w:name="楷体_GB2312">
    <w:altName w:val="楷体"/>
    <w:panose1 w:val="02010609030101010101"/>
    <w:charset w:val="86"/>
    <w:family w:val="modern"/>
    <w:pitch w:val="default"/>
    <w:sig w:usb0="00000000" w:usb1="00000000" w:usb2="00000010" w:usb3="00000000" w:csb0="00040000" w:csb1="00000000"/>
  </w:font>
  <w:font w:name="Courier New">
    <w:panose1 w:val="02070309020205020404"/>
    <w:charset w:val="00"/>
    <w:family w:val="modern"/>
    <w:pitch w:val="default"/>
    <w:sig w:usb0="E0002AFF" w:usb1="C0007843" w:usb2="00000009" w:usb3="00000000" w:csb0="400001FF" w:csb1="FFFF0000"/>
  </w:font>
  <w:font w:name="华文中宋">
    <w:altName w:val="宋体"/>
    <w:panose1 w:val="02010600040101010101"/>
    <w:charset w:val="86"/>
    <w:family w:val="auto"/>
    <w:pitch w:val="default"/>
    <w:sig w:usb0="00000000" w:usb1="00000000" w:usb2="00000010" w:usb3="00000000" w:csb0="0004009F" w:csb1="00000000"/>
  </w:font>
  <w:font w:name="仿宋_GB2312">
    <w:altName w:val="仿宋"/>
    <w:panose1 w:val="02010609030101010101"/>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Times New (W1)">
    <w:altName w:val="Times New Roman"/>
    <w:panose1 w:val="00000000000000000000"/>
    <w:charset w:val="00"/>
    <w:family w:val="roman"/>
    <w:pitch w:val="default"/>
    <w:sig w:usb0="00000000" w:usb1="00000000" w:usb2="00000000" w:usb3="00000000" w:csb0="00000000" w:csb1="00000000"/>
  </w:font>
  <w:font w:name="Arial (W1)">
    <w:altName w:val="Arial"/>
    <w:panose1 w:val="00000000000000000000"/>
    <w:charset w:val="00"/>
    <w:family w:val="swiss"/>
    <w:pitch w:val="default"/>
    <w:sig w:usb0="00000000" w:usb1="00000000" w:usb2="00000008" w:usb3="00000000" w:csb0="000001FF" w:csb1="00000000"/>
  </w:font>
  <w:font w:name="隶书">
    <w:altName w:val="微软雅黑"/>
    <w:panose1 w:val="0201050906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 w:name="Monospaced Number">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ˎ̥">
    <w:altName w:val="Times New Roman"/>
    <w:panose1 w:val="00000000000000000000"/>
    <w:charset w:val="00"/>
    <w:family w:val="decorative"/>
    <w:pitch w:val="default"/>
    <w:sig w:usb0="00000000" w:usb1="00000000" w:usb2="00000000" w:usb3="00000000" w:csb0="00000000" w:csb1="00000000"/>
  </w:font>
  <w:font w:name="Tms Rmn">
    <w:altName w:val="Segoe Print"/>
    <w:panose1 w:val="02020603040505020304"/>
    <w:charset w:val="00"/>
    <w:family w:val="decorative"/>
    <w:pitch w:val="default"/>
    <w:sig w:usb0="00000000" w:usb1="00000000" w:usb2="00000000" w:usb3="00000000" w:csb0="00000001" w:csb1="00000000"/>
  </w:font>
  <w:font w:name="楷体à.ā">
    <w:altName w:val="黑体"/>
    <w:panose1 w:val="00000000000000000000"/>
    <w:charset w:val="86"/>
    <w:family w:val="roman"/>
    <w:pitch w:val="default"/>
    <w:sig w:usb0="00000000" w:usb1="00000000" w:usb2="00000010" w:usb3="00000000" w:csb0="00040000" w:csb1="00000000"/>
  </w:font>
  <w:font w:name="方正仿宋">
    <w:altName w:val="微软雅黑"/>
    <w:panose1 w:val="00000000000000000000"/>
    <w:charset w:val="86"/>
    <w:family w:val="script"/>
    <w:pitch w:val="default"/>
    <w:sig w:usb0="00000000" w:usb1="00000000" w:usb2="00000010" w:usb3="00000000" w:csb0="00040000" w:csb1="00000000"/>
  </w:font>
  <w:font w:name="MingLiU">
    <w:panose1 w:val="02020509000000000000"/>
    <w:charset w:val="88"/>
    <w:family w:val="roman"/>
    <w:pitch w:val="default"/>
    <w:sig w:usb0="A00002FF" w:usb1="28CFFCFA" w:usb2="00000016" w:usb3="00000000" w:csb0="00100001" w:csb1="00000000"/>
  </w:font>
  <w:font w:name="等线">
    <w:altName w:val="宋体"/>
    <w:panose1 w:val="02010600030101010101"/>
    <w:charset w:val="86"/>
    <w:family w:val="auto"/>
    <w:pitch w:val="default"/>
    <w:sig w:usb0="00000000" w:usb1="00000000" w:usb2="00000016" w:usb3="00000000" w:csb0="0004000F" w:csb1="00000000"/>
  </w:font>
  <w:font w:name="Consolas">
    <w:panose1 w:val="020B0609020204030204"/>
    <w:charset w:val="00"/>
    <w:family w:val="decorative"/>
    <w:pitch w:val="default"/>
    <w:sig w:usb0="E10002FF" w:usb1="4000FCFF" w:usb2="00000009" w:usb3="00000000" w:csb0="6000019F" w:csb1="DFD70000"/>
  </w:font>
  <w:font w:name="Microsoft YaHei UI">
    <w:altName w:val="宋体"/>
    <w:panose1 w:val="020B0503020204020204"/>
    <w:charset w:val="86"/>
    <w:family w:val="roman"/>
    <w:pitch w:val="default"/>
    <w:sig w:usb0="00000000" w:usb1="00000000" w:usb2="00000016" w:usb3="00000000" w:csb0="0004001F" w:csb1="00000000"/>
  </w:font>
  <w:font w:name="等线 Light">
    <w:altName w:val="宋体"/>
    <w:panose1 w:val="02010600030101010101"/>
    <w:charset w:val="86"/>
    <w:family w:val="auto"/>
    <w:pitch w:val="default"/>
    <w:sig w:usb0="00000000" w:usb1="00000000" w:usb2="00000016" w:usb3="00000000" w:csb0="0004000F" w:csb1="00000000"/>
  </w:font>
  <w:font w:name="方正小标宋简体">
    <w:altName w:val="微软雅黑"/>
    <w:panose1 w:val="03000509000000000000"/>
    <w:charset w:val="86"/>
    <w:family w:val="script"/>
    <w:pitch w:val="default"/>
    <w:sig w:usb0="00000000" w:usb1="00000000" w:usb2="00000010" w:usb3="00000000" w:csb0="00040000" w:csb1="00000000"/>
  </w:font>
  <w:font w:name="Calibri Light">
    <w:panose1 w:val="020F0302020204030204"/>
    <w:charset w:val="00"/>
    <w:family w:val="modern"/>
    <w:pitch w:val="default"/>
    <w:sig w:usb0="A00002EF" w:usb1="4000207B" w:usb2="00000000" w:usb3="00000000" w:csb0="2000019F" w:csb1="00000000"/>
  </w:font>
  <w:font w:name="Times">
    <w:altName w:val="Times New Roman"/>
    <w:panose1 w:val="02020603050405020304"/>
    <w:charset w:val="00"/>
    <w:family w:val="roman"/>
    <w:pitch w:val="default"/>
    <w:sig w:usb0="00000000" w:usb1="00000000" w:usb2="00000009" w:usb3="00000000" w:csb0="000001FF" w:csb1="00000000"/>
  </w:font>
  <w:font w:name="方正黑体">
    <w:altName w:val="宋体"/>
    <w:panose1 w:val="00000000000000000000"/>
    <w:charset w:val="86"/>
    <w:family w:val="roman"/>
    <w:pitch w:val="default"/>
    <w:sig w:usb0="00000000" w:usb1="00000000" w:usb2="00000000" w:usb3="00000000" w:csb0="00000000" w:csb1="00000000"/>
  </w:font>
  <w:font w:name="方正黑体简体">
    <w:altName w:val="宋体"/>
    <w:panose1 w:val="00000000000000000000"/>
    <w:charset w:val="86"/>
    <w:family w:val="roman"/>
    <w:pitch w:val="default"/>
    <w:sig w:usb0="00000000" w:usb1="00000000" w:usb2="00000000" w:usb3="00000000" w:csb0="00000000" w:csb1="00000000"/>
  </w:font>
  <w:font w:name="方正仿宋简体">
    <w:altName w:val="宋体"/>
    <w:panose1 w:val="00000000000000000000"/>
    <w:charset w:val="86"/>
    <w:family w:val="roman"/>
    <w:pitch w:val="default"/>
    <w:sig w:usb0="00000000" w:usb1="00000000" w:usb2="00000000" w:usb3="00000000" w:csb0="00000000" w:csb1="00000000"/>
  </w:font>
  <w:font w:name="方正小标宋_GBK">
    <w:altName w:val="宋体"/>
    <w:panose1 w:val="00000000000000000000"/>
    <w:charset w:val="86"/>
    <w:family w:val="roman"/>
    <w:pitch w:val="default"/>
    <w:sig w:usb0="00000000" w:usb1="00000000" w:usb2="00000000" w:usb3="00000000" w:csb0="00000000" w:csb1="00000000"/>
  </w:font>
  <w:font w:name="Chinese Quote">
    <w:altName w:val="Segoe Print"/>
    <w:panose1 w:val="00000000000000000000"/>
    <w:charset w:val="00"/>
    <w:family w:val="auto"/>
    <w:pitch w:val="default"/>
    <w:sig w:usb0="00000000" w:usb1="00000000" w:usb2="00000000" w:usb3="00000000" w:csb0="00000000" w:csb1="00000000"/>
  </w:font>
  <w:font w:name="anticon">
    <w:altName w:val="Segoe Print"/>
    <w:panose1 w:val="00000000000000000000"/>
    <w:charset w:val="00"/>
    <w:family w:val="auto"/>
    <w:pitch w:val="default"/>
    <w:sig w:usb0="00000000" w:usb1="00000000" w:usb2="00000000" w:usb3="00000000" w:csb0="00000000" w:csb1="00000000"/>
  </w:font>
  <w:font w:name="SFMono-Regular">
    <w:altName w:val="Segoe Print"/>
    <w:panose1 w:val="00000000000000000000"/>
    <w:charset w:val="00"/>
    <w:family w:val="auto"/>
    <w:pitch w:val="default"/>
    <w:sig w:usb0="00000000" w:usb1="00000000" w:usb2="00000000" w:usb3="00000000" w:csb0="00000000" w:csb1="00000000"/>
  </w:font>
  <w:font w:name="Arial Unicode MS">
    <w:altName w:val="Arial"/>
    <w:panose1 w:val="020B0604020202020204"/>
    <w:charset w:val="00"/>
    <w:family w:val="roman"/>
    <w:pitch w:val="default"/>
    <w:sig w:usb0="00000000" w:usb1="00000000" w:usb2="00000000" w:usb3="00000000" w:csb0="00000001" w:csb1="00000000"/>
  </w:font>
  <w:font w:name="汉仪仿宋简">
    <w:altName w:val="宋体"/>
    <w:panose1 w:val="00000000000000000000"/>
    <w:charset w:val="86"/>
    <w:family w:val="roman"/>
    <w:pitch w:val="default"/>
    <w:sig w:usb0="00000000" w:usb1="00000000" w:usb2="00000010" w:usb3="00000000" w:csb0="00040000" w:csb1="00000000"/>
  </w:font>
  <w:font w:name=".......">
    <w:altName w:val="宋体"/>
    <w:panose1 w:val="00000000000000000000"/>
    <w:charset w:val="86"/>
    <w:family w:val="modern"/>
    <w:pitch w:val="default"/>
    <w:sig w:usb0="00000000" w:usb1="00000000" w:usb2="00000010" w:usb3="00000000" w:csb0="00040000" w:csb1="00000000"/>
  </w:font>
  <w:font w:name="PMingLiU-ExtB">
    <w:panose1 w:val="02020500000000000000"/>
    <w:charset w:val="88"/>
    <w:family w:val="auto"/>
    <w:pitch w:val="default"/>
    <w:sig w:usb0="8000002F" w:usb1="02000008" w:usb2="00000000" w:usb3="00000000" w:csb0="00100001" w:csb1="00000000"/>
  </w:font>
  <w:font w:name="Segoe UI Symbol">
    <w:panose1 w:val="020B0502040204020203"/>
    <w:charset w:val="00"/>
    <w:family w:val="roman"/>
    <w:pitch w:val="default"/>
    <w:sig w:usb0="8000006F" w:usb1="1200FBEF" w:usb2="0064C000" w:usb3="00000002" w:csb0="00000001" w:csb1="40000000"/>
  </w:font>
  <w:font w:name="Cambria Math">
    <w:panose1 w:val="02040503050406030204"/>
    <w:charset w:val="01"/>
    <w:family w:val="swiss"/>
    <w:pitch w:val="default"/>
    <w:sig w:usb0="E00002FF" w:usb1="420024FF" w:usb2="00000000" w:usb3="00000000" w:csb0="2000019F" w:csb1="00000000"/>
  </w:font>
  <w:font w:name="方正仿宋_GBK">
    <w:altName w:val="微软雅黑"/>
    <w:panose1 w:val="03000509000000000000"/>
    <w:charset w:val="86"/>
    <w:family w:val="script"/>
    <w:pitch w:val="default"/>
    <w:sig w:usb0="00000000" w:usb1="00000000" w:usb2="00000000" w:usb3="00000000" w:csb0="00040000" w:csb1="00000000"/>
  </w:font>
  <w:font w:name="华文仿宋">
    <w:altName w:val="仿宋"/>
    <w:panose1 w:val="02010600040101010101"/>
    <w:charset w:val="86"/>
    <w:family w:val="auto"/>
    <w:pitch w:val="default"/>
    <w:sig w:usb0="00000000" w:usb1="00000000" w:usb2="00000010" w:usb3="00000000" w:csb0="0004009F" w:csb1="00000000"/>
  </w:font>
  <w:font w:name="方正仿宋_GBK">
    <w:altName w:val="微软雅黑"/>
    <w:panose1 w:val="00000000000000000000"/>
    <w:charset w:val="00"/>
    <w:family w:val="auto"/>
    <w:pitch w:val="default"/>
    <w:sig w:usb0="00000000" w:usb1="00000000" w:usb2="00000000" w:usb3="00000000" w:csb0="00000000" w:csb1="00000000"/>
  </w:font>
  <w:font w:name="Cambria Math">
    <w:panose1 w:val="02040503050406030204"/>
    <w:charset w:val="00"/>
    <w:family w:val="decorative"/>
    <w:pitch w:val="default"/>
    <w:sig w:usb0="E00002FF" w:usb1="420024FF" w:usb2="00000000" w:usb3="00000000" w:csb0="2000019F" w:csb1="00000000"/>
  </w:font>
  <w:font w:name="Wingdings 2">
    <w:altName w:val="Wingdings"/>
    <w:panose1 w:val="05020102010507070707"/>
    <w:charset w:val="02"/>
    <w:family w:val="decorative"/>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Arial Unicode MS">
    <w:altName w:val="宋体"/>
    <w:panose1 w:val="020B0604020202020204"/>
    <w:charset w:val="86"/>
    <w:family w:val="roman"/>
    <w:pitch w:val="default"/>
    <w:sig w:usb0="00000000" w:usb1="00000000" w:usb2="0000003F" w:usb3="00000000" w:csb0="003F01FF" w:csb1="00000000"/>
  </w:font>
  <w:font w:name="??_GB2312">
    <w:altName w:val="Times New Roman"/>
    <w:panose1 w:val="00000000000000000000"/>
    <w:charset w:val="00"/>
    <w:family w:val="swiss"/>
    <w:pitch w:val="default"/>
    <w:sig w:usb0="00000000" w:usb1="00000000" w:usb2="00000000" w:usb3="00000000" w:csb0="00000001" w:csb1="00000000"/>
  </w:font>
  <w:font w:name="PingFang SC">
    <w:altName w:val="Segoe Print"/>
    <w:panose1 w:val="00000000000000000000"/>
    <w:charset w:val="00"/>
    <w:family w:val="auto"/>
    <w:pitch w:val="default"/>
    <w:sig w:usb0="00000000" w:usb1="00000000" w:usb2="00000000" w:usb3="00000000" w:csb0="00000000" w:csb1="00000000"/>
  </w:font>
  <w:font w:name="等线">
    <w:altName w:val="Segoe Print"/>
    <w:panose1 w:val="00000000000000000000"/>
    <w:charset w:val="00"/>
    <w:family w:val="auto"/>
    <w:pitch w:val="default"/>
    <w:sig w:usb0="00000000" w:usb1="00000000" w:usb2="00000000" w:usb3="00000000" w:csb0="00000000" w:csb1="00000000"/>
  </w:font>
  <w:font w:name="MingLiU_HKSCS">
    <w:panose1 w:val="02020500000000000000"/>
    <w:charset w:val="88"/>
    <w:family w:val="auto"/>
    <w:pitch w:val="default"/>
    <w:sig w:usb0="A00002FF" w:usb1="38CFFCFA" w:usb2="00000016" w:usb3="00000000" w:csb0="00100001" w:csb1="00000000"/>
  </w:font>
  <w:font w:name="新宋体">
    <w:panose1 w:val="02010609030101010101"/>
    <w:charset w:val="86"/>
    <w:family w:val="decorative"/>
    <w:pitch w:val="default"/>
    <w:sig w:usb0="00000003" w:usb1="288F0000" w:usb2="00000006" w:usb3="00000000" w:csb0="00040001" w:csb1="00000000"/>
  </w:font>
  <w:font w:name="Wingdings 2">
    <w:altName w:val="Wingdings"/>
    <w:panose1 w:val="05020102010507070707"/>
    <w:charset w:val="00"/>
    <w:family w:val="auto"/>
    <w:pitch w:val="default"/>
    <w:sig w:usb0="00000000" w:usb1="00000000" w:usb2="00000000" w:usb3="00000000" w:csb0="80000000" w:csb1="00000000"/>
  </w:font>
  <w:font w:name="等线 Light">
    <w:altName w:val="Segoe Print"/>
    <w:panose1 w:val="00000000000000000000"/>
    <w:charset w:val="00"/>
    <w:family w:val="auto"/>
    <w:pitch w:val="default"/>
    <w:sig w:usb0="00000000" w:usb1="00000000" w:usb2="00000000" w:usb3="00000000" w:csb0="00000000" w:csb1="00000000"/>
  </w:font>
  <w:font w:name="Menlo">
    <w:altName w:val="Courier New"/>
    <w:panose1 w:val="00000000000000000000"/>
    <w:charset w:val="00"/>
    <w:family w:val="auto"/>
    <w:pitch w:val="default"/>
    <w:sig w:usb0="00000000" w:usb1="00000000" w:usb2="00000000" w:usb3="00000000" w:csb0="00040001" w:csb1="00000000"/>
  </w:font>
  <w:font w:name="Arial Black">
    <w:panose1 w:val="020B0A04020102020204"/>
    <w:charset w:val="00"/>
    <w:family w:val="auto"/>
    <w:pitch w:val="default"/>
    <w:sig w:usb0="00000287" w:usb1="00000000" w:usb2="00000000" w:usb3="00000000" w:csb0="2000009F" w:csb1="DFD70000"/>
  </w:font>
  <w:font w:name="DejaVu Sans">
    <w:altName w:val="Traditional Arabic"/>
    <w:panose1 w:val="02020603050405020304"/>
    <w:charset w:val="00"/>
    <w:family w:val="roman"/>
    <w:pitch w:val="default"/>
    <w:sig w:usb0="00000000" w:usb1="00000000" w:usb2="00000008" w:usb3="00000000" w:csb0="000001FF" w:csb1="00000000"/>
  </w:font>
  <w:font w:name="方正书宋_GBK">
    <w:altName w:val="微软雅黑"/>
    <w:panose1 w:val="02000000000000000000"/>
    <w:charset w:val="86"/>
    <w:family w:val="auto"/>
    <w:pitch w:val="default"/>
    <w:sig w:usb0="00000000" w:usb1="00000000" w:usb2="00082016" w:usb3="00000000" w:csb0="00040001" w:csb1="00000000"/>
  </w:font>
  <w:font w:name="方正黑体_GBK">
    <w:altName w:val="微软雅黑"/>
    <w:panose1 w:val="02000000000000000000"/>
    <w:charset w:val="00"/>
    <w:family w:val="auto"/>
    <w:pitch w:val="default"/>
    <w:sig w:usb0="00000000" w:usb1="00000000" w:usb2="00000000" w:usb3="00000000" w:csb0="00040000" w:csb1="00000000"/>
  </w:font>
  <w:font w:name="汉仪书宋二KW">
    <w:altName w:val="宋体"/>
    <w:panose1 w:val="00020600040101010101"/>
    <w:charset w:val="86"/>
    <w:family w:val="auto"/>
    <w:pitch w:val="default"/>
    <w:sig w:usb0="00000000" w:usb1="00000000" w:usb2="00000016" w:usb3="00000000" w:csb0="00040000" w:csb1="00000000"/>
  </w:font>
  <w:font w:name="苹方-简">
    <w:altName w:val="宋体"/>
    <w:panose1 w:val="020B0400000000000000"/>
    <w:charset w:val="86"/>
    <w:family w:val="auto"/>
    <w:pitch w:val="default"/>
    <w:sig w:usb0="00000000" w:usb1="00000000" w:usb2="00000017" w:usb3="00000000" w:csb0="00040001" w:csb1="00000000"/>
  </w:font>
  <w:font w:name="Helvetica Neue">
    <w:altName w:val="NumberOnly"/>
    <w:panose1 w:val="02000503000000020004"/>
    <w:charset w:val="00"/>
    <w:family w:val="auto"/>
    <w:pitch w:val="default"/>
    <w:sig w:usb0="00000000" w:usb1="00000000" w:usb2="00000010" w:usb3="00000000" w:csb0="00000000" w:csb1="00000000"/>
  </w:font>
  <w:font w:name="汉仪中黑KW">
    <w:altName w:val="黑体"/>
    <w:panose1 w:val="00020600040101010101"/>
    <w:charset w:val="86"/>
    <w:family w:val="auto"/>
    <w:pitch w:val="default"/>
    <w:sig w:usb0="00000000" w:usb1="00000000" w:usb2="00000016" w:usb3="00000000" w:csb0="00040000" w:csb1="00000000"/>
  </w:font>
  <w:font w:name="汉仪旗黑">
    <w:altName w:val="黑体"/>
    <w:panose1 w:val="00020600040101010101"/>
    <w:charset w:val="86"/>
    <w:family w:val="auto"/>
    <w:pitch w:val="default"/>
    <w:sig w:usb0="00000000" w:usb1="00000000" w:usb2="00000016" w:usb3="00000000" w:csb0="0004009F" w:csb1="DFD70000"/>
  </w:font>
  <w:font w:name="报隶-简">
    <w:altName w:val="宋体"/>
    <w:panose1 w:val="02010600040101010101"/>
    <w:charset w:val="86"/>
    <w:family w:val="auto"/>
    <w:pitch w:val="default"/>
    <w:sig w:usb0="00000000" w:usb1="00000000" w:usb2="00000016" w:usb3="00000000" w:csb0="0004001F" w:csb1="00000000"/>
  </w:font>
  <w:font w:name="汉仪楷体KW">
    <w:altName w:val="宋体"/>
    <w:panose1 w:val="00020600040101010101"/>
    <w:charset w:val="86"/>
    <w:family w:val="auto"/>
    <w:pitch w:val="default"/>
    <w:sig w:usb0="00000000" w:usb1="00000000" w:usb2="00000016" w:usb3="00000000" w:csb0="00040000" w:csb1="00000000"/>
  </w:font>
  <w:font w:name="汉仪楷体简">
    <w:altName w:val="宋体"/>
    <w:panose1 w:val="02010600000101010101"/>
    <w:charset w:val="86"/>
    <w:family w:val="auto"/>
    <w:pitch w:val="default"/>
    <w:sig w:usb0="00000000" w:usb1="00000000" w:usb2="00000002" w:usb3="00000000" w:csb0="00040000" w:csb1="00000000"/>
  </w:font>
  <w:font w:name="Kingsoft Sign">
    <w:altName w:val="Segoe Print"/>
    <w:panose1 w:val="05050102010706020507"/>
    <w:charset w:val="00"/>
    <w:family w:val="auto"/>
    <w:pitch w:val="default"/>
    <w:sig w:usb0="00000000" w:usb1="00000000" w:usb2="00000000" w:usb3="00000000" w:csb0="00000001" w:csb1="00000000"/>
  </w:font>
  <w:font w:name="PingFangHK">
    <w:altName w:val="Segoe Print"/>
    <w:panose1 w:val="00000000000000000000"/>
    <w:charset w:val="00"/>
    <w:family w:val="auto"/>
    <w:pitch w:val="default"/>
    <w:sig w:usb0="00000000" w:usb1="00000000" w:usb2="00000000" w:usb3="00000000" w:csb0="00000000" w:csb1="00000000"/>
  </w:font>
  <w:font w:name="Apple Color Emoji">
    <w:altName w:val="Segoe Print"/>
    <w:panose1 w:val="00000000000000000000"/>
    <w:charset w:val="00"/>
    <w:family w:val="auto"/>
    <w:pitch w:val="default"/>
    <w:sig w:usb0="00000000" w:usb1="00000000" w:usb2="14000000" w:usb3="00000000" w:csb0="00000001" w:csb1="00000000"/>
  </w:font>
  <w:font w:name="楷体_GB2312">
    <w:altName w:val="楷体"/>
    <w:panose1 w:val="02010609030101010101"/>
    <w:charset w:val="00"/>
    <w:family w:val="modern"/>
    <w:pitch w:val="default"/>
    <w:sig w:usb0="00000000" w:usb1="00000000" w:usb2="00000010" w:usb3="00000000" w:csb0="00040000" w:csb1="00000000"/>
  </w:font>
  <w:font w:name="新宋体-18030">
    <w:altName w:val="微软雅黑"/>
    <w:panose1 w:val="02010609060101010101"/>
    <w:charset w:val="00"/>
    <w:family w:val="modern"/>
    <w:pitch w:val="default"/>
    <w:sig w:usb0="00000000" w:usb1="00000000" w:usb2="000A005E" w:usb3="00000000" w:csb0="00040001" w:csb1="00000000"/>
  </w:font>
  <w:font w:name="Lucida Console">
    <w:panose1 w:val="020B0609040504020204"/>
    <w:charset w:val="00"/>
    <w:family w:val="modern"/>
    <w:pitch w:val="default"/>
    <w:sig w:usb0="8000028F" w:usb1="00001800" w:usb2="00000000" w:usb3="00000000" w:csb0="0000001F" w:csb1="D7D70000"/>
  </w:font>
  <w:font w:name="inherit">
    <w:altName w:val="微软雅黑"/>
    <w:panose1 w:val="00000000000000000000"/>
    <w:charset w:val="00"/>
    <w:family w:val="roman"/>
    <w:pitch w:val="default"/>
    <w:sig w:usb0="00000000" w:usb1="00000000" w:usb2="00000000" w:usb3="00000000" w:csb0="00040001" w:csb1="00000000"/>
  </w:font>
  <w:font w:name="宋体-简">
    <w:altName w:val="宋体"/>
    <w:panose1 w:val="02010800040101010101"/>
    <w:charset w:val="86"/>
    <w:family w:val="auto"/>
    <w:pitch w:val="default"/>
    <w:sig w:usb0="00000000" w:usb1="00000000" w:usb2="00000000" w:usb3="00000000" w:csb0="00040000" w:csb1="00000000"/>
  </w:font>
  <w:font w:name="Traditional Arabic">
    <w:panose1 w:val="02020603050405020304"/>
    <w:charset w:val="00"/>
    <w:family w:val="auto"/>
    <w:pitch w:val="default"/>
    <w:sig w:usb0="00006003" w:usb1="80000000" w:usb2="00000008" w:usb3="00000000" w:csb0="00000041" w:csb1="20080000"/>
  </w:font>
  <w:font w:name="NumberOnly">
    <w:panose1 w:val="020B0500000000000000"/>
    <w:charset w:val="00"/>
    <w:family w:val="auto"/>
    <w:pitch w:val="default"/>
    <w:sig w:usb0="8000002F" w:usb1="10000048" w:usb2="00000000" w:usb3="00000000" w:csb0="0000011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42"/>
      </w:rPr>
    </w:pPr>
    <w:r>
      <w:fldChar w:fldCharType="begin"/>
    </w:r>
    <w:r>
      <w:rPr>
        <w:rStyle w:val="42"/>
      </w:rPr>
      <w:instrText xml:space="preserve">PAGE  </w:instrText>
    </w:r>
    <w:r>
      <w:fldChar w:fldCharType="separate"/>
    </w:r>
    <w:r>
      <w:rPr>
        <w:rStyle w:val="42"/>
      </w:rPr>
      <w:t>1</w:t>
    </w:r>
    <w:r>
      <w:fldChar w:fldCharType="end"/>
    </w:r>
  </w:p>
  <w:p>
    <w:pPr>
      <w:pStyle w:val="2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04D8E0A"/>
    <w:multiLevelType w:val="multilevel"/>
    <w:tmpl w:val="B04D8E0A"/>
    <w:lvl w:ilvl="0" w:tentative="0">
      <w:start w:val="1"/>
      <w:numFmt w:val="chineseCounting"/>
      <w:suff w:val="nothing"/>
      <w:lvlText w:val="第%1章 "/>
      <w:lvlJc w:val="left"/>
      <w:pPr>
        <w:tabs>
          <w:tab w:val="left" w:pos="0"/>
        </w:tabs>
        <w:ind w:left="0" w:firstLine="0"/>
      </w:pPr>
      <w:rPr>
        <w:rFonts w:hint="eastAsia" w:ascii="宋体" w:hAnsi="宋体" w:eastAsia="宋体" w:cs="宋体"/>
      </w:rPr>
    </w:lvl>
    <w:lvl w:ilvl="1" w:tentative="0">
      <w:start w:val="1"/>
      <w:numFmt w:val="chineseCounting"/>
      <w:suff w:val="nothing"/>
      <w:lvlText w:val="%2、"/>
      <w:lvlJc w:val="left"/>
      <w:pPr>
        <w:ind w:left="0" w:firstLine="0"/>
      </w:pPr>
      <w:rPr>
        <w:rFonts w:hint="eastAsia" w:ascii="宋体" w:hAnsi="宋体" w:eastAsia="宋体" w:cs="宋体"/>
      </w:rPr>
    </w:lvl>
    <w:lvl w:ilvl="2" w:tentative="0">
      <w:start w:val="1"/>
      <w:numFmt w:val="chineseCounting"/>
      <w:pStyle w:val="233"/>
      <w:suff w:val="nothing"/>
      <w:lvlText w:val="(%3)"/>
      <w:lvlJc w:val="left"/>
      <w:pPr>
        <w:tabs>
          <w:tab w:val="left" w:pos="0"/>
        </w:tabs>
        <w:ind w:left="0" w:firstLine="0"/>
      </w:pPr>
      <w:rPr>
        <w:rFonts w:hint="eastAsia" w:ascii="宋体" w:hAnsi="宋体" w:eastAsia="宋体" w:cs="宋体"/>
      </w:rPr>
    </w:lvl>
    <w:lvl w:ilvl="3" w:tentative="0">
      <w:start w:val="1"/>
      <w:numFmt w:val="decimal"/>
      <w:suff w:val="nothing"/>
      <w:lvlText w:val="%4."/>
      <w:lvlJc w:val="left"/>
      <w:pPr>
        <w:tabs>
          <w:tab w:val="left" w:pos="0"/>
        </w:tabs>
        <w:ind w:left="0" w:firstLine="0"/>
      </w:pPr>
      <w:rPr>
        <w:rFonts w:hint="eastAsia" w:ascii="宋体" w:hAnsi="宋体" w:eastAsia="宋体" w:cs="宋体"/>
      </w:rPr>
    </w:lvl>
    <w:lvl w:ilvl="4" w:tentative="0">
      <w:start w:val="1"/>
      <w:numFmt w:val="decimal"/>
      <w:suff w:val="nothing"/>
      <w:lvlText w:val="%4.%5"/>
      <w:lvlJc w:val="left"/>
      <w:pPr>
        <w:ind w:left="0" w:firstLine="0"/>
      </w:pPr>
      <w:rPr>
        <w:rFonts w:hint="eastAsia" w:ascii="宋体" w:hAnsi="宋体" w:eastAsia="宋体" w:cs="宋体"/>
      </w:rPr>
    </w:lvl>
    <w:lvl w:ilvl="5" w:tentative="0">
      <w:start w:val="1"/>
      <w:numFmt w:val="decimal"/>
      <w:suff w:val="nothing"/>
      <w:lvlText w:val="(%6)"/>
      <w:lvlJc w:val="left"/>
      <w:pPr>
        <w:ind w:left="0" w:firstLine="0"/>
      </w:pPr>
      <w:rPr>
        <w:rFonts w:hint="eastAsia" w:ascii="宋体" w:hAnsi="宋体" w:eastAsia="宋体" w:cs="宋体"/>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1">
    <w:nsid w:val="E1C6327C"/>
    <w:multiLevelType w:val="multilevel"/>
    <w:tmpl w:val="E1C6327C"/>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chineseCounting"/>
      <w:suff w:val="nothing"/>
      <w:lvlText w:val="(%2)"/>
      <w:lvlJc w:val="left"/>
      <w:pPr>
        <w:ind w:left="0" w:firstLine="0"/>
      </w:pPr>
      <w:rPr>
        <w:rFonts w:hint="eastAsia" w:ascii="宋体" w:hAnsi="宋体" w:eastAsia="宋体" w:cs="宋体"/>
      </w:rPr>
    </w:lvl>
    <w:lvl w:ilvl="2" w:tentative="0">
      <w:start w:val="1"/>
      <w:numFmt w:val="decimal"/>
      <w:pStyle w:val="238"/>
      <w:suff w:val="nothing"/>
      <w:lvlText w:val="%3."/>
      <w:lvlJc w:val="left"/>
      <w:pPr>
        <w:ind w:left="0" w:firstLine="0"/>
      </w:pPr>
      <w:rPr>
        <w:rFonts w:hint="eastAsia" w:ascii="宋体" w:hAnsi="宋体" w:eastAsia="宋体" w:cs="宋体"/>
      </w:rPr>
    </w:lvl>
    <w:lvl w:ilvl="3" w:tentative="0">
      <w:start w:val="1"/>
      <w:numFmt w:val="decimal"/>
      <w:suff w:val="nothing"/>
      <w:lvlText w:val="%3.%4"/>
      <w:lvlJc w:val="left"/>
      <w:pPr>
        <w:ind w:left="0" w:firstLine="0"/>
      </w:pPr>
      <w:rPr>
        <w:rFonts w:hint="eastAsia" w:ascii="宋体" w:hAnsi="宋体" w:eastAsia="宋体" w:cs="宋体"/>
      </w:rPr>
    </w:lvl>
    <w:lvl w:ilvl="4" w:tentative="0">
      <w:start w:val="1"/>
      <w:numFmt w:val="decimal"/>
      <w:suff w:val="nothing"/>
      <w:lvlText w:val="(%5)"/>
      <w:lvlJc w:val="left"/>
      <w:pPr>
        <w:ind w:left="0" w:firstLine="0"/>
      </w:pPr>
      <w:rPr>
        <w:rFonts w:hint="eastAsia" w:ascii="宋体" w:hAnsi="宋体" w:eastAsia="宋体" w:cs="宋体"/>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2">
    <w:nsid w:val="00000009"/>
    <w:multiLevelType w:val="multilevel"/>
    <w:tmpl w:val="00000009"/>
    <w:lvl w:ilvl="0" w:tentative="0">
      <w:start w:val="1"/>
      <w:numFmt w:val="chineseCountingThousand"/>
      <w:lvlText w:val="%1、"/>
      <w:lvlJc w:val="left"/>
      <w:pPr>
        <w:ind w:left="1271" w:hanging="420"/>
      </w:pPr>
    </w:lvl>
    <w:lvl w:ilvl="1" w:tentative="0">
      <w:start w:val="1"/>
      <w:numFmt w:val="japaneseCounting"/>
      <w:lvlText w:val="（%2）"/>
      <w:lvlJc w:val="left"/>
      <w:pPr>
        <w:ind w:left="1830" w:hanging="885"/>
      </w:pPr>
      <w:rPr>
        <w:lang w:val="en-US"/>
      </w:rPr>
    </w:lvl>
    <w:lvl w:ilvl="2" w:tentative="0">
      <w:start w:val="1"/>
      <w:numFmt w:val="lowerRoman"/>
      <w:lvlText w:val="%3."/>
      <w:lvlJc w:val="right"/>
      <w:pPr>
        <w:ind w:left="1785" w:hanging="420"/>
      </w:pPr>
    </w:lvl>
    <w:lvl w:ilvl="3" w:tentative="0">
      <w:start w:val="1"/>
      <w:numFmt w:val="decimal"/>
      <w:lvlText w:val="%4."/>
      <w:lvlJc w:val="left"/>
      <w:pPr>
        <w:ind w:left="2205" w:hanging="420"/>
      </w:pPr>
    </w:lvl>
    <w:lvl w:ilvl="4" w:tentative="0">
      <w:start w:val="1"/>
      <w:numFmt w:val="lowerLetter"/>
      <w:lvlText w:val="%5)"/>
      <w:lvlJc w:val="left"/>
      <w:pPr>
        <w:ind w:left="2625" w:hanging="420"/>
      </w:pPr>
    </w:lvl>
    <w:lvl w:ilvl="5" w:tentative="0">
      <w:start w:val="1"/>
      <w:numFmt w:val="lowerRoman"/>
      <w:lvlText w:val="%6."/>
      <w:lvlJc w:val="right"/>
      <w:pPr>
        <w:ind w:left="3045" w:hanging="420"/>
      </w:pPr>
    </w:lvl>
    <w:lvl w:ilvl="6" w:tentative="0">
      <w:start w:val="1"/>
      <w:numFmt w:val="decimal"/>
      <w:lvlText w:val="%7."/>
      <w:lvlJc w:val="left"/>
      <w:pPr>
        <w:ind w:left="3465" w:hanging="420"/>
      </w:pPr>
    </w:lvl>
    <w:lvl w:ilvl="7" w:tentative="0">
      <w:start w:val="1"/>
      <w:numFmt w:val="lowerLetter"/>
      <w:lvlText w:val="%8)"/>
      <w:lvlJc w:val="left"/>
      <w:pPr>
        <w:ind w:left="3885" w:hanging="420"/>
      </w:pPr>
    </w:lvl>
    <w:lvl w:ilvl="8" w:tentative="0">
      <w:start w:val="1"/>
      <w:numFmt w:val="lowerRoman"/>
      <w:lvlText w:val="%9."/>
      <w:lvlJc w:val="right"/>
      <w:pPr>
        <w:ind w:left="4305" w:hanging="420"/>
      </w:pPr>
    </w:lvl>
  </w:abstractNum>
  <w:abstractNum w:abstractNumId="3">
    <w:nsid w:val="00000012"/>
    <w:multiLevelType w:val="multilevel"/>
    <w:tmpl w:val="00000012"/>
    <w:lvl w:ilvl="0" w:tentative="0">
      <w:start w:val="1"/>
      <w:numFmt w:val="chineseCountingThousand"/>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
    <w:nsid w:val="00000018"/>
    <w:multiLevelType w:val="multilevel"/>
    <w:tmpl w:val="00000018"/>
    <w:lvl w:ilvl="0" w:tentative="0">
      <w:start w:val="1"/>
      <w:numFmt w:val="chineseCountingThousand"/>
      <w:lvlText w:val="%1、"/>
      <w:lvlJc w:val="left"/>
      <w:pPr>
        <w:ind w:left="966" w:hanging="420"/>
      </w:pPr>
    </w:lvl>
    <w:lvl w:ilvl="1" w:tentative="0">
      <w:start w:val="1"/>
      <w:numFmt w:val="lowerLetter"/>
      <w:lvlText w:val="%2)"/>
      <w:lvlJc w:val="left"/>
      <w:pPr>
        <w:ind w:left="1833" w:hanging="420"/>
      </w:pPr>
    </w:lvl>
    <w:lvl w:ilvl="2" w:tentative="0">
      <w:start w:val="1"/>
      <w:numFmt w:val="lowerRoman"/>
      <w:lvlText w:val="%3."/>
      <w:lvlJc w:val="right"/>
      <w:pPr>
        <w:ind w:left="2253" w:hanging="420"/>
      </w:pPr>
    </w:lvl>
    <w:lvl w:ilvl="3" w:tentative="0">
      <w:start w:val="1"/>
      <w:numFmt w:val="decimal"/>
      <w:lvlText w:val="%4."/>
      <w:lvlJc w:val="left"/>
      <w:pPr>
        <w:ind w:left="2673" w:hanging="420"/>
      </w:pPr>
    </w:lvl>
    <w:lvl w:ilvl="4" w:tentative="0">
      <w:start w:val="1"/>
      <w:numFmt w:val="lowerLetter"/>
      <w:lvlText w:val="%5)"/>
      <w:lvlJc w:val="left"/>
      <w:pPr>
        <w:ind w:left="3093" w:hanging="420"/>
      </w:pPr>
    </w:lvl>
    <w:lvl w:ilvl="5" w:tentative="0">
      <w:start w:val="1"/>
      <w:numFmt w:val="lowerRoman"/>
      <w:lvlText w:val="%6."/>
      <w:lvlJc w:val="right"/>
      <w:pPr>
        <w:ind w:left="3513" w:hanging="420"/>
      </w:pPr>
    </w:lvl>
    <w:lvl w:ilvl="6" w:tentative="0">
      <w:start w:val="1"/>
      <w:numFmt w:val="decimal"/>
      <w:lvlText w:val="%7."/>
      <w:lvlJc w:val="left"/>
      <w:pPr>
        <w:ind w:left="3933" w:hanging="420"/>
      </w:pPr>
    </w:lvl>
    <w:lvl w:ilvl="7" w:tentative="0">
      <w:start w:val="1"/>
      <w:numFmt w:val="lowerLetter"/>
      <w:lvlText w:val="%8)"/>
      <w:lvlJc w:val="left"/>
      <w:pPr>
        <w:ind w:left="4353" w:hanging="420"/>
      </w:pPr>
    </w:lvl>
    <w:lvl w:ilvl="8" w:tentative="0">
      <w:start w:val="1"/>
      <w:numFmt w:val="lowerRoman"/>
      <w:lvlText w:val="%9."/>
      <w:lvlJc w:val="right"/>
      <w:pPr>
        <w:ind w:left="4773" w:hanging="420"/>
      </w:pPr>
    </w:lvl>
  </w:abstractNum>
  <w:abstractNum w:abstractNumId="5">
    <w:nsid w:val="0000001F"/>
    <w:multiLevelType w:val="multilevel"/>
    <w:tmpl w:val="0000001F"/>
    <w:lvl w:ilvl="0" w:tentative="0">
      <w:start w:val="1"/>
      <w:numFmt w:val="chineseCountingThousand"/>
      <w:lvlText w:val="%1、"/>
      <w:lvlJc w:val="left"/>
      <w:pPr>
        <w:ind w:left="980" w:hanging="420"/>
      </w:pPr>
    </w:lvl>
    <w:lvl w:ilvl="1" w:tentative="0">
      <w:start w:val="1"/>
      <w:numFmt w:val="decimal"/>
      <w:lvlText w:val="（%2）"/>
      <w:lvlJc w:val="left"/>
      <w:pPr>
        <w:ind w:left="1700" w:hanging="7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6">
    <w:nsid w:val="00000021"/>
    <w:multiLevelType w:val="multilevel"/>
    <w:tmpl w:val="00000021"/>
    <w:lvl w:ilvl="0" w:tentative="0">
      <w:start w:val="1"/>
      <w:numFmt w:val="chineseCountingThousand"/>
      <w:lvlText w:val="(%1)"/>
      <w:lvlJc w:val="left"/>
      <w:pPr>
        <w:ind w:left="980" w:hanging="420"/>
      </w:pPr>
    </w:lvl>
    <w:lvl w:ilvl="1" w:tentative="0">
      <w:start w:val="1"/>
      <w:numFmt w:val="chineseCountingThousand"/>
      <w:lvlText w:val="(%2)"/>
      <w:lvlJc w:val="left"/>
      <w:pPr>
        <w:ind w:left="198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7">
    <w:nsid w:val="00000022"/>
    <w:multiLevelType w:val="multilevel"/>
    <w:tmpl w:val="00000022"/>
    <w:lvl w:ilvl="0" w:tentative="0">
      <w:start w:val="1"/>
      <w:numFmt w:val="decimal"/>
      <w:lvlText w:val="第%1章"/>
      <w:lvlJc w:val="left"/>
      <w:pPr>
        <w:tabs>
          <w:tab w:val="left" w:pos="2630"/>
        </w:tabs>
        <w:ind w:left="2630" w:hanging="425"/>
      </w:pPr>
      <w:rPr>
        <w:rFonts w:hint="eastAsia" w:ascii="宋体" w:hAnsi="宋体" w:eastAsia="宋体"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tentative="0">
      <w:start w:val="1"/>
      <w:numFmt w:val="decimal"/>
      <w:suff w:val="space"/>
      <w:lvlText w:val="%1.%2."/>
      <w:lvlJc w:val="left"/>
      <w:pPr>
        <w:ind w:left="4538" w:hanging="567"/>
      </w:pPr>
      <w:rPr>
        <w:rFonts w:hint="default" w:ascii="Times New Roman" w:hAnsi="Times New Roman" w:eastAsia="宋体" w:cs="Times New Roman"/>
        <w:b/>
        <w:i w:val="0"/>
        <w:sz w:val="28"/>
        <w:szCs w:val="28"/>
      </w:rPr>
    </w:lvl>
    <w:lvl w:ilvl="2" w:tentative="0">
      <w:start w:val="1"/>
      <w:numFmt w:val="decimal"/>
      <w:lvlText w:val="%1.%2.%3."/>
      <w:lvlJc w:val="left"/>
      <w:pPr>
        <w:tabs>
          <w:tab w:val="left" w:pos="709"/>
        </w:tabs>
        <w:ind w:left="709" w:hanging="709"/>
      </w:pPr>
      <w:rPr>
        <w:rFonts w:hint="default" w:ascii="Times New Roman" w:hAnsi="Times New Roman" w:cs="Times New Roman"/>
      </w:rPr>
    </w:lvl>
    <w:lvl w:ilvl="3" w:tentative="0">
      <w:start w:val="1"/>
      <w:numFmt w:val="decimal"/>
      <w:lvlText w:val="%1.%2.%3.%4."/>
      <w:lvlJc w:val="left"/>
      <w:pPr>
        <w:tabs>
          <w:tab w:val="left" w:pos="1779"/>
        </w:tabs>
        <w:ind w:left="1779" w:hanging="851"/>
      </w:pPr>
      <w:rPr>
        <w:rFonts w:hint="default" w:ascii="Times New Roman" w:hAnsi="Times New Roman"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4" w:tentative="0">
      <w:start w:val="1"/>
      <w:numFmt w:val="decimal"/>
      <w:pStyle w:val="8"/>
      <w:lvlText w:val="%1.%2.%3.%4.%5."/>
      <w:lvlJc w:val="left"/>
      <w:pPr>
        <w:tabs>
          <w:tab w:val="left" w:pos="1560"/>
        </w:tabs>
        <w:ind w:left="1560" w:hanging="992"/>
      </w:pPr>
      <w:rPr>
        <w:rFonts w:hint="default" w:ascii="Times New Roman" w:hAnsi="Times New Roman" w:eastAsia="宋体" w:cs="Times New Roman"/>
        <w:b/>
        <w:i w:val="0"/>
        <w:sz w:val="28"/>
        <w:szCs w:val="28"/>
      </w:rPr>
    </w:lvl>
    <w:lvl w:ilvl="5" w:tentative="0">
      <w:start w:val="1"/>
      <w:numFmt w:val="decimal"/>
      <w:pStyle w:val="9"/>
      <w:lvlText w:val="%1.%2.%3.%4.%5.%6."/>
      <w:lvlJc w:val="left"/>
      <w:pPr>
        <w:tabs>
          <w:tab w:val="left" w:pos="1702"/>
        </w:tabs>
        <w:ind w:left="1702" w:hanging="1134"/>
      </w:pPr>
      <w:rPr>
        <w:rFonts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6" w:tentative="0">
      <w:start w:val="1"/>
      <w:numFmt w:val="decimal"/>
      <w:lvlText w:val="%1.%2.%3.%4.%5.%6.%7."/>
      <w:lvlJc w:val="left"/>
      <w:pPr>
        <w:tabs>
          <w:tab w:val="left" w:pos="1844"/>
        </w:tabs>
        <w:ind w:left="1844" w:hanging="1276"/>
      </w:pPr>
    </w:lvl>
    <w:lvl w:ilvl="7" w:tentative="0">
      <w:start w:val="1"/>
      <w:numFmt w:val="decimal"/>
      <w:lvlText w:val="%1.%2.%3.%4.%5.%6.%7.%8."/>
      <w:lvlJc w:val="left"/>
      <w:pPr>
        <w:tabs>
          <w:tab w:val="left" w:pos="1986"/>
        </w:tabs>
        <w:ind w:left="1986" w:hanging="1418"/>
      </w:pPr>
    </w:lvl>
    <w:lvl w:ilvl="8" w:tentative="0">
      <w:start w:val="1"/>
      <w:numFmt w:val="decimal"/>
      <w:lvlText w:val="%1.%2.%3.%4.%5.%6.%7.%8.%9."/>
      <w:lvlJc w:val="left"/>
      <w:pPr>
        <w:tabs>
          <w:tab w:val="left" w:pos="2127"/>
        </w:tabs>
        <w:ind w:left="2127" w:hanging="1559"/>
      </w:pPr>
    </w:lvl>
  </w:abstractNum>
  <w:abstractNum w:abstractNumId="8">
    <w:nsid w:val="00000024"/>
    <w:multiLevelType w:val="multilevel"/>
    <w:tmpl w:val="00000024"/>
    <w:lvl w:ilvl="0" w:tentative="0">
      <w:start w:val="1"/>
      <w:numFmt w:val="decimal"/>
      <w:lvlText w:val="%1."/>
      <w:lvlJc w:val="left"/>
      <w:pPr>
        <w:ind w:left="958" w:hanging="420"/>
      </w:pPr>
    </w:lvl>
    <w:lvl w:ilvl="1" w:tentative="0">
      <w:start w:val="1"/>
      <w:numFmt w:val="chineseCountingThousand"/>
      <w:lvlText w:val="%2、"/>
      <w:lvlJc w:val="left"/>
      <w:pPr>
        <w:ind w:left="1130"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9">
    <w:nsid w:val="00000027"/>
    <w:multiLevelType w:val="multilevel"/>
    <w:tmpl w:val="00000027"/>
    <w:lvl w:ilvl="0" w:tentative="0">
      <w:start w:val="1"/>
      <w:numFmt w:val="decimal"/>
      <w:lvlText w:val="%1."/>
      <w:lvlJc w:val="left"/>
      <w:pPr>
        <w:ind w:left="980" w:hanging="420"/>
      </w:pPr>
    </w:lvl>
    <w:lvl w:ilvl="1" w:tentative="0">
      <w:start w:val="1"/>
      <w:numFmt w:val="chineseCountingThousand"/>
      <w:lvlText w:val="%2、"/>
      <w:lvlJc w:val="left"/>
      <w:pPr>
        <w:ind w:left="988" w:hanging="420"/>
      </w:pPr>
      <w:rPr>
        <w:lang w:val="en-US"/>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0">
    <w:nsid w:val="00000029"/>
    <w:multiLevelType w:val="multilevel"/>
    <w:tmpl w:val="00000029"/>
    <w:lvl w:ilvl="0" w:tentative="0">
      <w:start w:val="1"/>
      <w:numFmt w:val="decimal"/>
      <w:lvlText w:val="%1."/>
      <w:lvlJc w:val="left"/>
      <w:pPr>
        <w:ind w:left="1271" w:hanging="420"/>
      </w:pPr>
      <w:rPr>
        <w:b w:val="0"/>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000002E"/>
    <w:multiLevelType w:val="multilevel"/>
    <w:tmpl w:val="0000002E"/>
    <w:lvl w:ilvl="0" w:tentative="0">
      <w:start w:val="1"/>
      <w:numFmt w:val="decimal"/>
      <w:pStyle w:val="4"/>
      <w:lvlText w:val="第%1章"/>
      <w:lvlJc w:val="left"/>
      <w:pPr>
        <w:ind w:left="3118" w:hanging="425"/>
      </w:pPr>
      <w:rPr>
        <w:rFonts w:hint="default" w:ascii="Times New Roman" w:hAnsi="Times New Roman" w:eastAsia="宋体" w:cs="Times New Roman"/>
        <w:b/>
        <w:i w:val="0"/>
        <w:sz w:val="32"/>
        <w:szCs w:val="32"/>
      </w:rPr>
    </w:lvl>
    <w:lvl w:ilvl="1" w:tentative="0">
      <w:start w:val="1"/>
      <w:numFmt w:val="decimal"/>
      <w:pStyle w:val="5"/>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pStyle w:val="6"/>
      <w:suff w:val="space"/>
      <w:lvlText w:val="%1.%2.%3"/>
      <w:lvlJc w:val="left"/>
      <w:pPr>
        <w:ind w:left="567" w:hanging="567"/>
      </w:pPr>
      <w:rPr>
        <w:rFonts w:hint="default" w:ascii="Times New Roman" w:hAnsi="Times New Roman" w:eastAsia="宋体" w:cs="Times New Roman"/>
        <w:b/>
        <w:i w:val="0"/>
        <w:sz w:val="28"/>
      </w:rPr>
    </w:lvl>
    <w:lvl w:ilvl="3" w:tentative="0">
      <w:start w:val="1"/>
      <w:numFmt w:val="decimal"/>
      <w:pStyle w:val="7"/>
      <w:suff w:val="nothing"/>
      <w:lvlText w:val="%1.%2.%3.%4"/>
      <w:lvlJc w:val="left"/>
      <w:pPr>
        <w:ind w:left="708" w:hanging="708"/>
      </w:pPr>
      <w:rPr>
        <w:rFonts w:hint="default" w:ascii="Times New Roman" w:hAnsi="Times New Roman" w:eastAsia="宋体" w:cs="Times New Roman"/>
        <w:b/>
        <w:i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lvl>
    <w:lvl w:ilvl="6" w:tentative="0">
      <w:start w:val="1"/>
      <w:numFmt w:val="decimal"/>
      <w:lvlText w:val="%1.%2.%3.%4.%5.%6.%7"/>
      <w:lvlJc w:val="left"/>
      <w:pPr>
        <w:ind w:left="3685" w:hanging="1276"/>
      </w:pPr>
    </w:lvl>
    <w:lvl w:ilvl="7" w:tentative="0">
      <w:start w:val="1"/>
      <w:numFmt w:val="decimal"/>
      <w:lvlText w:val="%1.%2.%3.%4.%5.%6.%7.%8"/>
      <w:lvlJc w:val="left"/>
      <w:pPr>
        <w:ind w:left="4252" w:hanging="1418"/>
      </w:pPr>
    </w:lvl>
    <w:lvl w:ilvl="8" w:tentative="0">
      <w:start w:val="1"/>
      <w:numFmt w:val="decimal"/>
      <w:lvlText w:val="%1.%2.%3.%4.%5.%6.%7.%8.%9"/>
      <w:lvlJc w:val="left"/>
      <w:pPr>
        <w:ind w:left="4960" w:hanging="1700"/>
      </w:pPr>
    </w:lvl>
  </w:abstractNum>
  <w:abstractNum w:abstractNumId="12">
    <w:nsid w:val="00000031"/>
    <w:multiLevelType w:val="multilevel"/>
    <w:tmpl w:val="00000031"/>
    <w:lvl w:ilvl="0" w:tentative="0">
      <w:start w:val="1"/>
      <w:numFmt w:val="chineseCountingThousand"/>
      <w:lvlText w:val="%1、"/>
      <w:lvlJc w:val="left"/>
      <w:pPr>
        <w:ind w:left="966"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3">
    <w:nsid w:val="0000003A"/>
    <w:multiLevelType w:val="multilevel"/>
    <w:tmpl w:val="0000003A"/>
    <w:lvl w:ilvl="0" w:tentative="0">
      <w:start w:val="1"/>
      <w:numFmt w:val="chineseCountingThousand"/>
      <w:lvlText w:val="%1、"/>
      <w:lvlJc w:val="left"/>
      <w:pPr>
        <w:ind w:left="1554" w:hanging="420"/>
      </w:pPr>
    </w:lvl>
    <w:lvl w:ilvl="1" w:tentative="0">
      <w:start w:val="1"/>
      <w:numFmt w:val="lowerLetter"/>
      <w:lvlText w:val="%2)"/>
      <w:lvlJc w:val="left"/>
      <w:pPr>
        <w:ind w:left="1974" w:hanging="420"/>
      </w:pPr>
    </w:lvl>
    <w:lvl w:ilvl="2" w:tentative="0">
      <w:start w:val="1"/>
      <w:numFmt w:val="lowerRoman"/>
      <w:lvlText w:val="%3."/>
      <w:lvlJc w:val="right"/>
      <w:pPr>
        <w:ind w:left="2394" w:hanging="420"/>
      </w:pPr>
    </w:lvl>
    <w:lvl w:ilvl="3" w:tentative="0">
      <w:start w:val="1"/>
      <w:numFmt w:val="decimal"/>
      <w:lvlText w:val="%4."/>
      <w:lvlJc w:val="left"/>
      <w:pPr>
        <w:ind w:left="2814" w:hanging="420"/>
      </w:pPr>
    </w:lvl>
    <w:lvl w:ilvl="4" w:tentative="0">
      <w:start w:val="1"/>
      <w:numFmt w:val="lowerLetter"/>
      <w:lvlText w:val="%5)"/>
      <w:lvlJc w:val="left"/>
      <w:pPr>
        <w:ind w:left="3234" w:hanging="420"/>
      </w:pPr>
    </w:lvl>
    <w:lvl w:ilvl="5" w:tentative="0">
      <w:start w:val="1"/>
      <w:numFmt w:val="lowerRoman"/>
      <w:lvlText w:val="%6."/>
      <w:lvlJc w:val="right"/>
      <w:pPr>
        <w:ind w:left="3654" w:hanging="420"/>
      </w:pPr>
    </w:lvl>
    <w:lvl w:ilvl="6" w:tentative="0">
      <w:start w:val="1"/>
      <w:numFmt w:val="decimal"/>
      <w:lvlText w:val="%7."/>
      <w:lvlJc w:val="left"/>
      <w:pPr>
        <w:ind w:left="4074" w:hanging="420"/>
      </w:pPr>
    </w:lvl>
    <w:lvl w:ilvl="7" w:tentative="0">
      <w:start w:val="1"/>
      <w:numFmt w:val="lowerLetter"/>
      <w:lvlText w:val="%8)"/>
      <w:lvlJc w:val="left"/>
      <w:pPr>
        <w:ind w:left="4494" w:hanging="420"/>
      </w:pPr>
    </w:lvl>
    <w:lvl w:ilvl="8" w:tentative="0">
      <w:start w:val="1"/>
      <w:numFmt w:val="lowerRoman"/>
      <w:lvlText w:val="%9."/>
      <w:lvlJc w:val="right"/>
      <w:pPr>
        <w:ind w:left="4914" w:hanging="420"/>
      </w:pPr>
    </w:lvl>
  </w:abstractNum>
  <w:abstractNum w:abstractNumId="14">
    <w:nsid w:val="0000003B"/>
    <w:multiLevelType w:val="multilevel"/>
    <w:tmpl w:val="0000003B"/>
    <w:lvl w:ilvl="0" w:tentative="0">
      <w:start w:val="1"/>
      <w:numFmt w:val="chineseCountingThousand"/>
      <w:lvlText w:val="%1、"/>
      <w:lvlJc w:val="left"/>
      <w:pPr>
        <w:ind w:left="720" w:hanging="720"/>
      </w:pPr>
      <w:rPr>
        <w:strike w:val="0"/>
        <w:dstrike w:val="0"/>
        <w:color w:val="000000"/>
        <w:u w:val="no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0000003E"/>
    <w:multiLevelType w:val="multilevel"/>
    <w:tmpl w:val="0000003E"/>
    <w:lvl w:ilvl="0" w:tentative="0">
      <w:start w:val="1"/>
      <w:numFmt w:val="chineseCountingThousand"/>
      <w:suff w:val="nothing"/>
      <w:lvlText w:val="%1、"/>
      <w:lvlJc w:val="left"/>
      <w:pPr>
        <w:ind w:left="2126" w:hanging="420"/>
      </w:pPr>
      <w:rPr>
        <w:b/>
        <w:i w:val="0"/>
        <w:lang w:val="en-US"/>
      </w:rPr>
    </w:lvl>
    <w:lvl w:ilvl="1" w:tentative="0">
      <w:start w:val="1"/>
      <w:numFmt w:val="decimal"/>
      <w:lvlText w:val="%2、"/>
      <w:lvlJc w:val="left"/>
      <w:pPr>
        <w:ind w:left="2122" w:hanging="1125"/>
      </w:pPr>
    </w:lvl>
    <w:lvl w:ilvl="2" w:tentative="0">
      <w:start w:val="1"/>
      <w:numFmt w:val="lowerRoman"/>
      <w:lvlText w:val="%3."/>
      <w:lvlJc w:val="right"/>
      <w:pPr>
        <w:ind w:left="2400" w:hanging="420"/>
      </w:pPr>
    </w:lvl>
    <w:lvl w:ilvl="3" w:tentative="0">
      <w:start w:val="1"/>
      <w:numFmt w:val="decimal"/>
      <w:lvlText w:val="%4."/>
      <w:lvlJc w:val="left"/>
      <w:pPr>
        <w:ind w:left="2820" w:hanging="420"/>
      </w:pPr>
    </w:lvl>
    <w:lvl w:ilvl="4" w:tentative="0">
      <w:start w:val="1"/>
      <w:numFmt w:val="lowerLetter"/>
      <w:lvlText w:val="%5)"/>
      <w:lvlJc w:val="left"/>
      <w:pPr>
        <w:ind w:left="3240" w:hanging="420"/>
      </w:pPr>
    </w:lvl>
    <w:lvl w:ilvl="5" w:tentative="0">
      <w:start w:val="1"/>
      <w:numFmt w:val="lowerRoman"/>
      <w:lvlText w:val="%6."/>
      <w:lvlJc w:val="right"/>
      <w:pPr>
        <w:ind w:left="3660" w:hanging="420"/>
      </w:pPr>
    </w:lvl>
    <w:lvl w:ilvl="6" w:tentative="0">
      <w:start w:val="1"/>
      <w:numFmt w:val="decimal"/>
      <w:lvlText w:val="%7."/>
      <w:lvlJc w:val="left"/>
      <w:pPr>
        <w:ind w:left="4080" w:hanging="420"/>
      </w:pPr>
    </w:lvl>
    <w:lvl w:ilvl="7" w:tentative="0">
      <w:start w:val="1"/>
      <w:numFmt w:val="lowerLetter"/>
      <w:lvlText w:val="%8)"/>
      <w:lvlJc w:val="left"/>
      <w:pPr>
        <w:ind w:left="4500" w:hanging="420"/>
      </w:pPr>
    </w:lvl>
    <w:lvl w:ilvl="8" w:tentative="0">
      <w:start w:val="1"/>
      <w:numFmt w:val="lowerRoman"/>
      <w:lvlText w:val="%9."/>
      <w:lvlJc w:val="right"/>
      <w:pPr>
        <w:ind w:left="4920" w:hanging="420"/>
      </w:pPr>
    </w:lvl>
  </w:abstractNum>
  <w:abstractNum w:abstractNumId="16">
    <w:nsid w:val="00000041"/>
    <w:multiLevelType w:val="multilevel"/>
    <w:tmpl w:val="00000041"/>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00000043"/>
    <w:multiLevelType w:val="multilevel"/>
    <w:tmpl w:val="00000043"/>
    <w:lvl w:ilvl="0" w:tentative="0">
      <w:start w:val="1"/>
      <w:numFmt w:val="chineseCountingThousand"/>
      <w:lvlText w:val="%1、"/>
      <w:lvlJc w:val="left"/>
      <w:pPr>
        <w:ind w:left="1413" w:hanging="420"/>
      </w:pPr>
      <w:rPr>
        <w:color w:val="auto"/>
        <w:sz w:val="28"/>
        <w:szCs w:val="28"/>
      </w:rPr>
    </w:lvl>
    <w:lvl w:ilvl="1" w:tentative="0">
      <w:start w:val="1"/>
      <w:numFmt w:val="decimal"/>
      <w:isLgl/>
      <w:lvlText w:val="%1.%2"/>
      <w:lvlJc w:val="left"/>
      <w:pPr>
        <w:ind w:left="1669" w:hanging="960"/>
      </w:pPr>
    </w:lvl>
    <w:lvl w:ilvl="2" w:tentative="0">
      <w:start w:val="1"/>
      <w:numFmt w:val="decimal"/>
      <w:isLgl/>
      <w:lvlText w:val="%1.%2.%3"/>
      <w:lvlJc w:val="left"/>
      <w:pPr>
        <w:ind w:left="1669" w:hanging="960"/>
      </w:pPr>
    </w:lvl>
    <w:lvl w:ilvl="3" w:tentative="0">
      <w:start w:val="1"/>
      <w:numFmt w:val="decimal"/>
      <w:isLgl/>
      <w:lvlText w:val="%1.%2.%3.%4"/>
      <w:lvlJc w:val="left"/>
      <w:pPr>
        <w:ind w:left="1789" w:hanging="1080"/>
      </w:pPr>
    </w:lvl>
    <w:lvl w:ilvl="4" w:tentative="0">
      <w:start w:val="1"/>
      <w:numFmt w:val="decimal"/>
      <w:isLgl/>
      <w:lvlText w:val="%1.%2.%3.%4.%5"/>
      <w:lvlJc w:val="left"/>
      <w:pPr>
        <w:ind w:left="1789" w:hanging="1080"/>
      </w:pPr>
    </w:lvl>
    <w:lvl w:ilvl="5" w:tentative="0">
      <w:start w:val="1"/>
      <w:numFmt w:val="decimal"/>
      <w:isLgl/>
      <w:lvlText w:val="%1.%2.%3.%4.%5.%6"/>
      <w:lvlJc w:val="left"/>
      <w:pPr>
        <w:ind w:left="2149" w:hanging="1440"/>
      </w:pPr>
    </w:lvl>
    <w:lvl w:ilvl="6" w:tentative="0">
      <w:start w:val="1"/>
      <w:numFmt w:val="decimal"/>
      <w:isLgl/>
      <w:lvlText w:val="%1.%2.%3.%4.%5.%6.%7"/>
      <w:lvlJc w:val="left"/>
      <w:pPr>
        <w:ind w:left="2509" w:hanging="1800"/>
      </w:pPr>
    </w:lvl>
    <w:lvl w:ilvl="7" w:tentative="0">
      <w:start w:val="1"/>
      <w:numFmt w:val="decimal"/>
      <w:isLgl/>
      <w:lvlText w:val="%1.%2.%3.%4.%5.%6.%7.%8"/>
      <w:lvlJc w:val="left"/>
      <w:pPr>
        <w:ind w:left="2509" w:hanging="1800"/>
      </w:pPr>
    </w:lvl>
    <w:lvl w:ilvl="8" w:tentative="0">
      <w:start w:val="1"/>
      <w:numFmt w:val="decimal"/>
      <w:isLgl/>
      <w:lvlText w:val="%1.%2.%3.%4.%5.%6.%7.%8.%9"/>
      <w:lvlJc w:val="left"/>
      <w:pPr>
        <w:ind w:left="2869" w:hanging="2160"/>
      </w:pPr>
    </w:lvl>
  </w:abstractNum>
  <w:abstractNum w:abstractNumId="18">
    <w:nsid w:val="06AF180E"/>
    <w:multiLevelType w:val="multilevel"/>
    <w:tmpl w:val="06AF180E"/>
    <w:lvl w:ilvl="0" w:tentative="0">
      <w:start w:val="1"/>
      <w:numFmt w:val="japaneseCounting"/>
      <w:lvlText w:val="（%1）"/>
      <w:lvlJc w:val="left"/>
      <w:pPr>
        <w:ind w:left="1421" w:hanging="855"/>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19">
    <w:nsid w:val="06C3165F"/>
    <w:multiLevelType w:val="multilevel"/>
    <w:tmpl w:val="06C3165F"/>
    <w:lvl w:ilvl="0" w:tentative="0">
      <w:start w:val="5"/>
      <w:numFmt w:val="japaneseCounting"/>
      <w:lvlText w:val="（%1）"/>
      <w:lvlJc w:val="left"/>
      <w:pPr>
        <w:ind w:left="1179" w:hanging="855"/>
      </w:pPr>
      <w:rPr>
        <w:rFonts w:cs="Helvetica"/>
        <w:color w:val="FF0000"/>
      </w:rPr>
    </w:lvl>
    <w:lvl w:ilvl="1" w:tentative="0">
      <w:start w:val="1"/>
      <w:numFmt w:val="chineseCountingThousand"/>
      <w:lvlText w:val="(%2)"/>
      <w:lvlJc w:val="left"/>
      <w:pPr>
        <w:ind w:left="1164" w:hanging="420"/>
      </w:pPr>
    </w:lvl>
    <w:lvl w:ilvl="2" w:tentative="0">
      <w:start w:val="2"/>
      <w:numFmt w:val="japaneseCounting"/>
      <w:lvlText w:val="（%3）"/>
      <w:lvlJc w:val="left"/>
      <w:pPr>
        <w:ind w:left="2019" w:hanging="855"/>
      </w:pPr>
      <w:rPr>
        <w:lang w:val="en-US"/>
      </w:rPr>
    </w:lvl>
    <w:lvl w:ilvl="3" w:tentative="0">
      <w:start w:val="3"/>
      <w:numFmt w:val="japaneseCounting"/>
      <w:lvlText w:val="%4、"/>
      <w:lvlJc w:val="left"/>
      <w:pPr>
        <w:ind w:left="2304" w:hanging="720"/>
      </w:pPr>
    </w:lvl>
    <w:lvl w:ilvl="4" w:tentative="0">
      <w:start w:val="1"/>
      <w:numFmt w:val="lowerLetter"/>
      <w:lvlText w:val="%5)"/>
      <w:lvlJc w:val="left"/>
      <w:pPr>
        <w:ind w:left="2424" w:hanging="420"/>
      </w:pPr>
    </w:lvl>
    <w:lvl w:ilvl="5" w:tentative="0">
      <w:start w:val="1"/>
      <w:numFmt w:val="lowerRoman"/>
      <w:lvlText w:val="%6."/>
      <w:lvlJc w:val="right"/>
      <w:pPr>
        <w:ind w:left="2844" w:hanging="420"/>
      </w:pPr>
    </w:lvl>
    <w:lvl w:ilvl="6" w:tentative="0">
      <w:start w:val="1"/>
      <w:numFmt w:val="decimal"/>
      <w:lvlText w:val="%7."/>
      <w:lvlJc w:val="left"/>
      <w:pPr>
        <w:ind w:left="3264" w:hanging="420"/>
      </w:pPr>
    </w:lvl>
    <w:lvl w:ilvl="7" w:tentative="0">
      <w:start w:val="1"/>
      <w:numFmt w:val="lowerLetter"/>
      <w:lvlText w:val="%8)"/>
      <w:lvlJc w:val="left"/>
      <w:pPr>
        <w:ind w:left="3684" w:hanging="420"/>
      </w:pPr>
    </w:lvl>
    <w:lvl w:ilvl="8" w:tentative="0">
      <w:start w:val="1"/>
      <w:numFmt w:val="lowerRoman"/>
      <w:lvlText w:val="%9."/>
      <w:lvlJc w:val="right"/>
      <w:pPr>
        <w:ind w:left="4104" w:hanging="420"/>
      </w:pPr>
    </w:lvl>
  </w:abstractNum>
  <w:abstractNum w:abstractNumId="20">
    <w:nsid w:val="0D6B6379"/>
    <w:multiLevelType w:val="multilevel"/>
    <w:tmpl w:val="0D6B6379"/>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21">
    <w:nsid w:val="1A032D52"/>
    <w:multiLevelType w:val="multilevel"/>
    <w:tmpl w:val="1A032D52"/>
    <w:lvl w:ilvl="0" w:tentative="0">
      <w:start w:val="1"/>
      <w:numFmt w:val="chineseCountingThousand"/>
      <w:lvlText w:val="%1、"/>
      <w:lvlJc w:val="left"/>
      <w:pPr>
        <w:ind w:left="1413" w:hanging="420"/>
      </w:pPr>
    </w:lvl>
    <w:lvl w:ilvl="1" w:tentative="0">
      <w:start w:val="1"/>
      <w:numFmt w:val="lowerLetter"/>
      <w:lvlText w:val="%2)"/>
      <w:lvlJc w:val="left"/>
      <w:pPr>
        <w:tabs>
          <w:tab w:val="left" w:pos="847"/>
        </w:tabs>
        <w:ind w:left="847" w:hanging="420"/>
      </w:pPr>
    </w:lvl>
    <w:lvl w:ilvl="2" w:tentative="0">
      <w:start w:val="1"/>
      <w:numFmt w:val="lowerRoman"/>
      <w:lvlText w:val="%3."/>
      <w:lvlJc w:val="right"/>
      <w:pPr>
        <w:tabs>
          <w:tab w:val="left" w:pos="1267"/>
        </w:tabs>
        <w:ind w:left="1267" w:hanging="420"/>
      </w:pPr>
    </w:lvl>
    <w:lvl w:ilvl="3" w:tentative="0">
      <w:start w:val="1"/>
      <w:numFmt w:val="decimal"/>
      <w:lvlText w:val="%4."/>
      <w:lvlJc w:val="left"/>
      <w:pPr>
        <w:tabs>
          <w:tab w:val="left" w:pos="1687"/>
        </w:tabs>
        <w:ind w:left="1687" w:hanging="420"/>
      </w:pPr>
    </w:lvl>
    <w:lvl w:ilvl="4" w:tentative="0">
      <w:start w:val="1"/>
      <w:numFmt w:val="lowerLetter"/>
      <w:lvlText w:val="%5)"/>
      <w:lvlJc w:val="left"/>
      <w:pPr>
        <w:tabs>
          <w:tab w:val="left" w:pos="2107"/>
        </w:tabs>
        <w:ind w:left="2107" w:hanging="420"/>
      </w:pPr>
    </w:lvl>
    <w:lvl w:ilvl="5" w:tentative="0">
      <w:start w:val="1"/>
      <w:numFmt w:val="lowerRoman"/>
      <w:lvlText w:val="%6."/>
      <w:lvlJc w:val="right"/>
      <w:pPr>
        <w:tabs>
          <w:tab w:val="left" w:pos="2527"/>
        </w:tabs>
        <w:ind w:left="2527" w:hanging="420"/>
      </w:pPr>
    </w:lvl>
    <w:lvl w:ilvl="6" w:tentative="0">
      <w:start w:val="1"/>
      <w:numFmt w:val="decimal"/>
      <w:lvlText w:val="%7."/>
      <w:lvlJc w:val="left"/>
      <w:pPr>
        <w:tabs>
          <w:tab w:val="left" w:pos="2947"/>
        </w:tabs>
        <w:ind w:left="2947" w:hanging="420"/>
      </w:pPr>
    </w:lvl>
    <w:lvl w:ilvl="7" w:tentative="0">
      <w:start w:val="1"/>
      <w:numFmt w:val="lowerLetter"/>
      <w:lvlText w:val="%8)"/>
      <w:lvlJc w:val="left"/>
      <w:pPr>
        <w:tabs>
          <w:tab w:val="left" w:pos="3367"/>
        </w:tabs>
        <w:ind w:left="3367" w:hanging="420"/>
      </w:pPr>
    </w:lvl>
    <w:lvl w:ilvl="8" w:tentative="0">
      <w:start w:val="1"/>
      <w:numFmt w:val="lowerRoman"/>
      <w:lvlText w:val="%9."/>
      <w:lvlJc w:val="right"/>
      <w:pPr>
        <w:tabs>
          <w:tab w:val="left" w:pos="3787"/>
        </w:tabs>
        <w:ind w:left="3787" w:hanging="420"/>
      </w:pPr>
    </w:lvl>
  </w:abstractNum>
  <w:abstractNum w:abstractNumId="22">
    <w:nsid w:val="1F2A386E"/>
    <w:multiLevelType w:val="multilevel"/>
    <w:tmpl w:val="1F2A386E"/>
    <w:lvl w:ilvl="0" w:tentative="0">
      <w:start w:val="1"/>
      <w:numFmt w:val="chineseCountingThousand"/>
      <w:lvlText w:val="%1、"/>
      <w:lvlJc w:val="left"/>
      <w:pPr>
        <w:ind w:left="988" w:hanging="420"/>
      </w:pPr>
    </w:lvl>
    <w:lvl w:ilvl="1" w:tentative="0">
      <w:start w:val="1"/>
      <w:numFmt w:val="lowerLetter"/>
      <w:lvlText w:val="%2)"/>
      <w:lvlJc w:val="left"/>
      <w:pPr>
        <w:ind w:left="1550" w:hanging="420"/>
      </w:pPr>
    </w:lvl>
    <w:lvl w:ilvl="2" w:tentative="0">
      <w:start w:val="1"/>
      <w:numFmt w:val="lowerRoman"/>
      <w:lvlText w:val="%3."/>
      <w:lvlJc w:val="right"/>
      <w:pPr>
        <w:ind w:left="1970" w:hanging="420"/>
      </w:pPr>
    </w:lvl>
    <w:lvl w:ilvl="3" w:tentative="0">
      <w:start w:val="1"/>
      <w:numFmt w:val="decimal"/>
      <w:lvlText w:val="%4."/>
      <w:lvlJc w:val="left"/>
      <w:pPr>
        <w:ind w:left="2390" w:hanging="420"/>
      </w:pPr>
    </w:lvl>
    <w:lvl w:ilvl="4" w:tentative="0">
      <w:start w:val="1"/>
      <w:numFmt w:val="lowerLetter"/>
      <w:lvlText w:val="%5)"/>
      <w:lvlJc w:val="left"/>
      <w:pPr>
        <w:ind w:left="2810" w:hanging="420"/>
      </w:pPr>
    </w:lvl>
    <w:lvl w:ilvl="5" w:tentative="0">
      <w:start w:val="1"/>
      <w:numFmt w:val="lowerRoman"/>
      <w:lvlText w:val="%6."/>
      <w:lvlJc w:val="right"/>
      <w:pPr>
        <w:ind w:left="3230" w:hanging="420"/>
      </w:pPr>
    </w:lvl>
    <w:lvl w:ilvl="6" w:tentative="0">
      <w:start w:val="1"/>
      <w:numFmt w:val="decimal"/>
      <w:lvlText w:val="%7."/>
      <w:lvlJc w:val="left"/>
      <w:pPr>
        <w:ind w:left="3650" w:hanging="420"/>
      </w:pPr>
    </w:lvl>
    <w:lvl w:ilvl="7" w:tentative="0">
      <w:start w:val="1"/>
      <w:numFmt w:val="lowerLetter"/>
      <w:lvlText w:val="%8)"/>
      <w:lvlJc w:val="left"/>
      <w:pPr>
        <w:ind w:left="4070" w:hanging="420"/>
      </w:pPr>
    </w:lvl>
    <w:lvl w:ilvl="8" w:tentative="0">
      <w:start w:val="1"/>
      <w:numFmt w:val="lowerRoman"/>
      <w:lvlText w:val="%9."/>
      <w:lvlJc w:val="right"/>
      <w:pPr>
        <w:ind w:left="4490" w:hanging="420"/>
      </w:pPr>
    </w:lvl>
  </w:abstractNum>
  <w:abstractNum w:abstractNumId="23">
    <w:nsid w:val="27B0359A"/>
    <w:multiLevelType w:val="multilevel"/>
    <w:tmpl w:val="27B0359A"/>
    <w:lvl w:ilvl="0" w:tentative="0">
      <w:start w:val="1"/>
      <w:numFmt w:val="japaneseCounting"/>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4">
    <w:nsid w:val="28267C73"/>
    <w:multiLevelType w:val="multilevel"/>
    <w:tmpl w:val="28267C7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5">
    <w:nsid w:val="316418D8"/>
    <w:multiLevelType w:val="multilevel"/>
    <w:tmpl w:val="316418D8"/>
    <w:lvl w:ilvl="0" w:tentative="0">
      <w:start w:val="1"/>
      <w:numFmt w:val="chineseCountingThousand"/>
      <w:lvlText w:val="%1、"/>
      <w:lvlJc w:val="left"/>
      <w:pPr>
        <w:ind w:left="846" w:hanging="420"/>
      </w:p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6">
    <w:nsid w:val="3424055C"/>
    <w:multiLevelType w:val="multilevel"/>
    <w:tmpl w:val="3424055C"/>
    <w:lvl w:ilvl="0" w:tentative="0">
      <w:start w:val="1"/>
      <w:numFmt w:val="japaneseCounting"/>
      <w:lvlText w:val="%1、"/>
      <w:lvlJc w:val="left"/>
      <w:pPr>
        <w:ind w:left="988" w:hanging="420"/>
      </w:pPr>
      <w:rPr>
        <w:rFonts w:ascii="宋体" w:hAnsi="宋体" w:eastAsia="宋体" w:cs="Times New Roman"/>
        <w:sz w:val="28"/>
        <w:szCs w:val="28"/>
      </w:rPr>
    </w:lvl>
    <w:lvl w:ilvl="1" w:tentative="0">
      <w:start w:val="1"/>
      <w:numFmt w:val="lowerLetter"/>
      <w:lvlText w:val="%2)"/>
      <w:lvlJc w:val="left"/>
      <w:pPr>
        <w:ind w:left="415" w:hanging="420"/>
      </w:pPr>
    </w:lvl>
    <w:lvl w:ilvl="2" w:tentative="0">
      <w:start w:val="1"/>
      <w:numFmt w:val="lowerRoman"/>
      <w:lvlText w:val="%3."/>
      <w:lvlJc w:val="right"/>
      <w:pPr>
        <w:ind w:left="835" w:hanging="420"/>
      </w:pPr>
    </w:lvl>
    <w:lvl w:ilvl="3" w:tentative="0">
      <w:start w:val="1"/>
      <w:numFmt w:val="decimal"/>
      <w:lvlText w:val="%4."/>
      <w:lvlJc w:val="left"/>
      <w:pPr>
        <w:ind w:left="1255" w:hanging="420"/>
      </w:pPr>
    </w:lvl>
    <w:lvl w:ilvl="4" w:tentative="0">
      <w:start w:val="1"/>
      <w:numFmt w:val="lowerLetter"/>
      <w:lvlText w:val="%5)"/>
      <w:lvlJc w:val="left"/>
      <w:pPr>
        <w:ind w:left="1675" w:hanging="420"/>
      </w:pPr>
    </w:lvl>
    <w:lvl w:ilvl="5" w:tentative="0">
      <w:start w:val="1"/>
      <w:numFmt w:val="lowerRoman"/>
      <w:lvlText w:val="%6."/>
      <w:lvlJc w:val="right"/>
      <w:pPr>
        <w:ind w:left="2095" w:hanging="420"/>
      </w:pPr>
    </w:lvl>
    <w:lvl w:ilvl="6" w:tentative="0">
      <w:start w:val="1"/>
      <w:numFmt w:val="decimal"/>
      <w:lvlText w:val="%7."/>
      <w:lvlJc w:val="left"/>
      <w:pPr>
        <w:ind w:left="2515" w:hanging="420"/>
      </w:pPr>
    </w:lvl>
    <w:lvl w:ilvl="7" w:tentative="0">
      <w:start w:val="1"/>
      <w:numFmt w:val="lowerLetter"/>
      <w:lvlText w:val="%8)"/>
      <w:lvlJc w:val="left"/>
      <w:pPr>
        <w:ind w:left="2935" w:hanging="420"/>
      </w:pPr>
    </w:lvl>
    <w:lvl w:ilvl="8" w:tentative="0">
      <w:start w:val="1"/>
      <w:numFmt w:val="lowerRoman"/>
      <w:lvlText w:val="%9."/>
      <w:lvlJc w:val="right"/>
      <w:pPr>
        <w:ind w:left="3355" w:hanging="420"/>
      </w:pPr>
    </w:lvl>
  </w:abstractNum>
  <w:abstractNum w:abstractNumId="27">
    <w:nsid w:val="34D50379"/>
    <w:multiLevelType w:val="multilevel"/>
    <w:tmpl w:val="34D50379"/>
    <w:lvl w:ilvl="0" w:tentative="0">
      <w:start w:val="1"/>
      <w:numFmt w:val="decimal"/>
      <w:lvlText w:val="%1."/>
      <w:lvlJc w:val="left"/>
      <w:pPr>
        <w:ind w:left="840" w:hanging="420"/>
      </w:pPr>
    </w:lvl>
    <w:lvl w:ilvl="1" w:tentative="0">
      <w:start w:val="1"/>
      <w:numFmt w:val="decimal"/>
      <w:lvlText w:val="%2）"/>
      <w:lvlJc w:val="left"/>
      <w:pPr>
        <w:ind w:left="1560" w:hanging="720"/>
      </w:pPr>
      <w:rPr>
        <w:b w:val="0"/>
        <w:color w:val="000000"/>
      </w:rPr>
    </w:lvl>
    <w:lvl w:ilvl="2" w:tentative="0">
      <w:start w:val="1"/>
      <w:numFmt w:val="chineseCountingThousand"/>
      <w:lvlText w:val="%3、"/>
      <w:lvlJc w:val="left"/>
      <w:pPr>
        <w:ind w:left="60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8">
    <w:nsid w:val="380C5947"/>
    <w:multiLevelType w:val="multilevel"/>
    <w:tmpl w:val="380C5947"/>
    <w:lvl w:ilvl="0" w:tentative="0">
      <w:start w:val="1"/>
      <w:numFmt w:val="chineseCountingThousand"/>
      <w:lvlText w:val="%1、"/>
      <w:lvlJc w:val="left"/>
      <w:pPr>
        <w:ind w:left="846" w:hanging="420"/>
      </w:pPr>
      <w:rPr>
        <w:rFonts w:hint="eastAsia"/>
        <w:b/>
        <w:sz w:val="28"/>
        <w:szCs w:val="28"/>
      </w:rPr>
    </w:lvl>
    <w:lvl w:ilvl="1" w:tentative="0">
      <w:start w:val="1"/>
      <w:numFmt w:val="lowerLetter"/>
      <w:lvlText w:val="%2)"/>
      <w:lvlJc w:val="left"/>
      <w:pPr>
        <w:ind w:left="-3289" w:hanging="420"/>
      </w:pPr>
    </w:lvl>
    <w:lvl w:ilvl="2" w:tentative="0">
      <w:start w:val="1"/>
      <w:numFmt w:val="lowerRoman"/>
      <w:lvlText w:val="%3."/>
      <w:lvlJc w:val="right"/>
      <w:pPr>
        <w:ind w:left="-2869" w:hanging="420"/>
      </w:pPr>
    </w:lvl>
    <w:lvl w:ilvl="3" w:tentative="0">
      <w:start w:val="1"/>
      <w:numFmt w:val="decimal"/>
      <w:lvlText w:val="%4."/>
      <w:lvlJc w:val="left"/>
      <w:pPr>
        <w:ind w:left="-2449" w:hanging="420"/>
      </w:pPr>
    </w:lvl>
    <w:lvl w:ilvl="4" w:tentative="0">
      <w:start w:val="1"/>
      <w:numFmt w:val="lowerLetter"/>
      <w:lvlText w:val="%5)"/>
      <w:lvlJc w:val="left"/>
      <w:pPr>
        <w:ind w:left="-2029" w:hanging="420"/>
      </w:pPr>
    </w:lvl>
    <w:lvl w:ilvl="5" w:tentative="0">
      <w:start w:val="1"/>
      <w:numFmt w:val="lowerRoman"/>
      <w:lvlText w:val="%6."/>
      <w:lvlJc w:val="right"/>
      <w:pPr>
        <w:ind w:left="-1609" w:hanging="420"/>
      </w:pPr>
    </w:lvl>
    <w:lvl w:ilvl="6" w:tentative="0">
      <w:start w:val="1"/>
      <w:numFmt w:val="decimal"/>
      <w:lvlText w:val="%7."/>
      <w:lvlJc w:val="left"/>
      <w:pPr>
        <w:ind w:left="-1189" w:hanging="420"/>
      </w:pPr>
    </w:lvl>
    <w:lvl w:ilvl="7" w:tentative="0">
      <w:start w:val="1"/>
      <w:numFmt w:val="lowerLetter"/>
      <w:lvlText w:val="%8)"/>
      <w:lvlJc w:val="left"/>
      <w:pPr>
        <w:ind w:left="-769" w:hanging="420"/>
      </w:pPr>
    </w:lvl>
    <w:lvl w:ilvl="8" w:tentative="0">
      <w:start w:val="1"/>
      <w:numFmt w:val="lowerRoman"/>
      <w:lvlText w:val="%9."/>
      <w:lvlJc w:val="right"/>
      <w:pPr>
        <w:ind w:left="-349" w:hanging="420"/>
      </w:pPr>
    </w:lvl>
  </w:abstractNum>
  <w:abstractNum w:abstractNumId="29">
    <w:nsid w:val="4C1635C4"/>
    <w:multiLevelType w:val="multilevel"/>
    <w:tmpl w:val="4C1635C4"/>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0">
    <w:nsid w:val="4C72071B"/>
    <w:multiLevelType w:val="multilevel"/>
    <w:tmpl w:val="4C72071B"/>
    <w:lvl w:ilvl="0" w:tentative="0">
      <w:start w:val="1"/>
      <w:numFmt w:val="chineseCountingThousand"/>
      <w:lvlText w:val="%1、"/>
      <w:lvlJc w:val="left"/>
      <w:pPr>
        <w:ind w:left="420" w:hanging="420"/>
      </w:pPr>
      <w:rPr>
        <w:sz w:val="28"/>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31">
    <w:nsid w:val="4CC31705"/>
    <w:multiLevelType w:val="multilevel"/>
    <w:tmpl w:val="4CC31705"/>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2">
    <w:nsid w:val="53F22A82"/>
    <w:multiLevelType w:val="multilevel"/>
    <w:tmpl w:val="53F22A82"/>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3">
    <w:nsid w:val="60642B38"/>
    <w:multiLevelType w:val="multilevel"/>
    <w:tmpl w:val="60642B38"/>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4">
    <w:nsid w:val="61273E2B"/>
    <w:multiLevelType w:val="multilevel"/>
    <w:tmpl w:val="61273E2B"/>
    <w:lvl w:ilvl="0" w:tentative="0">
      <w:start w:val="1"/>
      <w:numFmt w:val="chineseCountingThousand"/>
      <w:suff w:val="nothing"/>
      <w:lvlText w:val="%1、"/>
      <w:lvlJc w:val="left"/>
      <w:pPr>
        <w:ind w:left="1270" w:hanging="420"/>
      </w:pPr>
      <w:rPr>
        <w:b/>
      </w:rPr>
    </w:lvl>
    <w:lvl w:ilvl="1" w:tentative="0">
      <w:start w:val="1"/>
      <w:numFmt w:val="chineseCountingThousand"/>
      <w:lvlText w:val="(%2)"/>
      <w:lvlJc w:val="left"/>
      <w:pPr>
        <w:tabs>
          <w:tab w:val="left" w:pos="1130"/>
        </w:tabs>
        <w:ind w:left="1130" w:hanging="420"/>
      </w:pPr>
      <w:rPr>
        <w:b w:val="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5">
    <w:nsid w:val="61273EBA"/>
    <w:multiLevelType w:val="multilevel"/>
    <w:tmpl w:val="61273EBA"/>
    <w:lvl w:ilvl="0" w:tentative="0">
      <w:start w:val="1"/>
      <w:numFmt w:val="chineseCountingThousand"/>
      <w:lvlText w:val="(%1)"/>
      <w:lvlJc w:val="left"/>
      <w:pPr>
        <w:ind w:left="2972"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6">
    <w:nsid w:val="612A4F6F"/>
    <w:multiLevelType w:val="multilevel"/>
    <w:tmpl w:val="612A4F6F"/>
    <w:lvl w:ilvl="0" w:tentative="0">
      <w:start w:val="1"/>
      <w:numFmt w:val="chineseCountingThousand"/>
      <w:lvlText w:val="%1、"/>
      <w:lvlJc w:val="left"/>
      <w:pPr>
        <w:ind w:left="988" w:hanging="420"/>
      </w:p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37">
    <w:nsid w:val="612C369D"/>
    <w:multiLevelType w:val="singleLevel"/>
    <w:tmpl w:val="612C369D"/>
    <w:lvl w:ilvl="0" w:tentative="0">
      <w:start w:val="6"/>
      <w:numFmt w:val="chineseCounting"/>
      <w:suff w:val="nothing"/>
      <w:lvlText w:val="%1、"/>
      <w:lvlJc w:val="left"/>
    </w:lvl>
  </w:abstractNum>
  <w:abstractNum w:abstractNumId="38">
    <w:nsid w:val="612C4C9C"/>
    <w:multiLevelType w:val="singleLevel"/>
    <w:tmpl w:val="612C4C9C"/>
    <w:lvl w:ilvl="0" w:tentative="0">
      <w:start w:val="4"/>
      <w:numFmt w:val="chineseCounting"/>
      <w:suff w:val="nothing"/>
      <w:lvlText w:val="(%1）"/>
      <w:lvlJc w:val="left"/>
    </w:lvl>
  </w:abstractNum>
  <w:abstractNum w:abstractNumId="39">
    <w:nsid w:val="612C51E6"/>
    <w:multiLevelType w:val="singleLevel"/>
    <w:tmpl w:val="612C51E6"/>
    <w:lvl w:ilvl="0" w:tentative="0">
      <w:start w:val="1"/>
      <w:numFmt w:val="chineseCounting"/>
      <w:suff w:val="space"/>
      <w:lvlText w:val="（%1）"/>
      <w:lvlJc w:val="left"/>
    </w:lvl>
  </w:abstractNum>
  <w:abstractNum w:abstractNumId="40">
    <w:nsid w:val="61303B69"/>
    <w:multiLevelType w:val="singleLevel"/>
    <w:tmpl w:val="61303B69"/>
    <w:lvl w:ilvl="0" w:tentative="0">
      <w:start w:val="3"/>
      <w:numFmt w:val="chineseCounting"/>
      <w:suff w:val="nothing"/>
      <w:lvlText w:val="%1、"/>
      <w:lvlJc w:val="left"/>
    </w:lvl>
  </w:abstractNum>
  <w:abstractNum w:abstractNumId="41">
    <w:nsid w:val="61303B8E"/>
    <w:multiLevelType w:val="singleLevel"/>
    <w:tmpl w:val="61303B8E"/>
    <w:lvl w:ilvl="0" w:tentative="0">
      <w:start w:val="1"/>
      <w:numFmt w:val="decimal"/>
      <w:suff w:val="nothing"/>
      <w:lvlText w:val="%1."/>
      <w:lvlJc w:val="left"/>
    </w:lvl>
  </w:abstractNum>
  <w:abstractNum w:abstractNumId="42">
    <w:nsid w:val="6135A1B7"/>
    <w:multiLevelType w:val="singleLevel"/>
    <w:tmpl w:val="6135A1B7"/>
    <w:lvl w:ilvl="0" w:tentative="0">
      <w:start w:val="9"/>
      <w:numFmt w:val="chineseCounting"/>
      <w:suff w:val="nothing"/>
      <w:lvlText w:val="%1、"/>
      <w:lvlJc w:val="left"/>
    </w:lvl>
  </w:abstractNum>
  <w:abstractNum w:abstractNumId="43">
    <w:nsid w:val="61FA781F"/>
    <w:multiLevelType w:val="multilevel"/>
    <w:tmpl w:val="61FA781F"/>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4">
    <w:nsid w:val="638064AA"/>
    <w:multiLevelType w:val="multilevel"/>
    <w:tmpl w:val="638064AA"/>
    <w:lvl w:ilvl="0" w:tentative="0">
      <w:start w:val="1"/>
      <w:numFmt w:val="japaneseCounting"/>
      <w:lvlText w:val="%1、"/>
      <w:lvlJc w:val="left"/>
      <w:pPr>
        <w:ind w:left="2282"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5">
    <w:nsid w:val="63C242C0"/>
    <w:multiLevelType w:val="multilevel"/>
    <w:tmpl w:val="63C242C0"/>
    <w:lvl w:ilvl="0" w:tentative="0">
      <w:start w:val="1"/>
      <w:numFmt w:val="decimal"/>
      <w:lvlText w:val="%1."/>
      <w:lvlJc w:val="left"/>
      <w:pPr>
        <w:ind w:left="138" w:hanging="420"/>
      </w:pPr>
    </w:lvl>
    <w:lvl w:ilvl="1" w:tentative="0">
      <w:start w:val="1"/>
      <w:numFmt w:val="lowerLetter"/>
      <w:lvlText w:val="%2)"/>
      <w:lvlJc w:val="left"/>
      <w:pPr>
        <w:ind w:left="558" w:hanging="420"/>
      </w:pPr>
    </w:lvl>
    <w:lvl w:ilvl="2" w:tentative="0">
      <w:start w:val="1"/>
      <w:numFmt w:val="chineseCountingThousand"/>
      <w:lvlText w:val="%3、"/>
      <w:lvlJc w:val="left"/>
      <w:pPr>
        <w:ind w:left="848" w:hanging="420"/>
      </w:pPr>
      <w:rPr>
        <w:rFonts w:hint="default"/>
        <w:b w:val="0"/>
        <w:sz w:val="28"/>
        <w:szCs w:val="28"/>
      </w:rPr>
    </w:lvl>
    <w:lvl w:ilvl="3" w:tentative="0">
      <w:start w:val="1"/>
      <w:numFmt w:val="decimal"/>
      <w:lvlText w:val="%4."/>
      <w:lvlJc w:val="left"/>
      <w:pPr>
        <w:ind w:left="1398" w:hanging="420"/>
      </w:pPr>
    </w:lvl>
    <w:lvl w:ilvl="4" w:tentative="0">
      <w:start w:val="1"/>
      <w:numFmt w:val="lowerLetter"/>
      <w:lvlText w:val="%5)"/>
      <w:lvlJc w:val="left"/>
      <w:pPr>
        <w:ind w:left="1818" w:hanging="420"/>
      </w:pPr>
    </w:lvl>
    <w:lvl w:ilvl="5" w:tentative="0">
      <w:start w:val="1"/>
      <w:numFmt w:val="lowerRoman"/>
      <w:lvlText w:val="%6."/>
      <w:lvlJc w:val="right"/>
      <w:pPr>
        <w:ind w:left="2238" w:hanging="420"/>
      </w:pPr>
    </w:lvl>
    <w:lvl w:ilvl="6" w:tentative="0">
      <w:start w:val="1"/>
      <w:numFmt w:val="decimal"/>
      <w:lvlText w:val="%7."/>
      <w:lvlJc w:val="left"/>
      <w:pPr>
        <w:ind w:left="2658" w:hanging="420"/>
      </w:pPr>
    </w:lvl>
    <w:lvl w:ilvl="7" w:tentative="0">
      <w:start w:val="1"/>
      <w:numFmt w:val="lowerLetter"/>
      <w:lvlText w:val="%8)"/>
      <w:lvlJc w:val="left"/>
      <w:pPr>
        <w:ind w:left="3078" w:hanging="420"/>
      </w:pPr>
    </w:lvl>
    <w:lvl w:ilvl="8" w:tentative="0">
      <w:start w:val="1"/>
      <w:numFmt w:val="lowerRoman"/>
      <w:lvlText w:val="%9."/>
      <w:lvlJc w:val="right"/>
      <w:pPr>
        <w:ind w:left="3498" w:hanging="420"/>
      </w:pPr>
    </w:lvl>
  </w:abstractNum>
  <w:abstractNum w:abstractNumId="46">
    <w:nsid w:val="6F5B4150"/>
    <w:multiLevelType w:val="multilevel"/>
    <w:tmpl w:val="6F5B4150"/>
    <w:lvl w:ilvl="0" w:tentative="0">
      <w:start w:val="1"/>
      <w:numFmt w:val="chineseCountingThousand"/>
      <w:lvlText w:val="%1、"/>
      <w:lvlJc w:val="left"/>
      <w:pPr>
        <w:ind w:left="846" w:hanging="420"/>
      </w:pPr>
      <w:rPr>
        <w:rFonts w:hint="eastAsia"/>
        <w:b/>
        <w:sz w:val="28"/>
        <w:szCs w:val="28"/>
      </w:rPr>
    </w:lvl>
    <w:lvl w:ilvl="1" w:tentative="0">
      <w:start w:val="1"/>
      <w:numFmt w:val="lowerLetter"/>
      <w:lvlText w:val="%2)"/>
      <w:lvlJc w:val="left"/>
      <w:pPr>
        <w:ind w:left="-3289" w:hanging="420"/>
      </w:pPr>
    </w:lvl>
    <w:lvl w:ilvl="2" w:tentative="0">
      <w:start w:val="1"/>
      <w:numFmt w:val="lowerRoman"/>
      <w:lvlText w:val="%3."/>
      <w:lvlJc w:val="right"/>
      <w:pPr>
        <w:ind w:left="-2869" w:hanging="420"/>
      </w:pPr>
    </w:lvl>
    <w:lvl w:ilvl="3" w:tentative="0">
      <w:start w:val="1"/>
      <w:numFmt w:val="decimal"/>
      <w:lvlText w:val="%4."/>
      <w:lvlJc w:val="left"/>
      <w:pPr>
        <w:ind w:left="-2449" w:hanging="420"/>
      </w:pPr>
    </w:lvl>
    <w:lvl w:ilvl="4" w:tentative="0">
      <w:start w:val="1"/>
      <w:numFmt w:val="lowerLetter"/>
      <w:lvlText w:val="%5)"/>
      <w:lvlJc w:val="left"/>
      <w:pPr>
        <w:ind w:left="-2029" w:hanging="420"/>
      </w:pPr>
    </w:lvl>
    <w:lvl w:ilvl="5" w:tentative="0">
      <w:start w:val="1"/>
      <w:numFmt w:val="lowerRoman"/>
      <w:lvlText w:val="%6."/>
      <w:lvlJc w:val="right"/>
      <w:pPr>
        <w:ind w:left="-1609" w:hanging="420"/>
      </w:pPr>
    </w:lvl>
    <w:lvl w:ilvl="6" w:tentative="0">
      <w:start w:val="1"/>
      <w:numFmt w:val="decimal"/>
      <w:lvlText w:val="%7."/>
      <w:lvlJc w:val="left"/>
      <w:pPr>
        <w:ind w:left="-1189" w:hanging="420"/>
      </w:pPr>
    </w:lvl>
    <w:lvl w:ilvl="7" w:tentative="0">
      <w:start w:val="1"/>
      <w:numFmt w:val="lowerLetter"/>
      <w:lvlText w:val="%8)"/>
      <w:lvlJc w:val="left"/>
      <w:pPr>
        <w:ind w:left="-769" w:hanging="420"/>
      </w:pPr>
    </w:lvl>
    <w:lvl w:ilvl="8" w:tentative="0">
      <w:start w:val="1"/>
      <w:numFmt w:val="lowerRoman"/>
      <w:lvlText w:val="%9."/>
      <w:lvlJc w:val="right"/>
      <w:pPr>
        <w:ind w:left="-349" w:hanging="420"/>
      </w:pPr>
    </w:lvl>
  </w:abstractNum>
  <w:abstractNum w:abstractNumId="47">
    <w:nsid w:val="70CA42E2"/>
    <w:multiLevelType w:val="multilevel"/>
    <w:tmpl w:val="70CA42E2"/>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8">
    <w:nsid w:val="716F767A"/>
    <w:multiLevelType w:val="multilevel"/>
    <w:tmpl w:val="716F767A"/>
    <w:lvl w:ilvl="0" w:tentative="0">
      <w:start w:val="1"/>
      <w:numFmt w:val="chineseCountingThousand"/>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49">
    <w:nsid w:val="75656F13"/>
    <w:multiLevelType w:val="multilevel"/>
    <w:tmpl w:val="75656F13"/>
    <w:lvl w:ilvl="0" w:tentative="0">
      <w:start w:val="1"/>
      <w:numFmt w:val="chineseCountingThousand"/>
      <w:lvlText w:val="(%1)"/>
      <w:lvlJc w:val="left"/>
      <w:pPr>
        <w:tabs>
          <w:tab w:val="left" w:pos="846"/>
        </w:tabs>
        <w:ind w:left="846" w:hanging="420"/>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50">
    <w:nsid w:val="789D00AF"/>
    <w:multiLevelType w:val="multilevel"/>
    <w:tmpl w:val="789D00AF"/>
    <w:lvl w:ilvl="0" w:tentative="0">
      <w:start w:val="1"/>
      <w:numFmt w:val="chineseCountingThousand"/>
      <w:lvlText w:val="(%1)"/>
      <w:lvlJc w:val="left"/>
      <w:pPr>
        <w:ind w:left="972" w:hanging="420"/>
      </w:pPr>
      <w:rPr>
        <w:b w:val="0"/>
      </w:rPr>
    </w:lvl>
    <w:lvl w:ilvl="1" w:tentative="0">
      <w:start w:val="1"/>
      <w:numFmt w:val="lowerLetter"/>
      <w:lvlText w:val="%2)"/>
      <w:lvlJc w:val="left"/>
      <w:pPr>
        <w:ind w:left="1392" w:hanging="420"/>
      </w:pPr>
    </w:lvl>
    <w:lvl w:ilvl="2" w:tentative="0">
      <w:start w:val="1"/>
      <w:numFmt w:val="lowerRoman"/>
      <w:lvlText w:val="%3."/>
      <w:lvlJc w:val="right"/>
      <w:pPr>
        <w:ind w:left="1812" w:hanging="420"/>
      </w:pPr>
    </w:lvl>
    <w:lvl w:ilvl="3" w:tentative="0">
      <w:start w:val="1"/>
      <w:numFmt w:val="decimal"/>
      <w:lvlText w:val="%4."/>
      <w:lvlJc w:val="left"/>
      <w:pPr>
        <w:ind w:left="2232" w:hanging="420"/>
      </w:pPr>
    </w:lvl>
    <w:lvl w:ilvl="4" w:tentative="0">
      <w:start w:val="1"/>
      <w:numFmt w:val="lowerLetter"/>
      <w:lvlText w:val="%5)"/>
      <w:lvlJc w:val="left"/>
      <w:pPr>
        <w:ind w:left="2652" w:hanging="420"/>
      </w:pPr>
    </w:lvl>
    <w:lvl w:ilvl="5" w:tentative="0">
      <w:start w:val="1"/>
      <w:numFmt w:val="lowerRoman"/>
      <w:lvlText w:val="%6."/>
      <w:lvlJc w:val="right"/>
      <w:pPr>
        <w:ind w:left="3072" w:hanging="420"/>
      </w:pPr>
    </w:lvl>
    <w:lvl w:ilvl="6" w:tentative="0">
      <w:start w:val="1"/>
      <w:numFmt w:val="decimal"/>
      <w:lvlText w:val="%7."/>
      <w:lvlJc w:val="left"/>
      <w:pPr>
        <w:ind w:left="3492" w:hanging="420"/>
      </w:pPr>
    </w:lvl>
    <w:lvl w:ilvl="7" w:tentative="0">
      <w:start w:val="1"/>
      <w:numFmt w:val="lowerLetter"/>
      <w:lvlText w:val="%8)"/>
      <w:lvlJc w:val="left"/>
      <w:pPr>
        <w:ind w:left="3912" w:hanging="420"/>
      </w:pPr>
    </w:lvl>
    <w:lvl w:ilvl="8" w:tentative="0">
      <w:start w:val="1"/>
      <w:numFmt w:val="lowerRoman"/>
      <w:lvlText w:val="%9."/>
      <w:lvlJc w:val="right"/>
      <w:pPr>
        <w:ind w:left="4332" w:hanging="420"/>
      </w:pPr>
    </w:lvl>
  </w:abstractNum>
  <w:abstractNum w:abstractNumId="51">
    <w:nsid w:val="7F511D7D"/>
    <w:multiLevelType w:val="multilevel"/>
    <w:tmpl w:val="7F511D7D"/>
    <w:lvl w:ilvl="0" w:tentative="0">
      <w:start w:val="1"/>
      <w:numFmt w:val="chineseCountingThousand"/>
      <w:lvlText w:val="%1、"/>
      <w:lvlJc w:val="left"/>
      <w:pPr>
        <w:ind w:left="988" w:hanging="420"/>
      </w:pPr>
      <w:rPr>
        <w:sz w:val="28"/>
        <w:szCs w:val="28"/>
      </w:rPr>
    </w:lvl>
    <w:lvl w:ilvl="1" w:tentative="0">
      <w:start w:val="1"/>
      <w:numFmt w:val="decimal"/>
      <w:isLgl/>
      <w:lvlText w:val="%1.%2"/>
      <w:lvlJc w:val="left"/>
      <w:pPr>
        <w:ind w:left="1528" w:hanging="960"/>
      </w:pPr>
    </w:lvl>
    <w:lvl w:ilvl="2" w:tentative="0">
      <w:start w:val="1"/>
      <w:numFmt w:val="decimal"/>
      <w:isLgl/>
      <w:lvlText w:val="%1.%2.%3"/>
      <w:lvlJc w:val="left"/>
      <w:pPr>
        <w:ind w:left="1528" w:hanging="960"/>
      </w:pPr>
    </w:lvl>
    <w:lvl w:ilvl="3" w:tentative="0">
      <w:start w:val="1"/>
      <w:numFmt w:val="decimal"/>
      <w:isLgl/>
      <w:lvlText w:val="%1.%2.%3.%4"/>
      <w:lvlJc w:val="left"/>
      <w:pPr>
        <w:ind w:left="1648" w:hanging="1080"/>
      </w:pPr>
    </w:lvl>
    <w:lvl w:ilvl="4" w:tentative="0">
      <w:start w:val="1"/>
      <w:numFmt w:val="decimal"/>
      <w:isLgl/>
      <w:lvlText w:val="%1.%2.%3.%4.%5"/>
      <w:lvlJc w:val="left"/>
      <w:pPr>
        <w:ind w:left="1648" w:hanging="1080"/>
      </w:pPr>
    </w:lvl>
    <w:lvl w:ilvl="5" w:tentative="0">
      <w:start w:val="1"/>
      <w:numFmt w:val="decimal"/>
      <w:isLgl/>
      <w:lvlText w:val="%1.%2.%3.%4.%5.%6"/>
      <w:lvlJc w:val="left"/>
      <w:pPr>
        <w:ind w:left="2008" w:hanging="1440"/>
      </w:pPr>
    </w:lvl>
    <w:lvl w:ilvl="6" w:tentative="0">
      <w:start w:val="1"/>
      <w:numFmt w:val="decimal"/>
      <w:isLgl/>
      <w:lvlText w:val="%1.%2.%3.%4.%5.%6.%7"/>
      <w:lvlJc w:val="left"/>
      <w:pPr>
        <w:ind w:left="2368" w:hanging="1800"/>
      </w:pPr>
    </w:lvl>
    <w:lvl w:ilvl="7" w:tentative="0">
      <w:start w:val="1"/>
      <w:numFmt w:val="decimal"/>
      <w:isLgl/>
      <w:lvlText w:val="%1.%2.%3.%4.%5.%6.%7.%8"/>
      <w:lvlJc w:val="left"/>
      <w:pPr>
        <w:ind w:left="2368" w:hanging="1800"/>
      </w:pPr>
    </w:lvl>
    <w:lvl w:ilvl="8" w:tentative="0">
      <w:start w:val="1"/>
      <w:numFmt w:val="decimal"/>
      <w:isLgl/>
      <w:lvlText w:val="%1.%2.%3.%4.%5.%6.%7.%8.%9"/>
      <w:lvlJc w:val="left"/>
      <w:pPr>
        <w:ind w:left="2728" w:hanging="2160"/>
      </w:pPr>
    </w:lvl>
  </w:abstractNum>
  <w:num w:numId="1">
    <w:abstractNumId w:val="11"/>
  </w:num>
  <w:num w:numId="2">
    <w:abstractNumId w:val="7"/>
  </w:num>
  <w:num w:numId="3">
    <w:abstractNumId w:val="0"/>
  </w:num>
  <w:num w:numId="4">
    <w:abstractNumId w:val="1"/>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4"/>
  </w:num>
  <w:num w:numId="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6"/>
    <w:lvlOverride w:ilvl="0">
      <w:startOverride w:val="1"/>
    </w:lvlOverride>
  </w:num>
  <w:num w:numId="20">
    <w:abstractNumId w:val="35"/>
  </w:num>
  <w:num w:numId="21">
    <w:abstractNumId w:val="38"/>
  </w:num>
  <w:num w:numId="2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startOverride w:val="5"/>
    </w:lvlOverride>
    <w:lvlOverride w:ilvl="1">
      <w:startOverride w:val="1"/>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5"/>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7"/>
  </w:num>
  <w:num w:numId="37">
    <w:abstractNumId w:val="11"/>
    <w:lvlOverride w:ilvl="3">
      <w:startOverride w:val="1"/>
    </w:lvlOverride>
  </w:num>
  <w:num w:numId="38">
    <w:abstractNumId w:val="39"/>
  </w:num>
  <w:num w:numId="3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3"/>
  </w:num>
  <w:num w:numId="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6"/>
  </w:num>
  <w:num w:numId="4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1"/>
  </w:num>
  <w:num w:numId="5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0"/>
  </w:num>
  <w:num w:numId="57">
    <w:abstractNumId w:val="41"/>
  </w:num>
  <w:num w:numId="58">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16D4"/>
    <w:rsid w:val="000014AD"/>
    <w:rsid w:val="00012151"/>
    <w:rsid w:val="00012626"/>
    <w:rsid w:val="000141F6"/>
    <w:rsid w:val="00014A41"/>
    <w:rsid w:val="000175B6"/>
    <w:rsid w:val="000243B4"/>
    <w:rsid w:val="00027377"/>
    <w:rsid w:val="00030E31"/>
    <w:rsid w:val="00034235"/>
    <w:rsid w:val="0003441E"/>
    <w:rsid w:val="000352C7"/>
    <w:rsid w:val="00036D45"/>
    <w:rsid w:val="00037CCE"/>
    <w:rsid w:val="000403DE"/>
    <w:rsid w:val="000514D3"/>
    <w:rsid w:val="000518B7"/>
    <w:rsid w:val="00051C10"/>
    <w:rsid w:val="000556AE"/>
    <w:rsid w:val="00056BC2"/>
    <w:rsid w:val="00060F5A"/>
    <w:rsid w:val="00061B1F"/>
    <w:rsid w:val="00062ED3"/>
    <w:rsid w:val="00064CC8"/>
    <w:rsid w:val="00071C77"/>
    <w:rsid w:val="00072223"/>
    <w:rsid w:val="0007245D"/>
    <w:rsid w:val="00072790"/>
    <w:rsid w:val="000740B8"/>
    <w:rsid w:val="00075226"/>
    <w:rsid w:val="0008183B"/>
    <w:rsid w:val="0008351A"/>
    <w:rsid w:val="0008396B"/>
    <w:rsid w:val="00090CEC"/>
    <w:rsid w:val="00094004"/>
    <w:rsid w:val="00094BF4"/>
    <w:rsid w:val="00096E03"/>
    <w:rsid w:val="00097F27"/>
    <w:rsid w:val="000A04C0"/>
    <w:rsid w:val="000A0A88"/>
    <w:rsid w:val="000A1D1F"/>
    <w:rsid w:val="000A2F7D"/>
    <w:rsid w:val="000A6A86"/>
    <w:rsid w:val="000B0566"/>
    <w:rsid w:val="000B0BDD"/>
    <w:rsid w:val="000B6BFA"/>
    <w:rsid w:val="000C156C"/>
    <w:rsid w:val="000C4591"/>
    <w:rsid w:val="000C52E5"/>
    <w:rsid w:val="000D18C0"/>
    <w:rsid w:val="000D261C"/>
    <w:rsid w:val="000D28CC"/>
    <w:rsid w:val="000D4993"/>
    <w:rsid w:val="000E7E9D"/>
    <w:rsid w:val="000F0E67"/>
    <w:rsid w:val="000F60AD"/>
    <w:rsid w:val="001032A8"/>
    <w:rsid w:val="001050C6"/>
    <w:rsid w:val="0010588D"/>
    <w:rsid w:val="00105E67"/>
    <w:rsid w:val="001073E5"/>
    <w:rsid w:val="00107411"/>
    <w:rsid w:val="00111D9C"/>
    <w:rsid w:val="0011368F"/>
    <w:rsid w:val="00117416"/>
    <w:rsid w:val="001178B2"/>
    <w:rsid w:val="00120CE7"/>
    <w:rsid w:val="00121DB8"/>
    <w:rsid w:val="00122BD7"/>
    <w:rsid w:val="00122D97"/>
    <w:rsid w:val="001237A6"/>
    <w:rsid w:val="00123A95"/>
    <w:rsid w:val="001262A7"/>
    <w:rsid w:val="00127207"/>
    <w:rsid w:val="00132C64"/>
    <w:rsid w:val="00134BA8"/>
    <w:rsid w:val="001408B7"/>
    <w:rsid w:val="00140D68"/>
    <w:rsid w:val="00144FDB"/>
    <w:rsid w:val="00145269"/>
    <w:rsid w:val="001471FF"/>
    <w:rsid w:val="00153AED"/>
    <w:rsid w:val="00153CE6"/>
    <w:rsid w:val="00155145"/>
    <w:rsid w:val="00163B40"/>
    <w:rsid w:val="00167216"/>
    <w:rsid w:val="00182644"/>
    <w:rsid w:val="00183A95"/>
    <w:rsid w:val="001861B9"/>
    <w:rsid w:val="001902FC"/>
    <w:rsid w:val="001912EF"/>
    <w:rsid w:val="00192DEE"/>
    <w:rsid w:val="001A11CD"/>
    <w:rsid w:val="001A16D4"/>
    <w:rsid w:val="001A268E"/>
    <w:rsid w:val="001A7C04"/>
    <w:rsid w:val="001B0B26"/>
    <w:rsid w:val="001B33BD"/>
    <w:rsid w:val="001B3AD9"/>
    <w:rsid w:val="001B63D8"/>
    <w:rsid w:val="001B6694"/>
    <w:rsid w:val="001C04F2"/>
    <w:rsid w:val="001C6504"/>
    <w:rsid w:val="001C7B91"/>
    <w:rsid w:val="001D0739"/>
    <w:rsid w:val="001D38C2"/>
    <w:rsid w:val="001D57E6"/>
    <w:rsid w:val="001E0911"/>
    <w:rsid w:val="001E2114"/>
    <w:rsid w:val="001E369C"/>
    <w:rsid w:val="001E3E2B"/>
    <w:rsid w:val="001E567F"/>
    <w:rsid w:val="001F412D"/>
    <w:rsid w:val="00200B07"/>
    <w:rsid w:val="00201F03"/>
    <w:rsid w:val="0020244C"/>
    <w:rsid w:val="00234BAB"/>
    <w:rsid w:val="0023546D"/>
    <w:rsid w:val="002359E9"/>
    <w:rsid w:val="0024454D"/>
    <w:rsid w:val="00250119"/>
    <w:rsid w:val="002527EB"/>
    <w:rsid w:val="0025426D"/>
    <w:rsid w:val="002572A3"/>
    <w:rsid w:val="0026057E"/>
    <w:rsid w:val="00266214"/>
    <w:rsid w:val="00277630"/>
    <w:rsid w:val="00281AF2"/>
    <w:rsid w:val="0028299F"/>
    <w:rsid w:val="00282D00"/>
    <w:rsid w:val="00284814"/>
    <w:rsid w:val="00290A5C"/>
    <w:rsid w:val="00290E1D"/>
    <w:rsid w:val="00291F58"/>
    <w:rsid w:val="002923EA"/>
    <w:rsid w:val="0029432D"/>
    <w:rsid w:val="002A0908"/>
    <w:rsid w:val="002A21E7"/>
    <w:rsid w:val="002A4E91"/>
    <w:rsid w:val="002A6C35"/>
    <w:rsid w:val="002A6CBC"/>
    <w:rsid w:val="002A734D"/>
    <w:rsid w:val="002A7579"/>
    <w:rsid w:val="002B1ABE"/>
    <w:rsid w:val="002B2470"/>
    <w:rsid w:val="002B30CF"/>
    <w:rsid w:val="002B46A8"/>
    <w:rsid w:val="002B5F08"/>
    <w:rsid w:val="002B6C18"/>
    <w:rsid w:val="002B729A"/>
    <w:rsid w:val="002B7FDA"/>
    <w:rsid w:val="002C022D"/>
    <w:rsid w:val="002C0CB9"/>
    <w:rsid w:val="002C184B"/>
    <w:rsid w:val="002C758B"/>
    <w:rsid w:val="002D1454"/>
    <w:rsid w:val="002D219C"/>
    <w:rsid w:val="002D23E6"/>
    <w:rsid w:val="002D37C4"/>
    <w:rsid w:val="002D7F31"/>
    <w:rsid w:val="002E18B1"/>
    <w:rsid w:val="002E5A5F"/>
    <w:rsid w:val="002F2C78"/>
    <w:rsid w:val="002F4288"/>
    <w:rsid w:val="003048DB"/>
    <w:rsid w:val="00305022"/>
    <w:rsid w:val="00305EB7"/>
    <w:rsid w:val="00306F8F"/>
    <w:rsid w:val="00310E45"/>
    <w:rsid w:val="00311377"/>
    <w:rsid w:val="00312404"/>
    <w:rsid w:val="003136FF"/>
    <w:rsid w:val="00315FD1"/>
    <w:rsid w:val="003160DE"/>
    <w:rsid w:val="00317FDF"/>
    <w:rsid w:val="00321B72"/>
    <w:rsid w:val="003259DB"/>
    <w:rsid w:val="00325D4A"/>
    <w:rsid w:val="00345ACC"/>
    <w:rsid w:val="003466A1"/>
    <w:rsid w:val="0035095F"/>
    <w:rsid w:val="00351C5C"/>
    <w:rsid w:val="00351F58"/>
    <w:rsid w:val="00352CC6"/>
    <w:rsid w:val="00363C38"/>
    <w:rsid w:val="0036589D"/>
    <w:rsid w:val="003671A2"/>
    <w:rsid w:val="00367A2C"/>
    <w:rsid w:val="00370BBF"/>
    <w:rsid w:val="003713D7"/>
    <w:rsid w:val="00376071"/>
    <w:rsid w:val="003772F0"/>
    <w:rsid w:val="0037775B"/>
    <w:rsid w:val="00377878"/>
    <w:rsid w:val="00380680"/>
    <w:rsid w:val="0038110B"/>
    <w:rsid w:val="003826D1"/>
    <w:rsid w:val="00384BF6"/>
    <w:rsid w:val="003854BD"/>
    <w:rsid w:val="00385B50"/>
    <w:rsid w:val="003872B9"/>
    <w:rsid w:val="0039004F"/>
    <w:rsid w:val="00392220"/>
    <w:rsid w:val="003973AA"/>
    <w:rsid w:val="003A464B"/>
    <w:rsid w:val="003B254C"/>
    <w:rsid w:val="003B3D08"/>
    <w:rsid w:val="003B4E95"/>
    <w:rsid w:val="003C1755"/>
    <w:rsid w:val="003C22B2"/>
    <w:rsid w:val="003C2DEB"/>
    <w:rsid w:val="003C7DC4"/>
    <w:rsid w:val="003D3695"/>
    <w:rsid w:val="003D5D1A"/>
    <w:rsid w:val="003E0EC4"/>
    <w:rsid w:val="003E352F"/>
    <w:rsid w:val="003E6168"/>
    <w:rsid w:val="003F19C0"/>
    <w:rsid w:val="003F231B"/>
    <w:rsid w:val="003F2B24"/>
    <w:rsid w:val="003F449C"/>
    <w:rsid w:val="004023F4"/>
    <w:rsid w:val="004030C8"/>
    <w:rsid w:val="004044F7"/>
    <w:rsid w:val="0040550B"/>
    <w:rsid w:val="004110CF"/>
    <w:rsid w:val="0041326A"/>
    <w:rsid w:val="004132E6"/>
    <w:rsid w:val="00414D00"/>
    <w:rsid w:val="00414E09"/>
    <w:rsid w:val="0041672F"/>
    <w:rsid w:val="004216B6"/>
    <w:rsid w:val="00421A24"/>
    <w:rsid w:val="00424A26"/>
    <w:rsid w:val="004417D5"/>
    <w:rsid w:val="00444A4E"/>
    <w:rsid w:val="00450758"/>
    <w:rsid w:val="00453E3D"/>
    <w:rsid w:val="00454540"/>
    <w:rsid w:val="00454B38"/>
    <w:rsid w:val="00455E6A"/>
    <w:rsid w:val="00461D47"/>
    <w:rsid w:val="0046315B"/>
    <w:rsid w:val="004642AB"/>
    <w:rsid w:val="00473B52"/>
    <w:rsid w:val="004860F6"/>
    <w:rsid w:val="00490EB1"/>
    <w:rsid w:val="00492416"/>
    <w:rsid w:val="004937FB"/>
    <w:rsid w:val="00496BF2"/>
    <w:rsid w:val="00497D96"/>
    <w:rsid w:val="004A33F2"/>
    <w:rsid w:val="004A46B7"/>
    <w:rsid w:val="004A7164"/>
    <w:rsid w:val="004B5BC1"/>
    <w:rsid w:val="004C0629"/>
    <w:rsid w:val="004C21C1"/>
    <w:rsid w:val="004C2617"/>
    <w:rsid w:val="004C749A"/>
    <w:rsid w:val="004D1459"/>
    <w:rsid w:val="004D4127"/>
    <w:rsid w:val="004D4BD8"/>
    <w:rsid w:val="004D5161"/>
    <w:rsid w:val="004D51B2"/>
    <w:rsid w:val="004D57C1"/>
    <w:rsid w:val="004E5120"/>
    <w:rsid w:val="004E6249"/>
    <w:rsid w:val="004E629C"/>
    <w:rsid w:val="004E69F1"/>
    <w:rsid w:val="004F5AA1"/>
    <w:rsid w:val="004F5C26"/>
    <w:rsid w:val="004F5F12"/>
    <w:rsid w:val="004F77EB"/>
    <w:rsid w:val="00501B1F"/>
    <w:rsid w:val="00503FAD"/>
    <w:rsid w:val="00512A0A"/>
    <w:rsid w:val="00516E36"/>
    <w:rsid w:val="00516FA0"/>
    <w:rsid w:val="00520369"/>
    <w:rsid w:val="005211D0"/>
    <w:rsid w:val="00521CCA"/>
    <w:rsid w:val="00525240"/>
    <w:rsid w:val="005267BB"/>
    <w:rsid w:val="0053002C"/>
    <w:rsid w:val="005357F0"/>
    <w:rsid w:val="00540B6F"/>
    <w:rsid w:val="0054101C"/>
    <w:rsid w:val="005416D4"/>
    <w:rsid w:val="005416FA"/>
    <w:rsid w:val="00543F8F"/>
    <w:rsid w:val="0054431E"/>
    <w:rsid w:val="005503FB"/>
    <w:rsid w:val="00552345"/>
    <w:rsid w:val="0055261B"/>
    <w:rsid w:val="00553FA1"/>
    <w:rsid w:val="005551E8"/>
    <w:rsid w:val="0056629C"/>
    <w:rsid w:val="00570B90"/>
    <w:rsid w:val="00570C5A"/>
    <w:rsid w:val="005814A1"/>
    <w:rsid w:val="00591B1A"/>
    <w:rsid w:val="0059252D"/>
    <w:rsid w:val="005A0A72"/>
    <w:rsid w:val="005A0CAD"/>
    <w:rsid w:val="005A0D32"/>
    <w:rsid w:val="005A3BB6"/>
    <w:rsid w:val="005A4C6D"/>
    <w:rsid w:val="005A635F"/>
    <w:rsid w:val="005A660B"/>
    <w:rsid w:val="005A70E8"/>
    <w:rsid w:val="005B4EC4"/>
    <w:rsid w:val="005B4FC8"/>
    <w:rsid w:val="005C0053"/>
    <w:rsid w:val="005C0EE2"/>
    <w:rsid w:val="005C2371"/>
    <w:rsid w:val="005C6364"/>
    <w:rsid w:val="005D2B6B"/>
    <w:rsid w:val="005E19F0"/>
    <w:rsid w:val="005E295C"/>
    <w:rsid w:val="005E5BCB"/>
    <w:rsid w:val="005F120B"/>
    <w:rsid w:val="005F43EC"/>
    <w:rsid w:val="005F6D42"/>
    <w:rsid w:val="005F728C"/>
    <w:rsid w:val="00602082"/>
    <w:rsid w:val="006026DE"/>
    <w:rsid w:val="006065F6"/>
    <w:rsid w:val="00612ABE"/>
    <w:rsid w:val="00627080"/>
    <w:rsid w:val="006308A5"/>
    <w:rsid w:val="00631D06"/>
    <w:rsid w:val="006320B8"/>
    <w:rsid w:val="006378C1"/>
    <w:rsid w:val="00642C40"/>
    <w:rsid w:val="0064767E"/>
    <w:rsid w:val="00647A70"/>
    <w:rsid w:val="00647AC9"/>
    <w:rsid w:val="0065074A"/>
    <w:rsid w:val="00653F0D"/>
    <w:rsid w:val="006548AC"/>
    <w:rsid w:val="00654DD5"/>
    <w:rsid w:val="006557AD"/>
    <w:rsid w:val="00656604"/>
    <w:rsid w:val="006622E5"/>
    <w:rsid w:val="0066243E"/>
    <w:rsid w:val="00662E72"/>
    <w:rsid w:val="00666707"/>
    <w:rsid w:val="006670AD"/>
    <w:rsid w:val="00671E18"/>
    <w:rsid w:val="00673782"/>
    <w:rsid w:val="00675258"/>
    <w:rsid w:val="0067612D"/>
    <w:rsid w:val="00676662"/>
    <w:rsid w:val="00680663"/>
    <w:rsid w:val="00680AEF"/>
    <w:rsid w:val="0068137A"/>
    <w:rsid w:val="0068568B"/>
    <w:rsid w:val="00685F5A"/>
    <w:rsid w:val="006872FD"/>
    <w:rsid w:val="0068756E"/>
    <w:rsid w:val="0069089A"/>
    <w:rsid w:val="006909B9"/>
    <w:rsid w:val="00695505"/>
    <w:rsid w:val="00696759"/>
    <w:rsid w:val="00697BA4"/>
    <w:rsid w:val="006A39DB"/>
    <w:rsid w:val="006A601C"/>
    <w:rsid w:val="006A764C"/>
    <w:rsid w:val="006A767F"/>
    <w:rsid w:val="006B5446"/>
    <w:rsid w:val="006B7235"/>
    <w:rsid w:val="006C0C79"/>
    <w:rsid w:val="006C352A"/>
    <w:rsid w:val="006C4437"/>
    <w:rsid w:val="006C5F89"/>
    <w:rsid w:val="006D0175"/>
    <w:rsid w:val="006D0667"/>
    <w:rsid w:val="006D3D22"/>
    <w:rsid w:val="006E3106"/>
    <w:rsid w:val="006E3F62"/>
    <w:rsid w:val="006E4F22"/>
    <w:rsid w:val="006E7141"/>
    <w:rsid w:val="006F02B4"/>
    <w:rsid w:val="006F0597"/>
    <w:rsid w:val="006F580E"/>
    <w:rsid w:val="006F6EA6"/>
    <w:rsid w:val="006F7414"/>
    <w:rsid w:val="00700B80"/>
    <w:rsid w:val="00705675"/>
    <w:rsid w:val="00705EED"/>
    <w:rsid w:val="007101E0"/>
    <w:rsid w:val="00712A0B"/>
    <w:rsid w:val="00715456"/>
    <w:rsid w:val="0071625D"/>
    <w:rsid w:val="00717BA9"/>
    <w:rsid w:val="00717DA5"/>
    <w:rsid w:val="00721223"/>
    <w:rsid w:val="00726D1D"/>
    <w:rsid w:val="00730EE6"/>
    <w:rsid w:val="00735501"/>
    <w:rsid w:val="00740A2F"/>
    <w:rsid w:val="00746EA4"/>
    <w:rsid w:val="007513A7"/>
    <w:rsid w:val="00751480"/>
    <w:rsid w:val="00752CD1"/>
    <w:rsid w:val="0075340E"/>
    <w:rsid w:val="007540E4"/>
    <w:rsid w:val="007560BF"/>
    <w:rsid w:val="007571C9"/>
    <w:rsid w:val="00757DEB"/>
    <w:rsid w:val="007639DD"/>
    <w:rsid w:val="00764320"/>
    <w:rsid w:val="0076642E"/>
    <w:rsid w:val="00767EFE"/>
    <w:rsid w:val="00770A0A"/>
    <w:rsid w:val="007712B8"/>
    <w:rsid w:val="007715F6"/>
    <w:rsid w:val="007719E0"/>
    <w:rsid w:val="00773D82"/>
    <w:rsid w:val="007746E3"/>
    <w:rsid w:val="0077555F"/>
    <w:rsid w:val="00776951"/>
    <w:rsid w:val="00780C5B"/>
    <w:rsid w:val="00783451"/>
    <w:rsid w:val="00783E48"/>
    <w:rsid w:val="00786497"/>
    <w:rsid w:val="00786C35"/>
    <w:rsid w:val="00791666"/>
    <w:rsid w:val="00793530"/>
    <w:rsid w:val="0079428F"/>
    <w:rsid w:val="00795F4E"/>
    <w:rsid w:val="007A0A96"/>
    <w:rsid w:val="007A2038"/>
    <w:rsid w:val="007A4A3A"/>
    <w:rsid w:val="007A50DD"/>
    <w:rsid w:val="007A6EF2"/>
    <w:rsid w:val="007B038E"/>
    <w:rsid w:val="007B0CFC"/>
    <w:rsid w:val="007B1777"/>
    <w:rsid w:val="007B4D7C"/>
    <w:rsid w:val="007B560F"/>
    <w:rsid w:val="007B5FB7"/>
    <w:rsid w:val="007B6E0E"/>
    <w:rsid w:val="007C7BFC"/>
    <w:rsid w:val="007C7CBC"/>
    <w:rsid w:val="007D2E1D"/>
    <w:rsid w:val="007D4EB4"/>
    <w:rsid w:val="007D5868"/>
    <w:rsid w:val="007D5C21"/>
    <w:rsid w:val="007D610F"/>
    <w:rsid w:val="007D64B2"/>
    <w:rsid w:val="007D6D58"/>
    <w:rsid w:val="007D7265"/>
    <w:rsid w:val="007D7BDB"/>
    <w:rsid w:val="007E2A9E"/>
    <w:rsid w:val="007E45B9"/>
    <w:rsid w:val="007E5548"/>
    <w:rsid w:val="007F07FA"/>
    <w:rsid w:val="007F77C7"/>
    <w:rsid w:val="00802C18"/>
    <w:rsid w:val="00806E5E"/>
    <w:rsid w:val="008079EB"/>
    <w:rsid w:val="00807CC4"/>
    <w:rsid w:val="00815525"/>
    <w:rsid w:val="00815E39"/>
    <w:rsid w:val="00816B68"/>
    <w:rsid w:val="00821DB9"/>
    <w:rsid w:val="00821EFD"/>
    <w:rsid w:val="00822E8B"/>
    <w:rsid w:val="00827831"/>
    <w:rsid w:val="00827890"/>
    <w:rsid w:val="0083164D"/>
    <w:rsid w:val="008318C0"/>
    <w:rsid w:val="00831D50"/>
    <w:rsid w:val="00832F16"/>
    <w:rsid w:val="008344E1"/>
    <w:rsid w:val="00836B86"/>
    <w:rsid w:val="008409EE"/>
    <w:rsid w:val="0084516F"/>
    <w:rsid w:val="008465E3"/>
    <w:rsid w:val="00846A31"/>
    <w:rsid w:val="00846BBB"/>
    <w:rsid w:val="00851A19"/>
    <w:rsid w:val="0085377B"/>
    <w:rsid w:val="00855DF8"/>
    <w:rsid w:val="008602E5"/>
    <w:rsid w:val="0086235F"/>
    <w:rsid w:val="00863FFA"/>
    <w:rsid w:val="00865690"/>
    <w:rsid w:val="0087013A"/>
    <w:rsid w:val="00872610"/>
    <w:rsid w:val="0087328A"/>
    <w:rsid w:val="00880B9B"/>
    <w:rsid w:val="008854E1"/>
    <w:rsid w:val="00887597"/>
    <w:rsid w:val="00890872"/>
    <w:rsid w:val="00892052"/>
    <w:rsid w:val="00894014"/>
    <w:rsid w:val="00894C03"/>
    <w:rsid w:val="00894FD9"/>
    <w:rsid w:val="00895FBF"/>
    <w:rsid w:val="0089618F"/>
    <w:rsid w:val="00896EB5"/>
    <w:rsid w:val="008A0693"/>
    <w:rsid w:val="008A31B9"/>
    <w:rsid w:val="008A50AC"/>
    <w:rsid w:val="008B6096"/>
    <w:rsid w:val="008B6379"/>
    <w:rsid w:val="008C269A"/>
    <w:rsid w:val="008C2BE7"/>
    <w:rsid w:val="008C411C"/>
    <w:rsid w:val="008C6003"/>
    <w:rsid w:val="008D0437"/>
    <w:rsid w:val="008D1E2A"/>
    <w:rsid w:val="008D2A3B"/>
    <w:rsid w:val="008D3722"/>
    <w:rsid w:val="008D3F9F"/>
    <w:rsid w:val="008D41D3"/>
    <w:rsid w:val="008E1246"/>
    <w:rsid w:val="008E258A"/>
    <w:rsid w:val="008E53F9"/>
    <w:rsid w:val="008E6761"/>
    <w:rsid w:val="008E7EAE"/>
    <w:rsid w:val="008F03B9"/>
    <w:rsid w:val="008F254C"/>
    <w:rsid w:val="008F2A0D"/>
    <w:rsid w:val="008F3853"/>
    <w:rsid w:val="008F38AF"/>
    <w:rsid w:val="008F5E19"/>
    <w:rsid w:val="008F6FA3"/>
    <w:rsid w:val="009018B3"/>
    <w:rsid w:val="009035B3"/>
    <w:rsid w:val="00905839"/>
    <w:rsid w:val="00907431"/>
    <w:rsid w:val="0091012C"/>
    <w:rsid w:val="009109C7"/>
    <w:rsid w:val="00913505"/>
    <w:rsid w:val="009147A4"/>
    <w:rsid w:val="00915485"/>
    <w:rsid w:val="00917355"/>
    <w:rsid w:val="009216FE"/>
    <w:rsid w:val="009248FC"/>
    <w:rsid w:val="00925230"/>
    <w:rsid w:val="0092585C"/>
    <w:rsid w:val="00926676"/>
    <w:rsid w:val="0093403E"/>
    <w:rsid w:val="009364CF"/>
    <w:rsid w:val="009379FF"/>
    <w:rsid w:val="0094201C"/>
    <w:rsid w:val="00942A0C"/>
    <w:rsid w:val="0094371E"/>
    <w:rsid w:val="009443DF"/>
    <w:rsid w:val="00946CAF"/>
    <w:rsid w:val="00950C8F"/>
    <w:rsid w:val="009511AB"/>
    <w:rsid w:val="00951219"/>
    <w:rsid w:val="0095172F"/>
    <w:rsid w:val="00952677"/>
    <w:rsid w:val="0096104E"/>
    <w:rsid w:val="009613B3"/>
    <w:rsid w:val="009618DB"/>
    <w:rsid w:val="00962C7D"/>
    <w:rsid w:val="00963F27"/>
    <w:rsid w:val="00964DFB"/>
    <w:rsid w:val="00965E96"/>
    <w:rsid w:val="00966327"/>
    <w:rsid w:val="00970DEA"/>
    <w:rsid w:val="00971325"/>
    <w:rsid w:val="009725D8"/>
    <w:rsid w:val="00977951"/>
    <w:rsid w:val="00982626"/>
    <w:rsid w:val="009872DB"/>
    <w:rsid w:val="009903DE"/>
    <w:rsid w:val="0099143A"/>
    <w:rsid w:val="00995C7B"/>
    <w:rsid w:val="009971B8"/>
    <w:rsid w:val="009A248F"/>
    <w:rsid w:val="009A501D"/>
    <w:rsid w:val="009A523C"/>
    <w:rsid w:val="009A5678"/>
    <w:rsid w:val="009A68F5"/>
    <w:rsid w:val="009B58AF"/>
    <w:rsid w:val="009C1154"/>
    <w:rsid w:val="009C31A3"/>
    <w:rsid w:val="009C37CA"/>
    <w:rsid w:val="009C3BA2"/>
    <w:rsid w:val="009C63C3"/>
    <w:rsid w:val="009C746B"/>
    <w:rsid w:val="009D10AD"/>
    <w:rsid w:val="009D6AF5"/>
    <w:rsid w:val="009D6D5B"/>
    <w:rsid w:val="009E01C8"/>
    <w:rsid w:val="009E0372"/>
    <w:rsid w:val="009E0A46"/>
    <w:rsid w:val="009E19A0"/>
    <w:rsid w:val="009E6146"/>
    <w:rsid w:val="009E63B9"/>
    <w:rsid w:val="009F496E"/>
    <w:rsid w:val="009F6780"/>
    <w:rsid w:val="00A0119E"/>
    <w:rsid w:val="00A022D3"/>
    <w:rsid w:val="00A06B09"/>
    <w:rsid w:val="00A10B6D"/>
    <w:rsid w:val="00A1129D"/>
    <w:rsid w:val="00A1335D"/>
    <w:rsid w:val="00A1339A"/>
    <w:rsid w:val="00A1574E"/>
    <w:rsid w:val="00A16AA7"/>
    <w:rsid w:val="00A17799"/>
    <w:rsid w:val="00A2013E"/>
    <w:rsid w:val="00A23726"/>
    <w:rsid w:val="00A25B6F"/>
    <w:rsid w:val="00A2615C"/>
    <w:rsid w:val="00A301C6"/>
    <w:rsid w:val="00A30322"/>
    <w:rsid w:val="00A31667"/>
    <w:rsid w:val="00A31BD1"/>
    <w:rsid w:val="00A3316D"/>
    <w:rsid w:val="00A35765"/>
    <w:rsid w:val="00A36E25"/>
    <w:rsid w:val="00A37352"/>
    <w:rsid w:val="00A37E17"/>
    <w:rsid w:val="00A420B4"/>
    <w:rsid w:val="00A44395"/>
    <w:rsid w:val="00A4562E"/>
    <w:rsid w:val="00A5111C"/>
    <w:rsid w:val="00A5327E"/>
    <w:rsid w:val="00A56FA5"/>
    <w:rsid w:val="00A60A57"/>
    <w:rsid w:val="00A615D0"/>
    <w:rsid w:val="00A61713"/>
    <w:rsid w:val="00A6408C"/>
    <w:rsid w:val="00A65B79"/>
    <w:rsid w:val="00A7094C"/>
    <w:rsid w:val="00A70B4C"/>
    <w:rsid w:val="00A71E38"/>
    <w:rsid w:val="00A72ADA"/>
    <w:rsid w:val="00A861B6"/>
    <w:rsid w:val="00A86A02"/>
    <w:rsid w:val="00A906C8"/>
    <w:rsid w:val="00A91D81"/>
    <w:rsid w:val="00A93303"/>
    <w:rsid w:val="00A96C4B"/>
    <w:rsid w:val="00AA09CA"/>
    <w:rsid w:val="00AA408C"/>
    <w:rsid w:val="00AA5D51"/>
    <w:rsid w:val="00AA660C"/>
    <w:rsid w:val="00AA75E6"/>
    <w:rsid w:val="00AB1127"/>
    <w:rsid w:val="00AB2105"/>
    <w:rsid w:val="00AC5310"/>
    <w:rsid w:val="00AC5977"/>
    <w:rsid w:val="00AD00F2"/>
    <w:rsid w:val="00AD2E49"/>
    <w:rsid w:val="00AD2FF1"/>
    <w:rsid w:val="00AD6BF9"/>
    <w:rsid w:val="00AE18E6"/>
    <w:rsid w:val="00AE1F28"/>
    <w:rsid w:val="00AE5199"/>
    <w:rsid w:val="00AE5F10"/>
    <w:rsid w:val="00AE7045"/>
    <w:rsid w:val="00AF3ACB"/>
    <w:rsid w:val="00AF54C6"/>
    <w:rsid w:val="00B0162A"/>
    <w:rsid w:val="00B02E10"/>
    <w:rsid w:val="00B04827"/>
    <w:rsid w:val="00B0526D"/>
    <w:rsid w:val="00B06C4F"/>
    <w:rsid w:val="00B0755F"/>
    <w:rsid w:val="00B13683"/>
    <w:rsid w:val="00B14099"/>
    <w:rsid w:val="00B204D2"/>
    <w:rsid w:val="00B22954"/>
    <w:rsid w:val="00B25536"/>
    <w:rsid w:val="00B25CE7"/>
    <w:rsid w:val="00B302DC"/>
    <w:rsid w:val="00B30EB5"/>
    <w:rsid w:val="00B32191"/>
    <w:rsid w:val="00B33E98"/>
    <w:rsid w:val="00B348EB"/>
    <w:rsid w:val="00B37BCF"/>
    <w:rsid w:val="00B41925"/>
    <w:rsid w:val="00B41E9C"/>
    <w:rsid w:val="00B42AB8"/>
    <w:rsid w:val="00B459A1"/>
    <w:rsid w:val="00B5171D"/>
    <w:rsid w:val="00B5326F"/>
    <w:rsid w:val="00B560A1"/>
    <w:rsid w:val="00B563AD"/>
    <w:rsid w:val="00B572D0"/>
    <w:rsid w:val="00B6069C"/>
    <w:rsid w:val="00B6125A"/>
    <w:rsid w:val="00B65B90"/>
    <w:rsid w:val="00B673F4"/>
    <w:rsid w:val="00B71718"/>
    <w:rsid w:val="00B722EA"/>
    <w:rsid w:val="00B74038"/>
    <w:rsid w:val="00B74D61"/>
    <w:rsid w:val="00B76E20"/>
    <w:rsid w:val="00B777DE"/>
    <w:rsid w:val="00B8140B"/>
    <w:rsid w:val="00B82721"/>
    <w:rsid w:val="00B82C8D"/>
    <w:rsid w:val="00B85368"/>
    <w:rsid w:val="00B93DEB"/>
    <w:rsid w:val="00B950DF"/>
    <w:rsid w:val="00B958F4"/>
    <w:rsid w:val="00B95A28"/>
    <w:rsid w:val="00BB0E10"/>
    <w:rsid w:val="00BB2867"/>
    <w:rsid w:val="00BB6E19"/>
    <w:rsid w:val="00BC0A36"/>
    <w:rsid w:val="00BC0EDC"/>
    <w:rsid w:val="00BC541F"/>
    <w:rsid w:val="00BC6085"/>
    <w:rsid w:val="00BD2D6B"/>
    <w:rsid w:val="00BD3681"/>
    <w:rsid w:val="00BD3F1F"/>
    <w:rsid w:val="00BD454B"/>
    <w:rsid w:val="00BE69B4"/>
    <w:rsid w:val="00BE6BF6"/>
    <w:rsid w:val="00BE6E81"/>
    <w:rsid w:val="00BE74CE"/>
    <w:rsid w:val="00BF4B00"/>
    <w:rsid w:val="00BF6056"/>
    <w:rsid w:val="00C0374B"/>
    <w:rsid w:val="00C03BB4"/>
    <w:rsid w:val="00C04B7B"/>
    <w:rsid w:val="00C056BB"/>
    <w:rsid w:val="00C07C25"/>
    <w:rsid w:val="00C11711"/>
    <w:rsid w:val="00C25C2B"/>
    <w:rsid w:val="00C276A7"/>
    <w:rsid w:val="00C30B81"/>
    <w:rsid w:val="00C30FA1"/>
    <w:rsid w:val="00C34EB0"/>
    <w:rsid w:val="00C36B4E"/>
    <w:rsid w:val="00C4016E"/>
    <w:rsid w:val="00C51A6C"/>
    <w:rsid w:val="00C53932"/>
    <w:rsid w:val="00C54448"/>
    <w:rsid w:val="00C63AC3"/>
    <w:rsid w:val="00C640C6"/>
    <w:rsid w:val="00C6592B"/>
    <w:rsid w:val="00C6699D"/>
    <w:rsid w:val="00C6761E"/>
    <w:rsid w:val="00C70E74"/>
    <w:rsid w:val="00C737F6"/>
    <w:rsid w:val="00C75E07"/>
    <w:rsid w:val="00C76A2E"/>
    <w:rsid w:val="00C77B1C"/>
    <w:rsid w:val="00C80668"/>
    <w:rsid w:val="00C839FA"/>
    <w:rsid w:val="00C8763F"/>
    <w:rsid w:val="00C905A4"/>
    <w:rsid w:val="00C91820"/>
    <w:rsid w:val="00C9549E"/>
    <w:rsid w:val="00C956B1"/>
    <w:rsid w:val="00C9618B"/>
    <w:rsid w:val="00CA06D6"/>
    <w:rsid w:val="00CA07B5"/>
    <w:rsid w:val="00CA1974"/>
    <w:rsid w:val="00CA51D8"/>
    <w:rsid w:val="00CA7F71"/>
    <w:rsid w:val="00CB1CD9"/>
    <w:rsid w:val="00CB466B"/>
    <w:rsid w:val="00CB4B67"/>
    <w:rsid w:val="00CB5AF7"/>
    <w:rsid w:val="00CB66A1"/>
    <w:rsid w:val="00CC0110"/>
    <w:rsid w:val="00CC18DF"/>
    <w:rsid w:val="00CD3CBF"/>
    <w:rsid w:val="00CD7AFB"/>
    <w:rsid w:val="00CE0807"/>
    <w:rsid w:val="00CE448D"/>
    <w:rsid w:val="00CE7A61"/>
    <w:rsid w:val="00CF0E3B"/>
    <w:rsid w:val="00CF77E0"/>
    <w:rsid w:val="00D0518C"/>
    <w:rsid w:val="00D06718"/>
    <w:rsid w:val="00D10FD7"/>
    <w:rsid w:val="00D174F9"/>
    <w:rsid w:val="00D2197A"/>
    <w:rsid w:val="00D222B2"/>
    <w:rsid w:val="00D23120"/>
    <w:rsid w:val="00D238EE"/>
    <w:rsid w:val="00D26E08"/>
    <w:rsid w:val="00D27B26"/>
    <w:rsid w:val="00D30A36"/>
    <w:rsid w:val="00D312B2"/>
    <w:rsid w:val="00D344B3"/>
    <w:rsid w:val="00D3706A"/>
    <w:rsid w:val="00D37995"/>
    <w:rsid w:val="00D4311A"/>
    <w:rsid w:val="00D43DE9"/>
    <w:rsid w:val="00D4676A"/>
    <w:rsid w:val="00D547DC"/>
    <w:rsid w:val="00D55190"/>
    <w:rsid w:val="00D56AEA"/>
    <w:rsid w:val="00D62941"/>
    <w:rsid w:val="00D6306E"/>
    <w:rsid w:val="00D65C74"/>
    <w:rsid w:val="00D65DE5"/>
    <w:rsid w:val="00D67E2D"/>
    <w:rsid w:val="00D73F77"/>
    <w:rsid w:val="00D7670A"/>
    <w:rsid w:val="00D813E5"/>
    <w:rsid w:val="00D82056"/>
    <w:rsid w:val="00D90D1E"/>
    <w:rsid w:val="00D95D98"/>
    <w:rsid w:val="00D966C9"/>
    <w:rsid w:val="00D96BE0"/>
    <w:rsid w:val="00DA0594"/>
    <w:rsid w:val="00DA15E2"/>
    <w:rsid w:val="00DA21FB"/>
    <w:rsid w:val="00DA31EC"/>
    <w:rsid w:val="00DA5A85"/>
    <w:rsid w:val="00DA6808"/>
    <w:rsid w:val="00DB01BF"/>
    <w:rsid w:val="00DB04A7"/>
    <w:rsid w:val="00DB0F4C"/>
    <w:rsid w:val="00DB23B4"/>
    <w:rsid w:val="00DB2A92"/>
    <w:rsid w:val="00DB3CB7"/>
    <w:rsid w:val="00DB7E76"/>
    <w:rsid w:val="00DC25C4"/>
    <w:rsid w:val="00DC2865"/>
    <w:rsid w:val="00DC6537"/>
    <w:rsid w:val="00DD0BC6"/>
    <w:rsid w:val="00DD164F"/>
    <w:rsid w:val="00DD433A"/>
    <w:rsid w:val="00DD517A"/>
    <w:rsid w:val="00DD5388"/>
    <w:rsid w:val="00DD56D5"/>
    <w:rsid w:val="00DD5D55"/>
    <w:rsid w:val="00DD7A21"/>
    <w:rsid w:val="00DD7C85"/>
    <w:rsid w:val="00DE02EF"/>
    <w:rsid w:val="00DE15D1"/>
    <w:rsid w:val="00DE1E00"/>
    <w:rsid w:val="00DE2A7B"/>
    <w:rsid w:val="00DE5380"/>
    <w:rsid w:val="00DE56DF"/>
    <w:rsid w:val="00DF186F"/>
    <w:rsid w:val="00DF1C26"/>
    <w:rsid w:val="00DF42F7"/>
    <w:rsid w:val="00E075CA"/>
    <w:rsid w:val="00E12BCD"/>
    <w:rsid w:val="00E20E5A"/>
    <w:rsid w:val="00E21A0D"/>
    <w:rsid w:val="00E22362"/>
    <w:rsid w:val="00E223ED"/>
    <w:rsid w:val="00E26769"/>
    <w:rsid w:val="00E30E70"/>
    <w:rsid w:val="00E32575"/>
    <w:rsid w:val="00E32899"/>
    <w:rsid w:val="00E403D2"/>
    <w:rsid w:val="00E41B13"/>
    <w:rsid w:val="00E4348E"/>
    <w:rsid w:val="00E4569B"/>
    <w:rsid w:val="00E46B93"/>
    <w:rsid w:val="00E47528"/>
    <w:rsid w:val="00E47DFE"/>
    <w:rsid w:val="00E507A9"/>
    <w:rsid w:val="00E52228"/>
    <w:rsid w:val="00E537F6"/>
    <w:rsid w:val="00E55917"/>
    <w:rsid w:val="00E56964"/>
    <w:rsid w:val="00E57FF3"/>
    <w:rsid w:val="00E659CF"/>
    <w:rsid w:val="00E66D58"/>
    <w:rsid w:val="00E731B9"/>
    <w:rsid w:val="00E76DB4"/>
    <w:rsid w:val="00E803F1"/>
    <w:rsid w:val="00E8051E"/>
    <w:rsid w:val="00E80555"/>
    <w:rsid w:val="00E80DD4"/>
    <w:rsid w:val="00E83BF7"/>
    <w:rsid w:val="00E879F0"/>
    <w:rsid w:val="00E9016E"/>
    <w:rsid w:val="00E91619"/>
    <w:rsid w:val="00E9213F"/>
    <w:rsid w:val="00E967CD"/>
    <w:rsid w:val="00E96C70"/>
    <w:rsid w:val="00EA21BC"/>
    <w:rsid w:val="00EA35CE"/>
    <w:rsid w:val="00EA3CAF"/>
    <w:rsid w:val="00EA55D7"/>
    <w:rsid w:val="00EA67F1"/>
    <w:rsid w:val="00EB043D"/>
    <w:rsid w:val="00EB4E5C"/>
    <w:rsid w:val="00EB5195"/>
    <w:rsid w:val="00EB5D94"/>
    <w:rsid w:val="00EC0B24"/>
    <w:rsid w:val="00EC2852"/>
    <w:rsid w:val="00EC2D59"/>
    <w:rsid w:val="00EC398D"/>
    <w:rsid w:val="00EC66DD"/>
    <w:rsid w:val="00EC6CA9"/>
    <w:rsid w:val="00EC7450"/>
    <w:rsid w:val="00ED2F68"/>
    <w:rsid w:val="00ED3BC1"/>
    <w:rsid w:val="00ED3E86"/>
    <w:rsid w:val="00EE04B8"/>
    <w:rsid w:val="00EE42A3"/>
    <w:rsid w:val="00EF0045"/>
    <w:rsid w:val="00EF130A"/>
    <w:rsid w:val="00EF17B6"/>
    <w:rsid w:val="00EF22E3"/>
    <w:rsid w:val="00EF495D"/>
    <w:rsid w:val="00EF4C3C"/>
    <w:rsid w:val="00EF6688"/>
    <w:rsid w:val="00F02685"/>
    <w:rsid w:val="00F03058"/>
    <w:rsid w:val="00F03927"/>
    <w:rsid w:val="00F045A0"/>
    <w:rsid w:val="00F23178"/>
    <w:rsid w:val="00F23671"/>
    <w:rsid w:val="00F240BF"/>
    <w:rsid w:val="00F244AE"/>
    <w:rsid w:val="00F25130"/>
    <w:rsid w:val="00F400F6"/>
    <w:rsid w:val="00F41AEA"/>
    <w:rsid w:val="00F42C83"/>
    <w:rsid w:val="00F47CDF"/>
    <w:rsid w:val="00F50729"/>
    <w:rsid w:val="00F536D4"/>
    <w:rsid w:val="00F63BDB"/>
    <w:rsid w:val="00F67ACB"/>
    <w:rsid w:val="00F81C60"/>
    <w:rsid w:val="00F8328F"/>
    <w:rsid w:val="00F90655"/>
    <w:rsid w:val="00FA03F9"/>
    <w:rsid w:val="00FA0C5C"/>
    <w:rsid w:val="00FA20B7"/>
    <w:rsid w:val="00FA2CAE"/>
    <w:rsid w:val="00FA6039"/>
    <w:rsid w:val="00FA639C"/>
    <w:rsid w:val="00FB2B3C"/>
    <w:rsid w:val="00FB2C5D"/>
    <w:rsid w:val="00FB3DE3"/>
    <w:rsid w:val="00FB5EC9"/>
    <w:rsid w:val="00FB63F2"/>
    <w:rsid w:val="00FB6571"/>
    <w:rsid w:val="00FB6995"/>
    <w:rsid w:val="00FC27FC"/>
    <w:rsid w:val="00FC3E65"/>
    <w:rsid w:val="00FC554B"/>
    <w:rsid w:val="00FC6936"/>
    <w:rsid w:val="00FC6C3D"/>
    <w:rsid w:val="00FD0DF8"/>
    <w:rsid w:val="00FD4714"/>
    <w:rsid w:val="00FD5FB7"/>
    <w:rsid w:val="00FD6888"/>
    <w:rsid w:val="00FE004F"/>
    <w:rsid w:val="00FE02F4"/>
    <w:rsid w:val="00FE47B2"/>
    <w:rsid w:val="00FF4125"/>
    <w:rsid w:val="00FF75D6"/>
    <w:rsid w:val="02683D9C"/>
    <w:rsid w:val="02B0060C"/>
    <w:rsid w:val="02B60777"/>
    <w:rsid w:val="04480F26"/>
    <w:rsid w:val="080337A3"/>
    <w:rsid w:val="08290CCA"/>
    <w:rsid w:val="083710F3"/>
    <w:rsid w:val="09100240"/>
    <w:rsid w:val="09443A28"/>
    <w:rsid w:val="09CC4542"/>
    <w:rsid w:val="0B6C3683"/>
    <w:rsid w:val="0E155C78"/>
    <w:rsid w:val="0EE00BDA"/>
    <w:rsid w:val="105B57F5"/>
    <w:rsid w:val="12100715"/>
    <w:rsid w:val="130843FF"/>
    <w:rsid w:val="13894BD4"/>
    <w:rsid w:val="15406F8D"/>
    <w:rsid w:val="15F80EE1"/>
    <w:rsid w:val="18D44851"/>
    <w:rsid w:val="19A42785"/>
    <w:rsid w:val="1A095B1C"/>
    <w:rsid w:val="1A5777C0"/>
    <w:rsid w:val="1B0F7D4C"/>
    <w:rsid w:val="1C4158E2"/>
    <w:rsid w:val="1C9B31ED"/>
    <w:rsid w:val="1D1F13DB"/>
    <w:rsid w:val="224F11CE"/>
    <w:rsid w:val="225211A6"/>
    <w:rsid w:val="22C0005B"/>
    <w:rsid w:val="237A6EA7"/>
    <w:rsid w:val="24EB0EF7"/>
    <w:rsid w:val="257E1C16"/>
    <w:rsid w:val="280F3D0F"/>
    <w:rsid w:val="28A36F3A"/>
    <w:rsid w:val="28A94002"/>
    <w:rsid w:val="29F20C16"/>
    <w:rsid w:val="2A2D60CF"/>
    <w:rsid w:val="2BC53568"/>
    <w:rsid w:val="2D50113C"/>
    <w:rsid w:val="2D6F3E72"/>
    <w:rsid w:val="2D9F4E9A"/>
    <w:rsid w:val="2DBF7EF3"/>
    <w:rsid w:val="2E03776D"/>
    <w:rsid w:val="2E28403B"/>
    <w:rsid w:val="2E374D9B"/>
    <w:rsid w:val="2F203538"/>
    <w:rsid w:val="2F555DEF"/>
    <w:rsid w:val="30666EAA"/>
    <w:rsid w:val="30CA6A32"/>
    <w:rsid w:val="321C4DD6"/>
    <w:rsid w:val="340003E3"/>
    <w:rsid w:val="345C4C66"/>
    <w:rsid w:val="38DD44FA"/>
    <w:rsid w:val="39233B90"/>
    <w:rsid w:val="3AA038F7"/>
    <w:rsid w:val="3B42422F"/>
    <w:rsid w:val="3C2E5D95"/>
    <w:rsid w:val="3C6E5118"/>
    <w:rsid w:val="3D577AFF"/>
    <w:rsid w:val="3DFA6819"/>
    <w:rsid w:val="3E1D327E"/>
    <w:rsid w:val="3E343364"/>
    <w:rsid w:val="3FC45AED"/>
    <w:rsid w:val="40BF469D"/>
    <w:rsid w:val="43831BF5"/>
    <w:rsid w:val="43A21BD3"/>
    <w:rsid w:val="44AF662F"/>
    <w:rsid w:val="46CE4F61"/>
    <w:rsid w:val="46FE39DF"/>
    <w:rsid w:val="4706127F"/>
    <w:rsid w:val="49D874A8"/>
    <w:rsid w:val="49FC1F1B"/>
    <w:rsid w:val="4A7F62D0"/>
    <w:rsid w:val="4A894032"/>
    <w:rsid w:val="4A9378A7"/>
    <w:rsid w:val="4CB1705E"/>
    <w:rsid w:val="4DB27319"/>
    <w:rsid w:val="4E4C7D3D"/>
    <w:rsid w:val="4E690D59"/>
    <w:rsid w:val="4E925073"/>
    <w:rsid w:val="4F234834"/>
    <w:rsid w:val="51247486"/>
    <w:rsid w:val="512D2B30"/>
    <w:rsid w:val="52757C11"/>
    <w:rsid w:val="53225EDA"/>
    <w:rsid w:val="55C66B4D"/>
    <w:rsid w:val="561400F5"/>
    <w:rsid w:val="57E746C8"/>
    <w:rsid w:val="585D5900"/>
    <w:rsid w:val="58C807DF"/>
    <w:rsid w:val="59280797"/>
    <w:rsid w:val="5A906D2B"/>
    <w:rsid w:val="5B35627C"/>
    <w:rsid w:val="5CDC447F"/>
    <w:rsid w:val="5DC66875"/>
    <w:rsid w:val="5EBD1A66"/>
    <w:rsid w:val="623A7741"/>
    <w:rsid w:val="62B2015A"/>
    <w:rsid w:val="62B72412"/>
    <w:rsid w:val="67614465"/>
    <w:rsid w:val="69001D71"/>
    <w:rsid w:val="6A35201C"/>
    <w:rsid w:val="6AA71586"/>
    <w:rsid w:val="6C28108A"/>
    <w:rsid w:val="6CD809F5"/>
    <w:rsid w:val="6D452C1B"/>
    <w:rsid w:val="6F643AB0"/>
    <w:rsid w:val="6FEF212E"/>
    <w:rsid w:val="70254BDF"/>
    <w:rsid w:val="71771569"/>
    <w:rsid w:val="71903AD3"/>
    <w:rsid w:val="71DC2850"/>
    <w:rsid w:val="734D60CD"/>
    <w:rsid w:val="73D23A69"/>
    <w:rsid w:val="73F70EE8"/>
    <w:rsid w:val="74245A33"/>
    <w:rsid w:val="76ED576D"/>
    <w:rsid w:val="770F1B83"/>
    <w:rsid w:val="773F493E"/>
    <w:rsid w:val="78E63056"/>
    <w:rsid w:val="791630D0"/>
    <w:rsid w:val="79867B84"/>
    <w:rsid w:val="7B71300D"/>
    <w:rsid w:val="7C1D4C19"/>
    <w:rsid w:val="7C811928"/>
    <w:rsid w:val="7CB30C26"/>
    <w:rsid w:val="7CBF0A46"/>
    <w:rsid w:val="7D5329A6"/>
    <w:rsid w:val="7DA84959"/>
    <w:rsid w:val="7F044E36"/>
    <w:rsid w:val="7F9B0B8B"/>
  </w:rsids>
  <m:mathPr>
    <m:lMargin m:val="0"/>
    <m:mathFont m:val="Cambria Math"/>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99" w:semiHidden="0" w:name="heading 2"/>
    <w:lsdException w:qFormat="1" w:uiPriority="99" w:semiHidden="0" w:name="heading 3"/>
    <w:lsdException w:qFormat="1" w:uiPriority="9"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0" w:semiHidden="0" w:name="toc 3"/>
    <w:lsdException w:qFormat="1" w:uiPriority="0" w:semiHidden="0" w:name="toc 4"/>
    <w:lsdException w:qFormat="1" w:uiPriority="0" w:semiHidden="0" w:name="toc 5"/>
    <w:lsdException w:qFormat="1" w:uiPriority="0" w:semiHidden="0" w:name="toc 6"/>
    <w:lsdException w:qFormat="1" w:uiPriority="0" w:semiHidden="0" w:name="toc 7"/>
    <w:lsdException w:qFormat="1" w:uiPriority="0" w:semiHidden="0" w:name="toc 8"/>
    <w:lsdException w:qFormat="1" w:uiPriority="0" w:semiHidden="0" w:name="toc 9"/>
    <w:lsdException w:qFormat="1" w:uiPriority="0" w:semiHidden="0" w:name="Normal Indent"/>
    <w:lsdException w:qFormat="1" w:uiPriority="0" w:semiHidden="0"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0" w:semiHidden="0" w:name="caption"/>
    <w:lsdException w:uiPriority="99" w:name="table of figures"/>
    <w:lsdException w:uiPriority="99" w:name="envelope address"/>
    <w:lsdException w:uiPriority="99" w:name="envelope return"/>
    <w:lsdException w:qFormat="1" w:uiPriority="0" w:semiHidden="0" w:name="footnote reference"/>
    <w:lsdException w:qFormat="1" w:uiPriority="0" w:semiHidden="0" w:name="annotation reference"/>
    <w:lsdException w:uiPriority="99" w:name="line number"/>
    <w:lsdException w:qFormat="1"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iPriority="0" w:semiHidden="0" w:name="Date"/>
    <w:lsdException w:qFormat="1" w:uiPriority="0" w:semiHidden="0" w:name="Body Text First Indent"/>
    <w:lsdException w:uiPriority="99" w:name="Body Text First Indent 2"/>
    <w:lsdException w:uiPriority="99" w:name="Note Heading"/>
    <w:lsdException w:qFormat="1" w:uiPriority="0" w:semiHidden="0" w:name="Body Text 2"/>
    <w:lsdException w:qFormat="1" w:uiPriority="0" w:semiHidden="0" w:name="Body Text 3"/>
    <w:lsdException w:qFormat="1" w:uiPriority="0" w:semiHidden="0" w:name="Body Text Indent 2"/>
    <w:lsdException w:qFormat="1" w:uiPriority="0" w:semiHidden="0" w:name="Body Text Indent 3"/>
    <w:lsdException w:qFormat="1" w:uiPriority="0" w:semiHidden="0"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0" w:semiHidden="0" w:name="Document Map"/>
    <w:lsdException w:qFormat="1"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4">
    <w:name w:val="heading 1"/>
    <w:basedOn w:val="1"/>
    <w:next w:val="1"/>
    <w:link w:val="49"/>
    <w:qFormat/>
    <w:uiPriority w:val="99"/>
    <w:pPr>
      <w:keepNext/>
      <w:keepLines/>
      <w:numPr>
        <w:ilvl w:val="0"/>
        <w:numId w:val="1"/>
      </w:numPr>
      <w:spacing w:before="340" w:after="330" w:line="400" w:lineRule="exact"/>
      <w:jc w:val="center"/>
      <w:outlineLvl w:val="0"/>
    </w:pPr>
    <w:rPr>
      <w:rFonts w:ascii="宋体" w:hAnsi="宋体" w:cs="宋体"/>
      <w:b/>
      <w:bCs/>
      <w:spacing w:val="-20"/>
      <w:kern w:val="44"/>
      <w:sz w:val="32"/>
      <w:szCs w:val="32"/>
    </w:rPr>
  </w:style>
  <w:style w:type="paragraph" w:styleId="5">
    <w:name w:val="heading 2"/>
    <w:basedOn w:val="1"/>
    <w:next w:val="1"/>
    <w:link w:val="50"/>
    <w:unhideWhenUsed/>
    <w:qFormat/>
    <w:uiPriority w:val="99"/>
    <w:pPr>
      <w:keepNext/>
      <w:keepLines/>
      <w:numPr>
        <w:ilvl w:val="1"/>
        <w:numId w:val="1"/>
      </w:numPr>
      <w:spacing w:before="260" w:after="260" w:line="360" w:lineRule="auto"/>
      <w:jc w:val="left"/>
      <w:outlineLvl w:val="1"/>
    </w:pPr>
    <w:rPr>
      <w:rFonts w:ascii="宋体" w:hAnsi="宋体" w:cs="宋体"/>
      <w:b/>
      <w:bCs/>
      <w:sz w:val="28"/>
      <w:szCs w:val="28"/>
    </w:rPr>
  </w:style>
  <w:style w:type="paragraph" w:styleId="6">
    <w:name w:val="heading 3"/>
    <w:basedOn w:val="1"/>
    <w:next w:val="1"/>
    <w:link w:val="51"/>
    <w:unhideWhenUsed/>
    <w:qFormat/>
    <w:uiPriority w:val="99"/>
    <w:pPr>
      <w:keepNext/>
      <w:keepLines/>
      <w:numPr>
        <w:ilvl w:val="2"/>
        <w:numId w:val="1"/>
      </w:numPr>
      <w:spacing w:line="360" w:lineRule="auto"/>
      <w:outlineLvl w:val="2"/>
    </w:pPr>
    <w:rPr>
      <w:rFonts w:ascii="宋体" w:hAnsi="宋体" w:cs="宋体"/>
      <w:b/>
      <w:bCs/>
      <w:color w:val="000000"/>
      <w:kern w:val="0"/>
      <w:sz w:val="28"/>
      <w:szCs w:val="28"/>
    </w:rPr>
  </w:style>
  <w:style w:type="paragraph" w:styleId="7">
    <w:name w:val="heading 4"/>
    <w:basedOn w:val="1"/>
    <w:next w:val="1"/>
    <w:link w:val="52"/>
    <w:unhideWhenUsed/>
    <w:qFormat/>
    <w:uiPriority w:val="9"/>
    <w:pPr>
      <w:keepNext/>
      <w:keepLines/>
      <w:numPr>
        <w:ilvl w:val="3"/>
        <w:numId w:val="1"/>
      </w:numPr>
      <w:spacing w:before="120" w:after="120" w:line="360" w:lineRule="auto"/>
      <w:jc w:val="left"/>
      <w:outlineLvl w:val="3"/>
    </w:pPr>
    <w:rPr>
      <w:rFonts w:ascii="Arial" w:hAnsi="Arial"/>
      <w:b/>
      <w:bCs/>
      <w:kern w:val="0"/>
      <w:sz w:val="28"/>
      <w:szCs w:val="28"/>
    </w:rPr>
  </w:style>
  <w:style w:type="paragraph" w:styleId="8">
    <w:name w:val="heading 5"/>
    <w:basedOn w:val="1"/>
    <w:next w:val="1"/>
    <w:link w:val="53"/>
    <w:unhideWhenUsed/>
    <w:qFormat/>
    <w:uiPriority w:val="0"/>
    <w:pPr>
      <w:numPr>
        <w:ilvl w:val="4"/>
        <w:numId w:val="2"/>
      </w:numPr>
      <w:tabs>
        <w:tab w:val="left" w:pos="1134"/>
      </w:tabs>
      <w:spacing w:before="280" w:after="290" w:line="360" w:lineRule="auto"/>
      <w:outlineLvl w:val="4"/>
    </w:pPr>
    <w:rPr>
      <w:rFonts w:cs="宋体"/>
      <w:b/>
      <w:bCs/>
      <w:kern w:val="0"/>
      <w:sz w:val="28"/>
      <w:szCs w:val="28"/>
    </w:rPr>
  </w:style>
  <w:style w:type="paragraph" w:styleId="9">
    <w:name w:val="heading 6"/>
    <w:basedOn w:val="1"/>
    <w:next w:val="1"/>
    <w:link w:val="54"/>
    <w:unhideWhenUsed/>
    <w:qFormat/>
    <w:uiPriority w:val="0"/>
    <w:pPr>
      <w:keepNext/>
      <w:keepLines/>
      <w:numPr>
        <w:ilvl w:val="5"/>
        <w:numId w:val="2"/>
      </w:numPr>
      <w:spacing w:before="240" w:after="64" w:line="314" w:lineRule="auto"/>
      <w:outlineLvl w:val="5"/>
    </w:pPr>
    <w:rPr>
      <w:rFonts w:ascii="Arial" w:hAnsi="Arial"/>
      <w:b/>
      <w:bCs/>
      <w:kern w:val="0"/>
      <w:sz w:val="28"/>
      <w:szCs w:val="18"/>
    </w:rPr>
  </w:style>
  <w:style w:type="paragraph" w:styleId="10">
    <w:name w:val="heading 7"/>
    <w:basedOn w:val="1"/>
    <w:next w:val="1"/>
    <w:link w:val="55"/>
    <w:unhideWhenUsed/>
    <w:qFormat/>
    <w:uiPriority w:val="0"/>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11">
    <w:name w:val="heading 8"/>
    <w:basedOn w:val="1"/>
    <w:next w:val="1"/>
    <w:link w:val="56"/>
    <w:unhideWhenUsed/>
    <w:qFormat/>
    <w:uiPriority w:val="0"/>
    <w:pPr>
      <w:keepNext/>
      <w:keepLines/>
      <w:spacing w:before="240" w:after="64" w:line="314" w:lineRule="auto"/>
      <w:outlineLvl w:val="7"/>
    </w:pPr>
    <w:rPr>
      <w:rFonts w:ascii="Arial" w:hAnsi="Arial" w:eastAsia="黑体"/>
      <w:kern w:val="0"/>
      <w:sz w:val="24"/>
      <w:szCs w:val="24"/>
    </w:rPr>
  </w:style>
  <w:style w:type="paragraph" w:styleId="12">
    <w:name w:val="heading 9"/>
    <w:basedOn w:val="1"/>
    <w:next w:val="1"/>
    <w:link w:val="57"/>
    <w:unhideWhenUsed/>
    <w:qFormat/>
    <w:uiPriority w:val="0"/>
    <w:pPr>
      <w:keepNext/>
      <w:keepLines/>
      <w:spacing w:before="240" w:after="64" w:line="314" w:lineRule="auto"/>
      <w:outlineLvl w:val="8"/>
    </w:pPr>
    <w:rPr>
      <w:rFonts w:ascii="Arial" w:hAnsi="Arial" w:eastAsia="黑体"/>
      <w:kern w:val="0"/>
      <w:sz w:val="20"/>
      <w:szCs w:val="21"/>
    </w:rPr>
  </w:style>
  <w:style w:type="character" w:default="1" w:styleId="41">
    <w:name w:val="Default Paragraph Font"/>
    <w:unhideWhenUsed/>
    <w:qFormat/>
    <w:uiPriority w:val="1"/>
  </w:style>
  <w:style w:type="table" w:default="1" w:styleId="47">
    <w:name w:val="Normal Table"/>
    <w:unhideWhenUsed/>
    <w:qFormat/>
    <w:uiPriority w:val="99"/>
    <w:tblPr>
      <w:tblLayout w:type="fixed"/>
      <w:tblCellMar>
        <w:top w:w="0" w:type="dxa"/>
        <w:left w:w="108" w:type="dxa"/>
        <w:bottom w:w="0" w:type="dxa"/>
        <w:right w:w="108" w:type="dxa"/>
      </w:tblCellMar>
    </w:tblPr>
  </w:style>
  <w:style w:type="paragraph" w:styleId="2">
    <w:name w:val="Body Text"/>
    <w:basedOn w:val="1"/>
    <w:next w:val="3"/>
    <w:link w:val="63"/>
    <w:unhideWhenUsed/>
    <w:qFormat/>
    <w:uiPriority w:val="0"/>
    <w:pPr>
      <w:spacing w:after="120"/>
    </w:pPr>
  </w:style>
  <w:style w:type="paragraph" w:styleId="3">
    <w:name w:val="Body Text First Indent"/>
    <w:basedOn w:val="2"/>
    <w:link w:val="68"/>
    <w:unhideWhenUsed/>
    <w:qFormat/>
    <w:uiPriority w:val="0"/>
    <w:pPr>
      <w:ind w:firstLine="420" w:firstLineChars="100"/>
    </w:pPr>
    <w:rPr>
      <w:rFonts w:ascii="Times New Roman" w:hAnsi="Times New Roman"/>
      <w:kern w:val="0"/>
      <w:sz w:val="18"/>
      <w:szCs w:val="18"/>
    </w:rPr>
  </w:style>
  <w:style w:type="paragraph" w:styleId="13">
    <w:name w:val="annotation subject"/>
    <w:basedOn w:val="14"/>
    <w:next w:val="14"/>
    <w:link w:val="76"/>
    <w:unhideWhenUsed/>
    <w:qFormat/>
    <w:uiPriority w:val="99"/>
    <w:rPr>
      <w:rFonts w:ascii="Calibri" w:hAnsi="Calibri"/>
      <w:b/>
      <w:bCs/>
      <w:kern w:val="2"/>
      <w:sz w:val="21"/>
      <w:szCs w:val="22"/>
    </w:rPr>
  </w:style>
  <w:style w:type="paragraph" w:styleId="14">
    <w:name w:val="annotation text"/>
    <w:basedOn w:val="1"/>
    <w:link w:val="60"/>
    <w:unhideWhenUsed/>
    <w:qFormat/>
    <w:uiPriority w:val="0"/>
    <w:pPr>
      <w:jc w:val="left"/>
    </w:pPr>
    <w:rPr>
      <w:rFonts w:ascii="Times New Roman" w:hAnsi="Times New Roman"/>
      <w:kern w:val="0"/>
      <w:sz w:val="18"/>
      <w:szCs w:val="18"/>
    </w:rPr>
  </w:style>
  <w:style w:type="paragraph" w:styleId="15">
    <w:name w:val="toc 7"/>
    <w:basedOn w:val="1"/>
    <w:next w:val="1"/>
    <w:unhideWhenUsed/>
    <w:qFormat/>
    <w:uiPriority w:val="0"/>
    <w:pPr>
      <w:ind w:left="2520" w:leftChars="1200"/>
    </w:pPr>
    <w:rPr>
      <w:rFonts w:ascii="Times New Roman" w:hAnsi="Times New Roman"/>
      <w:szCs w:val="24"/>
    </w:rPr>
  </w:style>
  <w:style w:type="paragraph" w:styleId="16">
    <w:name w:val="Normal Indent"/>
    <w:basedOn w:val="1"/>
    <w:link w:val="58"/>
    <w:unhideWhenUsed/>
    <w:qFormat/>
    <w:uiPriority w:val="0"/>
    <w:pPr>
      <w:spacing w:after="180" w:line="307" w:lineRule="auto"/>
      <w:ind w:firstLine="420"/>
    </w:pPr>
    <w:rPr>
      <w:rFonts w:asciiTheme="minorHAnsi" w:hAnsiTheme="minorHAnsi" w:eastAsiaTheme="minorEastAsia" w:cstheme="minorBidi"/>
    </w:rPr>
  </w:style>
  <w:style w:type="paragraph" w:styleId="17">
    <w:name w:val="caption"/>
    <w:basedOn w:val="1"/>
    <w:next w:val="1"/>
    <w:unhideWhenUsed/>
    <w:qFormat/>
    <w:uiPriority w:val="0"/>
    <w:pPr>
      <w:spacing w:before="152" w:after="160" w:line="360" w:lineRule="auto"/>
    </w:pPr>
    <w:rPr>
      <w:rFonts w:ascii="Arial" w:hAnsi="Arial" w:eastAsia="黑体" w:cs="Arial"/>
      <w:sz w:val="20"/>
      <w:szCs w:val="20"/>
    </w:rPr>
  </w:style>
  <w:style w:type="paragraph" w:styleId="18">
    <w:name w:val="Document Map"/>
    <w:basedOn w:val="1"/>
    <w:link w:val="73"/>
    <w:unhideWhenUsed/>
    <w:qFormat/>
    <w:uiPriority w:val="0"/>
    <w:pPr>
      <w:shd w:val="clear" w:color="auto" w:fill="000080"/>
    </w:pPr>
    <w:rPr>
      <w:rFonts w:ascii="Times New Roman" w:hAnsi="Times New Roman"/>
      <w:kern w:val="0"/>
      <w:sz w:val="18"/>
      <w:szCs w:val="18"/>
    </w:rPr>
  </w:style>
  <w:style w:type="paragraph" w:styleId="19">
    <w:name w:val="Body Text 3"/>
    <w:basedOn w:val="1"/>
    <w:link w:val="70"/>
    <w:unhideWhenUsed/>
    <w:qFormat/>
    <w:uiPriority w:val="0"/>
    <w:pPr>
      <w:jc w:val="center"/>
    </w:pPr>
    <w:rPr>
      <w:rFonts w:ascii="Times New Roman" w:hAnsi="Times New Roman" w:eastAsia="黑体"/>
      <w:sz w:val="44"/>
      <w:szCs w:val="24"/>
    </w:rPr>
  </w:style>
  <w:style w:type="paragraph" w:styleId="20">
    <w:name w:val="Body Text Indent"/>
    <w:basedOn w:val="1"/>
    <w:link w:val="65"/>
    <w:unhideWhenUsed/>
    <w:qFormat/>
    <w:uiPriority w:val="0"/>
    <w:pPr>
      <w:spacing w:after="120"/>
      <w:ind w:left="420" w:leftChars="200"/>
    </w:pPr>
    <w:rPr>
      <w:rFonts w:ascii="Times New Roman" w:hAnsi="Times New Roman"/>
      <w:kern w:val="0"/>
      <w:sz w:val="20"/>
      <w:szCs w:val="24"/>
    </w:rPr>
  </w:style>
  <w:style w:type="paragraph" w:styleId="21">
    <w:name w:val="Block Text"/>
    <w:basedOn w:val="1"/>
    <w:unhideWhenUsed/>
    <w:qFormat/>
    <w:uiPriority w:val="0"/>
    <w:pPr>
      <w:ind w:left="-540" w:leftChars="-257" w:right="-334" w:rightChars="-159" w:firstLine="540" w:firstLineChars="180"/>
    </w:pPr>
    <w:rPr>
      <w:rFonts w:ascii="Times New Roman" w:hAnsi="Times New Roman"/>
      <w:sz w:val="30"/>
      <w:szCs w:val="24"/>
    </w:rPr>
  </w:style>
  <w:style w:type="paragraph" w:styleId="22">
    <w:name w:val="toc 5"/>
    <w:basedOn w:val="1"/>
    <w:next w:val="1"/>
    <w:unhideWhenUsed/>
    <w:qFormat/>
    <w:uiPriority w:val="0"/>
    <w:pPr>
      <w:ind w:left="1680" w:leftChars="800"/>
    </w:pPr>
    <w:rPr>
      <w:rFonts w:ascii="Times New Roman" w:hAnsi="Times New Roman"/>
      <w:sz w:val="18"/>
      <w:szCs w:val="18"/>
    </w:rPr>
  </w:style>
  <w:style w:type="paragraph" w:styleId="23">
    <w:name w:val="toc 3"/>
    <w:basedOn w:val="1"/>
    <w:next w:val="1"/>
    <w:unhideWhenUsed/>
    <w:qFormat/>
    <w:uiPriority w:val="0"/>
    <w:pPr>
      <w:tabs>
        <w:tab w:val="left" w:pos="709"/>
        <w:tab w:val="left" w:pos="993"/>
        <w:tab w:val="right" w:leader="dot" w:pos="8364"/>
      </w:tabs>
      <w:ind w:left="360"/>
      <w:jc w:val="left"/>
    </w:pPr>
    <w:rPr>
      <w:rFonts w:ascii="Times New Roman" w:hAnsi="Times New Roman" w:eastAsia="楷体_GB2312"/>
      <w:iCs/>
      <w:sz w:val="20"/>
      <w:szCs w:val="20"/>
    </w:rPr>
  </w:style>
  <w:style w:type="paragraph" w:styleId="24">
    <w:name w:val="Plain Text"/>
    <w:basedOn w:val="1"/>
    <w:link w:val="74"/>
    <w:unhideWhenUsed/>
    <w:qFormat/>
    <w:uiPriority w:val="0"/>
    <w:rPr>
      <w:rFonts w:ascii="宋体" w:hAnsi="Courier New"/>
      <w:kern w:val="0"/>
      <w:sz w:val="20"/>
      <w:szCs w:val="18"/>
    </w:rPr>
  </w:style>
  <w:style w:type="paragraph" w:styleId="25">
    <w:name w:val="toc 8"/>
    <w:basedOn w:val="1"/>
    <w:next w:val="1"/>
    <w:unhideWhenUsed/>
    <w:qFormat/>
    <w:uiPriority w:val="0"/>
    <w:pPr>
      <w:ind w:left="2940" w:leftChars="1400"/>
    </w:pPr>
    <w:rPr>
      <w:rFonts w:ascii="Times New Roman" w:hAnsi="Times New Roman"/>
      <w:szCs w:val="24"/>
    </w:rPr>
  </w:style>
  <w:style w:type="paragraph" w:styleId="26">
    <w:name w:val="Date"/>
    <w:basedOn w:val="1"/>
    <w:next w:val="1"/>
    <w:link w:val="67"/>
    <w:unhideWhenUsed/>
    <w:qFormat/>
    <w:uiPriority w:val="0"/>
    <w:pPr>
      <w:ind w:left="100" w:leftChars="2500"/>
    </w:pPr>
    <w:rPr>
      <w:rFonts w:ascii="Times New Roman" w:hAnsi="Times New Roman"/>
      <w:kern w:val="0"/>
      <w:sz w:val="24"/>
      <w:szCs w:val="24"/>
    </w:rPr>
  </w:style>
  <w:style w:type="paragraph" w:styleId="27">
    <w:name w:val="Body Text Indent 2"/>
    <w:basedOn w:val="1"/>
    <w:link w:val="71"/>
    <w:unhideWhenUsed/>
    <w:qFormat/>
    <w:uiPriority w:val="0"/>
    <w:pPr>
      <w:spacing w:after="120" w:line="480" w:lineRule="auto"/>
      <w:ind w:left="420" w:leftChars="200"/>
    </w:pPr>
  </w:style>
  <w:style w:type="paragraph" w:styleId="28">
    <w:name w:val="Balloon Text"/>
    <w:basedOn w:val="1"/>
    <w:link w:val="77"/>
    <w:unhideWhenUsed/>
    <w:qFormat/>
    <w:uiPriority w:val="99"/>
    <w:rPr>
      <w:rFonts w:ascii="Times New Roman" w:hAnsi="Times New Roman"/>
      <w:kern w:val="0"/>
      <w:sz w:val="18"/>
      <w:szCs w:val="18"/>
    </w:rPr>
  </w:style>
  <w:style w:type="paragraph" w:styleId="29">
    <w:name w:val="footer"/>
    <w:basedOn w:val="1"/>
    <w:link w:val="62"/>
    <w:unhideWhenUsed/>
    <w:qFormat/>
    <w:uiPriority w:val="99"/>
    <w:pPr>
      <w:tabs>
        <w:tab w:val="center" w:pos="4153"/>
        <w:tab w:val="right" w:pos="8306"/>
      </w:tabs>
      <w:snapToGrid w:val="0"/>
      <w:jc w:val="left"/>
    </w:pPr>
    <w:rPr>
      <w:kern w:val="0"/>
      <w:sz w:val="18"/>
      <w:szCs w:val="18"/>
    </w:rPr>
  </w:style>
  <w:style w:type="paragraph" w:styleId="30">
    <w:name w:val="header"/>
    <w:basedOn w:val="1"/>
    <w:link w:val="61"/>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31">
    <w:name w:val="toc 1"/>
    <w:basedOn w:val="1"/>
    <w:next w:val="1"/>
    <w:unhideWhenUsed/>
    <w:qFormat/>
    <w:uiPriority w:val="39"/>
    <w:pPr>
      <w:tabs>
        <w:tab w:val="left" w:pos="709"/>
        <w:tab w:val="right" w:leader="dot" w:pos="8364"/>
      </w:tabs>
      <w:spacing w:before="120" w:after="120"/>
      <w:jc w:val="left"/>
    </w:pPr>
    <w:rPr>
      <w:rFonts w:ascii="华文中宋" w:hAnsi="华文中宋" w:eastAsia="华文中宋"/>
      <w:bCs/>
      <w:caps/>
      <w:sz w:val="20"/>
      <w:szCs w:val="20"/>
    </w:rPr>
  </w:style>
  <w:style w:type="paragraph" w:styleId="32">
    <w:name w:val="toc 4"/>
    <w:basedOn w:val="1"/>
    <w:next w:val="1"/>
    <w:unhideWhenUsed/>
    <w:qFormat/>
    <w:uiPriority w:val="0"/>
    <w:pPr>
      <w:ind w:left="1260" w:leftChars="600"/>
    </w:pPr>
    <w:rPr>
      <w:rFonts w:ascii="Times New Roman" w:hAnsi="Times New Roman"/>
      <w:sz w:val="18"/>
      <w:szCs w:val="18"/>
    </w:rPr>
  </w:style>
  <w:style w:type="paragraph" w:styleId="33">
    <w:name w:val="Subtitle"/>
    <w:basedOn w:val="1"/>
    <w:next w:val="1"/>
    <w:link w:val="66"/>
    <w:qFormat/>
    <w:uiPriority w:val="0"/>
    <w:pPr>
      <w:spacing w:before="240" w:after="60" w:line="312" w:lineRule="auto"/>
      <w:jc w:val="center"/>
      <w:outlineLvl w:val="1"/>
    </w:pPr>
    <w:rPr>
      <w:rFonts w:ascii="Cambria" w:hAnsi="Cambria"/>
      <w:b/>
      <w:bCs/>
      <w:kern w:val="28"/>
      <w:sz w:val="32"/>
      <w:szCs w:val="32"/>
    </w:rPr>
  </w:style>
  <w:style w:type="paragraph" w:styleId="34">
    <w:name w:val="footnote text"/>
    <w:basedOn w:val="1"/>
    <w:link w:val="59"/>
    <w:unhideWhenUsed/>
    <w:qFormat/>
    <w:uiPriority w:val="0"/>
    <w:pPr>
      <w:snapToGrid w:val="0"/>
      <w:jc w:val="left"/>
    </w:pPr>
    <w:rPr>
      <w:sz w:val="18"/>
      <w:szCs w:val="18"/>
    </w:rPr>
  </w:style>
  <w:style w:type="paragraph" w:styleId="35">
    <w:name w:val="toc 6"/>
    <w:basedOn w:val="1"/>
    <w:next w:val="1"/>
    <w:unhideWhenUsed/>
    <w:qFormat/>
    <w:uiPriority w:val="0"/>
    <w:pPr>
      <w:ind w:left="2100" w:leftChars="1000"/>
    </w:pPr>
    <w:rPr>
      <w:rFonts w:ascii="Times New Roman" w:hAnsi="Times New Roman"/>
      <w:szCs w:val="24"/>
    </w:rPr>
  </w:style>
  <w:style w:type="paragraph" w:styleId="36">
    <w:name w:val="Body Text Indent 3"/>
    <w:basedOn w:val="1"/>
    <w:link w:val="72"/>
    <w:unhideWhenUsed/>
    <w:qFormat/>
    <w:uiPriority w:val="0"/>
    <w:pPr>
      <w:spacing w:line="360" w:lineRule="auto"/>
      <w:ind w:left="153" w:leftChars="85" w:firstLine="560" w:firstLineChars="200"/>
    </w:pPr>
    <w:rPr>
      <w:rFonts w:ascii="宋体" w:hAnsi="宋体"/>
      <w:kern w:val="0"/>
      <w:sz w:val="28"/>
      <w:szCs w:val="28"/>
    </w:rPr>
  </w:style>
  <w:style w:type="paragraph" w:styleId="37">
    <w:name w:val="toc 2"/>
    <w:basedOn w:val="1"/>
    <w:next w:val="1"/>
    <w:unhideWhenUsed/>
    <w:qFormat/>
    <w:uiPriority w:val="39"/>
    <w:pPr>
      <w:tabs>
        <w:tab w:val="left" w:pos="620"/>
        <w:tab w:val="right" w:leader="dot" w:pos="8364"/>
      </w:tabs>
      <w:ind w:left="180"/>
      <w:jc w:val="left"/>
    </w:pPr>
    <w:rPr>
      <w:rFonts w:ascii="华文中宋" w:hAnsi="华文中宋" w:eastAsia="华文中宋"/>
      <w:smallCaps/>
      <w:sz w:val="20"/>
      <w:szCs w:val="20"/>
    </w:rPr>
  </w:style>
  <w:style w:type="paragraph" w:styleId="38">
    <w:name w:val="toc 9"/>
    <w:basedOn w:val="1"/>
    <w:next w:val="1"/>
    <w:unhideWhenUsed/>
    <w:qFormat/>
    <w:uiPriority w:val="0"/>
    <w:pPr>
      <w:ind w:left="3360" w:leftChars="1600"/>
    </w:pPr>
    <w:rPr>
      <w:rFonts w:ascii="Times New Roman" w:hAnsi="Times New Roman"/>
      <w:szCs w:val="24"/>
    </w:rPr>
  </w:style>
  <w:style w:type="paragraph" w:styleId="39">
    <w:name w:val="Body Text 2"/>
    <w:basedOn w:val="1"/>
    <w:link w:val="69"/>
    <w:unhideWhenUsed/>
    <w:qFormat/>
    <w:uiPriority w:val="0"/>
    <w:pPr>
      <w:spacing w:after="120" w:line="480" w:lineRule="auto"/>
    </w:pPr>
    <w:rPr>
      <w:rFonts w:ascii="Times New Roman" w:hAnsi="Times New Roman"/>
      <w:kern w:val="0"/>
      <w:sz w:val="18"/>
      <w:szCs w:val="18"/>
    </w:rPr>
  </w:style>
  <w:style w:type="paragraph" w:styleId="40">
    <w:name w:val="Normal (Web)"/>
    <w:basedOn w:val="1"/>
    <w:unhideWhenUsed/>
    <w:qFormat/>
    <w:uiPriority w:val="0"/>
    <w:pPr>
      <w:widowControl/>
      <w:spacing w:before="100" w:beforeAutospacing="1" w:after="100" w:afterAutospacing="1"/>
      <w:jc w:val="left"/>
    </w:pPr>
    <w:rPr>
      <w:rFonts w:ascii="宋体" w:hAnsi="宋体"/>
      <w:color w:val="000000"/>
      <w:kern w:val="0"/>
      <w:sz w:val="24"/>
      <w:szCs w:val="24"/>
    </w:rPr>
  </w:style>
  <w:style w:type="character" w:styleId="42">
    <w:name w:val="page number"/>
    <w:basedOn w:val="41"/>
    <w:unhideWhenUsed/>
    <w:qFormat/>
    <w:uiPriority w:val="99"/>
  </w:style>
  <w:style w:type="character" w:styleId="43">
    <w:name w:val="FollowedHyperlink"/>
    <w:basedOn w:val="41"/>
    <w:unhideWhenUsed/>
    <w:qFormat/>
    <w:uiPriority w:val="99"/>
    <w:rPr>
      <w:color w:val="800080" w:themeColor="followedHyperlink"/>
      <w:u w:val="single"/>
      <w14:textFill>
        <w14:solidFill>
          <w14:schemeClr w14:val="folHlink"/>
        </w14:solidFill>
      </w14:textFill>
    </w:rPr>
  </w:style>
  <w:style w:type="character" w:styleId="44">
    <w:name w:val="Hyperlink"/>
    <w:unhideWhenUsed/>
    <w:qFormat/>
    <w:uiPriority w:val="99"/>
    <w:rPr>
      <w:color w:val="0000FF"/>
      <w:u w:val="single"/>
    </w:rPr>
  </w:style>
  <w:style w:type="character" w:styleId="45">
    <w:name w:val="annotation reference"/>
    <w:unhideWhenUsed/>
    <w:qFormat/>
    <w:uiPriority w:val="0"/>
    <w:rPr>
      <w:sz w:val="21"/>
      <w:szCs w:val="21"/>
    </w:rPr>
  </w:style>
  <w:style w:type="character" w:styleId="46">
    <w:name w:val="footnote reference"/>
    <w:unhideWhenUsed/>
    <w:qFormat/>
    <w:uiPriority w:val="0"/>
    <w:rPr>
      <w:vertAlign w:val="superscript"/>
    </w:rPr>
  </w:style>
  <w:style w:type="table" w:styleId="48">
    <w:name w:val="Table Grid"/>
    <w:basedOn w:val="47"/>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49">
    <w:name w:val="标题 1 字符"/>
    <w:basedOn w:val="41"/>
    <w:link w:val="4"/>
    <w:qFormat/>
    <w:uiPriority w:val="99"/>
    <w:rPr>
      <w:rFonts w:ascii="宋体" w:hAnsi="宋体" w:cs="宋体"/>
      <w:b/>
      <w:bCs/>
      <w:spacing w:val="-20"/>
      <w:kern w:val="44"/>
      <w:sz w:val="32"/>
      <w:szCs w:val="32"/>
    </w:rPr>
  </w:style>
  <w:style w:type="character" w:customStyle="1" w:styleId="50">
    <w:name w:val="标题 2 字符"/>
    <w:basedOn w:val="41"/>
    <w:link w:val="5"/>
    <w:qFormat/>
    <w:uiPriority w:val="99"/>
    <w:rPr>
      <w:rFonts w:ascii="宋体" w:hAnsi="宋体" w:cs="宋体"/>
      <w:b/>
      <w:bCs/>
      <w:kern w:val="2"/>
      <w:sz w:val="28"/>
      <w:szCs w:val="28"/>
    </w:rPr>
  </w:style>
  <w:style w:type="character" w:customStyle="1" w:styleId="51">
    <w:name w:val="标题 3 字符"/>
    <w:basedOn w:val="41"/>
    <w:link w:val="6"/>
    <w:qFormat/>
    <w:uiPriority w:val="99"/>
    <w:rPr>
      <w:rFonts w:ascii="宋体" w:hAnsi="宋体" w:cs="宋体"/>
      <w:b/>
      <w:bCs/>
      <w:color w:val="000000"/>
      <w:sz w:val="28"/>
      <w:szCs w:val="28"/>
    </w:rPr>
  </w:style>
  <w:style w:type="character" w:customStyle="1" w:styleId="52">
    <w:name w:val="标题 4 字符"/>
    <w:basedOn w:val="41"/>
    <w:link w:val="7"/>
    <w:qFormat/>
    <w:uiPriority w:val="9"/>
    <w:rPr>
      <w:rFonts w:ascii="Arial" w:hAnsi="Arial"/>
      <w:b/>
      <w:bCs/>
      <w:sz w:val="28"/>
      <w:szCs w:val="28"/>
    </w:rPr>
  </w:style>
  <w:style w:type="character" w:customStyle="1" w:styleId="53">
    <w:name w:val="标题 5 字符"/>
    <w:basedOn w:val="41"/>
    <w:link w:val="8"/>
    <w:qFormat/>
    <w:uiPriority w:val="0"/>
    <w:rPr>
      <w:rFonts w:ascii="Calibri" w:hAnsi="Calibri" w:cs="宋体"/>
      <w:b/>
      <w:bCs/>
      <w:sz w:val="28"/>
      <w:szCs w:val="28"/>
    </w:rPr>
  </w:style>
  <w:style w:type="character" w:customStyle="1" w:styleId="54">
    <w:name w:val="标题 6 字符"/>
    <w:basedOn w:val="41"/>
    <w:link w:val="9"/>
    <w:qFormat/>
    <w:uiPriority w:val="0"/>
    <w:rPr>
      <w:rFonts w:ascii="Arial" w:hAnsi="Arial"/>
      <w:b/>
      <w:bCs/>
      <w:sz w:val="28"/>
      <w:szCs w:val="18"/>
    </w:rPr>
  </w:style>
  <w:style w:type="character" w:customStyle="1" w:styleId="55">
    <w:name w:val="标题 7 字符"/>
    <w:basedOn w:val="41"/>
    <w:link w:val="10"/>
    <w:semiHidden/>
    <w:qFormat/>
    <w:uiPriority w:val="0"/>
    <w:rPr>
      <w:rFonts w:ascii="Arial Narrow" w:hAnsi="Arial Narrow" w:eastAsia="宋体" w:cs="Times New Roman"/>
      <w:b/>
      <w:bCs/>
      <w:iCs/>
      <w:kern w:val="0"/>
      <w:sz w:val="20"/>
      <w:szCs w:val="24"/>
      <w:lang w:eastAsia="en-US"/>
    </w:rPr>
  </w:style>
  <w:style w:type="character" w:customStyle="1" w:styleId="56">
    <w:name w:val="标题 8 字符"/>
    <w:basedOn w:val="41"/>
    <w:link w:val="11"/>
    <w:semiHidden/>
    <w:qFormat/>
    <w:uiPriority w:val="0"/>
    <w:rPr>
      <w:rFonts w:ascii="Arial" w:hAnsi="Arial" w:eastAsia="黑体" w:cs="Times New Roman"/>
      <w:kern w:val="0"/>
      <w:sz w:val="24"/>
      <w:szCs w:val="24"/>
    </w:rPr>
  </w:style>
  <w:style w:type="character" w:customStyle="1" w:styleId="57">
    <w:name w:val="标题 9 字符"/>
    <w:basedOn w:val="41"/>
    <w:link w:val="12"/>
    <w:semiHidden/>
    <w:qFormat/>
    <w:uiPriority w:val="0"/>
    <w:rPr>
      <w:rFonts w:ascii="Arial" w:hAnsi="Arial" w:eastAsia="黑体" w:cs="Times New Roman"/>
      <w:kern w:val="0"/>
      <w:sz w:val="20"/>
      <w:szCs w:val="21"/>
    </w:rPr>
  </w:style>
  <w:style w:type="character" w:customStyle="1" w:styleId="58">
    <w:name w:val="正文缩进 字符"/>
    <w:link w:val="16"/>
    <w:qFormat/>
    <w:locked/>
    <w:uiPriority w:val="0"/>
  </w:style>
  <w:style w:type="character" w:customStyle="1" w:styleId="59">
    <w:name w:val="脚注文本 字符"/>
    <w:basedOn w:val="41"/>
    <w:link w:val="34"/>
    <w:qFormat/>
    <w:uiPriority w:val="0"/>
    <w:rPr>
      <w:rFonts w:ascii="Calibri" w:hAnsi="Calibri" w:eastAsia="宋体" w:cs="Times New Roman"/>
      <w:sz w:val="18"/>
      <w:szCs w:val="18"/>
    </w:rPr>
  </w:style>
  <w:style w:type="character" w:customStyle="1" w:styleId="60">
    <w:name w:val="批注文字 字符"/>
    <w:basedOn w:val="41"/>
    <w:link w:val="14"/>
    <w:qFormat/>
    <w:uiPriority w:val="99"/>
    <w:rPr>
      <w:rFonts w:ascii="Times New Roman" w:hAnsi="Times New Roman" w:eastAsia="宋体" w:cs="Times New Roman"/>
      <w:kern w:val="0"/>
      <w:sz w:val="18"/>
      <w:szCs w:val="18"/>
    </w:rPr>
  </w:style>
  <w:style w:type="character" w:customStyle="1" w:styleId="61">
    <w:name w:val="页眉 字符"/>
    <w:basedOn w:val="41"/>
    <w:link w:val="30"/>
    <w:qFormat/>
    <w:uiPriority w:val="99"/>
    <w:rPr>
      <w:rFonts w:ascii="Calibri" w:hAnsi="Calibri" w:eastAsia="宋体" w:cs="Times New Roman"/>
      <w:kern w:val="0"/>
      <w:sz w:val="18"/>
      <w:szCs w:val="18"/>
    </w:rPr>
  </w:style>
  <w:style w:type="character" w:customStyle="1" w:styleId="62">
    <w:name w:val="页脚 字符"/>
    <w:basedOn w:val="41"/>
    <w:link w:val="29"/>
    <w:qFormat/>
    <w:uiPriority w:val="99"/>
    <w:rPr>
      <w:rFonts w:ascii="Calibri" w:hAnsi="Calibri" w:eastAsia="宋体" w:cs="Times New Roman"/>
      <w:kern w:val="0"/>
      <w:sz w:val="18"/>
      <w:szCs w:val="18"/>
    </w:rPr>
  </w:style>
  <w:style w:type="character" w:customStyle="1" w:styleId="63">
    <w:name w:val="正文文本 字符"/>
    <w:basedOn w:val="41"/>
    <w:link w:val="2"/>
    <w:qFormat/>
    <w:locked/>
    <w:uiPriority w:val="0"/>
    <w:rPr>
      <w:rFonts w:ascii="Calibri" w:hAnsi="Calibri" w:eastAsia="宋体" w:cs="Times New Roman"/>
    </w:rPr>
  </w:style>
  <w:style w:type="character" w:customStyle="1" w:styleId="64">
    <w:name w:val="正文文本 Char"/>
    <w:basedOn w:val="41"/>
    <w:qFormat/>
    <w:uiPriority w:val="0"/>
    <w:rPr>
      <w:rFonts w:ascii="Calibri" w:hAnsi="Calibri" w:eastAsia="宋体" w:cs="Times New Roman"/>
    </w:rPr>
  </w:style>
  <w:style w:type="character" w:customStyle="1" w:styleId="65">
    <w:name w:val="正文文本缩进 字符"/>
    <w:basedOn w:val="41"/>
    <w:link w:val="20"/>
    <w:qFormat/>
    <w:uiPriority w:val="0"/>
    <w:rPr>
      <w:rFonts w:ascii="Times New Roman" w:hAnsi="Times New Roman" w:eastAsia="宋体" w:cs="Times New Roman"/>
      <w:kern w:val="0"/>
      <w:sz w:val="20"/>
      <w:szCs w:val="24"/>
    </w:rPr>
  </w:style>
  <w:style w:type="character" w:customStyle="1" w:styleId="66">
    <w:name w:val="副标题 字符"/>
    <w:basedOn w:val="41"/>
    <w:link w:val="33"/>
    <w:qFormat/>
    <w:uiPriority w:val="0"/>
    <w:rPr>
      <w:rFonts w:ascii="Cambria" w:hAnsi="Cambria" w:eastAsia="宋体" w:cs="Times New Roman"/>
      <w:b/>
      <w:bCs/>
      <w:kern w:val="28"/>
      <w:sz w:val="32"/>
      <w:szCs w:val="32"/>
    </w:rPr>
  </w:style>
  <w:style w:type="character" w:customStyle="1" w:styleId="67">
    <w:name w:val="日期 字符"/>
    <w:basedOn w:val="41"/>
    <w:link w:val="26"/>
    <w:qFormat/>
    <w:uiPriority w:val="0"/>
    <w:rPr>
      <w:rFonts w:ascii="Times New Roman" w:hAnsi="Times New Roman" w:eastAsia="宋体" w:cs="Times New Roman"/>
      <w:kern w:val="0"/>
      <w:sz w:val="24"/>
      <w:szCs w:val="24"/>
    </w:rPr>
  </w:style>
  <w:style w:type="character" w:customStyle="1" w:styleId="68">
    <w:name w:val="正文首行缩进 字符"/>
    <w:basedOn w:val="64"/>
    <w:link w:val="3"/>
    <w:qFormat/>
    <w:uiPriority w:val="0"/>
    <w:rPr>
      <w:rFonts w:ascii="Times New Roman" w:hAnsi="Times New Roman" w:eastAsia="宋体" w:cs="Times New Roman"/>
      <w:kern w:val="0"/>
      <w:sz w:val="18"/>
      <w:szCs w:val="18"/>
    </w:rPr>
  </w:style>
  <w:style w:type="character" w:customStyle="1" w:styleId="69">
    <w:name w:val="正文文本 2 字符"/>
    <w:basedOn w:val="41"/>
    <w:link w:val="39"/>
    <w:qFormat/>
    <w:uiPriority w:val="0"/>
    <w:rPr>
      <w:rFonts w:ascii="Times New Roman" w:hAnsi="Times New Roman" w:eastAsia="宋体" w:cs="Times New Roman"/>
      <w:kern w:val="0"/>
      <w:sz w:val="18"/>
      <w:szCs w:val="18"/>
    </w:rPr>
  </w:style>
  <w:style w:type="character" w:customStyle="1" w:styleId="70">
    <w:name w:val="正文文本 3 字符"/>
    <w:basedOn w:val="41"/>
    <w:link w:val="19"/>
    <w:qFormat/>
    <w:uiPriority w:val="0"/>
    <w:rPr>
      <w:rFonts w:ascii="Times New Roman" w:hAnsi="Times New Roman" w:eastAsia="黑体" w:cs="Times New Roman"/>
      <w:sz w:val="44"/>
      <w:szCs w:val="24"/>
    </w:rPr>
  </w:style>
  <w:style w:type="character" w:customStyle="1" w:styleId="71">
    <w:name w:val="正文文本缩进 2 字符"/>
    <w:basedOn w:val="41"/>
    <w:link w:val="27"/>
    <w:qFormat/>
    <w:uiPriority w:val="0"/>
    <w:rPr>
      <w:rFonts w:ascii="Calibri" w:hAnsi="Calibri" w:eastAsia="宋体" w:cs="Times New Roman"/>
    </w:rPr>
  </w:style>
  <w:style w:type="character" w:customStyle="1" w:styleId="72">
    <w:name w:val="正文文本缩进 3 字符"/>
    <w:basedOn w:val="41"/>
    <w:link w:val="36"/>
    <w:qFormat/>
    <w:uiPriority w:val="0"/>
    <w:rPr>
      <w:rFonts w:ascii="宋体" w:hAnsi="宋体" w:eastAsia="宋体" w:cs="Times New Roman"/>
      <w:kern w:val="0"/>
      <w:sz w:val="28"/>
      <w:szCs w:val="28"/>
    </w:rPr>
  </w:style>
  <w:style w:type="character" w:customStyle="1" w:styleId="73">
    <w:name w:val="文档结构图 字符"/>
    <w:basedOn w:val="41"/>
    <w:link w:val="18"/>
    <w:qFormat/>
    <w:uiPriority w:val="0"/>
    <w:rPr>
      <w:rFonts w:ascii="Times New Roman" w:hAnsi="Times New Roman" w:eastAsia="宋体" w:cs="Times New Roman"/>
      <w:kern w:val="0"/>
      <w:sz w:val="18"/>
      <w:szCs w:val="18"/>
      <w:shd w:val="clear" w:color="auto" w:fill="000080"/>
    </w:rPr>
  </w:style>
  <w:style w:type="character" w:customStyle="1" w:styleId="74">
    <w:name w:val="纯文本 字符"/>
    <w:link w:val="24"/>
    <w:qFormat/>
    <w:locked/>
    <w:uiPriority w:val="0"/>
    <w:rPr>
      <w:rFonts w:ascii="宋体" w:hAnsi="Courier New" w:eastAsia="宋体" w:cs="Times New Roman"/>
      <w:kern w:val="0"/>
      <w:sz w:val="20"/>
      <w:szCs w:val="18"/>
    </w:rPr>
  </w:style>
  <w:style w:type="character" w:customStyle="1" w:styleId="75">
    <w:name w:val="纯文本 Char"/>
    <w:basedOn w:val="41"/>
    <w:qFormat/>
    <w:uiPriority w:val="0"/>
    <w:rPr>
      <w:rFonts w:ascii="宋体" w:hAnsi="Courier New" w:eastAsia="宋体" w:cs="Courier New"/>
      <w:szCs w:val="21"/>
    </w:rPr>
  </w:style>
  <w:style w:type="character" w:customStyle="1" w:styleId="76">
    <w:name w:val="批注主题 字符"/>
    <w:basedOn w:val="60"/>
    <w:link w:val="13"/>
    <w:qFormat/>
    <w:uiPriority w:val="99"/>
    <w:rPr>
      <w:rFonts w:ascii="Calibri" w:hAnsi="Calibri" w:eastAsia="宋体" w:cs="Times New Roman"/>
      <w:b/>
      <w:bCs/>
      <w:kern w:val="0"/>
      <w:sz w:val="18"/>
      <w:szCs w:val="18"/>
    </w:rPr>
  </w:style>
  <w:style w:type="character" w:customStyle="1" w:styleId="77">
    <w:name w:val="批注框文本 字符"/>
    <w:basedOn w:val="41"/>
    <w:link w:val="28"/>
    <w:qFormat/>
    <w:uiPriority w:val="99"/>
    <w:rPr>
      <w:rFonts w:ascii="Times New Roman" w:hAnsi="Times New Roman" w:eastAsia="宋体" w:cs="Times New Roman"/>
      <w:kern w:val="0"/>
      <w:sz w:val="18"/>
      <w:szCs w:val="18"/>
    </w:rPr>
  </w:style>
  <w:style w:type="paragraph" w:customStyle="1" w:styleId="78">
    <w:name w:val="无间隔1"/>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79">
    <w:name w:val="列出段落 字符"/>
    <w:link w:val="80"/>
    <w:qFormat/>
    <w:locked/>
    <w:uiPriority w:val="34"/>
    <w:rPr>
      <w:rFonts w:ascii="Calibri" w:hAnsi="Calibri"/>
    </w:rPr>
  </w:style>
  <w:style w:type="paragraph" w:customStyle="1" w:styleId="80">
    <w:name w:val="列出段落1"/>
    <w:basedOn w:val="1"/>
    <w:link w:val="79"/>
    <w:qFormat/>
    <w:uiPriority w:val="34"/>
    <w:pPr>
      <w:ind w:firstLine="420" w:firstLineChars="200"/>
    </w:pPr>
    <w:rPr>
      <w:rFonts w:eastAsiaTheme="minorEastAsia" w:cstheme="minorBidi"/>
    </w:rPr>
  </w:style>
  <w:style w:type="character" w:customStyle="1" w:styleId="81">
    <w:name w:val="彩色列表 - 强调文字颜色 1 Char"/>
    <w:link w:val="82"/>
    <w:qFormat/>
    <w:locked/>
    <w:uiPriority w:val="0"/>
    <w:rPr>
      <w:rFonts w:ascii="Calibri" w:hAnsi="Calibri"/>
    </w:rPr>
  </w:style>
  <w:style w:type="paragraph" w:customStyle="1" w:styleId="82">
    <w:name w:val="彩色列表 - 强调文字颜色 11"/>
    <w:basedOn w:val="1"/>
    <w:link w:val="81"/>
    <w:qFormat/>
    <w:uiPriority w:val="0"/>
    <w:pPr>
      <w:ind w:firstLine="420" w:firstLineChars="200"/>
    </w:pPr>
    <w:rPr>
      <w:rFonts w:eastAsiaTheme="minorEastAsia" w:cstheme="minorBidi"/>
    </w:rPr>
  </w:style>
  <w:style w:type="paragraph" w:customStyle="1" w:styleId="83">
    <w:name w:val="样式 右侧:  1 字符1"/>
    <w:basedOn w:val="1"/>
    <w:qFormat/>
    <w:uiPriority w:val="0"/>
    <w:pPr>
      <w:ind w:left="240" w:leftChars="100" w:right="240" w:rightChars="100"/>
    </w:pPr>
    <w:rPr>
      <w:rFonts w:ascii="Times New Roman" w:hAnsi="Times New Roman" w:eastAsia="仿宋_GB2312" w:cs="宋体"/>
      <w:sz w:val="28"/>
      <w:szCs w:val="20"/>
    </w:rPr>
  </w:style>
  <w:style w:type="paragraph" w:customStyle="1" w:styleId="84">
    <w:name w:val="MM Title"/>
    <w:basedOn w:val="1"/>
    <w:qFormat/>
    <w:uiPriority w:val="0"/>
    <w:pPr>
      <w:spacing w:before="240" w:after="60"/>
      <w:jc w:val="center"/>
      <w:outlineLvl w:val="0"/>
    </w:pPr>
    <w:rPr>
      <w:rFonts w:ascii="Arial" w:hAnsi="Arial" w:cs="Arial"/>
      <w:b/>
      <w:bCs/>
      <w:sz w:val="32"/>
      <w:szCs w:val="32"/>
    </w:rPr>
  </w:style>
  <w:style w:type="paragraph" w:customStyle="1" w:styleId="85">
    <w:name w:val="正文格式"/>
    <w:basedOn w:val="1"/>
    <w:qFormat/>
    <w:uiPriority w:val="0"/>
    <w:pPr>
      <w:widowControl/>
      <w:adjustRightInd w:val="0"/>
      <w:snapToGrid w:val="0"/>
      <w:spacing w:beforeLines="25" w:line="360" w:lineRule="auto"/>
      <w:ind w:firstLine="480" w:firstLineChars="200"/>
    </w:pPr>
    <w:rPr>
      <w:rFonts w:ascii="宋体" w:hAnsi="宋体"/>
      <w:bCs/>
      <w:color w:val="000000"/>
      <w:kern w:val="0"/>
      <w:sz w:val="24"/>
      <w:szCs w:val="24"/>
    </w:rPr>
  </w:style>
  <w:style w:type="paragraph" w:customStyle="1" w:styleId="86">
    <w:name w:val="默认段落字体 Para Char Char Char1 Char"/>
    <w:basedOn w:val="1"/>
    <w:next w:val="1"/>
    <w:qFormat/>
    <w:uiPriority w:val="0"/>
    <w:pPr>
      <w:spacing w:line="240" w:lineRule="atLeast"/>
      <w:ind w:left="420" w:firstLine="420"/>
      <w:jc w:val="left"/>
    </w:pPr>
    <w:rPr>
      <w:rFonts w:ascii="Times New Roman" w:hAnsi="Times New Roman"/>
      <w:kern w:val="0"/>
      <w:szCs w:val="21"/>
    </w:rPr>
  </w:style>
  <w:style w:type="paragraph" w:customStyle="1" w:styleId="87">
    <w:name w:val="gb_master正文"/>
    <w:basedOn w:val="1"/>
    <w:qFormat/>
    <w:uiPriority w:val="0"/>
    <w:pPr>
      <w:ind w:firstLine="200" w:firstLineChars="200"/>
    </w:pPr>
    <w:rPr>
      <w:rFonts w:ascii="Times New Roman" w:hAnsi="Times New Roman"/>
      <w:szCs w:val="24"/>
    </w:rPr>
  </w:style>
  <w:style w:type="paragraph" w:customStyle="1" w:styleId="88">
    <w:name w:val="p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89">
    <w:name w:val="无间隔1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90">
    <w:name w:val="Char2 Char Char Char"/>
    <w:basedOn w:val="1"/>
    <w:qFormat/>
    <w:uiPriority w:val="0"/>
    <w:rPr>
      <w:rFonts w:ascii="仿宋_GB2312" w:hAnsi="Times New Roman"/>
      <w:b/>
      <w:sz w:val="30"/>
      <w:szCs w:val="32"/>
    </w:rPr>
  </w:style>
  <w:style w:type="paragraph" w:customStyle="1" w:styleId="91">
    <w:name w:val="样式 样式 样式 标题 2 + 宋体 五号 非加粗 黑色 + 段前: 6 磅 段后: 0 磅 行距: 单倍行距 + 段前: 12..."/>
    <w:basedOn w:val="1"/>
    <w:qFormat/>
    <w:uiPriority w:val="0"/>
    <w:pPr>
      <w:keepNext/>
      <w:keepLines/>
      <w:tabs>
        <w:tab w:val="left" w:pos="1124"/>
      </w:tabs>
      <w:adjustRightInd w:val="0"/>
      <w:spacing w:before="240"/>
      <w:ind w:left="1124" w:hanging="420"/>
      <w:jc w:val="left"/>
      <w:outlineLvl w:val="1"/>
    </w:pPr>
    <w:rPr>
      <w:rFonts w:ascii="宋体" w:hAnsi="宋体" w:cs="宋体"/>
      <w:color w:val="000000"/>
      <w:kern w:val="0"/>
      <w:szCs w:val="20"/>
    </w:rPr>
  </w:style>
  <w:style w:type="paragraph" w:customStyle="1" w:styleId="92">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szCs w:val="24"/>
    </w:rPr>
  </w:style>
  <w:style w:type="paragraph" w:customStyle="1" w:styleId="93">
    <w:name w:val="默认段落字体 Para Char"/>
    <w:basedOn w:val="1"/>
    <w:qFormat/>
    <w:uiPriority w:val="0"/>
    <w:rPr>
      <w:rFonts w:ascii="Tahoma" w:hAnsi="Tahoma"/>
      <w:sz w:val="24"/>
      <w:szCs w:val="20"/>
    </w:rPr>
  </w:style>
  <w:style w:type="paragraph" w:customStyle="1" w:styleId="94">
    <w:name w:val="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95">
    <w:name w:val="样式 行距: 1.5 倍行距 左  3.42 字符"/>
    <w:basedOn w:val="1"/>
    <w:qFormat/>
    <w:uiPriority w:val="0"/>
    <w:pPr>
      <w:spacing w:line="360" w:lineRule="auto"/>
      <w:ind w:left="200" w:leftChars="200" w:firstLine="200" w:firstLineChars="200"/>
    </w:pPr>
    <w:rPr>
      <w:rFonts w:ascii="Times New Roman" w:hAnsi="Times New Roman" w:cs="宋体"/>
      <w:szCs w:val="20"/>
    </w:rPr>
  </w:style>
  <w:style w:type="paragraph" w:customStyle="1" w:styleId="96">
    <w:name w:val="样式 正文缩进 + (中文) 仿宋_GB2312 小四 Char"/>
    <w:basedOn w:val="16"/>
    <w:qFormat/>
    <w:uiPriority w:val="0"/>
    <w:pPr>
      <w:spacing w:after="0" w:line="360" w:lineRule="auto"/>
      <w:ind w:firstLine="480" w:firstLineChars="200"/>
    </w:pPr>
    <w:rPr>
      <w:rFonts w:ascii="宋体" w:hAnsi="宋体"/>
      <w:sz w:val="24"/>
      <w:szCs w:val="24"/>
    </w:rPr>
  </w:style>
  <w:style w:type="paragraph" w:customStyle="1" w:styleId="97">
    <w:name w:val="表格文字"/>
    <w:basedOn w:val="1"/>
    <w:qFormat/>
    <w:uiPriority w:val="0"/>
    <w:pPr>
      <w:spacing w:beforeLines="25"/>
    </w:pPr>
    <w:rPr>
      <w:rFonts w:ascii="Times New (W1)" w:hAnsi="Times New (W1)"/>
      <w:spacing w:val="10"/>
      <w:szCs w:val="24"/>
    </w:rPr>
  </w:style>
  <w:style w:type="paragraph" w:customStyle="1" w:styleId="98">
    <w:name w:val="文章正文"/>
    <w:basedOn w:val="1"/>
    <w:qFormat/>
    <w:uiPriority w:val="0"/>
    <w:pPr>
      <w:spacing w:line="360" w:lineRule="auto"/>
      <w:ind w:firstLine="420"/>
    </w:pPr>
    <w:rPr>
      <w:rFonts w:ascii="Times New Roman" w:hAnsi="Times New Roman"/>
      <w:sz w:val="24"/>
      <w:szCs w:val="24"/>
    </w:rPr>
  </w:style>
  <w:style w:type="paragraph" w:customStyle="1" w:styleId="99">
    <w:name w:val="标书正文:  0.74 厘米"/>
    <w:basedOn w:val="1"/>
    <w:qFormat/>
    <w:uiPriority w:val="0"/>
    <w:pPr>
      <w:snapToGrid w:val="0"/>
      <w:spacing w:line="360" w:lineRule="auto"/>
      <w:ind w:firstLine="420"/>
    </w:pPr>
    <w:rPr>
      <w:rFonts w:ascii="Times New Roman" w:hAnsi="Times New Roman"/>
      <w:sz w:val="24"/>
      <w:szCs w:val="18"/>
    </w:rPr>
  </w:style>
  <w:style w:type="paragraph" w:customStyle="1" w:styleId="100">
    <w:name w:val="默认段落字体 Para Char Char"/>
    <w:basedOn w:val="1"/>
    <w:qFormat/>
    <w:uiPriority w:val="0"/>
    <w:rPr>
      <w:rFonts w:ascii="Times New Roman" w:hAnsi="Times New Roman"/>
      <w:szCs w:val="24"/>
    </w:rPr>
  </w:style>
  <w:style w:type="paragraph" w:customStyle="1" w:styleId="101">
    <w:name w:val="MM Topic 6"/>
    <w:basedOn w:val="9"/>
    <w:qFormat/>
    <w:uiPriority w:val="0"/>
    <w:pPr>
      <w:tabs>
        <w:tab w:val="left" w:pos="3260"/>
        <w:tab w:val="clear" w:pos="1702"/>
      </w:tabs>
      <w:ind w:left="0" w:firstLine="0"/>
    </w:pPr>
    <w:rPr>
      <w:rFonts w:eastAsia="黑体"/>
    </w:rPr>
  </w:style>
  <w:style w:type="paragraph" w:customStyle="1" w:styleId="102">
    <w:name w:val="Char1 Char Char Char"/>
    <w:basedOn w:val="1"/>
    <w:next w:val="1"/>
    <w:qFormat/>
    <w:uiPriority w:val="0"/>
    <w:pPr>
      <w:spacing w:line="240" w:lineRule="atLeast"/>
      <w:ind w:left="420" w:firstLine="420"/>
      <w:jc w:val="left"/>
    </w:pPr>
    <w:rPr>
      <w:rFonts w:ascii="Times New Roman" w:hAnsi="Times New Roman"/>
      <w:kern w:val="0"/>
      <w:szCs w:val="21"/>
    </w:rPr>
  </w:style>
  <w:style w:type="paragraph" w:customStyle="1" w:styleId="103">
    <w:name w:val="样式 首行缩进:  2 字符"/>
    <w:basedOn w:val="1"/>
    <w:qFormat/>
    <w:uiPriority w:val="0"/>
    <w:pPr>
      <w:spacing w:line="400" w:lineRule="exact"/>
      <w:ind w:firstLine="200" w:firstLineChars="200"/>
    </w:pPr>
    <w:rPr>
      <w:rFonts w:ascii="Times New Roman" w:hAnsi="Times New Roman" w:cs="宋体"/>
      <w:sz w:val="24"/>
      <w:szCs w:val="24"/>
    </w:rPr>
  </w:style>
  <w:style w:type="paragraph" w:customStyle="1" w:styleId="104">
    <w:name w:val="Char1"/>
    <w:basedOn w:val="1"/>
    <w:next w:val="1"/>
    <w:qFormat/>
    <w:uiPriority w:val="0"/>
    <w:pPr>
      <w:spacing w:line="240" w:lineRule="atLeast"/>
      <w:ind w:left="420" w:firstLine="420"/>
      <w:jc w:val="left"/>
    </w:pPr>
    <w:rPr>
      <w:rFonts w:ascii="Times New Roman" w:hAnsi="Times New Roman"/>
      <w:kern w:val="0"/>
      <w:szCs w:val="21"/>
    </w:rPr>
  </w:style>
  <w:style w:type="paragraph" w:customStyle="1" w:styleId="105">
    <w:name w:val="标题 5 + 首行缩进:  2 字符"/>
    <w:basedOn w:val="8"/>
    <w:next w:val="20"/>
    <w:qFormat/>
    <w:uiPriority w:val="0"/>
    <w:pPr>
      <w:tabs>
        <w:tab w:val="left" w:pos="992"/>
        <w:tab w:val="clear" w:pos="1134"/>
      </w:tabs>
      <w:snapToGrid w:val="0"/>
      <w:spacing w:before="0" w:beforeLines="50" w:after="0" w:afterLines="50"/>
      <w:ind w:left="3570" w:firstLine="482" w:firstLineChars="200"/>
    </w:pPr>
    <w:rPr>
      <w:rFonts w:cs="Times New Roman"/>
      <w:color w:val="000000"/>
      <w:szCs w:val="20"/>
    </w:rPr>
  </w:style>
  <w:style w:type="paragraph" w:customStyle="1" w:styleId="106">
    <w:name w:val="Char2 Char Char Char Char Char Char"/>
    <w:basedOn w:val="1"/>
    <w:qFormat/>
    <w:uiPriority w:val="0"/>
    <w:rPr>
      <w:rFonts w:ascii="仿宋_GB2312" w:hAnsi="Times New Roman"/>
      <w:b/>
      <w:sz w:val="30"/>
      <w:szCs w:val="32"/>
    </w:rPr>
  </w:style>
  <w:style w:type="paragraph" w:customStyle="1" w:styleId="107">
    <w:name w:val="MM Topic 2"/>
    <w:basedOn w:val="5"/>
    <w:qFormat/>
    <w:uiPriority w:val="0"/>
    <w:pPr>
      <w:numPr>
        <w:ilvl w:val="0"/>
        <w:numId w:val="0"/>
      </w:numPr>
      <w:tabs>
        <w:tab w:val="left" w:pos="992"/>
      </w:tabs>
    </w:pPr>
    <w:rPr>
      <w:rFonts w:cs="Times New Roman"/>
    </w:rPr>
  </w:style>
  <w:style w:type="paragraph" w:customStyle="1" w:styleId="108">
    <w:name w:val="Style Style4 + First line:  2 ch Before:  0.5 line After:  0.5 li..."/>
    <w:basedOn w:val="1"/>
    <w:qFormat/>
    <w:uiPriority w:val="0"/>
    <w:pPr>
      <w:spacing w:beforeLines="50" w:line="276" w:lineRule="auto"/>
      <w:ind w:firstLine="480" w:firstLineChars="200"/>
    </w:pPr>
    <w:rPr>
      <w:rFonts w:ascii="Arial" w:hAnsi="Arial"/>
      <w:sz w:val="24"/>
      <w:szCs w:val="20"/>
    </w:rPr>
  </w:style>
  <w:style w:type="paragraph" w:customStyle="1" w:styleId="109">
    <w:name w:val="正文 首行缩进:  2 字符 Char Char"/>
    <w:basedOn w:val="1"/>
    <w:qFormat/>
    <w:uiPriority w:val="0"/>
    <w:pPr>
      <w:spacing w:line="360" w:lineRule="auto"/>
      <w:ind w:firstLine="480"/>
    </w:pPr>
    <w:rPr>
      <w:rFonts w:ascii="Times New Roman" w:hAnsi="Times New Roman" w:cs="宋体"/>
      <w:sz w:val="24"/>
      <w:szCs w:val="20"/>
    </w:rPr>
  </w:style>
  <w:style w:type="paragraph" w:customStyle="1" w:styleId="110">
    <w:name w:val="MM Topic 8"/>
    <w:basedOn w:val="11"/>
    <w:qFormat/>
    <w:uiPriority w:val="0"/>
    <w:pPr>
      <w:tabs>
        <w:tab w:val="left" w:pos="4394"/>
      </w:tabs>
    </w:pPr>
  </w:style>
  <w:style w:type="paragraph" w:customStyle="1" w:styleId="111">
    <w:name w:val="Char1 Char Char Char Char Char Char"/>
    <w:basedOn w:val="1"/>
    <w:qFormat/>
    <w:uiPriority w:val="0"/>
    <w:rPr>
      <w:rFonts w:ascii="Tahoma" w:hAnsi="Tahoma"/>
      <w:sz w:val="24"/>
      <w:szCs w:val="20"/>
    </w:rPr>
  </w:style>
  <w:style w:type="paragraph" w:customStyle="1" w:styleId="112">
    <w:name w:val="RFI Heading 3rd Level"/>
    <w:basedOn w:val="1"/>
    <w:qFormat/>
    <w:uiPriority w:val="0"/>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113">
    <w:name w:val="样式 小四2"/>
    <w:basedOn w:val="1"/>
    <w:qFormat/>
    <w:uiPriority w:val="0"/>
    <w:rPr>
      <w:rFonts w:ascii="宋体" w:hAnsi="宋体"/>
      <w:sz w:val="24"/>
      <w:szCs w:val="24"/>
    </w:rPr>
  </w:style>
  <w:style w:type="paragraph" w:customStyle="1" w:styleId="114">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115">
    <w:name w:val="Char Char1"/>
    <w:basedOn w:val="1"/>
    <w:next w:val="1"/>
    <w:qFormat/>
    <w:uiPriority w:val="0"/>
    <w:pPr>
      <w:spacing w:line="240" w:lineRule="atLeast"/>
      <w:ind w:left="420" w:firstLine="420"/>
      <w:jc w:val="left"/>
    </w:pPr>
    <w:rPr>
      <w:rFonts w:ascii="楷体_GB2312" w:hAnsi="宋体" w:eastAsia="楷体_GB2312"/>
      <w:bCs/>
      <w:color w:val="000000"/>
      <w:kern w:val="0"/>
      <w:sz w:val="28"/>
      <w:szCs w:val="28"/>
    </w:rPr>
  </w:style>
  <w:style w:type="paragraph" w:customStyle="1" w:styleId="116">
    <w:name w:val="1 Char"/>
    <w:basedOn w:val="1"/>
    <w:qFormat/>
    <w:uiPriority w:val="0"/>
    <w:pPr>
      <w:widowControl/>
      <w:spacing w:after="160" w:line="240" w:lineRule="exact"/>
      <w:jc w:val="left"/>
    </w:pPr>
    <w:rPr>
      <w:rFonts w:ascii="Tahoma" w:hAnsi="Tahoma" w:eastAsia="Times New Roman"/>
      <w:kern w:val="0"/>
      <w:sz w:val="24"/>
      <w:szCs w:val="24"/>
      <w:lang w:eastAsia="en-US"/>
    </w:rPr>
  </w:style>
  <w:style w:type="paragraph" w:customStyle="1" w:styleId="117">
    <w:name w:val="09正文_wh"/>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118">
    <w:name w:val="文章正文 Char Char1"/>
    <w:basedOn w:val="1"/>
    <w:qFormat/>
    <w:uiPriority w:val="0"/>
    <w:pPr>
      <w:spacing w:line="360" w:lineRule="auto"/>
      <w:ind w:firstLine="420"/>
    </w:pPr>
    <w:rPr>
      <w:rFonts w:ascii="Times New Roman" w:hAnsi="Times New Roman"/>
      <w:sz w:val="24"/>
      <w:szCs w:val="24"/>
    </w:rPr>
  </w:style>
  <w:style w:type="paragraph" w:customStyle="1" w:styleId="119">
    <w:name w:val="标题2-1"/>
    <w:basedOn w:val="1"/>
    <w:qFormat/>
    <w:uiPriority w:val="0"/>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customStyle="1" w:styleId="120">
    <w:name w:val="样式"/>
    <w:link w:val="121"/>
    <w:qFormat/>
    <w:uiPriority w:val="0"/>
    <w:pPr>
      <w:widowControl w:val="0"/>
      <w:autoSpaceDE w:val="0"/>
      <w:autoSpaceDN w:val="0"/>
      <w:adjustRightInd w:val="0"/>
    </w:pPr>
    <w:rPr>
      <w:rFonts w:ascii="宋体" w:hAnsi="宋体" w:eastAsia="宋体" w:cs="宋体"/>
      <w:sz w:val="24"/>
      <w:szCs w:val="24"/>
      <w:lang w:val="en-US" w:eastAsia="zh-CN" w:bidi="ar-SA"/>
    </w:rPr>
  </w:style>
  <w:style w:type="character" w:customStyle="1" w:styleId="121">
    <w:name w:val="样式 Char Char"/>
    <w:link w:val="120"/>
    <w:qFormat/>
    <w:locked/>
    <w:uiPriority w:val="0"/>
    <w:rPr>
      <w:rFonts w:ascii="宋体" w:hAnsi="宋体" w:eastAsia="宋体" w:cs="宋体"/>
      <w:kern w:val="0"/>
      <w:sz w:val="24"/>
      <w:szCs w:val="24"/>
    </w:rPr>
  </w:style>
  <w:style w:type="paragraph" w:customStyle="1" w:styleId="122">
    <w:name w:val="图"/>
    <w:basedOn w:val="1"/>
    <w:qFormat/>
    <w:uiPriority w:val="0"/>
    <w:pPr>
      <w:widowControl/>
      <w:adjustRightInd w:val="0"/>
      <w:snapToGrid w:val="0"/>
      <w:jc w:val="center"/>
    </w:pPr>
    <w:rPr>
      <w:rFonts w:ascii="宋体" w:hAnsi="宋体"/>
      <w:bCs/>
      <w:szCs w:val="24"/>
    </w:rPr>
  </w:style>
  <w:style w:type="paragraph" w:customStyle="1" w:styleId="123">
    <w:name w:val="Char1 Char Char Char Char Char Char1"/>
    <w:basedOn w:val="1"/>
    <w:qFormat/>
    <w:uiPriority w:val="0"/>
    <w:rPr>
      <w:rFonts w:ascii="Tahoma" w:hAnsi="Tahoma"/>
      <w:sz w:val="24"/>
      <w:szCs w:val="20"/>
    </w:rPr>
  </w:style>
  <w:style w:type="paragraph" w:customStyle="1" w:styleId="124">
    <w:name w:val="zw1"/>
    <w:basedOn w:val="1"/>
    <w:qFormat/>
    <w:uiPriority w:val="0"/>
    <w:pPr>
      <w:widowControl/>
      <w:spacing w:line="360" w:lineRule="auto"/>
      <w:ind w:firstLine="480" w:firstLineChars="200"/>
    </w:pPr>
    <w:rPr>
      <w:rFonts w:ascii="Times New Roman" w:hAnsi="Times New Roman"/>
      <w:kern w:val="0"/>
      <w:sz w:val="24"/>
      <w:szCs w:val="20"/>
    </w:rPr>
  </w:style>
  <w:style w:type="paragraph" w:customStyle="1" w:styleId="125">
    <w:name w:val="Char Char Char Char Char Char Char"/>
    <w:basedOn w:val="1"/>
    <w:qFormat/>
    <w:uiPriority w:val="0"/>
    <w:pPr>
      <w:widowControl/>
      <w:snapToGrid w:val="0"/>
      <w:spacing w:line="240" w:lineRule="exact"/>
      <w:jc w:val="left"/>
    </w:pPr>
    <w:rPr>
      <w:rFonts w:ascii="Verdana" w:hAnsi="Verdana"/>
      <w:kern w:val="0"/>
      <w:sz w:val="20"/>
      <w:szCs w:val="20"/>
      <w:lang w:eastAsia="en-US"/>
    </w:rPr>
  </w:style>
  <w:style w:type="paragraph" w:customStyle="1" w:styleId="126">
    <w:name w:val="MM Topic 1"/>
    <w:basedOn w:val="4"/>
    <w:qFormat/>
    <w:uiPriority w:val="0"/>
    <w:pPr>
      <w:tabs>
        <w:tab w:val="left" w:pos="425"/>
      </w:tabs>
    </w:pPr>
    <w:rPr>
      <w:rFonts w:cs="Times New Roman"/>
      <w:sz w:val="44"/>
    </w:rPr>
  </w:style>
  <w:style w:type="paragraph" w:customStyle="1" w:styleId="127">
    <w:name w:val="样式 标题 5 + 倾斜"/>
    <w:basedOn w:val="8"/>
    <w:qFormat/>
    <w:uiPriority w:val="0"/>
    <w:pPr>
      <w:widowControl/>
      <w:tabs>
        <w:tab w:val="left" w:pos="992"/>
        <w:tab w:val="clear" w:pos="1134"/>
      </w:tabs>
      <w:overflowPunct w:val="0"/>
      <w:autoSpaceDE w:val="0"/>
      <w:autoSpaceDN w:val="0"/>
      <w:adjustRightInd w:val="0"/>
      <w:snapToGrid w:val="0"/>
      <w:spacing w:before="100" w:beforeAutospacing="1" w:after="100" w:afterAutospacing="1" w:line="288" w:lineRule="auto"/>
      <w:ind w:left="0" w:firstLine="0"/>
      <w:jc w:val="left"/>
    </w:pPr>
    <w:rPr>
      <w:rFonts w:ascii="Arial" w:hAnsi="Arial" w:cs="Times New Roman"/>
      <w:bCs w:val="0"/>
      <w:iCs/>
      <w:color w:val="000000"/>
    </w:rPr>
  </w:style>
  <w:style w:type="paragraph" w:customStyle="1" w:styleId="128">
    <w:name w:val="我的正文"/>
    <w:basedOn w:val="1"/>
    <w:qFormat/>
    <w:uiPriority w:val="0"/>
    <w:pPr>
      <w:spacing w:line="360" w:lineRule="auto"/>
      <w:ind w:firstLine="420" w:firstLineChars="200"/>
    </w:pPr>
    <w:rPr>
      <w:rFonts w:ascii="宋体" w:hAnsi="宋体"/>
      <w:szCs w:val="24"/>
    </w:rPr>
  </w:style>
  <w:style w:type="paragraph" w:customStyle="1" w:styleId="129">
    <w:name w:val="MM Topic 7"/>
    <w:basedOn w:val="10"/>
    <w:qFormat/>
    <w:uiPriority w:val="0"/>
    <w:pPr>
      <w:keepLines/>
      <w:widowControl w:val="0"/>
      <w:tabs>
        <w:tab w:val="left" w:pos="3827"/>
        <w:tab w:val="clear" w:pos="3600"/>
      </w:tabs>
      <w:spacing w:before="240" w:after="64" w:line="314" w:lineRule="auto"/>
      <w:jc w:val="both"/>
    </w:pPr>
    <w:rPr>
      <w:rFonts w:ascii="Times New Roman" w:hAnsi="Times New Roman"/>
      <w:iCs w:val="0"/>
      <w:kern w:val="2"/>
      <w:sz w:val="24"/>
      <w:lang w:eastAsia="zh-CN"/>
    </w:rPr>
  </w:style>
  <w:style w:type="paragraph" w:customStyle="1" w:styleId="130">
    <w:name w:val="标书（正文）"/>
    <w:basedOn w:val="1"/>
    <w:qFormat/>
    <w:uiPriority w:val="0"/>
    <w:pPr>
      <w:spacing w:line="360" w:lineRule="auto"/>
      <w:ind w:firstLine="560" w:firstLineChars="200"/>
    </w:pPr>
    <w:rPr>
      <w:rFonts w:ascii="宋体" w:hAnsi="宋体"/>
      <w:kern w:val="10"/>
      <w:sz w:val="28"/>
      <w:szCs w:val="28"/>
    </w:rPr>
  </w:style>
  <w:style w:type="paragraph" w:customStyle="1" w:styleId="131">
    <w:name w:val="样式 标题 3 + (西文) 仿宋_GB2312 (中文) 仿宋_GB2312 四号"/>
    <w:basedOn w:val="6"/>
    <w:qFormat/>
    <w:uiPriority w:val="0"/>
    <w:pPr>
      <w:numPr>
        <w:ilvl w:val="0"/>
        <w:numId w:val="0"/>
      </w:numPr>
      <w:tabs>
        <w:tab w:val="left" w:pos="-1991"/>
      </w:tabs>
      <w:snapToGrid w:val="0"/>
      <w:spacing w:beforeLines="50" w:line="410" w:lineRule="auto"/>
      <w:ind w:right="180" w:rightChars="100"/>
    </w:pPr>
    <w:rPr>
      <w:rFonts w:ascii="仿宋_GB2312" w:hAnsi="仿宋_GB2312" w:eastAsia="仿宋_GB2312" w:cs="Times New Roman"/>
      <w:color w:val="auto"/>
    </w:rPr>
  </w:style>
  <w:style w:type="paragraph" w:customStyle="1" w:styleId="132">
    <w:name w:val="论文正文"/>
    <w:basedOn w:val="1"/>
    <w:qFormat/>
    <w:uiPriority w:val="0"/>
    <w:pPr>
      <w:spacing w:line="360" w:lineRule="auto"/>
      <w:ind w:firstLine="700" w:firstLineChars="250"/>
    </w:pPr>
    <w:rPr>
      <w:rFonts w:ascii="宋体" w:hAnsi="宋体"/>
      <w:bCs/>
      <w:sz w:val="28"/>
      <w:szCs w:val="28"/>
    </w:rPr>
  </w:style>
  <w:style w:type="paragraph" w:customStyle="1" w:styleId="133">
    <w:name w:val="样式1"/>
    <w:basedOn w:val="1"/>
    <w:qFormat/>
    <w:uiPriority w:val="0"/>
    <w:rPr>
      <w:rFonts w:ascii="Times New Roman" w:hAnsi="Times New Roman" w:eastAsia="隶书"/>
      <w:i/>
      <w:dstrike/>
      <w:sz w:val="28"/>
      <w:szCs w:val="18"/>
    </w:rPr>
  </w:style>
  <w:style w:type="paragraph" w:customStyle="1" w:styleId="134">
    <w:name w:val="表格"/>
    <w:basedOn w:val="1"/>
    <w:qFormat/>
    <w:uiPriority w:val="0"/>
    <w:pPr>
      <w:spacing w:line="400" w:lineRule="exact"/>
    </w:pPr>
    <w:rPr>
      <w:rFonts w:ascii="Times New Roman" w:hAnsi="Times New Roman"/>
      <w:sz w:val="24"/>
      <w:szCs w:val="24"/>
    </w:rPr>
  </w:style>
  <w:style w:type="paragraph" w:customStyle="1" w:styleId="135">
    <w:name w:val="彩色底纹 - 强调文字颜色 11"/>
    <w:qFormat/>
    <w:uiPriority w:val="0"/>
    <w:rPr>
      <w:rFonts w:ascii="Calibri" w:hAnsi="Calibri" w:eastAsia="宋体" w:cs="Times New Roman"/>
      <w:kern w:val="2"/>
      <w:sz w:val="21"/>
      <w:szCs w:val="22"/>
      <w:lang w:val="en-US" w:eastAsia="zh-CN" w:bidi="ar-SA"/>
    </w:rPr>
  </w:style>
  <w:style w:type="paragraph" w:customStyle="1" w:styleId="136">
    <w:name w:val="Char"/>
    <w:basedOn w:val="1"/>
    <w:next w:val="1"/>
    <w:qFormat/>
    <w:uiPriority w:val="0"/>
    <w:pPr>
      <w:spacing w:line="240" w:lineRule="atLeast"/>
      <w:ind w:left="420" w:firstLine="420"/>
      <w:jc w:val="left"/>
    </w:pPr>
    <w:rPr>
      <w:rFonts w:ascii="Times New Roman" w:hAnsi="Times New Roman"/>
      <w:kern w:val="0"/>
      <w:szCs w:val="21"/>
    </w:rPr>
  </w:style>
  <w:style w:type="paragraph" w:customStyle="1" w:styleId="137">
    <w:name w:val="Char Char Char Char Char Char Char Char Char Char Char Char Char"/>
    <w:basedOn w:val="18"/>
    <w:qFormat/>
    <w:uiPriority w:val="0"/>
    <w:rPr>
      <w:rFonts w:ascii="Tahoma" w:hAnsi="Tahoma"/>
      <w:sz w:val="24"/>
      <w:szCs w:val="24"/>
    </w:rPr>
  </w:style>
  <w:style w:type="paragraph" w:customStyle="1" w:styleId="138">
    <w:name w:val="MM Topic 3"/>
    <w:basedOn w:val="6"/>
    <w:qFormat/>
    <w:uiPriority w:val="0"/>
    <w:pPr>
      <w:numPr>
        <w:ilvl w:val="0"/>
        <w:numId w:val="0"/>
      </w:numPr>
      <w:tabs>
        <w:tab w:val="left" w:pos="1418"/>
      </w:tabs>
    </w:pPr>
    <w:rPr>
      <w:rFonts w:cs="Times New Roman"/>
    </w:rPr>
  </w:style>
  <w:style w:type="paragraph" w:customStyle="1" w:styleId="139">
    <w:name w:val="样式 仿宋_GB2312 小四 左侧:  0.63 厘米"/>
    <w:basedOn w:val="1"/>
    <w:qFormat/>
    <w:uiPriority w:val="0"/>
    <w:pPr>
      <w:spacing w:before="120" w:after="120" w:line="360" w:lineRule="auto"/>
      <w:ind w:left="357" w:firstLine="200" w:firstLineChars="200"/>
    </w:pPr>
    <w:rPr>
      <w:rFonts w:ascii="仿宋_GB2312" w:hAnsi="仿宋_GB2312" w:eastAsia="仿宋_GB2312" w:cs="宋体"/>
      <w:sz w:val="24"/>
      <w:szCs w:val="20"/>
    </w:rPr>
  </w:style>
  <w:style w:type="paragraph" w:customStyle="1" w:styleId="140">
    <w:name w:val="样式 宋体 小四 行距: 1.5 倍行距"/>
    <w:basedOn w:val="1"/>
    <w:qFormat/>
    <w:uiPriority w:val="0"/>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141">
    <w:name w:val="Char Char Char Char"/>
    <w:basedOn w:val="1"/>
    <w:qFormat/>
    <w:uiPriority w:val="0"/>
    <w:rPr>
      <w:rFonts w:ascii="Tahoma" w:hAnsi="Tahoma"/>
      <w:sz w:val="24"/>
      <w:szCs w:val="20"/>
    </w:rPr>
  </w:style>
  <w:style w:type="paragraph" w:customStyle="1" w:styleId="142">
    <w:name w:val="Style8"/>
    <w:basedOn w:val="1"/>
    <w:qFormat/>
    <w:uiPriority w:val="0"/>
    <w:pPr>
      <w:tabs>
        <w:tab w:val="left" w:pos="1304"/>
      </w:tabs>
      <w:spacing w:beforeLines="50" w:line="276" w:lineRule="auto"/>
      <w:ind w:left="1304" w:hanging="397"/>
    </w:pPr>
    <w:rPr>
      <w:rFonts w:ascii="Arial" w:hAnsi="Arial"/>
      <w:sz w:val="24"/>
      <w:szCs w:val="24"/>
    </w:rPr>
  </w:style>
  <w:style w:type="paragraph" w:customStyle="1" w:styleId="143">
    <w:name w:val="MM Topic 9"/>
    <w:basedOn w:val="12"/>
    <w:qFormat/>
    <w:uiPriority w:val="0"/>
    <w:pPr>
      <w:tabs>
        <w:tab w:val="left" w:pos="5102"/>
      </w:tabs>
    </w:pPr>
  </w:style>
  <w:style w:type="paragraph" w:customStyle="1" w:styleId="144">
    <w:name w:val="MM Topic 5"/>
    <w:basedOn w:val="8"/>
    <w:qFormat/>
    <w:uiPriority w:val="0"/>
    <w:pPr>
      <w:tabs>
        <w:tab w:val="left" w:pos="2551"/>
        <w:tab w:val="clear" w:pos="1134"/>
        <w:tab w:val="clear" w:pos="1560"/>
      </w:tabs>
      <w:ind w:left="0" w:firstLine="0"/>
    </w:pPr>
    <w:rPr>
      <w:rFonts w:cs="Times New Roman"/>
    </w:rPr>
  </w:style>
  <w:style w:type="paragraph" w:customStyle="1" w:styleId="145">
    <w:name w:val="大纲正文"/>
    <w:basedOn w:val="1"/>
    <w:qFormat/>
    <w:uiPriority w:val="0"/>
    <w:pPr>
      <w:spacing w:line="360" w:lineRule="auto"/>
      <w:ind w:firstLine="480" w:firstLineChars="200"/>
    </w:pPr>
    <w:rPr>
      <w:rFonts w:ascii="Times New Roman" w:hAnsi="Times New Roman"/>
      <w:sz w:val="24"/>
      <w:szCs w:val="20"/>
    </w:rPr>
  </w:style>
  <w:style w:type="paragraph" w:customStyle="1" w:styleId="146">
    <w:name w:val="MM Topic 4"/>
    <w:basedOn w:val="7"/>
    <w:qFormat/>
    <w:uiPriority w:val="0"/>
    <w:pPr>
      <w:tabs>
        <w:tab w:val="left" w:pos="1984"/>
      </w:tabs>
      <w:ind w:left="0" w:firstLine="0"/>
    </w:pPr>
  </w:style>
  <w:style w:type="paragraph" w:customStyle="1" w:styleId="147">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48">
    <w:name w:val="样式 小四 首行缩进:  0.74 厘米"/>
    <w:basedOn w:val="1"/>
    <w:qFormat/>
    <w:uiPriority w:val="0"/>
    <w:pPr>
      <w:spacing w:before="100" w:beforeAutospacing="1" w:after="100" w:afterAutospacing="1" w:line="300" w:lineRule="auto"/>
      <w:ind w:firstLine="420" w:firstLineChars="175"/>
    </w:pPr>
    <w:rPr>
      <w:rFonts w:ascii="宋体" w:hAnsi="宋体"/>
      <w:sz w:val="24"/>
      <w:szCs w:val="24"/>
    </w:rPr>
  </w:style>
  <w:style w:type="paragraph" w:customStyle="1" w:styleId="149">
    <w:name w:val="样式 标题 2H2第一章 标题 2Heading 2 HiddenHeading 2 CCBSheading 2h2..."/>
    <w:basedOn w:val="5"/>
    <w:qFormat/>
    <w:uiPriority w:val="0"/>
    <w:pPr>
      <w:tabs>
        <w:tab w:val="left" w:pos="-2493"/>
      </w:tabs>
    </w:pPr>
    <w:rPr>
      <w:rFonts w:cs="Times New Roman"/>
      <w:szCs w:val="20"/>
    </w:rPr>
  </w:style>
  <w:style w:type="paragraph" w:customStyle="1" w:styleId="150">
    <w:name w:val="正文首行缩进两字符"/>
    <w:basedOn w:val="1"/>
    <w:qFormat/>
    <w:uiPriority w:val="0"/>
    <w:pPr>
      <w:spacing w:line="360" w:lineRule="auto"/>
      <w:ind w:firstLine="200" w:firstLineChars="200"/>
    </w:pPr>
    <w:rPr>
      <w:rFonts w:ascii="Times New Roman" w:hAnsi="Times New Roman"/>
      <w:szCs w:val="24"/>
    </w:rPr>
  </w:style>
  <w:style w:type="paragraph" w:customStyle="1" w:styleId="151">
    <w:name w:val="列出段落2"/>
    <w:basedOn w:val="1"/>
    <w:qFormat/>
    <w:uiPriority w:val="0"/>
    <w:pPr>
      <w:ind w:firstLine="420" w:firstLineChars="200"/>
    </w:pPr>
  </w:style>
  <w:style w:type="paragraph" w:customStyle="1" w:styleId="152">
    <w:name w:val="列出段落4"/>
    <w:basedOn w:val="1"/>
    <w:qFormat/>
    <w:uiPriority w:val="34"/>
    <w:pPr>
      <w:ind w:firstLine="420" w:firstLineChars="200"/>
    </w:pPr>
    <w:rPr>
      <w:rFonts w:ascii="Times New Roman" w:hAnsi="Times New Roman"/>
      <w:szCs w:val="24"/>
    </w:rPr>
  </w:style>
  <w:style w:type="paragraph" w:customStyle="1" w:styleId="153">
    <w:name w:val="列出段落11"/>
    <w:basedOn w:val="1"/>
    <w:qFormat/>
    <w:uiPriority w:val="0"/>
    <w:pPr>
      <w:ind w:firstLine="420" w:firstLineChars="200"/>
    </w:pPr>
  </w:style>
  <w:style w:type="paragraph" w:customStyle="1" w:styleId="154">
    <w:name w:val="修订1"/>
    <w:qFormat/>
    <w:uiPriority w:val="99"/>
    <w:rPr>
      <w:rFonts w:ascii="Calibri" w:hAnsi="Calibri" w:eastAsia="宋体" w:cs="Times New Roman"/>
      <w:kern w:val="2"/>
      <w:sz w:val="21"/>
      <w:szCs w:val="22"/>
      <w:lang w:val="en-US" w:eastAsia="zh-CN" w:bidi="ar-SA"/>
    </w:rPr>
  </w:style>
  <w:style w:type="paragraph" w:customStyle="1" w:styleId="155">
    <w:name w:val="彩色列表 - 强调文字颜色 12"/>
    <w:basedOn w:val="1"/>
    <w:qFormat/>
    <w:uiPriority w:val="0"/>
    <w:pPr>
      <w:ind w:firstLine="420" w:firstLineChars="200"/>
    </w:pPr>
  </w:style>
  <w:style w:type="paragraph" w:customStyle="1" w:styleId="156">
    <w:name w:val="Default"/>
    <w:qFormat/>
    <w:uiPriority w:val="99"/>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57">
    <w:name w:val="列出段落3"/>
    <w:basedOn w:val="1"/>
    <w:qFormat/>
    <w:uiPriority w:val="34"/>
    <w:pPr>
      <w:widowControl/>
      <w:ind w:firstLine="420" w:firstLineChars="200"/>
      <w:jc w:val="left"/>
    </w:pPr>
    <w:rPr>
      <w:rFonts w:ascii="Times New Roman" w:hAnsi="Times New Roman"/>
      <w:kern w:val="0"/>
      <w:sz w:val="24"/>
      <w:szCs w:val="24"/>
    </w:rPr>
  </w:style>
  <w:style w:type="paragraph" w:customStyle="1" w:styleId="158">
    <w:name w:val="列项——（一级）"/>
    <w:qFormat/>
    <w:uiPriority w:val="0"/>
    <w:pPr>
      <w:widowControl w:val="0"/>
      <w:ind w:left="833" w:hanging="408"/>
      <w:jc w:val="both"/>
    </w:pPr>
    <w:rPr>
      <w:rFonts w:ascii="宋体" w:hAnsi="Times New Roman" w:eastAsia="宋体" w:cs="Times New Roman"/>
      <w:sz w:val="21"/>
      <w:lang w:val="en-US" w:eastAsia="zh-CN" w:bidi="ar-SA"/>
    </w:rPr>
  </w:style>
  <w:style w:type="character" w:customStyle="1" w:styleId="159">
    <w:name w:val="0-CD Char"/>
    <w:link w:val="160"/>
    <w:qFormat/>
    <w:locked/>
    <w:uiPriority w:val="0"/>
    <w:rPr>
      <w:rFonts w:ascii="宋体" w:hAnsi="宋体" w:eastAsia="宋体"/>
      <w:sz w:val="28"/>
      <w:szCs w:val="24"/>
    </w:rPr>
  </w:style>
  <w:style w:type="paragraph" w:customStyle="1" w:styleId="160">
    <w:name w:val="0-CD"/>
    <w:basedOn w:val="1"/>
    <w:link w:val="159"/>
    <w:qFormat/>
    <w:uiPriority w:val="0"/>
    <w:pPr>
      <w:spacing w:line="360" w:lineRule="auto"/>
      <w:ind w:firstLine="708" w:firstLineChars="253"/>
      <w:jc w:val="left"/>
    </w:pPr>
    <w:rPr>
      <w:rFonts w:ascii="宋体" w:hAnsi="宋体" w:cstheme="minorBidi"/>
      <w:sz w:val="28"/>
      <w:szCs w:val="24"/>
    </w:rPr>
  </w:style>
  <w:style w:type="character" w:customStyle="1" w:styleId="161">
    <w:name w:val="Char Char8"/>
    <w:qFormat/>
    <w:uiPriority w:val="0"/>
    <w:rPr>
      <w:rFonts w:hint="eastAsia" w:ascii="宋体" w:hAnsi="宋体" w:eastAsia="宋体"/>
      <w:kern w:val="2"/>
      <w:sz w:val="28"/>
      <w:szCs w:val="28"/>
    </w:rPr>
  </w:style>
  <w:style w:type="character" w:customStyle="1" w:styleId="162">
    <w:name w:val="Char Char5"/>
    <w:qFormat/>
    <w:uiPriority w:val="0"/>
    <w:rPr>
      <w:kern w:val="2"/>
      <w:sz w:val="21"/>
      <w:szCs w:val="24"/>
    </w:rPr>
  </w:style>
  <w:style w:type="character" w:customStyle="1" w:styleId="163">
    <w:name w:val="列出段落 Char Char"/>
    <w:qFormat/>
    <w:uiPriority w:val="0"/>
    <w:rPr>
      <w:rFonts w:hint="default" w:ascii="Calibri" w:hAnsi="Calibri" w:cs="Calibri"/>
      <w:kern w:val="2"/>
      <w:sz w:val="21"/>
      <w:szCs w:val="22"/>
    </w:rPr>
  </w:style>
  <w:style w:type="character" w:customStyle="1" w:styleId="164">
    <w:name w:val="正文文本 Char Char"/>
    <w:qFormat/>
    <w:uiPriority w:val="0"/>
    <w:rPr>
      <w:kern w:val="2"/>
      <w:sz w:val="21"/>
      <w:szCs w:val="24"/>
    </w:rPr>
  </w:style>
  <w:style w:type="character" w:customStyle="1" w:styleId="165">
    <w:name w:val="Char Char11"/>
    <w:qFormat/>
    <w:uiPriority w:val="0"/>
    <w:rPr>
      <w:rFonts w:hint="default" w:ascii="Arial Narrow" w:hAnsi="Arial Narrow"/>
      <w:b/>
      <w:bCs/>
      <w:iCs/>
      <w:szCs w:val="24"/>
      <w:lang w:eastAsia="en-US"/>
    </w:rPr>
  </w:style>
  <w:style w:type="character" w:customStyle="1" w:styleId="166">
    <w:name w:val="标书（正文） Char Char"/>
    <w:qFormat/>
    <w:uiPriority w:val="0"/>
    <w:rPr>
      <w:rFonts w:hint="eastAsia" w:ascii="宋体" w:hAnsi="宋体" w:eastAsia="宋体"/>
      <w:b/>
      <w:kern w:val="10"/>
      <w:sz w:val="21"/>
      <w:szCs w:val="21"/>
      <w:lang w:val="en-US" w:eastAsia="zh-CN" w:bidi="ar-SA"/>
    </w:rPr>
  </w:style>
  <w:style w:type="character" w:customStyle="1" w:styleId="167">
    <w:name w:val="line2"/>
    <w:basedOn w:val="41"/>
    <w:qFormat/>
    <w:uiPriority w:val="0"/>
  </w:style>
  <w:style w:type="character" w:customStyle="1" w:styleId="168">
    <w:name w:val="Char Char10"/>
    <w:qFormat/>
    <w:uiPriority w:val="0"/>
    <w:rPr>
      <w:kern w:val="2"/>
      <w:sz w:val="24"/>
      <w:szCs w:val="24"/>
    </w:rPr>
  </w:style>
  <w:style w:type="character" w:customStyle="1" w:styleId="169">
    <w:name w:val="MM Topic 4 Char Char"/>
    <w:qFormat/>
    <w:uiPriority w:val="0"/>
    <w:rPr>
      <w:rFonts w:hint="default" w:ascii="Arial" w:hAnsi="Arial" w:cs="Arial"/>
      <w:b/>
      <w:bCs/>
      <w:kern w:val="2"/>
      <w:sz w:val="28"/>
      <w:szCs w:val="28"/>
    </w:rPr>
  </w:style>
  <w:style w:type="character" w:customStyle="1" w:styleId="170">
    <w:name w:val="标书正文:  0.74 厘米 Char Char"/>
    <w:qFormat/>
    <w:uiPriority w:val="0"/>
    <w:rPr>
      <w:kern w:val="2"/>
      <w:sz w:val="24"/>
    </w:rPr>
  </w:style>
  <w:style w:type="character" w:customStyle="1" w:styleId="171">
    <w:name w:val="访问过的超链接1"/>
    <w:qFormat/>
    <w:uiPriority w:val="99"/>
    <w:rPr>
      <w:color w:val="800080"/>
      <w:u w:val="single"/>
    </w:rPr>
  </w:style>
  <w:style w:type="character" w:customStyle="1" w:styleId="172">
    <w:name w:val="标题 3 Char Char Char"/>
    <w:qFormat/>
    <w:uiPriority w:val="0"/>
    <w:rPr>
      <w:rFonts w:hint="eastAsia" w:ascii="宋体" w:hAnsi="宋体" w:eastAsia="宋体"/>
      <w:b/>
      <w:kern w:val="2"/>
      <w:sz w:val="32"/>
      <w:lang w:val="en-US" w:eastAsia="zh-CN" w:bidi="ar-SA"/>
    </w:rPr>
  </w:style>
  <w:style w:type="character" w:customStyle="1" w:styleId="173">
    <w:name w:val="（符号）邀请函中一、"/>
    <w:qFormat/>
    <w:uiPriority w:val="0"/>
    <w:rPr>
      <w:rFonts w:hint="eastAsia" w:ascii="黑体" w:hAnsi="黑体" w:eastAsia="黑体"/>
      <w:b/>
      <w:bCs/>
      <w:sz w:val="24"/>
    </w:rPr>
  </w:style>
  <w:style w:type="character" w:customStyle="1" w:styleId="174">
    <w:name w:val="tt Char"/>
    <w:qFormat/>
    <w:uiPriority w:val="0"/>
    <w:rPr>
      <w:rFonts w:hint="default" w:ascii="Arial" w:hAnsi="Arial" w:eastAsia="黑体" w:cs="Arial"/>
      <w:kern w:val="2"/>
      <w:sz w:val="21"/>
      <w:szCs w:val="21"/>
    </w:rPr>
  </w:style>
  <w:style w:type="character" w:customStyle="1" w:styleId="175">
    <w:name w:val="Char Char9"/>
    <w:qFormat/>
    <w:uiPriority w:val="0"/>
    <w:rPr>
      <w:kern w:val="2"/>
      <w:sz w:val="18"/>
      <w:szCs w:val="18"/>
    </w:rPr>
  </w:style>
  <w:style w:type="character" w:customStyle="1" w:styleId="176">
    <w:name w:val="MM Topic 3 Char Char"/>
    <w:qFormat/>
    <w:uiPriority w:val="0"/>
    <w:rPr>
      <w:rFonts w:hint="eastAsia" w:ascii="宋体" w:hAnsi="宋体" w:eastAsia="宋体"/>
      <w:b/>
      <w:bCs/>
      <w:color w:val="000000"/>
      <w:kern w:val="2"/>
      <w:sz w:val="28"/>
      <w:szCs w:val="28"/>
    </w:rPr>
  </w:style>
  <w:style w:type="character" w:customStyle="1" w:styleId="177">
    <w:name w:val="样式 小四2 Char Char"/>
    <w:qFormat/>
    <w:uiPriority w:val="0"/>
    <w:rPr>
      <w:rFonts w:hint="eastAsia" w:ascii="宋体" w:hAnsi="宋体" w:eastAsia="宋体"/>
      <w:kern w:val="2"/>
      <w:sz w:val="24"/>
      <w:szCs w:val="24"/>
    </w:rPr>
  </w:style>
  <w:style w:type="character" w:customStyle="1" w:styleId="178">
    <w:name w:val="Char Char7"/>
    <w:qFormat/>
    <w:uiPriority w:val="0"/>
    <w:rPr>
      <w:kern w:val="2"/>
      <w:sz w:val="18"/>
      <w:szCs w:val="18"/>
    </w:rPr>
  </w:style>
  <w:style w:type="character" w:customStyle="1" w:styleId="179">
    <w:name w:val="Char Char3"/>
    <w:qFormat/>
    <w:uiPriority w:val="0"/>
    <w:rPr>
      <w:b/>
      <w:bCs/>
      <w:kern w:val="2"/>
      <w:sz w:val="18"/>
      <w:szCs w:val="18"/>
    </w:rPr>
  </w:style>
  <w:style w:type="character" w:customStyle="1" w:styleId="180">
    <w:name w:val="apple-style-span"/>
    <w:basedOn w:val="41"/>
    <w:qFormat/>
    <w:uiPriority w:val="0"/>
  </w:style>
  <w:style w:type="character" w:customStyle="1" w:styleId="181">
    <w:name w:val="Char Char4"/>
    <w:qFormat/>
    <w:uiPriority w:val="0"/>
    <w:rPr>
      <w:kern w:val="2"/>
      <w:sz w:val="18"/>
      <w:szCs w:val="18"/>
    </w:rPr>
  </w:style>
  <w:style w:type="character" w:customStyle="1" w:styleId="182">
    <w:name w:val="副标题 Char1"/>
    <w:qFormat/>
    <w:uiPriority w:val="11"/>
    <w:rPr>
      <w:rFonts w:hint="default" w:ascii="Cambria" w:hAnsi="Cambria" w:cs="Times New Roman"/>
      <w:b/>
      <w:bCs/>
      <w:kern w:val="28"/>
      <w:sz w:val="32"/>
      <w:szCs w:val="32"/>
    </w:rPr>
  </w:style>
  <w:style w:type="character" w:customStyle="1" w:styleId="183">
    <w:name w:val="small"/>
    <w:basedOn w:val="41"/>
    <w:qFormat/>
    <w:uiPriority w:val="0"/>
  </w:style>
  <w:style w:type="character" w:customStyle="1" w:styleId="184">
    <w:name w:val="Legal Level 1.1.1. Char"/>
    <w:qFormat/>
    <w:uiPriority w:val="0"/>
    <w:rPr>
      <w:rFonts w:hint="default" w:ascii="Arial" w:hAnsi="Arial" w:eastAsia="黑体" w:cs="Arial"/>
      <w:kern w:val="2"/>
      <w:sz w:val="24"/>
      <w:szCs w:val="24"/>
    </w:rPr>
  </w:style>
  <w:style w:type="character" w:customStyle="1" w:styleId="185">
    <w:name w:val="文章正文 Char Char"/>
    <w:qFormat/>
    <w:uiPriority w:val="0"/>
    <w:rPr>
      <w:rFonts w:hint="eastAsia" w:ascii="宋体" w:hAnsi="宋体" w:eastAsia="宋体"/>
      <w:kern w:val="2"/>
      <w:sz w:val="24"/>
      <w:szCs w:val="24"/>
      <w:lang w:val="en-US" w:eastAsia="zh-CN" w:bidi="ar-SA"/>
    </w:rPr>
  </w:style>
  <w:style w:type="character" w:customStyle="1" w:styleId="186">
    <w:name w:val="正文文本 Char1"/>
    <w:qFormat/>
    <w:uiPriority w:val="0"/>
    <w:rPr>
      <w:rFonts w:hint="default" w:ascii="Times New Roman" w:hAnsi="Times New Roman" w:eastAsia="宋体" w:cs="Times New Roman"/>
      <w:kern w:val="0"/>
      <w:sz w:val="18"/>
      <w:szCs w:val="18"/>
    </w:rPr>
  </w:style>
  <w:style w:type="character" w:customStyle="1" w:styleId="187">
    <w:name w:val="CD正文 Char Char"/>
    <w:qFormat/>
    <w:uiPriority w:val="0"/>
    <w:rPr>
      <w:rFonts w:hint="eastAsia" w:ascii="宋体" w:hAnsi="宋体" w:eastAsia="宋体"/>
      <w:kern w:val="2"/>
      <w:sz w:val="30"/>
      <w:szCs w:val="28"/>
      <w:lang w:val="en-US" w:eastAsia="zh-CN" w:bidi="ar-SA"/>
    </w:rPr>
  </w:style>
  <w:style w:type="character" w:customStyle="1" w:styleId="188">
    <w:name w:val="Char Char2"/>
    <w:qFormat/>
    <w:uiPriority w:val="0"/>
    <w:rPr>
      <w:kern w:val="2"/>
      <w:sz w:val="18"/>
      <w:szCs w:val="18"/>
    </w:rPr>
  </w:style>
  <w:style w:type="character" w:customStyle="1" w:styleId="189">
    <w:name w:val="标题 1 Char1"/>
    <w:qFormat/>
    <w:uiPriority w:val="0"/>
    <w:rPr>
      <w:b/>
      <w:bCs/>
      <w:kern w:val="44"/>
      <w:sz w:val="44"/>
      <w:szCs w:val="44"/>
    </w:rPr>
  </w:style>
  <w:style w:type="character" w:customStyle="1" w:styleId="190">
    <w:name w:val="表正文 Char1"/>
    <w:qFormat/>
    <w:uiPriority w:val="0"/>
    <w:rPr>
      <w:rFonts w:hint="eastAsia" w:ascii="宋体" w:hAnsi="宋体" w:eastAsia="宋体"/>
      <w:kern w:val="2"/>
      <w:sz w:val="21"/>
      <w:lang w:val="en-US" w:eastAsia="zh-CN" w:bidi="ar-SA"/>
    </w:rPr>
  </w:style>
  <w:style w:type="character" w:customStyle="1" w:styleId="191">
    <w:name w:val="Char Char Char"/>
    <w:qFormat/>
    <w:uiPriority w:val="0"/>
    <w:rPr>
      <w:rFonts w:hint="eastAsia" w:ascii="宋体" w:hAnsi="宋体" w:eastAsia="宋体"/>
      <w:kern w:val="2"/>
      <w:sz w:val="18"/>
      <w:szCs w:val="18"/>
      <w:lang w:val="en-US" w:eastAsia="zh-CN" w:bidi="ar-SA"/>
    </w:rPr>
  </w:style>
  <w:style w:type="character" w:customStyle="1" w:styleId="192">
    <w:name w:val="Char Char6"/>
    <w:qFormat/>
    <w:uiPriority w:val="0"/>
    <w:rPr>
      <w:kern w:val="2"/>
      <w:sz w:val="21"/>
      <w:szCs w:val="24"/>
    </w:rPr>
  </w:style>
  <w:style w:type="character" w:customStyle="1" w:styleId="193">
    <w:name w:val="正文缩进 Char"/>
    <w:qFormat/>
    <w:uiPriority w:val="0"/>
    <w:rPr>
      <w:kern w:val="2"/>
      <w:sz w:val="21"/>
      <w:lang w:val="zh-CN" w:eastAsia="zh-CN"/>
    </w:rPr>
  </w:style>
  <w:style w:type="character" w:customStyle="1" w:styleId="194">
    <w:name w:val="font11"/>
    <w:basedOn w:val="41"/>
    <w:qFormat/>
    <w:uiPriority w:val="0"/>
    <w:rPr>
      <w:rFonts w:hint="eastAsia" w:ascii="宋体" w:hAnsi="宋体" w:eastAsia="宋体" w:cs="宋体"/>
      <w:b/>
      <w:color w:val="000000"/>
      <w:sz w:val="22"/>
      <w:szCs w:val="22"/>
      <w:u w:val="none"/>
    </w:rPr>
  </w:style>
  <w:style w:type="character" w:customStyle="1" w:styleId="195">
    <w:name w:val="font01"/>
    <w:basedOn w:val="41"/>
    <w:qFormat/>
    <w:uiPriority w:val="0"/>
    <w:rPr>
      <w:rFonts w:hint="eastAsia" w:ascii="宋体" w:hAnsi="宋体" w:eastAsia="宋体" w:cs="宋体"/>
      <w:color w:val="000000"/>
      <w:sz w:val="22"/>
      <w:szCs w:val="22"/>
      <w:u w:val="none"/>
    </w:rPr>
  </w:style>
  <w:style w:type="character" w:customStyle="1" w:styleId="196">
    <w:name w:val="页脚 Char1"/>
    <w:basedOn w:val="41"/>
    <w:qFormat/>
    <w:uiPriority w:val="99"/>
    <w:rPr>
      <w:sz w:val="18"/>
      <w:szCs w:val="18"/>
    </w:rPr>
  </w:style>
  <w:style w:type="character" w:customStyle="1" w:styleId="197">
    <w:name w:val="批注文字 Char2"/>
    <w:qFormat/>
    <w:uiPriority w:val="0"/>
    <w:rPr>
      <w:rFonts w:hint="eastAsia" w:ascii="宋体" w:hAnsi="宋体" w:eastAsia="宋体"/>
      <w:sz w:val="18"/>
      <w:szCs w:val="18"/>
    </w:rPr>
  </w:style>
  <w:style w:type="character" w:customStyle="1" w:styleId="198">
    <w:name w:val="列出段落 Char1"/>
    <w:qFormat/>
    <w:uiPriority w:val="34"/>
    <w:rPr>
      <w:rFonts w:hint="default" w:ascii="Calibri" w:hAnsi="Calibri"/>
      <w:kern w:val="2"/>
      <w:sz w:val="21"/>
      <w:szCs w:val="22"/>
    </w:rPr>
  </w:style>
  <w:style w:type="paragraph" w:customStyle="1" w:styleId="199">
    <w:name w:val="CD正文"/>
    <w:basedOn w:val="98"/>
    <w:qFormat/>
    <w:uiPriority w:val="0"/>
  </w:style>
  <w:style w:type="paragraph" w:customStyle="1" w:styleId="200">
    <w:name w:val="项目符号：一级"/>
    <w:basedOn w:val="85"/>
    <w:next w:val="85"/>
    <w:qFormat/>
    <w:uiPriority w:val="0"/>
  </w:style>
  <w:style w:type="paragraph" w:customStyle="1" w:styleId="201">
    <w:name w:val="修订2"/>
    <w:semiHidden/>
    <w:qFormat/>
    <w:uiPriority w:val="99"/>
    <w:rPr>
      <w:rFonts w:ascii="Calibri" w:hAnsi="Calibri" w:eastAsia="宋体" w:cs="Times New Roman"/>
      <w:kern w:val="2"/>
      <w:sz w:val="21"/>
      <w:szCs w:val="22"/>
      <w:lang w:val="en-US" w:eastAsia="zh-CN" w:bidi="ar-SA"/>
    </w:rPr>
  </w:style>
  <w:style w:type="paragraph" w:customStyle="1" w:styleId="202">
    <w:name w:val="修订21"/>
    <w:semiHidden/>
    <w:qFormat/>
    <w:uiPriority w:val="99"/>
    <w:rPr>
      <w:rFonts w:ascii="Calibri" w:hAnsi="Calibri" w:eastAsia="宋体" w:cs="Times New Roman"/>
      <w:kern w:val="2"/>
      <w:sz w:val="21"/>
      <w:szCs w:val="22"/>
      <w:lang w:val="en-US" w:eastAsia="zh-CN" w:bidi="ar-SA"/>
    </w:rPr>
  </w:style>
  <w:style w:type="paragraph" w:customStyle="1" w:styleId="203">
    <w:name w:val="List Paragraph1"/>
    <w:basedOn w:val="1"/>
    <w:semiHidden/>
    <w:qFormat/>
    <w:uiPriority w:val="0"/>
    <w:pPr>
      <w:ind w:firstLine="420" w:firstLineChars="200"/>
    </w:pPr>
    <w:rPr>
      <w:rFonts w:ascii="Times New Roman" w:hAnsi="Times New Roman"/>
      <w:szCs w:val="24"/>
    </w:rPr>
  </w:style>
  <w:style w:type="paragraph" w:customStyle="1" w:styleId="204">
    <w:name w:val="修订3"/>
    <w:semiHidden/>
    <w:qFormat/>
    <w:uiPriority w:val="99"/>
    <w:rPr>
      <w:rFonts w:ascii="Calibri" w:hAnsi="Calibri" w:eastAsia="宋体" w:cs="Times New Roman"/>
      <w:kern w:val="2"/>
      <w:sz w:val="21"/>
      <w:szCs w:val="22"/>
      <w:lang w:val="en-US" w:eastAsia="zh-CN" w:bidi="ar-SA"/>
    </w:rPr>
  </w:style>
  <w:style w:type="paragraph" w:customStyle="1" w:styleId="205">
    <w:name w:val="Normal Indent1"/>
    <w:basedOn w:val="1"/>
    <w:semiHidden/>
    <w:qFormat/>
    <w:uiPriority w:val="99"/>
    <w:pPr>
      <w:spacing w:line="360" w:lineRule="auto"/>
      <w:ind w:firstLine="200" w:firstLineChars="200"/>
    </w:pPr>
    <w:rPr>
      <w:sz w:val="24"/>
      <w:szCs w:val="24"/>
    </w:rPr>
  </w:style>
  <w:style w:type="character" w:customStyle="1" w:styleId="206">
    <w:name w:val="占位符文本1"/>
    <w:basedOn w:val="41"/>
    <w:semiHidden/>
    <w:qFormat/>
    <w:uiPriority w:val="99"/>
    <w:rPr>
      <w:color w:val="808080"/>
    </w:rPr>
  </w:style>
  <w:style w:type="character" w:customStyle="1" w:styleId="207">
    <w:name w:val="font61"/>
    <w:qFormat/>
    <w:uiPriority w:val="0"/>
    <w:rPr>
      <w:rFonts w:hint="eastAsia" w:ascii="仿宋_GB2312" w:eastAsia="仿宋_GB2312" w:cs="仿宋_GB2312"/>
      <w:color w:val="000000"/>
      <w:sz w:val="24"/>
      <w:szCs w:val="24"/>
      <w:u w:val="none"/>
    </w:rPr>
  </w:style>
  <w:style w:type="character" w:customStyle="1" w:styleId="208">
    <w:name w:val="日期 Char1"/>
    <w:basedOn w:val="41"/>
    <w:semiHidden/>
    <w:qFormat/>
    <w:uiPriority w:val="99"/>
    <w:rPr>
      <w:rFonts w:hint="default" w:ascii="Calibri" w:hAnsi="Calibri" w:eastAsia="宋体" w:cs="Times New Roman"/>
    </w:rPr>
  </w:style>
  <w:style w:type="character" w:customStyle="1" w:styleId="209">
    <w:name w:val="副标题 Char2"/>
    <w:basedOn w:val="41"/>
    <w:qFormat/>
    <w:uiPriority w:val="11"/>
    <w:rPr>
      <w:rFonts w:hint="default" w:eastAsia="宋体" w:asciiTheme="majorHAnsi" w:hAnsiTheme="majorHAnsi" w:cstheme="majorBidi"/>
      <w:b/>
      <w:bCs/>
      <w:kern w:val="28"/>
      <w:sz w:val="32"/>
      <w:szCs w:val="32"/>
    </w:rPr>
  </w:style>
  <w:style w:type="character" w:customStyle="1" w:styleId="210">
    <w:name w:val="正文文本缩进 3 Char1"/>
    <w:basedOn w:val="41"/>
    <w:semiHidden/>
    <w:qFormat/>
    <w:uiPriority w:val="99"/>
    <w:rPr>
      <w:rFonts w:hint="default" w:ascii="Calibri" w:hAnsi="Calibri" w:eastAsia="宋体" w:cs="Times New Roman"/>
      <w:sz w:val="16"/>
      <w:szCs w:val="16"/>
    </w:rPr>
  </w:style>
  <w:style w:type="character" w:customStyle="1" w:styleId="211">
    <w:name w:val="批注框文本 Char1"/>
    <w:basedOn w:val="41"/>
    <w:semiHidden/>
    <w:qFormat/>
    <w:uiPriority w:val="99"/>
    <w:rPr>
      <w:rFonts w:hint="default" w:ascii="Calibri" w:hAnsi="Calibri" w:eastAsia="宋体" w:cs="Times New Roman"/>
      <w:sz w:val="18"/>
      <w:szCs w:val="18"/>
    </w:rPr>
  </w:style>
  <w:style w:type="character" w:customStyle="1" w:styleId="212">
    <w:name w:val="纯文本 Char2"/>
    <w:basedOn w:val="41"/>
    <w:qFormat/>
    <w:uiPriority w:val="99"/>
    <w:rPr>
      <w:rFonts w:hint="eastAsia" w:ascii="宋体" w:hAnsi="Courier New" w:eastAsia="宋体" w:cs="Courier New"/>
      <w:szCs w:val="21"/>
    </w:rPr>
  </w:style>
  <w:style w:type="character" w:customStyle="1" w:styleId="213">
    <w:name w:val="正文文本缩进 2 Char1"/>
    <w:basedOn w:val="41"/>
    <w:semiHidden/>
    <w:qFormat/>
    <w:uiPriority w:val="99"/>
    <w:rPr>
      <w:rFonts w:hint="default" w:ascii="Calibri" w:hAnsi="Calibri" w:eastAsia="宋体" w:cs="Times New Roman"/>
    </w:rPr>
  </w:style>
  <w:style w:type="character" w:customStyle="1" w:styleId="214">
    <w:name w:val="正文文本缩进 Char1"/>
    <w:basedOn w:val="41"/>
    <w:semiHidden/>
    <w:qFormat/>
    <w:uiPriority w:val="99"/>
    <w:rPr>
      <w:rFonts w:hint="default" w:ascii="Calibri" w:hAnsi="Calibri" w:eastAsia="宋体" w:cs="Times New Roman"/>
    </w:rPr>
  </w:style>
  <w:style w:type="character" w:customStyle="1" w:styleId="215">
    <w:name w:val="正文文本 2 Char1"/>
    <w:basedOn w:val="41"/>
    <w:semiHidden/>
    <w:qFormat/>
    <w:uiPriority w:val="99"/>
    <w:rPr>
      <w:rFonts w:hint="default" w:ascii="Calibri" w:hAnsi="Calibri" w:eastAsia="宋体" w:cs="Times New Roman"/>
    </w:rPr>
  </w:style>
  <w:style w:type="character" w:customStyle="1" w:styleId="216">
    <w:name w:val="正文文本 Char3"/>
    <w:basedOn w:val="41"/>
    <w:qFormat/>
    <w:locked/>
    <w:uiPriority w:val="0"/>
    <w:rPr>
      <w:rFonts w:ascii="Calibri" w:hAnsi="Calibri" w:eastAsia="宋体"/>
      <w:kern w:val="2"/>
      <w:sz w:val="21"/>
      <w:szCs w:val="22"/>
    </w:rPr>
  </w:style>
  <w:style w:type="character" w:customStyle="1" w:styleId="217">
    <w:name w:val="正文首行缩进 Char1"/>
    <w:basedOn w:val="216"/>
    <w:semiHidden/>
    <w:qFormat/>
    <w:uiPriority w:val="99"/>
    <w:rPr>
      <w:rFonts w:ascii="Calibri" w:hAnsi="Calibri" w:eastAsia="宋体"/>
      <w:kern w:val="2"/>
      <w:sz w:val="21"/>
      <w:szCs w:val="22"/>
    </w:rPr>
  </w:style>
  <w:style w:type="character" w:customStyle="1" w:styleId="218">
    <w:name w:val="批注文字 Char1"/>
    <w:basedOn w:val="41"/>
    <w:semiHidden/>
    <w:qFormat/>
    <w:uiPriority w:val="0"/>
    <w:rPr>
      <w:rFonts w:hint="default" w:ascii="Calibri" w:hAnsi="Calibri" w:eastAsia="宋体" w:cs="Times New Roman"/>
    </w:rPr>
  </w:style>
  <w:style w:type="character" w:customStyle="1" w:styleId="219">
    <w:name w:val="正文文本 3 Char1"/>
    <w:basedOn w:val="41"/>
    <w:semiHidden/>
    <w:qFormat/>
    <w:uiPriority w:val="99"/>
    <w:rPr>
      <w:rFonts w:hint="default" w:ascii="Calibri" w:hAnsi="Calibri" w:eastAsia="宋体" w:cs="Times New Roman"/>
      <w:sz w:val="16"/>
      <w:szCs w:val="16"/>
    </w:rPr>
  </w:style>
  <w:style w:type="character" w:customStyle="1" w:styleId="220">
    <w:name w:val="文档结构图 Char1"/>
    <w:basedOn w:val="41"/>
    <w:semiHidden/>
    <w:qFormat/>
    <w:uiPriority w:val="99"/>
    <w:rPr>
      <w:rFonts w:hint="eastAsia" w:ascii="宋体" w:hAnsi="Calibri" w:eastAsia="宋体" w:cs="Times New Roman"/>
      <w:sz w:val="18"/>
      <w:szCs w:val="18"/>
    </w:rPr>
  </w:style>
  <w:style w:type="character" w:customStyle="1" w:styleId="221">
    <w:name w:val="font21"/>
    <w:qFormat/>
    <w:uiPriority w:val="0"/>
    <w:rPr>
      <w:rFonts w:hint="eastAsia" w:ascii="仿宋_GB2312" w:eastAsia="仿宋_GB2312" w:cs="仿宋_GB2312"/>
      <w:color w:val="000000"/>
      <w:sz w:val="24"/>
      <w:szCs w:val="24"/>
      <w:u w:val="none"/>
    </w:rPr>
  </w:style>
  <w:style w:type="paragraph" w:customStyle="1" w:styleId="222">
    <w:name w:val="正文_58"/>
    <w:qFormat/>
    <w:uiPriority w:val="0"/>
    <w:pPr>
      <w:widowControl w:val="0"/>
      <w:jc w:val="both"/>
    </w:pPr>
    <w:rPr>
      <w:rFonts w:ascii="Calibri" w:hAnsi="Calibri" w:eastAsia="宋体" w:cs="Times New Roman"/>
      <w:kern w:val="2"/>
      <w:sz w:val="21"/>
      <w:szCs w:val="22"/>
      <w:lang w:val="en-US" w:eastAsia="zh-CN" w:bidi="ar-SA"/>
    </w:rPr>
  </w:style>
  <w:style w:type="paragraph" w:customStyle="1" w:styleId="223">
    <w:name w:val="Table Paragraph"/>
    <w:basedOn w:val="1"/>
    <w:qFormat/>
    <w:uiPriority w:val="1"/>
    <w:rPr>
      <w:rFonts w:ascii="宋体" w:hAnsi="宋体" w:cs="宋体"/>
      <w:lang w:eastAsia="en-US" w:bidi="en-US"/>
    </w:rPr>
  </w:style>
  <w:style w:type="character" w:customStyle="1" w:styleId="224">
    <w:name w:val="font41"/>
    <w:qFormat/>
    <w:uiPriority w:val="0"/>
    <w:rPr>
      <w:rFonts w:hint="default" w:ascii="Calibri" w:hAnsi="Calibri" w:cs="Calibri"/>
      <w:color w:val="000000"/>
      <w:sz w:val="20"/>
      <w:szCs w:val="20"/>
      <w:u w:val="none"/>
    </w:rPr>
  </w:style>
  <w:style w:type="character" w:customStyle="1" w:styleId="225">
    <w:name w:val="NormalCharacter"/>
    <w:qFormat/>
    <w:uiPriority w:val="0"/>
  </w:style>
  <w:style w:type="character" w:customStyle="1" w:styleId="226">
    <w:name w:val="sugg-loading"/>
    <w:basedOn w:val="41"/>
    <w:qFormat/>
    <w:uiPriority w:val="0"/>
  </w:style>
  <w:style w:type="character" w:customStyle="1" w:styleId="227">
    <w:name w:val="font71"/>
    <w:qFormat/>
    <w:uiPriority w:val="0"/>
    <w:rPr>
      <w:rFonts w:hint="default" w:ascii="仿宋_GB2312" w:eastAsia="仿宋_GB2312" w:cs="仿宋_GB2312"/>
      <w:color w:val="FF0000"/>
      <w:sz w:val="28"/>
      <w:szCs w:val="28"/>
      <w:u w:val="none"/>
    </w:rPr>
  </w:style>
  <w:style w:type="character" w:customStyle="1" w:styleId="228">
    <w:name w:val="font81"/>
    <w:qFormat/>
    <w:uiPriority w:val="0"/>
    <w:rPr>
      <w:rFonts w:hint="eastAsia" w:ascii="宋体" w:hAnsi="宋体" w:eastAsia="宋体" w:cs="宋体"/>
      <w:color w:val="000000"/>
      <w:sz w:val="28"/>
      <w:szCs w:val="28"/>
      <w:u w:val="none"/>
    </w:rPr>
  </w:style>
  <w:style w:type="character" w:customStyle="1" w:styleId="229">
    <w:name w:val="font31"/>
    <w:qFormat/>
    <w:uiPriority w:val="0"/>
    <w:rPr>
      <w:rFonts w:hint="default" w:ascii="仿宋_GB2312" w:eastAsia="仿宋_GB2312" w:cs="仿宋_GB2312"/>
      <w:color w:val="000000"/>
      <w:sz w:val="28"/>
      <w:szCs w:val="28"/>
      <w:u w:val="none"/>
    </w:rPr>
  </w:style>
  <w:style w:type="character" w:customStyle="1" w:styleId="230">
    <w:name w:val="font51"/>
    <w:qFormat/>
    <w:uiPriority w:val="0"/>
    <w:rPr>
      <w:rFonts w:ascii="黑体" w:hAnsi="宋体" w:eastAsia="黑体" w:cs="黑体"/>
      <w:color w:val="FF0000"/>
      <w:sz w:val="28"/>
      <w:szCs w:val="28"/>
      <w:u w:val="none"/>
    </w:rPr>
  </w:style>
  <w:style w:type="paragraph" w:customStyle="1" w:styleId="231">
    <w:name w:val="List Paragraph"/>
    <w:basedOn w:val="1"/>
    <w:qFormat/>
    <w:uiPriority w:val="99"/>
    <w:pPr>
      <w:ind w:firstLine="420" w:firstLineChars="200"/>
    </w:pPr>
  </w:style>
  <w:style w:type="paragraph" w:customStyle="1" w:styleId="232">
    <w:name w:val="正文（绿盟科技）"/>
    <w:qFormat/>
    <w:uiPriority w:val="0"/>
    <w:pPr>
      <w:spacing w:line="300" w:lineRule="auto"/>
    </w:pPr>
    <w:rPr>
      <w:rFonts w:ascii="Arial" w:hAnsi="Arial" w:eastAsia="宋体" w:cs="Times New Roman"/>
      <w:sz w:val="21"/>
      <w:szCs w:val="21"/>
      <w:lang w:val="en-US" w:eastAsia="zh-CN" w:bidi="ar-SA"/>
    </w:rPr>
  </w:style>
  <w:style w:type="paragraph" w:customStyle="1" w:styleId="233">
    <w:name w:val="16、“(一)”三级标题"/>
    <w:basedOn w:val="234"/>
    <w:qFormat/>
    <w:uiPriority w:val="0"/>
    <w:pPr>
      <w:numPr>
        <w:ilvl w:val="2"/>
        <w:numId w:val="3"/>
      </w:numPr>
      <w:ind w:firstLine="803" w:firstLineChars="200"/>
      <w:outlineLvl w:val="2"/>
    </w:pPr>
    <w:rPr>
      <w:b/>
    </w:rPr>
  </w:style>
  <w:style w:type="paragraph" w:customStyle="1" w:styleId="234">
    <w:name w:val="01、普通正文"/>
    <w:basedOn w:val="1"/>
    <w:qFormat/>
    <w:uiPriority w:val="0"/>
    <w:pPr>
      <w:tabs>
        <w:tab w:val="left" w:pos="0"/>
      </w:tabs>
      <w:wordWrap w:val="0"/>
      <w:topLinePunct/>
    </w:pPr>
    <w:rPr>
      <w:rFonts w:ascii="宋体" w:hAnsi="宋体" w:eastAsia="宋体"/>
      <w:snapToGrid w:val="0"/>
    </w:rPr>
  </w:style>
  <w:style w:type="paragraph" w:customStyle="1" w:styleId="235">
    <w:name w:val="（符号）三标题1.1"/>
    <w:basedOn w:val="1"/>
    <w:qFormat/>
    <w:uiPriority w:val="0"/>
    <w:pPr>
      <w:tabs>
        <w:tab w:val="left" w:pos="700"/>
        <w:tab w:val="left" w:pos="840"/>
      </w:tabs>
      <w:spacing w:line="500" w:lineRule="exact"/>
      <w:ind w:left="840" w:hanging="420"/>
    </w:pPr>
    <w:rPr>
      <w:rFonts w:hAnsi="宋体"/>
      <w:sz w:val="24"/>
    </w:rPr>
  </w:style>
  <w:style w:type="paragraph" w:customStyle="1" w:styleId="236">
    <w:name w:val="03、“注：”正文(加粗，首行缩进2字符)"/>
    <w:basedOn w:val="234"/>
    <w:qFormat/>
    <w:uiPriority w:val="0"/>
    <w:pPr>
      <w:ind w:firstLine="480" w:firstLineChars="200"/>
    </w:pPr>
    <w:rPr>
      <w:b/>
    </w:rPr>
  </w:style>
  <w:style w:type="paragraph" w:customStyle="1" w:styleId="237">
    <w:name w:val="12、表格内左对齐正文"/>
    <w:basedOn w:val="1"/>
    <w:qFormat/>
    <w:uiPriority w:val="0"/>
    <w:pPr>
      <w:tabs>
        <w:tab w:val="left" w:pos="0"/>
      </w:tabs>
      <w:wordWrap w:val="0"/>
      <w:topLinePunct/>
      <w:spacing w:line="360" w:lineRule="exact"/>
      <w:ind w:left="48" w:leftChars="20"/>
    </w:pPr>
    <w:rPr>
      <w:rFonts w:ascii="宋体" w:hAnsi="宋体" w:eastAsia="宋体"/>
      <w:snapToGrid w:val="0"/>
    </w:rPr>
  </w:style>
  <w:style w:type="paragraph" w:customStyle="1" w:styleId="238">
    <w:name w:val="06、“1.”正文四级标题"/>
    <w:basedOn w:val="1"/>
    <w:qFormat/>
    <w:uiPriority w:val="0"/>
    <w:pPr>
      <w:numPr>
        <w:ilvl w:val="2"/>
        <w:numId w:val="4"/>
      </w:numPr>
      <w:tabs>
        <w:tab w:val="left" w:pos="0"/>
      </w:tabs>
      <w:wordWrap w:val="0"/>
      <w:topLinePunct/>
      <w:ind w:firstLine="803" w:firstLineChars="200"/>
    </w:pPr>
    <w:rPr>
      <w:rFonts w:ascii="宋体" w:hAnsi="宋体" w:eastAsia="宋体"/>
      <w:snapToGrid w:val="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DD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AE8C0A9-0984-46FF-82EA-D3082A59CD7E}">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Pages>
  <Words>8747</Words>
  <Characters>49864</Characters>
  <Lines>415</Lines>
  <Paragraphs>116</Paragraphs>
  <ScaleCrop>false</ScaleCrop>
  <LinksUpToDate>false</LinksUpToDate>
  <CharactersWithSpaces>58495</CharactersWithSpaces>
  <Application>WPS Office_10.8.0.5715_F1E327BC-269C-435d-A152-05C5408002CA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2021-05-27T01:53:00Z</dcterms:created>
  <dc:creator>高文豪</dc:creator>
  <cp:lastModifiedBy>郑晓惠</cp:lastModifiedBy>
  <cp:lastPrinted>2021-07-26T06:43:00Z</cp:lastPrinted>
  <dcterms:modified xsi:type="dcterms:W3CDTF">2021-10-22T04:51:03Z</dcterms:modified>
  <cp:revision>238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2052-10.8.0.5715</vt:lpwstr>
  </property>
  <property fmtid="{D5CDD505-2E9C-101B-9397-08002B2CF9AE}" pid="3" name="ICV">
    <vt:lpwstr>16B5CA6511C34F73B8F080E64963CC25</vt:lpwstr>
  </property>
</Properties>
</file>